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D8E98" w14:textId="77777777" w:rsidR="00937802" w:rsidRPr="00E4274D" w:rsidRDefault="00937802" w:rsidP="006A488B">
      <w:pPr>
        <w:pStyle w:val="SPCaPILhlavika"/>
        <w:rPr>
          <w:lang w:val="sk-SK"/>
        </w:rPr>
      </w:pPr>
      <w:r w:rsidRPr="00E4274D">
        <w:rPr>
          <w:lang w:val="sk-SK"/>
        </w:rPr>
        <w:t>SÚHRN CHARAKTERISTICKÝCH VLASTNOSTÍ LIEKU</w:t>
      </w:r>
    </w:p>
    <w:p w14:paraId="16443C3B" w14:textId="77777777" w:rsidR="00937802" w:rsidRPr="00E4274D" w:rsidRDefault="00937802" w:rsidP="006A488B">
      <w:pPr>
        <w:pStyle w:val="Styl1"/>
        <w:rPr>
          <w:lang w:val="sk-SK"/>
        </w:rPr>
      </w:pPr>
      <w:r w:rsidRPr="00E4274D">
        <w:rPr>
          <w:lang w:val="sk-SK"/>
        </w:rPr>
        <w:t>NÁZOV LIEKU</w:t>
      </w:r>
    </w:p>
    <w:p w14:paraId="52C76332" w14:textId="17A6E6D0" w:rsidR="00937802" w:rsidRPr="00E4274D" w:rsidRDefault="00937802" w:rsidP="00DE3C08">
      <w:pPr>
        <w:pStyle w:val="Normlndobloku"/>
      </w:pPr>
      <w:r w:rsidRPr="00E4274D">
        <w:t>HYDROCORTISONE MEDOCHEMIE 100 mg</w:t>
      </w:r>
    </w:p>
    <w:p w14:paraId="4635651B" w14:textId="77777777" w:rsidR="00937802" w:rsidRPr="00E4274D" w:rsidRDefault="00937802" w:rsidP="00DE3C08">
      <w:pPr>
        <w:pStyle w:val="Normlndobloku"/>
      </w:pPr>
      <w:r w:rsidRPr="00E4274D">
        <w:t>prášok na injekčný/infúzny roztok</w:t>
      </w:r>
    </w:p>
    <w:p w14:paraId="0974A4E3" w14:textId="77777777" w:rsidR="00937802" w:rsidRPr="00E4274D" w:rsidRDefault="00937802" w:rsidP="006A488B">
      <w:pPr>
        <w:pStyle w:val="Styl1"/>
        <w:rPr>
          <w:lang w:val="sk-SK"/>
        </w:rPr>
      </w:pPr>
      <w:r w:rsidRPr="00E4274D">
        <w:rPr>
          <w:lang w:val="sk-SK"/>
        </w:rPr>
        <w:t>KVALITATÍVNE A KVANTITATÍVNE ZLOŽENIE</w:t>
      </w:r>
    </w:p>
    <w:p w14:paraId="5AE65767" w14:textId="46B88600" w:rsidR="00937802" w:rsidRPr="00E4274D" w:rsidRDefault="00937802" w:rsidP="00DE3C08">
      <w:pPr>
        <w:pStyle w:val="Normlndobloku"/>
      </w:pPr>
      <w:r w:rsidRPr="00E4274D">
        <w:t>Jedna injekčná liekovka obsahuje 100 mg hydrokortizónu (ako hydrokortizónsukcinát sodný).</w:t>
      </w:r>
    </w:p>
    <w:p w14:paraId="1437534F" w14:textId="1513F57C" w:rsidR="00514D32" w:rsidRPr="00E4274D" w:rsidRDefault="00514D32" w:rsidP="00E33B39">
      <w:pPr>
        <w:pStyle w:val="Styl3"/>
      </w:pPr>
      <w:r w:rsidRPr="00E4274D">
        <w:t>Pomocná látka so známym účinkom</w:t>
      </w:r>
      <w:r w:rsidR="00717656" w:rsidRPr="00E4274D" w:rsidDel="00717656">
        <w:t xml:space="preserve"> </w:t>
      </w:r>
    </w:p>
    <w:p w14:paraId="7974287D" w14:textId="7913DFFB" w:rsidR="00717656" w:rsidRPr="00E4274D" w:rsidRDefault="00717656" w:rsidP="00DE3C08">
      <w:pPr>
        <w:pStyle w:val="Normlndobloku"/>
      </w:pPr>
      <w:r w:rsidRPr="00E4274D">
        <w:t xml:space="preserve">Jedna injekčná liekovka obsahuje </w:t>
      </w:r>
      <w:r w:rsidR="005E1450" w:rsidRPr="005E1450">
        <w:t xml:space="preserve">&lt; 1 </w:t>
      </w:r>
      <w:proofErr w:type="spellStart"/>
      <w:r w:rsidR="005E1450" w:rsidRPr="005E1450">
        <w:t>mmol</w:t>
      </w:r>
      <w:proofErr w:type="spellEnd"/>
      <w:r w:rsidRPr="00E4274D">
        <w:t xml:space="preserve"> sodíka</w:t>
      </w:r>
      <w:bookmarkStart w:id="0" w:name="_GoBack"/>
      <w:bookmarkEnd w:id="0"/>
      <w:r w:rsidRPr="00E4274D">
        <w:t>.</w:t>
      </w:r>
    </w:p>
    <w:p w14:paraId="51B3FA6F" w14:textId="77777777" w:rsidR="00937802" w:rsidRPr="00E4274D" w:rsidRDefault="00937802" w:rsidP="00DE3C08">
      <w:pPr>
        <w:pStyle w:val="Normlndobloku"/>
      </w:pPr>
      <w:r w:rsidRPr="00E4274D">
        <w:t>Úplný zoznam pomocných látok, pozri časť 6.1.</w:t>
      </w:r>
    </w:p>
    <w:p w14:paraId="009B635F" w14:textId="77777777" w:rsidR="00937802" w:rsidRPr="00E4274D" w:rsidRDefault="00937802" w:rsidP="006A488B">
      <w:pPr>
        <w:pStyle w:val="Styl1"/>
        <w:rPr>
          <w:lang w:val="sk-SK"/>
        </w:rPr>
      </w:pPr>
      <w:r w:rsidRPr="00E4274D">
        <w:rPr>
          <w:lang w:val="sk-SK"/>
        </w:rPr>
        <w:t>LIEKOVÁ FORMA</w:t>
      </w:r>
    </w:p>
    <w:p w14:paraId="643FEE54" w14:textId="77777777" w:rsidR="00937802" w:rsidRPr="00E4274D" w:rsidRDefault="00937802" w:rsidP="00DE3C08">
      <w:pPr>
        <w:pStyle w:val="Normlndobloku"/>
      </w:pPr>
      <w:r w:rsidRPr="00E4274D">
        <w:t>Prášok na injekčný/infúzny roztok</w:t>
      </w:r>
    </w:p>
    <w:p w14:paraId="03A6FCEA" w14:textId="77777777" w:rsidR="00937802" w:rsidRPr="00E4274D" w:rsidRDefault="00937802" w:rsidP="00DE3C08">
      <w:pPr>
        <w:pStyle w:val="Normlndobloku"/>
      </w:pPr>
      <w:r w:rsidRPr="00E4274D">
        <w:t>Biely alebo takmer biely prášok</w:t>
      </w:r>
    </w:p>
    <w:p w14:paraId="38414745" w14:textId="77777777" w:rsidR="00937802" w:rsidRPr="00E4274D" w:rsidRDefault="00937802" w:rsidP="006A488B">
      <w:pPr>
        <w:pStyle w:val="Styl1"/>
        <w:rPr>
          <w:lang w:val="sk-SK"/>
        </w:rPr>
      </w:pPr>
      <w:r w:rsidRPr="00E4274D">
        <w:rPr>
          <w:lang w:val="sk-SK"/>
        </w:rPr>
        <w:t>KLINICKÉ ÚDAJE</w:t>
      </w:r>
    </w:p>
    <w:p w14:paraId="3B57E6A0" w14:textId="77777777" w:rsidR="00937802" w:rsidRPr="00E4274D" w:rsidRDefault="00937802" w:rsidP="006A488B">
      <w:pPr>
        <w:pStyle w:val="Styl2"/>
        <w:rPr>
          <w:lang w:val="sk-SK"/>
        </w:rPr>
      </w:pPr>
      <w:r w:rsidRPr="00E4274D">
        <w:rPr>
          <w:lang w:val="sk-SK"/>
        </w:rPr>
        <w:t>Terapeutické indikácie</w:t>
      </w:r>
    </w:p>
    <w:p w14:paraId="363769AF" w14:textId="337E742E" w:rsidR="00937802" w:rsidRPr="00E4274D" w:rsidRDefault="00937802" w:rsidP="00DE3C08">
      <w:pPr>
        <w:pStyle w:val="Normlndobloku"/>
      </w:pPr>
      <w:r w:rsidRPr="00E4274D">
        <w:t>Protizápalová látka</w:t>
      </w:r>
    </w:p>
    <w:p w14:paraId="06DE2516" w14:textId="28383508" w:rsidR="00937802" w:rsidRPr="00E4274D" w:rsidRDefault="00937802" w:rsidP="00DE3C08">
      <w:pPr>
        <w:pStyle w:val="Normlndobloku"/>
      </w:pPr>
      <w:r w:rsidRPr="00E4274D">
        <w:t>HYDROCORTISONE MEDOCHEMIE je indikovaný v prípadoch potreby rýchleho a intenzívneho kortikosteroidného účinku:</w:t>
      </w:r>
    </w:p>
    <w:p w14:paraId="13416D8C" w14:textId="77777777" w:rsidR="00937802" w:rsidRPr="00E4274D" w:rsidRDefault="00937802" w:rsidP="00DE3C08">
      <w:pPr>
        <w:pStyle w:val="Normlndoblokusodrkami"/>
      </w:pPr>
      <w:r w:rsidRPr="00E4274D">
        <w:t>Endokrinné poruchy: primárna alebo sekundárna adrenokortikálna insuficiencia (nadobličková nedostatočnosť)</w:t>
      </w:r>
    </w:p>
    <w:p w14:paraId="5014624F" w14:textId="77777777" w:rsidR="00937802" w:rsidRPr="00E4274D" w:rsidRDefault="00937802" w:rsidP="00DE3C08">
      <w:pPr>
        <w:pStyle w:val="Normlndoblokusodrkami"/>
        <w:rPr>
          <w:rStyle w:val="Bacil"/>
        </w:rPr>
      </w:pPr>
      <w:r w:rsidRPr="00E4274D">
        <w:t xml:space="preserve">Kolagénové ochorenia: systémový </w:t>
      </w:r>
      <w:r w:rsidRPr="00E4274D">
        <w:rPr>
          <w:rStyle w:val="Bacil"/>
        </w:rPr>
        <w:t>lupus erythematosus</w:t>
      </w:r>
    </w:p>
    <w:p w14:paraId="390C515C" w14:textId="684CDF3F" w:rsidR="00937802" w:rsidRPr="00E4274D" w:rsidRDefault="00937802" w:rsidP="00DE3C08">
      <w:pPr>
        <w:pStyle w:val="Normlndoblokusodrkami"/>
      </w:pPr>
      <w:r w:rsidRPr="00E4274D">
        <w:t xml:space="preserve">Kožné ochorenia: závažná forma </w:t>
      </w:r>
      <w:r w:rsidRPr="00E4274D">
        <w:rPr>
          <w:rStyle w:val="Bacil"/>
        </w:rPr>
        <w:t>erythema multiforme</w:t>
      </w:r>
      <w:r w:rsidRPr="00E4274D">
        <w:t xml:space="preserve"> a Stevensov-Johnsonov syndróm</w:t>
      </w:r>
    </w:p>
    <w:p w14:paraId="2899F60A" w14:textId="77777777" w:rsidR="00937802" w:rsidRPr="00E4274D" w:rsidRDefault="00937802" w:rsidP="00DE3C08">
      <w:pPr>
        <w:pStyle w:val="Normlndoblokusodrkami"/>
      </w:pPr>
      <w:r w:rsidRPr="00E4274D">
        <w:t>Alergické ochorenia: bronchiálna astma, anafylaktické reakcie</w:t>
      </w:r>
    </w:p>
    <w:p w14:paraId="35809947" w14:textId="77777777" w:rsidR="00937802" w:rsidRPr="00E4274D" w:rsidRDefault="00937802" w:rsidP="00DE3C08">
      <w:pPr>
        <w:pStyle w:val="Normlndoblokusodrkami"/>
      </w:pPr>
      <w:r w:rsidRPr="00E4274D">
        <w:t>Gastrointestinálne ochorenia: ulcerózna kolitída, Crohnova choroba</w:t>
      </w:r>
    </w:p>
    <w:p w14:paraId="218502C0" w14:textId="77777777" w:rsidR="00937802" w:rsidRPr="00E4274D" w:rsidRDefault="00937802" w:rsidP="00DE3C08">
      <w:pPr>
        <w:pStyle w:val="Normlndoblokusodrkami"/>
      </w:pPr>
      <w:r w:rsidRPr="00E4274D">
        <w:t>Respiračné ochorenia: vdýchnutie obsahu žalúdka</w:t>
      </w:r>
    </w:p>
    <w:p w14:paraId="06C73DF2" w14:textId="5B7F3850" w:rsidR="00937802" w:rsidRPr="00E4274D" w:rsidRDefault="00937802" w:rsidP="00DE3C08">
      <w:pPr>
        <w:pStyle w:val="Normlndoblokusodrkami"/>
      </w:pPr>
      <w:r w:rsidRPr="00E4274D">
        <w:t>Akútne stavy: HYDROCORT</w:t>
      </w:r>
      <w:r w:rsidR="00E46B07" w:rsidRPr="00E4274D">
        <w:t>I</w:t>
      </w:r>
      <w:r w:rsidRPr="00E4274D">
        <w:t>SONE MEDOCHEMIE je indikovaný na liečbu sekundárneho šoku pri adrenokortikálnej insuficiencii alebo šoku neodpovedajúceho na štandardnú liečbu, keď môže byť prítomná adrenokortikálna insuficiencia.</w:t>
      </w:r>
    </w:p>
    <w:p w14:paraId="24A01740" w14:textId="77777777" w:rsidR="00937802" w:rsidRPr="00E4274D" w:rsidRDefault="00937802" w:rsidP="006A488B">
      <w:pPr>
        <w:pStyle w:val="Styl2"/>
        <w:rPr>
          <w:lang w:val="sk-SK"/>
        </w:rPr>
      </w:pPr>
      <w:r w:rsidRPr="00E4274D">
        <w:rPr>
          <w:lang w:val="sk-SK"/>
        </w:rPr>
        <w:t>Dávkovanie a spôsob podávania</w:t>
      </w:r>
    </w:p>
    <w:p w14:paraId="2CA8BDC7" w14:textId="77777777" w:rsidR="00937802" w:rsidRPr="00E4274D" w:rsidRDefault="00937802" w:rsidP="00E33B39">
      <w:pPr>
        <w:pStyle w:val="Styl3"/>
      </w:pPr>
      <w:r w:rsidRPr="00E4274D">
        <w:t>Dávkovanie</w:t>
      </w:r>
    </w:p>
    <w:p w14:paraId="69F05952" w14:textId="0A849E97" w:rsidR="00937802" w:rsidRPr="00E4274D" w:rsidRDefault="00937802" w:rsidP="00DE3C08">
      <w:pPr>
        <w:pStyle w:val="Normlndobloku"/>
      </w:pPr>
      <w:r w:rsidRPr="00E4274D">
        <w:t>Výška dávky kolíše od 100 mg do 500 mg v závislosti od závažnosti ochorenia. Podáva sa formou vnútrožilovej injekcie počas 1 až 10 minút. Táto dávka sa môže opakovať v intervaloch 2, 4 alebo 6</w:t>
      </w:r>
      <w:r w:rsidR="009A4C90" w:rsidRPr="00E4274D">
        <w:t> </w:t>
      </w:r>
      <w:r w:rsidRPr="00E4274D">
        <w:t>hodín podľa odpoved</w:t>
      </w:r>
      <w:r w:rsidR="00A367B3">
        <w:t>e</w:t>
      </w:r>
      <w:r w:rsidRPr="00E4274D">
        <w:t xml:space="preserve"> pacienta alebo podľa klinického stavu.</w:t>
      </w:r>
    </w:p>
    <w:p w14:paraId="449F7F12" w14:textId="6A50D03C" w:rsidR="00937802" w:rsidRPr="00E4274D" w:rsidRDefault="00937802" w:rsidP="00DE3C08">
      <w:pPr>
        <w:pStyle w:val="Normlndobloku"/>
      </w:pPr>
      <w:r w:rsidRPr="00E4274D">
        <w:t>Podávanie vysokých dávok kortikosteroidnej liečby</w:t>
      </w:r>
      <w:r w:rsidR="002B5C97" w:rsidRPr="00E4274D">
        <w:t xml:space="preserve"> má</w:t>
      </w:r>
      <w:r w:rsidRPr="00E4274D">
        <w:t xml:space="preserve"> pokrač</w:t>
      </w:r>
      <w:r w:rsidR="002B5C97" w:rsidRPr="00E4274D">
        <w:t>ovať</w:t>
      </w:r>
      <w:r w:rsidRPr="00E4274D">
        <w:t xml:space="preserve">, kým sa pacientov stav nestabilizuje - zvyčajne nie viac ako 48 – 72 hodín. Ak liečba hydrokortizónom </w:t>
      </w:r>
      <w:r w:rsidR="002B5C97" w:rsidRPr="00E4274D">
        <w:t xml:space="preserve">musí </w:t>
      </w:r>
      <w:r w:rsidRPr="00E4274D">
        <w:t>trv</w:t>
      </w:r>
      <w:r w:rsidR="002B5C97" w:rsidRPr="00E4274D">
        <w:t>ať</w:t>
      </w:r>
      <w:r w:rsidRPr="00E4274D">
        <w:t xml:space="preserve"> dlhšie ako 48 – 72 hodín, je možný výskyt hypernatriémie (zvýšeného obsahu sodíka v krvi), preto je potrebné zvážiť nahradenie HYDROCORTISONE MEDOCHEMIE iným kortiko</w:t>
      </w:r>
      <w:r w:rsidR="00CD210A" w:rsidRPr="00E4274D">
        <w:t>stero</w:t>
      </w:r>
      <w:r w:rsidRPr="00E4274D">
        <w:t>idom (napríklad metylprednizolón</w:t>
      </w:r>
      <w:r w:rsidR="002B5C97" w:rsidRPr="00E4274D">
        <w:t>sukcinát</w:t>
      </w:r>
      <w:r w:rsidRPr="00E4274D">
        <w:t>om</w:t>
      </w:r>
      <w:r w:rsidR="002B5C97" w:rsidRPr="00E4274D">
        <w:t xml:space="preserve"> sodným</w:t>
      </w:r>
      <w:r w:rsidRPr="00E4274D">
        <w:t xml:space="preserve">), ktorý spôsobuje </w:t>
      </w:r>
      <w:r w:rsidR="002B5C97" w:rsidRPr="00E4274D">
        <w:t xml:space="preserve">malé alebo žiadne </w:t>
      </w:r>
      <w:r w:rsidRPr="00E4274D">
        <w:t xml:space="preserve">zadržiavanie sodíka. Hoci </w:t>
      </w:r>
      <w:r w:rsidRPr="00E4274D">
        <w:lastRenderedPageBreak/>
        <w:t>nežiaduce účinky sú pri vysokých dávkach krátkodobej liečby kortikosteroidmi zriedkavé, môže sa vyskytnúť peptická ulcerácia. Odporúča sa súčasná profylaktická liečba antacidami.</w:t>
      </w:r>
    </w:p>
    <w:p w14:paraId="35DABF0A" w14:textId="6D898495" w:rsidR="00937802" w:rsidRPr="00E4274D" w:rsidRDefault="00937802" w:rsidP="00DE3C08">
      <w:pPr>
        <w:pStyle w:val="Normlndobloku"/>
      </w:pPr>
      <w:r w:rsidRPr="00E4274D">
        <w:t>U pacientov liečených kortikoidmi, ktorí sú vystavení vysokému stresu, sa</w:t>
      </w:r>
      <w:r w:rsidR="007F3D99" w:rsidRPr="00E4274D">
        <w:t xml:space="preserve"> </w:t>
      </w:r>
      <w:r w:rsidRPr="00E4274D">
        <w:t xml:space="preserve">odporúča </w:t>
      </w:r>
      <w:r w:rsidR="007F3D99" w:rsidRPr="00E4274D">
        <w:t xml:space="preserve">dôsledne </w:t>
      </w:r>
      <w:r w:rsidRPr="00E4274D">
        <w:t xml:space="preserve">sledovať výskyt </w:t>
      </w:r>
      <w:r w:rsidR="007F3D99" w:rsidRPr="00E4274D">
        <w:t xml:space="preserve">prejavov a </w:t>
      </w:r>
      <w:r w:rsidRPr="00E4274D">
        <w:t>príznakov adrenokortikálnej insuficiencie.</w:t>
      </w:r>
    </w:p>
    <w:p w14:paraId="57DE502E" w14:textId="4FB0299C" w:rsidR="00937802" w:rsidRPr="00E4274D" w:rsidRDefault="00937802" w:rsidP="00DE3C08">
      <w:pPr>
        <w:pStyle w:val="Normlndobloku"/>
      </w:pPr>
      <w:r w:rsidRPr="00E4274D">
        <w:t>Liečba kortikoidmi je doplnkom, nie náhradou štandardnej liečby.</w:t>
      </w:r>
    </w:p>
    <w:p w14:paraId="06B6EAE0" w14:textId="77777777" w:rsidR="00937802" w:rsidRPr="00E4274D" w:rsidRDefault="00937802" w:rsidP="00DE3C08">
      <w:pPr>
        <w:pStyle w:val="Normlndobloku"/>
      </w:pPr>
      <w:r w:rsidRPr="00E4274D">
        <w:t>U pacientov s ochorením pečene môže byť zvýšený účinok (pozri časť 4.4), je možné vziať do úvahy zníženie dávkovania.</w:t>
      </w:r>
    </w:p>
    <w:p w14:paraId="325D5803" w14:textId="77777777" w:rsidR="00937802" w:rsidRPr="00E4274D" w:rsidRDefault="00937802" w:rsidP="00E33B39">
      <w:pPr>
        <w:pStyle w:val="Styl3"/>
      </w:pPr>
      <w:r w:rsidRPr="00E4274D">
        <w:t>Starší pacienti</w:t>
      </w:r>
    </w:p>
    <w:p w14:paraId="42062D40" w14:textId="44A58419" w:rsidR="00937802" w:rsidRPr="00E4274D" w:rsidRDefault="00937802" w:rsidP="00DE3C08">
      <w:pPr>
        <w:pStyle w:val="Normlndobloku"/>
      </w:pPr>
      <w:r w:rsidRPr="00E4274D">
        <w:t xml:space="preserve">HYDROCORTISONE MEDOCHEMIE je indikovaný hlavne pre krátkodobé akútne prípady. </w:t>
      </w:r>
      <w:r w:rsidR="002443AE" w:rsidRPr="00E4274D">
        <w:rPr>
          <w:szCs w:val="22"/>
        </w:rPr>
        <w:t>Neexistujú informácie, ktoré by naznačovali, ž</w:t>
      </w:r>
      <w:r w:rsidRPr="00E4274D">
        <w:t xml:space="preserve">e je potrebná úprava dávkovania u starších pacientov. </w:t>
      </w:r>
      <w:r w:rsidR="002443AE" w:rsidRPr="00E4274D">
        <w:t>Liečba starších pacientov  sa však m</w:t>
      </w:r>
      <w:r w:rsidR="00A367B3">
        <w:t>á</w:t>
      </w:r>
      <w:r w:rsidR="002443AE" w:rsidRPr="00E4274D">
        <w:t xml:space="preserve"> plánovať s ohľadom na to, že b</w:t>
      </w:r>
      <w:r w:rsidRPr="00E4274D">
        <w:t xml:space="preserve">ežné nežiaduce účinky kortikosteroidov sú u starších pacientov častejšie a menej tolerované, </w:t>
      </w:r>
      <w:r w:rsidR="002443AE" w:rsidRPr="00E4274D">
        <w:t xml:space="preserve">a </w:t>
      </w:r>
      <w:r w:rsidRPr="00E4274D">
        <w:t>preto sa vyžaduje dôsledné klinické monitorovanie (pozri tiež časť 4.4).</w:t>
      </w:r>
    </w:p>
    <w:p w14:paraId="0202D901" w14:textId="77777777" w:rsidR="00937802" w:rsidRPr="00E4274D" w:rsidRDefault="00937802" w:rsidP="00E33B39">
      <w:pPr>
        <w:pStyle w:val="Styl3"/>
      </w:pPr>
      <w:r w:rsidRPr="00E4274D">
        <w:t>Pediatrická populácia</w:t>
      </w:r>
    </w:p>
    <w:p w14:paraId="424BAC4B" w14:textId="7FC49DB1" w:rsidR="00937802" w:rsidRPr="00E4274D" w:rsidRDefault="00937802" w:rsidP="00DE3C08">
      <w:pPr>
        <w:pStyle w:val="Normlndobloku"/>
      </w:pPr>
      <w:r w:rsidRPr="00E4274D">
        <w:t>Pri dojčatách a deťoch sa môže dávkovanie znížiť, ale je potrebné riadiť sa skôr závažnosťou stavu a</w:t>
      </w:r>
      <w:r w:rsidR="009251C6" w:rsidRPr="00E4274D">
        <w:t> </w:t>
      </w:r>
      <w:r w:rsidRPr="00E4274D">
        <w:t>reakciou pacienta ako vekom či hmotnosťou. Dávka ale nemá byť nižšia ako 25 mg denne (pozri tiež časť 4.4).</w:t>
      </w:r>
    </w:p>
    <w:p w14:paraId="6C1D842D" w14:textId="77777777" w:rsidR="00937802" w:rsidRPr="00E4274D" w:rsidRDefault="00937802" w:rsidP="00E33B39">
      <w:pPr>
        <w:pStyle w:val="Styl3"/>
      </w:pPr>
      <w:r w:rsidRPr="00E4274D">
        <w:t>Spôsob podávania</w:t>
      </w:r>
    </w:p>
    <w:p w14:paraId="50040CC0" w14:textId="6341B645" w:rsidR="00E4274D" w:rsidRPr="00E4274D" w:rsidRDefault="00937802" w:rsidP="00DE3C08">
      <w:pPr>
        <w:pStyle w:val="Normlndobloku"/>
      </w:pPr>
      <w:r w:rsidRPr="00E4274D">
        <w:t xml:space="preserve">HYDROCORTISONE MEDOCHEMIE sa podáva intravenóznou injekciou, intravenóznou infúziou, alebo intramuskulárnou injekciou, preferovanou metódou pre počiatočné núdzové použitie je intravenózna injekcia. Po počiatočnom núdzovom období, je potrebné zvážiť použitie dlhšie pôsobiaceho injekčného </w:t>
      </w:r>
      <w:r w:rsidR="00E373D9">
        <w:t>lieku</w:t>
      </w:r>
      <w:r w:rsidR="00E373D9" w:rsidRPr="00E4274D">
        <w:t xml:space="preserve"> </w:t>
      </w:r>
      <w:r w:rsidRPr="00E4274D">
        <w:t xml:space="preserve">alebo </w:t>
      </w:r>
      <w:r w:rsidR="00C3365F">
        <w:t>per</w:t>
      </w:r>
      <w:r w:rsidRPr="00E4274D">
        <w:t>oráln</w:t>
      </w:r>
      <w:r w:rsidR="00C3365F">
        <w:t>eho</w:t>
      </w:r>
      <w:r w:rsidRPr="00E4274D">
        <w:t xml:space="preserve"> </w:t>
      </w:r>
      <w:r w:rsidR="00C3365F">
        <w:t>lieku</w:t>
      </w:r>
      <w:r w:rsidRPr="00E4274D">
        <w:t>. Pokyny na rekonštitúciu a zriedenie lieku pred podaním, pozri časť 6.6.</w:t>
      </w:r>
    </w:p>
    <w:p w14:paraId="04C46F5B" w14:textId="261A0A26" w:rsidR="00937802" w:rsidRPr="00E4274D" w:rsidRDefault="00937802" w:rsidP="006A488B">
      <w:pPr>
        <w:pStyle w:val="Styl2"/>
        <w:rPr>
          <w:lang w:val="sk-SK"/>
        </w:rPr>
      </w:pPr>
      <w:r w:rsidRPr="00E4274D">
        <w:rPr>
          <w:lang w:val="sk-SK"/>
        </w:rPr>
        <w:t>Kontraindikácie</w:t>
      </w:r>
    </w:p>
    <w:p w14:paraId="7EF0AEDA" w14:textId="6E617B96" w:rsidR="00937802" w:rsidRPr="00E4274D" w:rsidRDefault="00937802" w:rsidP="00DE3C08">
      <w:pPr>
        <w:pStyle w:val="Normlndoblokusodrkami"/>
      </w:pPr>
      <w:r w:rsidRPr="00E4274D">
        <w:t>Precitlivenosť na liečivo alebo na ktorúkoľvek z pomocných látok uvedených v časti 6.1</w:t>
      </w:r>
    </w:p>
    <w:p w14:paraId="7270D542" w14:textId="2CCF0D39" w:rsidR="00937802" w:rsidRPr="00E4274D" w:rsidRDefault="00937802" w:rsidP="00DE3C08">
      <w:pPr>
        <w:pStyle w:val="Normlndoblokusodrkami"/>
      </w:pPr>
      <w:r w:rsidRPr="00E4274D">
        <w:t>Precitlivenosť na akýkoľvek iný liek obsahujúci kortikosteroidy</w:t>
      </w:r>
    </w:p>
    <w:p w14:paraId="6DB22CC0" w14:textId="7B089700" w:rsidR="00937802" w:rsidRPr="00E4274D" w:rsidRDefault="00937802" w:rsidP="00DE3C08">
      <w:pPr>
        <w:pStyle w:val="Normlndoblokusodrkami"/>
      </w:pPr>
      <w:r w:rsidRPr="00E4274D">
        <w:t xml:space="preserve">Systémové </w:t>
      </w:r>
      <w:r w:rsidR="00351B6D" w:rsidRPr="00E4274D">
        <w:t xml:space="preserve">mykotické </w:t>
      </w:r>
      <w:r w:rsidRPr="00E4274D">
        <w:t>infekcie v prípade, ak nie je pacient liečený špecifickou protiinfekčnou liečbou</w:t>
      </w:r>
    </w:p>
    <w:p w14:paraId="676BB19E" w14:textId="1395CDB8" w:rsidR="00937802" w:rsidRPr="00E4274D" w:rsidRDefault="00937802" w:rsidP="00DE3C08">
      <w:pPr>
        <w:pStyle w:val="Normlndoblokusodrkami"/>
      </w:pPr>
      <w:r w:rsidRPr="00E4274D">
        <w:t>Podanie živých alebo živých atenuovaných vakcín u pacientov liečených imunosupresívnymi dávkami kortikosteroidov</w:t>
      </w:r>
    </w:p>
    <w:p w14:paraId="2989DB95" w14:textId="7501C2EA" w:rsidR="00937802" w:rsidRPr="006C4A99" w:rsidRDefault="00937802" w:rsidP="006A488B">
      <w:pPr>
        <w:pStyle w:val="Styl2"/>
        <w:rPr>
          <w:lang w:val="sk-SK"/>
        </w:rPr>
      </w:pPr>
      <w:r w:rsidRPr="000F5785">
        <w:rPr>
          <w:lang w:val="sk-SK"/>
        </w:rPr>
        <w:t>Osobitné upozornenia a opatrenia pri používaní</w:t>
      </w:r>
    </w:p>
    <w:p w14:paraId="28B9AD29" w14:textId="03D5292A" w:rsidR="00937802" w:rsidRPr="000041F4" w:rsidRDefault="003F266D" w:rsidP="00E33B39">
      <w:pPr>
        <w:pStyle w:val="Styl3"/>
      </w:pPr>
      <w:r w:rsidRPr="00F57B0A">
        <w:t>U</w:t>
      </w:r>
      <w:r w:rsidR="00937802" w:rsidRPr="006D0F8A">
        <w:t>pozornenia</w:t>
      </w:r>
      <w:r w:rsidRPr="006D0F8A">
        <w:t xml:space="preserve"> a opatrenia</w:t>
      </w:r>
    </w:p>
    <w:p w14:paraId="612BBCA9" w14:textId="4AC9C75D" w:rsidR="00937802" w:rsidRPr="000F5785" w:rsidRDefault="00310D81" w:rsidP="00DE3C08">
      <w:pPr>
        <w:pStyle w:val="Normlndobloku"/>
      </w:pPr>
      <w:r w:rsidRPr="000F5785">
        <w:t>1</w:t>
      </w:r>
      <w:r w:rsidR="0001783F" w:rsidRPr="000F5785">
        <w:t>.</w:t>
      </w:r>
      <w:r w:rsidR="00323CBB" w:rsidRPr="000F5785">
        <w:t xml:space="preserve"> </w:t>
      </w:r>
      <w:r w:rsidR="00937802" w:rsidRPr="000F5785">
        <w:t>Nežiaduce účinky možno minimalizovať pri užívaní najnižších účinných dávok počas čo najkratšieho obdobia. Je potrebné pozorne sledovať pacienta pre vhodnú titráciu dávky s ohľadom na priebeh ochorenia (pozri tiež časť 4.2).</w:t>
      </w:r>
    </w:p>
    <w:p w14:paraId="65F191CF" w14:textId="159E8117" w:rsidR="009A4C90" w:rsidRPr="006D0F8A" w:rsidRDefault="00837EBA" w:rsidP="00DE3C08">
      <w:pPr>
        <w:pStyle w:val="Normlndobloku"/>
      </w:pPr>
      <w:r w:rsidRPr="000F5785">
        <w:t>2</w:t>
      </w:r>
      <w:r w:rsidR="0001783F" w:rsidRPr="000F5785">
        <w:t>.</w:t>
      </w:r>
      <w:r w:rsidR="009A4C90" w:rsidRPr="000F5785">
        <w:t xml:space="preserve"> Adrenálna kortikálna atrofia sa vyvíja počas dlhodobej liečby a môže pretrvávať niekoľko mesiacov po ukončení liečby. U</w:t>
      </w:r>
      <w:r w:rsidR="00BE2B68" w:rsidRPr="000F5785">
        <w:t> </w:t>
      </w:r>
      <w:r w:rsidR="009A4C90" w:rsidRPr="000F5785">
        <w:t>pacientov, ktorí dostávali v</w:t>
      </w:r>
      <w:r w:rsidR="00F05DE2" w:rsidRPr="000F5785">
        <w:t>yššie</w:t>
      </w:r>
      <w:r w:rsidR="009A4C90" w:rsidRPr="000F5785">
        <w:t xml:space="preserve"> ako fyziologické dávky systémových kortikosteroidov (približne 30</w:t>
      </w:r>
      <w:r w:rsidR="00BE2B68" w:rsidRPr="000F5785">
        <w:t> </w:t>
      </w:r>
      <w:r w:rsidR="009A4C90" w:rsidRPr="000F5785">
        <w:t xml:space="preserve">mg hydrokortizónu) dlhšie ako 3 týždne, </w:t>
      </w:r>
      <w:r w:rsidRPr="000F5785">
        <w:t>nesmie byť</w:t>
      </w:r>
      <w:r w:rsidR="009A4C90" w:rsidRPr="000F5785">
        <w:t xml:space="preserve"> ukončenie liečby  náhle.</w:t>
      </w:r>
      <w:r w:rsidR="00940D8E" w:rsidRPr="000F5785">
        <w:t xml:space="preserve"> Ako znižovať dávku </w:t>
      </w:r>
      <w:r w:rsidR="009A4C90" w:rsidRPr="000F5785">
        <w:t>závisí vo veľkej miere od toho, či</w:t>
      </w:r>
      <w:r w:rsidR="00940D8E" w:rsidRPr="000F5785">
        <w:t xml:space="preserve"> </w:t>
      </w:r>
      <w:r w:rsidR="009A4C90" w:rsidRPr="000F5785">
        <w:t>ochorenie pravdepodobne relapsuje, keď sa zníži dávka systémových kortikosteroidov.</w:t>
      </w:r>
      <w:r w:rsidR="00940D8E" w:rsidRPr="000F5785">
        <w:t xml:space="preserve"> Počas vysadzovania môže byť potrebné </w:t>
      </w:r>
      <w:r w:rsidR="009A4C90" w:rsidRPr="000F5785">
        <w:t>hodnotenie aktivity ochorenia</w:t>
      </w:r>
      <w:r w:rsidR="00940D8E" w:rsidRPr="000F5785">
        <w:t>. Ak je nepravdepodobné</w:t>
      </w:r>
      <w:r w:rsidR="009A4C90" w:rsidRPr="000F5785">
        <w:t xml:space="preserve">, že </w:t>
      </w:r>
      <w:r w:rsidR="00B24C85" w:rsidRPr="000F5785">
        <w:t xml:space="preserve">sa </w:t>
      </w:r>
      <w:r w:rsidR="009A4C90" w:rsidRPr="000F5785">
        <w:t xml:space="preserve">ochorenie </w:t>
      </w:r>
      <w:r w:rsidR="00B24C85" w:rsidRPr="000F5785">
        <w:t xml:space="preserve">po vysadení </w:t>
      </w:r>
      <w:r w:rsidR="009A4C90" w:rsidRPr="000F5785">
        <w:t>systémových kortikosteroidov</w:t>
      </w:r>
      <w:r w:rsidR="00B24C85" w:rsidRPr="000F5785">
        <w:t xml:space="preserve"> vráti</w:t>
      </w:r>
      <w:r w:rsidR="009A4C90" w:rsidRPr="000F5785">
        <w:t>,</w:t>
      </w:r>
      <w:r w:rsidR="00B24C85" w:rsidRPr="000F5785">
        <w:t xml:space="preserve"> </w:t>
      </w:r>
      <w:r w:rsidR="009A4C90" w:rsidRPr="000F5785">
        <w:t>ale existuje neistota o potlačovaní HPA, systémov</w:t>
      </w:r>
      <w:r w:rsidR="00B24C85" w:rsidRPr="000F5785">
        <w:t xml:space="preserve">é dávky </w:t>
      </w:r>
      <w:r w:rsidR="009A4C90" w:rsidRPr="000F5785">
        <w:t>kortikosteroid</w:t>
      </w:r>
      <w:r w:rsidR="00B24C85" w:rsidRPr="000F5785">
        <w:t>u</w:t>
      </w:r>
      <w:r w:rsidR="009A4C90" w:rsidRPr="000F5785">
        <w:t xml:space="preserve"> sa </w:t>
      </w:r>
      <w:r w:rsidR="009A4C90" w:rsidRPr="000F5785">
        <w:rPr>
          <w:u w:val="single"/>
        </w:rPr>
        <w:t>môž</w:t>
      </w:r>
      <w:r w:rsidR="00B24C85" w:rsidRPr="000F5785">
        <w:rPr>
          <w:u w:val="single"/>
        </w:rPr>
        <w:t>u</w:t>
      </w:r>
      <w:r w:rsidR="009A4C90" w:rsidRPr="000F5785">
        <w:t xml:space="preserve"> rýchlo zredukovať na fyziologické dávky. </w:t>
      </w:r>
      <w:r w:rsidR="0011511F" w:rsidRPr="000F5785">
        <w:t>Keď</w:t>
      </w:r>
      <w:r w:rsidR="00B24C85" w:rsidRPr="000F5785">
        <w:t xml:space="preserve"> sa dosiahne dávka </w:t>
      </w:r>
      <w:r w:rsidR="009A4C90" w:rsidRPr="000F5785">
        <w:t>30</w:t>
      </w:r>
      <w:r w:rsidR="00BE2B68" w:rsidRPr="000F5785">
        <w:t> </w:t>
      </w:r>
      <w:r w:rsidR="009A4C90" w:rsidRPr="000F5785">
        <w:t>mg hydrokortizónu</w:t>
      </w:r>
      <w:r w:rsidR="00B24C85" w:rsidRPr="000F5785">
        <w:t xml:space="preserve"> raz za deň, </w:t>
      </w:r>
      <w:r w:rsidR="009A4C90" w:rsidRPr="000F5785">
        <w:t>zn</w:t>
      </w:r>
      <w:r w:rsidR="00B24C85" w:rsidRPr="000F5785">
        <w:t>i</w:t>
      </w:r>
      <w:r w:rsidR="009A4C90" w:rsidRPr="000F5785">
        <w:t>ž</w:t>
      </w:r>
      <w:r w:rsidR="00B24C85" w:rsidRPr="000F5785">
        <w:t xml:space="preserve">ovanie </w:t>
      </w:r>
      <w:r w:rsidR="009A4C90" w:rsidRPr="000F5785">
        <w:t>dávky  m</w:t>
      </w:r>
      <w:r w:rsidR="00D5466E" w:rsidRPr="000F5785">
        <w:t>á</w:t>
      </w:r>
      <w:r w:rsidR="009A4C90" w:rsidRPr="000F5785">
        <w:t xml:space="preserve"> byť pomalšie</w:t>
      </w:r>
      <w:r w:rsidR="00221C76">
        <w:t>,</w:t>
      </w:r>
      <w:r w:rsidR="00B24C85" w:rsidRPr="00221C76">
        <w:t xml:space="preserve"> </w:t>
      </w:r>
      <w:r w:rsidR="000D1C18" w:rsidRPr="00637CFA">
        <w:t>aby sa umožnila</w:t>
      </w:r>
      <w:r w:rsidR="00B24C85" w:rsidRPr="00637CFA">
        <w:t xml:space="preserve"> obnov</w:t>
      </w:r>
      <w:r w:rsidR="004E1B8A" w:rsidRPr="00637CFA">
        <w:t>a</w:t>
      </w:r>
      <w:r w:rsidR="00B24C85" w:rsidRPr="00637CFA">
        <w:t xml:space="preserve"> </w:t>
      </w:r>
      <w:r w:rsidR="009A4C90" w:rsidRPr="00F57B0A">
        <w:t xml:space="preserve">HPA </w:t>
      </w:r>
      <w:r w:rsidR="00B24C85" w:rsidRPr="006D0F8A">
        <w:t>osi.</w:t>
      </w:r>
    </w:p>
    <w:p w14:paraId="7F739A0C" w14:textId="587785FD" w:rsidR="009A4C90" w:rsidRPr="000F5785" w:rsidRDefault="009A4C90" w:rsidP="00DE3C08">
      <w:pPr>
        <w:pStyle w:val="Normlndobloku"/>
      </w:pPr>
      <w:r w:rsidRPr="000F5785">
        <w:t>Náhle vysadenie systémovej liečby kortikosteroidmi, ktor</w:t>
      </w:r>
      <w:r w:rsidR="001D6349" w:rsidRPr="000F5785">
        <w:t>á</w:t>
      </w:r>
      <w:r w:rsidRPr="000F5785">
        <w:t xml:space="preserve"> </w:t>
      </w:r>
      <w:r w:rsidR="00EC10C9" w:rsidRPr="000F5785">
        <w:t>trvala</w:t>
      </w:r>
      <w:r w:rsidR="00B24C85" w:rsidRPr="000F5785">
        <w:t xml:space="preserve"> </w:t>
      </w:r>
      <w:r w:rsidR="001D6349" w:rsidRPr="000F5785">
        <w:t>do</w:t>
      </w:r>
      <w:r w:rsidRPr="000F5785">
        <w:t xml:space="preserve"> 3 týžd</w:t>
      </w:r>
      <w:r w:rsidR="001D6349" w:rsidRPr="000F5785">
        <w:t>ňov</w:t>
      </w:r>
      <w:r w:rsidRPr="000F5785">
        <w:t xml:space="preserve"> je </w:t>
      </w:r>
      <w:r w:rsidR="00B24C85" w:rsidRPr="000F5785">
        <w:t>vhodné</w:t>
      </w:r>
      <w:r w:rsidRPr="000F5785">
        <w:t xml:space="preserve">, ak sa </w:t>
      </w:r>
      <w:r w:rsidR="00BE2B68" w:rsidRPr="000F5785">
        <w:t>predpokladá</w:t>
      </w:r>
      <w:r w:rsidR="00B24C85" w:rsidRPr="000F5785">
        <w:t xml:space="preserve">, </w:t>
      </w:r>
      <w:r w:rsidRPr="000F5785">
        <w:t xml:space="preserve">že </w:t>
      </w:r>
      <w:r w:rsidR="00B24C85" w:rsidRPr="000F5785">
        <w:t xml:space="preserve">relaps </w:t>
      </w:r>
      <w:r w:rsidRPr="000F5785">
        <w:t>choro</w:t>
      </w:r>
      <w:r w:rsidR="00B24C85" w:rsidRPr="000F5785">
        <w:t xml:space="preserve">by </w:t>
      </w:r>
      <w:r w:rsidRPr="000F5785">
        <w:t>je nepravdepodobn</w:t>
      </w:r>
      <w:r w:rsidR="00B24C85" w:rsidRPr="000F5785">
        <w:t>ý</w:t>
      </w:r>
      <w:r w:rsidRPr="000F5785">
        <w:t xml:space="preserve">. </w:t>
      </w:r>
      <w:r w:rsidR="004E1B8A" w:rsidRPr="000F5785">
        <w:t>Pri</w:t>
      </w:r>
      <w:r w:rsidR="00B24C85" w:rsidRPr="006C4A99">
        <w:t xml:space="preserve"> n</w:t>
      </w:r>
      <w:r w:rsidRPr="006C4A99">
        <w:t>áhl</w:t>
      </w:r>
      <w:r w:rsidR="004E1B8A" w:rsidRPr="0063612D">
        <w:t>om</w:t>
      </w:r>
      <w:r w:rsidRPr="00C3365F">
        <w:t xml:space="preserve"> vysaden</w:t>
      </w:r>
      <w:r w:rsidR="001D6349" w:rsidRPr="00C3365F">
        <w:t>í</w:t>
      </w:r>
      <w:r w:rsidRPr="00221C76">
        <w:t xml:space="preserve"> dávok do 160 mg </w:t>
      </w:r>
      <w:r w:rsidRPr="00221C76">
        <w:lastRenderedPageBreak/>
        <w:t>hydrokortizónu počas 3 týždňov</w:t>
      </w:r>
      <w:r w:rsidR="00B24C85" w:rsidRPr="00F57B0A">
        <w:t xml:space="preserve"> </w:t>
      </w:r>
      <w:r w:rsidRPr="000041F4">
        <w:t xml:space="preserve">je </w:t>
      </w:r>
      <w:r w:rsidR="00B24C85" w:rsidRPr="000F5785">
        <w:t>u</w:t>
      </w:r>
      <w:r w:rsidR="00C129AB" w:rsidRPr="000F5785">
        <w:t xml:space="preserve"> väčšiny</w:t>
      </w:r>
      <w:r w:rsidR="00B24C85" w:rsidRPr="000F5785">
        <w:t xml:space="preserve"> pacientov</w:t>
      </w:r>
      <w:r w:rsidRPr="000F5785">
        <w:t xml:space="preserve"> </w:t>
      </w:r>
      <w:r w:rsidR="00C129AB" w:rsidRPr="000F5785">
        <w:t xml:space="preserve">nepravdepodobné, že by </w:t>
      </w:r>
      <w:r w:rsidRPr="000F5785">
        <w:t>viedlo k</w:t>
      </w:r>
      <w:r w:rsidR="0076748B" w:rsidRPr="000F5785">
        <w:t>u</w:t>
      </w:r>
      <w:r w:rsidRPr="000F5785">
        <w:t xml:space="preserve"> klinicky významnému potlačeniu HPA</w:t>
      </w:r>
      <w:r w:rsidR="00B24C85" w:rsidRPr="000F5785">
        <w:t xml:space="preserve"> osi</w:t>
      </w:r>
      <w:r w:rsidR="00BE2B68" w:rsidRPr="000F5785">
        <w:t>. V </w:t>
      </w:r>
      <w:r w:rsidRPr="000F5785">
        <w:t xml:space="preserve">nasledujúcich skupinách pacientov </w:t>
      </w:r>
      <w:r w:rsidR="00BB588D" w:rsidRPr="000F5785">
        <w:t>sa m</w:t>
      </w:r>
      <w:r w:rsidR="00A74680" w:rsidRPr="000F5785">
        <w:t>á</w:t>
      </w:r>
      <w:r w:rsidR="00BB588D" w:rsidRPr="000F5785">
        <w:t xml:space="preserve"> </w:t>
      </w:r>
      <w:r w:rsidR="00BB588D" w:rsidRPr="000F5785">
        <w:rPr>
          <w:b/>
        </w:rPr>
        <w:t>zvážiť</w:t>
      </w:r>
      <w:r w:rsidR="00BB588D" w:rsidRPr="000F5785">
        <w:t xml:space="preserve"> </w:t>
      </w:r>
      <w:r w:rsidRPr="000F5785">
        <w:t>postupné ukončenie systémovej liečby</w:t>
      </w:r>
      <w:r w:rsidR="00B24C85" w:rsidRPr="000F5785">
        <w:t xml:space="preserve"> </w:t>
      </w:r>
      <w:r w:rsidRPr="000F5785">
        <w:t xml:space="preserve">kortikosteroidmi aj </w:t>
      </w:r>
      <w:r w:rsidR="00E902AE" w:rsidRPr="000F5785">
        <w:t>ak liečba</w:t>
      </w:r>
      <w:r w:rsidRPr="000F5785">
        <w:t xml:space="preserve"> trva</w:t>
      </w:r>
      <w:r w:rsidR="00E902AE" w:rsidRPr="000F5785">
        <w:t>la</w:t>
      </w:r>
      <w:r w:rsidRPr="000F5785">
        <w:t xml:space="preserve"> 3</w:t>
      </w:r>
      <w:r w:rsidR="00BB588D" w:rsidRPr="000F5785">
        <w:t xml:space="preserve"> </w:t>
      </w:r>
      <w:r w:rsidRPr="000F5785">
        <w:t>týžd</w:t>
      </w:r>
      <w:r w:rsidR="00BB588D" w:rsidRPr="000F5785">
        <w:t xml:space="preserve">ne </w:t>
      </w:r>
      <w:r w:rsidRPr="000F5785">
        <w:t>alebo menej:</w:t>
      </w:r>
    </w:p>
    <w:p w14:paraId="10E9B520" w14:textId="589CF70E" w:rsidR="009A4C90" w:rsidRPr="000F5785" w:rsidRDefault="009A4C90" w:rsidP="00DE3C08">
      <w:pPr>
        <w:pStyle w:val="Normlndoblokusodrkami"/>
      </w:pPr>
      <w:r w:rsidRPr="000F5785">
        <w:t xml:space="preserve">Pacienti, ktorí opakovane absolvovali </w:t>
      </w:r>
      <w:r w:rsidR="00323CBB" w:rsidRPr="000F5785">
        <w:t xml:space="preserve">liečbu </w:t>
      </w:r>
      <w:r w:rsidRPr="000F5785">
        <w:t>systémový</w:t>
      </w:r>
      <w:r w:rsidR="00323CBB" w:rsidRPr="000F5785">
        <w:t xml:space="preserve">mi </w:t>
      </w:r>
      <w:r w:rsidRPr="000F5785">
        <w:t>kortikosteroid</w:t>
      </w:r>
      <w:r w:rsidR="00323CBB" w:rsidRPr="000F5785">
        <w:t>mi</w:t>
      </w:r>
      <w:r w:rsidRPr="000F5785">
        <w:t>,</w:t>
      </w:r>
      <w:r w:rsidR="00323CBB" w:rsidRPr="000F5785">
        <w:t xml:space="preserve"> </w:t>
      </w:r>
      <w:r w:rsidRPr="000F5785">
        <w:t xml:space="preserve">najmä ak </w:t>
      </w:r>
      <w:r w:rsidR="00323CBB" w:rsidRPr="000F5785">
        <w:t xml:space="preserve">trvala </w:t>
      </w:r>
      <w:r w:rsidRPr="000F5785">
        <w:t>dlhšie ako 3 týždne.</w:t>
      </w:r>
    </w:p>
    <w:p w14:paraId="70D63C5A" w14:textId="46B769A2" w:rsidR="009A4C90" w:rsidRPr="000F5785" w:rsidRDefault="009A4C90" w:rsidP="00DE3C08">
      <w:pPr>
        <w:pStyle w:val="Normlndoblokusodrkami"/>
      </w:pPr>
      <w:r w:rsidRPr="000F5785">
        <w:t>Ak bol</w:t>
      </w:r>
      <w:r w:rsidR="00323CBB" w:rsidRPr="000F5785">
        <w:t>a</w:t>
      </w:r>
      <w:r w:rsidRPr="000F5785">
        <w:t xml:space="preserve"> krátk</w:t>
      </w:r>
      <w:r w:rsidR="00323CBB" w:rsidRPr="000F5785">
        <w:t>a liečba p</w:t>
      </w:r>
      <w:r w:rsidRPr="000F5785">
        <w:t>redpísan</w:t>
      </w:r>
      <w:r w:rsidR="00323CBB" w:rsidRPr="000F5785">
        <w:t>á</w:t>
      </w:r>
      <w:r w:rsidRPr="000F5785">
        <w:t xml:space="preserve"> do jedného roka od ukončenia </w:t>
      </w:r>
      <w:r w:rsidR="00323CBB" w:rsidRPr="000F5785">
        <w:t>d</w:t>
      </w:r>
      <w:r w:rsidRPr="000F5785">
        <w:t>lhodob</w:t>
      </w:r>
      <w:r w:rsidR="00323CBB" w:rsidRPr="000F5785">
        <w:t xml:space="preserve">ej </w:t>
      </w:r>
      <w:r w:rsidRPr="000F5785">
        <w:t>terapi</w:t>
      </w:r>
      <w:r w:rsidR="00323CBB" w:rsidRPr="000F5785">
        <w:t>e</w:t>
      </w:r>
      <w:r w:rsidRPr="000F5785">
        <w:t xml:space="preserve"> (mesiace alebo roky).</w:t>
      </w:r>
    </w:p>
    <w:p w14:paraId="65D63D95" w14:textId="77777777" w:rsidR="009A4C90" w:rsidRPr="000F5785" w:rsidRDefault="009A4C90" w:rsidP="00DE3C08">
      <w:pPr>
        <w:pStyle w:val="Normlndoblokusodrkami"/>
      </w:pPr>
      <w:r w:rsidRPr="000F5785">
        <w:t>Pacienti, ktorí môžu mať iné príčiny adrenokortikálnej nedostatočnosti</w:t>
      </w:r>
      <w:r w:rsidR="00323CBB" w:rsidRPr="000F5785">
        <w:t xml:space="preserve"> ako </w:t>
      </w:r>
      <w:r w:rsidRPr="000F5785">
        <w:t>exogénn</w:t>
      </w:r>
      <w:r w:rsidR="00323CBB" w:rsidRPr="000F5785">
        <w:t xml:space="preserve">a liečba </w:t>
      </w:r>
      <w:r w:rsidRPr="000F5785">
        <w:t>kortikosteroidmi.</w:t>
      </w:r>
    </w:p>
    <w:p w14:paraId="670564C1" w14:textId="15AC075B" w:rsidR="009A4C90" w:rsidRPr="00086C86" w:rsidRDefault="009A4C90" w:rsidP="00DE3C08">
      <w:pPr>
        <w:pStyle w:val="Normlndoblokusodrkami"/>
      </w:pPr>
      <w:r w:rsidRPr="000F5785">
        <w:t xml:space="preserve">Pacienti dostávajúci dávky </w:t>
      </w:r>
      <w:r w:rsidRPr="00863BCD">
        <w:t>systémových kortikosteroidov vyšš</w:t>
      </w:r>
      <w:r w:rsidR="00323CBB" w:rsidRPr="00863BCD">
        <w:t xml:space="preserve">ie </w:t>
      </w:r>
      <w:r w:rsidR="00BE2B68" w:rsidRPr="00863BCD">
        <w:t>ako 160 </w:t>
      </w:r>
      <w:r w:rsidRPr="00863BCD">
        <w:t>mg</w:t>
      </w:r>
      <w:r w:rsidR="00323CBB" w:rsidRPr="00863BCD">
        <w:t xml:space="preserve"> </w:t>
      </w:r>
      <w:r w:rsidRPr="00863BCD">
        <w:t>hydro</w:t>
      </w:r>
      <w:r w:rsidR="00323CBB" w:rsidRPr="00863BCD">
        <w:t>kortizónu</w:t>
      </w:r>
    </w:p>
    <w:p w14:paraId="54F721F8" w14:textId="77777777" w:rsidR="009A4C90" w:rsidRPr="000041F4" w:rsidRDefault="009A4C90" w:rsidP="00DE3C08">
      <w:pPr>
        <w:pStyle w:val="Normlndoblokusodrkami"/>
      </w:pPr>
      <w:r w:rsidRPr="00F57B0A">
        <w:t>Pacienti opakovane užívajúci dávky večer</w:t>
      </w:r>
    </w:p>
    <w:p w14:paraId="27DF097A" w14:textId="7C5C1DD0" w:rsidR="009A4C90" w:rsidRPr="000F5785" w:rsidRDefault="00E8015C" w:rsidP="00DE3C08">
      <w:pPr>
        <w:pStyle w:val="Normlndobloku"/>
      </w:pPr>
      <w:r w:rsidRPr="000F5785">
        <w:t>3</w:t>
      </w:r>
      <w:r w:rsidR="0001783F" w:rsidRPr="000F5785">
        <w:t>.</w:t>
      </w:r>
      <w:r w:rsidR="00323CBB" w:rsidRPr="000F5785">
        <w:t xml:space="preserve"> Pacienti majú nosiť kartu "Steroidová liečba", ktorá poskytuj</w:t>
      </w:r>
      <w:r w:rsidR="00E94799" w:rsidRPr="000F5785">
        <w:t>e</w:t>
      </w:r>
      <w:r w:rsidR="00323CBB" w:rsidRPr="000F5785">
        <w:t xml:space="preserve"> jasné pokyny o opatreniach, ktoré treba prijať, aby sa minimalizovalo riziko a ktorá poskytuje podrobné informácie o ošetrujúcom lekárovi, lieku, dávkovaní a trvaní liečby.</w:t>
      </w:r>
    </w:p>
    <w:p w14:paraId="327B53C1" w14:textId="74F0ABC5" w:rsidR="00323CBB" w:rsidRPr="000F5785" w:rsidRDefault="00E8015C" w:rsidP="00DE3C08">
      <w:pPr>
        <w:pStyle w:val="Normlndobloku"/>
      </w:pPr>
      <w:r w:rsidRPr="000F5785">
        <w:t>4</w:t>
      </w:r>
      <w:r w:rsidR="0001783F" w:rsidRPr="000F5785">
        <w:t>.</w:t>
      </w:r>
      <w:r w:rsidR="00323CBB" w:rsidRPr="000F5785">
        <w:t xml:space="preserve"> Kortikosteroidy môžu maskovať niektoré prejavy infekcií a počas ich užívania sa môžu objaviť nové infekcie. </w:t>
      </w:r>
      <w:r w:rsidR="00E94799" w:rsidRPr="000F5785">
        <w:t>Potlačenie</w:t>
      </w:r>
      <w:r w:rsidR="00323CBB" w:rsidRPr="000F5785">
        <w:t xml:space="preserve"> zápalov</w:t>
      </w:r>
      <w:r w:rsidR="00E94799" w:rsidRPr="000F5785">
        <w:t>ej</w:t>
      </w:r>
      <w:r w:rsidR="00323CBB" w:rsidRPr="000F5785">
        <w:t xml:space="preserve"> odpove</w:t>
      </w:r>
      <w:r w:rsidR="00E94799" w:rsidRPr="000F5785">
        <w:t>de</w:t>
      </w:r>
      <w:r w:rsidR="00323CBB" w:rsidRPr="000F5785">
        <w:t xml:space="preserve"> organizmu a </w:t>
      </w:r>
      <w:r w:rsidR="00E94799" w:rsidRPr="000F5785">
        <w:t xml:space="preserve">imunitnej </w:t>
      </w:r>
      <w:r w:rsidR="00323CBB" w:rsidRPr="000F5785">
        <w:t>funkcie zvyšuj</w:t>
      </w:r>
      <w:r w:rsidR="00E94799" w:rsidRPr="000F5785">
        <w:t>e</w:t>
      </w:r>
      <w:r w:rsidR="00323CBB" w:rsidRPr="000F5785">
        <w:t xml:space="preserve"> citlivosť na mykotické, vírusové a bakteriálne infekcie a ich závažnosť. Klinické prejavy môžu byť často atypické a infekcie sa môžu dostať do pokročilého štádia skôr ako sú diagnostikované.</w:t>
      </w:r>
    </w:p>
    <w:p w14:paraId="4048E310" w14:textId="0EF396F4" w:rsidR="00323CBB" w:rsidRPr="000F5785" w:rsidRDefault="00E8015C" w:rsidP="00DE3C08">
      <w:pPr>
        <w:pStyle w:val="Normlndobloku"/>
      </w:pPr>
      <w:r w:rsidRPr="000F5785">
        <w:t>5</w:t>
      </w:r>
      <w:r w:rsidR="0001783F" w:rsidRPr="000F5785">
        <w:t>.</w:t>
      </w:r>
      <w:r w:rsidR="00323CBB" w:rsidRPr="000F5785">
        <w:t xml:space="preserve"> </w:t>
      </w:r>
      <w:r w:rsidR="00652EC3" w:rsidRPr="000F5785">
        <w:t>Normálne menej závažné ochorenie o</w:t>
      </w:r>
      <w:r w:rsidR="00323CBB" w:rsidRPr="000F5785">
        <w:t xml:space="preserve">včie kiahne </w:t>
      </w:r>
      <w:r w:rsidR="00652EC3" w:rsidRPr="000F5785">
        <w:t xml:space="preserve">môže </w:t>
      </w:r>
      <w:r w:rsidR="00323CBB" w:rsidRPr="000F5785">
        <w:t>mať u</w:t>
      </w:r>
      <w:r w:rsidR="00652EC3" w:rsidRPr="000F5785">
        <w:t xml:space="preserve"> imunosupresívnych</w:t>
      </w:r>
      <w:r w:rsidR="00323CBB" w:rsidRPr="000F5785">
        <w:t xml:space="preserve"> pacientov smrteľný priebeh. Pacienti (alebo rodičia detí), ktorí neprekonali ovčie kiahne,  sa m</w:t>
      </w:r>
      <w:r w:rsidR="003A20AB">
        <w:t>a</w:t>
      </w:r>
      <w:r w:rsidR="00640889" w:rsidRPr="000F5785">
        <w:t>jú</w:t>
      </w:r>
      <w:r w:rsidR="00323CBB" w:rsidRPr="000F5785">
        <w:t xml:space="preserve"> vyhnúť úzkemu kontaktu s osobami infikovanými vírusom ovčích kiahní alebo pásovým oparom (herpes zoster) a pokiaľ prídu do kontaktu s takýmito osobami, m</w:t>
      </w:r>
      <w:r w:rsidR="00640889" w:rsidRPr="000F5785">
        <w:t>jú</w:t>
      </w:r>
      <w:r w:rsidR="00323CBB" w:rsidRPr="000F5785">
        <w:t xml:space="preserve"> okamžite vyhľadať lekársku pomoc. U</w:t>
      </w:r>
      <w:r w:rsidR="009F10D2" w:rsidRPr="000F5785">
        <w:t> </w:t>
      </w:r>
      <w:r w:rsidR="00323CBB" w:rsidRPr="000F5785">
        <w:t xml:space="preserve">exponovaných neimúnnych pacientov, ktorý dostávajú </w:t>
      </w:r>
      <w:r w:rsidR="00B01907" w:rsidRPr="000F5785">
        <w:t xml:space="preserve">systémové </w:t>
      </w:r>
      <w:r w:rsidR="00323CBB" w:rsidRPr="000F5785">
        <w:t>kortikosteroidy alebo ich užívali počas predchádzajúcich troch mesiacov, je potrebná pasívna imunizácia imunoglobulínom proti varicella</w:t>
      </w:r>
      <w:r w:rsidR="002458C2" w:rsidRPr="000F5785">
        <w:t>/</w:t>
      </w:r>
      <w:r w:rsidR="00323CBB" w:rsidRPr="000F5785">
        <w:t>zoster (</w:t>
      </w:r>
      <w:r w:rsidR="002458C2" w:rsidRPr="000F5785">
        <w:t xml:space="preserve">varicella/zoster immunoglobin, </w:t>
      </w:r>
      <w:r w:rsidR="00323CBB" w:rsidRPr="000F5785">
        <w:t>VZIG) v lehote do 10 dní od expozície ovčím kiahňam. Ak sa diagnóza ovčích kiahní potvrdí, potom si ochorenie vyžaduje špeciálnu starostlivosť a</w:t>
      </w:r>
      <w:r w:rsidR="009F10D2" w:rsidRPr="000F5785">
        <w:t> </w:t>
      </w:r>
      <w:r w:rsidR="00323CBB" w:rsidRPr="000F5785">
        <w:t>akútnu liečbu. Podávanie kortikosteroidov sa nemá prerušiť a možno bude potrebné zvýšiť ich dávkovanie.</w:t>
      </w:r>
    </w:p>
    <w:p w14:paraId="473BAF62" w14:textId="139971C7" w:rsidR="009A4C90" w:rsidRPr="000F5785" w:rsidRDefault="00640889" w:rsidP="00DE3C08">
      <w:pPr>
        <w:pStyle w:val="Normlndobloku"/>
      </w:pPr>
      <w:r w:rsidRPr="000F5785">
        <w:t>6</w:t>
      </w:r>
      <w:r w:rsidR="0001783F" w:rsidRPr="000F5785">
        <w:t>.</w:t>
      </w:r>
      <w:r w:rsidR="00321B66" w:rsidRPr="000F5785">
        <w:t xml:space="preserve"> </w:t>
      </w:r>
      <w:r w:rsidR="004C4824" w:rsidRPr="000F5785">
        <w:t>Je potrebné v</w:t>
      </w:r>
      <w:r w:rsidR="00321B66" w:rsidRPr="000F5785">
        <w:t xml:space="preserve">yhnúť sa kontaktu s osýpkami. </w:t>
      </w:r>
      <w:r w:rsidR="006A3E8E" w:rsidRPr="000F5785">
        <w:t>Je potrebné</w:t>
      </w:r>
      <w:r w:rsidR="00321B66" w:rsidRPr="000F5785">
        <w:t xml:space="preserve"> vyhľadať lekárska pomoc ihneď po expozícii. Môže byť potrebná profylaxia normálnym intramuskulárnym imunoglobulínom.</w:t>
      </w:r>
    </w:p>
    <w:p w14:paraId="57C422E2" w14:textId="1B7A74C4" w:rsidR="00323CBB" w:rsidRPr="000F5785" w:rsidRDefault="006A3E8E" w:rsidP="00DE3C08">
      <w:pPr>
        <w:pStyle w:val="Normlndobloku"/>
      </w:pPr>
      <w:r w:rsidRPr="000F5785">
        <w:t>7</w:t>
      </w:r>
      <w:r w:rsidR="0001783F" w:rsidRPr="000F5785">
        <w:t>.</w:t>
      </w:r>
      <w:r w:rsidR="00323CBB" w:rsidRPr="000F5785">
        <w:t xml:space="preserve"> Živé vakcíny sa nema</w:t>
      </w:r>
      <w:r w:rsidR="00705ECB" w:rsidRPr="000F5785">
        <w:t>jú</w:t>
      </w:r>
      <w:r w:rsidR="00323CBB" w:rsidRPr="000F5785">
        <w:t xml:space="preserve"> podávať pacientom so slabou imunitnou odozvou. Tvorba protilátok na iné vakcíny môže byť oslabená.</w:t>
      </w:r>
    </w:p>
    <w:p w14:paraId="1A7B219A" w14:textId="43DE528D" w:rsidR="00323CBB" w:rsidRPr="000F5785" w:rsidRDefault="00705ECB" w:rsidP="00DE3C08">
      <w:pPr>
        <w:pStyle w:val="Normlndobloku"/>
      </w:pPr>
      <w:r w:rsidRPr="000F5785">
        <w:t>8</w:t>
      </w:r>
      <w:r w:rsidR="0001783F" w:rsidRPr="000F5785">
        <w:t>.</w:t>
      </w:r>
      <w:r w:rsidR="00323CBB" w:rsidRPr="000F5785">
        <w:t xml:space="preserve"> Používanie kortikosteroidov pri aktívnej tuberkulóze sa </w:t>
      </w:r>
      <w:r w:rsidR="004C4824" w:rsidRPr="000F5785">
        <w:t xml:space="preserve">má </w:t>
      </w:r>
      <w:r w:rsidR="00323CBB" w:rsidRPr="000F5785">
        <w:t>obmedz</w:t>
      </w:r>
      <w:r w:rsidR="004C4824" w:rsidRPr="000F5785">
        <w:t>iť</w:t>
      </w:r>
      <w:r w:rsidR="00323CBB" w:rsidRPr="000F5785">
        <w:t xml:space="preserve"> na prípady fulminantnej alebo diseminovanej tuberkulózy, kedy sa kortikosteroid podáva spolu s príslušným antituberkulóznym režimom. Ak sú kortikosteroidy indikované u pacientov s latentnou tuberkulózou alebo tuberkulínovou reaktivitou, musia byť pozorne sledovaní, pretože môže dôjsť k </w:t>
      </w:r>
      <w:r w:rsidR="00B65D1B" w:rsidRPr="000F5785">
        <w:t>re</w:t>
      </w:r>
      <w:r w:rsidR="00323CBB" w:rsidRPr="000F5785">
        <w:t>aktivácii ochorenia. Počas dlhodobej liečby kortikosteroidmi majú pacienti dostávať chemoprofylaxiu.</w:t>
      </w:r>
    </w:p>
    <w:p w14:paraId="00C4E133" w14:textId="4311D2C6" w:rsidR="00321B66" w:rsidRPr="000F5785" w:rsidRDefault="00774F51" w:rsidP="00DE3C08">
      <w:pPr>
        <w:pStyle w:val="Normlndobloku"/>
      </w:pPr>
      <w:r w:rsidRPr="000F5785">
        <w:t>9</w:t>
      </w:r>
      <w:r w:rsidR="0001783F" w:rsidRPr="000F5785">
        <w:t>.</w:t>
      </w:r>
      <w:r w:rsidR="00321B66" w:rsidRPr="000F5785">
        <w:t xml:space="preserve"> U pacientov liečených parenterálne podávanými kortikosteroidmi došlo k zriedkavým prípadom vzniku</w:t>
      </w:r>
      <w:r w:rsidR="00695227" w:rsidRPr="000F5785">
        <w:t xml:space="preserve"> anafylaktoidných alebo</w:t>
      </w:r>
      <w:r w:rsidR="00321B66" w:rsidRPr="000F5785">
        <w:t xml:space="preserve"> anafylaktických reakcií. </w:t>
      </w:r>
      <w:r w:rsidR="00B65D1B" w:rsidRPr="000F5785">
        <w:t>Lekári p</w:t>
      </w:r>
      <w:r w:rsidR="00234FF5" w:rsidRPr="000F5785">
        <w:t>redpisujúci</w:t>
      </w:r>
      <w:r w:rsidR="00B65D1B" w:rsidRPr="000F5785">
        <w:t xml:space="preserve"> takýto liek majú byť pripravený na takúto možnosť. </w:t>
      </w:r>
      <w:r w:rsidR="00321B66" w:rsidRPr="000F5785">
        <w:t>Pred podaním lieku je potrebné vykonať zodpovedajúce preventívne opatrenia, predovšetkým ak má pacient v anamnéze údaj o alergii na akékoľvek liečivo.</w:t>
      </w:r>
    </w:p>
    <w:p w14:paraId="1C00033F" w14:textId="1DCFD0D2" w:rsidR="00321B66" w:rsidRPr="000F5785" w:rsidRDefault="00774F51" w:rsidP="00DE3C08">
      <w:pPr>
        <w:pStyle w:val="Normlndobloku"/>
      </w:pPr>
      <w:r w:rsidRPr="000F5785">
        <w:t>10</w:t>
      </w:r>
      <w:r w:rsidR="0001783F" w:rsidRPr="000F5785">
        <w:t>.</w:t>
      </w:r>
      <w:r w:rsidR="00321B66" w:rsidRPr="000F5785">
        <w:t xml:space="preserve"> Pozornosť treba venovať pacientom užívajúcim kardioaktívne liečivá ako napríklad digoxín, pretože steroidy vyvolávajú nerovnováhu elektrolytov/stratu draslíka (pozri časť 4.8).</w:t>
      </w:r>
    </w:p>
    <w:p w14:paraId="478957B0" w14:textId="488AC86D" w:rsidR="00475273" w:rsidRPr="000F5785" w:rsidRDefault="00774F51" w:rsidP="00DE3C08">
      <w:pPr>
        <w:pStyle w:val="Normlndobloku"/>
      </w:pPr>
      <w:r w:rsidRPr="000F5785">
        <w:t>11</w:t>
      </w:r>
      <w:r w:rsidR="0001783F" w:rsidRPr="000F5785">
        <w:t>.</w:t>
      </w:r>
      <w:r w:rsidR="00475273" w:rsidRPr="000F5785">
        <w:t xml:space="preserve"> Hydrokortizón môže mať zvýšenú účinnosť u pacientov s ochorením pečene, pretože metabolizmus a eliminácia hydrokortizónu je u týchto pacientov výrazne znížená.</w:t>
      </w:r>
    </w:p>
    <w:p w14:paraId="427C68AD" w14:textId="0F37EA06" w:rsidR="009A4C90" w:rsidRPr="000F5785" w:rsidRDefault="00475273" w:rsidP="00DE3C08">
      <w:pPr>
        <w:pStyle w:val="Normlndobloku"/>
      </w:pPr>
      <w:r w:rsidRPr="000F5785">
        <w:t>1</w:t>
      </w:r>
      <w:r w:rsidR="00BD04A2" w:rsidRPr="000F5785">
        <w:t>2</w:t>
      </w:r>
      <w:r w:rsidR="0001783F" w:rsidRPr="000F5785">
        <w:t>.</w:t>
      </w:r>
      <w:r w:rsidRPr="000F5785">
        <w:t xml:space="preserve"> Terapia kortikosteroidmi bola spojená s výskytom centrálnej seróznej chorioretinopatie, ktorá môže viesť k narušenie sietnice.</w:t>
      </w:r>
    </w:p>
    <w:p w14:paraId="1A5F891C" w14:textId="6F199549" w:rsidR="000A0482" w:rsidRPr="000F5785" w:rsidRDefault="00475273" w:rsidP="00DE3C08">
      <w:pPr>
        <w:pStyle w:val="Normlndobloku"/>
      </w:pPr>
      <w:r w:rsidRPr="000F5785">
        <w:t>1</w:t>
      </w:r>
      <w:r w:rsidR="00BD04A2" w:rsidRPr="000F5785">
        <w:t>3</w:t>
      </w:r>
      <w:r w:rsidR="0001783F" w:rsidRPr="000F5785">
        <w:t>.</w:t>
      </w:r>
      <w:r w:rsidRPr="000F5785">
        <w:t xml:space="preserve"> Pri dlhodobom užívaní kortikosteroidov pri vysokých dávkach boli u pacientov hlásené prípady epidurálnej lipomatózy</w:t>
      </w:r>
      <w:r w:rsidR="006A488B" w:rsidRPr="000F5785">
        <w:t>.</w:t>
      </w:r>
    </w:p>
    <w:p w14:paraId="5D02D406" w14:textId="2EDAC90B" w:rsidR="0001783F" w:rsidRPr="000F5785" w:rsidRDefault="0001783F" w:rsidP="00E33B39">
      <w:pPr>
        <w:pStyle w:val="Styl3"/>
      </w:pPr>
      <w:r w:rsidRPr="000F5785">
        <w:t>Osobitné opatrenia</w:t>
      </w:r>
    </w:p>
    <w:p w14:paraId="508CCF8F" w14:textId="4380F8B2" w:rsidR="0001783F" w:rsidRPr="000F5785" w:rsidRDefault="00963F8D" w:rsidP="00DE3C08">
      <w:pPr>
        <w:pStyle w:val="Normlndobloku"/>
      </w:pPr>
      <w:r w:rsidRPr="000F5785">
        <w:t>Zvýšená opatrnosť sa vyžaduje pri zvažovaní podávania s</w:t>
      </w:r>
      <w:r w:rsidR="0001783F" w:rsidRPr="000F5785">
        <w:t>ystémov</w:t>
      </w:r>
      <w:r w:rsidRPr="000F5785">
        <w:t>ých</w:t>
      </w:r>
      <w:r w:rsidR="0001783F" w:rsidRPr="000F5785">
        <w:t xml:space="preserve"> </w:t>
      </w:r>
      <w:r w:rsidRPr="000F5785">
        <w:t xml:space="preserve">kortikosteroidov </w:t>
      </w:r>
      <w:r w:rsidR="0001783F" w:rsidRPr="000F5785">
        <w:t>u pacientov s</w:t>
      </w:r>
      <w:r w:rsidR="000A0482" w:rsidRPr="000F5785">
        <w:rPr>
          <w:szCs w:val="22"/>
        </w:rPr>
        <w:t> </w:t>
      </w:r>
      <w:r w:rsidR="0001783F" w:rsidRPr="000F5785">
        <w:t xml:space="preserve">nasledovnými </w:t>
      </w:r>
      <w:r w:rsidRPr="000F5785">
        <w:t xml:space="preserve">stavmi a </w:t>
      </w:r>
      <w:r w:rsidR="005A5BB8" w:rsidRPr="000F5785">
        <w:t xml:space="preserve">je nevyhnutné </w:t>
      </w:r>
      <w:r w:rsidRPr="000F5785">
        <w:t>časté monitorovanie pacienta</w:t>
      </w:r>
      <w:r w:rsidR="0001783F" w:rsidRPr="000F5785">
        <w:t>:</w:t>
      </w:r>
    </w:p>
    <w:p w14:paraId="45037192" w14:textId="73E5D9F3" w:rsidR="0001783F" w:rsidRPr="000F5785" w:rsidRDefault="0001783F" w:rsidP="00DE3C08">
      <w:pPr>
        <w:pStyle w:val="Normlndobloku"/>
      </w:pPr>
      <w:r w:rsidRPr="000F5785">
        <w:t xml:space="preserve">1. </w:t>
      </w:r>
      <w:r w:rsidR="009C0DF1" w:rsidRPr="000F5785">
        <w:t>O</w:t>
      </w:r>
      <w:r w:rsidRPr="000F5785">
        <w:t>steoporóza (rizikovou skupinou sú ženy v období postmenopauzy)</w:t>
      </w:r>
    </w:p>
    <w:p w14:paraId="3028D8F7" w14:textId="6827F2B0" w:rsidR="0001783F" w:rsidRPr="000F5785" w:rsidRDefault="0001783F" w:rsidP="00DE3C08">
      <w:pPr>
        <w:pStyle w:val="Normlndobloku"/>
      </w:pPr>
      <w:r w:rsidRPr="000F5785">
        <w:t xml:space="preserve">2. </w:t>
      </w:r>
      <w:r w:rsidR="009C0DF1" w:rsidRPr="000F5785">
        <w:t>H</w:t>
      </w:r>
      <w:r w:rsidRPr="000F5785">
        <w:t>ypertenzia alebo kongestívne srdcové zlyhanie</w:t>
      </w:r>
    </w:p>
    <w:p w14:paraId="2A1836ED" w14:textId="54B2A9C7" w:rsidR="0001783F" w:rsidRPr="000F5785" w:rsidRDefault="0001783F" w:rsidP="00DE3C08">
      <w:pPr>
        <w:pStyle w:val="Normlndobloku"/>
      </w:pPr>
      <w:r w:rsidRPr="000F5785">
        <w:t xml:space="preserve">3. </w:t>
      </w:r>
      <w:r w:rsidR="009C0DF1" w:rsidRPr="000F5785">
        <w:t>Z</w:t>
      </w:r>
      <w:r w:rsidRPr="000F5785">
        <w:t>ávažné afektívne poruchy v súčasnosti alebo v minulosti (obzvlášť predchádzajúce výskyty psychóz vyvolaných užívaním steroidných látok)</w:t>
      </w:r>
    </w:p>
    <w:p w14:paraId="7DFFE89A" w14:textId="570A398F" w:rsidR="0001783F" w:rsidRPr="000F5785" w:rsidRDefault="0001783F" w:rsidP="00DE3C08">
      <w:pPr>
        <w:pStyle w:val="Normlndobloku"/>
      </w:pPr>
      <w:r w:rsidRPr="000F5785">
        <w:t xml:space="preserve">4. </w:t>
      </w:r>
      <w:r w:rsidR="009C0DF1" w:rsidRPr="000F5785">
        <w:t>D</w:t>
      </w:r>
      <w:r w:rsidRPr="000F5785">
        <w:t>iabetes mellitus (alebo cukrovka v rodinnej anamnéze)</w:t>
      </w:r>
    </w:p>
    <w:p w14:paraId="5D8B5939" w14:textId="77FC9AC6" w:rsidR="0001783F" w:rsidRPr="000F5785" w:rsidRDefault="0001783F" w:rsidP="00DE3C08">
      <w:pPr>
        <w:pStyle w:val="Normlndobloku"/>
      </w:pPr>
      <w:r w:rsidRPr="000F5785">
        <w:t xml:space="preserve">5. </w:t>
      </w:r>
      <w:r w:rsidR="009C0DF1" w:rsidRPr="000F5785">
        <w:t>T</w:t>
      </w:r>
      <w:r w:rsidRPr="000F5785">
        <w:t>uberkulóza v anamnéze</w:t>
      </w:r>
    </w:p>
    <w:p w14:paraId="45EAD485" w14:textId="314377EB" w:rsidR="0001783F" w:rsidRPr="000F5785" w:rsidRDefault="0001783F" w:rsidP="00DE3C08">
      <w:pPr>
        <w:pStyle w:val="Normlndobloku"/>
      </w:pPr>
      <w:r w:rsidRPr="000F5785">
        <w:t xml:space="preserve">6. </w:t>
      </w:r>
      <w:r w:rsidR="009C0DF1" w:rsidRPr="000F5785">
        <w:t>G</w:t>
      </w:r>
      <w:r w:rsidRPr="000F5785">
        <w:t>laukóm (výskyt glaukómu v rodinnej anamnéze)</w:t>
      </w:r>
    </w:p>
    <w:p w14:paraId="5CE7D2F9" w14:textId="7AD2A513" w:rsidR="0001783F" w:rsidRPr="000F5785" w:rsidRDefault="0001783F" w:rsidP="00DE3C08">
      <w:pPr>
        <w:pStyle w:val="Normlndobloku"/>
      </w:pPr>
      <w:r w:rsidRPr="000F5785">
        <w:t xml:space="preserve">7. </w:t>
      </w:r>
      <w:r w:rsidR="009C0DF1" w:rsidRPr="000F5785">
        <w:t>M</w:t>
      </w:r>
      <w:r w:rsidRPr="000F5785">
        <w:t>yopatia v minulosti vyvolaná kortikosteroidmi</w:t>
      </w:r>
    </w:p>
    <w:p w14:paraId="4495806F" w14:textId="20FA69B2" w:rsidR="0001783F" w:rsidRPr="000F5785" w:rsidRDefault="0001783F" w:rsidP="00DE3C08">
      <w:pPr>
        <w:pStyle w:val="Normlndobloku"/>
      </w:pPr>
      <w:r w:rsidRPr="000F5785">
        <w:t xml:space="preserve">8. </w:t>
      </w:r>
      <w:r w:rsidR="009C0DF1" w:rsidRPr="000F5785">
        <w:t>Z</w:t>
      </w:r>
      <w:r w:rsidRPr="000F5785">
        <w:t>lyhanie pečene alebo cirhóza</w:t>
      </w:r>
    </w:p>
    <w:p w14:paraId="366D0455" w14:textId="6BE12653" w:rsidR="0001783F" w:rsidRPr="000F5785" w:rsidRDefault="0001783F" w:rsidP="00DE3C08">
      <w:pPr>
        <w:pStyle w:val="Normlndobloku"/>
      </w:pPr>
      <w:r w:rsidRPr="000F5785">
        <w:t xml:space="preserve">9. </w:t>
      </w:r>
      <w:r w:rsidR="009C0DF1" w:rsidRPr="000F5785">
        <w:t>O</w:t>
      </w:r>
      <w:r w:rsidRPr="000F5785">
        <w:t>bličková nedostatočnosť</w:t>
      </w:r>
    </w:p>
    <w:p w14:paraId="0F4BFAD6" w14:textId="3F0B8774" w:rsidR="0001783F" w:rsidRPr="000F5785" w:rsidRDefault="0001783F" w:rsidP="00DE3C08">
      <w:pPr>
        <w:pStyle w:val="Normlndobloku"/>
      </w:pPr>
      <w:r w:rsidRPr="000F5785">
        <w:t xml:space="preserve">10. </w:t>
      </w:r>
      <w:r w:rsidR="009C0DF1" w:rsidRPr="000F5785">
        <w:t>E</w:t>
      </w:r>
      <w:r w:rsidRPr="000F5785">
        <w:t>pilepsia</w:t>
      </w:r>
    </w:p>
    <w:p w14:paraId="70E2A1EE" w14:textId="77777777" w:rsidR="0001783F" w:rsidRPr="000F5785" w:rsidRDefault="0001783F" w:rsidP="00DE3C08">
      <w:pPr>
        <w:pStyle w:val="Normlndobloku"/>
      </w:pPr>
      <w:r w:rsidRPr="000F5785">
        <w:t xml:space="preserve">11. </w:t>
      </w:r>
      <w:r w:rsidR="009C0DF1" w:rsidRPr="000F5785">
        <w:t>P</w:t>
      </w:r>
      <w:r w:rsidRPr="000F5785">
        <w:t>eptický vred</w:t>
      </w:r>
    </w:p>
    <w:p w14:paraId="416B1E86" w14:textId="2E23774C" w:rsidR="0001783F" w:rsidRPr="000F5785" w:rsidRDefault="0001783F" w:rsidP="00DE3C08">
      <w:pPr>
        <w:pStyle w:val="Normlndobloku"/>
      </w:pPr>
      <w:r w:rsidRPr="000F5785">
        <w:t xml:space="preserve">12. </w:t>
      </w:r>
      <w:bookmarkStart w:id="1" w:name="_Hlk25661982"/>
      <w:r w:rsidR="009C0DF1" w:rsidRPr="000F5785">
        <w:t>Č</w:t>
      </w:r>
      <w:r w:rsidRPr="000F5785">
        <w:t>erstvé anastomózy čriev</w:t>
      </w:r>
      <w:bookmarkEnd w:id="1"/>
    </w:p>
    <w:p w14:paraId="457EC648" w14:textId="26D96B7C" w:rsidR="0001783F" w:rsidRPr="000F5785" w:rsidRDefault="004753DE" w:rsidP="00DE3C08">
      <w:pPr>
        <w:pStyle w:val="Normlndobloku"/>
      </w:pPr>
      <w:r w:rsidRPr="000F5785">
        <w:t xml:space="preserve">13. </w:t>
      </w:r>
      <w:r w:rsidR="009C0DF1" w:rsidRPr="000F5785">
        <w:t>P</w:t>
      </w:r>
      <w:r w:rsidR="0001783F" w:rsidRPr="000F5785">
        <w:t>redispozícia k tromboflebitíde</w:t>
      </w:r>
    </w:p>
    <w:p w14:paraId="2B899C90" w14:textId="77012D65" w:rsidR="0001783F" w:rsidRPr="000F5785" w:rsidRDefault="004753DE" w:rsidP="00DE3C08">
      <w:pPr>
        <w:pStyle w:val="Normlndobloku"/>
      </w:pPr>
      <w:r w:rsidRPr="000F5785">
        <w:t xml:space="preserve">14. </w:t>
      </w:r>
      <w:r w:rsidR="009C0DF1" w:rsidRPr="000F5785">
        <w:t>A</w:t>
      </w:r>
      <w:r w:rsidR="0001783F" w:rsidRPr="000F5785">
        <w:t>bsces alebo iná pyogénna infekcia</w:t>
      </w:r>
    </w:p>
    <w:p w14:paraId="59480313" w14:textId="0350C9AA" w:rsidR="0001783F" w:rsidRPr="000F5785" w:rsidRDefault="004753DE" w:rsidP="00DE3C08">
      <w:pPr>
        <w:pStyle w:val="Normlndobloku"/>
      </w:pPr>
      <w:r w:rsidRPr="000F5785">
        <w:t>15</w:t>
      </w:r>
      <w:bookmarkStart w:id="2" w:name="_Hlk25661997"/>
      <w:r w:rsidRPr="000F5785">
        <w:t xml:space="preserve">. </w:t>
      </w:r>
      <w:r w:rsidR="009C0DF1" w:rsidRPr="000F5785">
        <w:t>U</w:t>
      </w:r>
      <w:r w:rsidR="0001783F" w:rsidRPr="000F5785">
        <w:t>lcerózna kolitída</w:t>
      </w:r>
    </w:p>
    <w:bookmarkEnd w:id="2"/>
    <w:p w14:paraId="3AAAC3AC" w14:textId="2C35C512" w:rsidR="0001783F" w:rsidRPr="000F5785" w:rsidRDefault="004753DE" w:rsidP="00DE3C08">
      <w:pPr>
        <w:pStyle w:val="Normlndobloku"/>
      </w:pPr>
      <w:r w:rsidRPr="000F5785">
        <w:t xml:space="preserve">16. </w:t>
      </w:r>
      <w:bookmarkStart w:id="3" w:name="_Hlk25662008"/>
      <w:r w:rsidR="009C0DF1" w:rsidRPr="000F5785">
        <w:t>D</w:t>
      </w:r>
      <w:r w:rsidR="0001783F" w:rsidRPr="000F5785">
        <w:t>iver</w:t>
      </w:r>
      <w:r w:rsidR="00086C86">
        <w:t>ti</w:t>
      </w:r>
      <w:r w:rsidR="0001783F" w:rsidRPr="000F5785">
        <w:t>kulitída</w:t>
      </w:r>
      <w:bookmarkEnd w:id="3"/>
    </w:p>
    <w:p w14:paraId="44217A2C" w14:textId="77777777" w:rsidR="0001783F" w:rsidRPr="000F5785" w:rsidRDefault="004753DE" w:rsidP="00DE3C08">
      <w:pPr>
        <w:pStyle w:val="Normlndobloku"/>
      </w:pPr>
      <w:r w:rsidRPr="000F5785">
        <w:t xml:space="preserve">17. </w:t>
      </w:r>
      <w:r w:rsidR="009C0DF1" w:rsidRPr="000F5785">
        <w:t>M</w:t>
      </w:r>
      <w:r w:rsidR="0001783F" w:rsidRPr="000F5785">
        <w:t>yasténia gravis</w:t>
      </w:r>
    </w:p>
    <w:p w14:paraId="5358B7E9" w14:textId="7019B3C8" w:rsidR="0001783F" w:rsidRPr="000F5785" w:rsidRDefault="004753DE" w:rsidP="00DE3C08">
      <w:pPr>
        <w:pStyle w:val="Normlndobloku"/>
      </w:pPr>
      <w:r w:rsidRPr="000F5785">
        <w:t xml:space="preserve">18. </w:t>
      </w:r>
      <w:r w:rsidR="009C0DF1" w:rsidRPr="000F5785">
        <w:t>O</w:t>
      </w:r>
      <w:r w:rsidR="0001783F" w:rsidRPr="000F5785">
        <w:t>kulárny herpes simplex (pre možnú perforáciu rohovky)</w:t>
      </w:r>
    </w:p>
    <w:p w14:paraId="0D943BE4" w14:textId="152C8D64" w:rsidR="0001783F" w:rsidRPr="000F5785" w:rsidRDefault="004753DE" w:rsidP="00DE3C08">
      <w:pPr>
        <w:pStyle w:val="Normlndobloku"/>
      </w:pPr>
      <w:r w:rsidRPr="000F5785">
        <w:t xml:space="preserve">19. </w:t>
      </w:r>
      <w:r w:rsidR="006256F9" w:rsidRPr="000F5785">
        <w:t>H</w:t>
      </w:r>
      <w:r w:rsidR="0001783F" w:rsidRPr="000F5785">
        <w:t>ypotyreoidizmus</w:t>
      </w:r>
    </w:p>
    <w:p w14:paraId="0ACA4FEE" w14:textId="6938F610" w:rsidR="004753DE" w:rsidRPr="000F5785" w:rsidRDefault="004753DE" w:rsidP="00DE3C08">
      <w:pPr>
        <w:pStyle w:val="Normlndobloku"/>
      </w:pPr>
      <w:r w:rsidRPr="000F5785">
        <w:t xml:space="preserve">20. </w:t>
      </w:r>
      <w:r w:rsidR="009C0DF1" w:rsidRPr="000F5785">
        <w:t>N</w:t>
      </w:r>
      <w:r w:rsidRPr="000F5785">
        <w:t>edávny infarkt myokardu (bola hlásená ruptúra myokardu)</w:t>
      </w:r>
    </w:p>
    <w:p w14:paraId="0E69167C" w14:textId="2BB82B84" w:rsidR="004753DE" w:rsidRPr="000F5785" w:rsidRDefault="004753DE" w:rsidP="00DE3C08">
      <w:pPr>
        <w:pStyle w:val="Normlndobloku"/>
      </w:pPr>
      <w:r w:rsidRPr="000F5785">
        <w:t>21. Kaposiho sarkóm hlásený u pacientov liečených kortikosteroidm</w:t>
      </w:r>
      <w:r w:rsidR="0076748B" w:rsidRPr="000F5785">
        <w:t>i. Vysadenie</w:t>
      </w:r>
      <w:r w:rsidRPr="000F5785">
        <w:t xml:space="preserve"> kortikosteroidov môže viesť k</w:t>
      </w:r>
      <w:r w:rsidR="0076748B" w:rsidRPr="000F5785">
        <w:t>u</w:t>
      </w:r>
      <w:r w:rsidRPr="000F5785">
        <w:t> klinickej remisii.</w:t>
      </w:r>
    </w:p>
    <w:p w14:paraId="70904F49" w14:textId="536A2944" w:rsidR="009C0DF1" w:rsidRPr="000F5785" w:rsidRDefault="009C0DF1" w:rsidP="00DE3C08">
      <w:pPr>
        <w:pStyle w:val="Normlndobloku"/>
      </w:pPr>
      <w:r w:rsidRPr="000F5785">
        <w:t xml:space="preserve">22. Po podaní systémových kortikosteroidov bola hlásená </w:t>
      </w:r>
      <w:r w:rsidR="00F374BB" w:rsidRPr="000F5785">
        <w:t xml:space="preserve">feochromocytómová </w:t>
      </w:r>
      <w:r w:rsidRPr="000F5785">
        <w:t>kríza</w:t>
      </w:r>
      <w:r w:rsidR="00F374BB" w:rsidRPr="000F5785">
        <w:t>, ktorá, môže byť</w:t>
      </w:r>
      <w:r w:rsidRPr="000F5785">
        <w:t xml:space="preserve"> fatálna. Pacientom s podozrením </w:t>
      </w:r>
      <w:r w:rsidR="00F374BB" w:rsidRPr="000F5785">
        <w:t xml:space="preserve">na feochromocytóm </w:t>
      </w:r>
      <w:r w:rsidRPr="000F5785">
        <w:t xml:space="preserve">alebo </w:t>
      </w:r>
      <w:r w:rsidR="00F374BB" w:rsidRPr="000F5785">
        <w:t xml:space="preserve">s </w:t>
      </w:r>
      <w:r w:rsidRPr="000F5785">
        <w:t>diagnostikovaným feochromocytómom sa majú podávať kortikosteroidy len po starostlivom zvážení pomeru rizika/prínosu.</w:t>
      </w:r>
    </w:p>
    <w:p w14:paraId="6B3EA538" w14:textId="5FBCB790" w:rsidR="001B1087" w:rsidRPr="000F5785" w:rsidRDefault="001B1087" w:rsidP="00DE3C08">
      <w:pPr>
        <w:pStyle w:val="Normlndobloku"/>
      </w:pPr>
      <w:r w:rsidRPr="000F5785">
        <w:t>23. Hydrokortizón môže spôsobiť zvýšenie krvnéh</w:t>
      </w:r>
      <w:r w:rsidR="00BE2B68" w:rsidRPr="000F5785">
        <w:t>o tlaku, retenciu soli a vody a </w:t>
      </w:r>
      <w:r w:rsidRPr="000F5785">
        <w:t>zvýšenú exkréciu draslíka. Môže byť potrebné o</w:t>
      </w:r>
      <w:r w:rsidR="00A9479A" w:rsidRPr="000F5785">
        <w:t>bmedzenie príjmu soli stravou a </w:t>
      </w:r>
      <w:r w:rsidRPr="000F5785">
        <w:t>doplnenie draslíka. Všetky kortikosteroidy zvyšujú vylučovanie vápnika.</w:t>
      </w:r>
    </w:p>
    <w:p w14:paraId="5D553F5E" w14:textId="4776EBF8" w:rsidR="001B1087" w:rsidRPr="000F5785" w:rsidRDefault="001B1087" w:rsidP="00DE3C08">
      <w:pPr>
        <w:pStyle w:val="Normlndobloku"/>
      </w:pPr>
      <w:r w:rsidRPr="000F5785">
        <w:t>24. Pacienti a/alebo osoby, ktoré ich majú na starosti,  ma</w:t>
      </w:r>
      <w:r w:rsidR="007562D7" w:rsidRPr="000F5785">
        <w:t>jú</w:t>
      </w:r>
      <w:r w:rsidRPr="000F5785">
        <w:t xml:space="preserve"> byť </w:t>
      </w:r>
      <w:r w:rsidR="007562D7" w:rsidRPr="000F5785">
        <w:t>upozornení</w:t>
      </w:r>
      <w:r w:rsidRPr="000F5785">
        <w:t xml:space="preserve"> </w:t>
      </w:r>
      <w:r w:rsidR="007562D7" w:rsidRPr="000F5785">
        <w:t>na</w:t>
      </w:r>
      <w:r w:rsidRPr="000F5785">
        <w:t xml:space="preserve"> možn</w:t>
      </w:r>
      <w:r w:rsidR="007562D7" w:rsidRPr="000F5785">
        <w:t>é</w:t>
      </w:r>
      <w:r w:rsidRPr="000F5785">
        <w:t xml:space="preserve"> nežiaduc</w:t>
      </w:r>
      <w:r w:rsidR="007562D7" w:rsidRPr="000F5785">
        <w:t>e</w:t>
      </w:r>
      <w:r w:rsidRPr="000F5785">
        <w:t xml:space="preserve"> psychick</w:t>
      </w:r>
      <w:r w:rsidR="007562D7" w:rsidRPr="000F5785">
        <w:t>é</w:t>
      </w:r>
      <w:r w:rsidRPr="000F5785">
        <w:t xml:space="preserve"> reakci</w:t>
      </w:r>
      <w:r w:rsidR="007562D7" w:rsidRPr="000F5785">
        <w:t>e</w:t>
      </w:r>
      <w:r w:rsidRPr="000F5785">
        <w:t xml:space="preserve">, ktoré sa môžu vyskytnúť počas liečby </w:t>
      </w:r>
      <w:r w:rsidR="00A9479A" w:rsidRPr="000F5785">
        <w:t xml:space="preserve">systémovými steroidmi </w:t>
      </w:r>
      <w:r w:rsidRPr="000F5785">
        <w:t xml:space="preserve">(pozri časť 4.8). Symptómy sa zvyčajne objavia po niekoľkých dňoch až týždňoch od </w:t>
      </w:r>
      <w:r w:rsidR="001F6B34" w:rsidRPr="000F5785">
        <w:t xml:space="preserve">začiatku </w:t>
      </w:r>
      <w:r w:rsidRPr="000F5785">
        <w:t>liečby. Riziko môže byť zvýšené pri vyššom dávkovaní /systémovej expozícii</w:t>
      </w:r>
      <w:r w:rsidR="001F6B34" w:rsidRPr="000F5785">
        <w:t xml:space="preserve"> (pozri tiež časť 4.5)</w:t>
      </w:r>
      <w:r w:rsidRPr="000F5785">
        <w:t>, pričom výška dávok sama o</w:t>
      </w:r>
      <w:r w:rsidR="00BE2B68" w:rsidRPr="000F5785">
        <w:t> </w:t>
      </w:r>
      <w:r w:rsidRPr="000F5785">
        <w:t>sebe neumožňuje predvídať začiatok, typ, závažnosť alebo dĺžku trvania porúch. Väčšina reakcií odznie po zníže</w:t>
      </w:r>
      <w:r w:rsidR="000A6DC6" w:rsidRPr="000F5785">
        <w:t>ní dávky al</w:t>
      </w:r>
      <w:r w:rsidR="000A0482" w:rsidRPr="000F5785">
        <w:t>e</w:t>
      </w:r>
      <w:r w:rsidR="000A6DC6" w:rsidRPr="000F5785">
        <w:t xml:space="preserve">bo </w:t>
      </w:r>
      <w:r w:rsidR="00E279C0" w:rsidRPr="000F5785">
        <w:t xml:space="preserve">ukončení </w:t>
      </w:r>
      <w:r w:rsidR="000A6DC6" w:rsidRPr="000F5785">
        <w:t>liečby</w:t>
      </w:r>
      <w:r w:rsidRPr="000F5785">
        <w:t xml:space="preserve">. </w:t>
      </w:r>
      <w:r w:rsidR="00250A5D" w:rsidRPr="000F5785">
        <w:t xml:space="preserve">Niektoré prípady si vyžadujú špeciálnu liečbu. </w:t>
      </w:r>
      <w:r w:rsidRPr="000F5785">
        <w:t xml:space="preserve">Pri rozvinutí psychických príznakov, hlavne pri depresiách alebo samovražedných predstavách, </w:t>
      </w:r>
      <w:r w:rsidR="001244A1" w:rsidRPr="000F5785">
        <w:t>majú</w:t>
      </w:r>
      <w:r w:rsidRPr="000F5785">
        <w:t xml:space="preserve"> pacienti</w:t>
      </w:r>
      <w:r w:rsidR="001F6B34" w:rsidRPr="000F5785">
        <w:t xml:space="preserve"> a/alebo osoby, ktoré ich majú na starosti</w:t>
      </w:r>
      <w:r w:rsidRPr="000F5785">
        <w:t xml:space="preserve"> vyhľadať lekársku pomoc. Pacienti</w:t>
      </w:r>
      <w:r w:rsidR="004363FF" w:rsidRPr="000F5785">
        <w:t xml:space="preserve"> a/alebo osoby, ktoré ich majú na starosti</w:t>
      </w:r>
      <w:r w:rsidR="000A6DC6" w:rsidRPr="000F5785">
        <w:t>,</w:t>
      </w:r>
      <w:r w:rsidRPr="000F5785">
        <w:t xml:space="preserve"> ma</w:t>
      </w:r>
      <w:r w:rsidR="001244A1" w:rsidRPr="000F5785">
        <w:t>jú</w:t>
      </w:r>
      <w:r w:rsidRPr="000F5785">
        <w:t xml:space="preserve"> byť poučení o možných duševných poruchách, ktoré sa môžu vyskytnúť počas alebo bezprostredne po zmene alebo </w:t>
      </w:r>
      <w:r w:rsidR="001244A1" w:rsidRPr="000F5785">
        <w:t xml:space="preserve">ukončení </w:t>
      </w:r>
      <w:r w:rsidRPr="000F5785">
        <w:t>liečby systémovými steroidmi. Takéto reakcie však boli zaznamenané zriedkavo.</w:t>
      </w:r>
    </w:p>
    <w:p w14:paraId="2A6CD3E3" w14:textId="24ED8509" w:rsidR="001B1087" w:rsidRPr="000F5785" w:rsidRDefault="001B1087" w:rsidP="00DE3C08">
      <w:pPr>
        <w:pStyle w:val="Normlndobloku"/>
      </w:pPr>
      <w:r w:rsidRPr="000F5785">
        <w:t xml:space="preserve">Zvláštnu pozornosť treba venovať užívaniu systémových kortikosteroidov u pacientov, ktorí sami alebo ich priami príbuzní, </w:t>
      </w:r>
      <w:r w:rsidR="00290811" w:rsidRPr="000F5785">
        <w:t xml:space="preserve">majú </w:t>
      </w:r>
      <w:r w:rsidRPr="000F5785">
        <w:t xml:space="preserve">alebo </w:t>
      </w:r>
      <w:r w:rsidR="00290811" w:rsidRPr="000F5785">
        <w:t xml:space="preserve">mali </w:t>
      </w:r>
      <w:r w:rsidRPr="000F5785">
        <w:t>závažnými afektívnymi poruchami, ako napríklad depresie alebo manicko-depresívne poruchy a predchádzajúce psychózy vyvolané užívaním steroidných látok.</w:t>
      </w:r>
    </w:p>
    <w:p w14:paraId="2C098408" w14:textId="77777777" w:rsidR="00937802" w:rsidRPr="000F5785" w:rsidRDefault="00937802" w:rsidP="00E33B39">
      <w:pPr>
        <w:pStyle w:val="Styl3"/>
      </w:pPr>
      <w:r w:rsidRPr="000F5785">
        <w:t>Pediatrická populácia</w:t>
      </w:r>
    </w:p>
    <w:p w14:paraId="041AF536" w14:textId="4A7CF506" w:rsidR="00937802" w:rsidRPr="000F5785" w:rsidRDefault="00937802" w:rsidP="00DE3C08">
      <w:pPr>
        <w:pStyle w:val="Normlndobloku"/>
      </w:pPr>
      <w:r w:rsidRPr="000F5785">
        <w:t>Kortikosteroidy môžu spôsobiť spomalenie rastu dojčiat, detí a</w:t>
      </w:r>
      <w:r w:rsidR="001E2F19" w:rsidRPr="000F5785">
        <w:rPr>
          <w:szCs w:val="22"/>
        </w:rPr>
        <w:t> </w:t>
      </w:r>
      <w:r w:rsidR="001F6B34" w:rsidRPr="000F5785">
        <w:t>dospievajúcich</w:t>
      </w:r>
      <w:r w:rsidR="001E2F19" w:rsidRPr="000F5785">
        <w:t>, ktoré môže byť nezvratné</w:t>
      </w:r>
      <w:r w:rsidRPr="000F5785">
        <w:t xml:space="preserve">. Liečba má byť obmedzená na </w:t>
      </w:r>
      <w:r w:rsidR="001E2F19" w:rsidRPr="000F5785">
        <w:t xml:space="preserve">minimálne dávky a </w:t>
      </w:r>
      <w:r w:rsidRPr="000F5785">
        <w:t>čo naj</w:t>
      </w:r>
      <w:r w:rsidR="001E2F19" w:rsidRPr="000F5785">
        <w:t>kratší možný čas</w:t>
      </w:r>
      <w:r w:rsidRPr="000F5785">
        <w:t xml:space="preserve">. Použitie steroidov je potrebné obmedziť na </w:t>
      </w:r>
      <w:r w:rsidR="001E2F19" w:rsidRPr="000F5785">
        <w:t xml:space="preserve">najzávažnejšie </w:t>
      </w:r>
      <w:r w:rsidRPr="000F5785">
        <w:t>prípady.</w:t>
      </w:r>
    </w:p>
    <w:p w14:paraId="193DC4FA" w14:textId="77777777" w:rsidR="00937802" w:rsidRPr="000F5785" w:rsidRDefault="00937802" w:rsidP="00E33B39">
      <w:pPr>
        <w:pStyle w:val="Styl3"/>
      </w:pPr>
      <w:r w:rsidRPr="000F5785">
        <w:t>Starší pacienti</w:t>
      </w:r>
    </w:p>
    <w:p w14:paraId="71BA72AD" w14:textId="01ABAA12" w:rsidR="00937802" w:rsidRPr="000F5785" w:rsidRDefault="001E2F19" w:rsidP="00DE3C08">
      <w:pPr>
        <w:pStyle w:val="Normlndobloku"/>
      </w:pPr>
      <w:r w:rsidRPr="000F5785">
        <w:t xml:space="preserve">Časté nežiaduce účinky systémových </w:t>
      </w:r>
      <w:r w:rsidR="00937802" w:rsidRPr="000F5785">
        <w:t xml:space="preserve">kortikosteroidov </w:t>
      </w:r>
      <w:r w:rsidRPr="000F5785">
        <w:t xml:space="preserve">môžu mať </w:t>
      </w:r>
      <w:r w:rsidR="00937802" w:rsidRPr="000F5785">
        <w:t>vo vyššom veku</w:t>
      </w:r>
      <w:r w:rsidRPr="000F5785">
        <w:t xml:space="preserve"> závažnejšie následky</w:t>
      </w:r>
      <w:r w:rsidR="00937802" w:rsidRPr="000F5785">
        <w:t>, hlavne osteoporóza, hypertenzia, hypokalciémia, cukrovka, náchylnosť k infekciám a</w:t>
      </w:r>
      <w:r w:rsidR="00511A77" w:rsidRPr="000F5785">
        <w:t> </w:t>
      </w:r>
      <w:r w:rsidR="00937802" w:rsidRPr="000F5785">
        <w:t>stenčovanie kože. Vyžaduje sa prísny lekársky dohľad</w:t>
      </w:r>
      <w:r w:rsidR="004728DB" w:rsidRPr="000F5785">
        <w:t>,</w:t>
      </w:r>
      <w:r w:rsidRPr="000F5785">
        <w:t xml:space="preserve"> aby sa vyhlo životu ohrozujúcim reakciám</w:t>
      </w:r>
      <w:r w:rsidR="00937802" w:rsidRPr="000F5785">
        <w:t>.</w:t>
      </w:r>
    </w:p>
    <w:p w14:paraId="18CE381B" w14:textId="664E9C15" w:rsidR="00937802" w:rsidRPr="000F5785" w:rsidRDefault="001E2F19" w:rsidP="00DE3C08">
      <w:pPr>
        <w:pStyle w:val="Normlndobloku"/>
      </w:pPr>
      <w:r w:rsidRPr="000F5785">
        <w:t>Systémové k</w:t>
      </w:r>
      <w:r w:rsidR="00937802" w:rsidRPr="000F5785">
        <w:t xml:space="preserve">ortikosteroidy </w:t>
      </w:r>
      <w:r w:rsidRPr="000F5785">
        <w:t xml:space="preserve">nie sú indikované, a preto </w:t>
      </w:r>
      <w:r w:rsidR="00937802" w:rsidRPr="000F5785">
        <w:t>sa nemajú používať ako liečba pri poraneniach hlavy alebo mozgovom infarkte. Ich užitie v týchto prípadoch pravdepodobne nepomôže, ale môže stav ešte zhoršiť.</w:t>
      </w:r>
    </w:p>
    <w:p w14:paraId="13535936" w14:textId="77777777" w:rsidR="00EC10C9" w:rsidRPr="000F5785" w:rsidRDefault="00EC10C9" w:rsidP="00E33B39">
      <w:pPr>
        <w:pStyle w:val="Styl3"/>
      </w:pPr>
      <w:r w:rsidRPr="000F5785">
        <w:t>Poruchy videnia</w:t>
      </w:r>
    </w:p>
    <w:p w14:paraId="70C6BD26" w14:textId="6127F5DF" w:rsidR="00EC10C9" w:rsidRPr="000F5785" w:rsidRDefault="00EC10C9" w:rsidP="00DE3C08">
      <w:pPr>
        <w:pStyle w:val="Normlndobloku"/>
      </w:pPr>
      <w:r w:rsidRPr="000F5785">
        <w:t>Poruchy videnia môžu byť hlásené pri systémovom a lokálnom použití kortikosteroidov. Ak sa u pacienta objavia symptómy, ako je rozmazané videnie alebo iné poruchy videnia, pacient má byť odporučený k oftalmológovi na posúdenie možných príčin, medzi ktoré môže patriť sivý zákal, glaukóm alebo zriedkavé ochorenia, ako je napríklad centrálna serózna chorioretinopatia (CSCR), ktoré boli hlásené po použití systémových a lokálnych kortikosteroidov.</w:t>
      </w:r>
    </w:p>
    <w:p w14:paraId="55105330" w14:textId="10D78F64" w:rsidR="0012635B" w:rsidRPr="00E84C61" w:rsidRDefault="0012635B" w:rsidP="00E33B39">
      <w:pPr>
        <w:pStyle w:val="Styl3"/>
      </w:pPr>
      <w:r w:rsidRPr="006C4A99">
        <w:t xml:space="preserve">HYDROCORTISONE MEDOCHEMIE 100 mg obsahuje sodík </w:t>
      </w:r>
    </w:p>
    <w:p w14:paraId="38A49E9C" w14:textId="5352B677" w:rsidR="0012635B" w:rsidRPr="00E4274D" w:rsidRDefault="0012635B" w:rsidP="00DE3C08">
      <w:pPr>
        <w:pStyle w:val="Normlndobloku"/>
      </w:pPr>
      <w:r w:rsidRPr="00426079">
        <w:t xml:space="preserve">Tento liek obsahuje menej ako 1 mmol sodíka (23 mg) v jednej injekčnej liekovke, tj. v podstate </w:t>
      </w:r>
      <w:r w:rsidR="00426079">
        <w:t>zanedbateľné množstvo</w:t>
      </w:r>
      <w:r w:rsidRPr="00426079">
        <w:t xml:space="preserve"> sodíka.</w:t>
      </w:r>
    </w:p>
    <w:p w14:paraId="3A4B34F5" w14:textId="77777777" w:rsidR="00937802" w:rsidRPr="00E4274D" w:rsidRDefault="00937802" w:rsidP="006A488B">
      <w:pPr>
        <w:pStyle w:val="Styl2"/>
        <w:rPr>
          <w:lang w:val="sk-SK"/>
        </w:rPr>
      </w:pPr>
      <w:r w:rsidRPr="00E4274D">
        <w:rPr>
          <w:lang w:val="sk-SK"/>
        </w:rPr>
        <w:t>Liekové a iné interakcie</w:t>
      </w:r>
    </w:p>
    <w:p w14:paraId="723B69FA" w14:textId="23F7B531" w:rsidR="00937802" w:rsidRPr="00E4274D" w:rsidRDefault="00384ED5" w:rsidP="00DE3C08">
      <w:pPr>
        <w:pStyle w:val="Normlndobloku"/>
      </w:pPr>
      <w:r w:rsidRPr="00E4274D">
        <w:t>1</w:t>
      </w:r>
      <w:r w:rsidR="006256F9" w:rsidRPr="00E4274D">
        <w:t>.</w:t>
      </w:r>
      <w:r w:rsidRPr="00E4274D">
        <w:t xml:space="preserve"> </w:t>
      </w:r>
      <w:r w:rsidR="00937802" w:rsidRPr="00E4274D">
        <w:t xml:space="preserve">Pri </w:t>
      </w:r>
      <w:r w:rsidR="00B04289" w:rsidRPr="00E4274D">
        <w:t xml:space="preserve">súbežnom </w:t>
      </w:r>
      <w:r w:rsidR="00937802" w:rsidRPr="00E4274D">
        <w:t xml:space="preserve">podávaní </w:t>
      </w:r>
      <w:r w:rsidR="00937802" w:rsidRPr="00E84C61">
        <w:t>cyklosporínu</w:t>
      </w:r>
      <w:r w:rsidR="00937802" w:rsidRPr="00E4274D">
        <w:t xml:space="preserve"> a kortikosteroidov bol zaznamenaný výskyt kŕčov. Pretože </w:t>
      </w:r>
      <w:r w:rsidR="00B04289" w:rsidRPr="00E4274D">
        <w:t xml:space="preserve">súbežné </w:t>
      </w:r>
      <w:r w:rsidR="00937802" w:rsidRPr="00E4274D">
        <w:t>podanie týchto látok vedie ku vzájomnej inhibícii ich metabolizmu, je možná tendencia vzniku kŕčov a iných nežiaducich účinkov súvisiacich s individuálnym užívaním oboch liekov.</w:t>
      </w:r>
    </w:p>
    <w:p w14:paraId="6C5D86E4" w14:textId="02D3AB21" w:rsidR="00937802" w:rsidRPr="00E4274D" w:rsidRDefault="00384ED5" w:rsidP="00DE3C08">
      <w:pPr>
        <w:pStyle w:val="Normlndobloku"/>
      </w:pPr>
      <w:r w:rsidRPr="00E4274D">
        <w:t xml:space="preserve">2. </w:t>
      </w:r>
      <w:r w:rsidR="00937802" w:rsidRPr="00E4274D">
        <w:t xml:space="preserve">Lieky, ktoré sú induktormi hepatických enzýmov, ako </w:t>
      </w:r>
      <w:r w:rsidR="00937802" w:rsidRPr="00E84C61">
        <w:t>rifampicín, rifabutín, karbamazepín, fenobarbiton, fenytoín, primid</w:t>
      </w:r>
      <w:r w:rsidR="00B04289" w:rsidRPr="00E84C61">
        <w:t>ó</w:t>
      </w:r>
      <w:r w:rsidR="00937802" w:rsidRPr="00E84C61">
        <w:t>n a aminoglutetimid,</w:t>
      </w:r>
      <w:r w:rsidR="00937802" w:rsidRPr="00E4274D">
        <w:t xml:space="preserve"> zrýchľujú metabolizmus kortikosteroidov a ich terapeutické účinky môžu byť znížené.</w:t>
      </w:r>
    </w:p>
    <w:p w14:paraId="5B0CC865" w14:textId="21591C33" w:rsidR="00937802" w:rsidRPr="00E4274D" w:rsidRDefault="00384ED5" w:rsidP="00DE3C08">
      <w:pPr>
        <w:pStyle w:val="Normlndobloku"/>
      </w:pPr>
      <w:r w:rsidRPr="00E4274D">
        <w:t xml:space="preserve">3. </w:t>
      </w:r>
      <w:r w:rsidR="00434347" w:rsidRPr="00E4274D">
        <w:t xml:space="preserve">Očakáva sa, že súbežná liečba inhibítormi CYP3A vrátane liekov obsahujúcich </w:t>
      </w:r>
      <w:r w:rsidR="00434347" w:rsidRPr="00E84C61">
        <w:t>kobicistát</w:t>
      </w:r>
      <w:r w:rsidR="00434347" w:rsidRPr="00E4274D">
        <w:t xml:space="preserve"> zvyšuje riziko systémových vedľajších účinkov. Kombinácii sa treba vyhnúť, ak prínos neprevyšuje zvýšené riziko vzniku systémových vedľajších účinkov kortikosteroidov. V takomto prípade treba pacientov sledovať z hľadiska systémových vedľajších účinkov kortikosteroidov. </w:t>
      </w:r>
      <w:r w:rsidR="00937802" w:rsidRPr="00E4274D">
        <w:t xml:space="preserve">Lieky, ktoré sú inhibítormi enzýmu CYP3A4, ako </w:t>
      </w:r>
      <w:r w:rsidR="00937802" w:rsidRPr="00E84C61">
        <w:t>cimetidín, erytromycín, ketokonazol, itrakonazol, diltiazem a mibefradil</w:t>
      </w:r>
      <w:r w:rsidR="00937802" w:rsidRPr="00E4274D">
        <w:t>, môžu spomaliť metabolizmus kortikosteroidov a tak zvýšiť ich koncentráciu v</w:t>
      </w:r>
      <w:r w:rsidR="00434347" w:rsidRPr="00E4274D">
        <w:t> </w:t>
      </w:r>
      <w:r w:rsidR="00937802" w:rsidRPr="00E4274D">
        <w:t>sére.</w:t>
      </w:r>
    </w:p>
    <w:p w14:paraId="1470B65E" w14:textId="2B6127AC" w:rsidR="00937802" w:rsidRPr="00E4274D" w:rsidRDefault="00384ED5" w:rsidP="00DE3C08">
      <w:pPr>
        <w:pStyle w:val="Normlndobloku"/>
      </w:pPr>
      <w:r w:rsidRPr="00E4274D">
        <w:t xml:space="preserve">4. </w:t>
      </w:r>
      <w:r w:rsidR="00937802" w:rsidRPr="00E4274D">
        <w:t xml:space="preserve">Steroidy môžu znížiť </w:t>
      </w:r>
      <w:r w:rsidR="00937802" w:rsidRPr="006C4A99">
        <w:t>účinok inhibítorov acetylcholinesterázy</w:t>
      </w:r>
      <w:r w:rsidR="00937802" w:rsidRPr="00E4274D">
        <w:t xml:space="preserve"> pri myasténii gravis. Kortikosteroidy pôsobia antagonisticky proti účinku </w:t>
      </w:r>
      <w:r w:rsidR="00937802" w:rsidRPr="0063612D">
        <w:t xml:space="preserve">hypoglykemizujúcich látok (vrátane inzulínu), antihypertenzív </w:t>
      </w:r>
      <w:r w:rsidR="00937802" w:rsidRPr="00E84C61">
        <w:t>a</w:t>
      </w:r>
      <w:r w:rsidR="00686414" w:rsidRPr="00E84C61">
        <w:t> </w:t>
      </w:r>
      <w:r w:rsidR="00937802" w:rsidRPr="00E84C61">
        <w:t>diuretík</w:t>
      </w:r>
      <w:r w:rsidR="00937802" w:rsidRPr="00E4274D">
        <w:t xml:space="preserve"> a zvyšujú hypokaliemizujúci účinok </w:t>
      </w:r>
      <w:r w:rsidR="00937802" w:rsidRPr="006C4A99">
        <w:t xml:space="preserve">acetazolamidu, </w:t>
      </w:r>
      <w:r w:rsidR="00686414" w:rsidRPr="00E84C61">
        <w:t>kľučkových</w:t>
      </w:r>
      <w:r w:rsidR="000A6DC6" w:rsidRPr="00E84C61">
        <w:t xml:space="preserve"> diuretík, tiazidových diuretík </w:t>
      </w:r>
      <w:r w:rsidR="00937802" w:rsidRPr="00F57B0A">
        <w:t>a</w:t>
      </w:r>
      <w:r w:rsidR="000A6DC6" w:rsidRPr="006D0F8A">
        <w:t> </w:t>
      </w:r>
      <w:r w:rsidR="00937802" w:rsidRPr="006D0F8A">
        <w:t>karbenoxolónu.</w:t>
      </w:r>
    </w:p>
    <w:p w14:paraId="4310E84C" w14:textId="08AACF6C" w:rsidR="00937802" w:rsidRPr="00E4274D" w:rsidRDefault="00384ED5" w:rsidP="00DE3C08">
      <w:pPr>
        <w:pStyle w:val="Normlndobloku"/>
      </w:pPr>
      <w:r w:rsidRPr="00E4274D">
        <w:rPr>
          <w:szCs w:val="22"/>
        </w:rPr>
        <w:t xml:space="preserve">5. </w:t>
      </w:r>
      <w:r w:rsidR="00937802" w:rsidRPr="00E4274D">
        <w:t xml:space="preserve">Súbežné podávanie kortikosteroidov môže zvýšiť účinok </w:t>
      </w:r>
      <w:r w:rsidR="00937802" w:rsidRPr="006C4A99">
        <w:t>antikoagulancií (kumarínových derivátov</w:t>
      </w:r>
      <w:r w:rsidR="00937802" w:rsidRPr="00E4274D">
        <w:t>). Z</w:t>
      </w:r>
      <w:r w:rsidR="00686414" w:rsidRPr="00E4274D">
        <w:t> </w:t>
      </w:r>
      <w:r w:rsidR="00937802" w:rsidRPr="00E4274D">
        <w:t>dôvodu zvýšeného rizika spontánneho krvácania sa vyžaduje starostlivé monitorovanie terapeutického antikoagulačného účinku (INR - International Normalised Ratio) a</w:t>
      </w:r>
      <w:r w:rsidR="00026F18" w:rsidRPr="00E4274D">
        <w:t>lebo</w:t>
      </w:r>
      <w:r w:rsidR="00937802" w:rsidRPr="00E4274D">
        <w:t xml:space="preserve"> protrombínového času.</w:t>
      </w:r>
    </w:p>
    <w:p w14:paraId="7AAC95A1" w14:textId="62173EB0" w:rsidR="00937802" w:rsidRPr="00E4274D" w:rsidRDefault="00384ED5" w:rsidP="00DE3C08">
      <w:pPr>
        <w:pStyle w:val="Normlndobloku"/>
      </w:pPr>
      <w:r w:rsidRPr="00E4274D">
        <w:t xml:space="preserve">6. </w:t>
      </w:r>
      <w:r w:rsidR="00937802" w:rsidRPr="00E4274D">
        <w:t xml:space="preserve">Kortikosteroidy zvyšujú obličkový klírens </w:t>
      </w:r>
      <w:r w:rsidR="00937802" w:rsidRPr="00E84C61">
        <w:t>salicylátov</w:t>
      </w:r>
      <w:r w:rsidR="00937802" w:rsidRPr="00E4274D">
        <w:t xml:space="preserve"> a </w:t>
      </w:r>
      <w:r w:rsidR="000F2CE4" w:rsidRPr="00E4274D">
        <w:t>vysadenie</w:t>
      </w:r>
      <w:r w:rsidR="00937802" w:rsidRPr="00E4274D">
        <w:t xml:space="preserve"> steroidov môže vyústiť do intoxikácie salicylátmi. U pacientov s hypotrombinémiou sa salicyláty </w:t>
      </w:r>
      <w:r w:rsidR="00937802" w:rsidRPr="00E84C61">
        <w:t>a nesteroidné protizápalové látky</w:t>
      </w:r>
      <w:r w:rsidR="00937802" w:rsidRPr="00E4274D">
        <w:t xml:space="preserve"> ma</w:t>
      </w:r>
      <w:r w:rsidR="000F2CE4" w:rsidRPr="00E4274D">
        <w:t>jú</w:t>
      </w:r>
      <w:r w:rsidR="00937802" w:rsidRPr="00E4274D">
        <w:t xml:space="preserve"> užívať opatrne v kombinácii s kortikosteroidmi.</w:t>
      </w:r>
    </w:p>
    <w:p w14:paraId="49F54284" w14:textId="30CCCFBD" w:rsidR="00937802" w:rsidRPr="00E4274D" w:rsidRDefault="00384ED5" w:rsidP="00DE3C08">
      <w:pPr>
        <w:pStyle w:val="Normlndobloku"/>
      </w:pPr>
      <w:r w:rsidRPr="00E4274D">
        <w:t xml:space="preserve">7. </w:t>
      </w:r>
      <w:r w:rsidR="00937802" w:rsidRPr="00E4274D">
        <w:t xml:space="preserve">Pri podávaní steroidov bola zaznamenaná interakcia s látkami blokujúcimi neuromuskulárny prenos, ako </w:t>
      </w:r>
      <w:r w:rsidR="00937802" w:rsidRPr="00E84C61">
        <w:t>pankurónium</w:t>
      </w:r>
      <w:r w:rsidR="00937802" w:rsidRPr="00E4274D">
        <w:t>, s čiastočným zvratom neuromuskulárneho bloku.</w:t>
      </w:r>
    </w:p>
    <w:p w14:paraId="610593B3" w14:textId="3C4A4B6B" w:rsidR="00937802" w:rsidRPr="00E4274D" w:rsidRDefault="00937802" w:rsidP="006A488B">
      <w:pPr>
        <w:pStyle w:val="Styl2"/>
        <w:rPr>
          <w:lang w:val="sk-SK"/>
        </w:rPr>
      </w:pPr>
      <w:r w:rsidRPr="00E4274D">
        <w:rPr>
          <w:lang w:val="sk-SK"/>
        </w:rPr>
        <w:t>Fertilita, gravidita a laktácia</w:t>
      </w:r>
    </w:p>
    <w:p w14:paraId="251F08AB" w14:textId="77777777" w:rsidR="00937802" w:rsidRPr="00E4274D" w:rsidRDefault="00937802" w:rsidP="00E33B39">
      <w:pPr>
        <w:pStyle w:val="Styl3"/>
      </w:pPr>
      <w:r w:rsidRPr="00E4274D">
        <w:t>Gravidita</w:t>
      </w:r>
    </w:p>
    <w:p w14:paraId="43C1C1F1" w14:textId="6A4A5394" w:rsidR="00C738BA" w:rsidRPr="00E4274D" w:rsidRDefault="00930A8B" w:rsidP="00DE3C08">
      <w:pPr>
        <w:pStyle w:val="Normlndobloku"/>
      </w:pPr>
      <w:r w:rsidRPr="00E4274D">
        <w:t xml:space="preserve">Schopnosť kortikosteroidov prechádzať </w:t>
      </w:r>
      <w:r w:rsidR="007D2E80" w:rsidRPr="00E4274D">
        <w:t>c</w:t>
      </w:r>
      <w:r w:rsidR="002402AC" w:rsidRPr="00E4274D">
        <w:t>e</w:t>
      </w:r>
      <w:r w:rsidR="007D2E80" w:rsidRPr="00E4274D">
        <w:t xml:space="preserve">z </w:t>
      </w:r>
      <w:r w:rsidR="00AE68EB" w:rsidRPr="00E4274D">
        <w:t xml:space="preserve">placentu je </w:t>
      </w:r>
      <w:r w:rsidRPr="00E4274D">
        <w:t>medzi jednotlivými liekmi</w:t>
      </w:r>
      <w:r w:rsidR="00AE68EB" w:rsidRPr="00E4274D">
        <w:t xml:space="preserve"> rôzna</w:t>
      </w:r>
      <w:r w:rsidRPr="00E4274D">
        <w:t>, avšak hydrokortizón prechádza cez placentu ľahko</w:t>
      </w:r>
      <w:r w:rsidR="007D2E80" w:rsidRPr="00E4274D">
        <w:t>.</w:t>
      </w:r>
    </w:p>
    <w:p w14:paraId="329C5094" w14:textId="3ABBE5D7" w:rsidR="00930A8B" w:rsidRPr="00E4274D" w:rsidRDefault="00930A8B" w:rsidP="00DE3C08">
      <w:pPr>
        <w:pStyle w:val="Normlndobloku"/>
      </w:pPr>
      <w:r w:rsidRPr="00E4274D">
        <w:t xml:space="preserve">Podávanie kortikosteroidov </w:t>
      </w:r>
      <w:r w:rsidR="00987D38" w:rsidRPr="00E4274D">
        <w:t>gravidným</w:t>
      </w:r>
      <w:r w:rsidRPr="00E4274D">
        <w:t xml:space="preserve"> zvieratám môže spôsobiť abno</w:t>
      </w:r>
      <w:r w:rsidR="007D2E80" w:rsidRPr="00E4274D">
        <w:t xml:space="preserve">rmality vo </w:t>
      </w:r>
      <w:r w:rsidRPr="00E4274D">
        <w:t>vývoj</w:t>
      </w:r>
      <w:r w:rsidR="007D2E80" w:rsidRPr="00E4274D">
        <w:t>i</w:t>
      </w:r>
      <w:r w:rsidRPr="00E4274D">
        <w:t xml:space="preserve"> plodu vrátane </w:t>
      </w:r>
      <w:r w:rsidR="002402AC" w:rsidRPr="00E4274D">
        <w:t>rázštepu</w:t>
      </w:r>
      <w:r w:rsidR="007D2E80" w:rsidRPr="00E4274D">
        <w:t xml:space="preserve"> podnebia, </w:t>
      </w:r>
      <w:r w:rsidR="002402AC" w:rsidRPr="00E4274D">
        <w:t xml:space="preserve">vnútromaternicovej rastovej </w:t>
      </w:r>
      <w:r w:rsidR="007D2E80" w:rsidRPr="00E4274D">
        <w:t>retardácie</w:t>
      </w:r>
      <w:r w:rsidRPr="00E4274D">
        <w:t xml:space="preserve"> a</w:t>
      </w:r>
      <w:r w:rsidR="002402AC" w:rsidRPr="00E4274D">
        <w:t> poruchy v raste a </w:t>
      </w:r>
      <w:r w:rsidRPr="00E4274D">
        <w:t>rozvoji mo</w:t>
      </w:r>
      <w:r w:rsidR="002402AC" w:rsidRPr="00E4274D">
        <w:t>zgu. Neexistujú žiadne dôkazy o </w:t>
      </w:r>
      <w:r w:rsidRPr="00E4274D">
        <w:t>tom, že k</w:t>
      </w:r>
      <w:r w:rsidR="002402AC" w:rsidRPr="00E4274D">
        <w:t xml:space="preserve">ortikosteroidy majú za následok </w:t>
      </w:r>
      <w:r w:rsidRPr="00E4274D">
        <w:t>zvýšený výskyt vrodených</w:t>
      </w:r>
      <w:r w:rsidR="002402AC" w:rsidRPr="00E4274D">
        <w:t xml:space="preserve"> abnormalít, ako je rázštep</w:t>
      </w:r>
      <w:r w:rsidRPr="00E4274D">
        <w:t xml:space="preserve"> podnebia u človeka,</w:t>
      </w:r>
      <w:r w:rsidR="002402AC" w:rsidRPr="00E4274D">
        <w:t xml:space="preserve"> avšak </w:t>
      </w:r>
      <w:r w:rsidRPr="00E4274D">
        <w:t>a</w:t>
      </w:r>
      <w:r w:rsidR="002402AC" w:rsidRPr="00E4274D">
        <w:t>k sa podávajú dlhodobo</w:t>
      </w:r>
      <w:r w:rsidRPr="00E4274D">
        <w:t xml:space="preserve"> ale</w:t>
      </w:r>
      <w:r w:rsidR="002402AC" w:rsidRPr="00E4274D">
        <w:t xml:space="preserve">bo opakovane počas tehotenstva, </w:t>
      </w:r>
      <w:r w:rsidRPr="00E4274D">
        <w:t xml:space="preserve">kortikosteroidy môžu zvýšiť riziko </w:t>
      </w:r>
      <w:r w:rsidR="002402AC" w:rsidRPr="00E4274D">
        <w:t>vnútromaternicovej rastovej retardácie. U novorodencov po prenatálnej expozícii kortikosteroidmi sa môže vyskytnúť hypoadrenalizmus</w:t>
      </w:r>
      <w:r w:rsidR="00C151C5" w:rsidRPr="00E4274D">
        <w:t>,</w:t>
      </w:r>
      <w:r w:rsidR="002402AC" w:rsidRPr="00E4274D">
        <w:t xml:space="preserve"> </w:t>
      </w:r>
      <w:r w:rsidRPr="00E4274D">
        <w:t xml:space="preserve">ale zvyčajne </w:t>
      </w:r>
      <w:r w:rsidR="002402AC" w:rsidRPr="00E4274D">
        <w:t xml:space="preserve">po narodení spontánne </w:t>
      </w:r>
      <w:r w:rsidR="00695227" w:rsidRPr="00E4274D">
        <w:t>vymizne</w:t>
      </w:r>
      <w:r w:rsidRPr="00E4274D">
        <w:t xml:space="preserve"> a</w:t>
      </w:r>
      <w:r w:rsidR="00AE68EB" w:rsidRPr="00E4274D">
        <w:t xml:space="preserve"> len </w:t>
      </w:r>
      <w:r w:rsidRPr="00E4274D">
        <w:t>zriedkavo</w:t>
      </w:r>
      <w:r w:rsidR="00AE68EB" w:rsidRPr="00E4274D">
        <w:t xml:space="preserve"> </w:t>
      </w:r>
      <w:r w:rsidR="00695227" w:rsidRPr="00E4274D">
        <w:t>je</w:t>
      </w:r>
      <w:r w:rsidR="00AE68EB" w:rsidRPr="00E4274D">
        <w:t xml:space="preserve"> klinicky významn</w:t>
      </w:r>
      <w:r w:rsidR="00695227" w:rsidRPr="00E4274D">
        <w:t>ý</w:t>
      </w:r>
      <w:r w:rsidR="00AE68EB" w:rsidRPr="00E4274D">
        <w:t xml:space="preserve">. Tak ako všetky lieky, aj </w:t>
      </w:r>
      <w:r w:rsidRPr="00E4274D">
        <w:t>kortikosteroidy sa majú predpisovať len</w:t>
      </w:r>
      <w:r w:rsidR="00AE68EB" w:rsidRPr="00E4274D">
        <w:t xml:space="preserve"> vtedy, keď prínos</w:t>
      </w:r>
      <w:r w:rsidR="002A7436" w:rsidRPr="00E4274D">
        <w:t>y</w:t>
      </w:r>
      <w:r w:rsidRPr="00E4274D">
        <w:t xml:space="preserve"> pre matk</w:t>
      </w:r>
      <w:r w:rsidR="00AE68EB" w:rsidRPr="00E4274D">
        <w:t>u a</w:t>
      </w:r>
      <w:r w:rsidR="00987D38" w:rsidRPr="00E4274D">
        <w:t> </w:t>
      </w:r>
      <w:r w:rsidR="00AE68EB" w:rsidRPr="00E4274D">
        <w:t>dieťa</w:t>
      </w:r>
      <w:r w:rsidR="00987D38" w:rsidRPr="00E4274D">
        <w:t> </w:t>
      </w:r>
      <w:r w:rsidR="00AE68EB" w:rsidRPr="00E4274D">
        <w:t>prevažujú nad rizik</w:t>
      </w:r>
      <w:r w:rsidR="002A7436" w:rsidRPr="00E4274D">
        <w:t>a</w:t>
      </w:r>
      <w:r w:rsidR="00AE68EB" w:rsidRPr="00E4274D">
        <w:t>m</w:t>
      </w:r>
      <w:r w:rsidR="002A7436" w:rsidRPr="00E4274D">
        <w:t>i</w:t>
      </w:r>
      <w:r w:rsidRPr="00E4274D">
        <w:t xml:space="preserve">. </w:t>
      </w:r>
      <w:r w:rsidR="00AE68EB" w:rsidRPr="00E4274D">
        <w:t>V prípade nevyhnutnosti podania kortikosteroidov, pacientky s</w:t>
      </w:r>
      <w:r w:rsidR="00C738BA" w:rsidRPr="00E4274D">
        <w:t> </w:t>
      </w:r>
      <w:r w:rsidR="00AE68EB" w:rsidRPr="00E4274D">
        <w:t>fyziologickým priebehom tehotenstva sú liečené, ako keby neboli tehotné.</w:t>
      </w:r>
    </w:p>
    <w:p w14:paraId="31CC0A0B" w14:textId="77777777" w:rsidR="00937802" w:rsidRPr="00E4274D" w:rsidRDefault="00937802" w:rsidP="00E33B39">
      <w:pPr>
        <w:pStyle w:val="Styl3"/>
      </w:pPr>
      <w:r w:rsidRPr="00E4274D">
        <w:t>Dojčenie</w:t>
      </w:r>
    </w:p>
    <w:p w14:paraId="7F6F0383" w14:textId="0703B18F" w:rsidR="00C738BA" w:rsidRPr="00E4274D" w:rsidRDefault="0093715B" w:rsidP="00DE3C08">
      <w:pPr>
        <w:pStyle w:val="Normlndobloku"/>
      </w:pPr>
      <w:r w:rsidRPr="00E4274D">
        <w:t>Kortikosteroidy sa vylučujú do materského mlieka, hoci nie sú k dispozícii žiadne údaje</w:t>
      </w:r>
      <w:r w:rsidR="005051BE" w:rsidRPr="00E4274D">
        <w:t xml:space="preserve"> pre </w:t>
      </w:r>
      <w:r w:rsidR="00C151C5" w:rsidRPr="00E4274D">
        <w:t>hydrokortizó</w:t>
      </w:r>
      <w:r w:rsidRPr="00E4274D">
        <w:t xml:space="preserve">n. </w:t>
      </w:r>
      <w:r w:rsidR="005051BE" w:rsidRPr="00E4274D">
        <w:t>Nie je pravdepodobné, že by de</w:t>
      </w:r>
      <w:r w:rsidR="00C151C5" w:rsidRPr="00E4274D">
        <w:t>nné dávky hydrokortizónu do 160 </w:t>
      </w:r>
      <w:r w:rsidR="005051BE" w:rsidRPr="00E4274D">
        <w:t>mg</w:t>
      </w:r>
      <w:r w:rsidRPr="00E4274D">
        <w:t xml:space="preserve"> </w:t>
      </w:r>
      <w:r w:rsidR="005051BE" w:rsidRPr="00E4274D">
        <w:t>mali systémové účinky u </w:t>
      </w:r>
      <w:r w:rsidRPr="00E4274D">
        <w:t>dojč</w:t>
      </w:r>
      <w:r w:rsidR="005051BE" w:rsidRPr="00E4274D">
        <w:t>iat</w:t>
      </w:r>
      <w:r w:rsidRPr="00E4274D">
        <w:t xml:space="preserve">. </w:t>
      </w:r>
      <w:r w:rsidR="00C0233B" w:rsidRPr="00E4274D">
        <w:t>U dojčiat</w:t>
      </w:r>
      <w:r w:rsidRPr="00E4274D">
        <w:t xml:space="preserve"> matiek</w:t>
      </w:r>
      <w:r w:rsidR="005051BE" w:rsidRPr="00E4274D">
        <w:t xml:space="preserve">, ktoré užívajú vyššie dávky </w:t>
      </w:r>
      <w:r w:rsidR="00C0233B" w:rsidRPr="00E4274D">
        <w:t>steroidov je možnosť vzniku určitého stupňa potlačenia funkcie nadobličiek, ale prínosy dojčenia sú pravdepodobne prevažujúce</w:t>
      </w:r>
      <w:r w:rsidRPr="00E4274D">
        <w:t xml:space="preserve"> nad akýmkoľvek teoretickým rizikom</w:t>
      </w:r>
      <w:r w:rsidR="00C0233B" w:rsidRPr="00E4274D">
        <w:t>.</w:t>
      </w:r>
    </w:p>
    <w:p w14:paraId="0FC1DFA7" w14:textId="7B3A1CC7" w:rsidR="00E1339E" w:rsidRPr="00E4274D" w:rsidRDefault="00E1339E" w:rsidP="00E33B39">
      <w:pPr>
        <w:pStyle w:val="Styl3"/>
      </w:pPr>
      <w:r w:rsidRPr="00E4274D">
        <w:t>Fertilita</w:t>
      </w:r>
    </w:p>
    <w:p w14:paraId="485CA65D" w14:textId="60A1C1D3" w:rsidR="0093715B" w:rsidRPr="00E4274D" w:rsidRDefault="00D71EDD" w:rsidP="00DE3C08">
      <w:pPr>
        <w:pStyle w:val="Normlndobloku"/>
      </w:pPr>
      <w:r w:rsidRPr="00E4274D">
        <w:t>V </w:t>
      </w:r>
      <w:r w:rsidR="00E1339E" w:rsidRPr="00E4274D">
        <w:t>štúdiách na zvieratách bolo preuk</w:t>
      </w:r>
      <w:r w:rsidR="0021786F" w:rsidRPr="00E4274D">
        <w:t>ázané, že kortikosteroidy zhoršujú fertilitu</w:t>
      </w:r>
      <w:r w:rsidR="00E1339E" w:rsidRPr="00E4274D">
        <w:t>. Nepriaznivé účinky na fertilitu potkanov s kortikosterónom sa pozorovali len u samcov a boli reverzibilné (pozri časť 5.3). Klinický význam týchto informácií je nejasný.</w:t>
      </w:r>
    </w:p>
    <w:p w14:paraId="256714EE" w14:textId="77777777" w:rsidR="00937802" w:rsidRPr="00E4274D" w:rsidRDefault="00937802" w:rsidP="006A488B">
      <w:pPr>
        <w:pStyle w:val="Styl2"/>
        <w:rPr>
          <w:lang w:val="sk-SK"/>
        </w:rPr>
      </w:pPr>
      <w:r w:rsidRPr="00E4274D">
        <w:rPr>
          <w:lang w:val="sk-SK"/>
        </w:rPr>
        <w:t>Ovplyvnenie schopnosti viesť vozidlá a obsluhovať stroje</w:t>
      </w:r>
    </w:p>
    <w:p w14:paraId="0EB05570" w14:textId="769A9D96" w:rsidR="00937802" w:rsidRPr="00E4274D" w:rsidRDefault="00937802" w:rsidP="00DE3C08">
      <w:pPr>
        <w:pStyle w:val="Normlndobloku"/>
      </w:pPr>
      <w:r w:rsidRPr="00E4274D">
        <w:t xml:space="preserve">Vplyv kortikosteroidov na schopnosť viesť vozidlá a obsluhovať stroje nebol </w:t>
      </w:r>
      <w:r w:rsidR="00753088" w:rsidRPr="00E4274D">
        <w:t>systematicky hodnotený.</w:t>
      </w:r>
      <w:r w:rsidR="00592460" w:rsidRPr="00E4274D">
        <w:t xml:space="preserve"> </w:t>
      </w:r>
      <w:r w:rsidRPr="00E4274D">
        <w:t xml:space="preserve">Po liečbe kortikosteroidmi sa môžu objaviť nežiaduce účinky, ako sú </w:t>
      </w:r>
      <w:r w:rsidR="00C0233B" w:rsidRPr="00E4274D">
        <w:t xml:space="preserve">synkopa, </w:t>
      </w:r>
      <w:r w:rsidR="00757878" w:rsidRPr="00E4274D">
        <w:t xml:space="preserve">vertigo a </w:t>
      </w:r>
      <w:r w:rsidRPr="00E4274D">
        <w:t>kŕče</w:t>
      </w:r>
      <w:r w:rsidR="000A1487" w:rsidRPr="00E4274D">
        <w:t xml:space="preserve">. </w:t>
      </w:r>
      <w:r w:rsidR="00757878" w:rsidRPr="00E4274D">
        <w:t>Ak sa objavia</w:t>
      </w:r>
      <w:r w:rsidR="00C0233B" w:rsidRPr="00E4274D">
        <w:t xml:space="preserve"> pacienti</w:t>
      </w:r>
      <w:r w:rsidRPr="00E4274D">
        <w:t xml:space="preserve"> nemajú viesť vozidlá ani obsluhovať stroje.</w:t>
      </w:r>
    </w:p>
    <w:p w14:paraId="1DCA6A81" w14:textId="77777777" w:rsidR="00937802" w:rsidRPr="00E4274D" w:rsidRDefault="00937802" w:rsidP="006A488B">
      <w:pPr>
        <w:pStyle w:val="Styl2"/>
        <w:rPr>
          <w:lang w:val="sk-SK"/>
        </w:rPr>
      </w:pPr>
      <w:r w:rsidRPr="00E4274D">
        <w:rPr>
          <w:lang w:val="sk-SK"/>
        </w:rPr>
        <w:t>Nežiaduce účinky</w:t>
      </w:r>
    </w:p>
    <w:p w14:paraId="1BAA49CA" w14:textId="5B1306C0" w:rsidR="00033101" w:rsidRDefault="00592460" w:rsidP="00DE3C08">
      <w:pPr>
        <w:pStyle w:val="Normlndobloku"/>
      </w:pPr>
      <w:bookmarkStart w:id="4" w:name="_Hlk495910213"/>
      <w:r w:rsidRPr="00E4274D">
        <w:t>Keďže hydrokortizón sa zvyčajne používa krátkodobo, je nepravdepo</w:t>
      </w:r>
      <w:r w:rsidR="002760A2">
        <w:t>dobné, že by sa vyskytli nežiadu</w:t>
      </w:r>
      <w:r w:rsidRPr="00E4274D">
        <w:t>ce účinky. Možnosť vzniku nežiad</w:t>
      </w:r>
      <w:r w:rsidR="001F2704" w:rsidRPr="00E4274D">
        <w:t>u</w:t>
      </w:r>
      <w:r w:rsidRPr="00E4274D">
        <w:t xml:space="preserve">cich účinkov </w:t>
      </w:r>
      <w:r w:rsidR="001F2704" w:rsidRPr="00E4274D">
        <w:t xml:space="preserve">súvisiacich s liečbou </w:t>
      </w:r>
      <w:r w:rsidRPr="00E4274D">
        <w:t>kortikosteroid</w:t>
      </w:r>
      <w:r w:rsidR="001F2704" w:rsidRPr="00E4274D">
        <w:t xml:space="preserve">mi </w:t>
      </w:r>
      <w:r w:rsidRPr="00E4274D">
        <w:t xml:space="preserve">je však potrebné </w:t>
      </w:r>
      <w:r w:rsidR="0058578F">
        <w:t>vziať</w:t>
      </w:r>
      <w:r w:rsidR="0058578F" w:rsidRPr="00E4274D">
        <w:t xml:space="preserve"> </w:t>
      </w:r>
      <w:r w:rsidRPr="00E4274D">
        <w:t xml:space="preserve">do úvahy </w:t>
      </w:r>
      <w:bookmarkEnd w:id="4"/>
      <w:r w:rsidR="002760A2">
        <w:t>(pozri časť 4.4). Tieto nežiadu</w:t>
      </w:r>
      <w:r w:rsidRPr="00E4274D">
        <w:t>ce účinky zahŕňajú</w:t>
      </w:r>
      <w:r w:rsidR="00DD1D77">
        <w:t xml:space="preserve"> (f</w:t>
      </w:r>
      <w:r w:rsidR="00DD1D77" w:rsidRPr="00E4274D">
        <w:t>rekvencia výskytu nežiaducich účinkov je definovaná ako:</w:t>
      </w:r>
      <w:r w:rsidR="00DD1D77">
        <w:t xml:space="preserve"> </w:t>
      </w:r>
      <w:r w:rsidR="00DD1D77" w:rsidRPr="00E4274D">
        <w:t>veľmi časté (≥l/10)</w:t>
      </w:r>
      <w:r w:rsidR="00DD1D77">
        <w:t xml:space="preserve">, </w:t>
      </w:r>
      <w:r w:rsidR="00DD1D77" w:rsidRPr="00E4274D">
        <w:t>časté (≥l/100 až &lt;l/10</w:t>
      </w:r>
      <w:r w:rsidR="00DD1D77">
        <w:t>,</w:t>
      </w:r>
      <w:r w:rsidR="00DD1D77" w:rsidRPr="00DD1D77">
        <w:t xml:space="preserve"> </w:t>
      </w:r>
      <w:r w:rsidR="00DD1D77" w:rsidRPr="00E4274D">
        <w:t>menej časté (≥l/1 000 až &lt;1/100)</w:t>
      </w:r>
      <w:r w:rsidR="00DD1D77">
        <w:t>,</w:t>
      </w:r>
      <w:r w:rsidR="005E1450">
        <w:t xml:space="preserve"> </w:t>
      </w:r>
      <w:r w:rsidR="00DD1D77" w:rsidRPr="00E4274D">
        <w:t>zriedkavé (≥1/10 000 až &lt;1/1 000)</w:t>
      </w:r>
      <w:r w:rsidR="00DD1D77">
        <w:t xml:space="preserve">, </w:t>
      </w:r>
      <w:r w:rsidR="00DD1D77" w:rsidRPr="00E4274D">
        <w:t>veľmi zriedkavé (&lt;1/10 000)</w:t>
      </w:r>
      <w:r w:rsidR="00DD1D77">
        <w:t>,</w:t>
      </w:r>
      <w:r w:rsidR="005E1450">
        <w:t xml:space="preserve"> </w:t>
      </w:r>
      <w:r w:rsidR="00DD1D77" w:rsidRPr="00167108">
        <w:t>neznáme (z</w:t>
      </w:r>
      <w:r w:rsidR="00FE2C31">
        <w:t> </w:t>
      </w:r>
      <w:r w:rsidR="00DD1D77" w:rsidRPr="00167108">
        <w:t>dostupných údajov)</w:t>
      </w:r>
      <w:r w:rsidR="00DD1D77" w:rsidRPr="00DD1D77">
        <w:t>)</w:t>
      </w:r>
      <w:r w:rsidRPr="00E4274D">
        <w:t>:</w:t>
      </w:r>
    </w:p>
    <w:p w14:paraId="6AF83E26" w14:textId="0A1C348E" w:rsidR="00FE2C31" w:rsidRDefault="00FE2C31" w:rsidP="00DE3C08">
      <w:pPr>
        <w:pStyle w:val="Normlndobloku"/>
      </w:pPr>
    </w:p>
    <w:tbl>
      <w:tblPr>
        <w:tblStyle w:val="Mriekatabuky"/>
        <w:tblW w:w="9889" w:type="dxa"/>
        <w:tblLayout w:type="fixed"/>
        <w:tblLook w:val="04A0" w:firstRow="1" w:lastRow="0" w:firstColumn="1" w:lastColumn="0" w:noHBand="0" w:noVBand="1"/>
      </w:tblPr>
      <w:tblGrid>
        <w:gridCol w:w="1668"/>
        <w:gridCol w:w="1890"/>
        <w:gridCol w:w="1890"/>
        <w:gridCol w:w="1890"/>
        <w:gridCol w:w="2551"/>
      </w:tblGrid>
      <w:tr w:rsidR="003965F3" w:rsidRPr="00033101" w14:paraId="35CF43D2" w14:textId="77777777" w:rsidTr="00863BCD">
        <w:trPr>
          <w:tblHeader/>
        </w:trPr>
        <w:tc>
          <w:tcPr>
            <w:tcW w:w="1668" w:type="dxa"/>
          </w:tcPr>
          <w:p w14:paraId="59355A1A" w14:textId="77777777" w:rsidR="003965F3" w:rsidRPr="00167108" w:rsidRDefault="003965F3" w:rsidP="00033101">
            <w:pPr>
              <w:pStyle w:val="Nadpisuvnittabulky"/>
              <w:spacing w:before="0" w:after="0"/>
              <w:rPr>
                <w:szCs w:val="22"/>
              </w:rPr>
            </w:pPr>
            <w:bookmarkStart w:id="5" w:name="_Hlk25653413"/>
            <w:r w:rsidRPr="00033101">
              <w:rPr>
                <w:rFonts w:ascii="Times New Roman" w:hAnsi="Times New Roman" w:cs="Times New Roman"/>
                <w:szCs w:val="22"/>
              </w:rPr>
              <w:t>Triedy orgánových systémov podľa databázy MedDRA</w:t>
            </w:r>
          </w:p>
        </w:tc>
        <w:tc>
          <w:tcPr>
            <w:tcW w:w="1890" w:type="dxa"/>
          </w:tcPr>
          <w:p w14:paraId="6ECE8A15" w14:textId="77777777" w:rsidR="003965F3" w:rsidRPr="00167108" w:rsidRDefault="003965F3" w:rsidP="00033101">
            <w:pPr>
              <w:pStyle w:val="Nadpisuvnittabulky"/>
              <w:spacing w:before="0" w:after="0"/>
              <w:rPr>
                <w:szCs w:val="22"/>
              </w:rPr>
            </w:pPr>
            <w:r w:rsidRPr="00033101">
              <w:rPr>
                <w:rFonts w:ascii="Times New Roman" w:hAnsi="Times New Roman" w:cs="Times New Roman"/>
                <w:szCs w:val="22"/>
              </w:rPr>
              <w:t>veľmi časté</w:t>
            </w:r>
          </w:p>
        </w:tc>
        <w:tc>
          <w:tcPr>
            <w:tcW w:w="1890" w:type="dxa"/>
          </w:tcPr>
          <w:p w14:paraId="04944463" w14:textId="77777777" w:rsidR="003965F3" w:rsidRPr="00167108" w:rsidRDefault="003965F3" w:rsidP="00033101">
            <w:pPr>
              <w:pStyle w:val="Nadpisuvnittabulky"/>
              <w:spacing w:before="0" w:after="0"/>
              <w:rPr>
                <w:szCs w:val="22"/>
              </w:rPr>
            </w:pPr>
            <w:r w:rsidRPr="00033101">
              <w:rPr>
                <w:rFonts w:ascii="Times New Roman" w:hAnsi="Times New Roman" w:cs="Times New Roman"/>
                <w:szCs w:val="22"/>
              </w:rPr>
              <w:t>časté</w:t>
            </w:r>
          </w:p>
        </w:tc>
        <w:tc>
          <w:tcPr>
            <w:tcW w:w="1890" w:type="dxa"/>
          </w:tcPr>
          <w:p w14:paraId="47104E13" w14:textId="77777777" w:rsidR="003965F3" w:rsidRPr="00167108" w:rsidRDefault="003965F3" w:rsidP="00033101">
            <w:pPr>
              <w:pStyle w:val="Nadpisuvnittabulky"/>
              <w:spacing w:before="0" w:after="0"/>
              <w:rPr>
                <w:szCs w:val="22"/>
              </w:rPr>
            </w:pPr>
            <w:r w:rsidRPr="00033101">
              <w:rPr>
                <w:rFonts w:ascii="Times New Roman" w:hAnsi="Times New Roman" w:cs="Times New Roman"/>
                <w:szCs w:val="22"/>
              </w:rPr>
              <w:t>menej časté</w:t>
            </w:r>
          </w:p>
        </w:tc>
        <w:tc>
          <w:tcPr>
            <w:tcW w:w="2551" w:type="dxa"/>
          </w:tcPr>
          <w:p w14:paraId="4C500B53" w14:textId="77777777" w:rsidR="003965F3" w:rsidRPr="00167108" w:rsidRDefault="003965F3" w:rsidP="00033101">
            <w:pPr>
              <w:pStyle w:val="Nadpisuvnittabulky"/>
              <w:spacing w:before="0" w:after="0"/>
              <w:rPr>
                <w:szCs w:val="22"/>
              </w:rPr>
            </w:pPr>
            <w:r w:rsidRPr="00033101">
              <w:rPr>
                <w:rFonts w:ascii="Times New Roman" w:hAnsi="Times New Roman" w:cs="Times New Roman"/>
                <w:szCs w:val="22"/>
              </w:rPr>
              <w:t>neznáme (z dostupných údajov)</w:t>
            </w:r>
          </w:p>
        </w:tc>
      </w:tr>
      <w:tr w:rsidR="003965F3" w:rsidRPr="00033101" w14:paraId="2FA523E8" w14:textId="77777777" w:rsidTr="00863BCD">
        <w:tc>
          <w:tcPr>
            <w:tcW w:w="1668" w:type="dxa"/>
          </w:tcPr>
          <w:p w14:paraId="6B69B2DE" w14:textId="675AF924" w:rsidR="003965F3" w:rsidRPr="00167108" w:rsidRDefault="003965F3" w:rsidP="00DE3C08">
            <w:pPr>
              <w:pStyle w:val="Normlndobloku"/>
            </w:pPr>
            <w:r w:rsidRPr="00033101">
              <w:rPr>
                <w:rStyle w:val="Bacil"/>
                <w:szCs w:val="22"/>
              </w:rPr>
              <w:t>Infekcie a</w:t>
            </w:r>
            <w:r w:rsidRPr="00167108">
              <w:rPr>
                <w:rStyle w:val="Bacil"/>
                <w:szCs w:val="22"/>
              </w:rPr>
              <w:t> </w:t>
            </w:r>
            <w:r w:rsidRPr="00033101">
              <w:rPr>
                <w:rStyle w:val="Bacil"/>
                <w:szCs w:val="22"/>
              </w:rPr>
              <w:t>nákazy</w:t>
            </w:r>
          </w:p>
        </w:tc>
        <w:tc>
          <w:tcPr>
            <w:tcW w:w="1890" w:type="dxa"/>
          </w:tcPr>
          <w:p w14:paraId="50FFD7D9" w14:textId="77777777" w:rsidR="003965F3" w:rsidRPr="00167108" w:rsidRDefault="003965F3" w:rsidP="00DE3C08">
            <w:pPr>
              <w:pStyle w:val="Normlndobloku"/>
            </w:pPr>
          </w:p>
        </w:tc>
        <w:tc>
          <w:tcPr>
            <w:tcW w:w="1890" w:type="dxa"/>
          </w:tcPr>
          <w:p w14:paraId="02087A93" w14:textId="77777777" w:rsidR="003965F3" w:rsidRPr="00167108" w:rsidRDefault="003965F3" w:rsidP="00DE3C08">
            <w:pPr>
              <w:pStyle w:val="Normlndobloku"/>
            </w:pPr>
          </w:p>
        </w:tc>
        <w:tc>
          <w:tcPr>
            <w:tcW w:w="1890" w:type="dxa"/>
          </w:tcPr>
          <w:p w14:paraId="1A530B9B" w14:textId="77777777" w:rsidR="003965F3" w:rsidRPr="00167108" w:rsidRDefault="003965F3" w:rsidP="00DE3C08">
            <w:pPr>
              <w:pStyle w:val="Normlndobloku"/>
            </w:pPr>
          </w:p>
        </w:tc>
        <w:tc>
          <w:tcPr>
            <w:tcW w:w="2551" w:type="dxa"/>
          </w:tcPr>
          <w:p w14:paraId="7FBDD564" w14:textId="77777777" w:rsidR="003965F3" w:rsidRPr="00167108" w:rsidRDefault="003965F3" w:rsidP="00DE3C08">
            <w:pPr>
              <w:pStyle w:val="Normlndobloku"/>
            </w:pPr>
            <w:r w:rsidRPr="00167108">
              <w:t>Maskovaná infekcia</w:t>
            </w:r>
          </w:p>
          <w:p w14:paraId="30B068EC" w14:textId="78054E9A" w:rsidR="003965F3" w:rsidRPr="00167108" w:rsidRDefault="003965F3" w:rsidP="00DE3C08">
            <w:pPr>
              <w:pStyle w:val="Normlndobloku"/>
            </w:pPr>
            <w:r w:rsidRPr="00167108">
              <w:t>Oportúnna infekcia (s akýmkoľvek patogénom, v akomkoľvek mieste v</w:t>
            </w:r>
            <w:r w:rsidR="001A7A9D">
              <w:t> </w:t>
            </w:r>
            <w:r w:rsidRPr="00167108">
              <w:t>tele, od miernej až po smrteľnú)</w:t>
            </w:r>
          </w:p>
          <w:p w14:paraId="7AB5E87E" w14:textId="77777777" w:rsidR="003965F3" w:rsidRPr="00167108" w:rsidRDefault="003965F3" w:rsidP="00DE3C08">
            <w:pPr>
              <w:pStyle w:val="Normlndobloku"/>
            </w:pPr>
            <w:r w:rsidRPr="00167108">
              <w:t>Infekcia (vrátane zvýšenej náchylnosti a závažnosti infekcií; znovuobjavenie latentnej tuberkulózy)</w:t>
            </w:r>
          </w:p>
        </w:tc>
      </w:tr>
      <w:tr w:rsidR="003965F3" w:rsidRPr="00033101" w14:paraId="7678F748" w14:textId="77777777" w:rsidTr="00863BCD">
        <w:tc>
          <w:tcPr>
            <w:tcW w:w="1668" w:type="dxa"/>
          </w:tcPr>
          <w:p w14:paraId="6D5F581D" w14:textId="5E4C7AE0" w:rsidR="003965F3" w:rsidRPr="00033101" w:rsidRDefault="003965F3" w:rsidP="00DE3C08">
            <w:pPr>
              <w:pStyle w:val="Normlndobloku"/>
            </w:pPr>
            <w:r w:rsidRPr="00033101">
              <w:rPr>
                <w:rStyle w:val="Bacil"/>
                <w:szCs w:val="22"/>
              </w:rPr>
              <w:t>Benígne a malígne nádory, vrátane nešpecifikovaných novotvarov (cysty a polypy)</w:t>
            </w:r>
          </w:p>
        </w:tc>
        <w:tc>
          <w:tcPr>
            <w:tcW w:w="1890" w:type="dxa"/>
          </w:tcPr>
          <w:p w14:paraId="7DC452C2" w14:textId="77777777" w:rsidR="003965F3" w:rsidRPr="00033101" w:rsidRDefault="003965F3" w:rsidP="00DE3C08">
            <w:pPr>
              <w:pStyle w:val="Normlndobloku"/>
            </w:pPr>
          </w:p>
        </w:tc>
        <w:tc>
          <w:tcPr>
            <w:tcW w:w="1890" w:type="dxa"/>
          </w:tcPr>
          <w:p w14:paraId="6FA7D0FD" w14:textId="77777777" w:rsidR="003965F3" w:rsidRPr="00033101" w:rsidRDefault="003965F3" w:rsidP="00DE3C08">
            <w:pPr>
              <w:pStyle w:val="Normlndobloku"/>
            </w:pPr>
          </w:p>
        </w:tc>
        <w:tc>
          <w:tcPr>
            <w:tcW w:w="1890" w:type="dxa"/>
          </w:tcPr>
          <w:p w14:paraId="14096523" w14:textId="77777777" w:rsidR="003965F3" w:rsidRPr="00033101" w:rsidRDefault="003965F3" w:rsidP="00DE3C08">
            <w:pPr>
              <w:pStyle w:val="Normlndobloku"/>
            </w:pPr>
          </w:p>
        </w:tc>
        <w:tc>
          <w:tcPr>
            <w:tcW w:w="2551" w:type="dxa"/>
          </w:tcPr>
          <w:p w14:paraId="200EE521" w14:textId="77777777" w:rsidR="003965F3" w:rsidRPr="00033101" w:rsidRDefault="003965F3" w:rsidP="00DE3C08">
            <w:pPr>
              <w:pStyle w:val="Normlndobloku"/>
            </w:pPr>
            <w:r w:rsidRPr="00033101">
              <w:t>Kaposiho sarkóm (bol hlásený výskyt u pacientov liečených kortikosteroidmi)</w:t>
            </w:r>
          </w:p>
        </w:tc>
      </w:tr>
      <w:tr w:rsidR="003965F3" w:rsidRPr="00033101" w14:paraId="135A65FE" w14:textId="77777777" w:rsidTr="00863BCD">
        <w:tc>
          <w:tcPr>
            <w:tcW w:w="1668" w:type="dxa"/>
          </w:tcPr>
          <w:p w14:paraId="19B36C43" w14:textId="3A6F5726" w:rsidR="003965F3" w:rsidRPr="00033101" w:rsidRDefault="003965F3" w:rsidP="00DE3C08">
            <w:pPr>
              <w:pStyle w:val="Normlndobloku"/>
            </w:pPr>
            <w:r w:rsidRPr="00033101">
              <w:rPr>
                <w:rStyle w:val="Bacil"/>
                <w:szCs w:val="22"/>
              </w:rPr>
              <w:t>Poruchy krvi a</w:t>
            </w:r>
            <w:r w:rsidRPr="00033101">
              <w:rPr>
                <w:rStyle w:val="Bacil"/>
                <w:szCs w:val="22"/>
                <w:lang w:val="cs-CZ"/>
              </w:rPr>
              <w:t> </w:t>
            </w:r>
            <w:r w:rsidRPr="00033101">
              <w:rPr>
                <w:rStyle w:val="Bacil"/>
                <w:szCs w:val="22"/>
              </w:rPr>
              <w:t>lymfatického systému</w:t>
            </w:r>
          </w:p>
        </w:tc>
        <w:tc>
          <w:tcPr>
            <w:tcW w:w="1890" w:type="dxa"/>
          </w:tcPr>
          <w:p w14:paraId="134CF76C" w14:textId="77777777" w:rsidR="003965F3" w:rsidRPr="00033101" w:rsidRDefault="003965F3" w:rsidP="00DE3C08">
            <w:pPr>
              <w:pStyle w:val="Normlndobloku"/>
            </w:pPr>
          </w:p>
        </w:tc>
        <w:tc>
          <w:tcPr>
            <w:tcW w:w="1890" w:type="dxa"/>
          </w:tcPr>
          <w:p w14:paraId="0ABC9CBD" w14:textId="77777777" w:rsidR="003965F3" w:rsidRPr="00033101" w:rsidRDefault="003965F3" w:rsidP="00DE3C08">
            <w:pPr>
              <w:pStyle w:val="Normlndobloku"/>
            </w:pPr>
          </w:p>
        </w:tc>
        <w:tc>
          <w:tcPr>
            <w:tcW w:w="1890" w:type="dxa"/>
          </w:tcPr>
          <w:p w14:paraId="00D5C279" w14:textId="77777777" w:rsidR="003965F3" w:rsidRPr="00033101" w:rsidRDefault="003965F3" w:rsidP="00DE3C08">
            <w:pPr>
              <w:pStyle w:val="Normlndobloku"/>
            </w:pPr>
          </w:p>
        </w:tc>
        <w:tc>
          <w:tcPr>
            <w:tcW w:w="2551" w:type="dxa"/>
          </w:tcPr>
          <w:p w14:paraId="41346D85" w14:textId="77777777" w:rsidR="003965F3" w:rsidRPr="00033101" w:rsidRDefault="003965F3" w:rsidP="00DE3C08">
            <w:pPr>
              <w:pStyle w:val="Normlndobloku"/>
            </w:pPr>
            <w:r w:rsidRPr="00033101">
              <w:t>Leukocytóza</w:t>
            </w:r>
          </w:p>
        </w:tc>
      </w:tr>
      <w:tr w:rsidR="003965F3" w:rsidRPr="00033101" w14:paraId="3C3E2F27" w14:textId="77777777" w:rsidTr="00863BCD">
        <w:tc>
          <w:tcPr>
            <w:tcW w:w="1668" w:type="dxa"/>
          </w:tcPr>
          <w:p w14:paraId="0E0774D4" w14:textId="1C4E7D28" w:rsidR="003965F3" w:rsidRPr="00033101" w:rsidRDefault="003965F3" w:rsidP="00DE3C08">
            <w:pPr>
              <w:pStyle w:val="Normlndobloku"/>
            </w:pPr>
            <w:r w:rsidRPr="00033101">
              <w:rPr>
                <w:rStyle w:val="Bacil"/>
                <w:szCs w:val="22"/>
              </w:rPr>
              <w:t>Poruchy imunitného systému</w:t>
            </w:r>
          </w:p>
        </w:tc>
        <w:tc>
          <w:tcPr>
            <w:tcW w:w="1890" w:type="dxa"/>
          </w:tcPr>
          <w:p w14:paraId="4F199B4B" w14:textId="77777777" w:rsidR="003965F3" w:rsidRPr="00033101" w:rsidRDefault="003965F3" w:rsidP="00DE3C08">
            <w:pPr>
              <w:pStyle w:val="Normlndobloku"/>
            </w:pPr>
          </w:p>
        </w:tc>
        <w:tc>
          <w:tcPr>
            <w:tcW w:w="1890" w:type="dxa"/>
          </w:tcPr>
          <w:p w14:paraId="24676184" w14:textId="77777777" w:rsidR="003965F3" w:rsidRPr="00033101" w:rsidRDefault="003965F3" w:rsidP="00DE3C08">
            <w:pPr>
              <w:pStyle w:val="Normlndobloku"/>
            </w:pPr>
          </w:p>
        </w:tc>
        <w:tc>
          <w:tcPr>
            <w:tcW w:w="1890" w:type="dxa"/>
          </w:tcPr>
          <w:p w14:paraId="2D14D38E" w14:textId="77777777" w:rsidR="003965F3" w:rsidRPr="00033101" w:rsidRDefault="003965F3" w:rsidP="00DE3C08">
            <w:pPr>
              <w:pStyle w:val="Normlndobloku"/>
            </w:pPr>
            <w:r w:rsidRPr="00033101">
              <w:t>Anafylaktická reakcia, bronchiálny spazmus</w:t>
            </w:r>
          </w:p>
        </w:tc>
        <w:tc>
          <w:tcPr>
            <w:tcW w:w="2551" w:type="dxa"/>
          </w:tcPr>
          <w:p w14:paraId="36E64DA9" w14:textId="77777777" w:rsidR="003965F3" w:rsidRPr="00033101" w:rsidRDefault="003965F3" w:rsidP="00DE3C08">
            <w:pPr>
              <w:pStyle w:val="Normlndobloku"/>
            </w:pPr>
            <w:r w:rsidRPr="00033101">
              <w:t>Potlačenie reakcií na kožné testy</w:t>
            </w:r>
          </w:p>
        </w:tc>
      </w:tr>
      <w:tr w:rsidR="003965F3" w:rsidRPr="00033101" w14:paraId="2465503D" w14:textId="77777777" w:rsidTr="00863BCD">
        <w:tc>
          <w:tcPr>
            <w:tcW w:w="1668" w:type="dxa"/>
          </w:tcPr>
          <w:p w14:paraId="38A3AE14" w14:textId="2AD452B7" w:rsidR="003965F3" w:rsidRPr="00033101" w:rsidRDefault="003965F3" w:rsidP="00DE3C08">
            <w:pPr>
              <w:pStyle w:val="Normlndobloku"/>
            </w:pPr>
            <w:r w:rsidRPr="00033101">
              <w:rPr>
                <w:rStyle w:val="Bacil"/>
                <w:szCs w:val="22"/>
              </w:rPr>
              <w:t>Poruchy endokrinného systému</w:t>
            </w:r>
          </w:p>
        </w:tc>
        <w:tc>
          <w:tcPr>
            <w:tcW w:w="1890" w:type="dxa"/>
          </w:tcPr>
          <w:p w14:paraId="7A5A16F8" w14:textId="77777777" w:rsidR="003965F3" w:rsidRPr="00033101" w:rsidRDefault="003965F3" w:rsidP="00DE3C08">
            <w:pPr>
              <w:pStyle w:val="Normlndobloku"/>
            </w:pPr>
            <w:r w:rsidRPr="00033101">
              <w:t>Zvýšená chuť do jedla, nárast hmotnosti, poruchy glukózovej tolerancie a zvýšené požiadavky na antidiabetickú liečbu</w:t>
            </w:r>
          </w:p>
        </w:tc>
        <w:tc>
          <w:tcPr>
            <w:tcW w:w="1890" w:type="dxa"/>
          </w:tcPr>
          <w:p w14:paraId="6D3022E6" w14:textId="77777777" w:rsidR="003965F3" w:rsidRPr="00033101" w:rsidRDefault="003965F3" w:rsidP="00DE3C08">
            <w:pPr>
              <w:pStyle w:val="Normlndobloku"/>
            </w:pPr>
          </w:p>
        </w:tc>
        <w:tc>
          <w:tcPr>
            <w:tcW w:w="1890" w:type="dxa"/>
          </w:tcPr>
          <w:p w14:paraId="6AB7C6AA" w14:textId="77777777" w:rsidR="003965F3" w:rsidRPr="00033101" w:rsidRDefault="003965F3" w:rsidP="00DE3C08">
            <w:pPr>
              <w:pStyle w:val="Normlndobloku"/>
            </w:pPr>
          </w:p>
        </w:tc>
        <w:tc>
          <w:tcPr>
            <w:tcW w:w="2551" w:type="dxa"/>
          </w:tcPr>
          <w:p w14:paraId="5F10203F" w14:textId="77777777" w:rsidR="003965F3" w:rsidRPr="00033101" w:rsidRDefault="003965F3" w:rsidP="00DE3C08">
            <w:pPr>
              <w:pStyle w:val="Normlndobloku"/>
            </w:pPr>
            <w:r w:rsidRPr="00033101">
              <w:t>Príznaky Cushingovho syndrómu</w:t>
            </w:r>
          </w:p>
          <w:p w14:paraId="08B1F046" w14:textId="77777777" w:rsidR="003965F3" w:rsidRPr="00033101" w:rsidRDefault="003965F3" w:rsidP="00DE3C08">
            <w:pPr>
              <w:pStyle w:val="Normlndobloku"/>
            </w:pPr>
            <w:r w:rsidRPr="00033101">
              <w:t>Supresia osi hypofýza a nadobličky</w:t>
            </w:r>
          </w:p>
          <w:p w14:paraId="26F1C6D3" w14:textId="133497D4" w:rsidR="003965F3" w:rsidRPr="00033101" w:rsidRDefault="003965F3" w:rsidP="00DE3C08">
            <w:pPr>
              <w:pStyle w:val="Normlndobloku"/>
            </w:pPr>
          </w:p>
        </w:tc>
      </w:tr>
      <w:tr w:rsidR="003965F3" w:rsidRPr="00033101" w14:paraId="6B0AF574" w14:textId="77777777" w:rsidTr="00863BCD">
        <w:tc>
          <w:tcPr>
            <w:tcW w:w="1668" w:type="dxa"/>
          </w:tcPr>
          <w:p w14:paraId="5DC407DB" w14:textId="4D957646" w:rsidR="003965F3" w:rsidRPr="00033101" w:rsidRDefault="003965F3" w:rsidP="00DE3C08">
            <w:pPr>
              <w:pStyle w:val="Normlndobloku"/>
            </w:pPr>
            <w:r w:rsidRPr="00033101">
              <w:rPr>
                <w:rStyle w:val="Bacil"/>
                <w:szCs w:val="22"/>
              </w:rPr>
              <w:t>Poruchy metabolizmu a výživy</w:t>
            </w:r>
          </w:p>
        </w:tc>
        <w:tc>
          <w:tcPr>
            <w:tcW w:w="1890" w:type="dxa"/>
          </w:tcPr>
          <w:p w14:paraId="446E3247" w14:textId="77777777" w:rsidR="003965F3" w:rsidRPr="00033101" w:rsidRDefault="003965F3" w:rsidP="00DE3C08">
            <w:pPr>
              <w:pStyle w:val="Normlndobloku"/>
            </w:pPr>
            <w:r w:rsidRPr="00033101">
              <w:t>Retencia sodíka a vody</w:t>
            </w:r>
          </w:p>
        </w:tc>
        <w:tc>
          <w:tcPr>
            <w:tcW w:w="1890" w:type="dxa"/>
          </w:tcPr>
          <w:p w14:paraId="528B9FD7" w14:textId="77777777" w:rsidR="003965F3" w:rsidRPr="00033101" w:rsidRDefault="003965F3" w:rsidP="00DE3C08">
            <w:pPr>
              <w:pStyle w:val="Normlndobloku"/>
            </w:pPr>
          </w:p>
        </w:tc>
        <w:tc>
          <w:tcPr>
            <w:tcW w:w="1890" w:type="dxa"/>
          </w:tcPr>
          <w:p w14:paraId="517FD0F9" w14:textId="77777777" w:rsidR="003965F3" w:rsidRPr="00033101" w:rsidRDefault="003965F3" w:rsidP="00DE3C08">
            <w:pPr>
              <w:pStyle w:val="Normlndobloku"/>
            </w:pPr>
          </w:p>
        </w:tc>
        <w:tc>
          <w:tcPr>
            <w:tcW w:w="2551" w:type="dxa"/>
          </w:tcPr>
          <w:p w14:paraId="79637CAC" w14:textId="77777777" w:rsidR="003965F3" w:rsidRPr="00033101" w:rsidRDefault="003965F3" w:rsidP="00DE3C08">
            <w:pPr>
              <w:pStyle w:val="Normlndobloku"/>
            </w:pPr>
            <w:r w:rsidRPr="00033101">
              <w:t>Hypokalemická alkalóza</w:t>
            </w:r>
          </w:p>
          <w:p w14:paraId="78B2D994" w14:textId="77777777" w:rsidR="003965F3" w:rsidRPr="00033101" w:rsidRDefault="003965F3" w:rsidP="00DE3C08">
            <w:pPr>
              <w:pStyle w:val="Normlndobloku"/>
            </w:pPr>
            <w:r w:rsidRPr="00033101">
              <w:t>Znížená glukózová tolerancia</w:t>
            </w:r>
          </w:p>
          <w:p w14:paraId="0051EFCA" w14:textId="77777777" w:rsidR="003965F3" w:rsidRPr="00033101" w:rsidRDefault="003965F3" w:rsidP="00DE3C08">
            <w:pPr>
              <w:pStyle w:val="Normlndobloku"/>
            </w:pPr>
            <w:r w:rsidRPr="00033101">
              <w:t>Zvýšená chuť do jedla</w:t>
            </w:r>
          </w:p>
          <w:p w14:paraId="6268D6F2" w14:textId="77777777" w:rsidR="003965F3" w:rsidRPr="00033101" w:rsidRDefault="003965F3" w:rsidP="00DE3C08">
            <w:pPr>
              <w:pStyle w:val="Normlndobloku"/>
            </w:pPr>
            <w:r w:rsidRPr="00033101">
              <w:t>Zvýšenie telesnej hmotnosti</w:t>
            </w:r>
          </w:p>
        </w:tc>
      </w:tr>
      <w:tr w:rsidR="003965F3" w:rsidRPr="00033101" w14:paraId="23E43725" w14:textId="77777777" w:rsidTr="00863BCD">
        <w:tc>
          <w:tcPr>
            <w:tcW w:w="1668" w:type="dxa"/>
          </w:tcPr>
          <w:p w14:paraId="1E774ED1" w14:textId="176515D6" w:rsidR="003965F3" w:rsidRPr="00033101" w:rsidRDefault="003965F3" w:rsidP="00DE3C08">
            <w:pPr>
              <w:pStyle w:val="Normlndobloku"/>
            </w:pPr>
            <w:r w:rsidRPr="00033101">
              <w:rPr>
                <w:rStyle w:val="Bacil"/>
                <w:szCs w:val="22"/>
              </w:rPr>
              <w:t>Psychické poruchy</w:t>
            </w:r>
          </w:p>
        </w:tc>
        <w:tc>
          <w:tcPr>
            <w:tcW w:w="1890" w:type="dxa"/>
          </w:tcPr>
          <w:p w14:paraId="62175C26" w14:textId="77777777" w:rsidR="003965F3" w:rsidRPr="00033101" w:rsidRDefault="003965F3" w:rsidP="00DE3C08">
            <w:pPr>
              <w:pStyle w:val="Normlndobloku"/>
            </w:pPr>
            <w:r w:rsidRPr="00033101">
              <w:t>Podráždenosť, poruchy spánku</w:t>
            </w:r>
          </w:p>
        </w:tc>
        <w:tc>
          <w:tcPr>
            <w:tcW w:w="1890" w:type="dxa"/>
          </w:tcPr>
          <w:p w14:paraId="35370ECC" w14:textId="1AB5EF37" w:rsidR="003965F3" w:rsidRPr="00033101" w:rsidRDefault="003965F3" w:rsidP="00DE3C08">
            <w:pPr>
              <w:pStyle w:val="Normlndobloku"/>
            </w:pPr>
            <w:r w:rsidRPr="00033101">
              <w:t>Pri liečbe kortikosteroidmi bol opísaný výskyt širokej škály duševných porúch, ako emočné prejavy (podráždené, euforické, depresívne nálady, psychická závislosť a samovražedné myšlienky), psychotické reakcie (bludy, halucinácie a zhoršenie schizofrénie), poruchy správania, strach, záchvaty a kognitívna porucha vrátane zmätenosti a amnézie. Príznaky sú u dospelých aj detí rovnaké. Frekvencia príznakov sa u dospelých odhaduje na 5 – 6</w:t>
            </w:r>
            <w:r w:rsidR="001A7A9D">
              <w:t xml:space="preserve"> </w:t>
            </w:r>
            <w:r w:rsidRPr="00033101">
              <w:t>%.</w:t>
            </w:r>
          </w:p>
        </w:tc>
        <w:tc>
          <w:tcPr>
            <w:tcW w:w="1890" w:type="dxa"/>
          </w:tcPr>
          <w:p w14:paraId="1C3F7EA7" w14:textId="77777777" w:rsidR="003965F3" w:rsidRPr="00033101" w:rsidRDefault="003965F3" w:rsidP="00DE3C08">
            <w:pPr>
              <w:pStyle w:val="Normlndobloku"/>
            </w:pPr>
          </w:p>
        </w:tc>
        <w:tc>
          <w:tcPr>
            <w:tcW w:w="2551" w:type="dxa"/>
          </w:tcPr>
          <w:p w14:paraId="312E01C4" w14:textId="797BFAA4" w:rsidR="00687413" w:rsidRPr="00167108" w:rsidRDefault="00687413" w:rsidP="00DE3C08">
            <w:pPr>
              <w:pStyle w:val="Normlndobloku"/>
            </w:pPr>
          </w:p>
          <w:p w14:paraId="31D3C2C8" w14:textId="1DB43465" w:rsidR="003965F3" w:rsidRPr="00167108" w:rsidRDefault="003965F3" w:rsidP="00DE3C08">
            <w:pPr>
              <w:pStyle w:val="Normlndobloku"/>
            </w:pPr>
          </w:p>
        </w:tc>
      </w:tr>
      <w:tr w:rsidR="003965F3" w:rsidRPr="00033101" w14:paraId="5A212140" w14:textId="77777777" w:rsidTr="00863BCD">
        <w:tc>
          <w:tcPr>
            <w:tcW w:w="1668" w:type="dxa"/>
          </w:tcPr>
          <w:p w14:paraId="05243AAC" w14:textId="6C97A1A9" w:rsidR="003965F3" w:rsidRPr="00033101" w:rsidRDefault="003965F3" w:rsidP="00DE3C08">
            <w:pPr>
              <w:pStyle w:val="Normlndobloku"/>
            </w:pPr>
            <w:r w:rsidRPr="00033101">
              <w:rPr>
                <w:rStyle w:val="Bacil"/>
                <w:szCs w:val="22"/>
              </w:rPr>
              <w:t>Poruchy nervového systému</w:t>
            </w:r>
          </w:p>
        </w:tc>
        <w:tc>
          <w:tcPr>
            <w:tcW w:w="1890" w:type="dxa"/>
          </w:tcPr>
          <w:p w14:paraId="59EB7CC0" w14:textId="77777777" w:rsidR="003965F3" w:rsidRPr="00033101" w:rsidRDefault="003965F3" w:rsidP="00DE3C08">
            <w:pPr>
              <w:pStyle w:val="Normlndobloku"/>
            </w:pPr>
          </w:p>
        </w:tc>
        <w:tc>
          <w:tcPr>
            <w:tcW w:w="1890" w:type="dxa"/>
          </w:tcPr>
          <w:p w14:paraId="3A1DA84B" w14:textId="77777777" w:rsidR="003965F3" w:rsidRPr="00033101" w:rsidRDefault="003965F3" w:rsidP="00DE3C08">
            <w:pPr>
              <w:pStyle w:val="Normlndobloku"/>
            </w:pPr>
          </w:p>
        </w:tc>
        <w:tc>
          <w:tcPr>
            <w:tcW w:w="1890" w:type="dxa"/>
          </w:tcPr>
          <w:p w14:paraId="1ECE1738" w14:textId="77777777" w:rsidR="003965F3" w:rsidRPr="00033101" w:rsidRDefault="003965F3" w:rsidP="00DE3C08">
            <w:pPr>
              <w:pStyle w:val="Normlndobloku"/>
            </w:pPr>
          </w:p>
        </w:tc>
        <w:tc>
          <w:tcPr>
            <w:tcW w:w="2551" w:type="dxa"/>
          </w:tcPr>
          <w:p w14:paraId="1726C4A1" w14:textId="77777777" w:rsidR="003965F3" w:rsidRPr="00033101" w:rsidRDefault="003965F3" w:rsidP="00DE3C08">
            <w:pPr>
              <w:pStyle w:val="Normlndobloku"/>
            </w:pPr>
            <w:r w:rsidRPr="00033101">
              <w:t>Nárast intrakraniálneho tlaku (s tvorbou papiloedému)</w:t>
            </w:r>
          </w:p>
          <w:p w14:paraId="455221BD" w14:textId="77777777" w:rsidR="003965F3" w:rsidRPr="00033101" w:rsidRDefault="003965F3" w:rsidP="00DE3C08">
            <w:pPr>
              <w:pStyle w:val="Normlndobloku"/>
            </w:pPr>
            <w:r w:rsidRPr="00033101">
              <w:t>Benígna intrakraniálna hypertenzia</w:t>
            </w:r>
          </w:p>
          <w:p w14:paraId="7AE533E9" w14:textId="77777777" w:rsidR="003965F3" w:rsidRPr="00033101" w:rsidRDefault="003965F3" w:rsidP="00DE3C08">
            <w:pPr>
              <w:pStyle w:val="Normlndobloku"/>
            </w:pPr>
            <w:r w:rsidRPr="00033101">
              <w:t>Kŕče</w:t>
            </w:r>
          </w:p>
          <w:p w14:paraId="46057332" w14:textId="77777777" w:rsidR="003965F3" w:rsidRPr="00033101" w:rsidRDefault="003965F3" w:rsidP="00DE3C08">
            <w:pPr>
              <w:pStyle w:val="Normlndobloku"/>
            </w:pPr>
            <w:r w:rsidRPr="00033101">
              <w:t>Epidurálna lipomatóza (pozri časť 4.4)</w:t>
            </w:r>
          </w:p>
        </w:tc>
      </w:tr>
      <w:tr w:rsidR="003965F3" w:rsidRPr="00033101" w14:paraId="4A555DFD" w14:textId="77777777" w:rsidTr="00863BCD">
        <w:tc>
          <w:tcPr>
            <w:tcW w:w="1668" w:type="dxa"/>
          </w:tcPr>
          <w:p w14:paraId="44057728" w14:textId="5B104D88" w:rsidR="003965F3" w:rsidRPr="00033101" w:rsidRDefault="003965F3" w:rsidP="00DE3C08">
            <w:pPr>
              <w:pStyle w:val="Normlndobloku"/>
            </w:pPr>
            <w:r w:rsidRPr="00033101">
              <w:rPr>
                <w:rStyle w:val="Bacil"/>
                <w:szCs w:val="22"/>
              </w:rPr>
              <w:t>Poruchy oka</w:t>
            </w:r>
          </w:p>
        </w:tc>
        <w:tc>
          <w:tcPr>
            <w:tcW w:w="1890" w:type="dxa"/>
          </w:tcPr>
          <w:p w14:paraId="20B90A62" w14:textId="77777777" w:rsidR="003965F3" w:rsidRPr="00033101" w:rsidRDefault="003965F3" w:rsidP="00DE3C08">
            <w:pPr>
              <w:pStyle w:val="Normlndobloku"/>
            </w:pPr>
            <w:r w:rsidRPr="00033101">
              <w:t>Katarakta (šedý očný zákal)</w:t>
            </w:r>
          </w:p>
        </w:tc>
        <w:tc>
          <w:tcPr>
            <w:tcW w:w="1890" w:type="dxa"/>
          </w:tcPr>
          <w:p w14:paraId="75D004B3" w14:textId="77777777" w:rsidR="003965F3" w:rsidRPr="00033101" w:rsidRDefault="003965F3" w:rsidP="00DE3C08">
            <w:pPr>
              <w:pStyle w:val="Normlndobloku"/>
            </w:pPr>
          </w:p>
        </w:tc>
        <w:tc>
          <w:tcPr>
            <w:tcW w:w="1890" w:type="dxa"/>
          </w:tcPr>
          <w:p w14:paraId="48514295" w14:textId="3CDE2947" w:rsidR="003965F3" w:rsidRPr="00033101" w:rsidRDefault="003965F3" w:rsidP="00DE3C08">
            <w:pPr>
              <w:pStyle w:val="Normlndobloku"/>
            </w:pPr>
          </w:p>
        </w:tc>
        <w:tc>
          <w:tcPr>
            <w:tcW w:w="2551" w:type="dxa"/>
          </w:tcPr>
          <w:p w14:paraId="363643D9" w14:textId="77777777" w:rsidR="003965F3" w:rsidRPr="00033101" w:rsidRDefault="003965F3" w:rsidP="00DE3C08">
            <w:pPr>
              <w:pStyle w:val="Normlndobloku"/>
            </w:pPr>
            <w:r w:rsidRPr="00033101">
              <w:t>Glaukóm</w:t>
            </w:r>
          </w:p>
          <w:p w14:paraId="5AD5B512" w14:textId="77777777" w:rsidR="003965F3" w:rsidRPr="00033101" w:rsidRDefault="003965F3" w:rsidP="00DE3C08">
            <w:pPr>
              <w:pStyle w:val="Normlndobloku"/>
            </w:pPr>
            <w:r w:rsidRPr="00033101">
              <w:t>Exoftalmus</w:t>
            </w:r>
          </w:p>
          <w:p w14:paraId="53905A31" w14:textId="77777777" w:rsidR="003965F3" w:rsidRPr="00033101" w:rsidRDefault="003965F3" w:rsidP="00DE3C08">
            <w:pPr>
              <w:pStyle w:val="Normlndobloku"/>
            </w:pPr>
            <w:r w:rsidRPr="00033101">
              <w:t>Zvýšenie vnútroočného tlaku s možným poškodením zrakového nervu</w:t>
            </w:r>
          </w:p>
          <w:p w14:paraId="63E0DDCB" w14:textId="77777777" w:rsidR="003965F3" w:rsidRPr="00033101" w:rsidRDefault="003965F3" w:rsidP="00DE3C08">
            <w:pPr>
              <w:pStyle w:val="Normlndobloku"/>
            </w:pPr>
            <w:r w:rsidRPr="00033101">
              <w:t>Stenčenie rohovky alebo skléry</w:t>
            </w:r>
          </w:p>
          <w:p w14:paraId="44A9A656" w14:textId="77777777" w:rsidR="003965F3" w:rsidRPr="00033101" w:rsidRDefault="003965F3" w:rsidP="00DE3C08">
            <w:pPr>
              <w:pStyle w:val="Normlndobloku"/>
            </w:pPr>
            <w:r w:rsidRPr="00033101">
              <w:t>Zhoršenie očných vírusových alebo hubových ochorení</w:t>
            </w:r>
          </w:p>
          <w:p w14:paraId="55D1DF4F" w14:textId="453CA781" w:rsidR="00A8082A" w:rsidRDefault="00A8082A" w:rsidP="00DE3C08">
            <w:pPr>
              <w:pStyle w:val="Normlndobloku"/>
            </w:pPr>
            <w:r w:rsidRPr="00033101">
              <w:t>Rozmazané videnie (pozri tiež časť 4.4)</w:t>
            </w:r>
          </w:p>
          <w:p w14:paraId="3B5F192B" w14:textId="6F70BDBA" w:rsidR="003965F3" w:rsidRPr="00033101" w:rsidRDefault="003965F3" w:rsidP="00DE3C08">
            <w:pPr>
              <w:pStyle w:val="Normlndobloku"/>
            </w:pPr>
            <w:r w:rsidRPr="00033101">
              <w:t>Centrálna serózna chorioretinopatia (pozri časť 4.4)</w:t>
            </w:r>
          </w:p>
        </w:tc>
      </w:tr>
      <w:tr w:rsidR="003965F3" w:rsidRPr="00033101" w14:paraId="662C5F4E" w14:textId="77777777" w:rsidTr="00863BCD">
        <w:tc>
          <w:tcPr>
            <w:tcW w:w="1668" w:type="dxa"/>
          </w:tcPr>
          <w:p w14:paraId="480384CE" w14:textId="0E7DB73B" w:rsidR="003965F3" w:rsidRPr="00033101" w:rsidRDefault="003965F3" w:rsidP="00DE3C08">
            <w:pPr>
              <w:pStyle w:val="Normlndobloku"/>
              <w:rPr>
                <w:rStyle w:val="Bacil"/>
                <w:szCs w:val="22"/>
              </w:rPr>
            </w:pPr>
            <w:r w:rsidRPr="00033101">
              <w:rPr>
                <w:rStyle w:val="Bacil"/>
                <w:szCs w:val="22"/>
              </w:rPr>
              <w:t>Poruchy srdca a srdcovej činnosti</w:t>
            </w:r>
          </w:p>
        </w:tc>
        <w:tc>
          <w:tcPr>
            <w:tcW w:w="1890" w:type="dxa"/>
          </w:tcPr>
          <w:p w14:paraId="4A0AC121" w14:textId="77777777" w:rsidR="003965F3" w:rsidRPr="00033101" w:rsidRDefault="003965F3" w:rsidP="00DE3C08">
            <w:pPr>
              <w:pStyle w:val="Normlndobloku"/>
            </w:pPr>
          </w:p>
        </w:tc>
        <w:tc>
          <w:tcPr>
            <w:tcW w:w="1890" w:type="dxa"/>
          </w:tcPr>
          <w:p w14:paraId="199FF737" w14:textId="77777777" w:rsidR="003965F3" w:rsidRPr="00033101" w:rsidRDefault="003965F3" w:rsidP="00DE3C08">
            <w:pPr>
              <w:pStyle w:val="Normlndobloku"/>
            </w:pPr>
          </w:p>
        </w:tc>
        <w:tc>
          <w:tcPr>
            <w:tcW w:w="1890" w:type="dxa"/>
          </w:tcPr>
          <w:p w14:paraId="28DBC5DC" w14:textId="77777777" w:rsidR="003965F3" w:rsidRPr="00033101" w:rsidRDefault="003965F3" w:rsidP="00DE3C08">
            <w:pPr>
              <w:pStyle w:val="Normlndobloku"/>
            </w:pPr>
          </w:p>
        </w:tc>
        <w:tc>
          <w:tcPr>
            <w:tcW w:w="2551" w:type="dxa"/>
          </w:tcPr>
          <w:p w14:paraId="142A8EAD" w14:textId="77777777" w:rsidR="003965F3" w:rsidRPr="00033101" w:rsidRDefault="003965F3" w:rsidP="00DE3C08">
            <w:pPr>
              <w:pStyle w:val="Normlndobloku"/>
            </w:pPr>
            <w:r w:rsidRPr="00033101">
              <w:t>Kongestívne zlyhanie srdca (pri citlivých pacientoch)</w:t>
            </w:r>
          </w:p>
          <w:p w14:paraId="3FB036A0" w14:textId="77777777" w:rsidR="003965F3" w:rsidRPr="00033101" w:rsidRDefault="003965F3" w:rsidP="00DE3C08">
            <w:pPr>
              <w:pStyle w:val="Normlndobloku"/>
            </w:pPr>
            <w:r w:rsidRPr="00033101">
              <w:t>Ruptúra myokardu po infarkte myokardu</w:t>
            </w:r>
          </w:p>
        </w:tc>
      </w:tr>
      <w:tr w:rsidR="003965F3" w:rsidRPr="00033101" w14:paraId="0C4B2C7B" w14:textId="77777777" w:rsidTr="00863BCD">
        <w:tc>
          <w:tcPr>
            <w:tcW w:w="1668" w:type="dxa"/>
          </w:tcPr>
          <w:p w14:paraId="4F51229B" w14:textId="2803DD1E" w:rsidR="003965F3" w:rsidRPr="00033101" w:rsidRDefault="003965F3" w:rsidP="00DE3C08">
            <w:pPr>
              <w:pStyle w:val="Normlndobloku"/>
              <w:rPr>
                <w:rStyle w:val="Bacil"/>
                <w:szCs w:val="22"/>
              </w:rPr>
            </w:pPr>
            <w:r w:rsidRPr="00033101">
              <w:rPr>
                <w:rStyle w:val="Bacil"/>
                <w:szCs w:val="22"/>
              </w:rPr>
              <w:t>Poruchy ciev</w:t>
            </w:r>
          </w:p>
        </w:tc>
        <w:tc>
          <w:tcPr>
            <w:tcW w:w="1890" w:type="dxa"/>
          </w:tcPr>
          <w:p w14:paraId="76A96407" w14:textId="77777777" w:rsidR="003965F3" w:rsidRPr="00033101" w:rsidRDefault="003965F3" w:rsidP="00DE3C08">
            <w:pPr>
              <w:pStyle w:val="Normlndobloku"/>
            </w:pPr>
          </w:p>
        </w:tc>
        <w:tc>
          <w:tcPr>
            <w:tcW w:w="1890" w:type="dxa"/>
          </w:tcPr>
          <w:p w14:paraId="5B6F6AEF" w14:textId="77777777" w:rsidR="003965F3" w:rsidRPr="00033101" w:rsidRDefault="003965F3" w:rsidP="00DE3C08">
            <w:pPr>
              <w:pStyle w:val="Normlndobloku"/>
            </w:pPr>
          </w:p>
        </w:tc>
        <w:tc>
          <w:tcPr>
            <w:tcW w:w="1890" w:type="dxa"/>
          </w:tcPr>
          <w:p w14:paraId="5C663F8B" w14:textId="77777777" w:rsidR="003965F3" w:rsidRPr="00033101" w:rsidRDefault="003965F3" w:rsidP="00DE3C08">
            <w:pPr>
              <w:pStyle w:val="Normlndobloku"/>
            </w:pPr>
          </w:p>
        </w:tc>
        <w:tc>
          <w:tcPr>
            <w:tcW w:w="2551" w:type="dxa"/>
          </w:tcPr>
          <w:p w14:paraId="032D5CCD" w14:textId="77777777" w:rsidR="003965F3" w:rsidRPr="00033101" w:rsidRDefault="003965F3" w:rsidP="00DE3C08">
            <w:pPr>
              <w:pStyle w:val="Normlndobloku"/>
            </w:pPr>
            <w:r w:rsidRPr="00033101">
              <w:t>Hypertenzia</w:t>
            </w:r>
          </w:p>
          <w:p w14:paraId="7E4DDE04" w14:textId="77777777" w:rsidR="003965F3" w:rsidRPr="00033101" w:rsidRDefault="003965F3" w:rsidP="00DE3C08">
            <w:pPr>
              <w:pStyle w:val="Normlndobloku"/>
            </w:pPr>
            <w:r w:rsidRPr="00033101">
              <w:t>Tromboembólia</w:t>
            </w:r>
          </w:p>
        </w:tc>
      </w:tr>
      <w:tr w:rsidR="003965F3" w:rsidRPr="00033101" w14:paraId="5AF6C14A" w14:textId="77777777" w:rsidTr="00863BCD">
        <w:tc>
          <w:tcPr>
            <w:tcW w:w="1668" w:type="dxa"/>
          </w:tcPr>
          <w:p w14:paraId="3AF619D0" w14:textId="1C73BB30" w:rsidR="003965F3" w:rsidRPr="00033101" w:rsidRDefault="003965F3" w:rsidP="00DE3C08">
            <w:pPr>
              <w:pStyle w:val="Normlndobloku"/>
              <w:rPr>
                <w:rStyle w:val="Bacil"/>
                <w:szCs w:val="22"/>
              </w:rPr>
            </w:pPr>
            <w:r w:rsidRPr="00033101">
              <w:rPr>
                <w:rStyle w:val="Bacil"/>
                <w:szCs w:val="22"/>
              </w:rPr>
              <w:t>Poruchy dýchacej sústavy, hrudníka a mediastína</w:t>
            </w:r>
          </w:p>
        </w:tc>
        <w:tc>
          <w:tcPr>
            <w:tcW w:w="1890" w:type="dxa"/>
          </w:tcPr>
          <w:p w14:paraId="0E492412" w14:textId="77777777" w:rsidR="003965F3" w:rsidRPr="00033101" w:rsidRDefault="003965F3" w:rsidP="00DE3C08">
            <w:pPr>
              <w:pStyle w:val="Normlndobloku"/>
            </w:pPr>
          </w:p>
        </w:tc>
        <w:tc>
          <w:tcPr>
            <w:tcW w:w="1890" w:type="dxa"/>
          </w:tcPr>
          <w:p w14:paraId="26F98269" w14:textId="77777777" w:rsidR="003965F3" w:rsidRPr="00033101" w:rsidRDefault="003965F3" w:rsidP="00DE3C08">
            <w:pPr>
              <w:pStyle w:val="Normlndobloku"/>
            </w:pPr>
          </w:p>
        </w:tc>
        <w:tc>
          <w:tcPr>
            <w:tcW w:w="1890" w:type="dxa"/>
          </w:tcPr>
          <w:p w14:paraId="4D0CAEA4" w14:textId="77777777" w:rsidR="003965F3" w:rsidRPr="00033101" w:rsidRDefault="003965F3" w:rsidP="00DE3C08">
            <w:pPr>
              <w:pStyle w:val="Normlndobloku"/>
            </w:pPr>
          </w:p>
        </w:tc>
        <w:tc>
          <w:tcPr>
            <w:tcW w:w="2551" w:type="dxa"/>
          </w:tcPr>
          <w:p w14:paraId="330ED464" w14:textId="77777777" w:rsidR="003965F3" w:rsidRPr="00033101" w:rsidRDefault="003965F3" w:rsidP="00DE3C08">
            <w:pPr>
              <w:pStyle w:val="Normlndobloku"/>
            </w:pPr>
            <w:r w:rsidRPr="00033101">
              <w:t>Čkanie</w:t>
            </w:r>
          </w:p>
        </w:tc>
      </w:tr>
      <w:tr w:rsidR="003965F3" w:rsidRPr="00033101" w14:paraId="0F78D118" w14:textId="77777777" w:rsidTr="00863BCD">
        <w:tc>
          <w:tcPr>
            <w:tcW w:w="1668" w:type="dxa"/>
          </w:tcPr>
          <w:p w14:paraId="4762203B" w14:textId="09A693AC" w:rsidR="003965F3" w:rsidRPr="00033101" w:rsidRDefault="003965F3" w:rsidP="00DE3C08">
            <w:pPr>
              <w:pStyle w:val="Normlndobloku"/>
            </w:pPr>
            <w:r w:rsidRPr="00033101">
              <w:rPr>
                <w:rStyle w:val="Bacil"/>
                <w:szCs w:val="22"/>
              </w:rPr>
              <w:t>Poruchy gastrointestinálneho traktu</w:t>
            </w:r>
          </w:p>
        </w:tc>
        <w:tc>
          <w:tcPr>
            <w:tcW w:w="1890" w:type="dxa"/>
          </w:tcPr>
          <w:p w14:paraId="1A7B43F0" w14:textId="77777777" w:rsidR="003965F3" w:rsidRPr="00033101" w:rsidRDefault="003965F3" w:rsidP="00DE3C08">
            <w:pPr>
              <w:pStyle w:val="Normlndobloku"/>
            </w:pPr>
            <w:r w:rsidRPr="00033101">
              <w:t>Dyspepsia</w:t>
            </w:r>
          </w:p>
        </w:tc>
        <w:tc>
          <w:tcPr>
            <w:tcW w:w="1890" w:type="dxa"/>
          </w:tcPr>
          <w:p w14:paraId="05EA1320" w14:textId="77777777" w:rsidR="003965F3" w:rsidRPr="00033101" w:rsidRDefault="003965F3" w:rsidP="00DE3C08">
            <w:pPr>
              <w:pStyle w:val="Normlndobloku"/>
            </w:pPr>
          </w:p>
        </w:tc>
        <w:tc>
          <w:tcPr>
            <w:tcW w:w="1890" w:type="dxa"/>
          </w:tcPr>
          <w:p w14:paraId="7FEC6A4B" w14:textId="77777777" w:rsidR="003965F3" w:rsidRPr="00033101" w:rsidRDefault="003965F3" w:rsidP="00DE3C08">
            <w:pPr>
              <w:pStyle w:val="Normlndobloku"/>
            </w:pPr>
          </w:p>
        </w:tc>
        <w:tc>
          <w:tcPr>
            <w:tcW w:w="2551" w:type="dxa"/>
          </w:tcPr>
          <w:p w14:paraId="1C9F1351" w14:textId="77777777" w:rsidR="003965F3" w:rsidRPr="00033101" w:rsidRDefault="003965F3" w:rsidP="00DE3C08">
            <w:pPr>
              <w:pStyle w:val="Normlndobloku"/>
            </w:pPr>
            <w:r w:rsidRPr="00033101">
              <w:t>Peptická ulcerácia (s možnou perforáciou a krvácaním)</w:t>
            </w:r>
          </w:p>
          <w:p w14:paraId="1DB4D535" w14:textId="77777777" w:rsidR="003965F3" w:rsidRPr="00033101" w:rsidRDefault="003965F3" w:rsidP="00DE3C08">
            <w:pPr>
              <w:pStyle w:val="Normlndobloku"/>
            </w:pPr>
            <w:r w:rsidRPr="00033101">
              <w:t>Žalúdočné krvácanie</w:t>
            </w:r>
          </w:p>
          <w:p w14:paraId="3D64105F" w14:textId="77777777" w:rsidR="003965F3" w:rsidRPr="00033101" w:rsidRDefault="003965F3" w:rsidP="00DE3C08">
            <w:pPr>
              <w:pStyle w:val="Normlndobloku"/>
            </w:pPr>
            <w:r w:rsidRPr="00033101">
              <w:t>Pankreatitída</w:t>
            </w:r>
          </w:p>
          <w:p w14:paraId="42D4D63E" w14:textId="77777777" w:rsidR="003965F3" w:rsidRPr="00033101" w:rsidRDefault="003965F3" w:rsidP="00DE3C08">
            <w:pPr>
              <w:pStyle w:val="Normlndobloku"/>
            </w:pPr>
            <w:r w:rsidRPr="00033101">
              <w:t>Abdominálna distenzia</w:t>
            </w:r>
          </w:p>
          <w:p w14:paraId="7A2BD82B" w14:textId="77777777" w:rsidR="003965F3" w:rsidRPr="00033101" w:rsidRDefault="003965F3" w:rsidP="00DE3C08">
            <w:pPr>
              <w:pStyle w:val="Normlndobloku"/>
            </w:pPr>
            <w:r w:rsidRPr="00033101">
              <w:t>Ezofagiálna ulcerácia</w:t>
            </w:r>
          </w:p>
          <w:p w14:paraId="7F10ED0B" w14:textId="77777777" w:rsidR="003965F3" w:rsidRPr="00033101" w:rsidRDefault="003965F3" w:rsidP="00DE3C08">
            <w:pPr>
              <w:pStyle w:val="Normlndobloku"/>
            </w:pPr>
            <w:r w:rsidRPr="00033101">
              <w:t>Ezofagiálna kandidóza</w:t>
            </w:r>
          </w:p>
          <w:p w14:paraId="4762AFEA" w14:textId="77777777" w:rsidR="003965F3" w:rsidRPr="00033101" w:rsidRDefault="003965F3" w:rsidP="00DE3C08">
            <w:pPr>
              <w:pStyle w:val="Normlndobloku"/>
            </w:pPr>
            <w:r w:rsidRPr="00033101">
              <w:t>Perforácia čreva</w:t>
            </w:r>
          </w:p>
          <w:p w14:paraId="300373A8" w14:textId="77777777" w:rsidR="003965F3" w:rsidRPr="00033101" w:rsidRDefault="003965F3" w:rsidP="00DE3C08">
            <w:pPr>
              <w:pStyle w:val="Normlndobloku"/>
            </w:pPr>
            <w:r w:rsidRPr="00033101">
              <w:t>Nauzea</w:t>
            </w:r>
          </w:p>
        </w:tc>
      </w:tr>
      <w:tr w:rsidR="003965F3" w:rsidRPr="00033101" w14:paraId="23DFB40A" w14:textId="77777777" w:rsidTr="00863BCD">
        <w:tc>
          <w:tcPr>
            <w:tcW w:w="1668" w:type="dxa"/>
          </w:tcPr>
          <w:p w14:paraId="28FA5020" w14:textId="79CC5BC2" w:rsidR="003965F3" w:rsidRPr="00033101" w:rsidRDefault="003965F3" w:rsidP="00DE3C08">
            <w:pPr>
              <w:pStyle w:val="Normlndobloku"/>
            </w:pPr>
            <w:r w:rsidRPr="00033101">
              <w:rPr>
                <w:rStyle w:val="Bacil"/>
                <w:szCs w:val="22"/>
              </w:rPr>
              <w:t>Poruchy kože a podkožného tkaniva</w:t>
            </w:r>
          </w:p>
        </w:tc>
        <w:tc>
          <w:tcPr>
            <w:tcW w:w="1890" w:type="dxa"/>
          </w:tcPr>
          <w:p w14:paraId="25E09D44" w14:textId="77777777" w:rsidR="003965F3" w:rsidRPr="00033101" w:rsidRDefault="003965F3" w:rsidP="00DE3C08">
            <w:pPr>
              <w:pStyle w:val="Normlndobloku"/>
            </w:pPr>
            <w:r w:rsidRPr="00033101">
              <w:t>Spomalené hojenie</w:t>
            </w:r>
          </w:p>
        </w:tc>
        <w:tc>
          <w:tcPr>
            <w:tcW w:w="1890" w:type="dxa"/>
          </w:tcPr>
          <w:p w14:paraId="34FDF1AD" w14:textId="77777777" w:rsidR="003965F3" w:rsidRPr="00033101" w:rsidRDefault="003965F3" w:rsidP="00DE3C08">
            <w:pPr>
              <w:pStyle w:val="Normlndobloku"/>
            </w:pPr>
          </w:p>
        </w:tc>
        <w:tc>
          <w:tcPr>
            <w:tcW w:w="1890" w:type="dxa"/>
          </w:tcPr>
          <w:p w14:paraId="0D2D47A0" w14:textId="2C61747B" w:rsidR="003965F3" w:rsidRPr="00033101" w:rsidRDefault="003965F3" w:rsidP="00DE3C08">
            <w:pPr>
              <w:pStyle w:val="Normlndobloku"/>
            </w:pPr>
            <w:r w:rsidRPr="00033101">
              <w:t>Hypopigmentácia alebo hyperpigmentácia, sterilný absces, edém alebo urtikária</w:t>
            </w:r>
          </w:p>
        </w:tc>
        <w:tc>
          <w:tcPr>
            <w:tcW w:w="2551" w:type="dxa"/>
          </w:tcPr>
          <w:p w14:paraId="2B3B99AB" w14:textId="77777777" w:rsidR="003965F3" w:rsidRPr="00033101" w:rsidRDefault="003965F3" w:rsidP="00DE3C08">
            <w:pPr>
              <w:pStyle w:val="Normlndobloku"/>
            </w:pPr>
            <w:r w:rsidRPr="00033101">
              <w:t>Petéchie</w:t>
            </w:r>
          </w:p>
          <w:p w14:paraId="2882ED65" w14:textId="77777777" w:rsidR="003965F3" w:rsidRPr="00033101" w:rsidRDefault="003965F3" w:rsidP="00DE3C08">
            <w:pPr>
              <w:pStyle w:val="Normlndobloku"/>
            </w:pPr>
            <w:r w:rsidRPr="00033101">
              <w:t>Telangiektázia</w:t>
            </w:r>
          </w:p>
          <w:p w14:paraId="41D9FEFA" w14:textId="77777777" w:rsidR="003965F3" w:rsidRPr="00033101" w:rsidRDefault="003965F3" w:rsidP="00DE3C08">
            <w:pPr>
              <w:pStyle w:val="Normlndobloku"/>
            </w:pPr>
            <w:r w:rsidRPr="00033101">
              <w:t>Ekchymózy</w:t>
            </w:r>
          </w:p>
          <w:p w14:paraId="63179B01" w14:textId="77777777" w:rsidR="003965F3" w:rsidRPr="00033101" w:rsidRDefault="003965F3" w:rsidP="00DE3C08">
            <w:pPr>
              <w:pStyle w:val="Normlndobloku"/>
            </w:pPr>
            <w:r w:rsidRPr="00033101">
              <w:t>Atrofia kože alebo podkožného tkaniva</w:t>
            </w:r>
          </w:p>
          <w:p w14:paraId="1BA25B91" w14:textId="77777777" w:rsidR="003965F3" w:rsidRPr="00033101" w:rsidRDefault="003965F3" w:rsidP="00DE3C08">
            <w:pPr>
              <w:pStyle w:val="Normlndobloku"/>
            </w:pPr>
            <w:r w:rsidRPr="00033101">
              <w:t>Kožné strie</w:t>
            </w:r>
          </w:p>
          <w:p w14:paraId="3E9F9A39" w14:textId="77777777" w:rsidR="003965F3" w:rsidRPr="00033101" w:rsidRDefault="003965F3" w:rsidP="00DE3C08">
            <w:pPr>
              <w:pStyle w:val="Normlndobloku"/>
            </w:pPr>
            <w:r w:rsidRPr="00033101">
              <w:t>Hirzutizmus</w:t>
            </w:r>
          </w:p>
          <w:p w14:paraId="0BEC60AA" w14:textId="77777777" w:rsidR="003965F3" w:rsidRPr="00033101" w:rsidRDefault="003965F3" w:rsidP="00DE3C08">
            <w:pPr>
              <w:pStyle w:val="Normlndobloku"/>
            </w:pPr>
            <w:r w:rsidRPr="00033101">
              <w:t>Akné</w:t>
            </w:r>
          </w:p>
          <w:p w14:paraId="06451913" w14:textId="77777777" w:rsidR="003965F3" w:rsidRPr="00033101" w:rsidRDefault="003965F3" w:rsidP="00DE3C08">
            <w:pPr>
              <w:pStyle w:val="Normlndobloku"/>
            </w:pPr>
            <w:r w:rsidRPr="00033101">
              <w:t>Hyperhidróza</w:t>
            </w:r>
          </w:p>
        </w:tc>
      </w:tr>
      <w:tr w:rsidR="003965F3" w:rsidRPr="00033101" w14:paraId="6BD69B6A" w14:textId="77777777" w:rsidTr="00863BCD">
        <w:tc>
          <w:tcPr>
            <w:tcW w:w="1668" w:type="dxa"/>
          </w:tcPr>
          <w:p w14:paraId="580A97B5" w14:textId="6739C92B" w:rsidR="003965F3" w:rsidRPr="00033101" w:rsidRDefault="003965F3" w:rsidP="00DE3C08">
            <w:pPr>
              <w:pStyle w:val="Normlndobloku"/>
            </w:pPr>
            <w:r w:rsidRPr="00033101">
              <w:rPr>
                <w:rStyle w:val="Bacil"/>
                <w:szCs w:val="22"/>
              </w:rPr>
              <w:t>Poruchy kostrovej a svalovej sústavy a spojivového tkaniva</w:t>
            </w:r>
          </w:p>
        </w:tc>
        <w:tc>
          <w:tcPr>
            <w:tcW w:w="1890" w:type="dxa"/>
          </w:tcPr>
          <w:p w14:paraId="296ADDD0" w14:textId="77777777" w:rsidR="003965F3" w:rsidRPr="00033101" w:rsidRDefault="003965F3" w:rsidP="00DE3C08">
            <w:pPr>
              <w:pStyle w:val="Normlndobloku"/>
            </w:pPr>
            <w:r w:rsidRPr="00033101">
              <w:t>Proximálna myopatia, osteoporóza, zlomeniny dlhých kostí a stavcov</w:t>
            </w:r>
          </w:p>
        </w:tc>
        <w:tc>
          <w:tcPr>
            <w:tcW w:w="1890" w:type="dxa"/>
          </w:tcPr>
          <w:p w14:paraId="03CC2CFD" w14:textId="77777777" w:rsidR="003965F3" w:rsidRPr="00033101" w:rsidRDefault="003965F3" w:rsidP="00DE3C08">
            <w:pPr>
              <w:pStyle w:val="Normlndobloku"/>
            </w:pPr>
          </w:p>
        </w:tc>
        <w:tc>
          <w:tcPr>
            <w:tcW w:w="1890" w:type="dxa"/>
          </w:tcPr>
          <w:p w14:paraId="4AE690C5" w14:textId="77777777" w:rsidR="003965F3" w:rsidRPr="00033101" w:rsidRDefault="003965F3" w:rsidP="00DE3C08">
            <w:pPr>
              <w:pStyle w:val="Normlndobloku"/>
            </w:pPr>
          </w:p>
        </w:tc>
        <w:tc>
          <w:tcPr>
            <w:tcW w:w="2551" w:type="dxa"/>
          </w:tcPr>
          <w:p w14:paraId="3A5C812E" w14:textId="77777777" w:rsidR="003965F3" w:rsidRPr="00033101" w:rsidRDefault="003965F3" w:rsidP="00DE3C08">
            <w:pPr>
              <w:pStyle w:val="Normlndobloku"/>
            </w:pPr>
            <w:r w:rsidRPr="00033101">
              <w:t>Svalová slabosť</w:t>
            </w:r>
          </w:p>
          <w:p w14:paraId="09D48B38" w14:textId="77777777" w:rsidR="003965F3" w:rsidRPr="00033101" w:rsidRDefault="003965F3" w:rsidP="00DE3C08">
            <w:pPr>
              <w:pStyle w:val="Normlndobloku"/>
            </w:pPr>
            <w:r w:rsidRPr="00033101">
              <w:t>Osteonekróza</w:t>
            </w:r>
          </w:p>
          <w:p w14:paraId="39ED9E17" w14:textId="77777777" w:rsidR="003965F3" w:rsidRPr="00033101" w:rsidRDefault="003965F3" w:rsidP="00DE3C08">
            <w:pPr>
              <w:pStyle w:val="Normlndobloku"/>
            </w:pPr>
            <w:r w:rsidRPr="00033101">
              <w:t>Rastová retardácia</w:t>
            </w:r>
          </w:p>
        </w:tc>
      </w:tr>
      <w:tr w:rsidR="003965F3" w:rsidRPr="00033101" w14:paraId="0033A295" w14:textId="77777777" w:rsidTr="00863BCD">
        <w:tc>
          <w:tcPr>
            <w:tcW w:w="1668" w:type="dxa"/>
          </w:tcPr>
          <w:p w14:paraId="23152127" w14:textId="2D9DC2FA" w:rsidR="003965F3" w:rsidRPr="00167108" w:rsidRDefault="003965F3" w:rsidP="00DE3C08">
            <w:pPr>
              <w:pStyle w:val="Normlndobloku"/>
              <w:rPr>
                <w:rStyle w:val="Bacil"/>
                <w:szCs w:val="22"/>
              </w:rPr>
            </w:pPr>
            <w:r w:rsidRPr="00033101">
              <w:rPr>
                <w:rStyle w:val="Bacil"/>
                <w:szCs w:val="22"/>
              </w:rPr>
              <w:t>Poruchy reprodukčného systému a</w:t>
            </w:r>
            <w:r>
              <w:rPr>
                <w:rStyle w:val="Bacil"/>
                <w:szCs w:val="22"/>
              </w:rPr>
              <w:t> </w:t>
            </w:r>
            <w:r w:rsidRPr="00167108">
              <w:rPr>
                <w:rStyle w:val="Bacil"/>
                <w:szCs w:val="22"/>
              </w:rPr>
              <w:t>prsníkov</w:t>
            </w:r>
          </w:p>
        </w:tc>
        <w:tc>
          <w:tcPr>
            <w:tcW w:w="1890" w:type="dxa"/>
          </w:tcPr>
          <w:p w14:paraId="7CA5A184" w14:textId="77777777" w:rsidR="003965F3" w:rsidRPr="00167108" w:rsidRDefault="003965F3" w:rsidP="00DE3C08">
            <w:pPr>
              <w:pStyle w:val="Normlndobloku"/>
            </w:pPr>
          </w:p>
        </w:tc>
        <w:tc>
          <w:tcPr>
            <w:tcW w:w="1890" w:type="dxa"/>
          </w:tcPr>
          <w:p w14:paraId="793248AD" w14:textId="77777777" w:rsidR="003965F3" w:rsidRPr="00167108" w:rsidRDefault="003965F3" w:rsidP="00DE3C08">
            <w:pPr>
              <w:pStyle w:val="Normlndobloku"/>
            </w:pPr>
          </w:p>
        </w:tc>
        <w:tc>
          <w:tcPr>
            <w:tcW w:w="1890" w:type="dxa"/>
          </w:tcPr>
          <w:p w14:paraId="191AFB47" w14:textId="77777777" w:rsidR="003965F3" w:rsidRPr="00033101" w:rsidRDefault="003965F3" w:rsidP="00DE3C08">
            <w:pPr>
              <w:pStyle w:val="Normlndobloku"/>
            </w:pPr>
          </w:p>
        </w:tc>
        <w:tc>
          <w:tcPr>
            <w:tcW w:w="2551" w:type="dxa"/>
          </w:tcPr>
          <w:p w14:paraId="51BA4290" w14:textId="77777777" w:rsidR="003965F3" w:rsidRPr="00033101" w:rsidRDefault="003965F3" w:rsidP="00DE3C08">
            <w:pPr>
              <w:pStyle w:val="Normlndobloku"/>
            </w:pPr>
            <w:r w:rsidRPr="00033101">
              <w:t>Nepravidelná menštruácia</w:t>
            </w:r>
          </w:p>
          <w:p w14:paraId="719870FE" w14:textId="77777777" w:rsidR="003965F3" w:rsidRPr="00033101" w:rsidRDefault="003965F3" w:rsidP="00DE3C08">
            <w:pPr>
              <w:pStyle w:val="Normlndobloku"/>
            </w:pPr>
            <w:r w:rsidRPr="00033101">
              <w:t>Amenorea</w:t>
            </w:r>
          </w:p>
        </w:tc>
      </w:tr>
      <w:tr w:rsidR="003965F3" w:rsidRPr="00033101" w14:paraId="38662C37" w14:textId="77777777" w:rsidTr="00863BCD">
        <w:tc>
          <w:tcPr>
            <w:tcW w:w="1668" w:type="dxa"/>
          </w:tcPr>
          <w:p w14:paraId="57F0ED98" w14:textId="49FB2CC1" w:rsidR="003965F3" w:rsidRPr="00167108" w:rsidRDefault="003965F3" w:rsidP="00DE3C08">
            <w:pPr>
              <w:pStyle w:val="Normlndobloku"/>
              <w:rPr>
                <w:rStyle w:val="Bacil"/>
                <w:szCs w:val="22"/>
              </w:rPr>
            </w:pPr>
            <w:r w:rsidRPr="00033101">
              <w:rPr>
                <w:rStyle w:val="Bacil"/>
                <w:szCs w:val="22"/>
              </w:rPr>
              <w:t>Celkové poruchy a reakcie v</w:t>
            </w:r>
            <w:r>
              <w:rPr>
                <w:rStyle w:val="Bacil"/>
                <w:szCs w:val="22"/>
              </w:rPr>
              <w:t> </w:t>
            </w:r>
            <w:r w:rsidRPr="00167108">
              <w:rPr>
                <w:rStyle w:val="Bacil"/>
                <w:szCs w:val="22"/>
              </w:rPr>
              <w:t>mieste podania</w:t>
            </w:r>
          </w:p>
        </w:tc>
        <w:tc>
          <w:tcPr>
            <w:tcW w:w="1890" w:type="dxa"/>
          </w:tcPr>
          <w:p w14:paraId="50D7B44A" w14:textId="77777777" w:rsidR="003965F3" w:rsidRPr="00167108" w:rsidRDefault="003965F3" w:rsidP="00DE3C08">
            <w:pPr>
              <w:pStyle w:val="Normlndobloku"/>
            </w:pPr>
          </w:p>
        </w:tc>
        <w:tc>
          <w:tcPr>
            <w:tcW w:w="1890" w:type="dxa"/>
          </w:tcPr>
          <w:p w14:paraId="7E2C5B76" w14:textId="77777777" w:rsidR="003965F3" w:rsidRPr="00167108" w:rsidRDefault="003965F3" w:rsidP="00DE3C08">
            <w:pPr>
              <w:pStyle w:val="Normlndobloku"/>
            </w:pPr>
          </w:p>
        </w:tc>
        <w:tc>
          <w:tcPr>
            <w:tcW w:w="1890" w:type="dxa"/>
          </w:tcPr>
          <w:p w14:paraId="06BDC33E" w14:textId="77777777" w:rsidR="003965F3" w:rsidRPr="00167108" w:rsidRDefault="003965F3" w:rsidP="00DE3C08">
            <w:pPr>
              <w:pStyle w:val="Normlndobloku"/>
            </w:pPr>
          </w:p>
        </w:tc>
        <w:tc>
          <w:tcPr>
            <w:tcW w:w="2551" w:type="dxa"/>
          </w:tcPr>
          <w:p w14:paraId="188A9D77" w14:textId="77777777" w:rsidR="003965F3" w:rsidRPr="00033101" w:rsidRDefault="003965F3" w:rsidP="00DE3C08">
            <w:pPr>
              <w:pStyle w:val="Normlndobloku"/>
            </w:pPr>
            <w:r w:rsidRPr="00033101">
              <w:t>Zhoršené hojenie</w:t>
            </w:r>
          </w:p>
          <w:p w14:paraId="3D4FC5DB" w14:textId="77BB275F" w:rsidR="00A65A30" w:rsidRPr="00033101" w:rsidRDefault="003965F3" w:rsidP="00DE3C08">
            <w:pPr>
              <w:pStyle w:val="Normlndobloku"/>
            </w:pPr>
            <w:r w:rsidRPr="00033101">
              <w:t>Sterilný absces</w:t>
            </w:r>
          </w:p>
        </w:tc>
      </w:tr>
      <w:tr w:rsidR="003965F3" w:rsidRPr="00033101" w14:paraId="0DE0B48D" w14:textId="77777777" w:rsidTr="00863BCD">
        <w:tc>
          <w:tcPr>
            <w:tcW w:w="1668" w:type="dxa"/>
          </w:tcPr>
          <w:p w14:paraId="42BB02A9" w14:textId="5185C9CF" w:rsidR="003965F3" w:rsidRPr="00033101" w:rsidRDefault="003965F3" w:rsidP="00DE3C08">
            <w:pPr>
              <w:pStyle w:val="Normlndobloku"/>
              <w:rPr>
                <w:rStyle w:val="Bacil"/>
                <w:szCs w:val="22"/>
              </w:rPr>
            </w:pPr>
            <w:r w:rsidRPr="00033101">
              <w:rPr>
                <w:rStyle w:val="Bacil"/>
                <w:szCs w:val="22"/>
              </w:rPr>
              <w:t>Laboratórne a funkčné vyšetrenia</w:t>
            </w:r>
          </w:p>
        </w:tc>
        <w:tc>
          <w:tcPr>
            <w:tcW w:w="1890" w:type="dxa"/>
          </w:tcPr>
          <w:p w14:paraId="1B61EE94" w14:textId="77777777" w:rsidR="003965F3" w:rsidRPr="00033101" w:rsidRDefault="003965F3" w:rsidP="00DE3C08">
            <w:pPr>
              <w:pStyle w:val="Normlndobloku"/>
            </w:pPr>
          </w:p>
        </w:tc>
        <w:tc>
          <w:tcPr>
            <w:tcW w:w="1890" w:type="dxa"/>
          </w:tcPr>
          <w:p w14:paraId="170A6DCC" w14:textId="77777777" w:rsidR="003965F3" w:rsidRPr="00033101" w:rsidRDefault="003965F3" w:rsidP="00DE3C08">
            <w:pPr>
              <w:pStyle w:val="Normlndobloku"/>
            </w:pPr>
          </w:p>
        </w:tc>
        <w:tc>
          <w:tcPr>
            <w:tcW w:w="1890" w:type="dxa"/>
          </w:tcPr>
          <w:p w14:paraId="0622F046" w14:textId="77777777" w:rsidR="003965F3" w:rsidRPr="00033101" w:rsidRDefault="003965F3" w:rsidP="00DE3C08">
            <w:pPr>
              <w:pStyle w:val="Normlndobloku"/>
            </w:pPr>
          </w:p>
        </w:tc>
        <w:tc>
          <w:tcPr>
            <w:tcW w:w="2551" w:type="dxa"/>
          </w:tcPr>
          <w:p w14:paraId="0E5DACD9" w14:textId="77777777" w:rsidR="003965F3" w:rsidRPr="00033101" w:rsidRDefault="003965F3" w:rsidP="00DE3C08">
            <w:pPr>
              <w:pStyle w:val="Normlndobloku"/>
            </w:pPr>
            <w:r w:rsidRPr="00033101">
              <w:t>Znížená tolerancia sacharidov</w:t>
            </w:r>
          </w:p>
          <w:p w14:paraId="3ABCB462" w14:textId="77777777" w:rsidR="003965F3" w:rsidRPr="00033101" w:rsidRDefault="003965F3" w:rsidP="00DE3C08">
            <w:pPr>
              <w:pStyle w:val="Normlndobloku"/>
            </w:pPr>
            <w:r w:rsidRPr="00033101">
              <w:t>Zvýšená potreba inzulínu (alebo perorálne aplikovaných hypoglykemických látok u diabetikov)</w:t>
            </w:r>
          </w:p>
          <w:p w14:paraId="7460EC3D" w14:textId="77777777" w:rsidR="003965F3" w:rsidRPr="00033101" w:rsidRDefault="003965F3" w:rsidP="00DE3C08">
            <w:pPr>
              <w:pStyle w:val="Normlndobloku"/>
            </w:pPr>
            <w:r w:rsidRPr="00033101">
              <w:t>Pokles hladiny draslíka v krvi</w:t>
            </w:r>
          </w:p>
          <w:p w14:paraId="4553DBCB" w14:textId="77777777" w:rsidR="003965F3" w:rsidRPr="00033101" w:rsidRDefault="003965F3" w:rsidP="00DE3C08">
            <w:pPr>
              <w:pStyle w:val="Normlndobloku"/>
            </w:pPr>
            <w:r w:rsidRPr="00033101">
              <w:t>Negatívna bilancia dusíka (z dôvodu katabolizmu bielkovín)</w:t>
            </w:r>
          </w:p>
          <w:p w14:paraId="3D23C97F" w14:textId="77777777" w:rsidR="003965F3" w:rsidRPr="00033101" w:rsidRDefault="003965F3" w:rsidP="00DE3C08">
            <w:pPr>
              <w:pStyle w:val="Normlndobloku"/>
            </w:pPr>
            <w:r w:rsidRPr="00033101">
              <w:t>Zvýšená hladina vápnika v moči</w:t>
            </w:r>
          </w:p>
          <w:p w14:paraId="20F5E34E" w14:textId="0097725F" w:rsidR="003965F3" w:rsidRPr="00167108" w:rsidRDefault="003965F3" w:rsidP="00DE3C08">
            <w:pPr>
              <w:pStyle w:val="Normlndobloku"/>
            </w:pPr>
            <w:r w:rsidRPr="00033101">
              <w:t>Zvýšenie hladiny alanínamino</w:t>
            </w:r>
            <w:r w:rsidRPr="00167108">
              <w:t>transferázy</w:t>
            </w:r>
          </w:p>
          <w:p w14:paraId="141DFCD5" w14:textId="4D0B5F4F" w:rsidR="003965F3" w:rsidRPr="00167108" w:rsidRDefault="003965F3" w:rsidP="00DE3C08">
            <w:pPr>
              <w:pStyle w:val="Normlndobloku"/>
            </w:pPr>
            <w:r w:rsidRPr="00167108">
              <w:t>Zvýšenie hladiny aspartátaminotransferázy</w:t>
            </w:r>
          </w:p>
          <w:p w14:paraId="5D793485" w14:textId="77777777" w:rsidR="003965F3" w:rsidRPr="00167108" w:rsidRDefault="003965F3" w:rsidP="00DE3C08">
            <w:pPr>
              <w:pStyle w:val="Normlndobloku"/>
            </w:pPr>
            <w:r w:rsidRPr="00167108">
              <w:t>Zvýšenie alkalickej fosfatázy v krvi</w:t>
            </w:r>
          </w:p>
        </w:tc>
      </w:tr>
      <w:tr w:rsidR="003965F3" w:rsidRPr="00033101" w14:paraId="4F3C9E2E" w14:textId="77777777" w:rsidTr="00863BCD">
        <w:tc>
          <w:tcPr>
            <w:tcW w:w="1668" w:type="dxa"/>
          </w:tcPr>
          <w:p w14:paraId="007B3DB9" w14:textId="100CE1CF" w:rsidR="003965F3" w:rsidRPr="00033101" w:rsidRDefault="003965F3" w:rsidP="00DE3C08">
            <w:pPr>
              <w:pStyle w:val="Normlndobloku"/>
              <w:rPr>
                <w:rStyle w:val="Bacil"/>
                <w:szCs w:val="22"/>
              </w:rPr>
            </w:pPr>
            <w:r w:rsidRPr="00033101">
              <w:rPr>
                <w:rStyle w:val="Bacil"/>
                <w:szCs w:val="22"/>
              </w:rPr>
              <w:t>Úrazy, otravy a komplikácie liečebného postupu</w:t>
            </w:r>
          </w:p>
        </w:tc>
        <w:tc>
          <w:tcPr>
            <w:tcW w:w="1890" w:type="dxa"/>
          </w:tcPr>
          <w:p w14:paraId="12FB940A" w14:textId="77777777" w:rsidR="003965F3" w:rsidRPr="00033101" w:rsidRDefault="003965F3" w:rsidP="00DE3C08">
            <w:pPr>
              <w:pStyle w:val="Normlndobloku"/>
            </w:pPr>
          </w:p>
        </w:tc>
        <w:tc>
          <w:tcPr>
            <w:tcW w:w="1890" w:type="dxa"/>
          </w:tcPr>
          <w:p w14:paraId="586AEF17" w14:textId="77777777" w:rsidR="003965F3" w:rsidRPr="00033101" w:rsidRDefault="003965F3" w:rsidP="00DE3C08">
            <w:pPr>
              <w:pStyle w:val="Normlndobloku"/>
            </w:pPr>
          </w:p>
        </w:tc>
        <w:tc>
          <w:tcPr>
            <w:tcW w:w="1890" w:type="dxa"/>
          </w:tcPr>
          <w:p w14:paraId="19633830" w14:textId="77777777" w:rsidR="003965F3" w:rsidRPr="00033101" w:rsidRDefault="003965F3" w:rsidP="00DE3C08">
            <w:pPr>
              <w:pStyle w:val="Normlndobloku"/>
            </w:pPr>
          </w:p>
        </w:tc>
        <w:tc>
          <w:tcPr>
            <w:tcW w:w="2551" w:type="dxa"/>
          </w:tcPr>
          <w:p w14:paraId="5BBA579A" w14:textId="77777777" w:rsidR="003965F3" w:rsidRPr="00033101" w:rsidRDefault="003965F3" w:rsidP="00DE3C08">
            <w:pPr>
              <w:pStyle w:val="Normlndobloku"/>
            </w:pPr>
            <w:r w:rsidRPr="00033101">
              <w:t>Spinálna kompresná zlomenina</w:t>
            </w:r>
          </w:p>
          <w:p w14:paraId="16BF9826" w14:textId="77777777" w:rsidR="003965F3" w:rsidRPr="00033101" w:rsidRDefault="003965F3" w:rsidP="00DE3C08">
            <w:pPr>
              <w:pStyle w:val="Normlndobloku"/>
            </w:pPr>
            <w:r w:rsidRPr="00033101">
              <w:t>Ruptúra šľachy (najmä Achillovej šľachy)</w:t>
            </w:r>
          </w:p>
        </w:tc>
      </w:tr>
      <w:bookmarkEnd w:id="5"/>
    </w:tbl>
    <w:p w14:paraId="50B9F7EE" w14:textId="77777777" w:rsidR="00475092" w:rsidRDefault="00475092" w:rsidP="00DE3C08">
      <w:pPr>
        <w:pStyle w:val="Normlndobloku"/>
      </w:pPr>
    </w:p>
    <w:p w14:paraId="7AD64A2D" w14:textId="7D8745AB" w:rsidR="00475092" w:rsidRDefault="00475092" w:rsidP="00863BCD">
      <w:pPr>
        <w:pStyle w:val="Styl3"/>
      </w:pPr>
      <w:bookmarkStart w:id="6" w:name="_Hlk26882584"/>
      <w:r w:rsidRPr="00033101">
        <w:t>Príznaky z</w:t>
      </w:r>
      <w:r>
        <w:t> </w:t>
      </w:r>
      <w:r w:rsidRPr="00033101">
        <w:t>vysadenia</w:t>
      </w:r>
    </w:p>
    <w:p w14:paraId="1C4552E6" w14:textId="0A27E26E" w:rsidR="00475092" w:rsidRPr="00033101" w:rsidRDefault="00475092" w:rsidP="00DE3C08">
      <w:pPr>
        <w:pStyle w:val="Normlndobloku"/>
      </w:pPr>
      <w:r w:rsidRPr="00033101">
        <w:t>Príliš rýchle zníženie dávky kortikosteroidov v nadväznosti na dlhodobú liečbu môže viesť k akútnej nadobličkovej nedostatočnosti, hypotenzii a smrti. Toto je však pravdepodobnejšie pri nepretržitej kortikosteroidovej liečbe (pozri časť 4.4).</w:t>
      </w:r>
    </w:p>
    <w:p w14:paraId="4BD1B31A" w14:textId="77777777" w:rsidR="00965E91" w:rsidRDefault="00475092" w:rsidP="00DE3C08">
      <w:pPr>
        <w:pStyle w:val="Normlndobloku"/>
      </w:pPr>
      <w:r w:rsidRPr="00033101">
        <w:t>Príznaky z vysadenia môžu tiež zahŕňať horúčku, myalgiu, artralgiu, rinitídu, konjuktivitídu, bolestivé svrbiace uzlíky na koži a stratu telesnej hmotnosti.</w:t>
      </w:r>
    </w:p>
    <w:p w14:paraId="266C1A9A" w14:textId="304A59B6" w:rsidR="00475092" w:rsidRDefault="00965E91" w:rsidP="00863BCD">
      <w:pPr>
        <w:pStyle w:val="Normlndobloku"/>
      </w:pPr>
      <w:r w:rsidRPr="00167108">
        <w:t>U detí bol zvyčajne po ukončení liečby hydrokortizónom pozorovaný zvýšený intrakraniálny tlak s</w:t>
      </w:r>
      <w:r>
        <w:t> </w:t>
      </w:r>
      <w:r w:rsidRPr="00167108">
        <w:t>edémom papily (</w:t>
      </w:r>
      <w:r w:rsidRPr="00167108">
        <w:rPr>
          <w:rStyle w:val="Bacil"/>
          <w:szCs w:val="22"/>
        </w:rPr>
        <w:t>pseudotumor cerebri</w:t>
      </w:r>
      <w:r w:rsidRPr="00167108">
        <w:t>).</w:t>
      </w:r>
      <w:bookmarkEnd w:id="6"/>
    </w:p>
    <w:p w14:paraId="1C6AA26D" w14:textId="76F815E0" w:rsidR="00937802" w:rsidRPr="00E4274D" w:rsidRDefault="00937802" w:rsidP="00E33B39">
      <w:pPr>
        <w:pStyle w:val="Styl3"/>
      </w:pPr>
      <w:r w:rsidRPr="00E4274D">
        <w:t>Hlásenie podozrení na nežiaduce reakcie</w:t>
      </w:r>
    </w:p>
    <w:p w14:paraId="188C88CD" w14:textId="7862D8C0" w:rsidR="00D71EDD" w:rsidRPr="00E4274D" w:rsidRDefault="00937802" w:rsidP="00DE3C08">
      <w:pPr>
        <w:pStyle w:val="Normlndobloku"/>
      </w:pPr>
      <w:r w:rsidRPr="00E4274D">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Pr="00E4274D">
        <w:rPr>
          <w:highlight w:val="lightGray"/>
        </w:rPr>
        <w:t>na národné centr</w:t>
      </w:r>
      <w:r w:rsidR="001B07D3" w:rsidRPr="00E4274D">
        <w:rPr>
          <w:highlight w:val="lightGray"/>
        </w:rPr>
        <w:t xml:space="preserve">um hlásenia uvedené v </w:t>
      </w:r>
      <w:hyperlink r:id="rId9" w:history="1">
        <w:r w:rsidR="00DC4246" w:rsidRPr="00E4274D">
          <w:rPr>
            <w:rStyle w:val="Hypertextovprepojenie"/>
            <w:highlight w:val="lightGray"/>
          </w:rPr>
          <w:t>Prílohe V</w:t>
        </w:r>
      </w:hyperlink>
      <w:r w:rsidR="001B07D3" w:rsidRPr="00E4274D">
        <w:t>.</w:t>
      </w:r>
    </w:p>
    <w:p w14:paraId="2E5B9E03" w14:textId="77777777" w:rsidR="00937802" w:rsidRPr="00E4274D" w:rsidRDefault="00937802" w:rsidP="006A488B">
      <w:pPr>
        <w:pStyle w:val="Styl2"/>
        <w:rPr>
          <w:lang w:val="sk-SK"/>
        </w:rPr>
      </w:pPr>
      <w:r w:rsidRPr="00E4274D">
        <w:rPr>
          <w:lang w:val="sk-SK"/>
        </w:rPr>
        <w:t>Predávkovanie</w:t>
      </w:r>
    </w:p>
    <w:p w14:paraId="0BC99DBA" w14:textId="61E25BF3" w:rsidR="00937802" w:rsidRPr="00E4274D" w:rsidRDefault="00937802" w:rsidP="00DE3C08">
      <w:pPr>
        <w:pStyle w:val="Normlndobloku"/>
      </w:pPr>
      <w:r w:rsidRPr="00E4274D">
        <w:t>Nie je známy klinický syndróm akútneho predávkovania</w:t>
      </w:r>
      <w:r w:rsidR="00EC10C9">
        <w:t xml:space="preserve"> hydrokortizónom</w:t>
      </w:r>
      <w:r w:rsidRPr="00E4274D">
        <w:t>. Hydrokortizón je dialyzovateľný.</w:t>
      </w:r>
    </w:p>
    <w:p w14:paraId="50B4AABB" w14:textId="77777777" w:rsidR="00937802" w:rsidRPr="00E4274D" w:rsidRDefault="00937802" w:rsidP="006A488B">
      <w:pPr>
        <w:pStyle w:val="Styl1"/>
        <w:rPr>
          <w:lang w:val="sk-SK"/>
        </w:rPr>
      </w:pPr>
      <w:r w:rsidRPr="00E4274D">
        <w:rPr>
          <w:lang w:val="sk-SK"/>
        </w:rPr>
        <w:t>FARMAKOLOGICKÉ VLASTNOSTI</w:t>
      </w:r>
    </w:p>
    <w:p w14:paraId="3E06B0AF" w14:textId="77777777" w:rsidR="00937802" w:rsidRPr="00E4274D" w:rsidRDefault="00937802" w:rsidP="006A488B">
      <w:pPr>
        <w:pStyle w:val="Styl2"/>
        <w:rPr>
          <w:lang w:val="sk-SK"/>
        </w:rPr>
      </w:pPr>
      <w:r w:rsidRPr="00E4274D">
        <w:rPr>
          <w:lang w:val="sk-SK"/>
        </w:rPr>
        <w:t>Farmakodynamické vlastnosti</w:t>
      </w:r>
    </w:p>
    <w:p w14:paraId="21B500DE" w14:textId="77777777" w:rsidR="00937802" w:rsidRPr="00E4274D" w:rsidRDefault="00937802" w:rsidP="00DE3C08">
      <w:pPr>
        <w:pStyle w:val="Normlndobloku"/>
      </w:pPr>
      <w:r w:rsidRPr="00E4274D">
        <w:t>Farmakoterapeutická skupina: Kortikosteroidy na systémové použitie, glukokortikoidy</w:t>
      </w:r>
    </w:p>
    <w:p w14:paraId="37EF0F94" w14:textId="77777777" w:rsidR="00937802" w:rsidRPr="00E4274D" w:rsidRDefault="00937802" w:rsidP="00DE3C08">
      <w:pPr>
        <w:pStyle w:val="Normlndobloku"/>
      </w:pPr>
      <w:r w:rsidRPr="00E4274D">
        <w:t>ATC kód: H02AB09</w:t>
      </w:r>
    </w:p>
    <w:p w14:paraId="69356CD1" w14:textId="6844C79D" w:rsidR="00937802" w:rsidRPr="00E4274D" w:rsidRDefault="00937802" w:rsidP="00E33B39">
      <w:pPr>
        <w:pStyle w:val="Styl3"/>
      </w:pPr>
      <w:r w:rsidRPr="00E4274D">
        <w:t>Me</w:t>
      </w:r>
      <w:r w:rsidR="00EF3545" w:rsidRPr="00E4274D">
        <w:t>chanizmus</w:t>
      </w:r>
      <w:r w:rsidRPr="00E4274D">
        <w:t xml:space="preserve"> účinku</w:t>
      </w:r>
    </w:p>
    <w:p w14:paraId="419C75C7" w14:textId="3E22E0AA" w:rsidR="00937802" w:rsidRPr="00E4274D" w:rsidRDefault="00937802" w:rsidP="00DE3C08">
      <w:pPr>
        <w:pStyle w:val="Normlndobloku"/>
      </w:pPr>
      <w:r w:rsidRPr="00E4274D">
        <w:t>Hydrokortizónsukcinát sodný má rovnaké metabolické a protizápalové účinky ako hydrokortizón. Je to glukokortikosteroid.</w:t>
      </w:r>
      <w:r w:rsidR="00D44062" w:rsidRPr="00E4274D">
        <w:t xml:space="preserve"> Použ</w:t>
      </w:r>
      <w:r w:rsidR="009F10D2" w:rsidRPr="00E4274D">
        <w:t>i</w:t>
      </w:r>
      <w:r w:rsidR="00077B2A" w:rsidRPr="00E4274D">
        <w:t>tím</w:t>
      </w:r>
      <w:r w:rsidR="00D44062" w:rsidRPr="00E4274D">
        <w:t xml:space="preserve"> vo farmakologických dávkach, </w:t>
      </w:r>
      <w:r w:rsidR="00077B2A" w:rsidRPr="00E4274D">
        <w:t>svo</w:t>
      </w:r>
      <w:r w:rsidR="00D44062" w:rsidRPr="00E4274D">
        <w:t>j</w:t>
      </w:r>
      <w:r w:rsidR="00077B2A" w:rsidRPr="00E4274D">
        <w:t>ím</w:t>
      </w:r>
      <w:r w:rsidR="00D44062" w:rsidRPr="00E4274D">
        <w:t xml:space="preserve"> pôsoben</w:t>
      </w:r>
      <w:r w:rsidR="00077B2A" w:rsidRPr="00E4274D">
        <w:t>ím</w:t>
      </w:r>
      <w:r w:rsidR="00D44062" w:rsidRPr="00E4274D">
        <w:t xml:space="preserve"> potláča klinické </w:t>
      </w:r>
      <w:r w:rsidR="00E44751" w:rsidRPr="00E4274D">
        <w:t xml:space="preserve">prejavy </w:t>
      </w:r>
      <w:r w:rsidR="00077B2A" w:rsidRPr="00E4274D">
        <w:t xml:space="preserve">ochorení </w:t>
      </w:r>
      <w:r w:rsidR="00E44751" w:rsidRPr="00E4274D">
        <w:t>v </w:t>
      </w:r>
      <w:r w:rsidR="00D44062" w:rsidRPr="00E4274D">
        <w:t xml:space="preserve">širokom rozsahu </w:t>
      </w:r>
      <w:r w:rsidR="00077B2A" w:rsidRPr="00E4274D">
        <w:t>porúch</w:t>
      </w:r>
      <w:r w:rsidR="00D44062" w:rsidRPr="00E4274D">
        <w:t>.</w:t>
      </w:r>
    </w:p>
    <w:p w14:paraId="7F574811" w14:textId="318F7F34" w:rsidR="00C33BC1" w:rsidRPr="00E4274D" w:rsidRDefault="00C33BC1" w:rsidP="00DE3C08">
      <w:pPr>
        <w:pStyle w:val="Normlndobloku"/>
      </w:pPr>
      <w:r w:rsidRPr="00E4274D">
        <w:t>Farmakológia kortikosteroidov je zložitá a liečivá ovplyvňujú takmer všetky telesné systémy. Kortikosteroidy majú niekoľko mechanizmov účinku, vrátane protizápalové aktivity, imunosupresívneho a antiproliferatívneho účinku.</w:t>
      </w:r>
    </w:p>
    <w:p w14:paraId="5274AE15" w14:textId="690FAE54" w:rsidR="00C33BC1" w:rsidRPr="00E4274D" w:rsidRDefault="00C33BC1" w:rsidP="00DE3C08">
      <w:pPr>
        <w:pStyle w:val="Normlndobloku"/>
      </w:pPr>
      <w:r w:rsidRPr="00E4274D">
        <w:t>Hydrokortizón je glukokortikoidný hormón, ktorý má protizápalové a soľ zadržujúce vlastnosti. Hydrokortizón sa viaže na glukokortikoidný receptor v cytosóle. Po naviazaní na receptor sa novovytvorený komplex receptor-ligand premiestni do bunkového jadra, kde sa viaže na väzobné miesta pre glukokortikoidy (glucocorticoid response elements - GRE) v promotorovej oblasti cieľových génov. DNA väzobný receptor potom interaguje so základnými transkripčnými faktormi, čo spôsobuje zvýšenie expresie špecifických cieľových génov. Dva hlavné produkty zápalu - prostaglandíny a leukotriény - sú tak pôsobením glukokortikoidov inhibované. Glukokortikoidy tiež stimulujú uvoľňovanie lipocortinu-1 do extracelulárneho priestoru, kde sa viaže na membránové receptory leukocytov a vo farmaceutických dávkach inhibuje klinické prejavy ochorení, ako sú epitelová adhézia alebo fagocytóza.</w:t>
      </w:r>
    </w:p>
    <w:p w14:paraId="06E8EB18" w14:textId="77777777" w:rsidR="00C33BC1" w:rsidRPr="00E4274D" w:rsidRDefault="00C33BC1" w:rsidP="00DE3C08">
      <w:pPr>
        <w:pStyle w:val="Normlndobloku"/>
      </w:pPr>
      <w:r w:rsidRPr="00E4274D">
        <w:t>Rozpustná soľ prirodzeného ľudského glukokortikoidu hydrokortizónu je vhodná na parenterálne použitie. Mineralokortikoidný účinok je pri porovnaní s ostatnými liekmi tejto skupiny pomerne vysoký, veľmi rýchlo nastupuje a rýchlo odznieva.</w:t>
      </w:r>
    </w:p>
    <w:p w14:paraId="11543E19" w14:textId="77777777" w:rsidR="00C33BC1" w:rsidRPr="00E4274D" w:rsidRDefault="00C33BC1" w:rsidP="00DE3C08">
      <w:pPr>
        <w:pStyle w:val="Normlndobloku"/>
      </w:pPr>
      <w:r w:rsidRPr="00E4274D">
        <w:t>Vysoké dávky (megadávky) majú vlastný farmakoterapeutický účinok s vazodilatáciou v oblasti mikrocirkulácie a so zlepšením tkanivovej perfúzie; sú stabilizátormi membrán.</w:t>
      </w:r>
    </w:p>
    <w:p w14:paraId="6A825465" w14:textId="199FAE73" w:rsidR="00C33BC1" w:rsidRPr="00E4274D" w:rsidRDefault="00C33BC1" w:rsidP="00DE3C08">
      <w:pPr>
        <w:pStyle w:val="Normlndobloku"/>
      </w:pPr>
      <w:r w:rsidRPr="00E4274D">
        <w:t>Stredné a nízke dávky majú hlavne imunologický, substitučný, antifibrinoplastický a protizápalový účinok.</w:t>
      </w:r>
    </w:p>
    <w:p w14:paraId="2A5F23B1" w14:textId="77777777" w:rsidR="00937802" w:rsidRPr="00E4274D" w:rsidRDefault="00937802" w:rsidP="006A488B">
      <w:pPr>
        <w:pStyle w:val="Styl2"/>
        <w:rPr>
          <w:lang w:val="sk-SK"/>
        </w:rPr>
      </w:pPr>
      <w:r w:rsidRPr="00E4274D">
        <w:rPr>
          <w:lang w:val="sk-SK"/>
        </w:rPr>
        <w:t>Farmakokinetické vlastnosti</w:t>
      </w:r>
    </w:p>
    <w:p w14:paraId="1EE91352" w14:textId="1DF434C4" w:rsidR="00937802" w:rsidRPr="00E4274D" w:rsidRDefault="00937802" w:rsidP="00DE3C08">
      <w:pPr>
        <w:pStyle w:val="Normlndobloku"/>
      </w:pPr>
      <w:r w:rsidRPr="00E4274D">
        <w:t>Dvanásť zdravých subjektov dostávalo 100, 200 a 400 mg hydrokortizónu intravenózne.</w:t>
      </w:r>
    </w:p>
    <w:p w14:paraId="6E96F858" w14:textId="77777777" w:rsidR="00937802" w:rsidRPr="00E4274D" w:rsidRDefault="00937802" w:rsidP="00DE3C08">
      <w:pPr>
        <w:pStyle w:val="Normlndobloku"/>
      </w:pPr>
      <w:r w:rsidRPr="00E4274D">
        <w:t>Výsledky rádio-imunologického testu boli nasledovné:</w:t>
      </w:r>
    </w:p>
    <w:tbl>
      <w:tblPr>
        <w:tblStyle w:val="Mriekatabuky"/>
        <w:tblW w:w="0" w:type="auto"/>
        <w:tblLook w:val="04A0" w:firstRow="1" w:lastRow="0" w:firstColumn="1" w:lastColumn="0" w:noHBand="0" w:noVBand="1"/>
      </w:tblPr>
      <w:tblGrid>
        <w:gridCol w:w="2265"/>
        <w:gridCol w:w="2265"/>
        <w:gridCol w:w="2266"/>
        <w:gridCol w:w="2266"/>
      </w:tblGrid>
      <w:tr w:rsidR="00ED61C4" w:rsidRPr="00E4274D" w14:paraId="4A8DE34A" w14:textId="77777777" w:rsidTr="00E4274D">
        <w:tc>
          <w:tcPr>
            <w:tcW w:w="2265" w:type="dxa"/>
          </w:tcPr>
          <w:p w14:paraId="30C233B8" w14:textId="77777777" w:rsidR="00ED61C4" w:rsidRPr="00E4274D" w:rsidRDefault="00ED61C4" w:rsidP="00E4274D">
            <w:pPr>
              <w:pStyle w:val="Styl2-2"/>
              <w:rPr>
                <w:lang w:val="sk-SK"/>
              </w:rPr>
            </w:pPr>
            <w:r w:rsidRPr="00E4274D">
              <w:rPr>
                <w:lang w:val="sk-SK"/>
              </w:rPr>
              <w:t>Dávka (mg)</w:t>
            </w:r>
          </w:p>
        </w:tc>
        <w:tc>
          <w:tcPr>
            <w:tcW w:w="2265" w:type="dxa"/>
          </w:tcPr>
          <w:p w14:paraId="2546D51D" w14:textId="145497D8" w:rsidR="00ED61C4" w:rsidRPr="00E4274D" w:rsidRDefault="00ED61C4" w:rsidP="00E4274D">
            <w:pPr>
              <w:pStyle w:val="Styl2-2"/>
              <w:rPr>
                <w:lang w:val="sk-SK"/>
              </w:rPr>
            </w:pPr>
            <w:r w:rsidRPr="00E4274D">
              <w:rPr>
                <w:lang w:val="sk-SK"/>
              </w:rPr>
              <w:t>C</w:t>
            </w:r>
            <w:r w:rsidRPr="00E4274D">
              <w:rPr>
                <w:vertAlign w:val="subscript"/>
                <w:lang w:val="sk-SK"/>
              </w:rPr>
              <w:t xml:space="preserve">max </w:t>
            </w:r>
            <w:r w:rsidRPr="00E4274D">
              <w:rPr>
                <w:lang w:val="sk-SK"/>
              </w:rPr>
              <w:t>(µg /100 ml)</w:t>
            </w:r>
          </w:p>
        </w:tc>
        <w:tc>
          <w:tcPr>
            <w:tcW w:w="2266" w:type="dxa"/>
          </w:tcPr>
          <w:p w14:paraId="296A8703" w14:textId="419C47D0" w:rsidR="00ED61C4" w:rsidRPr="00E4274D" w:rsidRDefault="00ED61C4" w:rsidP="00E4274D">
            <w:pPr>
              <w:pStyle w:val="Styl2-2"/>
              <w:rPr>
                <w:lang w:val="sk-SK"/>
              </w:rPr>
            </w:pPr>
            <w:r w:rsidRPr="00E4274D">
              <w:rPr>
                <w:lang w:val="sk-SK"/>
              </w:rPr>
              <w:t>T</w:t>
            </w:r>
            <w:r w:rsidRPr="00E4274D">
              <w:rPr>
                <w:vertAlign w:val="subscript"/>
                <w:lang w:val="sk-SK"/>
              </w:rPr>
              <w:t>max</w:t>
            </w:r>
            <w:r w:rsidRPr="00E4274D">
              <w:rPr>
                <w:lang w:val="sk-SK"/>
              </w:rPr>
              <w:t xml:space="preserve"> (hod)</w:t>
            </w:r>
          </w:p>
        </w:tc>
        <w:tc>
          <w:tcPr>
            <w:tcW w:w="2266" w:type="dxa"/>
          </w:tcPr>
          <w:p w14:paraId="76CA50E2" w14:textId="237BDB91" w:rsidR="00ED61C4" w:rsidRPr="00E4274D" w:rsidRDefault="00ED61C4" w:rsidP="00E4274D">
            <w:pPr>
              <w:pStyle w:val="Styl2-2"/>
              <w:rPr>
                <w:lang w:val="sk-SK"/>
              </w:rPr>
            </w:pPr>
            <w:r w:rsidRPr="00E4274D">
              <w:rPr>
                <w:lang w:val="sk-SK"/>
              </w:rPr>
              <w:t>12 hod AUC (mg/100 ml x hod)</w:t>
            </w:r>
          </w:p>
        </w:tc>
      </w:tr>
      <w:tr w:rsidR="00ED61C4" w:rsidRPr="00E4274D" w14:paraId="520E6FF8" w14:textId="77777777" w:rsidTr="00E4274D">
        <w:tc>
          <w:tcPr>
            <w:tcW w:w="2265" w:type="dxa"/>
          </w:tcPr>
          <w:p w14:paraId="40556B05" w14:textId="77777777" w:rsidR="00ED61C4" w:rsidRPr="00E4274D" w:rsidRDefault="00ED61C4" w:rsidP="00DE3C08">
            <w:pPr>
              <w:pStyle w:val="Normlndobloku"/>
            </w:pPr>
            <w:r w:rsidRPr="00E4274D">
              <w:t>100</w:t>
            </w:r>
          </w:p>
        </w:tc>
        <w:tc>
          <w:tcPr>
            <w:tcW w:w="2265" w:type="dxa"/>
          </w:tcPr>
          <w:p w14:paraId="27F77031" w14:textId="77777777" w:rsidR="00ED61C4" w:rsidRPr="00E4274D" w:rsidRDefault="00ED61C4" w:rsidP="00DE3C08">
            <w:pPr>
              <w:pStyle w:val="Normlndobloku"/>
            </w:pPr>
            <w:r w:rsidRPr="00E4274D">
              <w:t>132,3</w:t>
            </w:r>
          </w:p>
        </w:tc>
        <w:tc>
          <w:tcPr>
            <w:tcW w:w="2266" w:type="dxa"/>
          </w:tcPr>
          <w:p w14:paraId="5A97C551" w14:textId="77777777" w:rsidR="00ED61C4" w:rsidRPr="00E4274D" w:rsidRDefault="00ED61C4" w:rsidP="00DE3C08">
            <w:pPr>
              <w:pStyle w:val="Normlndobloku"/>
            </w:pPr>
            <w:r w:rsidRPr="00E4274D">
              <w:t>0,35</w:t>
            </w:r>
          </w:p>
        </w:tc>
        <w:tc>
          <w:tcPr>
            <w:tcW w:w="2266" w:type="dxa"/>
          </w:tcPr>
          <w:p w14:paraId="0B799324" w14:textId="77777777" w:rsidR="00ED61C4" w:rsidRPr="00E4274D" w:rsidRDefault="00ED61C4" w:rsidP="00DE3C08">
            <w:pPr>
              <w:pStyle w:val="Normlndobloku"/>
            </w:pPr>
            <w:r w:rsidRPr="00E4274D">
              <w:t>418,0</w:t>
            </w:r>
          </w:p>
        </w:tc>
      </w:tr>
      <w:tr w:rsidR="00ED61C4" w:rsidRPr="00E4274D" w14:paraId="67E1F6EC" w14:textId="77777777" w:rsidTr="00E4274D">
        <w:tc>
          <w:tcPr>
            <w:tcW w:w="2265" w:type="dxa"/>
          </w:tcPr>
          <w:p w14:paraId="0EEA5729" w14:textId="77777777" w:rsidR="00ED61C4" w:rsidRPr="00E4274D" w:rsidRDefault="00ED61C4" w:rsidP="00DE3C08">
            <w:pPr>
              <w:pStyle w:val="Normlndobloku"/>
            </w:pPr>
            <w:r w:rsidRPr="00E4274D">
              <w:t>200</w:t>
            </w:r>
          </w:p>
        </w:tc>
        <w:tc>
          <w:tcPr>
            <w:tcW w:w="2265" w:type="dxa"/>
          </w:tcPr>
          <w:p w14:paraId="4F1E801C" w14:textId="77777777" w:rsidR="00ED61C4" w:rsidRPr="00E4274D" w:rsidRDefault="00ED61C4" w:rsidP="00DE3C08">
            <w:pPr>
              <w:pStyle w:val="Normlndobloku"/>
            </w:pPr>
            <w:r w:rsidRPr="00E4274D">
              <w:t>231,8</w:t>
            </w:r>
          </w:p>
        </w:tc>
        <w:tc>
          <w:tcPr>
            <w:tcW w:w="2266" w:type="dxa"/>
          </w:tcPr>
          <w:p w14:paraId="60257F32" w14:textId="77777777" w:rsidR="00ED61C4" w:rsidRPr="00E4274D" w:rsidRDefault="00ED61C4" w:rsidP="00DE3C08">
            <w:pPr>
              <w:pStyle w:val="Normlndobloku"/>
            </w:pPr>
            <w:r w:rsidRPr="00E4274D">
              <w:t>0,25</w:t>
            </w:r>
          </w:p>
        </w:tc>
        <w:tc>
          <w:tcPr>
            <w:tcW w:w="2266" w:type="dxa"/>
          </w:tcPr>
          <w:p w14:paraId="198D96E1" w14:textId="77777777" w:rsidR="00ED61C4" w:rsidRPr="00E4274D" w:rsidRDefault="00ED61C4" w:rsidP="00DE3C08">
            <w:pPr>
              <w:pStyle w:val="Normlndobloku"/>
            </w:pPr>
            <w:r w:rsidRPr="00E4274D">
              <w:t>680,0</w:t>
            </w:r>
          </w:p>
        </w:tc>
      </w:tr>
      <w:tr w:rsidR="00ED61C4" w:rsidRPr="00E4274D" w14:paraId="2C4114CE" w14:textId="77777777" w:rsidTr="00E4274D">
        <w:tc>
          <w:tcPr>
            <w:tcW w:w="2265" w:type="dxa"/>
          </w:tcPr>
          <w:p w14:paraId="62CABCFC" w14:textId="77777777" w:rsidR="00ED61C4" w:rsidRPr="00E4274D" w:rsidRDefault="00ED61C4" w:rsidP="00DE3C08">
            <w:pPr>
              <w:pStyle w:val="Normlndobloku"/>
            </w:pPr>
            <w:r w:rsidRPr="00E4274D">
              <w:t>400</w:t>
            </w:r>
          </w:p>
        </w:tc>
        <w:tc>
          <w:tcPr>
            <w:tcW w:w="2265" w:type="dxa"/>
          </w:tcPr>
          <w:p w14:paraId="16C0F60D" w14:textId="77777777" w:rsidR="00ED61C4" w:rsidRPr="00E4274D" w:rsidRDefault="00ED61C4" w:rsidP="00DE3C08">
            <w:pPr>
              <w:pStyle w:val="Normlndobloku"/>
            </w:pPr>
            <w:r w:rsidRPr="00E4274D">
              <w:t>629,8</w:t>
            </w:r>
          </w:p>
        </w:tc>
        <w:tc>
          <w:tcPr>
            <w:tcW w:w="2266" w:type="dxa"/>
          </w:tcPr>
          <w:p w14:paraId="03AC16C9" w14:textId="77777777" w:rsidR="00ED61C4" w:rsidRPr="00E4274D" w:rsidRDefault="00ED61C4" w:rsidP="00DE3C08">
            <w:pPr>
              <w:pStyle w:val="Normlndobloku"/>
            </w:pPr>
            <w:r w:rsidRPr="00E4274D">
              <w:t>0,37</w:t>
            </w:r>
          </w:p>
        </w:tc>
        <w:tc>
          <w:tcPr>
            <w:tcW w:w="2266" w:type="dxa"/>
          </w:tcPr>
          <w:p w14:paraId="7BF2CA1F" w14:textId="61A31DD2" w:rsidR="00ED61C4" w:rsidRPr="00E4274D" w:rsidRDefault="00ED61C4" w:rsidP="00DE3C08">
            <w:pPr>
              <w:pStyle w:val="Normlndobloku"/>
            </w:pPr>
            <w:r w:rsidRPr="00E4274D">
              <w:t>1 024,0</w:t>
            </w:r>
          </w:p>
        </w:tc>
      </w:tr>
    </w:tbl>
    <w:p w14:paraId="57C7DAF5" w14:textId="38D4E952" w:rsidR="00937802" w:rsidRPr="00E4274D" w:rsidRDefault="00937802" w:rsidP="00DE3C08">
      <w:pPr>
        <w:pStyle w:val="Normlndobloku"/>
      </w:pPr>
      <w:r w:rsidRPr="00E4274D">
        <w:t>V inej štúdii pri dávke 1 mg/kg hydrokortizón podaný i.m. vrcholil po 30 – 60 minútach s</w:t>
      </w:r>
      <w:r w:rsidR="009330A6" w:rsidRPr="00E4274D">
        <w:t> </w:t>
      </w:r>
      <w:r w:rsidRPr="00E4274D">
        <w:t>plazmatickým C</w:t>
      </w:r>
      <w:r w:rsidRPr="00E4274D">
        <w:rPr>
          <w:vertAlign w:val="subscript"/>
        </w:rPr>
        <w:t>max</w:t>
      </w:r>
      <w:r w:rsidRPr="00E4274D">
        <w:t xml:space="preserve"> 80 mg/100 ml.</w:t>
      </w:r>
    </w:p>
    <w:p w14:paraId="2927C4B8" w14:textId="5B07B465" w:rsidR="00937802" w:rsidRPr="00E4274D" w:rsidRDefault="00937802" w:rsidP="00DE3C08">
      <w:pPr>
        <w:pStyle w:val="Normlndobloku"/>
      </w:pPr>
      <w:r w:rsidRPr="00E4274D">
        <w:t>Pri analýze metabolizmu hydrokortizónu bola pri dávke 25 mg podanej i.v. výsledná koncentrácia v</w:t>
      </w:r>
      <w:r w:rsidR="0076222F" w:rsidRPr="00E4274D">
        <w:t> </w:t>
      </w:r>
      <w:r w:rsidRPr="00E4274D">
        <w:t>plazme žien vyššia ako u mužov.</w:t>
      </w:r>
    </w:p>
    <w:p w14:paraId="5252FC4C" w14:textId="5E070769" w:rsidR="00B47CD4" w:rsidRDefault="00937802" w:rsidP="00320E07">
      <w:pPr>
        <w:pStyle w:val="Styl2"/>
      </w:pPr>
      <w:r w:rsidRPr="00E4274D">
        <w:t>Predklinické údaje o</w:t>
      </w:r>
      <w:r w:rsidR="00B47CD4">
        <w:t> </w:t>
      </w:r>
      <w:r w:rsidRPr="00E4274D">
        <w:t>bezpečnosti</w:t>
      </w:r>
    </w:p>
    <w:p w14:paraId="7DD36C18" w14:textId="020343F7" w:rsidR="00691AE6" w:rsidRPr="00E4274D" w:rsidRDefault="00691AE6" w:rsidP="00DE3C08">
      <w:pPr>
        <w:pStyle w:val="Normlndobloku"/>
      </w:pPr>
      <w:r w:rsidRPr="00E4274D">
        <w:t xml:space="preserve">Hydrokortizón nebol mutagénny v bakteriálnych testoch, ale vyvolal aberáciu chromozómov ľudských lymfocytov </w:t>
      </w:r>
      <w:r w:rsidRPr="00E4274D">
        <w:rPr>
          <w:rStyle w:val="Bacil"/>
        </w:rPr>
        <w:t>in vitro</w:t>
      </w:r>
      <w:r w:rsidRPr="00E4274D">
        <w:t xml:space="preserve"> a myší </w:t>
      </w:r>
      <w:r w:rsidRPr="00E4274D">
        <w:rPr>
          <w:rStyle w:val="Bacil"/>
        </w:rPr>
        <w:t>in vivo</w:t>
      </w:r>
      <w:r w:rsidRPr="00E4274D">
        <w:t>. Hydrokortizón nezvýšil výskyt nádorov u samcov a samíc potkanov počas obmedzeného 2-ročného obdobia štúdie karcinogenity.</w:t>
      </w:r>
    </w:p>
    <w:p w14:paraId="3355E545" w14:textId="77777777" w:rsidR="00691AE6" w:rsidRPr="00E4274D" w:rsidRDefault="00691AE6" w:rsidP="00DE3C08">
      <w:pPr>
        <w:pStyle w:val="Normlndobloku"/>
      </w:pPr>
      <w:r w:rsidRPr="00E4274D">
        <w:t>Ukázalo sa, že kortikosteroidy znižujú plodnosť pri podávaní potkanom. Nežiaduce účinky kortikosterónu na fertilitu u potkanov sa pozorovali iba u samcov a boli reverzibilné. Pozorovalo sa tiež zníženie hmotnosti a mikroskopické zmeny v prostate a semenných vezikulách. Počet implantácií a živých plodov bol znížený a tieto účinky neboli prítomné po párení na konci obnovovacej periódy.</w:t>
      </w:r>
    </w:p>
    <w:p w14:paraId="65EA1101" w14:textId="77777777" w:rsidR="00937802" w:rsidRPr="00E4274D" w:rsidRDefault="00937802" w:rsidP="006A488B">
      <w:pPr>
        <w:pStyle w:val="Styl1"/>
        <w:rPr>
          <w:lang w:val="sk-SK"/>
        </w:rPr>
      </w:pPr>
      <w:r w:rsidRPr="00E4274D">
        <w:rPr>
          <w:lang w:val="sk-SK"/>
        </w:rPr>
        <w:t>FARMACEUTICKÉ INFORMÁCIE</w:t>
      </w:r>
    </w:p>
    <w:p w14:paraId="5F9B536A" w14:textId="77777777" w:rsidR="00937802" w:rsidRPr="00E4274D" w:rsidRDefault="00937802" w:rsidP="006A488B">
      <w:pPr>
        <w:pStyle w:val="Styl2"/>
        <w:rPr>
          <w:lang w:val="sk-SK"/>
        </w:rPr>
      </w:pPr>
      <w:r w:rsidRPr="00E4274D">
        <w:rPr>
          <w:lang w:val="sk-SK"/>
        </w:rPr>
        <w:t>Zoznam pomocných látok</w:t>
      </w:r>
    </w:p>
    <w:p w14:paraId="64DBF39B" w14:textId="5EE43AED" w:rsidR="00937802" w:rsidRPr="00E4274D" w:rsidRDefault="00937802" w:rsidP="00DE3C08">
      <w:pPr>
        <w:pStyle w:val="Normlndobloku"/>
      </w:pPr>
      <w:r w:rsidRPr="00E4274D">
        <w:t>hydrogenfosforečnan sodný</w:t>
      </w:r>
      <w:r w:rsidR="00077B2A" w:rsidRPr="00E4274D">
        <w:t>, bezvodý</w:t>
      </w:r>
    </w:p>
    <w:p w14:paraId="651D62F0" w14:textId="1E9E88D8" w:rsidR="00937802" w:rsidRPr="00E4274D" w:rsidRDefault="00937802" w:rsidP="00DE3C08">
      <w:pPr>
        <w:pStyle w:val="Normlndobloku"/>
      </w:pPr>
      <w:r w:rsidRPr="00E4274D">
        <w:t>dihydrogenfosforečnan sodn</w:t>
      </w:r>
      <w:r w:rsidR="00077B2A" w:rsidRPr="00E4274D">
        <w:t>ý, monohydrát</w:t>
      </w:r>
    </w:p>
    <w:p w14:paraId="33698507" w14:textId="77777777" w:rsidR="00937802" w:rsidRPr="00E4274D" w:rsidRDefault="00937802" w:rsidP="006A488B">
      <w:pPr>
        <w:pStyle w:val="Styl2"/>
        <w:rPr>
          <w:lang w:val="sk-SK"/>
        </w:rPr>
      </w:pPr>
      <w:r w:rsidRPr="00E4274D">
        <w:rPr>
          <w:lang w:val="sk-SK"/>
        </w:rPr>
        <w:t>Inkompatibility</w:t>
      </w:r>
    </w:p>
    <w:p w14:paraId="72213056" w14:textId="77777777" w:rsidR="00937802" w:rsidRPr="00E4274D" w:rsidRDefault="00937802" w:rsidP="00DE3C08">
      <w:pPr>
        <w:pStyle w:val="Normlndobloku"/>
      </w:pPr>
      <w:r w:rsidRPr="00E4274D">
        <w:t>Nie sú známe.</w:t>
      </w:r>
    </w:p>
    <w:p w14:paraId="7E48486D" w14:textId="77777777" w:rsidR="00937802" w:rsidRPr="00E4274D" w:rsidRDefault="00937802" w:rsidP="006A488B">
      <w:pPr>
        <w:pStyle w:val="Styl2"/>
        <w:rPr>
          <w:lang w:val="sk-SK"/>
        </w:rPr>
      </w:pPr>
      <w:r w:rsidRPr="00E4274D">
        <w:rPr>
          <w:lang w:val="sk-SK"/>
        </w:rPr>
        <w:t>Čas použiteľnosti</w:t>
      </w:r>
    </w:p>
    <w:p w14:paraId="360F8119" w14:textId="77777777" w:rsidR="00937802" w:rsidRPr="00E4274D" w:rsidRDefault="00937802" w:rsidP="00DE3C08">
      <w:pPr>
        <w:pStyle w:val="Normlndobloku"/>
      </w:pPr>
      <w:r w:rsidRPr="00E4274D">
        <w:t>2 roky</w:t>
      </w:r>
    </w:p>
    <w:p w14:paraId="0BD86D88" w14:textId="792B4412" w:rsidR="00937802" w:rsidRPr="00E4274D" w:rsidRDefault="00937802" w:rsidP="00DE3C08">
      <w:pPr>
        <w:pStyle w:val="Normlndobloku"/>
      </w:pPr>
      <w:r w:rsidRPr="00E4274D">
        <w:t xml:space="preserve">Nariedený roztok sa </w:t>
      </w:r>
      <w:r w:rsidR="00685DA6" w:rsidRPr="00E4274D">
        <w:t xml:space="preserve">skladovaním </w:t>
      </w:r>
      <w:r w:rsidRPr="00E4274D">
        <w:t>znehodnocuje a má byť použitý okamžite po príprave.</w:t>
      </w:r>
    </w:p>
    <w:p w14:paraId="08EEBEE5" w14:textId="77777777" w:rsidR="00937802" w:rsidRPr="00E4274D" w:rsidRDefault="00937802" w:rsidP="006A488B">
      <w:pPr>
        <w:pStyle w:val="Styl2"/>
        <w:rPr>
          <w:lang w:val="sk-SK"/>
        </w:rPr>
      </w:pPr>
      <w:r w:rsidRPr="00E4274D">
        <w:rPr>
          <w:lang w:val="sk-SK"/>
        </w:rPr>
        <w:t>Špeciálne upozornenia na uchovávanie</w:t>
      </w:r>
    </w:p>
    <w:p w14:paraId="4A1E0B6B" w14:textId="77777777" w:rsidR="00937802" w:rsidRPr="00E4274D" w:rsidRDefault="00937802" w:rsidP="00DE3C08">
      <w:pPr>
        <w:pStyle w:val="Normlndobloku"/>
      </w:pPr>
      <w:r w:rsidRPr="00E4274D">
        <w:t>Uchovávajte pri teplote do 25 °C.</w:t>
      </w:r>
    </w:p>
    <w:p w14:paraId="7DA8D27F" w14:textId="77777777" w:rsidR="00937802" w:rsidRPr="00E4274D" w:rsidRDefault="00937802" w:rsidP="00DE3C08">
      <w:pPr>
        <w:pStyle w:val="Normlndobloku"/>
      </w:pPr>
      <w:r w:rsidRPr="00E4274D">
        <w:t>Podmienky na uchovávanie po rekonštitúcii a riedení lieku, pozri časť 6.3.</w:t>
      </w:r>
    </w:p>
    <w:p w14:paraId="50A04F0B" w14:textId="77777777" w:rsidR="00937802" w:rsidRPr="00E4274D" w:rsidRDefault="00937802" w:rsidP="006A488B">
      <w:pPr>
        <w:pStyle w:val="Styl2"/>
        <w:rPr>
          <w:lang w:val="sk-SK"/>
        </w:rPr>
      </w:pPr>
      <w:r w:rsidRPr="00E4274D">
        <w:rPr>
          <w:lang w:val="sk-SK"/>
        </w:rPr>
        <w:t>Druh obalu a obsah balenia</w:t>
      </w:r>
    </w:p>
    <w:p w14:paraId="31052B0B" w14:textId="32B02F78" w:rsidR="00937802" w:rsidRPr="00E4274D" w:rsidRDefault="00937802" w:rsidP="00DE3C08">
      <w:pPr>
        <w:pStyle w:val="Normlndobloku"/>
      </w:pPr>
      <w:r w:rsidRPr="00E4274D">
        <w:t>Sklená injekčná liekovka typ III, gumová zátka, hliníkový uzáver</w:t>
      </w:r>
      <w:r w:rsidR="0055389D">
        <w:t>.</w:t>
      </w:r>
    </w:p>
    <w:p w14:paraId="2E511ADE" w14:textId="43EE5D9B" w:rsidR="00937802" w:rsidRPr="00E4274D" w:rsidRDefault="00937802" w:rsidP="00DE3C08">
      <w:pPr>
        <w:pStyle w:val="Normlndobloku"/>
      </w:pPr>
      <w:r w:rsidRPr="00E4274D">
        <w:t>Veľkos</w:t>
      </w:r>
      <w:r w:rsidR="0055389D">
        <w:t>ti</w:t>
      </w:r>
      <w:r w:rsidRPr="00E4274D">
        <w:t xml:space="preserve"> balenia: 1, 10, 25, 50 a 100 injekčných liekoviek</w:t>
      </w:r>
      <w:r w:rsidR="0055389D">
        <w:t>.</w:t>
      </w:r>
    </w:p>
    <w:p w14:paraId="78807044" w14:textId="77777777" w:rsidR="00937802" w:rsidRPr="00E4274D" w:rsidRDefault="00937802" w:rsidP="00DE3C08">
      <w:pPr>
        <w:pStyle w:val="Normlndobloku"/>
      </w:pPr>
      <w:r w:rsidRPr="00E4274D">
        <w:t>Na trh nemusia byť uvedené všetky veľkosti balenia.</w:t>
      </w:r>
    </w:p>
    <w:p w14:paraId="725FD4B0" w14:textId="77777777" w:rsidR="00937802" w:rsidRPr="00E4274D" w:rsidRDefault="00937802" w:rsidP="006A488B">
      <w:pPr>
        <w:pStyle w:val="Styl2"/>
        <w:rPr>
          <w:lang w:val="sk-SK"/>
        </w:rPr>
      </w:pPr>
      <w:r w:rsidRPr="00E4274D">
        <w:rPr>
          <w:lang w:val="sk-SK"/>
        </w:rPr>
        <w:t>Špeciálne opatrenia na likvidáciu a iné zaobchádzanie s liekom</w:t>
      </w:r>
    </w:p>
    <w:p w14:paraId="616F6B08" w14:textId="139522DC" w:rsidR="00937802" w:rsidRPr="00E4274D" w:rsidRDefault="00937802" w:rsidP="00DE3C08">
      <w:pPr>
        <w:pStyle w:val="Normlndobloku"/>
      </w:pPr>
      <w:bookmarkStart w:id="7" w:name="_Hlk495908189"/>
      <w:r w:rsidRPr="00E4274D">
        <w:t xml:space="preserve">Nepoužívajte iné ako </w:t>
      </w:r>
      <w:r w:rsidR="00115AF6" w:rsidRPr="00E4274D">
        <w:t xml:space="preserve">dole </w:t>
      </w:r>
      <w:r w:rsidRPr="00E4274D">
        <w:t>uvedené rozpúšťadl</w:t>
      </w:r>
      <w:r w:rsidR="00115AF6" w:rsidRPr="00E4274D">
        <w:t>a</w:t>
      </w:r>
      <w:r w:rsidRPr="00E4274D">
        <w:t>. Pred použitím vizuálne skontrolujte parenterálny injekčný roztok, či je číry a</w:t>
      </w:r>
      <w:r w:rsidR="008066DD" w:rsidRPr="00E4274D">
        <w:t> </w:t>
      </w:r>
      <w:r w:rsidRPr="00E4274D">
        <w:t>neobsahuje žiadne cudzorodé častice.</w:t>
      </w:r>
    </w:p>
    <w:bookmarkEnd w:id="7"/>
    <w:p w14:paraId="0A69FEEE" w14:textId="44E0906B" w:rsidR="00937802" w:rsidRPr="00E4274D" w:rsidRDefault="00937802" w:rsidP="00DE3C08">
      <w:pPr>
        <w:pStyle w:val="Normlndobloku"/>
      </w:pPr>
      <w:r w:rsidRPr="00E4274D">
        <w:t>Príprava roztoku</w:t>
      </w:r>
    </w:p>
    <w:p w14:paraId="1F65AEF4" w14:textId="1142E82B" w:rsidR="00937802" w:rsidRPr="00E4274D" w:rsidRDefault="00937802" w:rsidP="00DE3C08">
      <w:pPr>
        <w:pStyle w:val="Normlndoblokusodrkami"/>
      </w:pPr>
      <w:r w:rsidRPr="00E4274D">
        <w:t>Roztok pre intravenóznu alebo intramuskulárnu injekciu sa pripraví asepticky pridaním nie viac ako 2</w:t>
      </w:r>
      <w:r w:rsidR="008066DD" w:rsidRPr="00E4274D">
        <w:t> </w:t>
      </w:r>
      <w:r w:rsidRPr="00E4274D">
        <w:t>ml sterilnej vody na injekciu k</w:t>
      </w:r>
      <w:r w:rsidR="00290F1C" w:rsidRPr="00E4274D">
        <w:rPr>
          <w:szCs w:val="22"/>
        </w:rPr>
        <w:t> </w:t>
      </w:r>
      <w:r w:rsidRPr="00E4274D">
        <w:t>obsahu</w:t>
      </w:r>
      <w:r w:rsidR="00290F1C" w:rsidRPr="00E4274D">
        <w:t xml:space="preserve"> jednej</w:t>
      </w:r>
      <w:r w:rsidRPr="00E4274D">
        <w:t xml:space="preserve"> injekčnej liekovky HYDROCORTISONE MEDOCHEMIE 100</w:t>
      </w:r>
      <w:r w:rsidR="008066DD" w:rsidRPr="00E4274D">
        <w:t> </w:t>
      </w:r>
      <w:r w:rsidRPr="00E4274D">
        <w:t>mg. Pred použitím potriasť a</w:t>
      </w:r>
      <w:r w:rsidR="008066DD" w:rsidRPr="00E4274D">
        <w:t> </w:t>
      </w:r>
      <w:r w:rsidRPr="00E4274D">
        <w:t>nasať do striekačky.</w:t>
      </w:r>
    </w:p>
    <w:p w14:paraId="1AF58CDA" w14:textId="217193C5" w:rsidR="00937802" w:rsidRPr="00E4274D" w:rsidRDefault="00937802" w:rsidP="00DE3C08">
      <w:pPr>
        <w:pStyle w:val="Normlndoblokusodrkami"/>
      </w:pPr>
      <w:r w:rsidRPr="00E4274D">
        <w:t>Roztok pre intravenóznu infúziu sa pripraví pridaním nie viac ako v</w:t>
      </w:r>
      <w:r w:rsidR="008066DD" w:rsidRPr="00E4274D">
        <w:t> </w:t>
      </w:r>
      <w:r w:rsidRPr="00E4274D">
        <w:t>2</w:t>
      </w:r>
      <w:r w:rsidR="008066DD" w:rsidRPr="00E4274D">
        <w:t> </w:t>
      </w:r>
      <w:r w:rsidRPr="00E4274D">
        <w:t>ml sterilnej vody na injekciu k</w:t>
      </w:r>
      <w:r w:rsidR="008066DD" w:rsidRPr="00E4274D">
        <w:t> </w:t>
      </w:r>
      <w:r w:rsidRPr="00E4274D">
        <w:t>obsahu injekčnej liekovky; tento roztok sa potom môže riediť na 100</w:t>
      </w:r>
      <w:r w:rsidR="008066DD" w:rsidRPr="00E4274D">
        <w:t> </w:t>
      </w:r>
      <w:r w:rsidRPr="00E4274D">
        <w:t>ml</w:t>
      </w:r>
      <w:r w:rsidR="008066DD" w:rsidRPr="00E4274D">
        <w:t> </w:t>
      </w:r>
      <w:r w:rsidRPr="00E4274D">
        <w:t>–</w:t>
      </w:r>
      <w:r w:rsidR="008066DD" w:rsidRPr="00E4274D">
        <w:t> </w:t>
      </w:r>
      <w:r w:rsidRPr="00E4274D">
        <w:t>1</w:t>
      </w:r>
      <w:r w:rsidR="008066DD" w:rsidRPr="00E4274D">
        <w:t> </w:t>
      </w:r>
      <w:r w:rsidRPr="00E4274D">
        <w:t>000</w:t>
      </w:r>
      <w:r w:rsidR="008066DD" w:rsidRPr="00E4274D">
        <w:t> </w:t>
      </w:r>
      <w:r w:rsidRPr="00E4274D">
        <w:t>ml (ale nie menej než 100</w:t>
      </w:r>
      <w:r w:rsidR="008066DD" w:rsidRPr="00E4274D">
        <w:t> </w:t>
      </w:r>
      <w:r w:rsidRPr="00E4274D">
        <w:t>ml) 5</w:t>
      </w:r>
      <w:r w:rsidR="008066DD" w:rsidRPr="00E4274D">
        <w:t> </w:t>
      </w:r>
      <w:r w:rsidRPr="00E4274D">
        <w:t>% vodným roztokom glukózy (alebo izotonickým roztokom chloridu sodného alebo 5</w:t>
      </w:r>
      <w:r w:rsidR="008066DD" w:rsidRPr="00E4274D">
        <w:t> </w:t>
      </w:r>
      <w:r w:rsidRPr="00E4274D">
        <w:t>% roztokom glukózy v</w:t>
      </w:r>
      <w:r w:rsidR="008066DD" w:rsidRPr="00E4274D">
        <w:t> </w:t>
      </w:r>
      <w:r w:rsidRPr="00E4274D">
        <w:t>izotonickom roztoku chloridu sodného, pokiaľ nemá pacient obmedzený príjem sodíka).</w:t>
      </w:r>
    </w:p>
    <w:p w14:paraId="5929423D" w14:textId="1D3EA776" w:rsidR="00937802" w:rsidRPr="00E4274D" w:rsidRDefault="00937802" w:rsidP="00DE3C08">
      <w:pPr>
        <w:pStyle w:val="Normlndobloku"/>
      </w:pPr>
      <w:r w:rsidRPr="00E4274D">
        <w:t>Hodnota pH pripraveného roztoku je v rozsahu od 6,5 do 8,0.</w:t>
      </w:r>
    </w:p>
    <w:p w14:paraId="1EDEFD19" w14:textId="77777777" w:rsidR="00937802" w:rsidRPr="00E4274D" w:rsidRDefault="00937802" w:rsidP="006A488B">
      <w:pPr>
        <w:pStyle w:val="Styl1"/>
        <w:rPr>
          <w:lang w:val="sk-SK"/>
        </w:rPr>
      </w:pPr>
      <w:r w:rsidRPr="00E4274D">
        <w:rPr>
          <w:lang w:val="sk-SK"/>
        </w:rPr>
        <w:t>DRŽITEĽ ROZHODNUTIA O REGISTRÁCII</w:t>
      </w:r>
    </w:p>
    <w:p w14:paraId="6996221A" w14:textId="49908146" w:rsidR="00B04770" w:rsidRDefault="00B04770" w:rsidP="00DE3C08">
      <w:pPr>
        <w:pStyle w:val="Normlndobloku"/>
      </w:pPr>
      <w:r w:rsidRPr="005779F1">
        <w:t>MEDOCHEMIE Ltd.</w:t>
      </w:r>
    </w:p>
    <w:p w14:paraId="7DE8EF99" w14:textId="77777777" w:rsidR="00B04770" w:rsidRDefault="00B04770" w:rsidP="00DE3C08">
      <w:pPr>
        <w:pStyle w:val="Normlndobloku"/>
      </w:pPr>
      <w:r w:rsidRPr="005779F1">
        <w:t>1-10 Constantinoupoleos Street</w:t>
      </w:r>
    </w:p>
    <w:p w14:paraId="012E3D33" w14:textId="77777777" w:rsidR="00B04770" w:rsidRDefault="00B04770" w:rsidP="00DE3C08">
      <w:pPr>
        <w:pStyle w:val="Normlndobloku"/>
      </w:pPr>
      <w:r w:rsidRPr="005779F1">
        <w:t>3011 Limassol</w:t>
      </w:r>
    </w:p>
    <w:p w14:paraId="6BA060E0" w14:textId="756D67A6" w:rsidR="00937802" w:rsidRPr="00E4274D" w:rsidRDefault="00B04770" w:rsidP="00DE3C08">
      <w:pPr>
        <w:pStyle w:val="Normlndobloku"/>
      </w:pPr>
      <w:r w:rsidRPr="005779F1">
        <w:t>Cyprus</w:t>
      </w:r>
    </w:p>
    <w:p w14:paraId="02B16571" w14:textId="7FE412EC" w:rsidR="00937802" w:rsidRPr="00E4274D" w:rsidRDefault="00937802" w:rsidP="006A488B">
      <w:pPr>
        <w:pStyle w:val="Styl1"/>
        <w:rPr>
          <w:lang w:val="sk-SK"/>
        </w:rPr>
      </w:pPr>
      <w:r w:rsidRPr="00E4274D">
        <w:rPr>
          <w:lang w:val="sk-SK"/>
        </w:rPr>
        <w:t>REGISTRAČNÉ ČÍSLO</w:t>
      </w:r>
    </w:p>
    <w:p w14:paraId="6A8D6176" w14:textId="77777777" w:rsidR="00937802" w:rsidRPr="00E4274D" w:rsidRDefault="00937802" w:rsidP="00DE3C08">
      <w:pPr>
        <w:pStyle w:val="Normlndobloku"/>
      </w:pPr>
      <w:r w:rsidRPr="00E4274D">
        <w:t>56/0407/14-S</w:t>
      </w:r>
    </w:p>
    <w:p w14:paraId="4CE0DBA9" w14:textId="77777777" w:rsidR="00937802" w:rsidRPr="00E4274D" w:rsidRDefault="00937802" w:rsidP="006A488B">
      <w:pPr>
        <w:pStyle w:val="Styl1"/>
        <w:rPr>
          <w:lang w:val="sk-SK"/>
        </w:rPr>
      </w:pPr>
      <w:r w:rsidRPr="00E4274D">
        <w:rPr>
          <w:lang w:val="sk-SK"/>
        </w:rPr>
        <w:t>DÁTUM PRVEJ REGISTRÁCIE/ PREDĹŽENIA REGISTRÁCIE</w:t>
      </w:r>
    </w:p>
    <w:p w14:paraId="6957D389" w14:textId="49C62608" w:rsidR="00937802" w:rsidRDefault="00937802" w:rsidP="00DE3C08">
      <w:pPr>
        <w:pStyle w:val="Normlndobloku"/>
      </w:pPr>
      <w:r w:rsidRPr="00E4274D">
        <w:t>Dátum prvej registrácie: 22. decembra 2014</w:t>
      </w:r>
    </w:p>
    <w:p w14:paraId="51ADD2E1" w14:textId="29AE67E3" w:rsidR="00E314D4" w:rsidRPr="00E4274D" w:rsidRDefault="00E314D4" w:rsidP="00DE3C08">
      <w:pPr>
        <w:pStyle w:val="Normlndobloku"/>
      </w:pPr>
      <w:r w:rsidRPr="00E0791E">
        <w:t>Dátum posledného predĺženia registrácie:</w:t>
      </w:r>
    </w:p>
    <w:p w14:paraId="65FE47FA" w14:textId="77777777" w:rsidR="00937802" w:rsidRPr="00E4274D" w:rsidRDefault="00937802" w:rsidP="006A488B">
      <w:pPr>
        <w:pStyle w:val="Styl1"/>
        <w:rPr>
          <w:lang w:val="sk-SK"/>
        </w:rPr>
      </w:pPr>
      <w:r w:rsidRPr="00E4274D">
        <w:rPr>
          <w:lang w:val="sk-SK"/>
        </w:rPr>
        <w:t>DÁTUM REVÍZIE TEXTU</w:t>
      </w:r>
    </w:p>
    <w:p w14:paraId="671C37D5" w14:textId="0734DE20" w:rsidR="00C42AE0" w:rsidRPr="00E4274D" w:rsidRDefault="00685DA6" w:rsidP="00DE3C08">
      <w:pPr>
        <w:pStyle w:val="Normlndobloku"/>
      </w:pPr>
      <w:r w:rsidRPr="00E4274D">
        <w:t>1</w:t>
      </w:r>
      <w:r w:rsidR="00BA215F">
        <w:t>2</w:t>
      </w:r>
      <w:r w:rsidR="00987D47" w:rsidRPr="00E4274D">
        <w:t>/201</w:t>
      </w:r>
      <w:r w:rsidR="00FD437B">
        <w:t>9</w:t>
      </w:r>
    </w:p>
    <w:sectPr w:rsidR="00C42AE0" w:rsidRPr="00E4274D" w:rsidSect="00FE2C31">
      <w:headerReference w:type="default" r:id="rId10"/>
      <w:footerReference w:type="default" r:id="rId11"/>
      <w:headerReference w:type="first" r:id="rId12"/>
      <w:footerReference w:type="first" r:id="rId13"/>
      <w:pgSz w:w="11906" w:h="16838" w:code="9"/>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03C7B6" w15:done="0"/>
  <w15:commentEx w15:paraId="7D526DC7" w15:paraIdParent="1603C7B6" w15:done="0"/>
  <w15:commentEx w15:paraId="39FF1B17" w15:paraIdParent="1603C7B6" w15:done="0"/>
  <w15:commentEx w15:paraId="3999FE81" w15:done="0"/>
  <w15:commentEx w15:paraId="213DA7C5" w15:paraIdParent="3999FE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03C7B6" w16cid:durableId="218635B4"/>
  <w16cid:commentId w16cid:paraId="7D526DC7" w16cid:durableId="21863AF6"/>
  <w16cid:commentId w16cid:paraId="39FF1B17" w16cid:durableId="219A1D88"/>
  <w16cid:commentId w16cid:paraId="3999FE81" w16cid:durableId="21A4C822"/>
  <w16cid:commentId w16cid:paraId="213DA7C5" w16cid:durableId="21A4C8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CDC0B" w14:textId="77777777" w:rsidR="00333E0E" w:rsidRDefault="00333E0E" w:rsidP="00A642B8">
      <w:pPr>
        <w:spacing w:after="0" w:line="240" w:lineRule="auto"/>
      </w:pPr>
      <w:r>
        <w:separator/>
      </w:r>
    </w:p>
  </w:endnote>
  <w:endnote w:type="continuationSeparator" w:id="0">
    <w:p w14:paraId="0D3EFF93" w14:textId="77777777" w:rsidR="00333E0E" w:rsidRDefault="00333E0E" w:rsidP="00A642B8">
      <w:pPr>
        <w:spacing w:after="0" w:line="240" w:lineRule="auto"/>
      </w:pPr>
      <w:r>
        <w:continuationSeparator/>
      </w:r>
    </w:p>
  </w:endnote>
  <w:endnote w:type="continuationNotice" w:id="1">
    <w:p w14:paraId="45F96B3E" w14:textId="77777777" w:rsidR="00333E0E" w:rsidRDefault="00333E0E" w:rsidP="00A64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0"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6C371" w14:textId="23A40E52" w:rsidR="00DE3C08" w:rsidRPr="00E4274D" w:rsidRDefault="00DE3C08" w:rsidP="00C52EFF">
    <w:pPr>
      <w:pStyle w:val="Pta"/>
      <w:jc w:val="center"/>
      <w:rPr>
        <w:rFonts w:ascii="Times New Roman" w:hAnsi="Times New Roman" w:cs="Times New Roman"/>
      </w:rPr>
    </w:pPr>
    <w:r w:rsidRPr="00E4274D">
      <w:rPr>
        <w:rFonts w:ascii="Times New Roman" w:hAnsi="Times New Roman" w:cs="Times New Roman"/>
      </w:rPr>
      <w:fldChar w:fldCharType="begin"/>
    </w:r>
    <w:r w:rsidRPr="00E4274D">
      <w:rPr>
        <w:rFonts w:ascii="Times New Roman" w:hAnsi="Times New Roman" w:cs="Times New Roman"/>
      </w:rPr>
      <w:instrText>PAGE</w:instrText>
    </w:r>
    <w:r w:rsidRPr="00E4274D">
      <w:rPr>
        <w:rFonts w:ascii="Times New Roman" w:hAnsi="Times New Roman" w:cs="Times New Roman"/>
      </w:rPr>
      <w:fldChar w:fldCharType="separate"/>
    </w:r>
    <w:r w:rsidR="00D07B60">
      <w:rPr>
        <w:rFonts w:ascii="Times New Roman" w:hAnsi="Times New Roman" w:cs="Times New Roman"/>
        <w:noProof/>
      </w:rPr>
      <w:t>13</w:t>
    </w:r>
    <w:r w:rsidRPr="00E4274D">
      <w:rPr>
        <w:rFonts w:ascii="Times New Roman" w:hAnsi="Times New Roman" w:cs="Times New Roman"/>
      </w:rPr>
      <w:fldChar w:fldCharType="end"/>
    </w:r>
    <w:r w:rsidRPr="00E4274D">
      <w:rPr>
        <w:rFonts w:ascii="Times New Roman" w:hAnsi="Times New Roman" w:cs="Times New Roman"/>
      </w:rPr>
      <w:t>/</w:t>
    </w:r>
    <w:r w:rsidRPr="00E4274D">
      <w:rPr>
        <w:rFonts w:ascii="Times New Roman" w:hAnsi="Times New Roman" w:cs="Times New Roman"/>
      </w:rPr>
      <w:fldChar w:fldCharType="begin"/>
    </w:r>
    <w:r w:rsidRPr="00E4274D">
      <w:rPr>
        <w:rFonts w:ascii="Times New Roman" w:hAnsi="Times New Roman" w:cs="Times New Roman"/>
      </w:rPr>
      <w:instrText>NUMPAGES</w:instrText>
    </w:r>
    <w:r w:rsidRPr="00E4274D">
      <w:rPr>
        <w:rFonts w:ascii="Times New Roman" w:hAnsi="Times New Roman" w:cs="Times New Roman"/>
      </w:rPr>
      <w:fldChar w:fldCharType="separate"/>
    </w:r>
    <w:r w:rsidR="00D07B60">
      <w:rPr>
        <w:rFonts w:ascii="Times New Roman" w:hAnsi="Times New Roman" w:cs="Times New Roman"/>
        <w:noProof/>
      </w:rPr>
      <w:t>13</w:t>
    </w:r>
    <w:r w:rsidRPr="00E4274D">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245F9" w14:textId="61C5A5CF" w:rsidR="00DE3C08" w:rsidRPr="00E4274D" w:rsidRDefault="00DE3C08" w:rsidP="008F2910">
    <w:pPr>
      <w:pStyle w:val="Pta"/>
      <w:jc w:val="center"/>
      <w:rPr>
        <w:rFonts w:ascii="Times New Roman" w:hAnsi="Times New Roman" w:cs="Times New Roman"/>
      </w:rPr>
    </w:pPr>
    <w:r w:rsidRPr="00E4274D">
      <w:rPr>
        <w:rFonts w:ascii="Times New Roman" w:hAnsi="Times New Roman" w:cs="Times New Roman"/>
      </w:rPr>
      <w:fldChar w:fldCharType="begin"/>
    </w:r>
    <w:r w:rsidRPr="00E4274D">
      <w:rPr>
        <w:rFonts w:ascii="Times New Roman" w:hAnsi="Times New Roman" w:cs="Times New Roman"/>
      </w:rPr>
      <w:instrText>PAGE</w:instrText>
    </w:r>
    <w:r w:rsidRPr="00E4274D">
      <w:rPr>
        <w:rFonts w:ascii="Times New Roman" w:hAnsi="Times New Roman" w:cs="Times New Roman"/>
      </w:rPr>
      <w:fldChar w:fldCharType="separate"/>
    </w:r>
    <w:r>
      <w:rPr>
        <w:rFonts w:ascii="Times New Roman" w:hAnsi="Times New Roman" w:cs="Times New Roman"/>
        <w:noProof/>
      </w:rPr>
      <w:t>1</w:t>
    </w:r>
    <w:r w:rsidRPr="00E4274D">
      <w:rPr>
        <w:rFonts w:ascii="Times New Roman" w:hAnsi="Times New Roman" w:cs="Times New Roman"/>
      </w:rPr>
      <w:fldChar w:fldCharType="end"/>
    </w:r>
    <w:r w:rsidRPr="00E4274D">
      <w:rPr>
        <w:rFonts w:ascii="Times New Roman" w:hAnsi="Times New Roman" w:cs="Times New Roman"/>
      </w:rPr>
      <w:t>/</w:t>
    </w:r>
    <w:r w:rsidRPr="00E4274D">
      <w:rPr>
        <w:rFonts w:ascii="Times New Roman" w:hAnsi="Times New Roman" w:cs="Times New Roman"/>
      </w:rPr>
      <w:fldChar w:fldCharType="begin"/>
    </w:r>
    <w:r w:rsidRPr="00E4274D">
      <w:rPr>
        <w:rFonts w:ascii="Times New Roman" w:hAnsi="Times New Roman" w:cs="Times New Roman"/>
      </w:rPr>
      <w:instrText>NUMPAGES</w:instrText>
    </w:r>
    <w:r w:rsidRPr="00E4274D">
      <w:rPr>
        <w:rFonts w:ascii="Times New Roman" w:hAnsi="Times New Roman" w:cs="Times New Roman"/>
      </w:rPr>
      <w:fldChar w:fldCharType="separate"/>
    </w:r>
    <w:r>
      <w:rPr>
        <w:rFonts w:ascii="Times New Roman" w:hAnsi="Times New Roman" w:cs="Times New Roman"/>
        <w:noProof/>
      </w:rPr>
      <w:t>13</w:t>
    </w:r>
    <w:r w:rsidRPr="00E4274D">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94718" w14:textId="77777777" w:rsidR="00333E0E" w:rsidRDefault="00333E0E" w:rsidP="00A642B8">
      <w:pPr>
        <w:spacing w:after="0" w:line="240" w:lineRule="auto"/>
      </w:pPr>
      <w:r>
        <w:separator/>
      </w:r>
    </w:p>
  </w:footnote>
  <w:footnote w:type="continuationSeparator" w:id="0">
    <w:p w14:paraId="101B4DAB" w14:textId="77777777" w:rsidR="00333E0E" w:rsidRDefault="00333E0E" w:rsidP="00A642B8">
      <w:pPr>
        <w:spacing w:after="0" w:line="240" w:lineRule="auto"/>
      </w:pPr>
      <w:r>
        <w:continuationSeparator/>
      </w:r>
    </w:p>
  </w:footnote>
  <w:footnote w:type="continuationNotice" w:id="1">
    <w:p w14:paraId="69AFEF7C" w14:textId="77777777" w:rsidR="00333E0E" w:rsidRDefault="00333E0E" w:rsidP="00A642B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03A84" w14:textId="5EB67D77" w:rsidR="00DE3C08" w:rsidRDefault="00DE3C08" w:rsidP="00EC10C9">
    <w:pPr>
      <w:spacing w:after="0" w:line="240" w:lineRule="auto"/>
      <w:rPr>
        <w:rFonts w:ascii="Times New Roman" w:hAnsi="Times New Roman" w:cs="Times New Roman"/>
        <w:sz w:val="18"/>
        <w:szCs w:val="18"/>
        <w:lang w:val="sk-SK"/>
      </w:rPr>
    </w:pPr>
    <w:r w:rsidRPr="007B5B59">
      <w:rPr>
        <w:rFonts w:ascii="Times New Roman" w:hAnsi="Times New Roman" w:cs="Times New Roman"/>
        <w:sz w:val="18"/>
        <w:szCs w:val="18"/>
        <w:lang w:val="sk-SK"/>
      </w:rPr>
      <w:t>Príloha č. 1 k notifikácii o zmene, ev. č.: 2017/05583</w:t>
    </w:r>
    <w:r>
      <w:rPr>
        <w:rFonts w:ascii="Times New Roman" w:hAnsi="Times New Roman" w:cs="Times New Roman"/>
        <w:sz w:val="18"/>
        <w:szCs w:val="18"/>
        <w:lang w:val="sk-SK"/>
      </w:rPr>
      <w:t>-ZIA</w:t>
    </w:r>
  </w:p>
  <w:p w14:paraId="3921C793" w14:textId="19F82868" w:rsidR="00DE3C08" w:rsidRPr="00C87D1B" w:rsidRDefault="00DE3C08" w:rsidP="00EC10C9">
    <w:pPr>
      <w:pStyle w:val="Hlavika"/>
      <w:rPr>
        <w:rFonts w:ascii="Times New Roman" w:hAnsi="Times New Roman" w:cs="Times New Roman"/>
        <w:sz w:val="18"/>
        <w:szCs w:val="18"/>
        <w:lang w:val="sk-SK"/>
      </w:rPr>
    </w:pPr>
    <w:r w:rsidRPr="00C87D1B">
      <w:rPr>
        <w:rFonts w:ascii="Times New Roman" w:hAnsi="Times New Roman" w:cs="Times New Roman"/>
        <w:sz w:val="18"/>
        <w:szCs w:val="18"/>
        <w:lang w:val="sk-SK"/>
      </w:rPr>
      <w:t>Schválený text k rozhodnutiu o predĺžení, ev. č.:</w:t>
    </w:r>
    <w:r>
      <w:rPr>
        <w:rFonts w:ascii="Times New Roman" w:hAnsi="Times New Roman" w:cs="Times New Roman"/>
        <w:sz w:val="18"/>
        <w:szCs w:val="18"/>
        <w:lang w:val="sk-SK"/>
      </w:rPr>
      <w:t xml:space="preserve"> </w:t>
    </w:r>
    <w:r w:rsidRPr="00A756A4">
      <w:rPr>
        <w:rFonts w:ascii="Times New Roman" w:hAnsi="Times New Roman" w:cs="Times New Roman"/>
        <w:sz w:val="18"/>
        <w:szCs w:val="18"/>
        <w:lang w:val="sk-SK"/>
      </w:rPr>
      <w:t>2019/01376</w:t>
    </w:r>
    <w:r>
      <w:rPr>
        <w:rFonts w:ascii="Times New Roman" w:hAnsi="Times New Roman" w:cs="Times New Roman"/>
        <w:sz w:val="18"/>
        <w:szCs w:val="18"/>
        <w:lang w:val="sk-SK"/>
      </w:rPr>
      <w:t>-PRE</w:t>
    </w:r>
  </w:p>
  <w:p w14:paraId="005D6E74" w14:textId="77777777" w:rsidR="00DE3C08" w:rsidRDefault="00DE3C0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35A39" w14:textId="13703904" w:rsidR="00DE3C08" w:rsidRDefault="00DE3C08" w:rsidP="00E4274D">
    <w:pPr>
      <w:spacing w:after="0" w:line="240" w:lineRule="auto"/>
      <w:rPr>
        <w:rFonts w:ascii="Times New Roman" w:hAnsi="Times New Roman" w:cs="Times New Roman"/>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C0EF64"/>
    <w:lvl w:ilvl="0">
      <w:start w:val="1"/>
      <w:numFmt w:val="decimal"/>
      <w:lvlText w:val="%1."/>
      <w:lvlJc w:val="left"/>
      <w:pPr>
        <w:tabs>
          <w:tab w:val="num" w:pos="1492"/>
        </w:tabs>
        <w:ind w:left="1492" w:hanging="360"/>
      </w:pPr>
    </w:lvl>
  </w:abstractNum>
  <w:abstractNum w:abstractNumId="1">
    <w:nsid w:val="FFFFFF7D"/>
    <w:multiLevelType w:val="singleLevel"/>
    <w:tmpl w:val="D67A9996"/>
    <w:lvl w:ilvl="0">
      <w:start w:val="1"/>
      <w:numFmt w:val="decimal"/>
      <w:lvlText w:val="%1."/>
      <w:lvlJc w:val="left"/>
      <w:pPr>
        <w:tabs>
          <w:tab w:val="num" w:pos="1209"/>
        </w:tabs>
        <w:ind w:left="1209" w:hanging="360"/>
      </w:pPr>
    </w:lvl>
  </w:abstractNum>
  <w:abstractNum w:abstractNumId="2">
    <w:nsid w:val="FFFFFF7E"/>
    <w:multiLevelType w:val="singleLevel"/>
    <w:tmpl w:val="CF0CACDA"/>
    <w:lvl w:ilvl="0">
      <w:start w:val="1"/>
      <w:numFmt w:val="decimal"/>
      <w:lvlText w:val="%1."/>
      <w:lvlJc w:val="left"/>
      <w:pPr>
        <w:tabs>
          <w:tab w:val="num" w:pos="926"/>
        </w:tabs>
        <w:ind w:left="926" w:hanging="360"/>
      </w:pPr>
    </w:lvl>
  </w:abstractNum>
  <w:abstractNum w:abstractNumId="3">
    <w:nsid w:val="FFFFFF7F"/>
    <w:multiLevelType w:val="singleLevel"/>
    <w:tmpl w:val="BA7C9662"/>
    <w:lvl w:ilvl="0">
      <w:start w:val="1"/>
      <w:numFmt w:val="decimal"/>
      <w:lvlText w:val="%1."/>
      <w:lvlJc w:val="left"/>
      <w:pPr>
        <w:tabs>
          <w:tab w:val="num" w:pos="643"/>
        </w:tabs>
        <w:ind w:left="643" w:hanging="360"/>
      </w:pPr>
    </w:lvl>
  </w:abstractNum>
  <w:abstractNum w:abstractNumId="4">
    <w:nsid w:val="FFFFFF80"/>
    <w:multiLevelType w:val="singleLevel"/>
    <w:tmpl w:val="496ACC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21287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E889E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0C30A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32CD7CE"/>
    <w:lvl w:ilvl="0">
      <w:start w:val="1"/>
      <w:numFmt w:val="decimal"/>
      <w:lvlText w:val="%1."/>
      <w:lvlJc w:val="left"/>
      <w:pPr>
        <w:tabs>
          <w:tab w:val="num" w:pos="360"/>
        </w:tabs>
        <w:ind w:left="360" w:hanging="360"/>
      </w:pPr>
    </w:lvl>
  </w:abstractNum>
  <w:abstractNum w:abstractNumId="9">
    <w:nsid w:val="FFFFFF89"/>
    <w:multiLevelType w:val="singleLevel"/>
    <w:tmpl w:val="44D0678A"/>
    <w:lvl w:ilvl="0">
      <w:start w:val="1"/>
      <w:numFmt w:val="bullet"/>
      <w:lvlText w:val=""/>
      <w:lvlJc w:val="left"/>
      <w:pPr>
        <w:tabs>
          <w:tab w:val="num" w:pos="360"/>
        </w:tabs>
        <w:ind w:left="360" w:hanging="360"/>
      </w:pPr>
      <w:rPr>
        <w:rFonts w:ascii="Symbol" w:hAnsi="Symbol" w:hint="default"/>
      </w:rPr>
    </w:lvl>
  </w:abstractNum>
  <w:abstractNum w:abstractNumId="10">
    <w:nsid w:val="01717372"/>
    <w:multiLevelType w:val="hybridMultilevel"/>
    <w:tmpl w:val="55E6E6F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09A821A7"/>
    <w:multiLevelType w:val="hybridMultilevel"/>
    <w:tmpl w:val="99942E78"/>
    <w:lvl w:ilvl="0" w:tplc="041B0001">
      <w:start w:val="1"/>
      <w:numFmt w:val="bullet"/>
      <w:lvlText w:val=""/>
      <w:lvlJc w:val="left"/>
      <w:pPr>
        <w:tabs>
          <w:tab w:val="num" w:pos="1068"/>
        </w:tabs>
        <w:ind w:left="1068" w:hanging="360"/>
      </w:pPr>
      <w:rPr>
        <w:rFonts w:ascii="Symbol" w:hAnsi="Symbol" w:hint="default"/>
      </w:rPr>
    </w:lvl>
    <w:lvl w:ilvl="1" w:tplc="032274DC">
      <w:start w:val="4"/>
      <w:numFmt w:val="bullet"/>
      <w:lvlText w:val="-"/>
      <w:lvlJc w:val="left"/>
      <w:pPr>
        <w:tabs>
          <w:tab w:val="num" w:pos="1788"/>
        </w:tabs>
        <w:ind w:left="1788" w:hanging="360"/>
      </w:pPr>
      <w:rPr>
        <w:rFonts w:ascii="Times New Roman" w:eastAsia="Times New Roman" w:hAnsi="Times New Roman" w:cs="Times New Roman" w:hint="default"/>
      </w:r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12">
    <w:nsid w:val="14A53FD3"/>
    <w:multiLevelType w:val="hybridMultilevel"/>
    <w:tmpl w:val="9BAA315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173D28B1"/>
    <w:multiLevelType w:val="hybridMultilevel"/>
    <w:tmpl w:val="AE825170"/>
    <w:lvl w:ilvl="0" w:tplc="A48C111C">
      <w:start w:val="1"/>
      <w:numFmt w:val="bullet"/>
      <w:pStyle w:val="Normlndoblokusodrkami"/>
      <w:lvlText w:val=""/>
      <w:lvlJc w:val="left"/>
      <w:pPr>
        <w:ind w:left="92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174C7DB5"/>
    <w:multiLevelType w:val="hybridMultilevel"/>
    <w:tmpl w:val="A63A8B70"/>
    <w:lvl w:ilvl="0" w:tplc="A0EC0D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886012D"/>
    <w:multiLevelType w:val="hybridMultilevel"/>
    <w:tmpl w:val="757A6B84"/>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33FB7190"/>
    <w:multiLevelType w:val="hybridMultilevel"/>
    <w:tmpl w:val="1F08C7C8"/>
    <w:lvl w:ilvl="0" w:tplc="98BAB9B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A1C16BC"/>
    <w:multiLevelType w:val="multilevel"/>
    <w:tmpl w:val="BAAE349A"/>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440C3ACF"/>
    <w:multiLevelType w:val="hybridMultilevel"/>
    <w:tmpl w:val="9CD65734"/>
    <w:lvl w:ilvl="0" w:tplc="041B000F">
      <w:start w:val="1"/>
      <w:numFmt w:val="decimal"/>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nsid w:val="4B071EC5"/>
    <w:multiLevelType w:val="hybridMultilevel"/>
    <w:tmpl w:val="D2E66D0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4DBA13E3"/>
    <w:multiLevelType w:val="hybridMultilevel"/>
    <w:tmpl w:val="7A767CE6"/>
    <w:lvl w:ilvl="0" w:tplc="041B000F">
      <w:start w:val="1"/>
      <w:numFmt w:val="decimal"/>
      <w:lvlText w:val="%1."/>
      <w:lvlJc w:val="left"/>
      <w:pPr>
        <w:tabs>
          <w:tab w:val="num" w:pos="720"/>
        </w:tabs>
        <w:ind w:left="720" w:hanging="360"/>
      </w:pPr>
      <w:rPr>
        <w:rFonts w:hint="default"/>
      </w:rPr>
    </w:lvl>
    <w:lvl w:ilvl="1" w:tplc="032274DC">
      <w:start w:val="4"/>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nsid w:val="4FE955FB"/>
    <w:multiLevelType w:val="multilevel"/>
    <w:tmpl w:val="966ADFAE"/>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6AAD4AA7"/>
    <w:multiLevelType w:val="multilevel"/>
    <w:tmpl w:val="8314F6FC"/>
    <w:lvl w:ilvl="0">
      <w:start w:val="1"/>
      <w:numFmt w:val="decimal"/>
      <w:pStyle w:val="Styl1"/>
      <w:lvlText w:val="%1."/>
      <w:lvlJc w:val="left"/>
      <w:pPr>
        <w:tabs>
          <w:tab w:val="num" w:pos="360"/>
        </w:tabs>
        <w:ind w:left="360" w:hanging="360"/>
      </w:pPr>
      <w:rPr>
        <w:rFonts w:cs="Times New Roman" w:hint="default"/>
      </w:rPr>
    </w:lvl>
    <w:lvl w:ilvl="1">
      <w:start w:val="1"/>
      <w:numFmt w:val="decimal"/>
      <w:pStyle w:val="Styl2"/>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2"/>
  </w:num>
  <w:num w:numId="2">
    <w:abstractNumId w:val="22"/>
  </w:num>
  <w:num w:numId="3">
    <w:abstractNumId w:val="13"/>
  </w:num>
  <w:num w:numId="4">
    <w:abstractNumId w:val="14"/>
  </w:num>
  <w:num w:numId="5">
    <w:abstractNumId w:val="12"/>
  </w:num>
  <w:num w:numId="6">
    <w:abstractNumId w:val="20"/>
  </w:num>
  <w:num w:numId="7">
    <w:abstractNumId w:val="10"/>
  </w:num>
  <w:num w:numId="8">
    <w:abstractNumId w:val="11"/>
  </w:num>
  <w:num w:numId="9">
    <w:abstractNumId w:val="15"/>
  </w:num>
  <w:num w:numId="10">
    <w:abstractNumId w:val="21"/>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9"/>
  </w:num>
  <w:num w:numId="22">
    <w:abstractNumId w:val="17"/>
  </w:num>
  <w:num w:numId="23">
    <w:abstractNumId w:val="18"/>
  </w:num>
  <w:num w:numId="24">
    <w:abstractNumId w:val="16"/>
  </w:num>
  <w:num w:numId="25">
    <w:abstractNumId w:val="22"/>
  </w:num>
  <w:num w:numId="2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roslav Litera">
    <w15:presenceInfo w15:providerId="AD" w15:userId="S::jaroslavl@medochemie.com::71833632-6083-4a16-b12c-1c85d93694d1"/>
  </w15:person>
  <w15:person w15:author="matuskova">
    <w15:presenceInfo w15:providerId="None" w15:userId="matus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64"/>
    <w:rsid w:val="0000401E"/>
    <w:rsid w:val="000041F4"/>
    <w:rsid w:val="000047E2"/>
    <w:rsid w:val="000115BC"/>
    <w:rsid w:val="0001267C"/>
    <w:rsid w:val="000158DA"/>
    <w:rsid w:val="0001783F"/>
    <w:rsid w:val="000222C0"/>
    <w:rsid w:val="00024F6E"/>
    <w:rsid w:val="00026F18"/>
    <w:rsid w:val="00033101"/>
    <w:rsid w:val="00033F64"/>
    <w:rsid w:val="000356CD"/>
    <w:rsid w:val="00035FEE"/>
    <w:rsid w:val="000408C8"/>
    <w:rsid w:val="00046E19"/>
    <w:rsid w:val="000520A4"/>
    <w:rsid w:val="0006568B"/>
    <w:rsid w:val="00065D21"/>
    <w:rsid w:val="0007058E"/>
    <w:rsid w:val="00075DD9"/>
    <w:rsid w:val="00077B2A"/>
    <w:rsid w:val="00086BBA"/>
    <w:rsid w:val="00086C86"/>
    <w:rsid w:val="000967DD"/>
    <w:rsid w:val="000A0482"/>
    <w:rsid w:val="000A1487"/>
    <w:rsid w:val="000A36EA"/>
    <w:rsid w:val="000A3C6D"/>
    <w:rsid w:val="000A6DC6"/>
    <w:rsid w:val="000B0626"/>
    <w:rsid w:val="000B1060"/>
    <w:rsid w:val="000B6C41"/>
    <w:rsid w:val="000D1C18"/>
    <w:rsid w:val="000E5630"/>
    <w:rsid w:val="000F2CE4"/>
    <w:rsid w:val="000F5700"/>
    <w:rsid w:val="000F5785"/>
    <w:rsid w:val="000F69C5"/>
    <w:rsid w:val="00100BEB"/>
    <w:rsid w:val="00100CD6"/>
    <w:rsid w:val="0010152A"/>
    <w:rsid w:val="00101CBE"/>
    <w:rsid w:val="00103826"/>
    <w:rsid w:val="0010620B"/>
    <w:rsid w:val="001073B7"/>
    <w:rsid w:val="00113C9F"/>
    <w:rsid w:val="0011511F"/>
    <w:rsid w:val="00115AF6"/>
    <w:rsid w:val="00116897"/>
    <w:rsid w:val="001177D6"/>
    <w:rsid w:val="00121A85"/>
    <w:rsid w:val="00123346"/>
    <w:rsid w:val="001244A1"/>
    <w:rsid w:val="0012635B"/>
    <w:rsid w:val="00134501"/>
    <w:rsid w:val="00167108"/>
    <w:rsid w:val="001721A1"/>
    <w:rsid w:val="00172550"/>
    <w:rsid w:val="001728A9"/>
    <w:rsid w:val="0017422A"/>
    <w:rsid w:val="0017719D"/>
    <w:rsid w:val="00180421"/>
    <w:rsid w:val="00180767"/>
    <w:rsid w:val="0018770D"/>
    <w:rsid w:val="001A1F24"/>
    <w:rsid w:val="001A21EC"/>
    <w:rsid w:val="001A6A9D"/>
    <w:rsid w:val="001A6E20"/>
    <w:rsid w:val="001A7A9D"/>
    <w:rsid w:val="001B07D3"/>
    <w:rsid w:val="001B1087"/>
    <w:rsid w:val="001D0A49"/>
    <w:rsid w:val="001D137B"/>
    <w:rsid w:val="001D3607"/>
    <w:rsid w:val="001D616F"/>
    <w:rsid w:val="001D6349"/>
    <w:rsid w:val="001E2F19"/>
    <w:rsid w:val="001E7FBF"/>
    <w:rsid w:val="001F0941"/>
    <w:rsid w:val="001F1DBB"/>
    <w:rsid w:val="001F2704"/>
    <w:rsid w:val="001F6B34"/>
    <w:rsid w:val="00200A4F"/>
    <w:rsid w:val="0020115E"/>
    <w:rsid w:val="002014AB"/>
    <w:rsid w:val="00201D19"/>
    <w:rsid w:val="0021786F"/>
    <w:rsid w:val="00221C76"/>
    <w:rsid w:val="0022503F"/>
    <w:rsid w:val="00230970"/>
    <w:rsid w:val="0023150C"/>
    <w:rsid w:val="00234FF5"/>
    <w:rsid w:val="002402AC"/>
    <w:rsid w:val="002434C2"/>
    <w:rsid w:val="00243E20"/>
    <w:rsid w:val="002443AE"/>
    <w:rsid w:val="00244D60"/>
    <w:rsid w:val="002458C2"/>
    <w:rsid w:val="00250A5D"/>
    <w:rsid w:val="00251049"/>
    <w:rsid w:val="0025298F"/>
    <w:rsid w:val="00255542"/>
    <w:rsid w:val="0025682D"/>
    <w:rsid w:val="00260F58"/>
    <w:rsid w:val="002760A2"/>
    <w:rsid w:val="00280529"/>
    <w:rsid w:val="00286A24"/>
    <w:rsid w:val="00290811"/>
    <w:rsid w:val="00290B2B"/>
    <w:rsid w:val="00290F1C"/>
    <w:rsid w:val="0029438A"/>
    <w:rsid w:val="00294E85"/>
    <w:rsid w:val="002A1546"/>
    <w:rsid w:val="002A2A36"/>
    <w:rsid w:val="002A4F5C"/>
    <w:rsid w:val="002A7436"/>
    <w:rsid w:val="002B37EA"/>
    <w:rsid w:val="002B3EC6"/>
    <w:rsid w:val="002B574C"/>
    <w:rsid w:val="002B5C97"/>
    <w:rsid w:val="002D08DD"/>
    <w:rsid w:val="002D0E7F"/>
    <w:rsid w:val="002D204D"/>
    <w:rsid w:val="002E3796"/>
    <w:rsid w:val="002E38A6"/>
    <w:rsid w:val="002F0BEA"/>
    <w:rsid w:val="002F237F"/>
    <w:rsid w:val="002F4849"/>
    <w:rsid w:val="002F645B"/>
    <w:rsid w:val="002F6D92"/>
    <w:rsid w:val="00310D81"/>
    <w:rsid w:val="00310E30"/>
    <w:rsid w:val="003161DF"/>
    <w:rsid w:val="00320E07"/>
    <w:rsid w:val="00321B66"/>
    <w:rsid w:val="00323CBB"/>
    <w:rsid w:val="00325914"/>
    <w:rsid w:val="003275BD"/>
    <w:rsid w:val="00332087"/>
    <w:rsid w:val="003327FD"/>
    <w:rsid w:val="00333E0E"/>
    <w:rsid w:val="003379A5"/>
    <w:rsid w:val="00340353"/>
    <w:rsid w:val="0034296A"/>
    <w:rsid w:val="00344CA6"/>
    <w:rsid w:val="00345B69"/>
    <w:rsid w:val="00351B6D"/>
    <w:rsid w:val="00352FE7"/>
    <w:rsid w:val="0035369C"/>
    <w:rsid w:val="00356E22"/>
    <w:rsid w:val="00357CE4"/>
    <w:rsid w:val="00361BCE"/>
    <w:rsid w:val="0036481E"/>
    <w:rsid w:val="00372C40"/>
    <w:rsid w:val="003813F6"/>
    <w:rsid w:val="00383B28"/>
    <w:rsid w:val="00384ED5"/>
    <w:rsid w:val="003878C0"/>
    <w:rsid w:val="00392134"/>
    <w:rsid w:val="003922BD"/>
    <w:rsid w:val="00395207"/>
    <w:rsid w:val="003953FC"/>
    <w:rsid w:val="003965F3"/>
    <w:rsid w:val="003A20AB"/>
    <w:rsid w:val="003B6081"/>
    <w:rsid w:val="003C31B3"/>
    <w:rsid w:val="003C38A7"/>
    <w:rsid w:val="003C38B9"/>
    <w:rsid w:val="003D3ACC"/>
    <w:rsid w:val="003D4B09"/>
    <w:rsid w:val="003D6F89"/>
    <w:rsid w:val="003F1127"/>
    <w:rsid w:val="003F266D"/>
    <w:rsid w:val="003F305E"/>
    <w:rsid w:val="00404B28"/>
    <w:rsid w:val="004052F3"/>
    <w:rsid w:val="004053ED"/>
    <w:rsid w:val="004060BB"/>
    <w:rsid w:val="00414A23"/>
    <w:rsid w:val="00422F1F"/>
    <w:rsid w:val="00426079"/>
    <w:rsid w:val="0043139D"/>
    <w:rsid w:val="004314D7"/>
    <w:rsid w:val="00434347"/>
    <w:rsid w:val="004363FF"/>
    <w:rsid w:val="00441515"/>
    <w:rsid w:val="004519D3"/>
    <w:rsid w:val="00451D59"/>
    <w:rsid w:val="00452BFC"/>
    <w:rsid w:val="00452EDA"/>
    <w:rsid w:val="00453800"/>
    <w:rsid w:val="004543E9"/>
    <w:rsid w:val="00463DE4"/>
    <w:rsid w:val="00464CB7"/>
    <w:rsid w:val="004658C4"/>
    <w:rsid w:val="004660F3"/>
    <w:rsid w:val="0047079C"/>
    <w:rsid w:val="004728DB"/>
    <w:rsid w:val="00475092"/>
    <w:rsid w:val="00475273"/>
    <w:rsid w:val="004753DE"/>
    <w:rsid w:val="00475AEC"/>
    <w:rsid w:val="00476B8F"/>
    <w:rsid w:val="00485602"/>
    <w:rsid w:val="0049048A"/>
    <w:rsid w:val="00493F4F"/>
    <w:rsid w:val="004A0D5B"/>
    <w:rsid w:val="004B1946"/>
    <w:rsid w:val="004B1AD6"/>
    <w:rsid w:val="004B373D"/>
    <w:rsid w:val="004C304C"/>
    <w:rsid w:val="004C4824"/>
    <w:rsid w:val="004C63E7"/>
    <w:rsid w:val="004D025B"/>
    <w:rsid w:val="004D1BC2"/>
    <w:rsid w:val="004D32F4"/>
    <w:rsid w:val="004D3508"/>
    <w:rsid w:val="004E1B8A"/>
    <w:rsid w:val="004F2FB7"/>
    <w:rsid w:val="00500EBA"/>
    <w:rsid w:val="005051BE"/>
    <w:rsid w:val="00506EB5"/>
    <w:rsid w:val="00507F85"/>
    <w:rsid w:val="00510252"/>
    <w:rsid w:val="005111BB"/>
    <w:rsid w:val="00511A77"/>
    <w:rsid w:val="0051230B"/>
    <w:rsid w:val="00514D32"/>
    <w:rsid w:val="00517A9E"/>
    <w:rsid w:val="00522570"/>
    <w:rsid w:val="00526831"/>
    <w:rsid w:val="00545BE7"/>
    <w:rsid w:val="00546CEE"/>
    <w:rsid w:val="00547EC7"/>
    <w:rsid w:val="0055389D"/>
    <w:rsid w:val="00553EA7"/>
    <w:rsid w:val="00573DA3"/>
    <w:rsid w:val="00583D21"/>
    <w:rsid w:val="0058578F"/>
    <w:rsid w:val="00585F23"/>
    <w:rsid w:val="00591C78"/>
    <w:rsid w:val="00592460"/>
    <w:rsid w:val="005A1591"/>
    <w:rsid w:val="005A5BB8"/>
    <w:rsid w:val="005B5B52"/>
    <w:rsid w:val="005C06CC"/>
    <w:rsid w:val="005D09D9"/>
    <w:rsid w:val="005D6012"/>
    <w:rsid w:val="005D6A70"/>
    <w:rsid w:val="005E1450"/>
    <w:rsid w:val="005E21EB"/>
    <w:rsid w:val="005E4525"/>
    <w:rsid w:val="005E4D51"/>
    <w:rsid w:val="005E5B92"/>
    <w:rsid w:val="005E7916"/>
    <w:rsid w:val="005F59AD"/>
    <w:rsid w:val="006000C2"/>
    <w:rsid w:val="00606C2A"/>
    <w:rsid w:val="00606F52"/>
    <w:rsid w:val="00610366"/>
    <w:rsid w:val="00617344"/>
    <w:rsid w:val="006223C8"/>
    <w:rsid w:val="006256F9"/>
    <w:rsid w:val="0063612D"/>
    <w:rsid w:val="006372D5"/>
    <w:rsid w:val="006373FF"/>
    <w:rsid w:val="006379E7"/>
    <w:rsid w:val="00637CFA"/>
    <w:rsid w:val="00640889"/>
    <w:rsid w:val="0065130D"/>
    <w:rsid w:val="0065217B"/>
    <w:rsid w:val="00652EC3"/>
    <w:rsid w:val="006628B7"/>
    <w:rsid w:val="00662D23"/>
    <w:rsid w:val="00663434"/>
    <w:rsid w:val="0066490F"/>
    <w:rsid w:val="00665F98"/>
    <w:rsid w:val="00670A13"/>
    <w:rsid w:val="0067434E"/>
    <w:rsid w:val="0067485E"/>
    <w:rsid w:val="00681EE7"/>
    <w:rsid w:val="0068530C"/>
    <w:rsid w:val="00685DA6"/>
    <w:rsid w:val="00686414"/>
    <w:rsid w:val="00687413"/>
    <w:rsid w:val="00690AED"/>
    <w:rsid w:val="00691AE6"/>
    <w:rsid w:val="00695227"/>
    <w:rsid w:val="006A0E1D"/>
    <w:rsid w:val="006A233B"/>
    <w:rsid w:val="006A3E8E"/>
    <w:rsid w:val="006A488B"/>
    <w:rsid w:val="006A71D0"/>
    <w:rsid w:val="006B6365"/>
    <w:rsid w:val="006C0D72"/>
    <w:rsid w:val="006C1F5F"/>
    <w:rsid w:val="006C4A99"/>
    <w:rsid w:val="006C71CE"/>
    <w:rsid w:val="006D0F8A"/>
    <w:rsid w:val="006D3559"/>
    <w:rsid w:val="006E0DA6"/>
    <w:rsid w:val="006E1ADF"/>
    <w:rsid w:val="006E7DAD"/>
    <w:rsid w:val="006F5A3B"/>
    <w:rsid w:val="007006EB"/>
    <w:rsid w:val="00701450"/>
    <w:rsid w:val="00705E2C"/>
    <w:rsid w:val="00705ECB"/>
    <w:rsid w:val="007072CA"/>
    <w:rsid w:val="00707E0A"/>
    <w:rsid w:val="00711777"/>
    <w:rsid w:val="00713402"/>
    <w:rsid w:val="007139AA"/>
    <w:rsid w:val="00714633"/>
    <w:rsid w:val="00717656"/>
    <w:rsid w:val="00726FFA"/>
    <w:rsid w:val="00734D64"/>
    <w:rsid w:val="0074220A"/>
    <w:rsid w:val="00742593"/>
    <w:rsid w:val="00753088"/>
    <w:rsid w:val="007562D7"/>
    <w:rsid w:val="00757878"/>
    <w:rsid w:val="0076222F"/>
    <w:rsid w:val="007630F2"/>
    <w:rsid w:val="007657E3"/>
    <w:rsid w:val="0076748B"/>
    <w:rsid w:val="00774F51"/>
    <w:rsid w:val="00796B90"/>
    <w:rsid w:val="007A4672"/>
    <w:rsid w:val="007B3B58"/>
    <w:rsid w:val="007B5B2A"/>
    <w:rsid w:val="007B5B59"/>
    <w:rsid w:val="007C1048"/>
    <w:rsid w:val="007C1864"/>
    <w:rsid w:val="007C191B"/>
    <w:rsid w:val="007C3B69"/>
    <w:rsid w:val="007C6682"/>
    <w:rsid w:val="007C74EA"/>
    <w:rsid w:val="007D2E80"/>
    <w:rsid w:val="007D588B"/>
    <w:rsid w:val="007E17BE"/>
    <w:rsid w:val="007E4438"/>
    <w:rsid w:val="007E4916"/>
    <w:rsid w:val="007E50D2"/>
    <w:rsid w:val="007F3D99"/>
    <w:rsid w:val="008066DD"/>
    <w:rsid w:val="00811DE5"/>
    <w:rsid w:val="008125B4"/>
    <w:rsid w:val="008142BB"/>
    <w:rsid w:val="0081552D"/>
    <w:rsid w:val="00820397"/>
    <w:rsid w:val="00823956"/>
    <w:rsid w:val="00824394"/>
    <w:rsid w:val="00825BC1"/>
    <w:rsid w:val="0083013F"/>
    <w:rsid w:val="00830417"/>
    <w:rsid w:val="00832228"/>
    <w:rsid w:val="00837251"/>
    <w:rsid w:val="00837EBA"/>
    <w:rsid w:val="0084457D"/>
    <w:rsid w:val="00850EAC"/>
    <w:rsid w:val="0086195C"/>
    <w:rsid w:val="00863BCD"/>
    <w:rsid w:val="00865A95"/>
    <w:rsid w:val="008672A9"/>
    <w:rsid w:val="00873DD1"/>
    <w:rsid w:val="00875201"/>
    <w:rsid w:val="008817AD"/>
    <w:rsid w:val="00881FB7"/>
    <w:rsid w:val="008822AC"/>
    <w:rsid w:val="00884AF4"/>
    <w:rsid w:val="0089065F"/>
    <w:rsid w:val="00890C61"/>
    <w:rsid w:val="00894843"/>
    <w:rsid w:val="00895F94"/>
    <w:rsid w:val="008A78D8"/>
    <w:rsid w:val="008B005C"/>
    <w:rsid w:val="008B00B3"/>
    <w:rsid w:val="008B3EE8"/>
    <w:rsid w:val="008C4012"/>
    <w:rsid w:val="008C5434"/>
    <w:rsid w:val="008D124F"/>
    <w:rsid w:val="008D42AE"/>
    <w:rsid w:val="008F2910"/>
    <w:rsid w:val="008F6A77"/>
    <w:rsid w:val="008F75BF"/>
    <w:rsid w:val="00900C38"/>
    <w:rsid w:val="00905571"/>
    <w:rsid w:val="00905D75"/>
    <w:rsid w:val="00907136"/>
    <w:rsid w:val="00907635"/>
    <w:rsid w:val="00916630"/>
    <w:rsid w:val="009203C7"/>
    <w:rsid w:val="00922501"/>
    <w:rsid w:val="009251C6"/>
    <w:rsid w:val="00925FAD"/>
    <w:rsid w:val="00930A8B"/>
    <w:rsid w:val="009330A6"/>
    <w:rsid w:val="009340AD"/>
    <w:rsid w:val="00934A46"/>
    <w:rsid w:val="00935C7C"/>
    <w:rsid w:val="0093715B"/>
    <w:rsid w:val="00937802"/>
    <w:rsid w:val="00940D8E"/>
    <w:rsid w:val="009421B8"/>
    <w:rsid w:val="009607EB"/>
    <w:rsid w:val="009623B9"/>
    <w:rsid w:val="00963F8D"/>
    <w:rsid w:val="00965E91"/>
    <w:rsid w:val="0096717D"/>
    <w:rsid w:val="00971A95"/>
    <w:rsid w:val="009739D7"/>
    <w:rsid w:val="0098641E"/>
    <w:rsid w:val="00987D38"/>
    <w:rsid w:val="00987D47"/>
    <w:rsid w:val="00990ABC"/>
    <w:rsid w:val="00994C0D"/>
    <w:rsid w:val="009A08E4"/>
    <w:rsid w:val="009A4C90"/>
    <w:rsid w:val="009A6CA7"/>
    <w:rsid w:val="009B188D"/>
    <w:rsid w:val="009B3A82"/>
    <w:rsid w:val="009C0DF1"/>
    <w:rsid w:val="009C4D8F"/>
    <w:rsid w:val="009E0AD7"/>
    <w:rsid w:val="009F10D2"/>
    <w:rsid w:val="009F1199"/>
    <w:rsid w:val="009F62E9"/>
    <w:rsid w:val="009F6DAC"/>
    <w:rsid w:val="00A12481"/>
    <w:rsid w:val="00A3194C"/>
    <w:rsid w:val="00A33C29"/>
    <w:rsid w:val="00A343FC"/>
    <w:rsid w:val="00A3537F"/>
    <w:rsid w:val="00A367B3"/>
    <w:rsid w:val="00A4139F"/>
    <w:rsid w:val="00A54D56"/>
    <w:rsid w:val="00A55881"/>
    <w:rsid w:val="00A55A2C"/>
    <w:rsid w:val="00A56380"/>
    <w:rsid w:val="00A602F5"/>
    <w:rsid w:val="00A61B5E"/>
    <w:rsid w:val="00A642B8"/>
    <w:rsid w:val="00A65A30"/>
    <w:rsid w:val="00A722FE"/>
    <w:rsid w:val="00A74680"/>
    <w:rsid w:val="00A756A4"/>
    <w:rsid w:val="00A8082A"/>
    <w:rsid w:val="00A838A8"/>
    <w:rsid w:val="00A9479A"/>
    <w:rsid w:val="00A97206"/>
    <w:rsid w:val="00AA7E40"/>
    <w:rsid w:val="00AB4123"/>
    <w:rsid w:val="00AB6354"/>
    <w:rsid w:val="00AC0C80"/>
    <w:rsid w:val="00AC1543"/>
    <w:rsid w:val="00AC4675"/>
    <w:rsid w:val="00AC490A"/>
    <w:rsid w:val="00AC4DE6"/>
    <w:rsid w:val="00AC6C8F"/>
    <w:rsid w:val="00AC7FFD"/>
    <w:rsid w:val="00AD6743"/>
    <w:rsid w:val="00AE15B6"/>
    <w:rsid w:val="00AE2FDA"/>
    <w:rsid w:val="00AE6563"/>
    <w:rsid w:val="00AE68EB"/>
    <w:rsid w:val="00AE7E48"/>
    <w:rsid w:val="00AF0CC6"/>
    <w:rsid w:val="00AF62EF"/>
    <w:rsid w:val="00B00301"/>
    <w:rsid w:val="00B012B3"/>
    <w:rsid w:val="00B0160C"/>
    <w:rsid w:val="00B01907"/>
    <w:rsid w:val="00B04289"/>
    <w:rsid w:val="00B04770"/>
    <w:rsid w:val="00B07B7A"/>
    <w:rsid w:val="00B12D08"/>
    <w:rsid w:val="00B13355"/>
    <w:rsid w:val="00B15758"/>
    <w:rsid w:val="00B21AB7"/>
    <w:rsid w:val="00B22637"/>
    <w:rsid w:val="00B23364"/>
    <w:rsid w:val="00B23FA7"/>
    <w:rsid w:val="00B24C85"/>
    <w:rsid w:val="00B26DA1"/>
    <w:rsid w:val="00B27EED"/>
    <w:rsid w:val="00B44F5A"/>
    <w:rsid w:val="00B46E96"/>
    <w:rsid w:val="00B47CD4"/>
    <w:rsid w:val="00B65D1B"/>
    <w:rsid w:val="00B67936"/>
    <w:rsid w:val="00B71DE2"/>
    <w:rsid w:val="00B74BE1"/>
    <w:rsid w:val="00B834AB"/>
    <w:rsid w:val="00B84A87"/>
    <w:rsid w:val="00B931EE"/>
    <w:rsid w:val="00B941D0"/>
    <w:rsid w:val="00B94625"/>
    <w:rsid w:val="00BA1AE6"/>
    <w:rsid w:val="00BA215F"/>
    <w:rsid w:val="00BA21A0"/>
    <w:rsid w:val="00BB50D3"/>
    <w:rsid w:val="00BB5731"/>
    <w:rsid w:val="00BB588D"/>
    <w:rsid w:val="00BB69CE"/>
    <w:rsid w:val="00BC3DF9"/>
    <w:rsid w:val="00BC5327"/>
    <w:rsid w:val="00BC5653"/>
    <w:rsid w:val="00BD04A2"/>
    <w:rsid w:val="00BD507C"/>
    <w:rsid w:val="00BE25A3"/>
    <w:rsid w:val="00BE2B5E"/>
    <w:rsid w:val="00BE2B68"/>
    <w:rsid w:val="00BE7823"/>
    <w:rsid w:val="00BF009E"/>
    <w:rsid w:val="00BF0F32"/>
    <w:rsid w:val="00BF52F6"/>
    <w:rsid w:val="00BF547D"/>
    <w:rsid w:val="00C0233B"/>
    <w:rsid w:val="00C1163F"/>
    <w:rsid w:val="00C116BE"/>
    <w:rsid w:val="00C129AB"/>
    <w:rsid w:val="00C131A9"/>
    <w:rsid w:val="00C151C5"/>
    <w:rsid w:val="00C20206"/>
    <w:rsid w:val="00C3365F"/>
    <w:rsid w:val="00C33BC1"/>
    <w:rsid w:val="00C36EC9"/>
    <w:rsid w:val="00C42AE0"/>
    <w:rsid w:val="00C50CE7"/>
    <w:rsid w:val="00C52EFF"/>
    <w:rsid w:val="00C53639"/>
    <w:rsid w:val="00C54C63"/>
    <w:rsid w:val="00C650D3"/>
    <w:rsid w:val="00C65F8F"/>
    <w:rsid w:val="00C72574"/>
    <w:rsid w:val="00C738BA"/>
    <w:rsid w:val="00C75BC8"/>
    <w:rsid w:val="00C821B4"/>
    <w:rsid w:val="00C869DB"/>
    <w:rsid w:val="00C93ADB"/>
    <w:rsid w:val="00C94AF0"/>
    <w:rsid w:val="00CA04BD"/>
    <w:rsid w:val="00CA29E3"/>
    <w:rsid w:val="00CC4267"/>
    <w:rsid w:val="00CC4726"/>
    <w:rsid w:val="00CC656C"/>
    <w:rsid w:val="00CD210A"/>
    <w:rsid w:val="00CF05EF"/>
    <w:rsid w:val="00D0656A"/>
    <w:rsid w:val="00D07B60"/>
    <w:rsid w:val="00D11659"/>
    <w:rsid w:val="00D17531"/>
    <w:rsid w:val="00D20094"/>
    <w:rsid w:val="00D2112B"/>
    <w:rsid w:val="00D21BA6"/>
    <w:rsid w:val="00D21E5D"/>
    <w:rsid w:val="00D3236B"/>
    <w:rsid w:val="00D44062"/>
    <w:rsid w:val="00D45D98"/>
    <w:rsid w:val="00D5063C"/>
    <w:rsid w:val="00D51B0F"/>
    <w:rsid w:val="00D54274"/>
    <w:rsid w:val="00D5466E"/>
    <w:rsid w:val="00D55C52"/>
    <w:rsid w:val="00D5732E"/>
    <w:rsid w:val="00D62AB3"/>
    <w:rsid w:val="00D644C2"/>
    <w:rsid w:val="00D66A1E"/>
    <w:rsid w:val="00D66CB3"/>
    <w:rsid w:val="00D71EDD"/>
    <w:rsid w:val="00D752D1"/>
    <w:rsid w:val="00D75ED7"/>
    <w:rsid w:val="00D815D4"/>
    <w:rsid w:val="00D9061C"/>
    <w:rsid w:val="00D92F10"/>
    <w:rsid w:val="00DA382A"/>
    <w:rsid w:val="00DA3A21"/>
    <w:rsid w:val="00DA3FCD"/>
    <w:rsid w:val="00DB28C2"/>
    <w:rsid w:val="00DB2B9C"/>
    <w:rsid w:val="00DB45E7"/>
    <w:rsid w:val="00DB69F7"/>
    <w:rsid w:val="00DB7113"/>
    <w:rsid w:val="00DC1264"/>
    <w:rsid w:val="00DC4246"/>
    <w:rsid w:val="00DD1D77"/>
    <w:rsid w:val="00DD4326"/>
    <w:rsid w:val="00DE194A"/>
    <w:rsid w:val="00DE3C08"/>
    <w:rsid w:val="00DE484F"/>
    <w:rsid w:val="00DF2E17"/>
    <w:rsid w:val="00E02963"/>
    <w:rsid w:val="00E03FB4"/>
    <w:rsid w:val="00E04636"/>
    <w:rsid w:val="00E12DD2"/>
    <w:rsid w:val="00E1339E"/>
    <w:rsid w:val="00E2001A"/>
    <w:rsid w:val="00E26BC0"/>
    <w:rsid w:val="00E27228"/>
    <w:rsid w:val="00E279C0"/>
    <w:rsid w:val="00E314D4"/>
    <w:rsid w:val="00E331F3"/>
    <w:rsid w:val="00E33B39"/>
    <w:rsid w:val="00E373D9"/>
    <w:rsid w:val="00E4274D"/>
    <w:rsid w:val="00E44751"/>
    <w:rsid w:val="00E46B07"/>
    <w:rsid w:val="00E5158A"/>
    <w:rsid w:val="00E62185"/>
    <w:rsid w:val="00E64FA2"/>
    <w:rsid w:val="00E71611"/>
    <w:rsid w:val="00E71F69"/>
    <w:rsid w:val="00E8015C"/>
    <w:rsid w:val="00E84C61"/>
    <w:rsid w:val="00E902AE"/>
    <w:rsid w:val="00E9309A"/>
    <w:rsid w:val="00E94799"/>
    <w:rsid w:val="00EA1BA0"/>
    <w:rsid w:val="00EA3C36"/>
    <w:rsid w:val="00EB1EBD"/>
    <w:rsid w:val="00EB44F1"/>
    <w:rsid w:val="00EC0F6C"/>
    <w:rsid w:val="00EC10C9"/>
    <w:rsid w:val="00EC1547"/>
    <w:rsid w:val="00EC5354"/>
    <w:rsid w:val="00EC6A34"/>
    <w:rsid w:val="00EC7448"/>
    <w:rsid w:val="00ED61C4"/>
    <w:rsid w:val="00ED754E"/>
    <w:rsid w:val="00ED7D59"/>
    <w:rsid w:val="00EE0BD6"/>
    <w:rsid w:val="00EE304F"/>
    <w:rsid w:val="00EE663B"/>
    <w:rsid w:val="00EF0C4B"/>
    <w:rsid w:val="00EF1A0E"/>
    <w:rsid w:val="00EF3545"/>
    <w:rsid w:val="00EF40FD"/>
    <w:rsid w:val="00EF5A4E"/>
    <w:rsid w:val="00EF79E1"/>
    <w:rsid w:val="00F03AB0"/>
    <w:rsid w:val="00F0558D"/>
    <w:rsid w:val="00F05DE2"/>
    <w:rsid w:val="00F10106"/>
    <w:rsid w:val="00F12CBE"/>
    <w:rsid w:val="00F14444"/>
    <w:rsid w:val="00F23E48"/>
    <w:rsid w:val="00F32C23"/>
    <w:rsid w:val="00F33D97"/>
    <w:rsid w:val="00F374BB"/>
    <w:rsid w:val="00F3763D"/>
    <w:rsid w:val="00F400E6"/>
    <w:rsid w:val="00F52124"/>
    <w:rsid w:val="00F57B0A"/>
    <w:rsid w:val="00F61EC2"/>
    <w:rsid w:val="00F64F74"/>
    <w:rsid w:val="00F6549B"/>
    <w:rsid w:val="00F732A1"/>
    <w:rsid w:val="00F76F8A"/>
    <w:rsid w:val="00F8249F"/>
    <w:rsid w:val="00F83F6B"/>
    <w:rsid w:val="00F84B4F"/>
    <w:rsid w:val="00F95FE9"/>
    <w:rsid w:val="00F97E2D"/>
    <w:rsid w:val="00FB1C27"/>
    <w:rsid w:val="00FB30C6"/>
    <w:rsid w:val="00FB3DC1"/>
    <w:rsid w:val="00FB511B"/>
    <w:rsid w:val="00FC3E52"/>
    <w:rsid w:val="00FD437B"/>
    <w:rsid w:val="00FE2C31"/>
    <w:rsid w:val="00FE5EEE"/>
    <w:rsid w:val="00FE641D"/>
    <w:rsid w:val="00FF2424"/>
    <w:rsid w:val="00FF2C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9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642B8"/>
  </w:style>
  <w:style w:type="paragraph" w:styleId="Nadpis1">
    <w:name w:val="heading 1"/>
    <w:basedOn w:val="Styl1"/>
    <w:next w:val="Normlny"/>
    <w:link w:val="Nadpis1Char"/>
    <w:uiPriority w:val="9"/>
    <w:qFormat/>
    <w:rsid w:val="00A642B8"/>
    <w:pPr>
      <w:numPr>
        <w:numId w:val="22"/>
      </w:numPr>
      <w:jc w:val="both"/>
      <w:outlineLvl w:val="0"/>
    </w:pPr>
    <w:rPr>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2">
    <w:name w:val="Styl2"/>
    <w:basedOn w:val="Normlny"/>
    <w:autoRedefine/>
    <w:rsid w:val="006A488B"/>
    <w:pPr>
      <w:keepNext/>
      <w:numPr>
        <w:ilvl w:val="1"/>
        <w:numId w:val="26"/>
      </w:numPr>
      <w:tabs>
        <w:tab w:val="clear" w:pos="720"/>
      </w:tabs>
      <w:spacing w:before="120" w:after="120" w:line="240" w:lineRule="auto"/>
      <w:ind w:left="0" w:firstLine="0"/>
    </w:pPr>
    <w:rPr>
      <w:rFonts w:ascii="Times New Roman" w:eastAsia="Times New Roman" w:hAnsi="Times New Roman" w:cs="Times New Roman"/>
      <w:b/>
      <w:bCs/>
      <w:szCs w:val="20"/>
      <w:lang w:val="en-US" w:eastAsia="cs-CZ"/>
    </w:rPr>
  </w:style>
  <w:style w:type="paragraph" w:customStyle="1" w:styleId="Styl1">
    <w:name w:val="Styl1"/>
    <w:basedOn w:val="Normlny"/>
    <w:autoRedefine/>
    <w:rsid w:val="006A488B"/>
    <w:pPr>
      <w:keepNext/>
      <w:numPr>
        <w:numId w:val="26"/>
      </w:numPr>
      <w:spacing w:before="360" w:after="120" w:line="240" w:lineRule="auto"/>
    </w:pPr>
    <w:rPr>
      <w:rFonts w:ascii="Times New Roman" w:eastAsia="Times New Roman" w:hAnsi="Times New Roman" w:cs="Times New Roman"/>
      <w:b/>
      <w:bCs/>
      <w:caps/>
      <w:szCs w:val="24"/>
      <w:lang w:val="en-US" w:eastAsia="cs-CZ"/>
    </w:rPr>
  </w:style>
  <w:style w:type="paragraph" w:customStyle="1" w:styleId="Normlndobloku">
    <w:name w:val="Normální do bloku"/>
    <w:basedOn w:val="Normlny"/>
    <w:link w:val="NormlndoblokuChar"/>
    <w:autoRedefine/>
    <w:rsid w:val="00DE3C08"/>
    <w:pPr>
      <w:keepNext/>
      <w:suppressAutoHyphens/>
      <w:spacing w:after="120" w:line="240" w:lineRule="auto"/>
    </w:pPr>
    <w:rPr>
      <w:rFonts w:ascii="Times New Roman" w:eastAsia="Calibri" w:hAnsi="Times New Roman" w:cs="Times New Roman"/>
      <w:szCs w:val="24"/>
      <w:lang w:val="sk-SK" w:eastAsia="cs-CZ"/>
    </w:rPr>
  </w:style>
  <w:style w:type="character" w:customStyle="1" w:styleId="NormlndoblokuChar">
    <w:name w:val="Normální do bloku Char"/>
    <w:link w:val="Normlndobloku"/>
    <w:rsid w:val="00DE3C08"/>
    <w:rPr>
      <w:rFonts w:ascii="Times New Roman" w:eastAsia="Calibri" w:hAnsi="Times New Roman" w:cs="Times New Roman"/>
      <w:szCs w:val="24"/>
      <w:lang w:val="sk-SK" w:eastAsia="cs-CZ"/>
    </w:rPr>
  </w:style>
  <w:style w:type="paragraph" w:customStyle="1" w:styleId="Styl4">
    <w:name w:val="Styl4"/>
    <w:basedOn w:val="Styl2"/>
    <w:autoRedefine/>
    <w:qFormat/>
    <w:rsid w:val="00A642B8"/>
    <w:pPr>
      <w:numPr>
        <w:ilvl w:val="0"/>
        <w:numId w:val="0"/>
      </w:numPr>
    </w:pPr>
    <w:rPr>
      <w:b w:val="0"/>
      <w:i/>
      <w:szCs w:val="22"/>
    </w:rPr>
  </w:style>
  <w:style w:type="paragraph" w:customStyle="1" w:styleId="Styl2-2">
    <w:name w:val="Styl2-2"/>
    <w:basedOn w:val="Styl2"/>
    <w:next w:val="Normlndobloku"/>
    <w:autoRedefine/>
    <w:qFormat/>
    <w:rsid w:val="00D54274"/>
    <w:pPr>
      <w:numPr>
        <w:ilvl w:val="0"/>
        <w:numId w:val="0"/>
      </w:numPr>
    </w:pPr>
    <w:rPr>
      <w:szCs w:val="22"/>
      <w:lang w:val="cs-CZ" w:eastAsia="en-US"/>
    </w:rPr>
  </w:style>
  <w:style w:type="paragraph" w:customStyle="1" w:styleId="Styl3">
    <w:name w:val="Styl3"/>
    <w:basedOn w:val="Normlndobloku"/>
    <w:link w:val="Styl3Char"/>
    <w:autoRedefine/>
    <w:rsid w:val="00E33B39"/>
    <w:pPr>
      <w:tabs>
        <w:tab w:val="left" w:pos="6946"/>
      </w:tabs>
      <w:suppressAutoHyphens w:val="0"/>
      <w:spacing w:before="120"/>
    </w:pPr>
    <w:rPr>
      <w:u w:val="single"/>
      <w:lang w:eastAsia="en-US"/>
    </w:rPr>
  </w:style>
  <w:style w:type="character" w:customStyle="1" w:styleId="Styl3Char">
    <w:name w:val="Styl3 Char"/>
    <w:link w:val="Styl3"/>
    <w:rsid w:val="00E33B39"/>
    <w:rPr>
      <w:rFonts w:ascii="Times New Roman" w:eastAsia="Calibri" w:hAnsi="Times New Roman" w:cs="Times New Roman"/>
      <w:szCs w:val="24"/>
      <w:u w:val="single"/>
      <w:lang w:val="sk-SK"/>
    </w:rPr>
  </w:style>
  <w:style w:type="paragraph" w:customStyle="1" w:styleId="SPCaPILhlavika">
    <w:name w:val="SPC a PIL hlavička"/>
    <w:basedOn w:val="Normlny"/>
    <w:autoRedefine/>
    <w:qFormat/>
    <w:rsid w:val="006A488B"/>
    <w:pPr>
      <w:spacing w:before="240" w:after="120" w:line="240" w:lineRule="auto"/>
      <w:ind w:left="567" w:hanging="567"/>
      <w:jc w:val="center"/>
    </w:pPr>
    <w:rPr>
      <w:rFonts w:ascii="Times New Roman" w:eastAsia="Times New Roman" w:hAnsi="Times New Roman" w:cs="Times New Roman"/>
      <w:b/>
      <w:szCs w:val="24"/>
      <w:lang w:eastAsia="sk-SK"/>
    </w:rPr>
  </w:style>
  <w:style w:type="paragraph" w:customStyle="1" w:styleId="Normlndoblokusodrkami">
    <w:name w:val="Normální do bloku s odrážkami"/>
    <w:basedOn w:val="Normlndobloku"/>
    <w:next w:val="Normlndobloku"/>
    <w:autoRedefine/>
    <w:qFormat/>
    <w:rsid w:val="00ED7D59"/>
    <w:pPr>
      <w:numPr>
        <w:numId w:val="3"/>
      </w:numPr>
      <w:ind w:left="720"/>
    </w:pPr>
    <w:rPr>
      <w:rFonts w:eastAsia="Times New Roman"/>
      <w:lang w:eastAsia="x-none"/>
    </w:rPr>
  </w:style>
  <w:style w:type="paragraph" w:styleId="Hlavika">
    <w:name w:val="header"/>
    <w:basedOn w:val="Normlny"/>
    <w:link w:val="HlavikaChar"/>
    <w:uiPriority w:val="99"/>
    <w:unhideWhenUsed/>
    <w:rsid w:val="00A642B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2EFF"/>
  </w:style>
  <w:style w:type="paragraph" w:styleId="Pta">
    <w:name w:val="footer"/>
    <w:basedOn w:val="Normlny"/>
    <w:link w:val="PtaChar"/>
    <w:uiPriority w:val="99"/>
    <w:unhideWhenUsed/>
    <w:rsid w:val="00A642B8"/>
    <w:pPr>
      <w:tabs>
        <w:tab w:val="center" w:pos="4536"/>
        <w:tab w:val="right" w:pos="9072"/>
      </w:tabs>
      <w:spacing w:after="0" w:line="240" w:lineRule="auto"/>
    </w:pPr>
  </w:style>
  <w:style w:type="character" w:customStyle="1" w:styleId="PtaChar">
    <w:name w:val="Päta Char"/>
    <w:basedOn w:val="Predvolenpsmoodseku"/>
    <w:link w:val="Pta"/>
    <w:uiPriority w:val="99"/>
    <w:rsid w:val="00C52EFF"/>
  </w:style>
  <w:style w:type="table" w:styleId="Mriekatabuky">
    <w:name w:val="Table Grid"/>
    <w:basedOn w:val="Normlnatabuka"/>
    <w:rsid w:val="008A7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356E22"/>
    <w:rPr>
      <w:rFonts w:ascii="Times New Roman" w:eastAsia="Times New Roman" w:hAnsi="Times New Roman" w:cs="Times New Roman"/>
      <w:b/>
      <w:bCs/>
      <w:caps/>
      <w:szCs w:val="24"/>
      <w:lang w:val="x-none" w:eastAsia="x-none"/>
    </w:rPr>
  </w:style>
  <w:style w:type="character" w:customStyle="1" w:styleId="Bacil">
    <w:name w:val="Bacil"/>
    <w:qFormat/>
    <w:rsid w:val="00356E22"/>
    <w:rPr>
      <w:i/>
    </w:rPr>
  </w:style>
  <w:style w:type="paragraph" w:styleId="Zkladntext">
    <w:name w:val="Body Text"/>
    <w:basedOn w:val="Normlny"/>
    <w:link w:val="ZkladntextChar"/>
    <w:rsid w:val="00A642B8"/>
    <w:pPr>
      <w:spacing w:after="0" w:line="240" w:lineRule="auto"/>
    </w:pPr>
    <w:rPr>
      <w:rFonts w:ascii="Times New Roman" w:eastAsia="Times New Roman" w:hAnsi="Times New Roman" w:cs="Times New Roman"/>
      <w:szCs w:val="24"/>
      <w:lang w:val="x-none" w:eastAsia="sk-SK"/>
    </w:rPr>
  </w:style>
  <w:style w:type="character" w:customStyle="1" w:styleId="ZkladntextChar">
    <w:name w:val="Základný text Char"/>
    <w:basedOn w:val="Predvolenpsmoodseku"/>
    <w:link w:val="Zkladntext"/>
    <w:rsid w:val="00356E22"/>
    <w:rPr>
      <w:rFonts w:ascii="Times New Roman" w:eastAsia="Times New Roman" w:hAnsi="Times New Roman" w:cs="Times New Roman"/>
      <w:szCs w:val="24"/>
      <w:lang w:val="x-none" w:eastAsia="sk-SK"/>
    </w:rPr>
  </w:style>
  <w:style w:type="character" w:styleId="slostrany">
    <w:name w:val="page number"/>
    <w:basedOn w:val="Predvolenpsmoodseku"/>
    <w:rsid w:val="00356E22"/>
  </w:style>
  <w:style w:type="paragraph" w:styleId="Normlnywebov">
    <w:name w:val="Normal (Web)"/>
    <w:basedOn w:val="Normlny"/>
    <w:uiPriority w:val="99"/>
    <w:rsid w:val="00A642B8"/>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Textbubliny">
    <w:name w:val="Balloon Text"/>
    <w:basedOn w:val="Normlny"/>
    <w:link w:val="TextbublinyChar"/>
    <w:uiPriority w:val="99"/>
    <w:semiHidden/>
    <w:unhideWhenUsed/>
    <w:rsid w:val="00A642B8"/>
    <w:pPr>
      <w:spacing w:after="0" w:line="240" w:lineRule="auto"/>
      <w:ind w:left="567" w:hanging="567"/>
    </w:pPr>
    <w:rPr>
      <w:rFonts w:ascii="Tahoma" w:eastAsia="Times New Roman" w:hAnsi="Tahoma" w:cs="Times New Roman"/>
      <w:sz w:val="16"/>
      <w:szCs w:val="16"/>
      <w:lang w:val="x-none" w:eastAsia="sk-SK"/>
    </w:rPr>
  </w:style>
  <w:style w:type="character" w:customStyle="1" w:styleId="TextbublinyChar">
    <w:name w:val="Text bubliny Char"/>
    <w:basedOn w:val="Predvolenpsmoodseku"/>
    <w:link w:val="Textbubliny"/>
    <w:uiPriority w:val="99"/>
    <w:semiHidden/>
    <w:rsid w:val="00356E22"/>
    <w:rPr>
      <w:rFonts w:ascii="Tahoma" w:eastAsia="Times New Roman" w:hAnsi="Tahoma" w:cs="Times New Roman"/>
      <w:sz w:val="16"/>
      <w:szCs w:val="16"/>
      <w:lang w:val="x-none" w:eastAsia="sk-SK"/>
    </w:rPr>
  </w:style>
  <w:style w:type="character" w:styleId="Odkaznakomentr">
    <w:name w:val="annotation reference"/>
    <w:uiPriority w:val="99"/>
    <w:semiHidden/>
    <w:unhideWhenUsed/>
    <w:rsid w:val="00356E22"/>
    <w:rPr>
      <w:sz w:val="16"/>
      <w:szCs w:val="16"/>
    </w:rPr>
  </w:style>
  <w:style w:type="paragraph" w:styleId="Textkomentra">
    <w:name w:val="annotation text"/>
    <w:basedOn w:val="Normlny"/>
    <w:link w:val="TextkomentraChar"/>
    <w:uiPriority w:val="99"/>
    <w:unhideWhenUsed/>
    <w:rsid w:val="00A642B8"/>
    <w:pPr>
      <w:spacing w:after="0" w:line="240" w:lineRule="auto"/>
      <w:ind w:left="567" w:hanging="567"/>
    </w:pPr>
    <w:rPr>
      <w:rFonts w:ascii="Times New Roman" w:eastAsia="Times New Roman" w:hAnsi="Times New Roman" w:cs="Times New Roman"/>
      <w:sz w:val="20"/>
      <w:szCs w:val="20"/>
      <w:lang w:val="x-none" w:eastAsia="x-none"/>
    </w:rPr>
  </w:style>
  <w:style w:type="character" w:customStyle="1" w:styleId="TextkomentraChar">
    <w:name w:val="Text komentára Char"/>
    <w:basedOn w:val="Predvolenpsmoodseku"/>
    <w:link w:val="Textkomentra"/>
    <w:uiPriority w:val="99"/>
    <w:rsid w:val="00356E22"/>
    <w:rPr>
      <w:rFonts w:ascii="Times New Roman" w:eastAsia="Times New Roman" w:hAnsi="Times New Roman" w:cs="Times New Roman"/>
      <w:sz w:val="20"/>
      <w:szCs w:val="20"/>
      <w:lang w:val="x-none" w:eastAsia="x-none"/>
    </w:rPr>
  </w:style>
  <w:style w:type="paragraph" w:styleId="Predmetkomentra">
    <w:name w:val="annotation subject"/>
    <w:basedOn w:val="Textkomentra"/>
    <w:next w:val="Textkomentra"/>
    <w:link w:val="PredmetkomentraChar"/>
    <w:uiPriority w:val="99"/>
    <w:semiHidden/>
    <w:unhideWhenUsed/>
    <w:rsid w:val="00356E22"/>
    <w:rPr>
      <w:b/>
      <w:bCs/>
    </w:rPr>
  </w:style>
  <w:style w:type="character" w:customStyle="1" w:styleId="PredmetkomentraChar">
    <w:name w:val="Predmet komentára Char"/>
    <w:basedOn w:val="TextkomentraChar"/>
    <w:link w:val="Predmetkomentra"/>
    <w:uiPriority w:val="99"/>
    <w:semiHidden/>
    <w:rsid w:val="00356E22"/>
    <w:rPr>
      <w:rFonts w:ascii="Times New Roman" w:eastAsia="Times New Roman" w:hAnsi="Times New Roman" w:cs="Times New Roman"/>
      <w:b/>
      <w:bCs/>
      <w:sz w:val="20"/>
      <w:szCs w:val="20"/>
      <w:lang w:val="x-none" w:eastAsia="x-none"/>
    </w:rPr>
  </w:style>
  <w:style w:type="character" w:styleId="Hypertextovprepojenie">
    <w:name w:val="Hyperlink"/>
    <w:unhideWhenUsed/>
    <w:rsid w:val="00356E22"/>
    <w:rPr>
      <w:color w:val="0000FF"/>
      <w:u w:val="single"/>
    </w:rPr>
  </w:style>
  <w:style w:type="paragraph" w:customStyle="1" w:styleId="Tabulkynormlndoblokuzarovnndoleva">
    <w:name w:val="Tabulky = normální do bloku + zarovnání doleva"/>
    <w:basedOn w:val="Normlny"/>
    <w:rsid w:val="00A642B8"/>
    <w:pPr>
      <w:framePr w:hSpace="142" w:wrap="around" w:vAnchor="text" w:hAnchor="text" w:y="1"/>
      <w:suppressAutoHyphens/>
      <w:spacing w:after="120" w:line="240" w:lineRule="auto"/>
    </w:pPr>
    <w:rPr>
      <w:rFonts w:ascii="TimesNewRoman" w:eastAsia="Calibri" w:hAnsi="TimesNewRoman" w:cs="TimesNewRoman"/>
      <w:szCs w:val="20"/>
      <w:lang w:val="sk-SK"/>
    </w:rPr>
  </w:style>
  <w:style w:type="paragraph" w:customStyle="1" w:styleId="Nadpisuvnittabulky">
    <w:name w:val="Nadpis uvnitř tabulky"/>
    <w:basedOn w:val="Tabulkynormlndoblokuzarovnndoleva"/>
    <w:qFormat/>
    <w:rsid w:val="00356E22"/>
    <w:pPr>
      <w:framePr w:hSpace="0" w:wrap="auto" w:vAnchor="margin" w:yAlign="inline"/>
      <w:spacing w:before="120"/>
    </w:pPr>
    <w:rPr>
      <w:b/>
    </w:rPr>
  </w:style>
  <w:style w:type="paragraph" w:customStyle="1" w:styleId="Text">
    <w:name w:val="Text"/>
    <w:basedOn w:val="Normlny"/>
    <w:rsid w:val="00A642B8"/>
    <w:pPr>
      <w:spacing w:before="120" w:after="0" w:line="240" w:lineRule="auto"/>
      <w:jc w:val="both"/>
    </w:pPr>
    <w:rPr>
      <w:rFonts w:ascii="Times New Roman" w:eastAsia="Times New Roman" w:hAnsi="Times New Roman" w:cs="Times New Roman"/>
      <w:sz w:val="24"/>
      <w:szCs w:val="20"/>
      <w:lang w:val="en-US"/>
    </w:rPr>
  </w:style>
  <w:style w:type="paragraph" w:styleId="Revzia">
    <w:name w:val="Revision"/>
    <w:hidden/>
    <w:uiPriority w:val="99"/>
    <w:semiHidden/>
    <w:rsid w:val="00356E22"/>
    <w:pPr>
      <w:spacing w:after="0" w:line="240" w:lineRule="auto"/>
    </w:pPr>
  </w:style>
  <w:style w:type="table" w:customStyle="1" w:styleId="Mriekatabuky1">
    <w:name w:val="Mriežka tabuľky1"/>
    <w:basedOn w:val="Normlnatabuka"/>
    <w:next w:val="Mriekatabuky"/>
    <w:uiPriority w:val="39"/>
    <w:rsid w:val="001B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0F570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642B8"/>
  </w:style>
  <w:style w:type="paragraph" w:styleId="Nadpis1">
    <w:name w:val="heading 1"/>
    <w:basedOn w:val="Styl1"/>
    <w:next w:val="Normlny"/>
    <w:link w:val="Nadpis1Char"/>
    <w:uiPriority w:val="9"/>
    <w:qFormat/>
    <w:rsid w:val="00A642B8"/>
    <w:pPr>
      <w:numPr>
        <w:numId w:val="22"/>
      </w:numPr>
      <w:jc w:val="both"/>
      <w:outlineLvl w:val="0"/>
    </w:pPr>
    <w:rPr>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2">
    <w:name w:val="Styl2"/>
    <w:basedOn w:val="Normlny"/>
    <w:autoRedefine/>
    <w:rsid w:val="006A488B"/>
    <w:pPr>
      <w:keepNext/>
      <w:numPr>
        <w:ilvl w:val="1"/>
        <w:numId w:val="26"/>
      </w:numPr>
      <w:tabs>
        <w:tab w:val="clear" w:pos="720"/>
      </w:tabs>
      <w:spacing w:before="120" w:after="120" w:line="240" w:lineRule="auto"/>
      <w:ind w:left="0" w:firstLine="0"/>
    </w:pPr>
    <w:rPr>
      <w:rFonts w:ascii="Times New Roman" w:eastAsia="Times New Roman" w:hAnsi="Times New Roman" w:cs="Times New Roman"/>
      <w:b/>
      <w:bCs/>
      <w:szCs w:val="20"/>
      <w:lang w:val="en-US" w:eastAsia="cs-CZ"/>
    </w:rPr>
  </w:style>
  <w:style w:type="paragraph" w:customStyle="1" w:styleId="Styl1">
    <w:name w:val="Styl1"/>
    <w:basedOn w:val="Normlny"/>
    <w:autoRedefine/>
    <w:rsid w:val="006A488B"/>
    <w:pPr>
      <w:keepNext/>
      <w:numPr>
        <w:numId w:val="26"/>
      </w:numPr>
      <w:spacing w:before="360" w:after="120" w:line="240" w:lineRule="auto"/>
    </w:pPr>
    <w:rPr>
      <w:rFonts w:ascii="Times New Roman" w:eastAsia="Times New Roman" w:hAnsi="Times New Roman" w:cs="Times New Roman"/>
      <w:b/>
      <w:bCs/>
      <w:caps/>
      <w:szCs w:val="24"/>
      <w:lang w:val="en-US" w:eastAsia="cs-CZ"/>
    </w:rPr>
  </w:style>
  <w:style w:type="paragraph" w:customStyle="1" w:styleId="Normlndobloku">
    <w:name w:val="Normální do bloku"/>
    <w:basedOn w:val="Normlny"/>
    <w:link w:val="NormlndoblokuChar"/>
    <w:autoRedefine/>
    <w:rsid w:val="00DE3C08"/>
    <w:pPr>
      <w:keepNext/>
      <w:suppressAutoHyphens/>
      <w:spacing w:after="120" w:line="240" w:lineRule="auto"/>
    </w:pPr>
    <w:rPr>
      <w:rFonts w:ascii="Times New Roman" w:eastAsia="Calibri" w:hAnsi="Times New Roman" w:cs="Times New Roman"/>
      <w:szCs w:val="24"/>
      <w:lang w:val="sk-SK" w:eastAsia="cs-CZ"/>
    </w:rPr>
  </w:style>
  <w:style w:type="character" w:customStyle="1" w:styleId="NormlndoblokuChar">
    <w:name w:val="Normální do bloku Char"/>
    <w:link w:val="Normlndobloku"/>
    <w:rsid w:val="00DE3C08"/>
    <w:rPr>
      <w:rFonts w:ascii="Times New Roman" w:eastAsia="Calibri" w:hAnsi="Times New Roman" w:cs="Times New Roman"/>
      <w:szCs w:val="24"/>
      <w:lang w:val="sk-SK" w:eastAsia="cs-CZ"/>
    </w:rPr>
  </w:style>
  <w:style w:type="paragraph" w:customStyle="1" w:styleId="Styl4">
    <w:name w:val="Styl4"/>
    <w:basedOn w:val="Styl2"/>
    <w:autoRedefine/>
    <w:qFormat/>
    <w:rsid w:val="00A642B8"/>
    <w:pPr>
      <w:numPr>
        <w:ilvl w:val="0"/>
        <w:numId w:val="0"/>
      </w:numPr>
    </w:pPr>
    <w:rPr>
      <w:b w:val="0"/>
      <w:i/>
      <w:szCs w:val="22"/>
    </w:rPr>
  </w:style>
  <w:style w:type="paragraph" w:customStyle="1" w:styleId="Styl2-2">
    <w:name w:val="Styl2-2"/>
    <w:basedOn w:val="Styl2"/>
    <w:next w:val="Normlndobloku"/>
    <w:autoRedefine/>
    <w:qFormat/>
    <w:rsid w:val="00D54274"/>
    <w:pPr>
      <w:numPr>
        <w:ilvl w:val="0"/>
        <w:numId w:val="0"/>
      </w:numPr>
    </w:pPr>
    <w:rPr>
      <w:szCs w:val="22"/>
      <w:lang w:val="cs-CZ" w:eastAsia="en-US"/>
    </w:rPr>
  </w:style>
  <w:style w:type="paragraph" w:customStyle="1" w:styleId="Styl3">
    <w:name w:val="Styl3"/>
    <w:basedOn w:val="Normlndobloku"/>
    <w:link w:val="Styl3Char"/>
    <w:autoRedefine/>
    <w:rsid w:val="00E33B39"/>
    <w:pPr>
      <w:tabs>
        <w:tab w:val="left" w:pos="6946"/>
      </w:tabs>
      <w:suppressAutoHyphens w:val="0"/>
      <w:spacing w:before="120"/>
    </w:pPr>
    <w:rPr>
      <w:u w:val="single"/>
      <w:lang w:eastAsia="en-US"/>
    </w:rPr>
  </w:style>
  <w:style w:type="character" w:customStyle="1" w:styleId="Styl3Char">
    <w:name w:val="Styl3 Char"/>
    <w:link w:val="Styl3"/>
    <w:rsid w:val="00E33B39"/>
    <w:rPr>
      <w:rFonts w:ascii="Times New Roman" w:eastAsia="Calibri" w:hAnsi="Times New Roman" w:cs="Times New Roman"/>
      <w:szCs w:val="24"/>
      <w:u w:val="single"/>
      <w:lang w:val="sk-SK"/>
    </w:rPr>
  </w:style>
  <w:style w:type="paragraph" w:customStyle="1" w:styleId="SPCaPILhlavika">
    <w:name w:val="SPC a PIL hlavička"/>
    <w:basedOn w:val="Normlny"/>
    <w:autoRedefine/>
    <w:qFormat/>
    <w:rsid w:val="006A488B"/>
    <w:pPr>
      <w:spacing w:before="240" w:after="120" w:line="240" w:lineRule="auto"/>
      <w:ind w:left="567" w:hanging="567"/>
      <w:jc w:val="center"/>
    </w:pPr>
    <w:rPr>
      <w:rFonts w:ascii="Times New Roman" w:eastAsia="Times New Roman" w:hAnsi="Times New Roman" w:cs="Times New Roman"/>
      <w:b/>
      <w:szCs w:val="24"/>
      <w:lang w:eastAsia="sk-SK"/>
    </w:rPr>
  </w:style>
  <w:style w:type="paragraph" w:customStyle="1" w:styleId="Normlndoblokusodrkami">
    <w:name w:val="Normální do bloku s odrážkami"/>
    <w:basedOn w:val="Normlndobloku"/>
    <w:next w:val="Normlndobloku"/>
    <w:autoRedefine/>
    <w:qFormat/>
    <w:rsid w:val="00ED7D59"/>
    <w:pPr>
      <w:numPr>
        <w:numId w:val="3"/>
      </w:numPr>
      <w:ind w:left="720"/>
    </w:pPr>
    <w:rPr>
      <w:rFonts w:eastAsia="Times New Roman"/>
      <w:lang w:eastAsia="x-none"/>
    </w:rPr>
  </w:style>
  <w:style w:type="paragraph" w:styleId="Hlavika">
    <w:name w:val="header"/>
    <w:basedOn w:val="Normlny"/>
    <w:link w:val="HlavikaChar"/>
    <w:uiPriority w:val="99"/>
    <w:unhideWhenUsed/>
    <w:rsid w:val="00A642B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2EFF"/>
  </w:style>
  <w:style w:type="paragraph" w:styleId="Pta">
    <w:name w:val="footer"/>
    <w:basedOn w:val="Normlny"/>
    <w:link w:val="PtaChar"/>
    <w:uiPriority w:val="99"/>
    <w:unhideWhenUsed/>
    <w:rsid w:val="00A642B8"/>
    <w:pPr>
      <w:tabs>
        <w:tab w:val="center" w:pos="4536"/>
        <w:tab w:val="right" w:pos="9072"/>
      </w:tabs>
      <w:spacing w:after="0" w:line="240" w:lineRule="auto"/>
    </w:pPr>
  </w:style>
  <w:style w:type="character" w:customStyle="1" w:styleId="PtaChar">
    <w:name w:val="Päta Char"/>
    <w:basedOn w:val="Predvolenpsmoodseku"/>
    <w:link w:val="Pta"/>
    <w:uiPriority w:val="99"/>
    <w:rsid w:val="00C52EFF"/>
  </w:style>
  <w:style w:type="table" w:styleId="Mriekatabuky">
    <w:name w:val="Table Grid"/>
    <w:basedOn w:val="Normlnatabuka"/>
    <w:rsid w:val="008A7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356E22"/>
    <w:rPr>
      <w:rFonts w:ascii="Times New Roman" w:eastAsia="Times New Roman" w:hAnsi="Times New Roman" w:cs="Times New Roman"/>
      <w:b/>
      <w:bCs/>
      <w:caps/>
      <w:szCs w:val="24"/>
      <w:lang w:val="x-none" w:eastAsia="x-none"/>
    </w:rPr>
  </w:style>
  <w:style w:type="character" w:customStyle="1" w:styleId="Bacil">
    <w:name w:val="Bacil"/>
    <w:qFormat/>
    <w:rsid w:val="00356E22"/>
    <w:rPr>
      <w:i/>
    </w:rPr>
  </w:style>
  <w:style w:type="paragraph" w:styleId="Zkladntext">
    <w:name w:val="Body Text"/>
    <w:basedOn w:val="Normlny"/>
    <w:link w:val="ZkladntextChar"/>
    <w:rsid w:val="00A642B8"/>
    <w:pPr>
      <w:spacing w:after="0" w:line="240" w:lineRule="auto"/>
    </w:pPr>
    <w:rPr>
      <w:rFonts w:ascii="Times New Roman" w:eastAsia="Times New Roman" w:hAnsi="Times New Roman" w:cs="Times New Roman"/>
      <w:szCs w:val="24"/>
      <w:lang w:val="x-none" w:eastAsia="sk-SK"/>
    </w:rPr>
  </w:style>
  <w:style w:type="character" w:customStyle="1" w:styleId="ZkladntextChar">
    <w:name w:val="Základný text Char"/>
    <w:basedOn w:val="Predvolenpsmoodseku"/>
    <w:link w:val="Zkladntext"/>
    <w:rsid w:val="00356E22"/>
    <w:rPr>
      <w:rFonts w:ascii="Times New Roman" w:eastAsia="Times New Roman" w:hAnsi="Times New Roman" w:cs="Times New Roman"/>
      <w:szCs w:val="24"/>
      <w:lang w:val="x-none" w:eastAsia="sk-SK"/>
    </w:rPr>
  </w:style>
  <w:style w:type="character" w:styleId="slostrany">
    <w:name w:val="page number"/>
    <w:basedOn w:val="Predvolenpsmoodseku"/>
    <w:rsid w:val="00356E22"/>
  </w:style>
  <w:style w:type="paragraph" w:styleId="Normlnywebov">
    <w:name w:val="Normal (Web)"/>
    <w:basedOn w:val="Normlny"/>
    <w:uiPriority w:val="99"/>
    <w:rsid w:val="00A642B8"/>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Textbubliny">
    <w:name w:val="Balloon Text"/>
    <w:basedOn w:val="Normlny"/>
    <w:link w:val="TextbublinyChar"/>
    <w:uiPriority w:val="99"/>
    <w:semiHidden/>
    <w:unhideWhenUsed/>
    <w:rsid w:val="00A642B8"/>
    <w:pPr>
      <w:spacing w:after="0" w:line="240" w:lineRule="auto"/>
      <w:ind w:left="567" w:hanging="567"/>
    </w:pPr>
    <w:rPr>
      <w:rFonts w:ascii="Tahoma" w:eastAsia="Times New Roman" w:hAnsi="Tahoma" w:cs="Times New Roman"/>
      <w:sz w:val="16"/>
      <w:szCs w:val="16"/>
      <w:lang w:val="x-none" w:eastAsia="sk-SK"/>
    </w:rPr>
  </w:style>
  <w:style w:type="character" w:customStyle="1" w:styleId="TextbublinyChar">
    <w:name w:val="Text bubliny Char"/>
    <w:basedOn w:val="Predvolenpsmoodseku"/>
    <w:link w:val="Textbubliny"/>
    <w:uiPriority w:val="99"/>
    <w:semiHidden/>
    <w:rsid w:val="00356E22"/>
    <w:rPr>
      <w:rFonts w:ascii="Tahoma" w:eastAsia="Times New Roman" w:hAnsi="Tahoma" w:cs="Times New Roman"/>
      <w:sz w:val="16"/>
      <w:szCs w:val="16"/>
      <w:lang w:val="x-none" w:eastAsia="sk-SK"/>
    </w:rPr>
  </w:style>
  <w:style w:type="character" w:styleId="Odkaznakomentr">
    <w:name w:val="annotation reference"/>
    <w:uiPriority w:val="99"/>
    <w:semiHidden/>
    <w:unhideWhenUsed/>
    <w:rsid w:val="00356E22"/>
    <w:rPr>
      <w:sz w:val="16"/>
      <w:szCs w:val="16"/>
    </w:rPr>
  </w:style>
  <w:style w:type="paragraph" w:styleId="Textkomentra">
    <w:name w:val="annotation text"/>
    <w:basedOn w:val="Normlny"/>
    <w:link w:val="TextkomentraChar"/>
    <w:uiPriority w:val="99"/>
    <w:unhideWhenUsed/>
    <w:rsid w:val="00A642B8"/>
    <w:pPr>
      <w:spacing w:after="0" w:line="240" w:lineRule="auto"/>
      <w:ind w:left="567" w:hanging="567"/>
    </w:pPr>
    <w:rPr>
      <w:rFonts w:ascii="Times New Roman" w:eastAsia="Times New Roman" w:hAnsi="Times New Roman" w:cs="Times New Roman"/>
      <w:sz w:val="20"/>
      <w:szCs w:val="20"/>
      <w:lang w:val="x-none" w:eastAsia="x-none"/>
    </w:rPr>
  </w:style>
  <w:style w:type="character" w:customStyle="1" w:styleId="TextkomentraChar">
    <w:name w:val="Text komentára Char"/>
    <w:basedOn w:val="Predvolenpsmoodseku"/>
    <w:link w:val="Textkomentra"/>
    <w:uiPriority w:val="99"/>
    <w:rsid w:val="00356E22"/>
    <w:rPr>
      <w:rFonts w:ascii="Times New Roman" w:eastAsia="Times New Roman" w:hAnsi="Times New Roman" w:cs="Times New Roman"/>
      <w:sz w:val="20"/>
      <w:szCs w:val="20"/>
      <w:lang w:val="x-none" w:eastAsia="x-none"/>
    </w:rPr>
  </w:style>
  <w:style w:type="paragraph" w:styleId="Predmetkomentra">
    <w:name w:val="annotation subject"/>
    <w:basedOn w:val="Textkomentra"/>
    <w:next w:val="Textkomentra"/>
    <w:link w:val="PredmetkomentraChar"/>
    <w:uiPriority w:val="99"/>
    <w:semiHidden/>
    <w:unhideWhenUsed/>
    <w:rsid w:val="00356E22"/>
    <w:rPr>
      <w:b/>
      <w:bCs/>
    </w:rPr>
  </w:style>
  <w:style w:type="character" w:customStyle="1" w:styleId="PredmetkomentraChar">
    <w:name w:val="Predmet komentára Char"/>
    <w:basedOn w:val="TextkomentraChar"/>
    <w:link w:val="Predmetkomentra"/>
    <w:uiPriority w:val="99"/>
    <w:semiHidden/>
    <w:rsid w:val="00356E22"/>
    <w:rPr>
      <w:rFonts w:ascii="Times New Roman" w:eastAsia="Times New Roman" w:hAnsi="Times New Roman" w:cs="Times New Roman"/>
      <w:b/>
      <w:bCs/>
      <w:sz w:val="20"/>
      <w:szCs w:val="20"/>
      <w:lang w:val="x-none" w:eastAsia="x-none"/>
    </w:rPr>
  </w:style>
  <w:style w:type="character" w:styleId="Hypertextovprepojenie">
    <w:name w:val="Hyperlink"/>
    <w:unhideWhenUsed/>
    <w:rsid w:val="00356E22"/>
    <w:rPr>
      <w:color w:val="0000FF"/>
      <w:u w:val="single"/>
    </w:rPr>
  </w:style>
  <w:style w:type="paragraph" w:customStyle="1" w:styleId="Tabulkynormlndoblokuzarovnndoleva">
    <w:name w:val="Tabulky = normální do bloku + zarovnání doleva"/>
    <w:basedOn w:val="Normlny"/>
    <w:rsid w:val="00A642B8"/>
    <w:pPr>
      <w:framePr w:hSpace="142" w:wrap="around" w:vAnchor="text" w:hAnchor="text" w:y="1"/>
      <w:suppressAutoHyphens/>
      <w:spacing w:after="120" w:line="240" w:lineRule="auto"/>
    </w:pPr>
    <w:rPr>
      <w:rFonts w:ascii="TimesNewRoman" w:eastAsia="Calibri" w:hAnsi="TimesNewRoman" w:cs="TimesNewRoman"/>
      <w:szCs w:val="20"/>
      <w:lang w:val="sk-SK"/>
    </w:rPr>
  </w:style>
  <w:style w:type="paragraph" w:customStyle="1" w:styleId="Nadpisuvnittabulky">
    <w:name w:val="Nadpis uvnitř tabulky"/>
    <w:basedOn w:val="Tabulkynormlndoblokuzarovnndoleva"/>
    <w:qFormat/>
    <w:rsid w:val="00356E22"/>
    <w:pPr>
      <w:framePr w:hSpace="0" w:wrap="auto" w:vAnchor="margin" w:yAlign="inline"/>
      <w:spacing w:before="120"/>
    </w:pPr>
    <w:rPr>
      <w:b/>
    </w:rPr>
  </w:style>
  <w:style w:type="paragraph" w:customStyle="1" w:styleId="Text">
    <w:name w:val="Text"/>
    <w:basedOn w:val="Normlny"/>
    <w:rsid w:val="00A642B8"/>
    <w:pPr>
      <w:spacing w:before="120" w:after="0" w:line="240" w:lineRule="auto"/>
      <w:jc w:val="both"/>
    </w:pPr>
    <w:rPr>
      <w:rFonts w:ascii="Times New Roman" w:eastAsia="Times New Roman" w:hAnsi="Times New Roman" w:cs="Times New Roman"/>
      <w:sz w:val="24"/>
      <w:szCs w:val="20"/>
      <w:lang w:val="en-US"/>
    </w:rPr>
  </w:style>
  <w:style w:type="paragraph" w:styleId="Revzia">
    <w:name w:val="Revision"/>
    <w:hidden/>
    <w:uiPriority w:val="99"/>
    <w:semiHidden/>
    <w:rsid w:val="00356E22"/>
    <w:pPr>
      <w:spacing w:after="0" w:line="240" w:lineRule="auto"/>
    </w:pPr>
  </w:style>
  <w:style w:type="table" w:customStyle="1" w:styleId="Mriekatabuky1">
    <w:name w:val="Mriežka tabuľky1"/>
    <w:basedOn w:val="Normlnatabuka"/>
    <w:next w:val="Mriekatabuky"/>
    <w:uiPriority w:val="39"/>
    <w:rsid w:val="001B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0F57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72022">
      <w:bodyDiv w:val="1"/>
      <w:marLeft w:val="0"/>
      <w:marRight w:val="0"/>
      <w:marTop w:val="0"/>
      <w:marBottom w:val="0"/>
      <w:divBdr>
        <w:top w:val="none" w:sz="0" w:space="0" w:color="auto"/>
        <w:left w:val="none" w:sz="0" w:space="0" w:color="auto"/>
        <w:bottom w:val="none" w:sz="0" w:space="0" w:color="auto"/>
        <w:right w:val="none" w:sz="0" w:space="0" w:color="auto"/>
      </w:divBdr>
      <w:divsChild>
        <w:div w:id="993602820">
          <w:marLeft w:val="0"/>
          <w:marRight w:val="0"/>
          <w:marTop w:val="0"/>
          <w:marBottom w:val="0"/>
          <w:divBdr>
            <w:top w:val="none" w:sz="0" w:space="0" w:color="auto"/>
            <w:left w:val="none" w:sz="0" w:space="0" w:color="auto"/>
            <w:bottom w:val="none" w:sz="0" w:space="0" w:color="auto"/>
            <w:right w:val="none" w:sz="0" w:space="0" w:color="auto"/>
          </w:divBdr>
        </w:div>
        <w:div w:id="772482827">
          <w:marLeft w:val="0"/>
          <w:marRight w:val="0"/>
          <w:marTop w:val="0"/>
          <w:marBottom w:val="0"/>
          <w:divBdr>
            <w:top w:val="none" w:sz="0" w:space="0" w:color="auto"/>
            <w:left w:val="none" w:sz="0" w:space="0" w:color="auto"/>
            <w:bottom w:val="none" w:sz="0" w:space="0" w:color="auto"/>
            <w:right w:val="none" w:sz="0" w:space="0" w:color="auto"/>
          </w:divBdr>
          <w:divsChild>
            <w:div w:id="1850027900">
              <w:marLeft w:val="0"/>
              <w:marRight w:val="0"/>
              <w:marTop w:val="0"/>
              <w:marBottom w:val="0"/>
              <w:divBdr>
                <w:top w:val="none" w:sz="0" w:space="0" w:color="auto"/>
                <w:left w:val="none" w:sz="0" w:space="0" w:color="auto"/>
                <w:bottom w:val="none" w:sz="0" w:space="0" w:color="auto"/>
                <w:right w:val="none" w:sz="0" w:space="0" w:color="auto"/>
              </w:divBdr>
              <w:divsChild>
                <w:div w:id="1863857939">
                  <w:marLeft w:val="0"/>
                  <w:marRight w:val="0"/>
                  <w:marTop w:val="0"/>
                  <w:marBottom w:val="0"/>
                  <w:divBdr>
                    <w:top w:val="none" w:sz="0" w:space="0" w:color="auto"/>
                    <w:left w:val="none" w:sz="0" w:space="0" w:color="auto"/>
                    <w:bottom w:val="none" w:sz="0" w:space="0" w:color="auto"/>
                    <w:right w:val="none" w:sz="0" w:space="0" w:color="auto"/>
                  </w:divBdr>
                  <w:divsChild>
                    <w:div w:id="806358053">
                      <w:marLeft w:val="0"/>
                      <w:marRight w:val="0"/>
                      <w:marTop w:val="0"/>
                      <w:marBottom w:val="0"/>
                      <w:divBdr>
                        <w:top w:val="none" w:sz="0" w:space="0" w:color="auto"/>
                        <w:left w:val="none" w:sz="0" w:space="0" w:color="auto"/>
                        <w:bottom w:val="none" w:sz="0" w:space="0" w:color="auto"/>
                        <w:right w:val="none" w:sz="0" w:space="0" w:color="auto"/>
                      </w:divBdr>
                      <w:divsChild>
                        <w:div w:id="416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696624">
          <w:marLeft w:val="0"/>
          <w:marRight w:val="0"/>
          <w:marTop w:val="0"/>
          <w:marBottom w:val="0"/>
          <w:divBdr>
            <w:top w:val="none" w:sz="0" w:space="0" w:color="auto"/>
            <w:left w:val="none" w:sz="0" w:space="0" w:color="auto"/>
            <w:bottom w:val="none" w:sz="0" w:space="0" w:color="auto"/>
            <w:right w:val="none" w:sz="0" w:space="0" w:color="auto"/>
          </w:divBdr>
          <w:divsChild>
            <w:div w:id="910314058">
              <w:marLeft w:val="0"/>
              <w:marRight w:val="0"/>
              <w:marTop w:val="0"/>
              <w:marBottom w:val="0"/>
              <w:divBdr>
                <w:top w:val="none" w:sz="0" w:space="0" w:color="auto"/>
                <w:left w:val="none" w:sz="0" w:space="0" w:color="auto"/>
                <w:bottom w:val="none" w:sz="0" w:space="0" w:color="auto"/>
                <w:right w:val="none" w:sz="0" w:space="0" w:color="auto"/>
              </w:divBdr>
              <w:divsChild>
                <w:div w:id="987436775">
                  <w:marLeft w:val="0"/>
                  <w:marRight w:val="0"/>
                  <w:marTop w:val="0"/>
                  <w:marBottom w:val="0"/>
                  <w:divBdr>
                    <w:top w:val="none" w:sz="0" w:space="0" w:color="auto"/>
                    <w:left w:val="none" w:sz="0" w:space="0" w:color="auto"/>
                    <w:bottom w:val="none" w:sz="0" w:space="0" w:color="auto"/>
                    <w:right w:val="none" w:sz="0" w:space="0" w:color="auto"/>
                  </w:divBdr>
                  <w:divsChild>
                    <w:div w:id="1655329489">
                      <w:marLeft w:val="0"/>
                      <w:marRight w:val="0"/>
                      <w:marTop w:val="0"/>
                      <w:marBottom w:val="0"/>
                      <w:divBdr>
                        <w:top w:val="none" w:sz="0" w:space="0" w:color="auto"/>
                        <w:left w:val="none" w:sz="0" w:space="0" w:color="auto"/>
                        <w:bottom w:val="none" w:sz="0" w:space="0" w:color="auto"/>
                        <w:right w:val="none" w:sz="0" w:space="0" w:color="auto"/>
                      </w:divBdr>
                      <w:divsChild>
                        <w:div w:id="1285619891">
                          <w:marLeft w:val="0"/>
                          <w:marRight w:val="0"/>
                          <w:marTop w:val="0"/>
                          <w:marBottom w:val="0"/>
                          <w:divBdr>
                            <w:top w:val="none" w:sz="0" w:space="0" w:color="auto"/>
                            <w:left w:val="none" w:sz="0" w:space="0" w:color="auto"/>
                            <w:bottom w:val="none" w:sz="0" w:space="0" w:color="auto"/>
                            <w:right w:val="none" w:sz="0" w:space="0" w:color="auto"/>
                          </w:divBdr>
                          <w:divsChild>
                            <w:div w:id="185657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365625">
      <w:bodyDiv w:val="1"/>
      <w:marLeft w:val="0"/>
      <w:marRight w:val="0"/>
      <w:marTop w:val="0"/>
      <w:marBottom w:val="0"/>
      <w:divBdr>
        <w:top w:val="none" w:sz="0" w:space="0" w:color="auto"/>
        <w:left w:val="none" w:sz="0" w:space="0" w:color="auto"/>
        <w:bottom w:val="none" w:sz="0" w:space="0" w:color="auto"/>
        <w:right w:val="none" w:sz="0" w:space="0" w:color="auto"/>
      </w:divBdr>
    </w:div>
    <w:div w:id="652492537">
      <w:bodyDiv w:val="1"/>
      <w:marLeft w:val="0"/>
      <w:marRight w:val="0"/>
      <w:marTop w:val="0"/>
      <w:marBottom w:val="0"/>
      <w:divBdr>
        <w:top w:val="none" w:sz="0" w:space="0" w:color="auto"/>
        <w:left w:val="none" w:sz="0" w:space="0" w:color="auto"/>
        <w:bottom w:val="none" w:sz="0" w:space="0" w:color="auto"/>
        <w:right w:val="none" w:sz="0" w:space="0" w:color="auto"/>
      </w:divBdr>
    </w:div>
    <w:div w:id="705716404">
      <w:bodyDiv w:val="1"/>
      <w:marLeft w:val="0"/>
      <w:marRight w:val="0"/>
      <w:marTop w:val="0"/>
      <w:marBottom w:val="0"/>
      <w:divBdr>
        <w:top w:val="none" w:sz="0" w:space="0" w:color="auto"/>
        <w:left w:val="none" w:sz="0" w:space="0" w:color="auto"/>
        <w:bottom w:val="none" w:sz="0" w:space="0" w:color="auto"/>
        <w:right w:val="none" w:sz="0" w:space="0" w:color="auto"/>
      </w:divBdr>
    </w:div>
    <w:div w:id="720981954">
      <w:bodyDiv w:val="1"/>
      <w:marLeft w:val="0"/>
      <w:marRight w:val="0"/>
      <w:marTop w:val="0"/>
      <w:marBottom w:val="0"/>
      <w:divBdr>
        <w:top w:val="none" w:sz="0" w:space="0" w:color="auto"/>
        <w:left w:val="none" w:sz="0" w:space="0" w:color="auto"/>
        <w:bottom w:val="none" w:sz="0" w:space="0" w:color="auto"/>
        <w:right w:val="none" w:sz="0" w:space="0" w:color="auto"/>
      </w:divBdr>
    </w:div>
    <w:div w:id="1271401704">
      <w:bodyDiv w:val="1"/>
      <w:marLeft w:val="0"/>
      <w:marRight w:val="0"/>
      <w:marTop w:val="0"/>
      <w:marBottom w:val="0"/>
      <w:divBdr>
        <w:top w:val="none" w:sz="0" w:space="0" w:color="auto"/>
        <w:left w:val="none" w:sz="0" w:space="0" w:color="auto"/>
        <w:bottom w:val="none" w:sz="0" w:space="0" w:color="auto"/>
        <w:right w:val="none" w:sz="0" w:space="0" w:color="auto"/>
      </w:divBdr>
    </w:div>
    <w:div w:id="1445659628">
      <w:bodyDiv w:val="1"/>
      <w:marLeft w:val="0"/>
      <w:marRight w:val="0"/>
      <w:marTop w:val="0"/>
      <w:marBottom w:val="0"/>
      <w:divBdr>
        <w:top w:val="none" w:sz="0" w:space="0" w:color="auto"/>
        <w:left w:val="none" w:sz="0" w:space="0" w:color="auto"/>
        <w:bottom w:val="none" w:sz="0" w:space="0" w:color="auto"/>
        <w:right w:val="none" w:sz="0" w:space="0" w:color="auto"/>
      </w:divBdr>
    </w:div>
    <w:div w:id="1467967326">
      <w:bodyDiv w:val="1"/>
      <w:marLeft w:val="0"/>
      <w:marRight w:val="0"/>
      <w:marTop w:val="0"/>
      <w:marBottom w:val="0"/>
      <w:divBdr>
        <w:top w:val="none" w:sz="0" w:space="0" w:color="auto"/>
        <w:left w:val="none" w:sz="0" w:space="0" w:color="auto"/>
        <w:bottom w:val="none" w:sz="0" w:space="0" w:color="auto"/>
        <w:right w:val="none" w:sz="0" w:space="0" w:color="auto"/>
      </w:divBdr>
    </w:div>
    <w:div w:id="1802725337">
      <w:bodyDiv w:val="1"/>
      <w:marLeft w:val="0"/>
      <w:marRight w:val="0"/>
      <w:marTop w:val="0"/>
      <w:marBottom w:val="0"/>
      <w:divBdr>
        <w:top w:val="none" w:sz="0" w:space="0" w:color="auto"/>
        <w:left w:val="none" w:sz="0" w:space="0" w:color="auto"/>
        <w:bottom w:val="none" w:sz="0" w:space="0" w:color="auto"/>
        <w:right w:val="none" w:sz="0" w:space="0" w:color="auto"/>
      </w:divBdr>
    </w:div>
    <w:div w:id="1816871805">
      <w:bodyDiv w:val="1"/>
      <w:marLeft w:val="0"/>
      <w:marRight w:val="0"/>
      <w:marTop w:val="0"/>
      <w:marBottom w:val="0"/>
      <w:divBdr>
        <w:top w:val="none" w:sz="0" w:space="0" w:color="auto"/>
        <w:left w:val="none" w:sz="0" w:space="0" w:color="auto"/>
        <w:bottom w:val="none" w:sz="0" w:space="0" w:color="auto"/>
        <w:right w:val="none" w:sz="0" w:space="0" w:color="auto"/>
      </w:divBdr>
      <w:divsChild>
        <w:div w:id="2102026161">
          <w:marLeft w:val="0"/>
          <w:marRight w:val="0"/>
          <w:marTop w:val="0"/>
          <w:marBottom w:val="0"/>
          <w:divBdr>
            <w:top w:val="none" w:sz="0" w:space="0" w:color="auto"/>
            <w:left w:val="none" w:sz="0" w:space="0" w:color="auto"/>
            <w:bottom w:val="none" w:sz="0" w:space="0" w:color="auto"/>
            <w:right w:val="none" w:sz="0" w:space="0" w:color="auto"/>
          </w:divBdr>
          <w:divsChild>
            <w:div w:id="389160455">
              <w:marLeft w:val="0"/>
              <w:marRight w:val="0"/>
              <w:marTop w:val="0"/>
              <w:marBottom w:val="0"/>
              <w:divBdr>
                <w:top w:val="none" w:sz="0" w:space="0" w:color="auto"/>
                <w:left w:val="none" w:sz="0" w:space="0" w:color="auto"/>
                <w:bottom w:val="none" w:sz="0" w:space="0" w:color="auto"/>
                <w:right w:val="none" w:sz="0" w:space="0" w:color="auto"/>
              </w:divBdr>
              <w:divsChild>
                <w:div w:id="1116170935">
                  <w:marLeft w:val="0"/>
                  <w:marRight w:val="0"/>
                  <w:marTop w:val="0"/>
                  <w:marBottom w:val="0"/>
                  <w:divBdr>
                    <w:top w:val="none" w:sz="0" w:space="0" w:color="auto"/>
                    <w:left w:val="none" w:sz="0" w:space="0" w:color="auto"/>
                    <w:bottom w:val="none" w:sz="0" w:space="0" w:color="auto"/>
                    <w:right w:val="none" w:sz="0" w:space="0" w:color="auto"/>
                  </w:divBdr>
                  <w:divsChild>
                    <w:div w:id="14306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42254">
          <w:marLeft w:val="0"/>
          <w:marRight w:val="0"/>
          <w:marTop w:val="0"/>
          <w:marBottom w:val="0"/>
          <w:divBdr>
            <w:top w:val="none" w:sz="0" w:space="0" w:color="auto"/>
            <w:left w:val="none" w:sz="0" w:space="0" w:color="auto"/>
            <w:bottom w:val="none" w:sz="0" w:space="0" w:color="auto"/>
            <w:right w:val="none" w:sz="0" w:space="0" w:color="auto"/>
          </w:divBdr>
        </w:div>
        <w:div w:id="901017747">
          <w:marLeft w:val="0"/>
          <w:marRight w:val="0"/>
          <w:marTop w:val="0"/>
          <w:marBottom w:val="0"/>
          <w:divBdr>
            <w:top w:val="none" w:sz="0" w:space="0" w:color="auto"/>
            <w:left w:val="none" w:sz="0" w:space="0" w:color="auto"/>
            <w:bottom w:val="none" w:sz="0" w:space="0" w:color="auto"/>
            <w:right w:val="none" w:sz="0" w:space="0" w:color="auto"/>
          </w:divBdr>
          <w:divsChild>
            <w:div w:id="1248271133">
              <w:marLeft w:val="0"/>
              <w:marRight w:val="0"/>
              <w:marTop w:val="0"/>
              <w:marBottom w:val="0"/>
              <w:divBdr>
                <w:top w:val="none" w:sz="0" w:space="0" w:color="auto"/>
                <w:left w:val="none" w:sz="0" w:space="0" w:color="auto"/>
                <w:bottom w:val="none" w:sz="0" w:space="0" w:color="auto"/>
                <w:right w:val="none" w:sz="0" w:space="0" w:color="auto"/>
              </w:divBdr>
              <w:divsChild>
                <w:div w:id="914122678">
                  <w:marLeft w:val="0"/>
                  <w:marRight w:val="0"/>
                  <w:marTop w:val="0"/>
                  <w:marBottom w:val="0"/>
                  <w:divBdr>
                    <w:top w:val="none" w:sz="0" w:space="0" w:color="auto"/>
                    <w:left w:val="none" w:sz="0" w:space="0" w:color="auto"/>
                    <w:bottom w:val="none" w:sz="0" w:space="0" w:color="auto"/>
                    <w:right w:val="none" w:sz="0" w:space="0" w:color="auto"/>
                  </w:divBdr>
                  <w:divsChild>
                    <w:div w:id="218829873">
                      <w:marLeft w:val="0"/>
                      <w:marRight w:val="0"/>
                      <w:marTop w:val="0"/>
                      <w:marBottom w:val="0"/>
                      <w:divBdr>
                        <w:top w:val="none" w:sz="0" w:space="0" w:color="auto"/>
                        <w:left w:val="none" w:sz="0" w:space="0" w:color="auto"/>
                        <w:bottom w:val="none" w:sz="0" w:space="0" w:color="auto"/>
                        <w:right w:val="none" w:sz="0" w:space="0" w:color="auto"/>
                      </w:divBdr>
                      <w:divsChild>
                        <w:div w:id="21244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20115">
          <w:marLeft w:val="0"/>
          <w:marRight w:val="0"/>
          <w:marTop w:val="0"/>
          <w:marBottom w:val="0"/>
          <w:divBdr>
            <w:top w:val="none" w:sz="0" w:space="0" w:color="auto"/>
            <w:left w:val="none" w:sz="0" w:space="0" w:color="auto"/>
            <w:bottom w:val="none" w:sz="0" w:space="0" w:color="auto"/>
            <w:right w:val="none" w:sz="0" w:space="0" w:color="auto"/>
          </w:divBdr>
          <w:divsChild>
            <w:div w:id="1554804121">
              <w:marLeft w:val="0"/>
              <w:marRight w:val="0"/>
              <w:marTop w:val="0"/>
              <w:marBottom w:val="0"/>
              <w:divBdr>
                <w:top w:val="none" w:sz="0" w:space="0" w:color="auto"/>
                <w:left w:val="none" w:sz="0" w:space="0" w:color="auto"/>
                <w:bottom w:val="none" w:sz="0" w:space="0" w:color="auto"/>
                <w:right w:val="none" w:sz="0" w:space="0" w:color="auto"/>
              </w:divBdr>
              <w:divsChild>
                <w:div w:id="1071460995">
                  <w:marLeft w:val="0"/>
                  <w:marRight w:val="0"/>
                  <w:marTop w:val="0"/>
                  <w:marBottom w:val="0"/>
                  <w:divBdr>
                    <w:top w:val="none" w:sz="0" w:space="0" w:color="auto"/>
                    <w:left w:val="none" w:sz="0" w:space="0" w:color="auto"/>
                    <w:bottom w:val="none" w:sz="0" w:space="0" w:color="auto"/>
                    <w:right w:val="none" w:sz="0" w:space="0" w:color="auto"/>
                  </w:divBdr>
                  <w:divsChild>
                    <w:div w:id="302976473">
                      <w:marLeft w:val="0"/>
                      <w:marRight w:val="0"/>
                      <w:marTop w:val="0"/>
                      <w:marBottom w:val="0"/>
                      <w:divBdr>
                        <w:top w:val="none" w:sz="0" w:space="0" w:color="auto"/>
                        <w:left w:val="none" w:sz="0" w:space="0" w:color="auto"/>
                        <w:bottom w:val="none" w:sz="0" w:space="0" w:color="auto"/>
                        <w:right w:val="none" w:sz="0" w:space="0" w:color="auto"/>
                      </w:divBdr>
                      <w:divsChild>
                        <w:div w:id="118189998">
                          <w:marLeft w:val="0"/>
                          <w:marRight w:val="0"/>
                          <w:marTop w:val="0"/>
                          <w:marBottom w:val="0"/>
                          <w:divBdr>
                            <w:top w:val="none" w:sz="0" w:space="0" w:color="auto"/>
                            <w:left w:val="none" w:sz="0" w:space="0" w:color="auto"/>
                            <w:bottom w:val="none" w:sz="0" w:space="0" w:color="auto"/>
                            <w:right w:val="none" w:sz="0" w:space="0" w:color="auto"/>
                          </w:divBdr>
                          <w:divsChild>
                            <w:div w:id="16887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12EF8-1B91-4747-A9D2-7DBA33394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13</Pages>
  <Words>4189</Words>
  <Characters>23881</Characters>
  <Application>Microsoft Office Word</Application>
  <DocSecurity>0</DocSecurity>
  <Lines>199</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Valovičová, Monika</cp:lastModifiedBy>
  <cp:revision>83</cp:revision>
  <cp:lastPrinted>2019-11-26T08:21:00Z</cp:lastPrinted>
  <dcterms:created xsi:type="dcterms:W3CDTF">2019-11-25T10:16:00Z</dcterms:created>
  <dcterms:modified xsi:type="dcterms:W3CDTF">2019-12-19T09:19:00Z</dcterms:modified>
</cp:coreProperties>
</file>