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E3299" w14:textId="77777777" w:rsidR="00505D01" w:rsidRPr="0011544C" w:rsidRDefault="00505D01" w:rsidP="00D04A03">
      <w:pPr>
        <w:jc w:val="center"/>
        <w:rPr>
          <w:b/>
          <w:szCs w:val="22"/>
          <w:lang w:val="sk-SK"/>
        </w:rPr>
      </w:pPr>
    </w:p>
    <w:p w14:paraId="264E329A" w14:textId="77777777" w:rsidR="00D04A03" w:rsidRPr="0011544C" w:rsidRDefault="00D04A03" w:rsidP="00D04A03">
      <w:pPr>
        <w:jc w:val="center"/>
        <w:rPr>
          <w:b/>
          <w:szCs w:val="22"/>
          <w:lang w:val="sk-SK"/>
        </w:rPr>
      </w:pPr>
    </w:p>
    <w:p w14:paraId="264E329B" w14:textId="77777777" w:rsidR="00D04A03" w:rsidRPr="0011544C" w:rsidRDefault="00D04A03" w:rsidP="00D04A03">
      <w:pPr>
        <w:jc w:val="center"/>
        <w:rPr>
          <w:b/>
          <w:caps/>
          <w:szCs w:val="22"/>
          <w:lang w:val="sk-SK"/>
        </w:rPr>
      </w:pPr>
      <w:r w:rsidRPr="0011544C">
        <w:rPr>
          <w:b/>
          <w:caps/>
          <w:szCs w:val="22"/>
          <w:lang w:val="sk-SK"/>
        </w:rPr>
        <w:t>Súhrn charakteristických vlastností lieku</w:t>
      </w:r>
    </w:p>
    <w:p w14:paraId="264E329C" w14:textId="77777777" w:rsidR="00D04A03" w:rsidRPr="0011544C" w:rsidRDefault="00D04A03" w:rsidP="003F7DD0">
      <w:pPr>
        <w:rPr>
          <w:caps/>
          <w:szCs w:val="22"/>
          <w:lang w:val="sk-SK"/>
        </w:rPr>
      </w:pPr>
    </w:p>
    <w:p w14:paraId="264E329D" w14:textId="77777777" w:rsidR="00D04A03" w:rsidRPr="0011544C" w:rsidRDefault="00D04A03" w:rsidP="003F7DD0">
      <w:pPr>
        <w:rPr>
          <w:szCs w:val="22"/>
          <w:lang w:val="sk-SK"/>
        </w:rPr>
      </w:pPr>
    </w:p>
    <w:p w14:paraId="264E329E" w14:textId="77777777" w:rsidR="00681759" w:rsidRPr="00157521" w:rsidRDefault="00681759" w:rsidP="009512D0">
      <w:pPr>
        <w:widowControl w:val="0"/>
        <w:spacing w:line="240" w:lineRule="auto"/>
        <w:rPr>
          <w:lang w:val="sk-SK"/>
        </w:rPr>
      </w:pPr>
      <w:r w:rsidRPr="00157521">
        <w:rPr>
          <w:b/>
          <w:lang w:val="sk-SK"/>
        </w:rPr>
        <w:t>1.</w:t>
      </w:r>
      <w:r w:rsidRPr="00157521">
        <w:rPr>
          <w:lang w:val="sk-SK"/>
        </w:rPr>
        <w:tab/>
      </w:r>
      <w:r w:rsidRPr="00157521">
        <w:rPr>
          <w:b/>
          <w:lang w:val="sk-SK"/>
        </w:rPr>
        <w:t>N</w:t>
      </w:r>
      <w:r w:rsidR="00790F89" w:rsidRPr="00157521">
        <w:rPr>
          <w:b/>
          <w:lang w:val="sk-SK"/>
        </w:rPr>
        <w:t>ÁZOV LIEK</w:t>
      </w:r>
      <w:r w:rsidRPr="00157521">
        <w:rPr>
          <w:b/>
          <w:lang w:val="sk-SK"/>
        </w:rPr>
        <w:t>U</w:t>
      </w:r>
    </w:p>
    <w:p w14:paraId="264E329F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A0" w14:textId="77777777" w:rsidR="007C71D5" w:rsidRPr="008E45E5" w:rsidRDefault="00915D85" w:rsidP="00D8540D">
      <w:pPr>
        <w:outlineLvl w:val="0"/>
        <w:rPr>
          <w:lang w:val="sk-SK"/>
        </w:rPr>
      </w:pPr>
      <w:r w:rsidRPr="008E45E5">
        <w:rPr>
          <w:lang w:val="sk-SK"/>
        </w:rPr>
        <w:t>DIRONORM</w:t>
      </w:r>
      <w:r w:rsidR="00443801" w:rsidRPr="008E45E5">
        <w:rPr>
          <w:lang w:val="sk-SK"/>
        </w:rPr>
        <w:t xml:space="preserve"> </w:t>
      </w:r>
      <w:r w:rsidR="00D04A03" w:rsidRPr="008E45E5">
        <w:rPr>
          <w:lang w:val="sk-SK"/>
        </w:rPr>
        <w:t xml:space="preserve">tablety, </w:t>
      </w:r>
      <w:r w:rsidR="00CB6D9F" w:rsidRPr="008E45E5">
        <w:rPr>
          <w:lang w:val="sk-SK"/>
        </w:rPr>
        <w:t xml:space="preserve">10 mg/5 mg </w:t>
      </w:r>
    </w:p>
    <w:p w14:paraId="264E32A1" w14:textId="77777777" w:rsidR="00CB6D9F" w:rsidRPr="008E45E5" w:rsidRDefault="00915D85" w:rsidP="00CB6D9F">
      <w:pPr>
        <w:outlineLvl w:val="0"/>
        <w:rPr>
          <w:lang w:val="sk-SK"/>
        </w:rPr>
      </w:pPr>
      <w:r w:rsidRPr="008E45E5">
        <w:rPr>
          <w:lang w:val="sk-SK"/>
        </w:rPr>
        <w:t>DIRONORM</w:t>
      </w:r>
      <w:r w:rsidR="00CB6D9F" w:rsidRPr="008E45E5">
        <w:rPr>
          <w:lang w:val="sk-SK"/>
        </w:rPr>
        <w:t xml:space="preserve"> </w:t>
      </w:r>
      <w:r w:rsidR="00D04A03" w:rsidRPr="008E45E5">
        <w:rPr>
          <w:lang w:val="sk-SK"/>
        </w:rPr>
        <w:t>F</w:t>
      </w:r>
      <w:r w:rsidRPr="008E45E5">
        <w:rPr>
          <w:lang w:val="sk-SK"/>
        </w:rPr>
        <w:t>ORTE</w:t>
      </w:r>
      <w:r w:rsidR="00D04A03" w:rsidRPr="008E45E5">
        <w:rPr>
          <w:lang w:val="sk-SK"/>
        </w:rPr>
        <w:t xml:space="preserve"> </w:t>
      </w:r>
      <w:r w:rsidR="00CB6D9F" w:rsidRPr="008E45E5">
        <w:rPr>
          <w:lang w:val="sk-SK"/>
        </w:rPr>
        <w:t>20 mg/10 mg tablety</w:t>
      </w:r>
      <w:bookmarkStart w:id="0" w:name="_GoBack"/>
      <w:bookmarkEnd w:id="0"/>
    </w:p>
    <w:p w14:paraId="264E32A2" w14:textId="77777777" w:rsidR="00681759" w:rsidRPr="003F7DD0" w:rsidRDefault="00681759" w:rsidP="009512D0">
      <w:pPr>
        <w:widowControl w:val="0"/>
        <w:spacing w:line="240" w:lineRule="auto"/>
      </w:pPr>
    </w:p>
    <w:p w14:paraId="264E32A3" w14:textId="77777777" w:rsidR="00681759" w:rsidRPr="00157521" w:rsidRDefault="00681759" w:rsidP="009512D0">
      <w:pPr>
        <w:widowControl w:val="0"/>
        <w:spacing w:line="240" w:lineRule="auto"/>
        <w:rPr>
          <w:lang w:val="sk-SK"/>
        </w:rPr>
      </w:pPr>
    </w:p>
    <w:p w14:paraId="264E32A4" w14:textId="77777777" w:rsidR="00681759" w:rsidRPr="00157521" w:rsidRDefault="00681759" w:rsidP="009512D0">
      <w:pPr>
        <w:widowControl w:val="0"/>
        <w:spacing w:line="240" w:lineRule="auto"/>
        <w:rPr>
          <w:lang w:val="sk-SK"/>
        </w:rPr>
      </w:pPr>
      <w:r w:rsidRPr="00157521">
        <w:rPr>
          <w:b/>
          <w:lang w:val="sk-SK"/>
        </w:rPr>
        <w:t>2.</w:t>
      </w:r>
      <w:r w:rsidRPr="00157521">
        <w:rPr>
          <w:b/>
          <w:lang w:val="sk-SK"/>
        </w:rPr>
        <w:tab/>
      </w:r>
      <w:r w:rsidR="00790F89" w:rsidRPr="00157521">
        <w:rPr>
          <w:b/>
          <w:lang w:val="sk-SK"/>
        </w:rPr>
        <w:t>KVALITATÍVNE A KVANTITATÍVNE ZLOŽENI</w:t>
      </w:r>
      <w:r w:rsidRPr="00157521">
        <w:rPr>
          <w:b/>
          <w:lang w:val="sk-SK"/>
        </w:rPr>
        <w:t>E</w:t>
      </w:r>
    </w:p>
    <w:p w14:paraId="264E32A5" w14:textId="77777777" w:rsidR="00681759" w:rsidRDefault="00681759" w:rsidP="009512D0">
      <w:pPr>
        <w:spacing w:line="240" w:lineRule="auto"/>
        <w:rPr>
          <w:lang w:val="sk-SK"/>
        </w:rPr>
      </w:pPr>
    </w:p>
    <w:p w14:paraId="264E32A6" w14:textId="77777777" w:rsidR="00CB6D9F" w:rsidRPr="00CB6D9F" w:rsidRDefault="00915D85" w:rsidP="009512D0">
      <w:pPr>
        <w:spacing w:line="240" w:lineRule="auto"/>
        <w:rPr>
          <w:i/>
          <w:lang w:val="sk-SK"/>
        </w:rPr>
      </w:pPr>
      <w:r>
        <w:rPr>
          <w:i/>
          <w:lang w:val="sk-SK"/>
        </w:rPr>
        <w:t>DIRONORM</w:t>
      </w:r>
      <w:r w:rsidR="00CB6D9F" w:rsidRPr="00CB6D9F">
        <w:rPr>
          <w:i/>
          <w:lang w:val="sk-SK"/>
        </w:rPr>
        <w:t xml:space="preserve"> </w:t>
      </w:r>
      <w:r w:rsidR="00D04A03" w:rsidRPr="00CB6D9F">
        <w:rPr>
          <w:i/>
          <w:lang w:val="sk-SK"/>
        </w:rPr>
        <w:t>tablety</w:t>
      </w:r>
      <w:r w:rsidR="00D04A03">
        <w:rPr>
          <w:i/>
          <w:lang w:val="sk-SK"/>
        </w:rPr>
        <w:t xml:space="preserve">, </w:t>
      </w:r>
      <w:r w:rsidR="00CB6D9F" w:rsidRPr="00CB6D9F">
        <w:rPr>
          <w:i/>
          <w:lang w:val="sk-SK"/>
        </w:rPr>
        <w:t>10 mg/5 mg:</w:t>
      </w:r>
    </w:p>
    <w:p w14:paraId="264E32A7" w14:textId="77777777" w:rsidR="007C71D5" w:rsidRPr="00157521" w:rsidRDefault="00790F89" w:rsidP="00D8540D">
      <w:pPr>
        <w:outlineLvl w:val="0"/>
        <w:rPr>
          <w:lang w:val="sk-SK"/>
        </w:rPr>
      </w:pPr>
      <w:r w:rsidRPr="00157521">
        <w:rPr>
          <w:lang w:val="sk-SK"/>
        </w:rPr>
        <w:t xml:space="preserve">Každá tableta obsahuje </w:t>
      </w:r>
      <w:r w:rsidR="006F0542" w:rsidRPr="00157521">
        <w:rPr>
          <w:lang w:val="sk-SK"/>
        </w:rPr>
        <w:t>10</w:t>
      </w:r>
      <w:r w:rsidRPr="00157521">
        <w:rPr>
          <w:lang w:val="sk-SK"/>
        </w:rPr>
        <w:t xml:space="preserve"> mg </w:t>
      </w:r>
      <w:proofErr w:type="spellStart"/>
      <w:r w:rsidRPr="00157521">
        <w:rPr>
          <w:lang w:val="sk-SK"/>
        </w:rPr>
        <w:t>lizinoprilu</w:t>
      </w:r>
      <w:proofErr w:type="spellEnd"/>
      <w:r w:rsidRPr="00157521">
        <w:rPr>
          <w:lang w:val="sk-SK"/>
        </w:rPr>
        <w:t xml:space="preserve"> (</w:t>
      </w:r>
      <w:r w:rsidR="00D82CE6" w:rsidRPr="00157521">
        <w:rPr>
          <w:szCs w:val="22"/>
          <w:lang w:val="sk-SK"/>
        </w:rPr>
        <w:t>vo forme</w:t>
      </w:r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dihydrát</w:t>
      </w:r>
      <w:r w:rsidR="00D82CE6" w:rsidRPr="00157521">
        <w:rPr>
          <w:szCs w:val="22"/>
          <w:lang w:val="sk-SK"/>
        </w:rPr>
        <w:t>u</w:t>
      </w:r>
      <w:proofErr w:type="spellEnd"/>
      <w:r w:rsidRPr="00157521">
        <w:rPr>
          <w:lang w:val="sk-SK"/>
        </w:rPr>
        <w:t>) a </w:t>
      </w:r>
      <w:r w:rsidR="006F0542" w:rsidRPr="00157521">
        <w:rPr>
          <w:lang w:val="sk-SK"/>
        </w:rPr>
        <w:t>5</w:t>
      </w:r>
      <w:r w:rsidRPr="00157521">
        <w:rPr>
          <w:lang w:val="sk-SK"/>
        </w:rPr>
        <w:t xml:space="preserve"> mg </w:t>
      </w:r>
      <w:proofErr w:type="spellStart"/>
      <w:r w:rsidRPr="00157521">
        <w:rPr>
          <w:lang w:val="sk-SK"/>
        </w:rPr>
        <w:t>amlodipínu</w:t>
      </w:r>
      <w:proofErr w:type="spellEnd"/>
      <w:r w:rsidRPr="00157521">
        <w:rPr>
          <w:lang w:val="sk-SK"/>
        </w:rPr>
        <w:t xml:space="preserve"> (</w:t>
      </w:r>
      <w:r w:rsidR="00D82CE6" w:rsidRPr="00157521">
        <w:rPr>
          <w:szCs w:val="22"/>
          <w:lang w:val="sk-SK"/>
        </w:rPr>
        <w:t>vo forme</w:t>
      </w:r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be</w:t>
      </w:r>
      <w:r w:rsidR="00CA7305" w:rsidRPr="00157521">
        <w:rPr>
          <w:szCs w:val="22"/>
          <w:lang w:val="sk-SK"/>
        </w:rPr>
        <w:t>si</w:t>
      </w:r>
      <w:r w:rsidRPr="00157521">
        <w:rPr>
          <w:szCs w:val="22"/>
          <w:lang w:val="sk-SK"/>
        </w:rPr>
        <w:t>lát</w:t>
      </w:r>
      <w:r w:rsidR="00D82CE6" w:rsidRPr="00157521">
        <w:rPr>
          <w:szCs w:val="22"/>
          <w:lang w:val="sk-SK"/>
        </w:rPr>
        <w:t>u</w:t>
      </w:r>
      <w:proofErr w:type="spellEnd"/>
      <w:r w:rsidR="007C71D5" w:rsidRPr="00157521">
        <w:rPr>
          <w:lang w:val="sk-SK"/>
        </w:rPr>
        <w:t>).</w:t>
      </w:r>
    </w:p>
    <w:p w14:paraId="264E32A8" w14:textId="77777777" w:rsidR="007C71D5" w:rsidRDefault="007C71D5" w:rsidP="009512D0">
      <w:pPr>
        <w:pStyle w:val="EMEAEnBodyText"/>
        <w:autoSpaceDE w:val="0"/>
        <w:autoSpaceDN w:val="0"/>
        <w:adjustRightInd w:val="0"/>
        <w:spacing w:before="0" w:after="0"/>
        <w:rPr>
          <w:lang w:val="sk-SK"/>
        </w:rPr>
      </w:pPr>
    </w:p>
    <w:p w14:paraId="264E32A9" w14:textId="77777777" w:rsidR="00CB6D9F" w:rsidRPr="00626091" w:rsidRDefault="00915D85" w:rsidP="00CB6D9F">
      <w:pPr>
        <w:spacing w:line="240" w:lineRule="auto"/>
        <w:rPr>
          <w:i/>
          <w:lang w:val="sk-SK"/>
        </w:rPr>
      </w:pPr>
      <w:r>
        <w:rPr>
          <w:i/>
          <w:lang w:val="sk-SK"/>
        </w:rPr>
        <w:t>DIRONORM</w:t>
      </w:r>
      <w:r w:rsidR="00CB6D9F">
        <w:rPr>
          <w:i/>
          <w:lang w:val="sk-SK"/>
        </w:rPr>
        <w:t xml:space="preserve"> </w:t>
      </w:r>
      <w:r w:rsidR="00D04A03">
        <w:rPr>
          <w:i/>
          <w:lang w:val="sk-SK"/>
        </w:rPr>
        <w:t>F</w:t>
      </w:r>
      <w:r>
        <w:rPr>
          <w:i/>
          <w:lang w:val="sk-SK"/>
        </w:rPr>
        <w:t>ORTE</w:t>
      </w:r>
      <w:r w:rsidR="00D04A03">
        <w:rPr>
          <w:i/>
          <w:lang w:val="sk-SK"/>
        </w:rPr>
        <w:t xml:space="preserve"> </w:t>
      </w:r>
      <w:r w:rsidR="00CB6D9F">
        <w:rPr>
          <w:i/>
          <w:lang w:val="sk-SK"/>
        </w:rPr>
        <w:t>2</w:t>
      </w:r>
      <w:r w:rsidR="00CB6D9F" w:rsidRPr="00626091">
        <w:rPr>
          <w:i/>
          <w:lang w:val="sk-SK"/>
        </w:rPr>
        <w:t>0 mg/</w:t>
      </w:r>
      <w:r w:rsidR="00CB6D9F">
        <w:rPr>
          <w:i/>
          <w:lang w:val="sk-SK"/>
        </w:rPr>
        <w:t>10</w:t>
      </w:r>
      <w:r w:rsidR="00CB6D9F" w:rsidRPr="00626091">
        <w:rPr>
          <w:i/>
          <w:lang w:val="sk-SK"/>
        </w:rPr>
        <w:t xml:space="preserve"> mg tablety:</w:t>
      </w:r>
    </w:p>
    <w:p w14:paraId="264E32AA" w14:textId="77777777" w:rsidR="00CB6D9F" w:rsidRPr="00157521" w:rsidRDefault="00CB6D9F" w:rsidP="00CB6D9F">
      <w:pPr>
        <w:outlineLvl w:val="0"/>
        <w:rPr>
          <w:lang w:val="sk-SK"/>
        </w:rPr>
      </w:pPr>
      <w:r w:rsidRPr="00157521">
        <w:rPr>
          <w:lang w:val="sk-SK"/>
        </w:rPr>
        <w:t xml:space="preserve">Každá tableta obsahuje </w:t>
      </w:r>
      <w:r>
        <w:rPr>
          <w:lang w:val="sk-SK"/>
        </w:rPr>
        <w:t>2</w:t>
      </w:r>
      <w:r w:rsidRPr="00157521">
        <w:rPr>
          <w:lang w:val="sk-SK"/>
        </w:rPr>
        <w:t xml:space="preserve">0 mg </w:t>
      </w:r>
      <w:proofErr w:type="spellStart"/>
      <w:r w:rsidRPr="00157521">
        <w:rPr>
          <w:lang w:val="sk-SK"/>
        </w:rPr>
        <w:t>lizinoprilu</w:t>
      </w:r>
      <w:proofErr w:type="spellEnd"/>
      <w:r w:rsidRPr="00157521">
        <w:rPr>
          <w:lang w:val="sk-SK"/>
        </w:rPr>
        <w:t xml:space="preserve"> (</w:t>
      </w:r>
      <w:r w:rsidRPr="00157521">
        <w:rPr>
          <w:szCs w:val="22"/>
          <w:lang w:val="sk-SK"/>
        </w:rPr>
        <w:t xml:space="preserve">vo forme </w:t>
      </w:r>
      <w:proofErr w:type="spellStart"/>
      <w:r w:rsidRPr="00157521">
        <w:rPr>
          <w:szCs w:val="22"/>
          <w:lang w:val="sk-SK"/>
        </w:rPr>
        <w:t>dihydrátu</w:t>
      </w:r>
      <w:proofErr w:type="spellEnd"/>
      <w:r w:rsidRPr="00157521">
        <w:rPr>
          <w:lang w:val="sk-SK"/>
        </w:rPr>
        <w:t>) a </w:t>
      </w:r>
      <w:r>
        <w:rPr>
          <w:lang w:val="sk-SK"/>
        </w:rPr>
        <w:t>10</w:t>
      </w:r>
      <w:r w:rsidRPr="00157521">
        <w:rPr>
          <w:lang w:val="sk-SK"/>
        </w:rPr>
        <w:t xml:space="preserve"> mg </w:t>
      </w:r>
      <w:proofErr w:type="spellStart"/>
      <w:r w:rsidRPr="00157521">
        <w:rPr>
          <w:lang w:val="sk-SK"/>
        </w:rPr>
        <w:t>amlodipínu</w:t>
      </w:r>
      <w:proofErr w:type="spellEnd"/>
      <w:r w:rsidRPr="00157521">
        <w:rPr>
          <w:lang w:val="sk-SK"/>
        </w:rPr>
        <w:t xml:space="preserve"> (</w:t>
      </w:r>
      <w:r w:rsidRPr="00157521">
        <w:rPr>
          <w:szCs w:val="22"/>
          <w:lang w:val="sk-SK"/>
        </w:rPr>
        <w:t xml:space="preserve">vo forme </w:t>
      </w:r>
      <w:proofErr w:type="spellStart"/>
      <w:r w:rsidRPr="00157521">
        <w:rPr>
          <w:szCs w:val="22"/>
          <w:lang w:val="sk-SK"/>
        </w:rPr>
        <w:t>besilátu</w:t>
      </w:r>
      <w:proofErr w:type="spellEnd"/>
      <w:r w:rsidRPr="00157521">
        <w:rPr>
          <w:lang w:val="sk-SK"/>
        </w:rPr>
        <w:t>).</w:t>
      </w:r>
    </w:p>
    <w:p w14:paraId="264E32AB" w14:textId="77777777" w:rsidR="00CB6D9F" w:rsidRPr="00157521" w:rsidRDefault="00CB6D9F" w:rsidP="009512D0">
      <w:pPr>
        <w:pStyle w:val="EMEAEnBodyText"/>
        <w:autoSpaceDE w:val="0"/>
        <w:autoSpaceDN w:val="0"/>
        <w:adjustRightInd w:val="0"/>
        <w:spacing w:before="0" w:after="0"/>
        <w:rPr>
          <w:lang w:val="sk-SK"/>
        </w:rPr>
      </w:pPr>
    </w:p>
    <w:p w14:paraId="264E32AC" w14:textId="77777777" w:rsidR="006C4926" w:rsidRDefault="006C4926" w:rsidP="009512D0">
      <w:pPr>
        <w:spacing w:line="240" w:lineRule="auto"/>
        <w:rPr>
          <w:lang w:val="sk-SK"/>
        </w:rPr>
      </w:pPr>
      <w:r>
        <w:rPr>
          <w:lang w:val="sk-SK"/>
        </w:rPr>
        <w:t>Pomocná látka so známym účinkom: sodík</w:t>
      </w:r>
    </w:p>
    <w:p w14:paraId="264E32AD" w14:textId="77777777" w:rsidR="00681759" w:rsidRPr="00157521" w:rsidRDefault="004A1F66" w:rsidP="009512D0">
      <w:pPr>
        <w:spacing w:line="240" w:lineRule="auto"/>
        <w:rPr>
          <w:lang w:val="sk-SK"/>
        </w:rPr>
      </w:pPr>
      <w:r w:rsidRPr="00157521">
        <w:rPr>
          <w:lang w:val="sk-SK"/>
        </w:rPr>
        <w:t>Úplný zoznam pomocných látok</w:t>
      </w:r>
      <w:r w:rsidR="00790F89" w:rsidRPr="00157521">
        <w:rPr>
          <w:lang w:val="sk-SK"/>
        </w:rPr>
        <w:t xml:space="preserve">, pozri časť </w:t>
      </w:r>
      <w:r w:rsidR="00681759" w:rsidRPr="00157521">
        <w:rPr>
          <w:lang w:val="sk-SK"/>
        </w:rPr>
        <w:t>6.1.</w:t>
      </w:r>
    </w:p>
    <w:p w14:paraId="264E32AE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AF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B0" w14:textId="77777777" w:rsidR="00681759" w:rsidRPr="00157521" w:rsidRDefault="00681759" w:rsidP="009512D0">
      <w:pPr>
        <w:spacing w:line="240" w:lineRule="auto"/>
        <w:ind w:left="567" w:hanging="567"/>
        <w:rPr>
          <w:b/>
          <w:caps/>
          <w:lang w:val="sk-SK"/>
        </w:rPr>
      </w:pPr>
      <w:r w:rsidRPr="00157521">
        <w:rPr>
          <w:b/>
          <w:lang w:val="sk-SK"/>
        </w:rPr>
        <w:t>3.</w:t>
      </w:r>
      <w:r w:rsidRPr="00157521">
        <w:rPr>
          <w:b/>
          <w:lang w:val="sk-SK"/>
        </w:rPr>
        <w:tab/>
      </w:r>
      <w:r w:rsidR="00790F89" w:rsidRPr="00157521">
        <w:rPr>
          <w:b/>
          <w:lang w:val="sk-SK"/>
        </w:rPr>
        <w:t xml:space="preserve">LIEKOVÁ </w:t>
      </w:r>
      <w:r w:rsidR="00790F89" w:rsidRPr="00157521">
        <w:rPr>
          <w:b/>
          <w:szCs w:val="22"/>
          <w:lang w:val="sk-SK"/>
        </w:rPr>
        <w:t>FOR</w:t>
      </w:r>
      <w:r w:rsidRPr="00157521">
        <w:rPr>
          <w:b/>
          <w:caps/>
          <w:szCs w:val="22"/>
          <w:lang w:val="sk-SK"/>
        </w:rPr>
        <w:t>m</w:t>
      </w:r>
      <w:r w:rsidR="00790F89" w:rsidRPr="00157521">
        <w:rPr>
          <w:b/>
          <w:caps/>
          <w:szCs w:val="22"/>
          <w:lang w:val="sk-SK"/>
        </w:rPr>
        <w:t>A</w:t>
      </w:r>
    </w:p>
    <w:p w14:paraId="264E32B1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B2" w14:textId="77777777" w:rsidR="00681759" w:rsidRPr="00157521" w:rsidRDefault="00681759" w:rsidP="00D8540D">
      <w:pPr>
        <w:outlineLvl w:val="0"/>
        <w:rPr>
          <w:lang w:val="pl-PL"/>
        </w:rPr>
      </w:pPr>
      <w:r w:rsidRPr="00157521">
        <w:rPr>
          <w:lang w:val="pl-PL"/>
        </w:rPr>
        <w:t>Tablet</w:t>
      </w:r>
      <w:r w:rsidR="00EB74E9" w:rsidRPr="00157521">
        <w:rPr>
          <w:lang w:val="pl-PL"/>
        </w:rPr>
        <w:t>a</w:t>
      </w:r>
      <w:r w:rsidR="006F0542" w:rsidRPr="00157521">
        <w:rPr>
          <w:lang w:val="pl-PL"/>
        </w:rPr>
        <w:t xml:space="preserve"> </w:t>
      </w:r>
    </w:p>
    <w:p w14:paraId="264E32B3" w14:textId="77777777" w:rsidR="00681759" w:rsidRDefault="00681759" w:rsidP="00D8540D">
      <w:pPr>
        <w:rPr>
          <w:lang w:val="pl-PL"/>
        </w:rPr>
      </w:pPr>
    </w:p>
    <w:p w14:paraId="264E32B4" w14:textId="77777777" w:rsidR="00CB6D9F" w:rsidRPr="00496A47" w:rsidRDefault="00915D85" w:rsidP="00CB6D9F">
      <w:pPr>
        <w:spacing w:line="240" w:lineRule="auto"/>
        <w:rPr>
          <w:i/>
          <w:lang w:val="sk-SK"/>
        </w:rPr>
      </w:pPr>
      <w:r>
        <w:rPr>
          <w:i/>
          <w:lang w:val="sk-SK"/>
        </w:rPr>
        <w:t>DIRONORM</w:t>
      </w:r>
      <w:r w:rsidR="00CB6D9F" w:rsidRPr="007A0748">
        <w:rPr>
          <w:i/>
          <w:lang w:val="sk-SK"/>
        </w:rPr>
        <w:t xml:space="preserve"> </w:t>
      </w:r>
      <w:r w:rsidR="00D04A03" w:rsidRPr="003F7DD0">
        <w:rPr>
          <w:i/>
          <w:lang w:val="sk-SK"/>
        </w:rPr>
        <w:t xml:space="preserve">tablety, </w:t>
      </w:r>
      <w:r w:rsidR="00CB6D9F" w:rsidRPr="007A0748">
        <w:rPr>
          <w:i/>
          <w:lang w:val="sk-SK"/>
        </w:rPr>
        <w:t>10 mg/5 mg</w:t>
      </w:r>
      <w:r w:rsidR="00CB6D9F" w:rsidRPr="00496A47">
        <w:rPr>
          <w:i/>
          <w:lang w:val="sk-SK"/>
        </w:rPr>
        <w:t>:</w:t>
      </w:r>
    </w:p>
    <w:p w14:paraId="264E32B5" w14:textId="77777777" w:rsidR="006F0542" w:rsidRPr="00157521" w:rsidRDefault="006F0542" w:rsidP="006F0542">
      <w:pPr>
        <w:rPr>
          <w:lang w:val="pl-PL"/>
        </w:rPr>
      </w:pPr>
      <w:r w:rsidRPr="00157521">
        <w:rPr>
          <w:lang w:val="pl-PL"/>
        </w:rPr>
        <w:t>Biel</w:t>
      </w:r>
      <w:r w:rsidR="00D04A03">
        <w:rPr>
          <w:lang w:val="pl-PL"/>
        </w:rPr>
        <w:t>e</w:t>
      </w:r>
      <w:r w:rsidR="00C77C4B" w:rsidRPr="00157521">
        <w:rPr>
          <w:lang w:val="pl-PL"/>
        </w:rPr>
        <w:t xml:space="preserve"> alebo takmer </w:t>
      </w:r>
      <w:r w:rsidRPr="00157521">
        <w:rPr>
          <w:lang w:val="pl-PL"/>
        </w:rPr>
        <w:t>biel</w:t>
      </w:r>
      <w:r w:rsidR="00D04A03">
        <w:rPr>
          <w:lang w:val="pl-PL"/>
        </w:rPr>
        <w:t>e</w:t>
      </w:r>
      <w:r w:rsidRPr="00157521">
        <w:rPr>
          <w:lang w:val="pl-PL"/>
        </w:rPr>
        <w:t xml:space="preserve"> okrúhl</w:t>
      </w:r>
      <w:r w:rsidR="00D04A03">
        <w:rPr>
          <w:lang w:val="pl-PL"/>
        </w:rPr>
        <w:t>e</w:t>
      </w:r>
      <w:r w:rsidRPr="00157521">
        <w:rPr>
          <w:lang w:val="pl-PL"/>
        </w:rPr>
        <w:t xml:space="preserve"> ploch</w:t>
      </w:r>
      <w:r w:rsidR="00D04A03">
        <w:rPr>
          <w:lang w:val="pl-PL"/>
        </w:rPr>
        <w:t>é</w:t>
      </w:r>
      <w:r w:rsidRPr="00157521">
        <w:rPr>
          <w:lang w:val="pl-PL"/>
        </w:rPr>
        <w:t xml:space="preserve"> tablet</w:t>
      </w:r>
      <w:r w:rsidR="00D04A03">
        <w:rPr>
          <w:lang w:val="pl-PL"/>
        </w:rPr>
        <w:t>y</w:t>
      </w:r>
      <w:r w:rsidRPr="00157521">
        <w:rPr>
          <w:lang w:val="pl-PL"/>
        </w:rPr>
        <w:t xml:space="preserve"> so skosenými hranami s </w:t>
      </w:r>
      <w:r w:rsidR="00E725E5" w:rsidRPr="00157521">
        <w:rPr>
          <w:lang w:val="pl-PL"/>
        </w:rPr>
        <w:t>de</w:t>
      </w:r>
      <w:r w:rsidRPr="00157521">
        <w:rPr>
          <w:lang w:val="pl-PL"/>
        </w:rPr>
        <w:t>liacou ryhou na</w:t>
      </w:r>
      <w:r w:rsidR="00C77C4B" w:rsidRPr="00157521">
        <w:rPr>
          <w:lang w:val="pl-PL"/>
        </w:rPr>
        <w:t xml:space="preserve"> jednej strane </w:t>
      </w:r>
      <w:r w:rsidRPr="00157521">
        <w:rPr>
          <w:lang w:val="pl-PL"/>
        </w:rPr>
        <w:t xml:space="preserve">a s vyrytým „A+L“ na </w:t>
      </w:r>
      <w:r w:rsidR="006B22F1">
        <w:rPr>
          <w:lang w:val="pl-PL"/>
        </w:rPr>
        <w:t xml:space="preserve">druhej </w:t>
      </w:r>
      <w:r w:rsidRPr="00157521">
        <w:rPr>
          <w:lang w:val="pl-PL"/>
        </w:rPr>
        <w:t>strane</w:t>
      </w:r>
      <w:r w:rsidR="00CB6D9F">
        <w:rPr>
          <w:lang w:val="pl-PL"/>
        </w:rPr>
        <w:t>,</w:t>
      </w:r>
      <w:r w:rsidRPr="00157521">
        <w:rPr>
          <w:lang w:val="pl-PL"/>
        </w:rPr>
        <w:t xml:space="preserve"> </w:t>
      </w:r>
      <w:r w:rsidR="00CB6D9F">
        <w:rPr>
          <w:lang w:val="pl-PL"/>
        </w:rPr>
        <w:t>s p</w:t>
      </w:r>
      <w:r w:rsidRPr="00157521">
        <w:rPr>
          <w:lang w:val="pl-PL"/>
        </w:rPr>
        <w:t>riemer</w:t>
      </w:r>
      <w:r w:rsidR="00CB6D9F">
        <w:rPr>
          <w:lang w:val="pl-PL"/>
        </w:rPr>
        <w:t>om</w:t>
      </w:r>
      <w:r w:rsidRPr="00157521">
        <w:rPr>
          <w:lang w:val="pl-PL"/>
        </w:rPr>
        <w:t xml:space="preserve"> približne 8 mm.</w:t>
      </w:r>
    </w:p>
    <w:p w14:paraId="264E32B6" w14:textId="77777777" w:rsidR="00211A31" w:rsidRPr="005C2ABB" w:rsidRDefault="0048477A" w:rsidP="00D8540D">
      <w:pPr>
        <w:pStyle w:val="Zkladntext"/>
        <w:rPr>
          <w:i w:val="0"/>
          <w:color w:val="auto"/>
          <w:lang w:val="pl-PL"/>
        </w:rPr>
      </w:pPr>
      <w:r w:rsidRPr="005C2ABB">
        <w:rPr>
          <w:i w:val="0"/>
          <w:noProof/>
          <w:color w:val="auto"/>
          <w:szCs w:val="22"/>
          <w:lang w:val="sk-SK"/>
        </w:rPr>
        <w:t>Deliaca ryha iba pomáha rozlomiť tabletu, aby sa dala ľahšie prehltnúť a neslúži na rozdelenie na rovnaké dávky.</w:t>
      </w:r>
    </w:p>
    <w:p w14:paraId="264E32B7" w14:textId="77777777" w:rsidR="00211A31" w:rsidRDefault="00211A31" w:rsidP="009512D0">
      <w:pPr>
        <w:spacing w:line="240" w:lineRule="auto"/>
        <w:rPr>
          <w:lang w:val="sk-SK"/>
        </w:rPr>
      </w:pPr>
    </w:p>
    <w:p w14:paraId="264E32B8" w14:textId="77777777" w:rsidR="00D04A03" w:rsidRPr="00626091" w:rsidRDefault="00915D85" w:rsidP="00D04A03">
      <w:pPr>
        <w:spacing w:line="240" w:lineRule="auto"/>
        <w:rPr>
          <w:i/>
          <w:lang w:val="sk-SK"/>
        </w:rPr>
      </w:pPr>
      <w:r>
        <w:rPr>
          <w:i/>
          <w:lang w:val="sk-SK"/>
        </w:rPr>
        <w:t>DIRONORM</w:t>
      </w:r>
      <w:r w:rsidR="00D04A03">
        <w:rPr>
          <w:i/>
          <w:lang w:val="sk-SK"/>
        </w:rPr>
        <w:t xml:space="preserve"> F</w:t>
      </w:r>
      <w:r>
        <w:rPr>
          <w:i/>
          <w:lang w:val="sk-SK"/>
        </w:rPr>
        <w:t>ORTE</w:t>
      </w:r>
      <w:r w:rsidR="00D04A03">
        <w:rPr>
          <w:i/>
          <w:lang w:val="sk-SK"/>
        </w:rPr>
        <w:t xml:space="preserve"> 2</w:t>
      </w:r>
      <w:r w:rsidR="00D04A03" w:rsidRPr="00626091">
        <w:rPr>
          <w:i/>
          <w:lang w:val="sk-SK"/>
        </w:rPr>
        <w:t>0 mg/</w:t>
      </w:r>
      <w:r w:rsidR="00D04A03">
        <w:rPr>
          <w:i/>
          <w:lang w:val="sk-SK"/>
        </w:rPr>
        <w:t>10</w:t>
      </w:r>
      <w:r w:rsidR="00D04A03" w:rsidRPr="00626091">
        <w:rPr>
          <w:i/>
          <w:lang w:val="sk-SK"/>
        </w:rPr>
        <w:t xml:space="preserve"> mg tablety:</w:t>
      </w:r>
    </w:p>
    <w:p w14:paraId="264E32B9" w14:textId="77777777" w:rsidR="00CB6D9F" w:rsidRPr="00AF5E2C" w:rsidRDefault="00CB6D9F" w:rsidP="00CB6D9F">
      <w:pPr>
        <w:rPr>
          <w:szCs w:val="22"/>
          <w:lang w:val="sk-SK"/>
        </w:rPr>
      </w:pPr>
      <w:r w:rsidRPr="00AF5E2C">
        <w:rPr>
          <w:rFonts w:cs="TimesNewRoman"/>
          <w:color w:val="000000"/>
          <w:szCs w:val="22"/>
          <w:lang w:val="sk-SK"/>
        </w:rPr>
        <w:t>Biel</w:t>
      </w:r>
      <w:r w:rsidR="00B451CA">
        <w:rPr>
          <w:rFonts w:cs="TimesNewRoman"/>
          <w:color w:val="000000"/>
          <w:szCs w:val="22"/>
          <w:lang w:val="sk-SK"/>
        </w:rPr>
        <w:t>e</w:t>
      </w:r>
      <w:r>
        <w:rPr>
          <w:rFonts w:cs="TimesNewRoman"/>
          <w:color w:val="000000"/>
          <w:szCs w:val="22"/>
          <w:lang w:val="sk-SK"/>
        </w:rPr>
        <w:t xml:space="preserve"> alebo takmer biel</w:t>
      </w:r>
      <w:r w:rsidR="00B451CA">
        <w:rPr>
          <w:rFonts w:cs="TimesNewRoman"/>
          <w:color w:val="000000"/>
          <w:szCs w:val="22"/>
          <w:lang w:val="sk-SK"/>
        </w:rPr>
        <w:t>e</w:t>
      </w:r>
      <w:r>
        <w:rPr>
          <w:rFonts w:cs="TimesNewRoman"/>
          <w:color w:val="000000"/>
          <w:szCs w:val="22"/>
          <w:lang w:val="sk-SK"/>
        </w:rPr>
        <w:t xml:space="preserve"> okrúhl</w:t>
      </w:r>
      <w:r w:rsidR="00B451CA">
        <w:rPr>
          <w:rFonts w:cs="TimesNewRoman"/>
          <w:color w:val="000000"/>
          <w:szCs w:val="22"/>
          <w:lang w:val="sk-SK"/>
        </w:rPr>
        <w:t>e</w:t>
      </w:r>
      <w:r>
        <w:rPr>
          <w:rFonts w:cs="TimesNewRoman"/>
          <w:color w:val="000000"/>
          <w:szCs w:val="22"/>
          <w:lang w:val="sk-SK"/>
        </w:rPr>
        <w:t xml:space="preserve"> obojstranne vypukl</w:t>
      </w:r>
      <w:r w:rsidR="00B451CA">
        <w:rPr>
          <w:rFonts w:cs="TimesNewRoman"/>
          <w:color w:val="000000"/>
          <w:szCs w:val="22"/>
          <w:lang w:val="sk-SK"/>
        </w:rPr>
        <w:t>é</w:t>
      </w:r>
      <w:r w:rsidRPr="00AF5E2C">
        <w:rPr>
          <w:rFonts w:cs="TimesNewRoman"/>
          <w:color w:val="000000"/>
          <w:szCs w:val="22"/>
          <w:lang w:val="sk-SK"/>
        </w:rPr>
        <w:t xml:space="preserve"> </w:t>
      </w:r>
      <w:r>
        <w:rPr>
          <w:szCs w:val="22"/>
          <w:lang w:val="sk-SK"/>
        </w:rPr>
        <w:t>tablet</w:t>
      </w:r>
      <w:r w:rsidR="00B451CA">
        <w:rPr>
          <w:szCs w:val="22"/>
          <w:lang w:val="sk-SK"/>
        </w:rPr>
        <w:t>y</w:t>
      </w:r>
      <w:r w:rsidRPr="00AF5E2C">
        <w:rPr>
          <w:szCs w:val="22"/>
          <w:lang w:val="sk-SK"/>
        </w:rPr>
        <w:t xml:space="preserve"> s vyrytým </w:t>
      </w:r>
      <w:r>
        <w:rPr>
          <w:szCs w:val="22"/>
          <w:lang w:val="sk-SK"/>
        </w:rPr>
        <w:t>„CF3“</w:t>
      </w:r>
      <w:r w:rsidRPr="00AF5E2C">
        <w:rPr>
          <w:szCs w:val="22"/>
          <w:lang w:val="sk-SK"/>
        </w:rPr>
        <w:t xml:space="preserve"> </w:t>
      </w:r>
      <w:r w:rsidR="00B451CA" w:rsidRPr="00AF5E2C">
        <w:rPr>
          <w:szCs w:val="22"/>
          <w:lang w:val="sk-SK"/>
        </w:rPr>
        <w:t xml:space="preserve">na jednej strane </w:t>
      </w:r>
      <w:r w:rsidRPr="00AF5E2C">
        <w:rPr>
          <w:szCs w:val="22"/>
          <w:lang w:val="sk-SK"/>
        </w:rPr>
        <w:t xml:space="preserve">a s druhou stranou hladkou, </w:t>
      </w:r>
      <w:r>
        <w:rPr>
          <w:szCs w:val="22"/>
          <w:lang w:val="sk-SK"/>
        </w:rPr>
        <w:t xml:space="preserve">s </w:t>
      </w:r>
      <w:r w:rsidRPr="00AF5E2C">
        <w:rPr>
          <w:szCs w:val="22"/>
          <w:lang w:val="sk-SK"/>
        </w:rPr>
        <w:t>priemer</w:t>
      </w:r>
      <w:r>
        <w:rPr>
          <w:szCs w:val="22"/>
          <w:lang w:val="sk-SK"/>
        </w:rPr>
        <w:t>om</w:t>
      </w:r>
      <w:r w:rsidRPr="00AF5E2C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približne </w:t>
      </w:r>
      <w:r w:rsidRPr="00AF5E2C">
        <w:rPr>
          <w:szCs w:val="22"/>
          <w:lang w:val="sk-SK"/>
        </w:rPr>
        <w:t>11 mm.</w:t>
      </w:r>
    </w:p>
    <w:p w14:paraId="264E32BA" w14:textId="77777777" w:rsidR="00CB6D9F" w:rsidRPr="00CB6D9F" w:rsidRDefault="00CB6D9F" w:rsidP="009512D0">
      <w:pPr>
        <w:spacing w:line="240" w:lineRule="auto"/>
        <w:rPr>
          <w:lang w:val="sk-SK"/>
        </w:rPr>
      </w:pPr>
    </w:p>
    <w:p w14:paraId="264E32BB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BC" w14:textId="77777777" w:rsidR="00681759" w:rsidRPr="00157521" w:rsidRDefault="00681759" w:rsidP="009512D0">
      <w:pPr>
        <w:spacing w:line="240" w:lineRule="auto"/>
        <w:ind w:left="567" w:hanging="567"/>
        <w:rPr>
          <w:caps/>
          <w:lang w:val="sk-SK"/>
        </w:rPr>
      </w:pPr>
      <w:r w:rsidRPr="00157521">
        <w:rPr>
          <w:b/>
          <w:caps/>
          <w:lang w:val="sk-SK"/>
        </w:rPr>
        <w:t>4.</w:t>
      </w:r>
      <w:r w:rsidRPr="00157521">
        <w:rPr>
          <w:b/>
          <w:caps/>
          <w:lang w:val="sk-SK"/>
        </w:rPr>
        <w:tab/>
      </w:r>
      <w:r w:rsidR="0009157A" w:rsidRPr="00157521">
        <w:rPr>
          <w:b/>
          <w:lang w:val="sk-SK"/>
        </w:rPr>
        <w:t>KLINICKÉ ÚDAJE</w:t>
      </w:r>
    </w:p>
    <w:p w14:paraId="264E32BD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BE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4.1</w:t>
      </w:r>
      <w:r w:rsidRPr="00157521">
        <w:rPr>
          <w:b/>
          <w:lang w:val="sk-SK"/>
        </w:rPr>
        <w:tab/>
      </w:r>
      <w:r w:rsidR="0009157A" w:rsidRPr="00157521">
        <w:rPr>
          <w:b/>
          <w:lang w:val="sk-SK"/>
        </w:rPr>
        <w:t>Terapeutické indikácie</w:t>
      </w:r>
    </w:p>
    <w:p w14:paraId="264E32BF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C0" w14:textId="77777777" w:rsidR="00681759" w:rsidRPr="00157521" w:rsidRDefault="0009157A" w:rsidP="009512D0">
      <w:pPr>
        <w:spacing w:line="240" w:lineRule="auto"/>
        <w:jc w:val="both"/>
        <w:rPr>
          <w:lang w:val="sk-SK"/>
        </w:rPr>
      </w:pPr>
      <w:r w:rsidRPr="00157521">
        <w:rPr>
          <w:lang w:val="sk-SK"/>
        </w:rPr>
        <w:t>Liečba esenciálnej hypertenzie</w:t>
      </w:r>
      <w:r w:rsidR="00D8540D" w:rsidRPr="00157521">
        <w:rPr>
          <w:lang w:val="sk-SK"/>
        </w:rPr>
        <w:t xml:space="preserve"> u dospelých</w:t>
      </w:r>
      <w:r w:rsidR="00681759" w:rsidRPr="00157521">
        <w:rPr>
          <w:lang w:val="sk-SK"/>
        </w:rPr>
        <w:t>.</w:t>
      </w:r>
    </w:p>
    <w:p w14:paraId="264E32C1" w14:textId="77777777" w:rsidR="00681759" w:rsidRPr="00157521" w:rsidRDefault="00681759" w:rsidP="009512D0">
      <w:pPr>
        <w:spacing w:line="240" w:lineRule="auto"/>
        <w:jc w:val="both"/>
        <w:rPr>
          <w:lang w:val="sk-SK"/>
        </w:rPr>
      </w:pPr>
    </w:p>
    <w:p w14:paraId="264E32C2" w14:textId="77777777" w:rsidR="00681759" w:rsidRPr="00157521" w:rsidRDefault="00915D85" w:rsidP="00D8540D">
      <w:pPr>
        <w:rPr>
          <w:lang w:val="sk-SK"/>
        </w:rPr>
      </w:pPr>
      <w:r>
        <w:rPr>
          <w:lang w:val="sk-SK"/>
        </w:rPr>
        <w:t>DIRONORM</w:t>
      </w:r>
      <w:r w:rsidR="00681759" w:rsidRPr="00157521">
        <w:rPr>
          <w:lang w:val="sk-SK"/>
        </w:rPr>
        <w:t xml:space="preserve"> </w:t>
      </w:r>
      <w:r w:rsidR="004A79F9" w:rsidRPr="00157521">
        <w:rPr>
          <w:lang w:val="sk-SK"/>
        </w:rPr>
        <w:t xml:space="preserve">je </w:t>
      </w:r>
      <w:r w:rsidR="0009157A" w:rsidRPr="00157521">
        <w:rPr>
          <w:lang w:val="sk-SK"/>
        </w:rPr>
        <w:t>indikovan</w:t>
      </w:r>
      <w:r w:rsidR="004A79F9" w:rsidRPr="00157521">
        <w:rPr>
          <w:lang w:val="sk-SK"/>
        </w:rPr>
        <w:t>ý</w:t>
      </w:r>
      <w:r w:rsidR="0009157A" w:rsidRPr="00157521">
        <w:rPr>
          <w:lang w:val="sk-SK"/>
        </w:rPr>
        <w:t xml:space="preserve"> ako substitučná liečba </w:t>
      </w:r>
      <w:r w:rsidR="00D8540D" w:rsidRPr="00157521">
        <w:rPr>
          <w:lang w:val="sk-SK"/>
        </w:rPr>
        <w:t xml:space="preserve">dospelých </w:t>
      </w:r>
      <w:r w:rsidR="0009157A" w:rsidRPr="00157521">
        <w:rPr>
          <w:lang w:val="sk-SK"/>
        </w:rPr>
        <w:t xml:space="preserve">pacientov s krvným tlakom adekvátne </w:t>
      </w:r>
      <w:r w:rsidR="0009157A" w:rsidRPr="007A0748">
        <w:rPr>
          <w:lang w:val="sk-SK"/>
        </w:rPr>
        <w:t>kontrolovaný</w:t>
      </w:r>
      <w:r w:rsidR="0009157A" w:rsidRPr="00496A47">
        <w:rPr>
          <w:lang w:val="sk-SK"/>
        </w:rPr>
        <w:t xml:space="preserve">m </w:t>
      </w:r>
      <w:proofErr w:type="spellStart"/>
      <w:r w:rsidR="0009157A" w:rsidRPr="00496A47">
        <w:rPr>
          <w:lang w:val="sk-SK"/>
        </w:rPr>
        <w:t>lizinoprilom</w:t>
      </w:r>
      <w:proofErr w:type="spellEnd"/>
      <w:r w:rsidR="0009157A" w:rsidRPr="00496A47">
        <w:rPr>
          <w:lang w:val="sk-SK"/>
        </w:rPr>
        <w:t xml:space="preserve"> a </w:t>
      </w:r>
      <w:proofErr w:type="spellStart"/>
      <w:r w:rsidR="0009157A" w:rsidRPr="00496A47">
        <w:rPr>
          <w:lang w:val="sk-SK"/>
        </w:rPr>
        <w:t>amlodipínom</w:t>
      </w:r>
      <w:proofErr w:type="spellEnd"/>
      <w:r w:rsidR="0009157A" w:rsidRPr="00496A47">
        <w:rPr>
          <w:lang w:val="sk-SK"/>
        </w:rPr>
        <w:t>, ktoré sa podávajú súčasne v tých istých dávkach</w:t>
      </w:r>
      <w:r w:rsidR="00681759" w:rsidRPr="00157521">
        <w:rPr>
          <w:lang w:val="sk-SK"/>
        </w:rPr>
        <w:t>.</w:t>
      </w:r>
    </w:p>
    <w:p w14:paraId="264E32C3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C4" w14:textId="77777777" w:rsidR="00681759" w:rsidRPr="00157521" w:rsidRDefault="00681759" w:rsidP="009512D0">
      <w:pPr>
        <w:spacing w:line="240" w:lineRule="auto"/>
        <w:ind w:left="567" w:hanging="567"/>
        <w:rPr>
          <w:b/>
          <w:lang w:val="sk-SK"/>
        </w:rPr>
      </w:pPr>
      <w:r w:rsidRPr="00157521">
        <w:rPr>
          <w:b/>
          <w:lang w:val="sk-SK"/>
        </w:rPr>
        <w:t>4.2</w:t>
      </w:r>
      <w:r w:rsidRPr="00157521">
        <w:rPr>
          <w:b/>
          <w:lang w:val="sk-SK"/>
        </w:rPr>
        <w:tab/>
      </w:r>
      <w:r w:rsidR="0009157A" w:rsidRPr="00157521">
        <w:rPr>
          <w:b/>
          <w:lang w:val="sk-SK"/>
        </w:rPr>
        <w:t>Dávkovanie a spôsob podávania</w:t>
      </w:r>
    </w:p>
    <w:p w14:paraId="264E32C5" w14:textId="77777777" w:rsidR="00681759" w:rsidRPr="00157521" w:rsidRDefault="00681759" w:rsidP="0009157A">
      <w:pPr>
        <w:tabs>
          <w:tab w:val="clear" w:pos="567"/>
          <w:tab w:val="left" w:pos="2459"/>
        </w:tabs>
        <w:spacing w:line="240" w:lineRule="auto"/>
        <w:ind w:left="567" w:hanging="567"/>
        <w:rPr>
          <w:szCs w:val="22"/>
          <w:lang w:val="sk-SK"/>
        </w:rPr>
      </w:pPr>
    </w:p>
    <w:p w14:paraId="264E32C6" w14:textId="77777777" w:rsidR="00C4280E" w:rsidRPr="00157521" w:rsidRDefault="00C4280E" w:rsidP="00C4280E">
      <w:pPr>
        <w:tabs>
          <w:tab w:val="left" w:pos="708"/>
        </w:tabs>
        <w:autoSpaceDE w:val="0"/>
        <w:autoSpaceDN w:val="0"/>
        <w:adjustRightInd w:val="0"/>
        <w:rPr>
          <w:szCs w:val="22"/>
          <w:u w:val="single"/>
          <w:lang w:val="sk-SK"/>
        </w:rPr>
      </w:pPr>
      <w:r w:rsidRPr="00157521">
        <w:rPr>
          <w:szCs w:val="22"/>
          <w:u w:val="single"/>
          <w:lang w:val="sk-SK"/>
        </w:rPr>
        <w:t>Dávkovanie</w:t>
      </w:r>
    </w:p>
    <w:p w14:paraId="264E32C7" w14:textId="77777777" w:rsidR="00C4280E" w:rsidRPr="00157521" w:rsidRDefault="00C4280E" w:rsidP="009512D0">
      <w:pPr>
        <w:spacing w:line="240" w:lineRule="auto"/>
        <w:rPr>
          <w:szCs w:val="22"/>
          <w:lang w:val="sk-SK"/>
        </w:rPr>
      </w:pPr>
    </w:p>
    <w:p w14:paraId="264E32C8" w14:textId="77777777" w:rsidR="00892F32" w:rsidRPr="00157521" w:rsidRDefault="0009157A" w:rsidP="009512D0">
      <w:pPr>
        <w:spacing w:line="240" w:lineRule="auto"/>
        <w:rPr>
          <w:lang w:val="pl-PL"/>
        </w:rPr>
      </w:pPr>
      <w:r w:rsidRPr="00157521">
        <w:rPr>
          <w:szCs w:val="22"/>
          <w:lang w:val="sk-SK"/>
        </w:rPr>
        <w:t>Dávka</w:t>
      </w:r>
      <w:r w:rsidRPr="00157521">
        <w:rPr>
          <w:lang w:val="sk-SK"/>
        </w:rPr>
        <w:t xml:space="preserve"> je jedna tableta denne. Maximálna denná dávka je jedna tableta. </w:t>
      </w:r>
      <w:r w:rsidR="00892F32" w:rsidRPr="00157521">
        <w:rPr>
          <w:lang w:val="pl-PL"/>
        </w:rPr>
        <w:t xml:space="preserve">Vo všeobecnosti kombinované lieky s fixnými dávkami nie sú vhodné pre </w:t>
      </w:r>
      <w:r w:rsidR="00D135F5" w:rsidRPr="00157521">
        <w:rPr>
          <w:lang w:val="pl-PL"/>
        </w:rPr>
        <w:t>počiatočnú</w:t>
      </w:r>
      <w:r w:rsidR="00892F32" w:rsidRPr="00157521">
        <w:rPr>
          <w:lang w:val="pl-PL"/>
        </w:rPr>
        <w:t xml:space="preserve"> liečbu.</w:t>
      </w:r>
    </w:p>
    <w:p w14:paraId="264E32C9" w14:textId="77777777" w:rsidR="00CB6D9F" w:rsidRDefault="00915D85" w:rsidP="009512D0">
      <w:pPr>
        <w:spacing w:line="240" w:lineRule="auto"/>
        <w:rPr>
          <w:szCs w:val="22"/>
          <w:lang w:val="sk-SK"/>
        </w:rPr>
      </w:pPr>
      <w:r>
        <w:rPr>
          <w:lang w:val="sk-SK"/>
        </w:rPr>
        <w:lastRenderedPageBreak/>
        <w:t>DIRONORM</w:t>
      </w:r>
      <w:r w:rsidR="00C4280E" w:rsidRPr="00157521">
        <w:rPr>
          <w:lang w:val="sk-SK"/>
        </w:rPr>
        <w:t xml:space="preserve"> </w:t>
      </w:r>
      <w:r w:rsidR="00C4280E" w:rsidRPr="00157521">
        <w:rPr>
          <w:szCs w:val="22"/>
          <w:lang w:val="sk-SK"/>
        </w:rPr>
        <w:t xml:space="preserve">je indikovaný iba u pacientov, u ktorých bola optimálna udržiavacia dávka </w:t>
      </w:r>
      <w:proofErr w:type="spellStart"/>
      <w:r w:rsidR="00C4280E" w:rsidRPr="00157521">
        <w:rPr>
          <w:szCs w:val="22"/>
          <w:lang w:val="sk-SK"/>
        </w:rPr>
        <w:t>lizinoprilu</w:t>
      </w:r>
      <w:proofErr w:type="spellEnd"/>
      <w:r w:rsidR="00C4280E" w:rsidRPr="00157521">
        <w:rPr>
          <w:szCs w:val="22"/>
          <w:lang w:val="sk-SK"/>
        </w:rPr>
        <w:t xml:space="preserve"> a </w:t>
      </w:r>
      <w:proofErr w:type="spellStart"/>
      <w:r w:rsidR="00C4280E" w:rsidRPr="00157521">
        <w:rPr>
          <w:szCs w:val="22"/>
          <w:lang w:val="sk-SK"/>
        </w:rPr>
        <w:t>amlodipínu</w:t>
      </w:r>
      <w:proofErr w:type="spellEnd"/>
      <w:r w:rsidR="00C4280E" w:rsidRPr="00157521">
        <w:rPr>
          <w:szCs w:val="22"/>
          <w:lang w:val="sk-SK"/>
        </w:rPr>
        <w:t xml:space="preserve"> </w:t>
      </w:r>
      <w:proofErr w:type="spellStart"/>
      <w:r w:rsidR="00C4280E" w:rsidRPr="00157521">
        <w:rPr>
          <w:szCs w:val="22"/>
          <w:lang w:val="sk-SK"/>
        </w:rPr>
        <w:t>vytitrovaná</w:t>
      </w:r>
      <w:proofErr w:type="spellEnd"/>
      <w:r w:rsidR="00C4280E" w:rsidRPr="00157521">
        <w:rPr>
          <w:szCs w:val="22"/>
          <w:lang w:val="sk-SK"/>
        </w:rPr>
        <w:t xml:space="preserve"> na </w:t>
      </w:r>
      <w:r w:rsidR="00D135F5" w:rsidRPr="00157521">
        <w:rPr>
          <w:szCs w:val="22"/>
          <w:lang w:val="sk-SK"/>
        </w:rPr>
        <w:t>1</w:t>
      </w:r>
      <w:r w:rsidR="00C4280E" w:rsidRPr="00157521">
        <w:rPr>
          <w:szCs w:val="22"/>
          <w:lang w:val="sk-SK"/>
        </w:rPr>
        <w:t xml:space="preserve">0 mg a </w:t>
      </w:r>
      <w:r w:rsidR="00D135F5" w:rsidRPr="00157521">
        <w:rPr>
          <w:szCs w:val="22"/>
          <w:lang w:val="sk-SK"/>
        </w:rPr>
        <w:t>5</w:t>
      </w:r>
      <w:r w:rsidR="00C4280E" w:rsidRPr="00157521">
        <w:rPr>
          <w:szCs w:val="22"/>
          <w:lang w:val="sk-SK"/>
        </w:rPr>
        <w:t xml:space="preserve"> mg</w:t>
      </w:r>
      <w:r w:rsidR="002F65C9">
        <w:rPr>
          <w:szCs w:val="22"/>
          <w:lang w:val="sk-SK"/>
        </w:rPr>
        <w:t xml:space="preserve"> v prípade </w:t>
      </w:r>
      <w:r>
        <w:rPr>
          <w:szCs w:val="22"/>
          <w:lang w:val="sk-SK"/>
        </w:rPr>
        <w:t>DIRONORMU</w:t>
      </w:r>
      <w:r w:rsidR="002F65C9">
        <w:rPr>
          <w:szCs w:val="22"/>
          <w:lang w:val="sk-SK"/>
        </w:rPr>
        <w:t xml:space="preserve"> 10 mg/5 mg</w:t>
      </w:r>
      <w:r w:rsidR="0074736D">
        <w:rPr>
          <w:szCs w:val="22"/>
          <w:lang w:val="sk-SK"/>
        </w:rPr>
        <w:t xml:space="preserve"> a</w:t>
      </w:r>
      <w:r w:rsidR="002F65C9">
        <w:rPr>
          <w:szCs w:val="22"/>
          <w:lang w:val="sk-SK"/>
        </w:rPr>
        <w:t xml:space="preserve"> 20 mg a 10 mg v prípade </w:t>
      </w:r>
      <w:r>
        <w:rPr>
          <w:szCs w:val="22"/>
          <w:lang w:val="sk-SK"/>
        </w:rPr>
        <w:t>DIRONORMU</w:t>
      </w:r>
      <w:r w:rsidR="002F65C9">
        <w:rPr>
          <w:szCs w:val="22"/>
          <w:lang w:val="sk-SK"/>
        </w:rPr>
        <w:t xml:space="preserve"> </w:t>
      </w:r>
      <w:r w:rsidR="00B451CA">
        <w:rPr>
          <w:szCs w:val="22"/>
          <w:lang w:val="sk-SK"/>
        </w:rPr>
        <w:t>F</w:t>
      </w:r>
      <w:r>
        <w:rPr>
          <w:szCs w:val="22"/>
          <w:lang w:val="sk-SK"/>
        </w:rPr>
        <w:t>ORTE</w:t>
      </w:r>
      <w:r w:rsidR="0074736D">
        <w:rPr>
          <w:szCs w:val="22"/>
          <w:lang w:val="sk-SK"/>
        </w:rPr>
        <w:t xml:space="preserve"> </w:t>
      </w:r>
      <w:r w:rsidR="002F65C9">
        <w:rPr>
          <w:szCs w:val="22"/>
          <w:lang w:val="sk-SK"/>
        </w:rPr>
        <w:t>20 mg/10</w:t>
      </w:r>
      <w:r w:rsidR="00A820FC">
        <w:rPr>
          <w:szCs w:val="22"/>
          <w:lang w:val="sk-SK"/>
        </w:rPr>
        <w:t xml:space="preserve"> mg</w:t>
      </w:r>
      <w:r w:rsidR="00C4280E" w:rsidRPr="00157521">
        <w:rPr>
          <w:szCs w:val="22"/>
          <w:lang w:val="sk-SK"/>
        </w:rPr>
        <w:t xml:space="preserve">. </w:t>
      </w:r>
    </w:p>
    <w:p w14:paraId="264E32CA" w14:textId="77777777" w:rsidR="00681759" w:rsidRPr="00496A47" w:rsidRDefault="00C4280E" w:rsidP="009512D0">
      <w:pPr>
        <w:spacing w:line="240" w:lineRule="auto"/>
        <w:rPr>
          <w:lang w:val="sk-SK"/>
        </w:rPr>
      </w:pPr>
      <w:r w:rsidRPr="007A0748">
        <w:rPr>
          <w:szCs w:val="22"/>
          <w:lang w:val="sk-SK"/>
        </w:rPr>
        <w:t xml:space="preserve">Ak </w:t>
      </w:r>
      <w:r w:rsidRPr="00496A47">
        <w:rPr>
          <w:lang w:val="sk-SK"/>
        </w:rPr>
        <w:t xml:space="preserve">sa </w:t>
      </w:r>
      <w:r w:rsidRPr="00496A47">
        <w:rPr>
          <w:szCs w:val="22"/>
          <w:lang w:val="sk-SK"/>
        </w:rPr>
        <w:t>úprava dávky stane nevyhnutnou, možno zvážiť titráciu dávky s jednotlivými zložkami</w:t>
      </w:r>
      <w:r w:rsidRPr="007A0748">
        <w:rPr>
          <w:lang w:val="sk-SK"/>
        </w:rPr>
        <w:t xml:space="preserve">. </w:t>
      </w:r>
    </w:p>
    <w:p w14:paraId="264E32CB" w14:textId="77777777" w:rsidR="00C4280E" w:rsidRDefault="00C4280E" w:rsidP="009512D0">
      <w:pPr>
        <w:spacing w:line="240" w:lineRule="auto"/>
        <w:rPr>
          <w:lang w:val="sk-SK"/>
        </w:rPr>
      </w:pPr>
    </w:p>
    <w:p w14:paraId="736AA4C1" w14:textId="77777777" w:rsidR="00625AF4" w:rsidRPr="007E0725" w:rsidRDefault="00625AF4" w:rsidP="00625AF4">
      <w:pPr>
        <w:spacing w:line="240" w:lineRule="auto"/>
        <w:rPr>
          <w:i/>
          <w:szCs w:val="22"/>
          <w:lang w:val="sk-SK"/>
        </w:rPr>
      </w:pPr>
      <w:r w:rsidRPr="007E0725">
        <w:rPr>
          <w:i/>
          <w:szCs w:val="22"/>
          <w:lang w:val="sk-SK"/>
        </w:rPr>
        <w:t>Osobitné populácie</w:t>
      </w:r>
    </w:p>
    <w:p w14:paraId="37ACE4D9" w14:textId="77777777" w:rsidR="00B44E72" w:rsidRPr="00157521" w:rsidRDefault="00B44E72" w:rsidP="009512D0">
      <w:pPr>
        <w:spacing w:line="240" w:lineRule="auto"/>
        <w:rPr>
          <w:lang w:val="sk-SK"/>
        </w:rPr>
      </w:pPr>
    </w:p>
    <w:p w14:paraId="264E32CC" w14:textId="7D4D31F2" w:rsidR="00681759" w:rsidRPr="00157521" w:rsidRDefault="0009157A" w:rsidP="009512D0">
      <w:pPr>
        <w:spacing w:line="240" w:lineRule="auto"/>
        <w:rPr>
          <w:lang w:val="sk-SK"/>
        </w:rPr>
      </w:pPr>
      <w:r w:rsidRPr="00157521">
        <w:rPr>
          <w:i/>
          <w:lang w:val="sk-SK"/>
        </w:rPr>
        <w:t>P</w:t>
      </w:r>
      <w:r w:rsidR="00B451CA" w:rsidRPr="00157521">
        <w:rPr>
          <w:i/>
          <w:lang w:val="sk-SK"/>
        </w:rPr>
        <w:t>o</w:t>
      </w:r>
      <w:r w:rsidR="00B451CA">
        <w:rPr>
          <w:i/>
          <w:lang w:val="sk-SK"/>
        </w:rPr>
        <w:t>ruch</w:t>
      </w:r>
      <w:r w:rsidR="006876B0">
        <w:rPr>
          <w:i/>
          <w:lang w:val="sk-SK"/>
        </w:rPr>
        <w:t>a</w:t>
      </w:r>
      <w:r w:rsidR="00B451CA" w:rsidRPr="00157521">
        <w:rPr>
          <w:i/>
          <w:iCs/>
          <w:szCs w:val="22"/>
          <w:lang w:val="sk-SK"/>
        </w:rPr>
        <w:t xml:space="preserve"> </w:t>
      </w:r>
      <w:r w:rsidRPr="00157521">
        <w:rPr>
          <w:i/>
          <w:iCs/>
          <w:szCs w:val="22"/>
          <w:lang w:val="sk-SK"/>
        </w:rPr>
        <w:t xml:space="preserve">funkcie obličiek </w:t>
      </w:r>
    </w:p>
    <w:p w14:paraId="264E32CD" w14:textId="77777777" w:rsidR="00C4280E" w:rsidRPr="00157521" w:rsidRDefault="0009157A" w:rsidP="009512D0">
      <w:p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>Pre nájdenie</w:t>
      </w:r>
      <w:r w:rsidRPr="00157521">
        <w:rPr>
          <w:lang w:val="sk-SK"/>
        </w:rPr>
        <w:t xml:space="preserve"> optimálnej počiatočnej a udržiavacej dávky u pacientov s </w:t>
      </w:r>
      <w:r w:rsidR="00B451CA" w:rsidRPr="003F7DD0">
        <w:rPr>
          <w:lang w:val="sk-SK"/>
        </w:rPr>
        <w:t>poruchou</w:t>
      </w:r>
      <w:r w:rsidRPr="00496A47">
        <w:rPr>
          <w:lang w:val="sk-SK"/>
        </w:rPr>
        <w:t xml:space="preserve"> </w:t>
      </w:r>
      <w:r w:rsidRPr="00496A47">
        <w:rPr>
          <w:szCs w:val="22"/>
          <w:lang w:val="sk-SK"/>
        </w:rPr>
        <w:t>fu</w:t>
      </w:r>
      <w:r w:rsidRPr="00157521">
        <w:rPr>
          <w:szCs w:val="22"/>
          <w:lang w:val="sk-SK"/>
        </w:rPr>
        <w:t>nkcie obličiek</w:t>
      </w:r>
      <w:r w:rsidR="00681759" w:rsidRPr="00157521">
        <w:rPr>
          <w:szCs w:val="22"/>
          <w:lang w:val="sk-SK"/>
        </w:rPr>
        <w:t xml:space="preserve">, </w:t>
      </w:r>
      <w:r w:rsidR="00CD26BE" w:rsidRPr="00157521">
        <w:rPr>
          <w:lang w:val="sk-SK"/>
        </w:rPr>
        <w:t xml:space="preserve">sa </w:t>
      </w:r>
      <w:r w:rsidR="00CD26BE" w:rsidRPr="00157521">
        <w:rPr>
          <w:szCs w:val="22"/>
          <w:lang w:val="sk-SK"/>
        </w:rPr>
        <w:t xml:space="preserve">má </w:t>
      </w:r>
      <w:r w:rsidR="00681759" w:rsidRPr="00157521">
        <w:rPr>
          <w:szCs w:val="22"/>
          <w:lang w:val="sk-SK"/>
        </w:rPr>
        <w:t>pa</w:t>
      </w:r>
      <w:r w:rsidR="00CD26BE" w:rsidRPr="00157521">
        <w:rPr>
          <w:szCs w:val="22"/>
          <w:lang w:val="sk-SK"/>
        </w:rPr>
        <w:t>c</w:t>
      </w:r>
      <w:r w:rsidR="00681759" w:rsidRPr="00157521">
        <w:rPr>
          <w:szCs w:val="22"/>
          <w:lang w:val="sk-SK"/>
        </w:rPr>
        <w:t>ient</w:t>
      </w:r>
      <w:r w:rsidR="00CD26BE" w:rsidRPr="00157521">
        <w:rPr>
          <w:lang w:val="sk-SK"/>
        </w:rPr>
        <w:t xml:space="preserve"> </w:t>
      </w:r>
      <w:r w:rsidR="00681759" w:rsidRPr="00157521">
        <w:rPr>
          <w:lang w:val="sk-SK"/>
        </w:rPr>
        <w:t>individu</w:t>
      </w:r>
      <w:r w:rsidR="00CD26BE" w:rsidRPr="00157521">
        <w:rPr>
          <w:lang w:val="sk-SK"/>
        </w:rPr>
        <w:t>á</w:t>
      </w:r>
      <w:r w:rsidR="00681759" w:rsidRPr="00157521">
        <w:rPr>
          <w:lang w:val="sk-SK"/>
        </w:rPr>
        <w:t>l</w:t>
      </w:r>
      <w:r w:rsidR="00CD26BE" w:rsidRPr="00157521">
        <w:rPr>
          <w:lang w:val="sk-SK"/>
        </w:rPr>
        <w:t xml:space="preserve">ne </w:t>
      </w:r>
      <w:proofErr w:type="spellStart"/>
      <w:r w:rsidR="00681759" w:rsidRPr="00157521">
        <w:rPr>
          <w:lang w:val="sk-SK"/>
        </w:rPr>
        <w:t>titr</w:t>
      </w:r>
      <w:r w:rsidR="00CD26BE" w:rsidRPr="00157521">
        <w:rPr>
          <w:lang w:val="sk-SK"/>
        </w:rPr>
        <w:t>ovať</w:t>
      </w:r>
      <w:proofErr w:type="spellEnd"/>
      <w:r w:rsidR="00CD26BE" w:rsidRPr="00157521">
        <w:rPr>
          <w:lang w:val="sk-SK"/>
        </w:rPr>
        <w:t xml:space="preserve"> </w:t>
      </w:r>
      <w:r w:rsidR="00CD26BE" w:rsidRPr="00157521">
        <w:rPr>
          <w:szCs w:val="22"/>
          <w:lang w:val="sk-SK"/>
        </w:rPr>
        <w:t>pomocou</w:t>
      </w:r>
      <w:r w:rsidR="00CD26BE" w:rsidRPr="00157521">
        <w:rPr>
          <w:lang w:val="sk-SK"/>
        </w:rPr>
        <w:t xml:space="preserve"> jednotlivých zložiek </w:t>
      </w:r>
      <w:proofErr w:type="spellStart"/>
      <w:r w:rsidR="00681759" w:rsidRPr="00157521">
        <w:rPr>
          <w:lang w:val="sk-SK"/>
        </w:rPr>
        <w:t>li</w:t>
      </w:r>
      <w:r w:rsidR="00EF0BEB" w:rsidRPr="00157521">
        <w:rPr>
          <w:lang w:val="sk-SK"/>
        </w:rPr>
        <w:t>z</w:t>
      </w:r>
      <w:r w:rsidR="00681759" w:rsidRPr="00157521">
        <w:rPr>
          <w:lang w:val="sk-SK"/>
        </w:rPr>
        <w:t>inopril</w:t>
      </w:r>
      <w:r w:rsidR="00CD26BE" w:rsidRPr="00157521">
        <w:rPr>
          <w:lang w:val="sk-SK"/>
        </w:rPr>
        <w:t>u</w:t>
      </w:r>
      <w:proofErr w:type="spellEnd"/>
      <w:r w:rsidR="00681759" w:rsidRPr="00157521">
        <w:rPr>
          <w:lang w:val="sk-SK"/>
        </w:rPr>
        <w:t xml:space="preserve"> a</w:t>
      </w:r>
      <w:r w:rsidR="00681759" w:rsidRPr="00157521">
        <w:rPr>
          <w:szCs w:val="22"/>
          <w:lang w:val="sk-SK"/>
        </w:rPr>
        <w:t xml:space="preserve"> </w:t>
      </w:r>
      <w:proofErr w:type="spellStart"/>
      <w:r w:rsidR="00681759" w:rsidRPr="00157521">
        <w:rPr>
          <w:lang w:val="sk-SK"/>
        </w:rPr>
        <w:t>amlodip</w:t>
      </w:r>
      <w:r w:rsidR="00CD26BE" w:rsidRPr="00157521">
        <w:rPr>
          <w:lang w:val="sk-SK"/>
        </w:rPr>
        <w:t>í</w:t>
      </w:r>
      <w:r w:rsidR="00681759" w:rsidRPr="00157521">
        <w:rPr>
          <w:lang w:val="sk-SK"/>
        </w:rPr>
        <w:t>n</w:t>
      </w:r>
      <w:r w:rsidR="00CD26BE" w:rsidRPr="00157521">
        <w:rPr>
          <w:lang w:val="sk-SK"/>
        </w:rPr>
        <w:t>u</w:t>
      </w:r>
      <w:proofErr w:type="spellEnd"/>
      <w:r w:rsidR="00681759" w:rsidRPr="00157521">
        <w:rPr>
          <w:szCs w:val="22"/>
          <w:lang w:val="sk-SK"/>
        </w:rPr>
        <w:t xml:space="preserve">. </w:t>
      </w:r>
    </w:p>
    <w:p w14:paraId="264E32CE" w14:textId="77777777" w:rsidR="00681759" w:rsidRPr="00157521" w:rsidRDefault="00CF683C" w:rsidP="00892F32">
      <w:pPr>
        <w:pStyle w:val="Zkladntext"/>
        <w:rPr>
          <w:i w:val="0"/>
          <w:color w:val="auto"/>
          <w:lang w:val="sk-SK"/>
        </w:rPr>
      </w:pPr>
      <w:r w:rsidRPr="00157521">
        <w:rPr>
          <w:i w:val="0"/>
          <w:color w:val="auto"/>
          <w:lang w:val="sk-SK"/>
        </w:rPr>
        <w:t xml:space="preserve">Počas liečby </w:t>
      </w:r>
      <w:r w:rsidR="00915D85">
        <w:rPr>
          <w:i w:val="0"/>
          <w:color w:val="auto"/>
          <w:lang w:val="sk-SK"/>
        </w:rPr>
        <w:t>DIRONORMOM</w:t>
      </w:r>
      <w:r w:rsidRPr="00157521">
        <w:rPr>
          <w:i w:val="0"/>
          <w:color w:val="auto"/>
          <w:lang w:val="sk-SK"/>
        </w:rPr>
        <w:t xml:space="preserve"> sa </w:t>
      </w:r>
      <w:r w:rsidR="00920805" w:rsidRPr="00157521">
        <w:rPr>
          <w:i w:val="0"/>
          <w:color w:val="auto"/>
          <w:lang w:val="sk-SK"/>
        </w:rPr>
        <w:t>má</w:t>
      </w:r>
      <w:r w:rsidRPr="00157521">
        <w:rPr>
          <w:i w:val="0"/>
          <w:color w:val="auto"/>
          <w:lang w:val="sk-SK"/>
        </w:rPr>
        <w:t xml:space="preserve"> monitorovať </w:t>
      </w:r>
      <w:r w:rsidR="00681759" w:rsidRPr="00157521">
        <w:rPr>
          <w:i w:val="0"/>
          <w:color w:val="auto"/>
          <w:lang w:val="sk-SK"/>
        </w:rPr>
        <w:t>fun</w:t>
      </w:r>
      <w:r w:rsidRPr="00157521">
        <w:rPr>
          <w:i w:val="0"/>
          <w:color w:val="auto"/>
          <w:lang w:val="sk-SK"/>
        </w:rPr>
        <w:t>k</w:t>
      </w:r>
      <w:r w:rsidR="00681759" w:rsidRPr="00157521">
        <w:rPr>
          <w:i w:val="0"/>
          <w:color w:val="auto"/>
          <w:lang w:val="sk-SK"/>
        </w:rPr>
        <w:t>ci</w:t>
      </w:r>
      <w:r w:rsidRPr="00157521">
        <w:rPr>
          <w:i w:val="0"/>
          <w:color w:val="auto"/>
          <w:lang w:val="sk-SK"/>
        </w:rPr>
        <w:t>a</w:t>
      </w:r>
      <w:r w:rsidRPr="00157521">
        <w:rPr>
          <w:i w:val="0"/>
          <w:color w:val="auto"/>
          <w:szCs w:val="22"/>
          <w:lang w:val="sk-SK"/>
        </w:rPr>
        <w:t xml:space="preserve"> </w:t>
      </w:r>
      <w:r w:rsidR="00681759" w:rsidRPr="00157521">
        <w:rPr>
          <w:i w:val="0"/>
          <w:color w:val="auto"/>
          <w:szCs w:val="22"/>
          <w:lang w:val="sk-SK"/>
        </w:rPr>
        <w:t>o</w:t>
      </w:r>
      <w:r w:rsidRPr="00157521">
        <w:rPr>
          <w:i w:val="0"/>
          <w:color w:val="auto"/>
          <w:szCs w:val="22"/>
          <w:lang w:val="sk-SK"/>
        </w:rPr>
        <w:t>bličiek a</w:t>
      </w:r>
      <w:r w:rsidR="00681759" w:rsidRPr="00157521">
        <w:rPr>
          <w:i w:val="0"/>
          <w:color w:val="auto"/>
          <w:lang w:val="sk-SK"/>
        </w:rPr>
        <w:t xml:space="preserve"> </w:t>
      </w:r>
      <w:r w:rsidRPr="00157521">
        <w:rPr>
          <w:i w:val="0"/>
          <w:color w:val="auto"/>
          <w:lang w:val="sk-SK"/>
        </w:rPr>
        <w:t>hladiny draslíka a</w:t>
      </w:r>
      <w:r w:rsidRPr="00157521">
        <w:rPr>
          <w:i w:val="0"/>
          <w:color w:val="auto"/>
          <w:szCs w:val="22"/>
          <w:lang w:val="sk-SK"/>
        </w:rPr>
        <w:t xml:space="preserve"> </w:t>
      </w:r>
      <w:r w:rsidRPr="00157521">
        <w:rPr>
          <w:i w:val="0"/>
          <w:color w:val="auto"/>
          <w:lang w:val="sk-SK"/>
        </w:rPr>
        <w:t>sodíka</w:t>
      </w:r>
      <w:r w:rsidRPr="00157521">
        <w:rPr>
          <w:i w:val="0"/>
          <w:color w:val="auto"/>
          <w:szCs w:val="22"/>
          <w:lang w:val="sk-SK"/>
        </w:rPr>
        <w:t xml:space="preserve"> v sére</w:t>
      </w:r>
      <w:r w:rsidRPr="00157521">
        <w:rPr>
          <w:i w:val="0"/>
          <w:color w:val="auto"/>
          <w:lang w:val="sk-SK"/>
        </w:rPr>
        <w:t>. V</w:t>
      </w:r>
      <w:r w:rsidR="00842066">
        <w:rPr>
          <w:i w:val="0"/>
          <w:color w:val="auto"/>
          <w:szCs w:val="22"/>
          <w:lang w:val="sk-SK"/>
        </w:rPr>
        <w:t> </w:t>
      </w:r>
      <w:r w:rsidRPr="00157521">
        <w:rPr>
          <w:i w:val="0"/>
          <w:color w:val="auto"/>
          <w:lang w:val="sk-SK"/>
        </w:rPr>
        <w:t xml:space="preserve">prípade zhoršenia funkcie </w:t>
      </w:r>
      <w:r w:rsidRPr="00157521">
        <w:rPr>
          <w:i w:val="0"/>
          <w:color w:val="auto"/>
          <w:szCs w:val="22"/>
          <w:lang w:val="sk-SK"/>
        </w:rPr>
        <w:t xml:space="preserve">obličiek </w:t>
      </w:r>
      <w:r w:rsidRPr="00157521">
        <w:rPr>
          <w:i w:val="0"/>
          <w:color w:val="auto"/>
          <w:lang w:val="sk-SK"/>
        </w:rPr>
        <w:t xml:space="preserve">sa </w:t>
      </w:r>
      <w:r w:rsidRPr="00157521">
        <w:rPr>
          <w:i w:val="0"/>
          <w:color w:val="auto"/>
          <w:szCs w:val="22"/>
          <w:lang w:val="sk-SK"/>
        </w:rPr>
        <w:t>má po</w:t>
      </w:r>
      <w:r w:rsidR="00B72811">
        <w:rPr>
          <w:i w:val="0"/>
          <w:color w:val="auto"/>
          <w:szCs w:val="22"/>
          <w:lang w:val="sk-SK"/>
        </w:rPr>
        <w:t>užívanie</w:t>
      </w:r>
      <w:r w:rsidR="00A925F4" w:rsidRPr="00157521">
        <w:rPr>
          <w:i w:val="0"/>
          <w:color w:val="auto"/>
          <w:lang w:val="sk-SK"/>
        </w:rPr>
        <w:t xml:space="preserve"> </w:t>
      </w:r>
      <w:r w:rsidR="00915D85">
        <w:rPr>
          <w:i w:val="0"/>
          <w:color w:val="auto"/>
          <w:lang w:val="sk-SK"/>
        </w:rPr>
        <w:t>DIRONORMU</w:t>
      </w:r>
      <w:r w:rsidR="00443801" w:rsidRPr="00157521">
        <w:rPr>
          <w:i w:val="0"/>
          <w:color w:val="auto"/>
          <w:lang w:val="sk-SK"/>
        </w:rPr>
        <w:t xml:space="preserve"> </w:t>
      </w:r>
      <w:r w:rsidRPr="00157521">
        <w:rPr>
          <w:i w:val="0"/>
          <w:color w:val="auto"/>
          <w:szCs w:val="22"/>
          <w:lang w:val="sk-SK"/>
        </w:rPr>
        <w:t>prerušiť</w:t>
      </w:r>
      <w:r w:rsidRPr="00157521">
        <w:rPr>
          <w:i w:val="0"/>
          <w:color w:val="auto"/>
          <w:lang w:val="sk-SK"/>
        </w:rPr>
        <w:t xml:space="preserve"> a</w:t>
      </w:r>
      <w:r w:rsidRPr="00157521">
        <w:rPr>
          <w:i w:val="0"/>
          <w:color w:val="auto"/>
          <w:szCs w:val="22"/>
          <w:lang w:val="sk-SK"/>
        </w:rPr>
        <w:t xml:space="preserve"> </w:t>
      </w:r>
      <w:r w:rsidRPr="00157521">
        <w:rPr>
          <w:i w:val="0"/>
          <w:color w:val="auto"/>
          <w:lang w:val="sk-SK"/>
        </w:rPr>
        <w:t xml:space="preserve">nahradiť adekvátne </w:t>
      </w:r>
      <w:r w:rsidRPr="00157521">
        <w:rPr>
          <w:i w:val="0"/>
          <w:color w:val="auto"/>
          <w:szCs w:val="22"/>
          <w:lang w:val="sk-SK"/>
        </w:rPr>
        <w:t>upravenými dávkami jednotlivých zložiek.</w:t>
      </w:r>
      <w:r w:rsidR="00C4280E" w:rsidRPr="00157521">
        <w:rPr>
          <w:i w:val="0"/>
          <w:color w:val="auto"/>
          <w:szCs w:val="22"/>
          <w:lang w:val="sk-SK"/>
        </w:rPr>
        <w:t xml:space="preserve"> </w:t>
      </w:r>
      <w:proofErr w:type="spellStart"/>
      <w:r w:rsidR="00C4280E" w:rsidRPr="00157521">
        <w:rPr>
          <w:i w:val="0"/>
          <w:color w:val="auto"/>
          <w:szCs w:val="22"/>
          <w:lang w:val="sk-SK"/>
        </w:rPr>
        <w:t>Amlodipín</w:t>
      </w:r>
      <w:proofErr w:type="spellEnd"/>
      <w:r w:rsidR="00C4280E" w:rsidRPr="00157521">
        <w:rPr>
          <w:i w:val="0"/>
          <w:color w:val="auto"/>
          <w:szCs w:val="22"/>
          <w:lang w:val="sk-SK"/>
        </w:rPr>
        <w:t xml:space="preserve"> nie je </w:t>
      </w:r>
      <w:proofErr w:type="spellStart"/>
      <w:r w:rsidR="00C4280E" w:rsidRPr="00157521">
        <w:rPr>
          <w:i w:val="0"/>
          <w:color w:val="auto"/>
          <w:szCs w:val="22"/>
          <w:lang w:val="sk-SK"/>
        </w:rPr>
        <w:t>dialyzovateľný</w:t>
      </w:r>
      <w:proofErr w:type="spellEnd"/>
      <w:r w:rsidR="00C4280E" w:rsidRPr="00157521">
        <w:rPr>
          <w:i w:val="0"/>
          <w:color w:val="auto"/>
          <w:lang w:val="sk-SK"/>
        </w:rPr>
        <w:t>.</w:t>
      </w:r>
    </w:p>
    <w:p w14:paraId="264E32CF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D0" w14:textId="1581FA57" w:rsidR="00681759" w:rsidRPr="00157521" w:rsidRDefault="00681759" w:rsidP="009512D0">
      <w:pPr>
        <w:spacing w:line="240" w:lineRule="auto"/>
        <w:rPr>
          <w:lang w:val="sk-SK"/>
        </w:rPr>
      </w:pPr>
      <w:r w:rsidRPr="00157521">
        <w:rPr>
          <w:i/>
          <w:lang w:val="sk-SK"/>
        </w:rPr>
        <w:t>P</w:t>
      </w:r>
      <w:r w:rsidR="00B451CA" w:rsidRPr="00157521">
        <w:rPr>
          <w:i/>
          <w:lang w:val="sk-SK"/>
        </w:rPr>
        <w:t>o</w:t>
      </w:r>
      <w:r w:rsidR="00B451CA">
        <w:rPr>
          <w:i/>
          <w:lang w:val="sk-SK"/>
        </w:rPr>
        <w:t>ruch</w:t>
      </w:r>
      <w:r w:rsidR="006876B0">
        <w:rPr>
          <w:i/>
          <w:lang w:val="sk-SK"/>
        </w:rPr>
        <w:t>a</w:t>
      </w:r>
      <w:r w:rsidR="00EC28B8" w:rsidRPr="00157521">
        <w:rPr>
          <w:i/>
          <w:lang w:val="sk-SK"/>
        </w:rPr>
        <w:t xml:space="preserve"> </w:t>
      </w:r>
      <w:r w:rsidR="00EC28B8" w:rsidRPr="00157521">
        <w:rPr>
          <w:i/>
          <w:iCs/>
          <w:szCs w:val="22"/>
          <w:lang w:val="sk-SK"/>
        </w:rPr>
        <w:t xml:space="preserve">funkcie </w:t>
      </w:r>
      <w:r w:rsidR="00EC28B8" w:rsidRPr="00157521">
        <w:rPr>
          <w:i/>
          <w:lang w:val="sk-SK"/>
        </w:rPr>
        <w:t>pečene</w:t>
      </w:r>
    </w:p>
    <w:p w14:paraId="264E32D1" w14:textId="77777777" w:rsidR="00B41BB2" w:rsidRPr="00157521" w:rsidRDefault="00B41BB2" w:rsidP="003F7DD0">
      <w:pPr>
        <w:pStyle w:val="Nadpis3"/>
        <w:spacing w:before="0" w:after="0" w:line="240" w:lineRule="auto"/>
        <w:rPr>
          <w:b w:val="0"/>
          <w:sz w:val="22"/>
          <w:szCs w:val="22"/>
          <w:lang w:val="sk-SK"/>
        </w:rPr>
      </w:pPr>
      <w:r w:rsidRPr="00157521">
        <w:rPr>
          <w:b w:val="0"/>
          <w:sz w:val="22"/>
          <w:szCs w:val="22"/>
          <w:lang w:val="sk-SK"/>
        </w:rPr>
        <w:t xml:space="preserve">Odporúčané dávkovanie nebolo stanovené u pacientov s miernou až stredne </w:t>
      </w:r>
      <w:r w:rsidR="00B451CA">
        <w:rPr>
          <w:b w:val="0"/>
          <w:sz w:val="22"/>
          <w:szCs w:val="22"/>
          <w:lang w:val="sk-SK"/>
        </w:rPr>
        <w:t>ťažkou</w:t>
      </w:r>
      <w:r w:rsidR="00B451CA" w:rsidRPr="00157521">
        <w:rPr>
          <w:b w:val="0"/>
          <w:sz w:val="22"/>
          <w:szCs w:val="22"/>
          <w:lang w:val="sk-SK"/>
        </w:rPr>
        <w:t xml:space="preserve"> </w:t>
      </w:r>
      <w:r w:rsidRPr="00157521">
        <w:rPr>
          <w:b w:val="0"/>
          <w:sz w:val="22"/>
          <w:szCs w:val="22"/>
          <w:lang w:val="sk-SK"/>
        </w:rPr>
        <w:t xml:space="preserve">poruchou funkcie pečene; preto zvolenie dávky sa má vykonávať s opatrnosťou a má začať na dolnej hranici dávkovacieho rozsahu (pozri časti 4.4 a 5.2). Aby sa našla optimálna štartovacia dávka a udržiavacia </w:t>
      </w:r>
      <w:r w:rsidRPr="007A0748">
        <w:rPr>
          <w:b w:val="0"/>
          <w:sz w:val="22"/>
          <w:szCs w:val="22"/>
          <w:lang w:val="sk-SK"/>
        </w:rPr>
        <w:t>dávka u pacientov s </w:t>
      </w:r>
      <w:r w:rsidR="00B451CA" w:rsidRPr="003F7DD0">
        <w:rPr>
          <w:b w:val="0"/>
          <w:sz w:val="22"/>
          <w:szCs w:val="22"/>
          <w:lang w:val="sk-SK"/>
        </w:rPr>
        <w:t>poruchou</w:t>
      </w:r>
      <w:r w:rsidRPr="00157521">
        <w:rPr>
          <w:b w:val="0"/>
          <w:sz w:val="22"/>
          <w:szCs w:val="22"/>
          <w:lang w:val="sk-SK"/>
        </w:rPr>
        <w:t xml:space="preserve"> </w:t>
      </w:r>
      <w:r w:rsidR="007A0748">
        <w:rPr>
          <w:b w:val="0"/>
          <w:sz w:val="22"/>
          <w:szCs w:val="22"/>
          <w:lang w:val="sk-SK"/>
        </w:rPr>
        <w:t xml:space="preserve">funkcie </w:t>
      </w:r>
      <w:r w:rsidRPr="00157521">
        <w:rPr>
          <w:b w:val="0"/>
          <w:sz w:val="22"/>
          <w:szCs w:val="22"/>
          <w:lang w:val="sk-SK"/>
        </w:rPr>
        <w:t xml:space="preserve">pečene, títo pacienti musia byť individuálne </w:t>
      </w:r>
      <w:proofErr w:type="spellStart"/>
      <w:r w:rsidRPr="00157521">
        <w:rPr>
          <w:b w:val="0"/>
          <w:sz w:val="22"/>
          <w:szCs w:val="22"/>
          <w:lang w:val="sk-SK"/>
        </w:rPr>
        <w:t>titrovaní</w:t>
      </w:r>
      <w:proofErr w:type="spellEnd"/>
      <w:r w:rsidRPr="00157521">
        <w:rPr>
          <w:b w:val="0"/>
          <w:sz w:val="22"/>
          <w:szCs w:val="22"/>
          <w:lang w:val="sk-SK"/>
        </w:rPr>
        <w:t xml:space="preserve">, pričom sa používa voľná kombinácia </w:t>
      </w:r>
      <w:proofErr w:type="spellStart"/>
      <w:r w:rsidRPr="00157521">
        <w:rPr>
          <w:b w:val="0"/>
          <w:sz w:val="22"/>
          <w:szCs w:val="22"/>
          <w:lang w:val="sk-SK"/>
        </w:rPr>
        <w:t>lizinoprilu</w:t>
      </w:r>
      <w:proofErr w:type="spellEnd"/>
      <w:r w:rsidRPr="00157521">
        <w:rPr>
          <w:b w:val="0"/>
          <w:sz w:val="22"/>
          <w:szCs w:val="22"/>
          <w:lang w:val="sk-SK"/>
        </w:rPr>
        <w:t xml:space="preserve"> a </w:t>
      </w:r>
      <w:proofErr w:type="spellStart"/>
      <w:r w:rsidRPr="00157521">
        <w:rPr>
          <w:b w:val="0"/>
          <w:sz w:val="22"/>
          <w:szCs w:val="22"/>
          <w:lang w:val="sk-SK"/>
        </w:rPr>
        <w:t>amlodipínu</w:t>
      </w:r>
      <w:proofErr w:type="spellEnd"/>
      <w:r w:rsidRPr="00157521">
        <w:rPr>
          <w:b w:val="0"/>
          <w:sz w:val="22"/>
          <w:szCs w:val="22"/>
          <w:lang w:val="sk-SK"/>
        </w:rPr>
        <w:t>.</w:t>
      </w:r>
    </w:p>
    <w:p w14:paraId="264E32D2" w14:textId="77777777" w:rsidR="00B41BB2" w:rsidRPr="00157521" w:rsidRDefault="00B41BB2" w:rsidP="003F7DD0">
      <w:pPr>
        <w:pStyle w:val="Nadpis3"/>
        <w:spacing w:before="0" w:after="0" w:line="240" w:lineRule="auto"/>
        <w:rPr>
          <w:b w:val="0"/>
          <w:sz w:val="22"/>
          <w:szCs w:val="22"/>
          <w:lang w:val="sk-SK"/>
        </w:rPr>
      </w:pPr>
      <w:proofErr w:type="spellStart"/>
      <w:r w:rsidRPr="00157521">
        <w:rPr>
          <w:b w:val="0"/>
          <w:sz w:val="22"/>
          <w:szCs w:val="22"/>
          <w:lang w:val="sk-SK"/>
        </w:rPr>
        <w:t>Farmakokinetika</w:t>
      </w:r>
      <w:proofErr w:type="spellEnd"/>
      <w:r w:rsidRPr="00157521">
        <w:rPr>
          <w:b w:val="0"/>
          <w:sz w:val="22"/>
          <w:szCs w:val="22"/>
          <w:lang w:val="sk-SK"/>
        </w:rPr>
        <w:t xml:space="preserve"> </w:t>
      </w:r>
      <w:proofErr w:type="spellStart"/>
      <w:r w:rsidRPr="00157521">
        <w:rPr>
          <w:b w:val="0"/>
          <w:sz w:val="22"/>
          <w:szCs w:val="22"/>
          <w:lang w:val="sk-SK"/>
        </w:rPr>
        <w:t>amlodipínu</w:t>
      </w:r>
      <w:proofErr w:type="spellEnd"/>
      <w:r w:rsidRPr="00157521">
        <w:rPr>
          <w:b w:val="0"/>
          <w:sz w:val="22"/>
          <w:szCs w:val="22"/>
          <w:lang w:val="sk-SK"/>
        </w:rPr>
        <w:t xml:space="preserve"> nebola študovaná pri </w:t>
      </w:r>
      <w:r w:rsidR="007A0748">
        <w:rPr>
          <w:b w:val="0"/>
          <w:sz w:val="22"/>
          <w:szCs w:val="22"/>
          <w:lang w:val="sk-SK"/>
        </w:rPr>
        <w:t>ťažkej</w:t>
      </w:r>
      <w:r w:rsidR="007A0748" w:rsidRPr="00157521">
        <w:rPr>
          <w:b w:val="0"/>
          <w:sz w:val="22"/>
          <w:szCs w:val="22"/>
          <w:lang w:val="sk-SK"/>
        </w:rPr>
        <w:t xml:space="preserve"> </w:t>
      </w:r>
      <w:r w:rsidRPr="00157521">
        <w:rPr>
          <w:b w:val="0"/>
          <w:sz w:val="22"/>
          <w:szCs w:val="22"/>
          <w:lang w:val="sk-SK"/>
        </w:rPr>
        <w:t xml:space="preserve">poruche funkcie pečene. U pacientov s </w:t>
      </w:r>
      <w:r w:rsidR="007A0748">
        <w:rPr>
          <w:b w:val="0"/>
          <w:sz w:val="22"/>
          <w:szCs w:val="22"/>
          <w:lang w:val="sk-SK"/>
        </w:rPr>
        <w:t>ťažkou</w:t>
      </w:r>
      <w:r w:rsidR="007A0748" w:rsidRPr="00157521">
        <w:rPr>
          <w:b w:val="0"/>
          <w:sz w:val="22"/>
          <w:szCs w:val="22"/>
          <w:lang w:val="sk-SK"/>
        </w:rPr>
        <w:t xml:space="preserve"> </w:t>
      </w:r>
      <w:r w:rsidRPr="00157521">
        <w:rPr>
          <w:b w:val="0"/>
          <w:sz w:val="22"/>
          <w:szCs w:val="22"/>
          <w:lang w:val="sk-SK"/>
        </w:rPr>
        <w:t xml:space="preserve">poruchou funkcie pečene má podávanie </w:t>
      </w:r>
      <w:proofErr w:type="spellStart"/>
      <w:r w:rsidRPr="00157521">
        <w:rPr>
          <w:b w:val="0"/>
          <w:sz w:val="22"/>
          <w:szCs w:val="22"/>
          <w:lang w:val="sk-SK"/>
        </w:rPr>
        <w:t>amlodipínu</w:t>
      </w:r>
      <w:proofErr w:type="spellEnd"/>
      <w:r w:rsidRPr="00157521">
        <w:rPr>
          <w:b w:val="0"/>
          <w:sz w:val="22"/>
          <w:szCs w:val="22"/>
          <w:lang w:val="sk-SK"/>
        </w:rPr>
        <w:t xml:space="preserve"> začať najnižšou dávkou a pomaly ju zvyšovať.</w:t>
      </w:r>
    </w:p>
    <w:p w14:paraId="264E32D3" w14:textId="77777777" w:rsidR="00681759" w:rsidRPr="00157521" w:rsidRDefault="00681759" w:rsidP="009512D0">
      <w:pPr>
        <w:spacing w:line="240" w:lineRule="auto"/>
        <w:rPr>
          <w:szCs w:val="22"/>
          <w:lang w:val="sk-SK"/>
        </w:rPr>
      </w:pPr>
    </w:p>
    <w:p w14:paraId="264E32D4" w14:textId="30A4A897" w:rsidR="00681759" w:rsidRPr="00157521" w:rsidRDefault="00C72C32" w:rsidP="00B41BB2">
      <w:pPr>
        <w:tabs>
          <w:tab w:val="left" w:pos="708"/>
        </w:tabs>
        <w:autoSpaceDE w:val="0"/>
        <w:autoSpaceDN w:val="0"/>
        <w:adjustRightInd w:val="0"/>
        <w:rPr>
          <w:i/>
          <w:szCs w:val="22"/>
          <w:lang w:val="sk-SK"/>
        </w:rPr>
      </w:pPr>
      <w:r>
        <w:rPr>
          <w:i/>
          <w:szCs w:val="22"/>
          <w:lang w:val="sk-SK"/>
        </w:rPr>
        <w:t>Pediatrická populácia</w:t>
      </w:r>
      <w:r w:rsidR="00B41BB2" w:rsidRPr="00157521">
        <w:rPr>
          <w:i/>
          <w:szCs w:val="22"/>
          <w:lang w:val="sk-SK"/>
        </w:rPr>
        <w:t xml:space="preserve"> </w:t>
      </w:r>
      <w:r w:rsidR="00802965" w:rsidRPr="00157521">
        <w:rPr>
          <w:i/>
          <w:szCs w:val="22"/>
          <w:lang w:val="sk-SK"/>
        </w:rPr>
        <w:t>(&lt;18 r</w:t>
      </w:r>
      <w:r w:rsidR="00EC28B8" w:rsidRPr="00157521">
        <w:rPr>
          <w:i/>
          <w:szCs w:val="22"/>
          <w:lang w:val="sk-SK"/>
        </w:rPr>
        <w:t>okov</w:t>
      </w:r>
      <w:r w:rsidR="00802965" w:rsidRPr="00157521">
        <w:rPr>
          <w:i/>
          <w:szCs w:val="22"/>
          <w:lang w:val="sk-SK"/>
        </w:rPr>
        <w:t>)</w:t>
      </w:r>
    </w:p>
    <w:p w14:paraId="264E32D5" w14:textId="7710BCD7" w:rsidR="00B41BB2" w:rsidRPr="00157521" w:rsidRDefault="00B41BB2" w:rsidP="009512D0">
      <w:p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Bezpečnosť a účinnosť </w:t>
      </w:r>
      <w:r w:rsidR="00915D85">
        <w:rPr>
          <w:szCs w:val="22"/>
          <w:lang w:val="sk-SK"/>
        </w:rPr>
        <w:t>DIRONORMU</w:t>
      </w:r>
      <w:r w:rsidRPr="00157521">
        <w:rPr>
          <w:szCs w:val="22"/>
          <w:lang w:val="sk-SK"/>
        </w:rPr>
        <w:t xml:space="preserve"> u detí </w:t>
      </w:r>
      <w:r w:rsidR="00625AF4" w:rsidRPr="00EB675A">
        <w:rPr>
          <w:szCs w:val="22"/>
          <w:lang w:val="sk-SK"/>
        </w:rPr>
        <w:t xml:space="preserve">a dospievajúcich </w:t>
      </w:r>
      <w:r w:rsidRPr="00157521">
        <w:rPr>
          <w:szCs w:val="22"/>
          <w:lang w:val="sk-SK"/>
        </w:rPr>
        <w:t>vo veku do 18 rokov nebola stanovená.</w:t>
      </w:r>
    </w:p>
    <w:p w14:paraId="264E32D6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D7" w14:textId="77777777" w:rsidR="00EC28B8" w:rsidRPr="00157521" w:rsidRDefault="00EC28B8" w:rsidP="00EC28B8">
      <w:pPr>
        <w:spacing w:line="240" w:lineRule="auto"/>
        <w:rPr>
          <w:i/>
          <w:lang w:val="sk-SK"/>
        </w:rPr>
      </w:pPr>
      <w:r w:rsidRPr="00157521">
        <w:rPr>
          <w:i/>
          <w:lang w:val="sk-SK"/>
        </w:rPr>
        <w:t xml:space="preserve">Starší </w:t>
      </w:r>
      <w:r w:rsidR="00842066">
        <w:rPr>
          <w:i/>
          <w:lang w:val="sk-SK"/>
        </w:rPr>
        <w:t>ľudia</w:t>
      </w:r>
      <w:r w:rsidR="00842066" w:rsidRPr="00157521">
        <w:rPr>
          <w:i/>
          <w:lang w:val="sk-SK"/>
        </w:rPr>
        <w:t xml:space="preserve"> </w:t>
      </w:r>
      <w:r w:rsidRPr="00157521">
        <w:rPr>
          <w:i/>
          <w:lang w:val="sk-SK"/>
        </w:rPr>
        <w:t>(&gt;65 rokov)</w:t>
      </w:r>
    </w:p>
    <w:p w14:paraId="264E32D8" w14:textId="77777777" w:rsidR="00B41BB2" w:rsidRPr="00157521" w:rsidRDefault="00B41BB2" w:rsidP="00EC28B8">
      <w:p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>Starší pacienti musia byť liečení s opatrnosťou.</w:t>
      </w:r>
    </w:p>
    <w:p w14:paraId="264E32D9" w14:textId="77777777" w:rsidR="00681759" w:rsidRPr="00157521" w:rsidRDefault="00EC28B8" w:rsidP="00EC28B8">
      <w:pPr>
        <w:spacing w:line="240" w:lineRule="auto"/>
        <w:rPr>
          <w:i/>
          <w:u w:val="single"/>
          <w:lang w:val="sk-SK"/>
        </w:rPr>
      </w:pPr>
      <w:r w:rsidRPr="00157521">
        <w:rPr>
          <w:lang w:val="sk-SK"/>
        </w:rPr>
        <w:t xml:space="preserve">V klinických štúdiách sa nezistila žiadna zmena účinnosti alebo bezpečnostného profilu </w:t>
      </w:r>
      <w:proofErr w:type="spellStart"/>
      <w:r w:rsidRPr="00157521">
        <w:rPr>
          <w:lang w:val="sk-SK"/>
        </w:rPr>
        <w:t>amlodipínu</w:t>
      </w:r>
      <w:proofErr w:type="spellEnd"/>
      <w:r w:rsidRPr="00157521">
        <w:rPr>
          <w:lang w:val="sk-SK"/>
        </w:rPr>
        <w:t xml:space="preserve"> alebo </w:t>
      </w:r>
      <w:proofErr w:type="spellStart"/>
      <w:r w:rsidRPr="00157521">
        <w:rPr>
          <w:lang w:val="sk-SK"/>
        </w:rPr>
        <w:t>lizinoprilu</w:t>
      </w:r>
      <w:proofErr w:type="spellEnd"/>
      <w:r w:rsidRPr="00157521">
        <w:rPr>
          <w:lang w:val="sk-SK"/>
        </w:rPr>
        <w:t xml:space="preserve">, ktorá by súvisela s vekom. Aby sa našla optimálna udržiavacia dávka u starších pacientov, </w:t>
      </w:r>
      <w:r w:rsidRPr="00157521">
        <w:rPr>
          <w:szCs w:val="22"/>
          <w:lang w:val="sk-SK"/>
        </w:rPr>
        <w:t>majú</w:t>
      </w:r>
      <w:r w:rsidRPr="00157521">
        <w:rPr>
          <w:lang w:val="sk-SK"/>
        </w:rPr>
        <w:t xml:space="preserve"> sa individuálne </w:t>
      </w:r>
      <w:proofErr w:type="spellStart"/>
      <w:r w:rsidRPr="00157521">
        <w:rPr>
          <w:lang w:val="sk-SK"/>
        </w:rPr>
        <w:t>titrovať</w:t>
      </w:r>
      <w:proofErr w:type="spellEnd"/>
      <w:r w:rsidRPr="00157521">
        <w:rPr>
          <w:lang w:val="sk-SK"/>
        </w:rPr>
        <w:t xml:space="preserve"> </w:t>
      </w:r>
      <w:r w:rsidRPr="00157521">
        <w:rPr>
          <w:szCs w:val="22"/>
          <w:lang w:val="sk-SK"/>
        </w:rPr>
        <w:t>pomocou</w:t>
      </w:r>
      <w:r w:rsidRPr="00157521">
        <w:rPr>
          <w:lang w:val="sk-SK"/>
        </w:rPr>
        <w:t xml:space="preserve"> voľnej kombinácie </w:t>
      </w:r>
      <w:proofErr w:type="spellStart"/>
      <w:r w:rsidRPr="00157521">
        <w:rPr>
          <w:lang w:val="sk-SK"/>
        </w:rPr>
        <w:t>lizinoprilu</w:t>
      </w:r>
      <w:proofErr w:type="spellEnd"/>
      <w:r w:rsidRPr="00157521">
        <w:rPr>
          <w:lang w:val="sk-SK"/>
        </w:rPr>
        <w:t xml:space="preserve"> a </w:t>
      </w:r>
      <w:proofErr w:type="spellStart"/>
      <w:r w:rsidRPr="00157521">
        <w:rPr>
          <w:lang w:val="sk-SK"/>
        </w:rPr>
        <w:t>amlodipínu</w:t>
      </w:r>
      <w:proofErr w:type="spellEnd"/>
      <w:r w:rsidRPr="00157521">
        <w:rPr>
          <w:lang w:val="sk-SK"/>
        </w:rPr>
        <w:t>.</w:t>
      </w:r>
      <w:r w:rsidRPr="00157521">
        <w:rPr>
          <w:szCs w:val="22"/>
          <w:lang w:val="sk-SK"/>
        </w:rPr>
        <w:t xml:space="preserve"> </w:t>
      </w:r>
    </w:p>
    <w:p w14:paraId="264E32DA" w14:textId="77777777" w:rsidR="00B41BB2" w:rsidRPr="00157521" w:rsidRDefault="00B41BB2" w:rsidP="00B41BB2">
      <w:pPr>
        <w:rPr>
          <w:szCs w:val="22"/>
          <w:u w:val="single"/>
          <w:lang w:val="sk-SK"/>
        </w:rPr>
      </w:pPr>
    </w:p>
    <w:p w14:paraId="264E32DB" w14:textId="77777777" w:rsidR="00B41BB2" w:rsidRPr="00157521" w:rsidRDefault="00B41BB2" w:rsidP="00B41BB2">
      <w:pPr>
        <w:rPr>
          <w:szCs w:val="22"/>
          <w:u w:val="single"/>
          <w:lang w:val="sk-SK"/>
        </w:rPr>
      </w:pPr>
      <w:r w:rsidRPr="00157521">
        <w:rPr>
          <w:szCs w:val="22"/>
          <w:u w:val="single"/>
          <w:lang w:val="sk-SK"/>
        </w:rPr>
        <w:t>Spôsob pod</w:t>
      </w:r>
      <w:r w:rsidR="00C72C32">
        <w:rPr>
          <w:szCs w:val="22"/>
          <w:u w:val="single"/>
          <w:lang w:val="sk-SK"/>
        </w:rPr>
        <w:t>áv</w:t>
      </w:r>
      <w:r w:rsidRPr="00157521">
        <w:rPr>
          <w:szCs w:val="22"/>
          <w:u w:val="single"/>
          <w:lang w:val="sk-SK"/>
        </w:rPr>
        <w:t>ania</w:t>
      </w:r>
    </w:p>
    <w:p w14:paraId="264E32DC" w14:textId="77777777" w:rsidR="002F65C9" w:rsidRDefault="002F65C9" w:rsidP="00C4280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Na perorálne podanie</w:t>
      </w:r>
    </w:p>
    <w:p w14:paraId="264E32DD" w14:textId="77777777" w:rsidR="002F65C9" w:rsidRDefault="002F65C9" w:rsidP="00C4280E">
      <w:pPr>
        <w:spacing w:line="240" w:lineRule="auto"/>
        <w:rPr>
          <w:szCs w:val="22"/>
          <w:lang w:val="sk-SK"/>
        </w:rPr>
      </w:pPr>
    </w:p>
    <w:p w14:paraId="264E32DE" w14:textId="77777777" w:rsidR="00C4280E" w:rsidRPr="00157521" w:rsidRDefault="00C4280E" w:rsidP="00C4280E">
      <w:p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>Keďže strava neovplyvňuje absorpciu</w:t>
      </w:r>
      <w:r w:rsidR="00751DAE">
        <w:rPr>
          <w:szCs w:val="22"/>
          <w:lang w:val="sk-SK"/>
        </w:rPr>
        <w:t>,</w:t>
      </w:r>
      <w:r w:rsidRPr="00157521">
        <w:rPr>
          <w:szCs w:val="22"/>
          <w:lang w:val="sk-SK"/>
        </w:rPr>
        <w:t xml:space="preserve"> </w:t>
      </w:r>
      <w:r w:rsidR="00915D85">
        <w:rPr>
          <w:szCs w:val="22"/>
          <w:lang w:val="sk-SK"/>
        </w:rPr>
        <w:t>DIRONORM</w:t>
      </w:r>
      <w:r w:rsidRPr="00157521">
        <w:rPr>
          <w:szCs w:val="22"/>
          <w:lang w:val="sk-SK"/>
        </w:rPr>
        <w:t xml:space="preserve"> sa môže užívať nezávisle od jedl</w:t>
      </w:r>
      <w:r w:rsidR="00751DAE">
        <w:rPr>
          <w:szCs w:val="22"/>
          <w:lang w:val="sk-SK"/>
        </w:rPr>
        <w:t>a</w:t>
      </w:r>
      <w:r w:rsidR="00C64D0D" w:rsidRPr="00751DAE">
        <w:rPr>
          <w:szCs w:val="22"/>
          <w:lang w:val="sk-SK"/>
        </w:rPr>
        <w:t>, teda pred, počas alebo po jedle</w:t>
      </w:r>
      <w:r w:rsidRPr="00F53C84">
        <w:rPr>
          <w:szCs w:val="22"/>
          <w:lang w:val="sk-SK"/>
        </w:rPr>
        <w:t>.</w:t>
      </w:r>
    </w:p>
    <w:p w14:paraId="264E32DF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E0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4.3</w:t>
      </w:r>
      <w:r w:rsidRPr="00157521">
        <w:rPr>
          <w:b/>
          <w:lang w:val="sk-SK"/>
        </w:rPr>
        <w:tab/>
      </w:r>
      <w:r w:rsidR="009070B9" w:rsidRPr="00157521">
        <w:rPr>
          <w:b/>
          <w:lang w:val="sk-SK"/>
        </w:rPr>
        <w:t>K</w:t>
      </w:r>
      <w:r w:rsidRPr="00157521">
        <w:rPr>
          <w:b/>
          <w:lang w:val="sk-SK"/>
        </w:rPr>
        <w:t>ontraindi</w:t>
      </w:r>
      <w:r w:rsidR="009070B9" w:rsidRPr="00157521">
        <w:rPr>
          <w:b/>
          <w:lang w:val="sk-SK"/>
        </w:rPr>
        <w:t>ká</w:t>
      </w:r>
      <w:r w:rsidRPr="00157521">
        <w:rPr>
          <w:b/>
          <w:lang w:val="sk-SK"/>
        </w:rPr>
        <w:t>ci</w:t>
      </w:r>
      <w:r w:rsidR="009070B9" w:rsidRPr="00157521">
        <w:rPr>
          <w:b/>
          <w:lang w:val="sk-SK"/>
        </w:rPr>
        <w:t>e</w:t>
      </w:r>
    </w:p>
    <w:p w14:paraId="264E32E1" w14:textId="77777777" w:rsidR="00681759" w:rsidRPr="00157521" w:rsidRDefault="00681759" w:rsidP="009512D0">
      <w:pPr>
        <w:spacing w:line="240" w:lineRule="auto"/>
        <w:rPr>
          <w:szCs w:val="22"/>
          <w:lang w:val="sk-SK"/>
        </w:rPr>
      </w:pPr>
    </w:p>
    <w:p w14:paraId="264E32E2" w14:textId="77777777" w:rsidR="007608F3" w:rsidRPr="00157521" w:rsidRDefault="007608F3" w:rsidP="009512D0">
      <w:pPr>
        <w:spacing w:line="240" w:lineRule="auto"/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>Vzťahujúce sa k </w:t>
      </w:r>
      <w:proofErr w:type="spellStart"/>
      <w:r w:rsidRPr="00157521">
        <w:rPr>
          <w:i/>
          <w:szCs w:val="22"/>
          <w:lang w:val="sk-SK"/>
        </w:rPr>
        <w:t>lizinoprilu</w:t>
      </w:r>
      <w:proofErr w:type="spellEnd"/>
      <w:r w:rsidRPr="00157521">
        <w:rPr>
          <w:i/>
          <w:szCs w:val="22"/>
          <w:lang w:val="sk-SK"/>
        </w:rPr>
        <w:t>:</w:t>
      </w:r>
    </w:p>
    <w:p w14:paraId="264E32E3" w14:textId="77777777" w:rsidR="007608F3" w:rsidRPr="00157521" w:rsidRDefault="007608F3" w:rsidP="000B69CF">
      <w:pPr>
        <w:numPr>
          <w:ilvl w:val="0"/>
          <w:numId w:val="55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lang w:val="sk-SK"/>
        </w:rPr>
      </w:pPr>
      <w:r w:rsidRPr="00157521">
        <w:rPr>
          <w:lang w:val="sk-SK"/>
        </w:rPr>
        <w:t xml:space="preserve">Precitlivenosť na </w:t>
      </w:r>
      <w:proofErr w:type="spellStart"/>
      <w:r w:rsidRPr="00157521">
        <w:rPr>
          <w:lang w:val="sk-SK"/>
        </w:rPr>
        <w:t>lizinopril</w:t>
      </w:r>
      <w:proofErr w:type="spellEnd"/>
      <w:r w:rsidRPr="00157521">
        <w:rPr>
          <w:lang w:val="sk-SK"/>
        </w:rPr>
        <w:t xml:space="preserve"> alebo </w:t>
      </w:r>
      <w:r w:rsidR="001D7195">
        <w:rPr>
          <w:lang w:val="sk-SK"/>
        </w:rPr>
        <w:t xml:space="preserve">na </w:t>
      </w:r>
      <w:r w:rsidRPr="00157521">
        <w:rPr>
          <w:lang w:val="sk-SK"/>
        </w:rPr>
        <w:t>k</w:t>
      </w:r>
      <w:r w:rsidR="001D7195">
        <w:rPr>
          <w:lang w:val="sk-SK"/>
        </w:rPr>
        <w:t>tor</w:t>
      </w:r>
      <w:r w:rsidRPr="00157521">
        <w:rPr>
          <w:lang w:val="sk-SK"/>
        </w:rPr>
        <w:t xml:space="preserve">ýkoľvek </w:t>
      </w:r>
      <w:r w:rsidRPr="00157521">
        <w:rPr>
          <w:szCs w:val="22"/>
          <w:lang w:val="sk-SK"/>
        </w:rPr>
        <w:t xml:space="preserve">iný </w:t>
      </w:r>
      <w:r w:rsidR="007A0748">
        <w:rPr>
          <w:szCs w:val="22"/>
          <w:lang w:val="sk-SK"/>
        </w:rPr>
        <w:t>i</w:t>
      </w:r>
      <w:r w:rsidRPr="00157521">
        <w:rPr>
          <w:szCs w:val="22"/>
          <w:lang w:val="sk-SK"/>
        </w:rPr>
        <w:t xml:space="preserve">nhibítor </w:t>
      </w:r>
      <w:proofErr w:type="spellStart"/>
      <w:r w:rsidRPr="00157521">
        <w:rPr>
          <w:szCs w:val="22"/>
          <w:lang w:val="sk-SK"/>
        </w:rPr>
        <w:t>angiotenzín</w:t>
      </w:r>
      <w:proofErr w:type="spellEnd"/>
      <w:r w:rsidRPr="00157521">
        <w:rPr>
          <w:szCs w:val="22"/>
          <w:lang w:val="sk-SK"/>
        </w:rPr>
        <w:t xml:space="preserve"> konvertujúceho enzýmu (</w:t>
      </w:r>
      <w:r w:rsidRPr="00157521">
        <w:rPr>
          <w:lang w:val="sk-SK"/>
        </w:rPr>
        <w:t>ACE</w:t>
      </w:r>
      <w:r w:rsidRPr="00157521">
        <w:rPr>
          <w:szCs w:val="22"/>
          <w:lang w:val="sk-SK"/>
        </w:rPr>
        <w:t>).</w:t>
      </w:r>
    </w:p>
    <w:p w14:paraId="264E32E4" w14:textId="77777777" w:rsidR="007608F3" w:rsidRPr="00157521" w:rsidRDefault="007608F3" w:rsidP="000B69CF">
      <w:pPr>
        <w:numPr>
          <w:ilvl w:val="0"/>
          <w:numId w:val="55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lang w:val="sk-SK"/>
        </w:rPr>
      </w:pPr>
      <w:proofErr w:type="spellStart"/>
      <w:r w:rsidRPr="00157521">
        <w:rPr>
          <w:szCs w:val="22"/>
          <w:lang w:val="sk-SK"/>
        </w:rPr>
        <w:t>Angioneurotický</w:t>
      </w:r>
      <w:proofErr w:type="spellEnd"/>
      <w:r w:rsidRPr="00157521">
        <w:rPr>
          <w:szCs w:val="22"/>
          <w:lang w:val="sk-SK"/>
        </w:rPr>
        <w:t xml:space="preserve"> edém,</w:t>
      </w:r>
      <w:r w:rsidRPr="00157521">
        <w:rPr>
          <w:lang w:val="sk-SK"/>
        </w:rPr>
        <w:t xml:space="preserve"> spojený s predchádzajúcou liečbou ACE inhibítorom v anamnéze.</w:t>
      </w:r>
    </w:p>
    <w:p w14:paraId="264E32E5" w14:textId="77777777" w:rsidR="007608F3" w:rsidRPr="00157521" w:rsidRDefault="007608F3" w:rsidP="000B69CF">
      <w:pPr>
        <w:numPr>
          <w:ilvl w:val="0"/>
          <w:numId w:val="55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lang w:val="sk-SK"/>
        </w:rPr>
      </w:pPr>
      <w:r w:rsidRPr="00157521">
        <w:rPr>
          <w:lang w:val="sk-SK"/>
        </w:rPr>
        <w:t xml:space="preserve">Hereditárny alebo </w:t>
      </w:r>
      <w:proofErr w:type="spellStart"/>
      <w:r w:rsidRPr="00157521">
        <w:rPr>
          <w:szCs w:val="22"/>
          <w:lang w:val="sk-SK"/>
        </w:rPr>
        <w:t>angioneurotický</w:t>
      </w:r>
      <w:proofErr w:type="spellEnd"/>
      <w:r w:rsidRPr="00157521">
        <w:rPr>
          <w:szCs w:val="22"/>
          <w:lang w:val="sk-SK"/>
        </w:rPr>
        <w:t xml:space="preserve"> edém.</w:t>
      </w:r>
    </w:p>
    <w:p w14:paraId="264E32E6" w14:textId="77777777" w:rsidR="007608F3" w:rsidRDefault="007608F3" w:rsidP="000B69CF">
      <w:pPr>
        <w:numPr>
          <w:ilvl w:val="0"/>
          <w:numId w:val="55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Druhý a tretí </w:t>
      </w:r>
      <w:proofErr w:type="spellStart"/>
      <w:r w:rsidRPr="00157521">
        <w:rPr>
          <w:szCs w:val="22"/>
          <w:lang w:val="sk-SK"/>
        </w:rPr>
        <w:t>trimester</w:t>
      </w:r>
      <w:proofErr w:type="spellEnd"/>
      <w:r w:rsidRPr="00157521">
        <w:rPr>
          <w:szCs w:val="22"/>
          <w:lang w:val="sk-SK"/>
        </w:rPr>
        <w:t xml:space="preserve"> gravidity (pozri čas</w:t>
      </w:r>
      <w:r w:rsidR="00C64D0D">
        <w:rPr>
          <w:szCs w:val="22"/>
          <w:lang w:val="sk-SK"/>
        </w:rPr>
        <w:t>ti 4.4 a</w:t>
      </w:r>
      <w:r w:rsidRPr="00157521">
        <w:rPr>
          <w:szCs w:val="22"/>
          <w:lang w:val="sk-SK"/>
        </w:rPr>
        <w:t xml:space="preserve"> 4.6).</w:t>
      </w:r>
    </w:p>
    <w:p w14:paraId="264E32E7" w14:textId="77777777" w:rsidR="00AA0896" w:rsidRDefault="00AA0896" w:rsidP="000B69CF">
      <w:pPr>
        <w:numPr>
          <w:ilvl w:val="0"/>
          <w:numId w:val="55"/>
        </w:num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 w:rsidRPr="003F7DD0">
        <w:rPr>
          <w:szCs w:val="22"/>
          <w:lang w:val="sk-SK"/>
        </w:rPr>
        <w:t xml:space="preserve">Súbežné používanie </w:t>
      </w:r>
      <w:r w:rsidR="00915D85">
        <w:rPr>
          <w:szCs w:val="22"/>
          <w:lang w:val="sk-SK"/>
        </w:rPr>
        <w:t>DIRONORMU</w:t>
      </w:r>
      <w:r w:rsidRPr="003F7DD0">
        <w:rPr>
          <w:szCs w:val="22"/>
          <w:lang w:val="sk-SK"/>
        </w:rPr>
        <w:t xml:space="preserve"> s liekmi obsahujúcimi </w:t>
      </w:r>
      <w:proofErr w:type="spellStart"/>
      <w:r w:rsidRPr="003F7DD0">
        <w:rPr>
          <w:szCs w:val="22"/>
          <w:lang w:val="sk-SK"/>
        </w:rPr>
        <w:t>aliskiren</w:t>
      </w:r>
      <w:proofErr w:type="spellEnd"/>
      <w:r w:rsidRPr="003F7DD0">
        <w:rPr>
          <w:szCs w:val="22"/>
          <w:lang w:val="sk-SK"/>
        </w:rPr>
        <w:t xml:space="preserve"> je kontraindikované u pacientov s diabetes mellitus alebo poruchou funkcie obličiek (GFR &lt; 60 ml/min/1,73 m</w:t>
      </w:r>
      <w:r w:rsidRPr="003F7DD0">
        <w:rPr>
          <w:szCs w:val="22"/>
          <w:vertAlign w:val="superscript"/>
          <w:lang w:val="sk-SK"/>
        </w:rPr>
        <w:t>2</w:t>
      </w:r>
      <w:r w:rsidRPr="003F7DD0">
        <w:rPr>
          <w:szCs w:val="22"/>
          <w:lang w:val="sk-SK"/>
        </w:rPr>
        <w:t>) (pozri časti 4.5 a 5.1).</w:t>
      </w:r>
    </w:p>
    <w:p w14:paraId="264E32E8" w14:textId="77777777" w:rsidR="00540B04" w:rsidRPr="003F7DD0" w:rsidRDefault="00540B04" w:rsidP="00540B04">
      <w:pPr>
        <w:numPr>
          <w:ilvl w:val="0"/>
          <w:numId w:val="55"/>
        </w:num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>
        <w:rPr>
          <w:szCs w:val="22"/>
          <w:lang w:val="sk-SK"/>
        </w:rPr>
        <w:t>S</w:t>
      </w:r>
      <w:r w:rsidRPr="00540B04">
        <w:rPr>
          <w:szCs w:val="22"/>
          <w:lang w:val="sk-SK"/>
        </w:rPr>
        <w:t xml:space="preserve">úbežná liečba </w:t>
      </w:r>
      <w:proofErr w:type="spellStart"/>
      <w:r w:rsidRPr="00540B04">
        <w:rPr>
          <w:szCs w:val="22"/>
          <w:lang w:val="sk-SK"/>
        </w:rPr>
        <w:t>sakubitrilom</w:t>
      </w:r>
      <w:proofErr w:type="spellEnd"/>
      <w:r w:rsidRPr="00540B04">
        <w:rPr>
          <w:szCs w:val="22"/>
          <w:lang w:val="sk-SK"/>
        </w:rPr>
        <w:t>/</w:t>
      </w:r>
      <w:proofErr w:type="spellStart"/>
      <w:r w:rsidRPr="00540B04">
        <w:rPr>
          <w:szCs w:val="22"/>
          <w:lang w:val="sk-SK"/>
        </w:rPr>
        <w:t>valsartanom</w:t>
      </w:r>
      <w:proofErr w:type="spellEnd"/>
      <w:r w:rsidRPr="00540B04">
        <w:rPr>
          <w:szCs w:val="22"/>
          <w:lang w:val="sk-SK"/>
        </w:rPr>
        <w:t xml:space="preserve">. Liečba </w:t>
      </w:r>
      <w:r w:rsidR="00915D85">
        <w:rPr>
          <w:szCs w:val="22"/>
          <w:lang w:val="sk-SK"/>
        </w:rPr>
        <w:t>DIRONORMOM</w:t>
      </w:r>
      <w:r w:rsidRPr="00540B04">
        <w:rPr>
          <w:szCs w:val="22"/>
          <w:lang w:val="sk-SK"/>
        </w:rPr>
        <w:t xml:space="preserve"> sa nesmie začať skôr ako po 36 hodinách od poslednej dávky </w:t>
      </w:r>
      <w:proofErr w:type="spellStart"/>
      <w:r w:rsidRPr="00540B04">
        <w:rPr>
          <w:szCs w:val="22"/>
          <w:lang w:val="sk-SK"/>
        </w:rPr>
        <w:t>sakubitrilu</w:t>
      </w:r>
      <w:proofErr w:type="spellEnd"/>
      <w:r w:rsidRPr="00540B04">
        <w:rPr>
          <w:szCs w:val="22"/>
          <w:lang w:val="sk-SK"/>
        </w:rPr>
        <w:t>/</w:t>
      </w:r>
      <w:proofErr w:type="spellStart"/>
      <w:r w:rsidRPr="00540B04">
        <w:rPr>
          <w:szCs w:val="22"/>
          <w:lang w:val="sk-SK"/>
        </w:rPr>
        <w:t>valsartanu</w:t>
      </w:r>
      <w:proofErr w:type="spellEnd"/>
      <w:r w:rsidRPr="00540B04">
        <w:rPr>
          <w:szCs w:val="22"/>
          <w:lang w:val="sk-SK"/>
        </w:rPr>
        <w:t xml:space="preserve"> (pozri tiež časti 4.4 a 4.5).</w:t>
      </w:r>
    </w:p>
    <w:p w14:paraId="264E32E9" w14:textId="77777777" w:rsidR="007608F3" w:rsidRPr="00157521" w:rsidRDefault="007608F3" w:rsidP="009512D0">
      <w:pPr>
        <w:spacing w:line="240" w:lineRule="auto"/>
        <w:rPr>
          <w:i/>
          <w:szCs w:val="22"/>
          <w:lang w:val="sk-SK"/>
        </w:rPr>
      </w:pPr>
    </w:p>
    <w:p w14:paraId="264E32EA" w14:textId="77777777" w:rsidR="007608F3" w:rsidRPr="00157521" w:rsidRDefault="007608F3" w:rsidP="007608F3">
      <w:pPr>
        <w:spacing w:line="240" w:lineRule="auto"/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>Vzťahujúce sa k </w:t>
      </w:r>
      <w:proofErr w:type="spellStart"/>
      <w:r w:rsidRPr="00157521">
        <w:rPr>
          <w:i/>
          <w:szCs w:val="22"/>
          <w:lang w:val="sk-SK"/>
        </w:rPr>
        <w:t>amlodipínu</w:t>
      </w:r>
      <w:proofErr w:type="spellEnd"/>
      <w:r w:rsidRPr="00157521">
        <w:rPr>
          <w:i/>
          <w:szCs w:val="22"/>
          <w:lang w:val="sk-SK"/>
        </w:rPr>
        <w:t>:</w:t>
      </w:r>
    </w:p>
    <w:p w14:paraId="264E32EB" w14:textId="77777777" w:rsidR="007608F3" w:rsidRPr="00157521" w:rsidRDefault="007608F3" w:rsidP="000B69CF">
      <w:pPr>
        <w:numPr>
          <w:ilvl w:val="0"/>
          <w:numId w:val="56"/>
        </w:num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Precitlivenosť na </w:t>
      </w: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szCs w:val="22"/>
          <w:lang w:val="sk-SK"/>
        </w:rPr>
        <w:t xml:space="preserve"> alebo </w:t>
      </w:r>
      <w:r w:rsidR="00245A2F">
        <w:rPr>
          <w:szCs w:val="22"/>
          <w:lang w:val="sk-SK"/>
        </w:rPr>
        <w:t xml:space="preserve">na </w:t>
      </w:r>
      <w:r w:rsidRPr="00157521">
        <w:rPr>
          <w:szCs w:val="22"/>
          <w:lang w:val="sk-SK"/>
        </w:rPr>
        <w:t>k</w:t>
      </w:r>
      <w:r w:rsidR="00245A2F">
        <w:rPr>
          <w:szCs w:val="22"/>
          <w:lang w:val="sk-SK"/>
        </w:rPr>
        <w:t>tor</w:t>
      </w:r>
      <w:r w:rsidRPr="00157521">
        <w:rPr>
          <w:szCs w:val="22"/>
          <w:lang w:val="sk-SK"/>
        </w:rPr>
        <w:t xml:space="preserve">ýkoľvek iný derivát </w:t>
      </w:r>
      <w:proofErr w:type="spellStart"/>
      <w:r w:rsidRPr="00157521">
        <w:rPr>
          <w:szCs w:val="22"/>
          <w:lang w:val="sk-SK"/>
        </w:rPr>
        <w:t>dihydropyridínov</w:t>
      </w:r>
      <w:proofErr w:type="spellEnd"/>
      <w:r w:rsidRPr="00157521">
        <w:rPr>
          <w:szCs w:val="22"/>
          <w:lang w:val="sk-SK"/>
        </w:rPr>
        <w:t>.</w:t>
      </w:r>
    </w:p>
    <w:p w14:paraId="264E32EC" w14:textId="77777777" w:rsidR="007608F3" w:rsidRPr="00157521" w:rsidRDefault="007608F3" w:rsidP="000B69CF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40" w:lineRule="auto"/>
        <w:textAlignment w:val="baseline"/>
        <w:outlineLvl w:val="0"/>
        <w:rPr>
          <w:iCs/>
          <w:szCs w:val="22"/>
          <w:lang w:val="sk-SK" w:eastAsia="en-GB"/>
        </w:rPr>
      </w:pPr>
      <w:r w:rsidRPr="00157521">
        <w:rPr>
          <w:iCs/>
          <w:szCs w:val="22"/>
          <w:lang w:val="sk-SK" w:eastAsia="en-GB"/>
        </w:rPr>
        <w:lastRenderedPageBreak/>
        <w:t>Závažná hypotenzia.</w:t>
      </w:r>
    </w:p>
    <w:p w14:paraId="264E32ED" w14:textId="77777777" w:rsidR="007608F3" w:rsidRPr="00157521" w:rsidRDefault="007608F3" w:rsidP="000B69CF">
      <w:pPr>
        <w:numPr>
          <w:ilvl w:val="0"/>
          <w:numId w:val="56"/>
        </w:numPr>
        <w:spacing w:line="240" w:lineRule="auto"/>
        <w:rPr>
          <w:iCs/>
          <w:szCs w:val="22"/>
          <w:lang w:val="sk-SK" w:eastAsia="en-GB"/>
        </w:rPr>
      </w:pPr>
      <w:r w:rsidRPr="00157521">
        <w:rPr>
          <w:iCs/>
          <w:szCs w:val="22"/>
          <w:lang w:val="sk-SK" w:eastAsia="en-GB"/>
        </w:rPr>
        <w:t xml:space="preserve">Šok (vrátane </w:t>
      </w:r>
      <w:proofErr w:type="spellStart"/>
      <w:r w:rsidRPr="00157521">
        <w:rPr>
          <w:iCs/>
          <w:szCs w:val="22"/>
          <w:lang w:val="sk-SK" w:eastAsia="en-GB"/>
        </w:rPr>
        <w:t>kardiogénneho</w:t>
      </w:r>
      <w:proofErr w:type="spellEnd"/>
      <w:r w:rsidRPr="00157521">
        <w:rPr>
          <w:iCs/>
          <w:szCs w:val="22"/>
          <w:lang w:val="sk-SK" w:eastAsia="en-GB"/>
        </w:rPr>
        <w:t xml:space="preserve"> šoku)</w:t>
      </w:r>
      <w:r w:rsidR="009B6506">
        <w:rPr>
          <w:iCs/>
          <w:szCs w:val="22"/>
          <w:lang w:val="sk-SK" w:eastAsia="en-GB"/>
        </w:rPr>
        <w:t>.</w:t>
      </w:r>
    </w:p>
    <w:p w14:paraId="264E32EE" w14:textId="77777777" w:rsidR="007608F3" w:rsidRPr="00157521" w:rsidRDefault="007608F3" w:rsidP="000B69CF">
      <w:pPr>
        <w:numPr>
          <w:ilvl w:val="0"/>
          <w:numId w:val="56"/>
        </w:numPr>
        <w:spacing w:line="240" w:lineRule="auto"/>
        <w:rPr>
          <w:iCs/>
          <w:szCs w:val="22"/>
          <w:lang w:val="sk-SK" w:eastAsia="en-GB"/>
        </w:rPr>
      </w:pPr>
      <w:r w:rsidRPr="00157521">
        <w:rPr>
          <w:iCs/>
          <w:szCs w:val="22"/>
          <w:lang w:val="sk-SK" w:eastAsia="en-GB"/>
        </w:rPr>
        <w:t xml:space="preserve">Obštrukcia výtoku z ľavej srdcovej komory (napr. s pokročilým stupňom aortálnej </w:t>
      </w:r>
      <w:proofErr w:type="spellStart"/>
      <w:r w:rsidRPr="00157521">
        <w:rPr>
          <w:iCs/>
          <w:szCs w:val="22"/>
          <w:lang w:val="sk-SK" w:eastAsia="en-GB"/>
        </w:rPr>
        <w:t>stenózy</w:t>
      </w:r>
      <w:proofErr w:type="spellEnd"/>
      <w:r w:rsidRPr="00157521">
        <w:rPr>
          <w:iCs/>
          <w:szCs w:val="22"/>
          <w:lang w:val="sk-SK" w:eastAsia="en-GB"/>
        </w:rPr>
        <w:t xml:space="preserve">). </w:t>
      </w:r>
    </w:p>
    <w:p w14:paraId="264E32EF" w14:textId="77777777" w:rsidR="007608F3" w:rsidRPr="00157521" w:rsidRDefault="007608F3" w:rsidP="000B69CF">
      <w:pPr>
        <w:numPr>
          <w:ilvl w:val="0"/>
          <w:numId w:val="56"/>
        </w:numPr>
        <w:suppressAutoHyphens/>
        <w:spacing w:line="240" w:lineRule="auto"/>
        <w:rPr>
          <w:lang w:val="sk-SK"/>
        </w:rPr>
      </w:pPr>
      <w:proofErr w:type="spellStart"/>
      <w:r w:rsidRPr="00157521">
        <w:rPr>
          <w:iCs/>
          <w:szCs w:val="22"/>
          <w:lang w:val="sk-SK" w:eastAsia="en-GB"/>
        </w:rPr>
        <w:t>Hemodynamicky</w:t>
      </w:r>
      <w:proofErr w:type="spellEnd"/>
      <w:r w:rsidRPr="00157521">
        <w:rPr>
          <w:iCs/>
          <w:szCs w:val="22"/>
          <w:lang w:val="sk-SK" w:eastAsia="en-GB"/>
        </w:rPr>
        <w:t xml:space="preserve"> nestabilné srdcové</w:t>
      </w:r>
      <w:r w:rsidRPr="00157521">
        <w:rPr>
          <w:lang w:val="sk-SK"/>
        </w:rPr>
        <w:t xml:space="preserve"> zlyhanie po akútnom infarkte myokardu</w:t>
      </w:r>
      <w:r w:rsidRPr="00157521">
        <w:rPr>
          <w:iCs/>
          <w:szCs w:val="22"/>
          <w:lang w:val="sk-SK" w:eastAsia="en-GB"/>
        </w:rPr>
        <w:t>.</w:t>
      </w:r>
    </w:p>
    <w:p w14:paraId="264E32F0" w14:textId="77777777" w:rsidR="007608F3" w:rsidRPr="00157521" w:rsidRDefault="007608F3" w:rsidP="009512D0">
      <w:pPr>
        <w:spacing w:line="240" w:lineRule="auto"/>
        <w:rPr>
          <w:i/>
          <w:szCs w:val="22"/>
          <w:lang w:val="sk-SK"/>
        </w:rPr>
      </w:pPr>
    </w:p>
    <w:p w14:paraId="264E32F1" w14:textId="77777777" w:rsidR="007608F3" w:rsidRPr="00157521" w:rsidRDefault="00892F32" w:rsidP="007608F3">
      <w:pPr>
        <w:spacing w:line="240" w:lineRule="auto"/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>Vzťahujúce sa k </w:t>
      </w:r>
      <w:r w:rsidR="00915D85">
        <w:rPr>
          <w:i/>
          <w:szCs w:val="22"/>
          <w:lang w:val="sk-SK"/>
        </w:rPr>
        <w:t>DIRONORMU</w:t>
      </w:r>
      <w:r w:rsidR="007608F3" w:rsidRPr="00157521">
        <w:rPr>
          <w:i/>
          <w:szCs w:val="22"/>
          <w:lang w:val="sk-SK"/>
        </w:rPr>
        <w:t>:</w:t>
      </w:r>
    </w:p>
    <w:p w14:paraId="264E32F2" w14:textId="77777777" w:rsidR="007608F3" w:rsidRDefault="007608F3" w:rsidP="009512D0">
      <w:p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Všetky vyššie uvedené </w:t>
      </w:r>
      <w:r w:rsidR="007A0748">
        <w:rPr>
          <w:szCs w:val="22"/>
          <w:lang w:val="sk-SK"/>
        </w:rPr>
        <w:t>k</w:t>
      </w:r>
      <w:r w:rsidRPr="00157521">
        <w:rPr>
          <w:szCs w:val="22"/>
          <w:lang w:val="sk-SK"/>
        </w:rPr>
        <w:t xml:space="preserve">ontraindikácie vzťahujúce sa k jednotlivým </w:t>
      </w:r>
      <w:proofErr w:type="spellStart"/>
      <w:r w:rsidRPr="00157521">
        <w:rPr>
          <w:szCs w:val="22"/>
          <w:lang w:val="sk-SK"/>
        </w:rPr>
        <w:t>monokomponentom</w:t>
      </w:r>
      <w:proofErr w:type="spellEnd"/>
      <w:r w:rsidRPr="00157521">
        <w:rPr>
          <w:szCs w:val="22"/>
          <w:lang w:val="sk-SK"/>
        </w:rPr>
        <w:t xml:space="preserve"> sa tiež vzťahujú k fixnej kombinácii </w:t>
      </w:r>
      <w:r w:rsidR="00915D85">
        <w:rPr>
          <w:szCs w:val="22"/>
          <w:lang w:val="sk-SK"/>
        </w:rPr>
        <w:t>DIRONORM</w:t>
      </w:r>
      <w:r w:rsidRPr="00157521">
        <w:rPr>
          <w:szCs w:val="22"/>
          <w:lang w:val="sk-SK"/>
        </w:rPr>
        <w:t>.</w:t>
      </w:r>
    </w:p>
    <w:p w14:paraId="264E32F3" w14:textId="77777777" w:rsidR="007A0748" w:rsidRPr="00157521" w:rsidRDefault="007A0748" w:rsidP="000B69CF">
      <w:pPr>
        <w:numPr>
          <w:ilvl w:val="0"/>
          <w:numId w:val="57"/>
        </w:numPr>
        <w:suppressAutoHyphens/>
        <w:spacing w:line="240" w:lineRule="auto"/>
        <w:rPr>
          <w:lang w:val="sk-SK"/>
        </w:rPr>
      </w:pPr>
      <w:r w:rsidRPr="00157521">
        <w:rPr>
          <w:szCs w:val="22"/>
          <w:lang w:val="sk-SK"/>
        </w:rPr>
        <w:t>Precitlivenosť</w:t>
      </w:r>
      <w:r w:rsidR="00245A2F">
        <w:rPr>
          <w:szCs w:val="22"/>
          <w:lang w:val="sk-SK"/>
        </w:rPr>
        <w:t xml:space="preserve"> na </w:t>
      </w:r>
      <w:r w:rsidRPr="00157521">
        <w:rPr>
          <w:szCs w:val="22"/>
          <w:lang w:val="sk-SK"/>
        </w:rPr>
        <w:t>ktorúkoľvek z pomocných látok uvedených v časti 6.1</w:t>
      </w:r>
      <w:r w:rsidRPr="00157521">
        <w:rPr>
          <w:iCs/>
          <w:szCs w:val="22"/>
          <w:lang w:val="sk-SK" w:eastAsia="en-GB"/>
        </w:rPr>
        <w:t>.</w:t>
      </w:r>
    </w:p>
    <w:p w14:paraId="264E32F4" w14:textId="77777777" w:rsidR="007A0748" w:rsidRPr="00157521" w:rsidRDefault="007A0748" w:rsidP="009512D0">
      <w:pPr>
        <w:spacing w:line="240" w:lineRule="auto"/>
        <w:rPr>
          <w:szCs w:val="22"/>
          <w:lang w:val="sk-SK"/>
        </w:rPr>
      </w:pPr>
    </w:p>
    <w:p w14:paraId="264E32F5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4.4</w:t>
      </w:r>
      <w:r w:rsidRPr="00157521">
        <w:rPr>
          <w:b/>
          <w:lang w:val="sk-SK"/>
        </w:rPr>
        <w:tab/>
      </w:r>
      <w:r w:rsidR="00D63214" w:rsidRPr="00157521">
        <w:rPr>
          <w:b/>
          <w:lang w:val="sk-SK"/>
        </w:rPr>
        <w:t>Osobitné upozornenia a opatrenia pri používaní</w:t>
      </w:r>
    </w:p>
    <w:p w14:paraId="264E32F6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2F7" w14:textId="77777777" w:rsidR="00C4188F" w:rsidRPr="00157521" w:rsidRDefault="00C4188F" w:rsidP="009512D0">
      <w:p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Všetky upozornenia so vzťahom k jednotlivým </w:t>
      </w:r>
      <w:proofErr w:type="spellStart"/>
      <w:r w:rsidRPr="00157521">
        <w:rPr>
          <w:szCs w:val="22"/>
          <w:lang w:val="sk-SK"/>
        </w:rPr>
        <w:t>monokomponentom</w:t>
      </w:r>
      <w:proofErr w:type="spellEnd"/>
      <w:r w:rsidRPr="00157521">
        <w:rPr>
          <w:szCs w:val="22"/>
          <w:lang w:val="sk-SK"/>
        </w:rPr>
        <w:t xml:space="preserve"> uvedené nižšie sa tiež vzťahujú k fixnej kombinácii </w:t>
      </w:r>
      <w:r w:rsidR="00915D85">
        <w:rPr>
          <w:szCs w:val="22"/>
          <w:lang w:val="sk-SK"/>
        </w:rPr>
        <w:t>DIRONORM</w:t>
      </w:r>
      <w:r w:rsidRPr="00157521">
        <w:rPr>
          <w:szCs w:val="22"/>
          <w:lang w:val="sk-SK"/>
        </w:rPr>
        <w:t>.</w:t>
      </w:r>
    </w:p>
    <w:p w14:paraId="264E32F8" w14:textId="77777777" w:rsidR="00C4188F" w:rsidRPr="00157521" w:rsidRDefault="00C4188F" w:rsidP="009512D0">
      <w:pPr>
        <w:spacing w:line="240" w:lineRule="auto"/>
        <w:rPr>
          <w:szCs w:val="22"/>
          <w:lang w:val="sk-SK"/>
        </w:rPr>
      </w:pPr>
    </w:p>
    <w:p w14:paraId="264E32F9" w14:textId="77777777" w:rsidR="00C4188F" w:rsidRPr="00732909" w:rsidRDefault="00C4188F" w:rsidP="00C4188F">
      <w:pPr>
        <w:spacing w:line="240" w:lineRule="auto"/>
        <w:rPr>
          <w:u w:val="single"/>
          <w:lang w:val="sk-SK"/>
        </w:rPr>
      </w:pPr>
      <w:r w:rsidRPr="00732909">
        <w:rPr>
          <w:u w:val="single"/>
          <w:lang w:val="sk-SK"/>
        </w:rPr>
        <w:t>Vzťahujúce sa k </w:t>
      </w:r>
      <w:proofErr w:type="spellStart"/>
      <w:r w:rsidRPr="00732909">
        <w:rPr>
          <w:u w:val="single"/>
          <w:lang w:val="sk-SK"/>
        </w:rPr>
        <w:t>lizinoprilu</w:t>
      </w:r>
      <w:proofErr w:type="spellEnd"/>
    </w:p>
    <w:p w14:paraId="264E32FA" w14:textId="77777777" w:rsidR="00C4188F" w:rsidRPr="00157521" w:rsidRDefault="00C4188F" w:rsidP="009512D0">
      <w:pPr>
        <w:spacing w:line="240" w:lineRule="auto"/>
        <w:rPr>
          <w:szCs w:val="22"/>
          <w:lang w:val="sk-SK"/>
        </w:rPr>
      </w:pPr>
    </w:p>
    <w:p w14:paraId="264E32FB" w14:textId="77777777" w:rsidR="00681759" w:rsidRPr="003F7DD0" w:rsidRDefault="00681759" w:rsidP="009512D0">
      <w:pPr>
        <w:tabs>
          <w:tab w:val="left" w:pos="288"/>
          <w:tab w:val="left" w:pos="432"/>
        </w:tabs>
        <w:spacing w:line="240" w:lineRule="auto"/>
        <w:rPr>
          <w:i/>
          <w:u w:val="single"/>
          <w:lang w:val="sk-SK"/>
        </w:rPr>
      </w:pPr>
      <w:r w:rsidRPr="003F7DD0">
        <w:rPr>
          <w:i/>
          <w:u w:val="single"/>
          <w:lang w:val="sk-SK"/>
        </w:rPr>
        <w:t>Symptomatic</w:t>
      </w:r>
      <w:r w:rsidR="00D63214" w:rsidRPr="003F7DD0">
        <w:rPr>
          <w:i/>
          <w:u w:val="single"/>
          <w:lang w:val="sk-SK"/>
        </w:rPr>
        <w:t>ká</w:t>
      </w:r>
      <w:r w:rsidRPr="003F7DD0">
        <w:rPr>
          <w:i/>
          <w:u w:val="single"/>
          <w:lang w:val="sk-SK"/>
        </w:rPr>
        <w:t xml:space="preserve"> hypoten</w:t>
      </w:r>
      <w:r w:rsidR="00D63214" w:rsidRPr="003F7DD0">
        <w:rPr>
          <w:i/>
          <w:u w:val="single"/>
          <w:lang w:val="sk-SK"/>
        </w:rPr>
        <w:t>z</w:t>
      </w:r>
      <w:r w:rsidRPr="003F7DD0">
        <w:rPr>
          <w:i/>
          <w:u w:val="single"/>
          <w:lang w:val="sk-SK"/>
        </w:rPr>
        <w:t>i</w:t>
      </w:r>
      <w:r w:rsidR="00D63214" w:rsidRPr="003F7DD0">
        <w:rPr>
          <w:i/>
          <w:u w:val="single"/>
          <w:lang w:val="sk-SK"/>
        </w:rPr>
        <w:t>a</w:t>
      </w:r>
    </w:p>
    <w:p w14:paraId="264E32FC" w14:textId="77777777" w:rsidR="00C45105" w:rsidRPr="00157521" w:rsidRDefault="00C45105" w:rsidP="00C64D0D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U pacientov s hypertenziou bez komplikácií sa </w:t>
      </w:r>
      <w:r w:rsidRPr="00157521">
        <w:rPr>
          <w:lang w:val="sk-SK"/>
        </w:rPr>
        <w:t xml:space="preserve">symptomatická hypotenzia </w:t>
      </w:r>
      <w:r w:rsidRPr="00157521">
        <w:rPr>
          <w:szCs w:val="22"/>
          <w:lang w:val="sk-SK"/>
        </w:rPr>
        <w:t xml:space="preserve">vyskytuje zriedkavo. Spomedzi pacientov s hypertenziou, ktorí sa liečia 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i/>
          <w:szCs w:val="22"/>
          <w:lang w:val="sk-SK"/>
        </w:rPr>
        <w:t xml:space="preserve">, </w:t>
      </w:r>
      <w:r w:rsidRPr="00157521">
        <w:rPr>
          <w:szCs w:val="22"/>
          <w:lang w:val="sk-SK"/>
        </w:rPr>
        <w:t>sa hypotenzia vyskytne pravdepodobnejšie</w:t>
      </w:r>
      <w:r w:rsidRPr="00157521">
        <w:rPr>
          <w:lang w:val="sk-SK"/>
        </w:rPr>
        <w:t xml:space="preserve"> u</w:t>
      </w:r>
      <w:r w:rsidRPr="00157521">
        <w:rPr>
          <w:szCs w:val="22"/>
          <w:lang w:val="sk-SK"/>
        </w:rPr>
        <w:t xml:space="preserve"> tých pacientov, ktorí majú </w:t>
      </w:r>
      <w:proofErr w:type="spellStart"/>
      <w:r w:rsidRPr="00157521">
        <w:rPr>
          <w:szCs w:val="22"/>
          <w:lang w:val="sk-SK"/>
        </w:rPr>
        <w:t>depléciu</w:t>
      </w:r>
      <w:proofErr w:type="spellEnd"/>
      <w:r w:rsidRPr="00157521">
        <w:rPr>
          <w:lang w:val="sk-SK"/>
        </w:rPr>
        <w:t xml:space="preserve"> tekutín</w:t>
      </w:r>
      <w:r w:rsidRPr="00157521">
        <w:rPr>
          <w:szCs w:val="22"/>
          <w:lang w:val="sk-SK"/>
        </w:rPr>
        <w:t xml:space="preserve">, vyvolanú napr. diuretickou liečbou, diétnou reštrikciou príjmu soli, dialýzou, hnačkami alebo vracaním, </w:t>
      </w:r>
      <w:r w:rsidRPr="00157521">
        <w:rPr>
          <w:lang w:val="sk-SK"/>
        </w:rPr>
        <w:t xml:space="preserve">alebo </w:t>
      </w:r>
      <w:r w:rsidRPr="00157521">
        <w:rPr>
          <w:szCs w:val="22"/>
          <w:lang w:val="sk-SK"/>
        </w:rPr>
        <w:t>u pacientov s ťažkou</w:t>
      </w:r>
      <w:r w:rsidRPr="00157521">
        <w:rPr>
          <w:b/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renín-dependentnou</w:t>
      </w:r>
      <w:proofErr w:type="spellEnd"/>
      <w:r w:rsidRPr="00157521">
        <w:rPr>
          <w:szCs w:val="22"/>
          <w:lang w:val="sk-SK"/>
        </w:rPr>
        <w:t xml:space="preserve"> hypertenziou</w:t>
      </w:r>
      <w:r w:rsidRPr="00157521">
        <w:rPr>
          <w:lang w:val="sk-SK"/>
        </w:rPr>
        <w:t xml:space="preserve"> (pozri čas</w:t>
      </w:r>
      <w:r w:rsidR="001A7EFE">
        <w:rPr>
          <w:lang w:val="sk-SK"/>
        </w:rPr>
        <w:t>ti</w:t>
      </w:r>
      <w:r w:rsidRPr="00157521">
        <w:rPr>
          <w:lang w:val="sk-SK"/>
        </w:rPr>
        <w:t xml:space="preserve"> 4.</w:t>
      </w:r>
      <w:r w:rsidRPr="00157521">
        <w:rPr>
          <w:szCs w:val="22"/>
          <w:lang w:val="sk-SK"/>
        </w:rPr>
        <w:t>5 a</w:t>
      </w:r>
      <w:r w:rsidR="00C64D0D">
        <w:rPr>
          <w:szCs w:val="22"/>
          <w:lang w:val="sk-SK"/>
        </w:rPr>
        <w:t> </w:t>
      </w:r>
      <w:r w:rsidRPr="00157521">
        <w:rPr>
          <w:szCs w:val="22"/>
          <w:lang w:val="sk-SK"/>
        </w:rPr>
        <w:t>4.8). Symptomatická hypotenzia sa pozorovala u pacientov so srdcovým zlyhaním a </w:t>
      </w:r>
      <w:proofErr w:type="spellStart"/>
      <w:r w:rsidRPr="00157521">
        <w:rPr>
          <w:szCs w:val="22"/>
          <w:lang w:val="sk-SK"/>
        </w:rPr>
        <w:t>renálnou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insuficienciou</w:t>
      </w:r>
      <w:proofErr w:type="spellEnd"/>
      <w:r w:rsidRPr="00157521">
        <w:rPr>
          <w:szCs w:val="22"/>
          <w:lang w:val="sk-SK"/>
        </w:rPr>
        <w:t xml:space="preserve"> alebo bez nej. Tá sa najpravdepodobnejšie dostaví u pacientov so závažnejším stupňom srdcového zlyhania, čo odráža použitie vyšších dávok </w:t>
      </w:r>
      <w:proofErr w:type="spellStart"/>
      <w:r w:rsidRPr="00157521">
        <w:rPr>
          <w:szCs w:val="22"/>
          <w:lang w:val="sk-SK"/>
        </w:rPr>
        <w:t>kľučkových</w:t>
      </w:r>
      <w:proofErr w:type="spellEnd"/>
      <w:r w:rsidRPr="00157521">
        <w:rPr>
          <w:szCs w:val="22"/>
          <w:lang w:val="sk-SK"/>
        </w:rPr>
        <w:t xml:space="preserve"> diuretík, </w:t>
      </w:r>
      <w:proofErr w:type="spellStart"/>
      <w:r w:rsidRPr="00157521">
        <w:rPr>
          <w:szCs w:val="22"/>
          <w:lang w:val="sk-SK"/>
        </w:rPr>
        <w:t>hyponatriémiu</w:t>
      </w:r>
      <w:proofErr w:type="spellEnd"/>
      <w:r w:rsidRPr="00157521">
        <w:rPr>
          <w:szCs w:val="22"/>
          <w:lang w:val="sk-SK"/>
        </w:rPr>
        <w:t xml:space="preserve"> alebo poruchu funkcie obličiek. U pacientov so zvýšeným rizikom symptomatickej hypotenzie sa musí začiatok liečby a úprava dávok prísne monitorovať. Toto platí aj pre pacientov s ischemickou chorobou srdca alebo </w:t>
      </w:r>
      <w:proofErr w:type="spellStart"/>
      <w:r w:rsidRPr="00157521">
        <w:rPr>
          <w:szCs w:val="22"/>
          <w:lang w:val="sk-SK"/>
        </w:rPr>
        <w:t>cerebrovaskulárnym</w:t>
      </w:r>
      <w:proofErr w:type="spellEnd"/>
      <w:r w:rsidRPr="00157521">
        <w:rPr>
          <w:szCs w:val="22"/>
          <w:lang w:val="sk-SK"/>
        </w:rPr>
        <w:t xml:space="preserve"> ochorením, u ktorých môže prílišný pokles tlaku krvi vyústiť do infarktu myokardu alebo </w:t>
      </w:r>
      <w:proofErr w:type="spellStart"/>
      <w:r w:rsidRPr="00157521">
        <w:rPr>
          <w:szCs w:val="22"/>
          <w:lang w:val="sk-SK"/>
        </w:rPr>
        <w:t>cerebrovaskulárnej</w:t>
      </w:r>
      <w:proofErr w:type="spellEnd"/>
      <w:r w:rsidRPr="00157521">
        <w:rPr>
          <w:szCs w:val="22"/>
          <w:lang w:val="sk-SK"/>
        </w:rPr>
        <w:t xml:space="preserve"> príhody.</w:t>
      </w:r>
    </w:p>
    <w:p w14:paraId="264E32FD" w14:textId="77777777" w:rsidR="00C4188F" w:rsidRPr="00157521" w:rsidRDefault="00C4188F" w:rsidP="00C45105">
      <w:pPr>
        <w:jc w:val="both"/>
        <w:rPr>
          <w:szCs w:val="22"/>
          <w:lang w:val="sk-SK"/>
        </w:rPr>
      </w:pPr>
    </w:p>
    <w:p w14:paraId="264E32FE" w14:textId="77777777" w:rsidR="00C45105" w:rsidRPr="00157521" w:rsidRDefault="00C45105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Ak sa objaví hypotenzia, pacient sa má </w:t>
      </w:r>
      <w:r w:rsidRPr="00157521">
        <w:rPr>
          <w:lang w:val="sk-SK"/>
        </w:rPr>
        <w:t xml:space="preserve">uložiť do </w:t>
      </w:r>
      <w:r w:rsidRPr="00157521">
        <w:rPr>
          <w:szCs w:val="22"/>
          <w:lang w:val="sk-SK"/>
        </w:rPr>
        <w:t xml:space="preserve">ležiacej </w:t>
      </w:r>
      <w:r w:rsidRPr="00157521">
        <w:rPr>
          <w:lang w:val="sk-SK"/>
        </w:rPr>
        <w:t xml:space="preserve">polohy a ak je to potrebné, </w:t>
      </w:r>
      <w:r w:rsidRPr="00157521">
        <w:rPr>
          <w:szCs w:val="22"/>
          <w:lang w:val="sk-SK"/>
        </w:rPr>
        <w:t>má</w:t>
      </w:r>
      <w:r w:rsidRPr="00157521">
        <w:rPr>
          <w:lang w:val="sk-SK"/>
        </w:rPr>
        <w:t xml:space="preserve"> sa </w:t>
      </w:r>
      <w:r w:rsidRPr="00157521">
        <w:rPr>
          <w:szCs w:val="22"/>
          <w:lang w:val="sk-SK"/>
        </w:rPr>
        <w:t xml:space="preserve">mu </w:t>
      </w:r>
      <w:r w:rsidRPr="00157521">
        <w:rPr>
          <w:lang w:val="sk-SK"/>
        </w:rPr>
        <w:t>podať infúzia fyziologického roztoku</w:t>
      </w:r>
      <w:r w:rsidRPr="00157521">
        <w:rPr>
          <w:szCs w:val="22"/>
          <w:lang w:val="sk-SK"/>
        </w:rPr>
        <w:t>. Prechodná hypotenzia ako odpoveď na liečbu nie je kontraindikáciou podávania ďalších dávok, ktoré sa môžu zvyčajne podať bez problémov, keď sa po doplnení tekutín zvýši tlak krvi.</w:t>
      </w:r>
    </w:p>
    <w:p w14:paraId="264E32FF" w14:textId="77777777" w:rsidR="00681759" w:rsidRPr="00157521" w:rsidRDefault="00C45105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U niektorých pacientov so srdcovým zlyhaním, ktorí majú normálny alebo nízky tlak krvi, sa môže tlak krvi ďalej znížiť pri liečbe </w:t>
      </w:r>
      <w:proofErr w:type="spellStart"/>
      <w:r w:rsidR="008A44A0"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. Tento účinok možno predpokladať a zvyčajne nie je dôvodom na ukončenie </w:t>
      </w:r>
      <w:r w:rsidRPr="00157521">
        <w:rPr>
          <w:lang w:val="sk-SK"/>
        </w:rPr>
        <w:t>liečby</w:t>
      </w:r>
      <w:r w:rsidRPr="00157521">
        <w:rPr>
          <w:szCs w:val="22"/>
          <w:lang w:val="sk-SK"/>
        </w:rPr>
        <w:t xml:space="preserve">. Ak hypotenzia začne byť symptomatická, môže byť potrebné dávku znížiť alebo liečbu </w:t>
      </w:r>
      <w:proofErr w:type="spellStart"/>
      <w:r w:rsidR="008A44A0"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 ukončiť.</w:t>
      </w:r>
    </w:p>
    <w:p w14:paraId="264E3300" w14:textId="77777777" w:rsidR="00245B56" w:rsidRPr="00157521" w:rsidRDefault="00245B56" w:rsidP="00245B56">
      <w:pPr>
        <w:jc w:val="both"/>
        <w:rPr>
          <w:b/>
          <w:i/>
          <w:szCs w:val="22"/>
          <w:lang w:val="sk-SK"/>
        </w:rPr>
      </w:pPr>
    </w:p>
    <w:p w14:paraId="264E3301" w14:textId="77777777" w:rsidR="00245B56" w:rsidRPr="003F7DD0" w:rsidRDefault="00245B56" w:rsidP="00245B56">
      <w:pPr>
        <w:jc w:val="both"/>
        <w:rPr>
          <w:szCs w:val="22"/>
          <w:u w:val="single"/>
          <w:lang w:val="sk-SK"/>
        </w:rPr>
      </w:pPr>
      <w:r w:rsidRPr="003F7DD0">
        <w:rPr>
          <w:i/>
          <w:szCs w:val="22"/>
          <w:u w:val="single"/>
          <w:lang w:val="sk-SK"/>
        </w:rPr>
        <w:t>Hypotenzia pri akútnom infarkte myokardu</w:t>
      </w:r>
    </w:p>
    <w:p w14:paraId="264E3302" w14:textId="77777777" w:rsidR="00245B56" w:rsidRPr="00157521" w:rsidRDefault="00245B56" w:rsidP="003F7DD0">
      <w:pPr>
        <w:rPr>
          <w:lang w:val="sk-SK"/>
        </w:rPr>
      </w:pPr>
      <w:r w:rsidRPr="00157521">
        <w:rPr>
          <w:szCs w:val="22"/>
          <w:lang w:val="sk-SK"/>
        </w:rPr>
        <w:t xml:space="preserve">Liečba 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 sa nemôže začať u pacientov s akútnym infarktom myokardu, ktorí majú riziko ďalšieho závažného zhoršenia </w:t>
      </w:r>
      <w:proofErr w:type="spellStart"/>
      <w:r w:rsidRPr="00157521">
        <w:rPr>
          <w:szCs w:val="22"/>
          <w:lang w:val="sk-SK"/>
        </w:rPr>
        <w:t>hemodynamiky</w:t>
      </w:r>
      <w:proofErr w:type="spellEnd"/>
      <w:r w:rsidRPr="00157521">
        <w:rPr>
          <w:szCs w:val="22"/>
          <w:lang w:val="sk-SK"/>
        </w:rPr>
        <w:t xml:space="preserve"> po liečbe </w:t>
      </w:r>
      <w:proofErr w:type="spellStart"/>
      <w:r w:rsidRPr="00157521">
        <w:rPr>
          <w:szCs w:val="22"/>
          <w:lang w:val="sk-SK"/>
        </w:rPr>
        <w:t>vazodilatanciami</w:t>
      </w:r>
      <w:proofErr w:type="spellEnd"/>
      <w:r w:rsidRPr="00157521">
        <w:rPr>
          <w:szCs w:val="22"/>
          <w:lang w:val="sk-SK"/>
        </w:rPr>
        <w:t xml:space="preserve">. Ide o pacientov so </w:t>
      </w:r>
      <w:proofErr w:type="spellStart"/>
      <w:r w:rsidRPr="00157521">
        <w:rPr>
          <w:szCs w:val="22"/>
          <w:lang w:val="sk-SK"/>
        </w:rPr>
        <w:t>systolickým</w:t>
      </w:r>
      <w:proofErr w:type="spellEnd"/>
      <w:r w:rsidRPr="00157521">
        <w:rPr>
          <w:szCs w:val="22"/>
          <w:lang w:val="sk-SK"/>
        </w:rPr>
        <w:t xml:space="preserve"> tlakom krvi 100 mm</w:t>
      </w:r>
      <w:r w:rsidR="0074736D">
        <w:rPr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>Hg a nižším a o pacientov v </w:t>
      </w:r>
      <w:proofErr w:type="spellStart"/>
      <w:r w:rsidRPr="00157521">
        <w:rPr>
          <w:szCs w:val="22"/>
          <w:lang w:val="sk-SK"/>
        </w:rPr>
        <w:t>kardiogénnom</w:t>
      </w:r>
      <w:proofErr w:type="spellEnd"/>
      <w:r w:rsidRPr="00157521">
        <w:rPr>
          <w:szCs w:val="22"/>
          <w:lang w:val="sk-SK"/>
        </w:rPr>
        <w:t xml:space="preserve"> šoku. Počas prvých troch dní po infarkte myokardu sa má dávka znížiť, ak je </w:t>
      </w:r>
      <w:proofErr w:type="spellStart"/>
      <w:r w:rsidRPr="00157521">
        <w:rPr>
          <w:szCs w:val="22"/>
          <w:lang w:val="sk-SK"/>
        </w:rPr>
        <w:t>systolický</w:t>
      </w:r>
      <w:proofErr w:type="spellEnd"/>
      <w:r w:rsidRPr="00157521">
        <w:rPr>
          <w:szCs w:val="22"/>
          <w:lang w:val="sk-SK"/>
        </w:rPr>
        <w:t xml:space="preserve"> tlak krvi 120</w:t>
      </w:r>
      <w:r w:rsidR="00786CF4">
        <w:rPr>
          <w:szCs w:val="22"/>
          <w:lang w:val="sk-SK"/>
        </w:rPr>
        <w:t> </w:t>
      </w:r>
      <w:r w:rsidRPr="00157521">
        <w:rPr>
          <w:szCs w:val="22"/>
          <w:lang w:val="sk-SK"/>
        </w:rPr>
        <w:t>mm</w:t>
      </w:r>
      <w:r w:rsidR="00786CF4">
        <w:rPr>
          <w:szCs w:val="22"/>
          <w:lang w:val="sk-SK"/>
        </w:rPr>
        <w:t> </w:t>
      </w:r>
      <w:r w:rsidRPr="00157521">
        <w:rPr>
          <w:szCs w:val="22"/>
          <w:lang w:val="sk-SK"/>
        </w:rPr>
        <w:t>Hg a nižší. Udržiavacie</w:t>
      </w:r>
      <w:r w:rsidRPr="00157521">
        <w:rPr>
          <w:lang w:val="sk-SK"/>
        </w:rPr>
        <w:t xml:space="preserve"> dávky </w:t>
      </w:r>
      <w:r w:rsidRPr="00157521">
        <w:rPr>
          <w:szCs w:val="22"/>
          <w:lang w:val="sk-SK"/>
        </w:rPr>
        <w:t xml:space="preserve">sa majú znížiť na 5 mg alebo dočasne na 2,5 mg, ak je </w:t>
      </w:r>
      <w:proofErr w:type="spellStart"/>
      <w:r w:rsidRPr="00157521">
        <w:rPr>
          <w:szCs w:val="22"/>
          <w:lang w:val="sk-SK"/>
        </w:rPr>
        <w:t>systolický</w:t>
      </w:r>
      <w:proofErr w:type="spellEnd"/>
      <w:r w:rsidRPr="00157521">
        <w:rPr>
          <w:szCs w:val="22"/>
          <w:lang w:val="sk-SK"/>
        </w:rPr>
        <w:t xml:space="preserve"> tlak krvi 100</w:t>
      </w:r>
      <w:r w:rsidR="00786CF4">
        <w:rPr>
          <w:szCs w:val="22"/>
          <w:lang w:val="sk-SK"/>
        </w:rPr>
        <w:t> </w:t>
      </w:r>
      <w:r w:rsidRPr="00157521">
        <w:rPr>
          <w:szCs w:val="22"/>
          <w:lang w:val="sk-SK"/>
        </w:rPr>
        <w:t>mm</w:t>
      </w:r>
      <w:r w:rsidR="00786CF4">
        <w:rPr>
          <w:szCs w:val="22"/>
          <w:lang w:val="sk-SK"/>
        </w:rPr>
        <w:t> </w:t>
      </w:r>
      <w:r w:rsidRPr="00157521">
        <w:rPr>
          <w:szCs w:val="22"/>
          <w:lang w:val="sk-SK"/>
        </w:rPr>
        <w:t>Hg alebo nižší. Ak hypotenzia pretrváva (</w:t>
      </w:r>
      <w:proofErr w:type="spellStart"/>
      <w:r w:rsidRPr="00157521">
        <w:rPr>
          <w:szCs w:val="22"/>
          <w:lang w:val="sk-SK"/>
        </w:rPr>
        <w:t>systolický</w:t>
      </w:r>
      <w:proofErr w:type="spellEnd"/>
      <w:r w:rsidRPr="00157521">
        <w:rPr>
          <w:szCs w:val="22"/>
          <w:lang w:val="sk-SK"/>
        </w:rPr>
        <w:t xml:space="preserve"> tlak krvi nižší ako 90</w:t>
      </w:r>
      <w:r w:rsidR="00786CF4">
        <w:rPr>
          <w:szCs w:val="22"/>
          <w:lang w:val="sk-SK"/>
        </w:rPr>
        <w:t> </w:t>
      </w:r>
      <w:r w:rsidRPr="00157521">
        <w:rPr>
          <w:szCs w:val="22"/>
          <w:lang w:val="sk-SK"/>
        </w:rPr>
        <w:t>mm</w:t>
      </w:r>
      <w:r w:rsidR="00786CF4">
        <w:rPr>
          <w:szCs w:val="22"/>
          <w:lang w:val="sk-SK"/>
        </w:rPr>
        <w:t> </w:t>
      </w:r>
      <w:r w:rsidRPr="00157521">
        <w:rPr>
          <w:szCs w:val="22"/>
          <w:lang w:val="sk-SK"/>
        </w:rPr>
        <w:t xml:space="preserve">Hg trvajúci viac ako 1 hodinu), liečba </w:t>
      </w:r>
      <w:proofErr w:type="spellStart"/>
      <w:r w:rsidR="008A44A0"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 sa má ukončiť.</w:t>
      </w:r>
    </w:p>
    <w:p w14:paraId="264E3303" w14:textId="77777777" w:rsidR="00245B56" w:rsidRPr="00157521" w:rsidRDefault="00245B56" w:rsidP="00245B56">
      <w:pPr>
        <w:jc w:val="both"/>
        <w:rPr>
          <w:lang w:val="sk-SK"/>
        </w:rPr>
      </w:pPr>
    </w:p>
    <w:p w14:paraId="264E3304" w14:textId="77777777" w:rsidR="00681759" w:rsidRPr="003F7DD0" w:rsidRDefault="00050C58" w:rsidP="00050C58">
      <w:pPr>
        <w:outlineLvl w:val="0"/>
        <w:rPr>
          <w:u w:val="single"/>
          <w:lang w:val="sk-SK"/>
        </w:rPr>
      </w:pPr>
      <w:r w:rsidRPr="003F7DD0">
        <w:rPr>
          <w:i/>
          <w:u w:val="single"/>
          <w:lang w:val="sk-SK"/>
        </w:rPr>
        <w:t xml:space="preserve">Aortálna a </w:t>
      </w:r>
      <w:proofErr w:type="spellStart"/>
      <w:r w:rsidRPr="003F7DD0">
        <w:rPr>
          <w:i/>
          <w:u w:val="single"/>
          <w:lang w:val="sk-SK"/>
        </w:rPr>
        <w:t>mitrálna</w:t>
      </w:r>
      <w:proofErr w:type="spellEnd"/>
      <w:r w:rsidRPr="003F7DD0">
        <w:rPr>
          <w:i/>
          <w:u w:val="single"/>
          <w:lang w:val="sk-SK"/>
        </w:rPr>
        <w:t xml:space="preserve"> </w:t>
      </w:r>
      <w:proofErr w:type="spellStart"/>
      <w:r w:rsidR="00D92878" w:rsidRPr="003F7DD0">
        <w:rPr>
          <w:i/>
          <w:szCs w:val="22"/>
          <w:u w:val="single"/>
          <w:lang w:val="sk-SK"/>
        </w:rPr>
        <w:t>valvulárna</w:t>
      </w:r>
      <w:proofErr w:type="spellEnd"/>
      <w:r w:rsidR="00D92878" w:rsidRPr="003F7DD0">
        <w:rPr>
          <w:i/>
          <w:szCs w:val="22"/>
          <w:u w:val="single"/>
          <w:lang w:val="sk-SK"/>
        </w:rPr>
        <w:t xml:space="preserve"> </w:t>
      </w:r>
      <w:proofErr w:type="spellStart"/>
      <w:r w:rsidRPr="003F7DD0">
        <w:rPr>
          <w:i/>
          <w:u w:val="single"/>
          <w:lang w:val="sk-SK"/>
        </w:rPr>
        <w:t>stenóza</w:t>
      </w:r>
      <w:proofErr w:type="spellEnd"/>
      <w:r w:rsidRPr="003F7DD0">
        <w:rPr>
          <w:i/>
          <w:u w:val="single"/>
          <w:lang w:val="sk-SK"/>
        </w:rPr>
        <w:t xml:space="preserve">, hypertrofická </w:t>
      </w:r>
      <w:proofErr w:type="spellStart"/>
      <w:r w:rsidRPr="003F7DD0">
        <w:rPr>
          <w:i/>
          <w:u w:val="single"/>
          <w:lang w:val="sk-SK"/>
        </w:rPr>
        <w:t>k</w:t>
      </w:r>
      <w:r w:rsidR="00681759" w:rsidRPr="003F7DD0">
        <w:rPr>
          <w:i/>
          <w:u w:val="single"/>
          <w:lang w:val="sk-SK"/>
        </w:rPr>
        <w:t>ardiomyopat</w:t>
      </w:r>
      <w:r w:rsidRPr="003F7DD0">
        <w:rPr>
          <w:i/>
          <w:u w:val="single"/>
          <w:lang w:val="sk-SK"/>
        </w:rPr>
        <w:t>ia</w:t>
      </w:r>
      <w:proofErr w:type="spellEnd"/>
    </w:p>
    <w:p w14:paraId="264E3305" w14:textId="77777777" w:rsidR="008A2E18" w:rsidRPr="00157521" w:rsidRDefault="008A2E18" w:rsidP="003F7DD0">
      <w:pPr>
        <w:rPr>
          <w:lang w:val="sk-SK"/>
        </w:rPr>
      </w:pPr>
      <w:r w:rsidRPr="00157521">
        <w:rPr>
          <w:szCs w:val="22"/>
          <w:lang w:val="sk-SK"/>
        </w:rPr>
        <w:t xml:space="preserve">Podobne ako iné ACE inhibítory aj </w:t>
      </w:r>
      <w:proofErr w:type="spellStart"/>
      <w:r w:rsidR="008A44A0" w:rsidRPr="00157521">
        <w:rPr>
          <w:szCs w:val="22"/>
          <w:lang w:val="sk-SK"/>
        </w:rPr>
        <w:t>lizinopril</w:t>
      </w:r>
      <w:proofErr w:type="spellEnd"/>
      <w:r w:rsidRPr="00157521">
        <w:rPr>
          <w:szCs w:val="22"/>
          <w:lang w:val="sk-SK"/>
        </w:rPr>
        <w:t xml:space="preserve"> sa má </w:t>
      </w:r>
      <w:r w:rsidRPr="00157521">
        <w:rPr>
          <w:lang w:val="sk-SK"/>
        </w:rPr>
        <w:t>podávať s opatrnosťou u</w:t>
      </w:r>
      <w:r w:rsidRPr="00157521">
        <w:rPr>
          <w:szCs w:val="22"/>
          <w:lang w:val="sk-SK"/>
        </w:rPr>
        <w:t xml:space="preserve"> </w:t>
      </w:r>
      <w:r w:rsidRPr="00157521">
        <w:rPr>
          <w:lang w:val="sk-SK"/>
        </w:rPr>
        <w:t xml:space="preserve">pacientov so </w:t>
      </w:r>
      <w:proofErr w:type="spellStart"/>
      <w:r w:rsidRPr="00157521">
        <w:rPr>
          <w:lang w:val="sk-SK"/>
        </w:rPr>
        <w:t>stenózou</w:t>
      </w:r>
      <w:proofErr w:type="spellEnd"/>
      <w:r w:rsidRPr="00157521">
        <w:rPr>
          <w:lang w:val="sk-SK"/>
        </w:rPr>
        <w:t xml:space="preserve"> </w:t>
      </w:r>
      <w:proofErr w:type="spellStart"/>
      <w:r w:rsidRPr="00157521">
        <w:rPr>
          <w:lang w:val="sk-SK"/>
        </w:rPr>
        <w:t>mitrálnej</w:t>
      </w:r>
      <w:proofErr w:type="spellEnd"/>
      <w:r w:rsidRPr="00157521">
        <w:rPr>
          <w:lang w:val="sk-SK"/>
        </w:rPr>
        <w:t xml:space="preserve"> chlopne</w:t>
      </w:r>
      <w:r w:rsidRPr="00157521">
        <w:rPr>
          <w:szCs w:val="22"/>
          <w:lang w:val="sk-SK"/>
        </w:rPr>
        <w:t xml:space="preserve"> a obštrukciou výtoku ľavej komory, ako napríklad aortálnou </w:t>
      </w:r>
      <w:proofErr w:type="spellStart"/>
      <w:r w:rsidRPr="00157521">
        <w:rPr>
          <w:szCs w:val="22"/>
          <w:lang w:val="sk-SK"/>
        </w:rPr>
        <w:t>stenózou</w:t>
      </w:r>
      <w:proofErr w:type="spellEnd"/>
      <w:r w:rsidRPr="00157521">
        <w:rPr>
          <w:szCs w:val="22"/>
          <w:lang w:val="sk-SK"/>
        </w:rPr>
        <w:t xml:space="preserve"> alebo hypertrofickou </w:t>
      </w:r>
      <w:proofErr w:type="spellStart"/>
      <w:r w:rsidRPr="00157521">
        <w:rPr>
          <w:szCs w:val="22"/>
          <w:lang w:val="sk-SK"/>
        </w:rPr>
        <w:t>kardiomyopatiou</w:t>
      </w:r>
      <w:proofErr w:type="spellEnd"/>
      <w:r w:rsidRPr="00157521">
        <w:rPr>
          <w:lang w:val="sk-SK"/>
        </w:rPr>
        <w:t>.</w:t>
      </w:r>
    </w:p>
    <w:p w14:paraId="264E3306" w14:textId="77777777" w:rsidR="00681759" w:rsidRPr="00157521" w:rsidRDefault="00681759" w:rsidP="009512D0">
      <w:pPr>
        <w:tabs>
          <w:tab w:val="left" w:pos="288"/>
          <w:tab w:val="left" w:pos="432"/>
        </w:tabs>
        <w:spacing w:line="240" w:lineRule="auto"/>
        <w:rPr>
          <w:i/>
          <w:u w:val="single"/>
          <w:lang w:val="sk-SK"/>
        </w:rPr>
      </w:pPr>
    </w:p>
    <w:p w14:paraId="264E3307" w14:textId="77777777" w:rsidR="00D92878" w:rsidRPr="003F7DD0" w:rsidRDefault="00D92878" w:rsidP="00D92878">
      <w:pPr>
        <w:jc w:val="both"/>
        <w:rPr>
          <w:szCs w:val="22"/>
          <w:u w:val="single"/>
          <w:lang w:val="sk-SK"/>
        </w:rPr>
      </w:pPr>
      <w:r w:rsidRPr="003F7DD0">
        <w:rPr>
          <w:i/>
          <w:szCs w:val="22"/>
          <w:u w:val="single"/>
          <w:lang w:val="sk-SK"/>
        </w:rPr>
        <w:t>Porucha funkcie obličiek</w:t>
      </w:r>
    </w:p>
    <w:p w14:paraId="264E3308" w14:textId="77777777" w:rsidR="00D92878" w:rsidRPr="00157521" w:rsidRDefault="00D92878" w:rsidP="00C64D0D">
      <w:pPr>
        <w:rPr>
          <w:szCs w:val="22"/>
          <w:lang w:val="sk-SK"/>
        </w:rPr>
      </w:pPr>
      <w:r w:rsidRPr="00157521">
        <w:rPr>
          <w:szCs w:val="22"/>
          <w:lang w:val="sk-SK"/>
        </w:rPr>
        <w:lastRenderedPageBreak/>
        <w:t>Pri poruche funkcie obličiek (</w:t>
      </w:r>
      <w:proofErr w:type="spellStart"/>
      <w:r w:rsidRPr="00157521">
        <w:rPr>
          <w:szCs w:val="22"/>
          <w:lang w:val="sk-SK"/>
        </w:rPr>
        <w:t>klírens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kreatinínu</w:t>
      </w:r>
      <w:proofErr w:type="spellEnd"/>
      <w:r w:rsidRPr="00157521">
        <w:rPr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sym w:font="Symbol" w:char="F03C"/>
      </w:r>
      <w:r w:rsidRPr="00157521">
        <w:rPr>
          <w:szCs w:val="22"/>
          <w:lang w:val="sk-SK"/>
        </w:rPr>
        <w:t xml:space="preserve">80 ml/min) je potrebné začiatočné dávkovanie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i/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 xml:space="preserve">prispôsobiť </w:t>
      </w:r>
      <w:proofErr w:type="spellStart"/>
      <w:r w:rsidRPr="00157521">
        <w:rPr>
          <w:szCs w:val="22"/>
          <w:lang w:val="sk-SK"/>
        </w:rPr>
        <w:t>klírensu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kreatinínu</w:t>
      </w:r>
      <w:proofErr w:type="spellEnd"/>
      <w:r w:rsidRPr="00157521">
        <w:rPr>
          <w:szCs w:val="22"/>
          <w:lang w:val="sk-SK"/>
        </w:rPr>
        <w:t xml:space="preserve"> pacienta </w:t>
      </w:r>
      <w:r w:rsidRPr="007D54A6">
        <w:rPr>
          <w:szCs w:val="22"/>
          <w:lang w:val="sk-SK"/>
        </w:rPr>
        <w:t>a</w:t>
      </w:r>
      <w:r w:rsidRPr="00157521">
        <w:rPr>
          <w:szCs w:val="22"/>
          <w:lang w:val="sk-SK"/>
        </w:rPr>
        <w:t xml:space="preserve"> potom odpovedi pacienta na liečbu. Rutinné kontroly draslíka a </w:t>
      </w:r>
      <w:proofErr w:type="spellStart"/>
      <w:r w:rsidRPr="00157521">
        <w:rPr>
          <w:szCs w:val="22"/>
          <w:lang w:val="sk-SK"/>
        </w:rPr>
        <w:t>kreatinínu</w:t>
      </w:r>
      <w:proofErr w:type="spellEnd"/>
      <w:r w:rsidRPr="00157521">
        <w:rPr>
          <w:szCs w:val="22"/>
          <w:lang w:val="sk-SK"/>
        </w:rPr>
        <w:t xml:space="preserve"> sú súčasťou bežnej medicínskej starostlivosti o týchto pacientov.</w:t>
      </w:r>
    </w:p>
    <w:p w14:paraId="264E3309" w14:textId="77777777" w:rsidR="00D92878" w:rsidRPr="00157521" w:rsidRDefault="00D92878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U pacientov so </w:t>
      </w:r>
      <w:r w:rsidRPr="000B69CF">
        <w:rPr>
          <w:u w:val="single"/>
          <w:lang w:val="sk-SK"/>
        </w:rPr>
        <w:t>srdcovým zlyhaním</w:t>
      </w:r>
      <w:r w:rsidRPr="00157521">
        <w:rPr>
          <w:szCs w:val="22"/>
          <w:lang w:val="sk-SK"/>
        </w:rPr>
        <w:t xml:space="preserve"> môže hypotenzia vznikajúca po začatí liečby ACE inhibítormi viesť k ďalšiemu poškodeniu obličkových funkcií. V takýchto situáciách sa zaznamenalo akútne </w:t>
      </w:r>
      <w:proofErr w:type="spellStart"/>
      <w:r w:rsidRPr="00157521">
        <w:rPr>
          <w:szCs w:val="22"/>
          <w:lang w:val="sk-SK"/>
        </w:rPr>
        <w:t>renálne</w:t>
      </w:r>
      <w:proofErr w:type="spellEnd"/>
      <w:r w:rsidRPr="00157521">
        <w:rPr>
          <w:szCs w:val="22"/>
          <w:lang w:val="sk-SK"/>
        </w:rPr>
        <w:t xml:space="preserve"> zlyhanie, ktoré je zvyčajne reverzibilné.</w:t>
      </w:r>
    </w:p>
    <w:p w14:paraId="264E330A" w14:textId="77777777" w:rsidR="00D92878" w:rsidRPr="00157521" w:rsidRDefault="00D92878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U niektorých pacientov s bilaterálnou </w:t>
      </w:r>
      <w:proofErr w:type="spellStart"/>
      <w:r w:rsidRPr="00157521">
        <w:rPr>
          <w:szCs w:val="22"/>
          <w:lang w:val="sk-SK"/>
        </w:rPr>
        <w:t>stenózou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renálnych</w:t>
      </w:r>
      <w:proofErr w:type="spellEnd"/>
      <w:r w:rsidRPr="00157521">
        <w:rPr>
          <w:szCs w:val="22"/>
          <w:lang w:val="sk-SK"/>
        </w:rPr>
        <w:t xml:space="preserve"> artérií alebo </w:t>
      </w:r>
      <w:proofErr w:type="spellStart"/>
      <w:r w:rsidRPr="00157521">
        <w:rPr>
          <w:szCs w:val="22"/>
          <w:lang w:val="sk-SK"/>
        </w:rPr>
        <w:t>stenózou</w:t>
      </w:r>
      <w:proofErr w:type="spellEnd"/>
      <w:r w:rsidRPr="00157521">
        <w:rPr>
          <w:szCs w:val="22"/>
          <w:lang w:val="sk-SK"/>
        </w:rPr>
        <w:t xml:space="preserve"> artérie pre solitárnu obličku, liečených inhibítormi </w:t>
      </w:r>
      <w:proofErr w:type="spellStart"/>
      <w:r w:rsidRPr="00157521">
        <w:rPr>
          <w:szCs w:val="22"/>
          <w:lang w:val="sk-SK"/>
        </w:rPr>
        <w:t>angiotenzín</w:t>
      </w:r>
      <w:proofErr w:type="spellEnd"/>
      <w:r w:rsidRPr="00157521">
        <w:rPr>
          <w:szCs w:val="22"/>
          <w:lang w:val="sk-SK"/>
        </w:rPr>
        <w:t xml:space="preserve"> konvertujúceho enzýmu sa zaznamenalo zvýšenie hladiny </w:t>
      </w:r>
      <w:proofErr w:type="spellStart"/>
      <w:r w:rsidRPr="00157521">
        <w:rPr>
          <w:szCs w:val="22"/>
          <w:lang w:val="sk-SK"/>
        </w:rPr>
        <w:t>urey</w:t>
      </w:r>
      <w:proofErr w:type="spellEnd"/>
      <w:r w:rsidRPr="00157521">
        <w:rPr>
          <w:szCs w:val="22"/>
          <w:lang w:val="sk-SK"/>
        </w:rPr>
        <w:t xml:space="preserve"> v krvi a sérového </w:t>
      </w:r>
      <w:proofErr w:type="spellStart"/>
      <w:r w:rsidRPr="00157521">
        <w:rPr>
          <w:szCs w:val="22"/>
          <w:lang w:val="sk-SK"/>
        </w:rPr>
        <w:t>kreatinínu</w:t>
      </w:r>
      <w:proofErr w:type="spellEnd"/>
      <w:r w:rsidRPr="00157521">
        <w:rPr>
          <w:szCs w:val="22"/>
          <w:lang w:val="sk-SK"/>
        </w:rPr>
        <w:t>, ktoré boli zvyčajne reverzibilné po vysadení liečby. To nastane najpravdepodobnejšie u pacientov s </w:t>
      </w:r>
      <w:proofErr w:type="spellStart"/>
      <w:r w:rsidRPr="00157521">
        <w:rPr>
          <w:szCs w:val="22"/>
          <w:lang w:val="sk-SK"/>
        </w:rPr>
        <w:t>renálnou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insuficienciou</w:t>
      </w:r>
      <w:proofErr w:type="spellEnd"/>
      <w:r w:rsidRPr="00157521">
        <w:rPr>
          <w:szCs w:val="22"/>
          <w:lang w:val="sk-SK"/>
        </w:rPr>
        <w:t xml:space="preserve">. Ak je prítomná aj </w:t>
      </w:r>
      <w:proofErr w:type="spellStart"/>
      <w:r w:rsidRPr="00157521">
        <w:rPr>
          <w:szCs w:val="22"/>
          <w:lang w:val="sk-SK"/>
        </w:rPr>
        <w:t>renovaskulárna</w:t>
      </w:r>
      <w:proofErr w:type="spellEnd"/>
      <w:r w:rsidRPr="00157521">
        <w:rPr>
          <w:szCs w:val="22"/>
          <w:lang w:val="sk-SK"/>
        </w:rPr>
        <w:t xml:space="preserve"> hypertenzia, je zvýšené riziko závažnej hypotenzie a </w:t>
      </w:r>
      <w:proofErr w:type="spellStart"/>
      <w:r w:rsidRPr="00157521">
        <w:rPr>
          <w:szCs w:val="22"/>
          <w:lang w:val="sk-SK"/>
        </w:rPr>
        <w:t>renálnej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insuficiencie</w:t>
      </w:r>
      <w:proofErr w:type="spellEnd"/>
      <w:r w:rsidRPr="00157521">
        <w:rPr>
          <w:szCs w:val="22"/>
          <w:lang w:val="sk-SK"/>
        </w:rPr>
        <w:t xml:space="preserve">. U týchto pacientov sa majú liečba začať pod prísnou lekárskou kontrolou, nízkymi dávkami a dávkovanie by sa malo starostlivo </w:t>
      </w:r>
      <w:proofErr w:type="spellStart"/>
      <w:r w:rsidRPr="00157521">
        <w:rPr>
          <w:szCs w:val="22"/>
          <w:lang w:val="sk-SK"/>
        </w:rPr>
        <w:t>titrovať</w:t>
      </w:r>
      <w:proofErr w:type="spellEnd"/>
      <w:r w:rsidRPr="00157521">
        <w:rPr>
          <w:szCs w:val="22"/>
          <w:lang w:val="sk-SK"/>
        </w:rPr>
        <w:t xml:space="preserve">. Keďže liečba diuretikami môže prispievať k uvedeným komplikáciám, diuretiká sa majú vysadiť a funkcia obličiek monitorovať počas prvých týždňov liečby 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. </w:t>
      </w:r>
    </w:p>
    <w:p w14:paraId="264E330B" w14:textId="366DA4F6" w:rsidR="00C4035C" w:rsidRPr="00AF5E2C" w:rsidRDefault="00C4035C" w:rsidP="00C4035C">
      <w:pPr>
        <w:rPr>
          <w:color w:val="000000"/>
          <w:szCs w:val="22"/>
          <w:lang w:val="sk-SK"/>
        </w:rPr>
      </w:pPr>
      <w:r w:rsidRPr="00AF5E2C">
        <w:rPr>
          <w:color w:val="000000"/>
          <w:szCs w:val="22"/>
          <w:lang w:val="sk-SK"/>
        </w:rPr>
        <w:t xml:space="preserve">U niektorých </w:t>
      </w:r>
      <w:proofErr w:type="spellStart"/>
      <w:r w:rsidRPr="00AF5E2C">
        <w:rPr>
          <w:color w:val="000000"/>
          <w:szCs w:val="22"/>
          <w:u w:val="single"/>
          <w:lang w:val="sk-SK"/>
        </w:rPr>
        <w:t>hypertenzn</w:t>
      </w:r>
      <w:r w:rsidR="00CE2183">
        <w:rPr>
          <w:color w:val="000000"/>
          <w:szCs w:val="22"/>
          <w:u w:val="single"/>
          <w:lang w:val="sk-SK"/>
        </w:rPr>
        <w:t>ý</w:t>
      </w:r>
      <w:r w:rsidRPr="00AF5E2C">
        <w:rPr>
          <w:color w:val="000000"/>
          <w:szCs w:val="22"/>
          <w:u w:val="single"/>
          <w:lang w:val="sk-SK"/>
        </w:rPr>
        <w:t>ch</w:t>
      </w:r>
      <w:proofErr w:type="spellEnd"/>
      <w:r w:rsidRPr="00AF5E2C">
        <w:rPr>
          <w:color w:val="000000"/>
          <w:szCs w:val="22"/>
          <w:u w:val="single"/>
          <w:lang w:val="sk-SK"/>
        </w:rPr>
        <w:t xml:space="preserve"> pacientov</w:t>
      </w:r>
      <w:r w:rsidRPr="00AF5E2C">
        <w:rPr>
          <w:color w:val="000000"/>
          <w:szCs w:val="22"/>
          <w:lang w:val="sk-SK"/>
        </w:rPr>
        <w:t xml:space="preserve"> bez zjavného predchádzajúceho </w:t>
      </w:r>
      <w:proofErr w:type="spellStart"/>
      <w:r w:rsidRPr="00AF5E2C">
        <w:rPr>
          <w:color w:val="000000"/>
          <w:szCs w:val="22"/>
          <w:lang w:val="sk-SK"/>
        </w:rPr>
        <w:t>renovaskulárneho</w:t>
      </w:r>
      <w:proofErr w:type="spellEnd"/>
      <w:r w:rsidRPr="00AF5E2C">
        <w:rPr>
          <w:color w:val="000000"/>
          <w:szCs w:val="22"/>
          <w:lang w:val="sk-SK"/>
        </w:rPr>
        <w:t xml:space="preserve"> ochorenia došlo k zvýšeniu močoviny v krvi a </w:t>
      </w:r>
      <w:proofErr w:type="spellStart"/>
      <w:r w:rsidRPr="00AF5E2C">
        <w:rPr>
          <w:color w:val="000000"/>
          <w:szCs w:val="22"/>
          <w:lang w:val="sk-SK"/>
        </w:rPr>
        <w:t>kreatinínu</w:t>
      </w:r>
      <w:proofErr w:type="spellEnd"/>
      <w:r w:rsidRPr="00AF5E2C">
        <w:rPr>
          <w:color w:val="000000"/>
          <w:szCs w:val="22"/>
          <w:lang w:val="sk-SK"/>
        </w:rPr>
        <w:t xml:space="preserve"> v plazme, zvyčajne miernemu a prechodnému, najmä, ak bol </w:t>
      </w:r>
      <w:proofErr w:type="spellStart"/>
      <w:r w:rsidRPr="00AF5E2C">
        <w:rPr>
          <w:szCs w:val="22"/>
          <w:lang w:val="sk-SK"/>
        </w:rPr>
        <w:t>lizinopril</w:t>
      </w:r>
      <w:proofErr w:type="spellEnd"/>
      <w:r w:rsidRPr="00AF5E2C">
        <w:rPr>
          <w:szCs w:val="22"/>
          <w:lang w:val="sk-SK"/>
        </w:rPr>
        <w:t xml:space="preserve"> podávaný </w:t>
      </w:r>
      <w:r w:rsidR="00625AF4" w:rsidRPr="007E0725">
        <w:rPr>
          <w:szCs w:val="22"/>
          <w:lang w:val="sk-SK"/>
        </w:rPr>
        <w:t>sú</w:t>
      </w:r>
      <w:r w:rsidR="00625AF4">
        <w:rPr>
          <w:szCs w:val="22"/>
          <w:lang w:val="sk-SK"/>
        </w:rPr>
        <w:t>bež</w:t>
      </w:r>
      <w:r w:rsidR="00625AF4" w:rsidRPr="00344D28">
        <w:rPr>
          <w:szCs w:val="22"/>
          <w:lang w:val="sk-SK"/>
        </w:rPr>
        <w:t>ne</w:t>
      </w:r>
      <w:r w:rsidRPr="00AF5E2C">
        <w:rPr>
          <w:szCs w:val="22"/>
          <w:lang w:val="sk-SK"/>
        </w:rPr>
        <w:t xml:space="preserve"> s diuretikom. </w:t>
      </w:r>
      <w:r w:rsidRPr="00AF5E2C">
        <w:rPr>
          <w:color w:val="000000"/>
          <w:szCs w:val="22"/>
          <w:lang w:val="sk-SK"/>
        </w:rPr>
        <w:t xml:space="preserve">To je pravdepodobnejšie u pacientov s predchádzajúcou poruchou funkcie obličiek. Môže byť potrebné zníženie dávky a/alebo vysadenie diuretika a/alebo </w:t>
      </w:r>
      <w:proofErr w:type="spellStart"/>
      <w:r w:rsidRPr="00AF5E2C">
        <w:rPr>
          <w:color w:val="000000"/>
          <w:szCs w:val="22"/>
          <w:lang w:val="sk-SK"/>
        </w:rPr>
        <w:t>lizinoprilu</w:t>
      </w:r>
      <w:proofErr w:type="spellEnd"/>
      <w:r w:rsidRPr="00AF5E2C">
        <w:rPr>
          <w:color w:val="000000"/>
          <w:szCs w:val="22"/>
          <w:lang w:val="sk-SK"/>
        </w:rPr>
        <w:t>.</w:t>
      </w:r>
    </w:p>
    <w:p w14:paraId="264E330C" w14:textId="77777777" w:rsidR="00D92878" w:rsidRPr="00157521" w:rsidRDefault="00D92878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Pri </w:t>
      </w:r>
      <w:r w:rsidRPr="003F7DD0">
        <w:rPr>
          <w:szCs w:val="22"/>
          <w:u w:val="single"/>
          <w:lang w:val="sk-SK"/>
        </w:rPr>
        <w:t>akútnom infarkte myokardu</w:t>
      </w:r>
      <w:r w:rsidRPr="00157521">
        <w:rPr>
          <w:szCs w:val="22"/>
          <w:lang w:val="sk-SK"/>
        </w:rPr>
        <w:t xml:space="preserve"> sa liečba 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 nemá začať u tých pacientov, u ktorých sú prítomné známky </w:t>
      </w:r>
      <w:proofErr w:type="spellStart"/>
      <w:r w:rsidRPr="00157521">
        <w:rPr>
          <w:szCs w:val="22"/>
          <w:lang w:val="sk-SK"/>
        </w:rPr>
        <w:t>renálnej</w:t>
      </w:r>
      <w:proofErr w:type="spellEnd"/>
      <w:r w:rsidRPr="00157521">
        <w:rPr>
          <w:szCs w:val="22"/>
          <w:lang w:val="sk-SK"/>
        </w:rPr>
        <w:t xml:space="preserve"> dysfunkcie, definovanej ako koncentrácia sérového </w:t>
      </w:r>
      <w:proofErr w:type="spellStart"/>
      <w:r w:rsidRPr="00157521">
        <w:rPr>
          <w:szCs w:val="22"/>
          <w:lang w:val="sk-SK"/>
        </w:rPr>
        <w:t>kreatinínu</w:t>
      </w:r>
      <w:proofErr w:type="spellEnd"/>
      <w:r w:rsidRPr="00157521">
        <w:rPr>
          <w:szCs w:val="22"/>
          <w:lang w:val="sk-SK"/>
        </w:rPr>
        <w:t xml:space="preserve"> presahujúca 177 </w:t>
      </w:r>
      <w:proofErr w:type="spellStart"/>
      <w:r w:rsidRPr="00157521">
        <w:rPr>
          <w:szCs w:val="22"/>
          <w:lang w:val="sk-SK"/>
        </w:rPr>
        <w:t>mikromolov</w:t>
      </w:r>
      <w:proofErr w:type="spellEnd"/>
      <w:r w:rsidRPr="00157521">
        <w:rPr>
          <w:szCs w:val="22"/>
          <w:lang w:val="sk-SK"/>
        </w:rPr>
        <w:t xml:space="preserve">/l a/alebo </w:t>
      </w:r>
      <w:proofErr w:type="spellStart"/>
      <w:r w:rsidRPr="00157521">
        <w:rPr>
          <w:szCs w:val="22"/>
          <w:lang w:val="sk-SK"/>
        </w:rPr>
        <w:t>proteinúria</w:t>
      </w:r>
      <w:proofErr w:type="spellEnd"/>
      <w:r w:rsidRPr="00157521">
        <w:rPr>
          <w:szCs w:val="22"/>
          <w:lang w:val="sk-SK"/>
        </w:rPr>
        <w:t xml:space="preserve"> presahujúca 500 mg/24 h. Ak sa </w:t>
      </w:r>
      <w:proofErr w:type="spellStart"/>
      <w:r w:rsidRPr="00157521">
        <w:rPr>
          <w:szCs w:val="22"/>
          <w:lang w:val="sk-SK"/>
        </w:rPr>
        <w:t>renálna</w:t>
      </w:r>
      <w:proofErr w:type="spellEnd"/>
      <w:r w:rsidRPr="00157521">
        <w:rPr>
          <w:b/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 xml:space="preserve">dysfunkcia rozvinie počas liečby 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 (koncentrácia </w:t>
      </w:r>
      <w:proofErr w:type="spellStart"/>
      <w:r w:rsidRPr="00157521">
        <w:rPr>
          <w:szCs w:val="22"/>
          <w:lang w:val="sk-SK"/>
        </w:rPr>
        <w:t>kreatinínu</w:t>
      </w:r>
      <w:proofErr w:type="spellEnd"/>
      <w:r w:rsidRPr="00157521">
        <w:rPr>
          <w:szCs w:val="22"/>
          <w:lang w:val="sk-SK"/>
        </w:rPr>
        <w:t xml:space="preserve"> v sére presiahne 265 </w:t>
      </w:r>
      <w:proofErr w:type="spellStart"/>
      <w:r w:rsidRPr="00157521">
        <w:rPr>
          <w:szCs w:val="22"/>
          <w:lang w:val="sk-SK"/>
        </w:rPr>
        <w:t>mikromólov</w:t>
      </w:r>
      <w:proofErr w:type="spellEnd"/>
      <w:r w:rsidRPr="00157521">
        <w:rPr>
          <w:szCs w:val="22"/>
          <w:lang w:val="sk-SK"/>
        </w:rPr>
        <w:t xml:space="preserve">/l alebo dvojnásobok hodnôt pred liečbou), lekár by mal zvážiť vysadenie liečby 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>.</w:t>
      </w:r>
    </w:p>
    <w:p w14:paraId="264E330D" w14:textId="77777777" w:rsidR="00681759" w:rsidRPr="00157521" w:rsidRDefault="00681759" w:rsidP="009512D0">
      <w:pPr>
        <w:tabs>
          <w:tab w:val="left" w:pos="288"/>
          <w:tab w:val="left" w:pos="432"/>
        </w:tabs>
        <w:spacing w:line="240" w:lineRule="auto"/>
        <w:rPr>
          <w:i/>
          <w:iCs/>
          <w:szCs w:val="22"/>
          <w:u w:val="single"/>
          <w:lang w:val="sk-SK"/>
        </w:rPr>
      </w:pPr>
    </w:p>
    <w:p w14:paraId="264E330E" w14:textId="77777777" w:rsidR="00D92878" w:rsidRPr="003F7DD0" w:rsidRDefault="00D92878" w:rsidP="00D92878">
      <w:pPr>
        <w:jc w:val="both"/>
        <w:rPr>
          <w:szCs w:val="22"/>
          <w:u w:val="single"/>
          <w:lang w:val="sk-SK"/>
        </w:rPr>
      </w:pPr>
      <w:r w:rsidRPr="003F7DD0">
        <w:rPr>
          <w:i/>
          <w:szCs w:val="22"/>
          <w:u w:val="single"/>
          <w:lang w:val="sk-SK"/>
        </w:rPr>
        <w:t>Precitlivenosť/</w:t>
      </w:r>
      <w:proofErr w:type="spellStart"/>
      <w:r w:rsidRPr="003F7DD0">
        <w:rPr>
          <w:i/>
          <w:szCs w:val="22"/>
          <w:u w:val="single"/>
          <w:lang w:val="sk-SK"/>
        </w:rPr>
        <w:t>angioneurotický</w:t>
      </w:r>
      <w:proofErr w:type="spellEnd"/>
      <w:r w:rsidRPr="003F7DD0">
        <w:rPr>
          <w:i/>
          <w:szCs w:val="22"/>
          <w:u w:val="single"/>
          <w:lang w:val="sk-SK"/>
        </w:rPr>
        <w:t xml:space="preserve"> edém</w:t>
      </w:r>
    </w:p>
    <w:p w14:paraId="264E330F" w14:textId="77777777" w:rsidR="00D92878" w:rsidRPr="00157521" w:rsidRDefault="003A5154" w:rsidP="003F7DD0">
      <w:pPr>
        <w:rPr>
          <w:szCs w:val="22"/>
          <w:lang w:val="sk-SK"/>
        </w:rPr>
      </w:pPr>
      <w:r w:rsidRPr="00157521">
        <w:rPr>
          <w:lang w:val="sk-SK"/>
        </w:rPr>
        <w:t xml:space="preserve">U pacientov liečených inhibítormi </w:t>
      </w:r>
      <w:proofErr w:type="spellStart"/>
      <w:r w:rsidRPr="00157521">
        <w:rPr>
          <w:lang w:val="sk-SK"/>
        </w:rPr>
        <w:t>angiotenzín</w:t>
      </w:r>
      <w:proofErr w:type="spellEnd"/>
      <w:r w:rsidRPr="00157521">
        <w:rPr>
          <w:lang w:val="sk-SK"/>
        </w:rPr>
        <w:t xml:space="preserve"> konvertujúceho enzýmu, vrátane </w:t>
      </w:r>
      <w:proofErr w:type="spellStart"/>
      <w:r w:rsidRPr="00157521">
        <w:rPr>
          <w:lang w:val="sk-SK"/>
        </w:rPr>
        <w:t>lizinoprilu</w:t>
      </w:r>
      <w:proofErr w:type="spellEnd"/>
      <w:r w:rsidRPr="00157521">
        <w:rPr>
          <w:lang w:val="sk-SK"/>
        </w:rPr>
        <w:t xml:space="preserve"> bol hlásený </w:t>
      </w:r>
      <w:proofErr w:type="spellStart"/>
      <w:r w:rsidRPr="00157521">
        <w:rPr>
          <w:lang w:val="sk-SK"/>
        </w:rPr>
        <w:t>angioedém</w:t>
      </w:r>
      <w:proofErr w:type="spellEnd"/>
      <w:r w:rsidRPr="00157521">
        <w:rPr>
          <w:lang w:val="sk-SK"/>
        </w:rPr>
        <w:t xml:space="preserve"> tváre, končatín, pier, jazyka, hlasiviek a/alebo hrtana. </w:t>
      </w:r>
      <w:r w:rsidR="00D92878" w:rsidRPr="00157521">
        <w:rPr>
          <w:szCs w:val="22"/>
          <w:lang w:val="sk-SK"/>
        </w:rPr>
        <w:t xml:space="preserve">Ich rozvoj môže nastať kedykoľvek v priebehu liečby. </w:t>
      </w:r>
      <w:r w:rsidR="00D92878" w:rsidRPr="00157521">
        <w:rPr>
          <w:lang w:val="sk-SK"/>
        </w:rPr>
        <w:t xml:space="preserve">V takýchto prípadoch sa musí </w:t>
      </w:r>
      <w:r w:rsidR="00D92878" w:rsidRPr="00157521">
        <w:rPr>
          <w:szCs w:val="22"/>
          <w:lang w:val="sk-SK"/>
        </w:rPr>
        <w:t xml:space="preserve">liečba </w:t>
      </w:r>
      <w:proofErr w:type="spellStart"/>
      <w:r w:rsidR="008A44A0" w:rsidRPr="00157521">
        <w:rPr>
          <w:szCs w:val="22"/>
          <w:lang w:val="sk-SK"/>
        </w:rPr>
        <w:t>lizinoprilom</w:t>
      </w:r>
      <w:proofErr w:type="spellEnd"/>
      <w:r w:rsidR="00D92878" w:rsidRPr="00157521">
        <w:rPr>
          <w:szCs w:val="22"/>
          <w:lang w:val="sk-SK"/>
        </w:rPr>
        <w:t xml:space="preserve"> okamžite vysadiť, pričom je potrebné začať primeranú liečbu a monitorovať pacienta, aby sa zabezpečil kompletný ústup príznakov pred prepustením pacienta. Aj v prípadoch, keď edém postihuje len jazyk bez respiračných problémov, pacienti môžu vyžadovať dlhšie trvajúce sledovanie, pretože liečba </w:t>
      </w:r>
      <w:proofErr w:type="spellStart"/>
      <w:r w:rsidR="00D92878" w:rsidRPr="00157521">
        <w:rPr>
          <w:szCs w:val="22"/>
          <w:lang w:val="sk-SK"/>
        </w:rPr>
        <w:t>antihistaminikami</w:t>
      </w:r>
      <w:proofErr w:type="spellEnd"/>
      <w:r w:rsidR="00D92878" w:rsidRPr="00157521">
        <w:rPr>
          <w:szCs w:val="22"/>
          <w:lang w:val="sk-SK"/>
        </w:rPr>
        <w:t xml:space="preserve"> a </w:t>
      </w:r>
      <w:proofErr w:type="spellStart"/>
      <w:r w:rsidR="00D92878" w:rsidRPr="00157521">
        <w:rPr>
          <w:szCs w:val="22"/>
          <w:lang w:val="sk-SK"/>
        </w:rPr>
        <w:t>kortikosteroidmi</w:t>
      </w:r>
      <w:proofErr w:type="spellEnd"/>
      <w:r w:rsidR="00D92878" w:rsidRPr="00157521">
        <w:rPr>
          <w:szCs w:val="22"/>
          <w:lang w:val="sk-SK"/>
        </w:rPr>
        <w:t xml:space="preserve"> nemusí u nich postačovať.</w:t>
      </w:r>
    </w:p>
    <w:p w14:paraId="264E3310" w14:textId="77777777" w:rsidR="00D92878" w:rsidRPr="00157521" w:rsidRDefault="00D92878" w:rsidP="003F7DD0">
      <w:pPr>
        <w:rPr>
          <w:lang w:val="sk-SK"/>
        </w:rPr>
      </w:pPr>
      <w:r w:rsidRPr="00157521">
        <w:rPr>
          <w:szCs w:val="22"/>
          <w:lang w:val="sk-SK"/>
        </w:rPr>
        <w:t xml:space="preserve">Veľmi zriedkavo boli opísané prípady úmrtia v dôsledku </w:t>
      </w:r>
      <w:proofErr w:type="spellStart"/>
      <w:r w:rsidRPr="00157521">
        <w:rPr>
          <w:szCs w:val="22"/>
          <w:lang w:val="sk-SK"/>
        </w:rPr>
        <w:t>angioneurotického</w:t>
      </w:r>
      <w:proofErr w:type="spellEnd"/>
      <w:r w:rsidRPr="00157521">
        <w:rPr>
          <w:szCs w:val="22"/>
          <w:lang w:val="sk-SK"/>
        </w:rPr>
        <w:t xml:space="preserve"> edému, ktorý bol spojený s edémom </w:t>
      </w:r>
      <w:proofErr w:type="spellStart"/>
      <w:r w:rsidRPr="00157521">
        <w:rPr>
          <w:szCs w:val="22"/>
          <w:lang w:val="sk-SK"/>
        </w:rPr>
        <w:t>laryngu</w:t>
      </w:r>
      <w:proofErr w:type="spellEnd"/>
      <w:r w:rsidRPr="00157521">
        <w:rPr>
          <w:szCs w:val="22"/>
          <w:lang w:val="sk-SK"/>
        </w:rPr>
        <w:t xml:space="preserve"> alebo jazyka. U pacientov s postihnutím jazyka, hlasiviek alebo hrtana možno predpokladať, že vznikne obštrukcia dýchacích ciest, a to najmä u pacientov, ktorí majú v anamnéze chirurgický výkon na dýchacích cestách. V takýchto prípadoch sa musí okamžite začať s urgentnou liečbou. Takáto liečba môže zahŕňať podávanie adrenalínu a/alebo zabezpečenie priechodnosti dýchacích ciest. Pacient </w:t>
      </w:r>
      <w:r w:rsidRPr="00157521">
        <w:rPr>
          <w:lang w:val="sk-SK"/>
        </w:rPr>
        <w:t>musí byť pod prísnym lekárskym dohľadom</w:t>
      </w:r>
      <w:r w:rsidRPr="00157521">
        <w:rPr>
          <w:szCs w:val="22"/>
          <w:lang w:val="sk-SK"/>
        </w:rPr>
        <w:t xml:space="preserve"> až do úplného a pretrvávajúceho ústupu</w:t>
      </w:r>
      <w:r w:rsidRPr="00157521">
        <w:rPr>
          <w:lang w:val="sk-SK"/>
        </w:rPr>
        <w:t xml:space="preserve"> príznakov.</w:t>
      </w:r>
    </w:p>
    <w:p w14:paraId="264E3311" w14:textId="77777777" w:rsidR="00D92878" w:rsidRPr="00157521" w:rsidRDefault="00D92878" w:rsidP="003F7DD0">
      <w:pPr>
        <w:rPr>
          <w:lang w:val="sk-SK"/>
        </w:rPr>
      </w:pPr>
      <w:r w:rsidRPr="00157521">
        <w:rPr>
          <w:lang w:val="sk-SK"/>
        </w:rPr>
        <w:t xml:space="preserve">Inhibítory </w:t>
      </w:r>
      <w:proofErr w:type="spellStart"/>
      <w:r w:rsidRPr="00157521">
        <w:rPr>
          <w:lang w:val="sk-SK"/>
        </w:rPr>
        <w:t>angiotenzín</w:t>
      </w:r>
      <w:proofErr w:type="spellEnd"/>
      <w:r w:rsidRPr="00157521">
        <w:rPr>
          <w:lang w:val="sk-SK"/>
        </w:rPr>
        <w:t xml:space="preserve"> konvertujúceho enzýmu spôsobujú </w:t>
      </w:r>
      <w:proofErr w:type="spellStart"/>
      <w:r w:rsidRPr="00157521">
        <w:rPr>
          <w:szCs w:val="22"/>
          <w:lang w:val="sk-SK"/>
        </w:rPr>
        <w:t>angioneurotický</w:t>
      </w:r>
      <w:proofErr w:type="spellEnd"/>
      <w:r w:rsidRPr="00157521">
        <w:rPr>
          <w:szCs w:val="22"/>
          <w:lang w:val="sk-SK"/>
        </w:rPr>
        <w:t xml:space="preserve"> edém častejšie</w:t>
      </w:r>
      <w:r w:rsidRPr="00157521">
        <w:rPr>
          <w:lang w:val="sk-SK"/>
        </w:rPr>
        <w:t xml:space="preserve"> u pacientov </w:t>
      </w:r>
      <w:r w:rsidRPr="00157521">
        <w:rPr>
          <w:szCs w:val="22"/>
          <w:lang w:val="sk-SK"/>
        </w:rPr>
        <w:t xml:space="preserve">čiernej rasy </w:t>
      </w:r>
      <w:r w:rsidRPr="00157521">
        <w:rPr>
          <w:lang w:val="sk-SK"/>
        </w:rPr>
        <w:t>než u pacientov</w:t>
      </w:r>
      <w:r w:rsidRPr="00157521">
        <w:rPr>
          <w:szCs w:val="22"/>
          <w:lang w:val="sk-SK"/>
        </w:rPr>
        <w:t xml:space="preserve"> iných rás</w:t>
      </w:r>
      <w:r w:rsidRPr="00157521">
        <w:rPr>
          <w:lang w:val="sk-SK"/>
        </w:rPr>
        <w:t>.</w:t>
      </w:r>
    </w:p>
    <w:p w14:paraId="264E3312" w14:textId="77777777" w:rsidR="00D92878" w:rsidRPr="00157521" w:rsidRDefault="00D92878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Pacienti s anamnézou </w:t>
      </w:r>
      <w:proofErr w:type="spellStart"/>
      <w:r w:rsidRPr="00157521">
        <w:rPr>
          <w:szCs w:val="22"/>
          <w:lang w:val="sk-SK"/>
        </w:rPr>
        <w:t>angioneurotického</w:t>
      </w:r>
      <w:proofErr w:type="spellEnd"/>
      <w:r w:rsidRPr="00157521">
        <w:rPr>
          <w:szCs w:val="22"/>
          <w:lang w:val="sk-SK"/>
        </w:rPr>
        <w:t xml:space="preserve"> edému, nesúvisiaceho s podávaním ACE inhibítora, majú vyššie riziko rozvoja </w:t>
      </w:r>
      <w:proofErr w:type="spellStart"/>
      <w:r w:rsidRPr="00157521">
        <w:rPr>
          <w:szCs w:val="22"/>
          <w:lang w:val="sk-SK"/>
        </w:rPr>
        <w:t>angioneurotického</w:t>
      </w:r>
      <w:proofErr w:type="spellEnd"/>
      <w:r w:rsidRPr="00157521">
        <w:rPr>
          <w:szCs w:val="22"/>
          <w:lang w:val="sk-SK"/>
        </w:rPr>
        <w:t xml:space="preserve"> edému počas užívania ACE inhibítora (pozri časť 4.3).</w:t>
      </w:r>
    </w:p>
    <w:p w14:paraId="264E3313" w14:textId="77777777" w:rsidR="00540B04" w:rsidRPr="00540B04" w:rsidRDefault="00540B04" w:rsidP="00540B04">
      <w:pPr>
        <w:tabs>
          <w:tab w:val="left" w:pos="288"/>
          <w:tab w:val="left" w:pos="432"/>
        </w:tabs>
        <w:spacing w:line="240" w:lineRule="auto"/>
        <w:rPr>
          <w:lang w:val="sk-SK"/>
        </w:rPr>
      </w:pPr>
      <w:r w:rsidRPr="00540B04">
        <w:rPr>
          <w:bCs/>
          <w:lang w:val="sk-SK"/>
        </w:rPr>
        <w:t xml:space="preserve">Súbežné užívanie inhibítorov </w:t>
      </w:r>
      <w:proofErr w:type="spellStart"/>
      <w:r w:rsidRPr="00540B04">
        <w:rPr>
          <w:bCs/>
          <w:lang w:val="sk-SK"/>
        </w:rPr>
        <w:t>angiotenzín</w:t>
      </w:r>
      <w:proofErr w:type="spellEnd"/>
      <w:r w:rsidRPr="00540B04">
        <w:rPr>
          <w:bCs/>
          <w:lang w:val="sk-SK"/>
        </w:rPr>
        <w:t xml:space="preserve"> konvertujúceho enzýmu (ACE) so </w:t>
      </w:r>
      <w:proofErr w:type="spellStart"/>
      <w:r w:rsidRPr="00540B04">
        <w:rPr>
          <w:bCs/>
          <w:lang w:val="sk-SK"/>
        </w:rPr>
        <w:t>sakubitrilom</w:t>
      </w:r>
      <w:proofErr w:type="spellEnd"/>
      <w:r w:rsidRPr="00540B04">
        <w:rPr>
          <w:bCs/>
          <w:lang w:val="sk-SK"/>
        </w:rPr>
        <w:t>/</w:t>
      </w:r>
      <w:proofErr w:type="spellStart"/>
      <w:r w:rsidRPr="00540B04">
        <w:rPr>
          <w:bCs/>
          <w:lang w:val="sk-SK"/>
        </w:rPr>
        <w:t>valsartanom</w:t>
      </w:r>
      <w:proofErr w:type="spellEnd"/>
      <w:r w:rsidRPr="00540B04">
        <w:rPr>
          <w:bCs/>
          <w:lang w:val="sk-SK"/>
        </w:rPr>
        <w:t xml:space="preserve"> je kontraindikované v dôsledku zvýšeného rizika </w:t>
      </w:r>
      <w:proofErr w:type="spellStart"/>
      <w:r w:rsidRPr="00540B04">
        <w:rPr>
          <w:bCs/>
          <w:lang w:val="sk-SK"/>
        </w:rPr>
        <w:t>angioedému</w:t>
      </w:r>
      <w:proofErr w:type="spellEnd"/>
      <w:r w:rsidRPr="00540B04">
        <w:rPr>
          <w:bCs/>
          <w:lang w:val="sk-SK"/>
        </w:rPr>
        <w:t xml:space="preserve">. Liečba </w:t>
      </w:r>
      <w:proofErr w:type="spellStart"/>
      <w:r w:rsidRPr="00540B04">
        <w:rPr>
          <w:bCs/>
          <w:lang w:val="sk-SK"/>
        </w:rPr>
        <w:t>sakubitrilom</w:t>
      </w:r>
      <w:proofErr w:type="spellEnd"/>
      <w:r w:rsidRPr="00540B04">
        <w:rPr>
          <w:bCs/>
          <w:lang w:val="sk-SK"/>
        </w:rPr>
        <w:t>/</w:t>
      </w:r>
      <w:proofErr w:type="spellStart"/>
      <w:r w:rsidRPr="00540B04">
        <w:rPr>
          <w:bCs/>
          <w:lang w:val="sk-SK"/>
        </w:rPr>
        <w:t>valsartanom</w:t>
      </w:r>
      <w:proofErr w:type="spellEnd"/>
      <w:r w:rsidRPr="00540B04">
        <w:rPr>
          <w:bCs/>
          <w:lang w:val="sk-SK"/>
        </w:rPr>
        <w:t xml:space="preserve"> sa nesmie začať skôr ako po 36 hodinách od poslednej dávky </w:t>
      </w:r>
      <w:proofErr w:type="spellStart"/>
      <w:r w:rsidR="00414D7C">
        <w:rPr>
          <w:bCs/>
          <w:lang w:val="sk-SK"/>
        </w:rPr>
        <w:t>lizinoprilu</w:t>
      </w:r>
      <w:r w:rsidRPr="00540B04">
        <w:rPr>
          <w:bCs/>
          <w:lang w:val="sk-SK"/>
        </w:rPr>
        <w:t>u</w:t>
      </w:r>
      <w:proofErr w:type="spellEnd"/>
      <w:r w:rsidRPr="00540B04">
        <w:rPr>
          <w:bCs/>
          <w:lang w:val="sk-SK"/>
        </w:rPr>
        <w:t xml:space="preserve">. Liečba </w:t>
      </w:r>
      <w:proofErr w:type="spellStart"/>
      <w:r w:rsidR="00414D7C">
        <w:rPr>
          <w:bCs/>
          <w:lang w:val="sk-SK"/>
        </w:rPr>
        <w:t>lizinoprilom</w:t>
      </w:r>
      <w:proofErr w:type="spellEnd"/>
      <w:r w:rsidRPr="00540B04">
        <w:rPr>
          <w:bCs/>
          <w:lang w:val="sk-SK"/>
        </w:rPr>
        <w:t xml:space="preserve"> sa nesmie začať skôr ako po 36 hodinách od poslednej dávky </w:t>
      </w:r>
      <w:proofErr w:type="spellStart"/>
      <w:r w:rsidRPr="00540B04">
        <w:rPr>
          <w:bCs/>
          <w:lang w:val="sk-SK"/>
        </w:rPr>
        <w:t>sakubitrilu</w:t>
      </w:r>
      <w:proofErr w:type="spellEnd"/>
      <w:r w:rsidRPr="00540B04">
        <w:rPr>
          <w:bCs/>
          <w:lang w:val="sk-SK"/>
        </w:rPr>
        <w:t>/</w:t>
      </w:r>
      <w:proofErr w:type="spellStart"/>
      <w:r w:rsidRPr="00540B04">
        <w:rPr>
          <w:bCs/>
          <w:lang w:val="sk-SK"/>
        </w:rPr>
        <w:t>valsartanu</w:t>
      </w:r>
      <w:proofErr w:type="spellEnd"/>
      <w:r w:rsidRPr="00540B04">
        <w:rPr>
          <w:bCs/>
          <w:lang w:val="sk-SK"/>
        </w:rPr>
        <w:t xml:space="preserve"> (pozri časti 4.3 a 4.5). </w:t>
      </w:r>
    </w:p>
    <w:p w14:paraId="264E3314" w14:textId="77777777" w:rsidR="00540B04" w:rsidRDefault="00540B04" w:rsidP="00540B04">
      <w:pPr>
        <w:tabs>
          <w:tab w:val="left" w:pos="288"/>
          <w:tab w:val="left" w:pos="432"/>
        </w:tabs>
        <w:spacing w:line="240" w:lineRule="auto"/>
        <w:rPr>
          <w:bCs/>
          <w:lang w:val="sk-SK"/>
        </w:rPr>
      </w:pPr>
    </w:p>
    <w:p w14:paraId="264E3315" w14:textId="77777777" w:rsidR="00540B04" w:rsidRPr="00540B04" w:rsidRDefault="00540B04" w:rsidP="00540B04">
      <w:pPr>
        <w:tabs>
          <w:tab w:val="left" w:pos="288"/>
          <w:tab w:val="left" w:pos="432"/>
        </w:tabs>
        <w:spacing w:line="240" w:lineRule="auto"/>
        <w:rPr>
          <w:lang w:val="sk-SK"/>
        </w:rPr>
      </w:pPr>
      <w:r w:rsidRPr="00540B04">
        <w:rPr>
          <w:bCs/>
          <w:lang w:val="sk-SK"/>
        </w:rPr>
        <w:t xml:space="preserve">Súbežné užívanie inhibítorov ACE s </w:t>
      </w:r>
      <w:proofErr w:type="spellStart"/>
      <w:r w:rsidRPr="00540B04">
        <w:rPr>
          <w:bCs/>
          <w:lang w:val="sk-SK"/>
        </w:rPr>
        <w:t>racekadotrilom</w:t>
      </w:r>
      <w:proofErr w:type="spellEnd"/>
      <w:r w:rsidRPr="00540B04">
        <w:rPr>
          <w:bCs/>
          <w:lang w:val="sk-SK"/>
        </w:rPr>
        <w:t xml:space="preserve">, inhibítormi </w:t>
      </w:r>
      <w:proofErr w:type="spellStart"/>
      <w:r w:rsidRPr="00540B04">
        <w:rPr>
          <w:bCs/>
          <w:lang w:val="sk-SK"/>
        </w:rPr>
        <w:t>mTOR</w:t>
      </w:r>
      <w:proofErr w:type="spellEnd"/>
      <w:r w:rsidRPr="00540B04">
        <w:rPr>
          <w:bCs/>
          <w:lang w:val="sk-SK"/>
        </w:rPr>
        <w:t xml:space="preserve"> (</w:t>
      </w:r>
      <w:proofErr w:type="spellStart"/>
      <w:r w:rsidRPr="00540B04">
        <w:rPr>
          <w:bCs/>
          <w:lang w:val="sk-SK"/>
        </w:rPr>
        <w:t>mammalian</w:t>
      </w:r>
      <w:proofErr w:type="spellEnd"/>
      <w:r w:rsidRPr="00540B04">
        <w:rPr>
          <w:bCs/>
          <w:lang w:val="sk-SK"/>
        </w:rPr>
        <w:t xml:space="preserve"> </w:t>
      </w:r>
      <w:proofErr w:type="spellStart"/>
      <w:r w:rsidRPr="00540B04">
        <w:rPr>
          <w:bCs/>
          <w:lang w:val="sk-SK"/>
        </w:rPr>
        <w:t>target</w:t>
      </w:r>
      <w:proofErr w:type="spellEnd"/>
      <w:r w:rsidRPr="00540B04">
        <w:rPr>
          <w:bCs/>
          <w:lang w:val="sk-SK"/>
        </w:rPr>
        <w:t xml:space="preserve"> of </w:t>
      </w:r>
      <w:proofErr w:type="spellStart"/>
      <w:r w:rsidRPr="00540B04">
        <w:rPr>
          <w:bCs/>
          <w:lang w:val="sk-SK"/>
        </w:rPr>
        <w:t>rapamycin</w:t>
      </w:r>
      <w:proofErr w:type="spellEnd"/>
      <w:r w:rsidRPr="00540B04">
        <w:rPr>
          <w:bCs/>
          <w:lang w:val="sk-SK"/>
        </w:rPr>
        <w:t xml:space="preserve">, cicavčia cieľová </w:t>
      </w:r>
      <w:proofErr w:type="spellStart"/>
      <w:r w:rsidRPr="00540B04">
        <w:rPr>
          <w:bCs/>
          <w:lang w:val="sk-SK"/>
        </w:rPr>
        <w:t>kináza</w:t>
      </w:r>
      <w:proofErr w:type="spellEnd"/>
      <w:r w:rsidRPr="00540B04">
        <w:rPr>
          <w:bCs/>
          <w:lang w:val="sk-SK"/>
        </w:rPr>
        <w:t xml:space="preserve"> </w:t>
      </w:r>
      <w:proofErr w:type="spellStart"/>
      <w:r w:rsidRPr="00540B04">
        <w:rPr>
          <w:bCs/>
          <w:lang w:val="sk-SK"/>
        </w:rPr>
        <w:t>rapamycínu</w:t>
      </w:r>
      <w:proofErr w:type="spellEnd"/>
      <w:r w:rsidRPr="00540B04">
        <w:rPr>
          <w:bCs/>
          <w:lang w:val="sk-SK"/>
        </w:rPr>
        <w:t xml:space="preserve">) (napr. </w:t>
      </w:r>
      <w:proofErr w:type="spellStart"/>
      <w:r w:rsidRPr="00540B04">
        <w:rPr>
          <w:bCs/>
          <w:lang w:val="sk-SK"/>
        </w:rPr>
        <w:t>sirolimus</w:t>
      </w:r>
      <w:proofErr w:type="spellEnd"/>
      <w:r w:rsidRPr="00540B04">
        <w:rPr>
          <w:bCs/>
          <w:lang w:val="sk-SK"/>
        </w:rPr>
        <w:t xml:space="preserve">, </w:t>
      </w:r>
      <w:proofErr w:type="spellStart"/>
      <w:r w:rsidRPr="00540B04">
        <w:rPr>
          <w:bCs/>
          <w:lang w:val="sk-SK"/>
        </w:rPr>
        <w:t>everolimus</w:t>
      </w:r>
      <w:proofErr w:type="spellEnd"/>
      <w:r w:rsidRPr="00540B04">
        <w:rPr>
          <w:bCs/>
          <w:lang w:val="sk-SK"/>
        </w:rPr>
        <w:t xml:space="preserve">, </w:t>
      </w:r>
      <w:proofErr w:type="spellStart"/>
      <w:r w:rsidRPr="00540B04">
        <w:rPr>
          <w:bCs/>
          <w:lang w:val="sk-SK"/>
        </w:rPr>
        <w:t>temsirolimus</w:t>
      </w:r>
      <w:proofErr w:type="spellEnd"/>
      <w:r w:rsidRPr="00540B04">
        <w:rPr>
          <w:bCs/>
          <w:lang w:val="sk-SK"/>
        </w:rPr>
        <w:t xml:space="preserve">) a </w:t>
      </w:r>
      <w:proofErr w:type="spellStart"/>
      <w:r w:rsidRPr="00540B04">
        <w:rPr>
          <w:bCs/>
          <w:lang w:val="sk-SK"/>
        </w:rPr>
        <w:t>vildagliptínom</w:t>
      </w:r>
      <w:proofErr w:type="spellEnd"/>
      <w:r w:rsidRPr="00540B04">
        <w:rPr>
          <w:bCs/>
          <w:lang w:val="sk-SK"/>
        </w:rPr>
        <w:t xml:space="preserve"> môže viesť k zvýšenému riziku </w:t>
      </w:r>
      <w:proofErr w:type="spellStart"/>
      <w:r w:rsidRPr="00540B04">
        <w:rPr>
          <w:bCs/>
          <w:lang w:val="sk-SK"/>
        </w:rPr>
        <w:t>angioedému</w:t>
      </w:r>
      <w:proofErr w:type="spellEnd"/>
      <w:r w:rsidRPr="00540B04">
        <w:rPr>
          <w:bCs/>
          <w:lang w:val="sk-SK"/>
        </w:rPr>
        <w:t xml:space="preserve"> (napr. opuch dýchacích ciest alebo jazyka, s poruchou respiračnej funkcie alebo bez nej) (pozri časť 4.5). Pri začatí liečby </w:t>
      </w:r>
      <w:proofErr w:type="spellStart"/>
      <w:r w:rsidRPr="00540B04">
        <w:rPr>
          <w:bCs/>
          <w:lang w:val="sk-SK"/>
        </w:rPr>
        <w:t>racekadotrilom</w:t>
      </w:r>
      <w:proofErr w:type="spellEnd"/>
      <w:r w:rsidRPr="00540B04">
        <w:rPr>
          <w:bCs/>
          <w:lang w:val="sk-SK"/>
        </w:rPr>
        <w:t xml:space="preserve"> </w:t>
      </w:r>
      <w:r w:rsidRPr="00540B04">
        <w:rPr>
          <w:bCs/>
          <w:lang w:val="sk-SK"/>
        </w:rPr>
        <w:lastRenderedPageBreak/>
        <w:t xml:space="preserve">inhibítormi </w:t>
      </w:r>
      <w:proofErr w:type="spellStart"/>
      <w:r w:rsidRPr="00540B04">
        <w:rPr>
          <w:bCs/>
          <w:lang w:val="sk-SK"/>
        </w:rPr>
        <w:t>mTOR</w:t>
      </w:r>
      <w:proofErr w:type="spellEnd"/>
      <w:r w:rsidRPr="00540B04">
        <w:rPr>
          <w:bCs/>
          <w:lang w:val="sk-SK"/>
        </w:rPr>
        <w:t xml:space="preserve"> a </w:t>
      </w:r>
      <w:proofErr w:type="spellStart"/>
      <w:r w:rsidRPr="00540B04">
        <w:rPr>
          <w:bCs/>
          <w:lang w:val="sk-SK"/>
        </w:rPr>
        <w:t>vildagliptínom</w:t>
      </w:r>
      <w:proofErr w:type="spellEnd"/>
      <w:r w:rsidRPr="00540B04">
        <w:rPr>
          <w:bCs/>
          <w:lang w:val="sk-SK"/>
        </w:rPr>
        <w:t xml:space="preserve"> u pacientov, ktorí už užívajú inhibítor ACE, je potrebná opatrnosť. </w:t>
      </w:r>
    </w:p>
    <w:p w14:paraId="264E3316" w14:textId="77777777" w:rsidR="001A7EFE" w:rsidRDefault="001A7EFE" w:rsidP="00732909">
      <w:pPr>
        <w:outlineLvl w:val="0"/>
        <w:rPr>
          <w:i/>
          <w:u w:val="single"/>
          <w:lang w:val="sk-SK"/>
        </w:rPr>
      </w:pPr>
    </w:p>
    <w:p w14:paraId="264E3317" w14:textId="77777777" w:rsidR="000575DE" w:rsidRPr="003F7DD0" w:rsidRDefault="000575DE" w:rsidP="000575DE">
      <w:pPr>
        <w:outlineLvl w:val="0"/>
        <w:rPr>
          <w:i/>
          <w:u w:val="single"/>
          <w:lang w:val="sk-SK"/>
        </w:rPr>
      </w:pPr>
      <w:proofErr w:type="spellStart"/>
      <w:r w:rsidRPr="003F7DD0">
        <w:rPr>
          <w:i/>
          <w:u w:val="single"/>
          <w:lang w:val="sk-SK"/>
        </w:rPr>
        <w:t>Anafylaktoidné</w:t>
      </w:r>
      <w:proofErr w:type="spellEnd"/>
      <w:r w:rsidRPr="003F7DD0">
        <w:rPr>
          <w:i/>
          <w:u w:val="single"/>
          <w:lang w:val="sk-SK"/>
        </w:rPr>
        <w:t xml:space="preserve"> reakcie u </w:t>
      </w:r>
      <w:proofErr w:type="spellStart"/>
      <w:r w:rsidRPr="003F7DD0">
        <w:rPr>
          <w:i/>
          <w:u w:val="single"/>
          <w:lang w:val="sk-SK"/>
        </w:rPr>
        <w:t>hemodialyzovaných</w:t>
      </w:r>
      <w:proofErr w:type="spellEnd"/>
      <w:r w:rsidRPr="003F7DD0">
        <w:rPr>
          <w:i/>
          <w:u w:val="single"/>
          <w:lang w:val="sk-SK"/>
        </w:rPr>
        <w:t xml:space="preserve"> pacientov</w:t>
      </w:r>
    </w:p>
    <w:p w14:paraId="264E3318" w14:textId="275E448A" w:rsidR="00D92878" w:rsidRPr="00157521" w:rsidRDefault="00D92878" w:rsidP="003F7DD0">
      <w:pPr>
        <w:rPr>
          <w:lang w:val="sk-SK"/>
        </w:rPr>
      </w:pPr>
      <w:r w:rsidRPr="00157521">
        <w:rPr>
          <w:szCs w:val="22"/>
          <w:lang w:val="sk-SK"/>
        </w:rPr>
        <w:t xml:space="preserve">Zaznamenali sa </w:t>
      </w:r>
      <w:proofErr w:type="spellStart"/>
      <w:r w:rsidRPr="00157521">
        <w:rPr>
          <w:szCs w:val="22"/>
          <w:lang w:val="sk-SK"/>
        </w:rPr>
        <w:t>anafylaktoidné</w:t>
      </w:r>
      <w:proofErr w:type="spellEnd"/>
      <w:r w:rsidRPr="00157521">
        <w:rPr>
          <w:szCs w:val="22"/>
          <w:lang w:val="sk-SK"/>
        </w:rPr>
        <w:t xml:space="preserve"> reakcie u </w:t>
      </w:r>
      <w:r w:rsidRPr="00157521">
        <w:rPr>
          <w:lang w:val="sk-SK"/>
        </w:rPr>
        <w:t>pacientov</w:t>
      </w:r>
      <w:r w:rsidRPr="00157521">
        <w:rPr>
          <w:szCs w:val="22"/>
          <w:lang w:val="sk-SK"/>
        </w:rPr>
        <w:t xml:space="preserve">, ktorí boli dialyzovaní cez </w:t>
      </w:r>
      <w:r w:rsidR="009B5801">
        <w:rPr>
          <w:szCs w:val="22"/>
          <w:lang w:val="sk-SK"/>
        </w:rPr>
        <w:t>„</w:t>
      </w:r>
      <w:proofErr w:type="spellStart"/>
      <w:r w:rsidRPr="00157521">
        <w:rPr>
          <w:szCs w:val="22"/>
          <w:lang w:val="sk-SK"/>
        </w:rPr>
        <w:t>high-flux</w:t>
      </w:r>
      <w:proofErr w:type="spellEnd"/>
      <w:r w:rsidR="009B5801">
        <w:rPr>
          <w:szCs w:val="22"/>
          <w:lang w:val="sk-SK"/>
        </w:rPr>
        <w:t>“</w:t>
      </w:r>
      <w:r w:rsidRPr="00157521">
        <w:rPr>
          <w:szCs w:val="22"/>
          <w:lang w:val="sk-SK"/>
        </w:rPr>
        <w:t xml:space="preserve"> membrány </w:t>
      </w:r>
      <w:r w:rsidRPr="00157521">
        <w:rPr>
          <w:lang w:val="sk-SK"/>
        </w:rPr>
        <w:t>(napr. AN 69</w:t>
      </w:r>
      <w:r w:rsidRPr="00157521">
        <w:rPr>
          <w:szCs w:val="22"/>
          <w:lang w:val="sk-SK"/>
        </w:rPr>
        <w:t>) a</w:t>
      </w:r>
      <w:r w:rsidRPr="00157521">
        <w:rPr>
          <w:lang w:val="sk-SK"/>
        </w:rPr>
        <w:t xml:space="preserve"> </w:t>
      </w:r>
      <w:r w:rsidR="00625AF4" w:rsidRPr="002D0C45">
        <w:rPr>
          <w:szCs w:val="22"/>
          <w:lang w:val="sk-SK"/>
        </w:rPr>
        <w:t>sú</w:t>
      </w:r>
      <w:r w:rsidR="00625AF4">
        <w:rPr>
          <w:szCs w:val="22"/>
          <w:lang w:val="sk-SK"/>
        </w:rPr>
        <w:t>bež</w:t>
      </w:r>
      <w:r w:rsidR="00625AF4" w:rsidRPr="007E0725">
        <w:rPr>
          <w:szCs w:val="22"/>
          <w:lang w:val="sk-SK"/>
        </w:rPr>
        <w:t>ne</w:t>
      </w:r>
      <w:r w:rsidRPr="00157521">
        <w:rPr>
          <w:lang w:val="sk-SK"/>
        </w:rPr>
        <w:t xml:space="preserve"> </w:t>
      </w:r>
      <w:r w:rsidRPr="00157521">
        <w:rPr>
          <w:szCs w:val="22"/>
          <w:lang w:val="sk-SK"/>
        </w:rPr>
        <w:t xml:space="preserve">sa </w:t>
      </w:r>
      <w:r w:rsidRPr="00157521">
        <w:rPr>
          <w:lang w:val="sk-SK"/>
        </w:rPr>
        <w:t>liečili ACE inhibítorom</w:t>
      </w:r>
      <w:r w:rsidRPr="00157521">
        <w:rPr>
          <w:szCs w:val="22"/>
          <w:lang w:val="sk-SK"/>
        </w:rPr>
        <w:t xml:space="preserve">. U </w:t>
      </w:r>
      <w:r w:rsidRPr="00157521">
        <w:rPr>
          <w:lang w:val="sk-SK"/>
        </w:rPr>
        <w:t>týchto pacientov</w:t>
      </w:r>
      <w:r w:rsidRPr="00157521">
        <w:rPr>
          <w:szCs w:val="22"/>
          <w:lang w:val="sk-SK"/>
        </w:rPr>
        <w:t xml:space="preserve"> </w:t>
      </w:r>
      <w:r w:rsidRPr="00157521">
        <w:rPr>
          <w:lang w:val="sk-SK"/>
        </w:rPr>
        <w:t xml:space="preserve">sa </w:t>
      </w:r>
      <w:r w:rsidRPr="00157521">
        <w:rPr>
          <w:szCs w:val="22"/>
          <w:lang w:val="sk-SK"/>
        </w:rPr>
        <w:t>m</w:t>
      </w:r>
      <w:r w:rsidR="00496A47">
        <w:rPr>
          <w:szCs w:val="22"/>
          <w:lang w:val="sk-SK"/>
        </w:rPr>
        <w:t>á</w:t>
      </w:r>
      <w:r w:rsidRPr="00157521">
        <w:rPr>
          <w:szCs w:val="22"/>
          <w:lang w:val="sk-SK"/>
        </w:rPr>
        <w:t xml:space="preserve"> zvážiť použitie iného typu</w:t>
      </w:r>
      <w:r w:rsidRPr="00157521">
        <w:rPr>
          <w:lang w:val="sk-SK"/>
        </w:rPr>
        <w:t xml:space="preserve"> dialyzačnej membrány alebo </w:t>
      </w:r>
      <w:proofErr w:type="spellStart"/>
      <w:r w:rsidRPr="00157521">
        <w:rPr>
          <w:szCs w:val="22"/>
          <w:lang w:val="sk-SK"/>
        </w:rPr>
        <w:t>antihypertenzívum</w:t>
      </w:r>
      <w:proofErr w:type="spellEnd"/>
      <w:r w:rsidRPr="00157521">
        <w:rPr>
          <w:szCs w:val="22"/>
          <w:lang w:val="sk-SK"/>
        </w:rPr>
        <w:t xml:space="preserve"> odlišnej</w:t>
      </w:r>
      <w:r w:rsidRPr="00157521">
        <w:rPr>
          <w:lang w:val="sk-SK"/>
        </w:rPr>
        <w:t xml:space="preserve"> skupiny.</w:t>
      </w:r>
    </w:p>
    <w:p w14:paraId="264E3319" w14:textId="77777777" w:rsidR="00681759" w:rsidRPr="00157521" w:rsidRDefault="00681759" w:rsidP="009512D0">
      <w:pPr>
        <w:tabs>
          <w:tab w:val="left" w:pos="7440"/>
        </w:tabs>
        <w:spacing w:line="240" w:lineRule="auto"/>
        <w:rPr>
          <w:i/>
          <w:u w:val="single"/>
          <w:lang w:val="sk-SK"/>
        </w:rPr>
      </w:pPr>
    </w:p>
    <w:p w14:paraId="264E331A" w14:textId="77777777" w:rsidR="000575DE" w:rsidRPr="003F7DD0" w:rsidRDefault="000575DE" w:rsidP="003F7DD0">
      <w:pPr>
        <w:outlineLvl w:val="0"/>
        <w:rPr>
          <w:i/>
          <w:u w:val="single"/>
          <w:lang w:val="sk-SK"/>
        </w:rPr>
      </w:pPr>
      <w:proofErr w:type="spellStart"/>
      <w:r w:rsidRPr="003F7DD0">
        <w:rPr>
          <w:i/>
          <w:u w:val="single"/>
          <w:lang w:val="sk-SK"/>
        </w:rPr>
        <w:t>Anafylaktoidné</w:t>
      </w:r>
      <w:proofErr w:type="spellEnd"/>
      <w:r w:rsidRPr="003F7DD0">
        <w:rPr>
          <w:i/>
          <w:u w:val="single"/>
          <w:lang w:val="sk-SK"/>
        </w:rPr>
        <w:t xml:space="preserve"> reakcie počas aferézy </w:t>
      </w:r>
      <w:proofErr w:type="spellStart"/>
      <w:r w:rsidRPr="003F7DD0">
        <w:rPr>
          <w:i/>
          <w:u w:val="single"/>
          <w:lang w:val="sk-SK"/>
        </w:rPr>
        <w:t>nízkodenzitných</w:t>
      </w:r>
      <w:proofErr w:type="spellEnd"/>
      <w:r w:rsidRPr="003F7DD0">
        <w:rPr>
          <w:i/>
          <w:u w:val="single"/>
          <w:lang w:val="sk-SK"/>
        </w:rPr>
        <w:t xml:space="preserve"> </w:t>
      </w:r>
      <w:proofErr w:type="spellStart"/>
      <w:r w:rsidRPr="003F7DD0">
        <w:rPr>
          <w:i/>
          <w:u w:val="single"/>
          <w:lang w:val="sk-SK"/>
        </w:rPr>
        <w:t>lipoproteínov</w:t>
      </w:r>
      <w:proofErr w:type="spellEnd"/>
      <w:r w:rsidRPr="003F7DD0">
        <w:rPr>
          <w:i/>
          <w:u w:val="single"/>
          <w:lang w:val="sk-SK"/>
        </w:rPr>
        <w:t xml:space="preserve"> (LDL)</w:t>
      </w:r>
    </w:p>
    <w:p w14:paraId="264E331B" w14:textId="77777777" w:rsidR="00681759" w:rsidRPr="00157521" w:rsidRDefault="000575DE" w:rsidP="000575DE">
      <w:pPr>
        <w:tabs>
          <w:tab w:val="left" w:pos="7440"/>
        </w:tabs>
        <w:spacing w:line="240" w:lineRule="auto"/>
        <w:rPr>
          <w:lang w:val="sk-SK"/>
        </w:rPr>
      </w:pPr>
      <w:r w:rsidRPr="00157521">
        <w:rPr>
          <w:lang w:val="sk-SK"/>
        </w:rPr>
        <w:t xml:space="preserve">U pacientov užívajúcich ACE inhibítory počas aferézy </w:t>
      </w:r>
      <w:proofErr w:type="spellStart"/>
      <w:r w:rsidRPr="00157521">
        <w:rPr>
          <w:lang w:val="sk-SK"/>
        </w:rPr>
        <w:t>nízkodenzitných</w:t>
      </w:r>
      <w:proofErr w:type="spellEnd"/>
      <w:r w:rsidRPr="00157521">
        <w:rPr>
          <w:lang w:val="sk-SK"/>
        </w:rPr>
        <w:t xml:space="preserve"> </w:t>
      </w:r>
      <w:proofErr w:type="spellStart"/>
      <w:r w:rsidRPr="00157521">
        <w:rPr>
          <w:lang w:val="sk-SK"/>
        </w:rPr>
        <w:t>lipoproteínov</w:t>
      </w:r>
      <w:proofErr w:type="spellEnd"/>
      <w:r w:rsidRPr="00157521">
        <w:rPr>
          <w:lang w:val="sk-SK"/>
        </w:rPr>
        <w:t xml:space="preserve"> (LDL) so </w:t>
      </w:r>
      <w:r w:rsidRPr="00157521">
        <w:rPr>
          <w:szCs w:val="22"/>
          <w:lang w:val="sk-SK"/>
        </w:rPr>
        <w:t xml:space="preserve">sulfátom </w:t>
      </w:r>
      <w:r w:rsidR="00A8338F" w:rsidRPr="00157521">
        <w:rPr>
          <w:szCs w:val="22"/>
          <w:lang w:val="sk-SK"/>
        </w:rPr>
        <w:t>dextrínu</w:t>
      </w:r>
      <w:r w:rsidRPr="00157521">
        <w:rPr>
          <w:lang w:val="sk-SK"/>
        </w:rPr>
        <w:t xml:space="preserve"> sa zriedkavo vyskytli život ohrozujúce </w:t>
      </w:r>
      <w:proofErr w:type="spellStart"/>
      <w:r w:rsidRPr="00157521">
        <w:rPr>
          <w:lang w:val="sk-SK"/>
        </w:rPr>
        <w:t>anafylaktoidné</w:t>
      </w:r>
      <w:proofErr w:type="spellEnd"/>
      <w:r w:rsidRPr="00157521">
        <w:rPr>
          <w:lang w:val="sk-SK"/>
        </w:rPr>
        <w:t xml:space="preserve"> reakcie. Týmto reakciám sa </w:t>
      </w:r>
      <w:r w:rsidRPr="00157521">
        <w:rPr>
          <w:szCs w:val="22"/>
          <w:lang w:val="sk-SK"/>
        </w:rPr>
        <w:t>vyhlo</w:t>
      </w:r>
      <w:r w:rsidRPr="00157521">
        <w:rPr>
          <w:lang w:val="sk-SK"/>
        </w:rPr>
        <w:t xml:space="preserve"> prechodným prerušením liečby inhibítorom</w:t>
      </w:r>
      <w:r w:rsidRPr="00157521">
        <w:rPr>
          <w:szCs w:val="22"/>
          <w:lang w:val="sk-SK"/>
        </w:rPr>
        <w:t xml:space="preserve"> ACE</w:t>
      </w:r>
      <w:r w:rsidRPr="00157521">
        <w:rPr>
          <w:lang w:val="sk-SK"/>
        </w:rPr>
        <w:t xml:space="preserve"> pred každou aferézou</w:t>
      </w:r>
      <w:r w:rsidR="00681759" w:rsidRPr="00157521">
        <w:rPr>
          <w:lang w:val="sk-SK"/>
        </w:rPr>
        <w:t>.</w:t>
      </w:r>
    </w:p>
    <w:p w14:paraId="264E331C" w14:textId="77777777" w:rsidR="00681759" w:rsidRPr="00157521" w:rsidRDefault="00681759" w:rsidP="009512D0">
      <w:pPr>
        <w:tabs>
          <w:tab w:val="left" w:pos="288"/>
          <w:tab w:val="left" w:pos="432"/>
        </w:tabs>
        <w:spacing w:line="240" w:lineRule="auto"/>
        <w:rPr>
          <w:i/>
          <w:u w:val="single"/>
          <w:lang w:val="sk-SK"/>
        </w:rPr>
      </w:pPr>
    </w:p>
    <w:p w14:paraId="264E331D" w14:textId="77777777" w:rsidR="000575DE" w:rsidRPr="003F7DD0" w:rsidRDefault="000575DE" w:rsidP="000575DE">
      <w:pPr>
        <w:outlineLvl w:val="0"/>
        <w:rPr>
          <w:i/>
          <w:u w:val="single"/>
          <w:lang w:val="sk-SK"/>
        </w:rPr>
      </w:pPr>
      <w:proofErr w:type="spellStart"/>
      <w:r w:rsidRPr="003F7DD0">
        <w:rPr>
          <w:i/>
          <w:u w:val="single"/>
          <w:lang w:val="sk-SK"/>
        </w:rPr>
        <w:t>Desenzibilizácia</w:t>
      </w:r>
      <w:proofErr w:type="spellEnd"/>
    </w:p>
    <w:p w14:paraId="264E331E" w14:textId="77777777" w:rsidR="00D92878" w:rsidRPr="00157521" w:rsidRDefault="00D92878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>Pacienti užívajúci</w:t>
      </w:r>
      <w:r w:rsidRPr="00157521">
        <w:rPr>
          <w:lang w:val="sk-SK"/>
        </w:rPr>
        <w:t xml:space="preserve"> ACE inhibítory počas </w:t>
      </w:r>
      <w:proofErr w:type="spellStart"/>
      <w:r w:rsidRPr="00157521">
        <w:rPr>
          <w:szCs w:val="22"/>
          <w:lang w:val="sk-SK"/>
        </w:rPr>
        <w:t>desenzitizačnej</w:t>
      </w:r>
      <w:proofErr w:type="spellEnd"/>
      <w:r w:rsidRPr="00157521">
        <w:rPr>
          <w:szCs w:val="22"/>
          <w:lang w:val="sk-SK"/>
        </w:rPr>
        <w:t xml:space="preserve"> liečby </w:t>
      </w:r>
      <w:r w:rsidRPr="00157521">
        <w:rPr>
          <w:lang w:val="sk-SK"/>
        </w:rPr>
        <w:t xml:space="preserve">(napr. </w:t>
      </w:r>
      <w:r w:rsidRPr="00157521">
        <w:rPr>
          <w:szCs w:val="22"/>
          <w:lang w:val="sk-SK"/>
        </w:rPr>
        <w:t>hadím jedom) mali pretrvávajúce</w:t>
      </w:r>
      <w:r w:rsidRPr="00157521">
        <w:rPr>
          <w:lang w:val="sk-SK"/>
        </w:rPr>
        <w:t xml:space="preserve"> </w:t>
      </w:r>
      <w:proofErr w:type="spellStart"/>
      <w:r w:rsidRPr="00157521">
        <w:rPr>
          <w:lang w:val="sk-SK"/>
        </w:rPr>
        <w:t>anafylaktoidné</w:t>
      </w:r>
      <w:proofErr w:type="spellEnd"/>
      <w:r w:rsidRPr="00157521">
        <w:rPr>
          <w:lang w:val="sk-SK"/>
        </w:rPr>
        <w:t xml:space="preserve"> reakcie. </w:t>
      </w:r>
      <w:r w:rsidRPr="00157521">
        <w:rPr>
          <w:szCs w:val="22"/>
          <w:lang w:val="sk-SK"/>
        </w:rPr>
        <w:t>U týchto pacientov sa dalo týmto</w:t>
      </w:r>
      <w:r w:rsidRPr="00157521">
        <w:rPr>
          <w:lang w:val="sk-SK"/>
        </w:rPr>
        <w:t xml:space="preserve"> reakciám </w:t>
      </w:r>
      <w:r w:rsidRPr="00157521">
        <w:rPr>
          <w:szCs w:val="22"/>
          <w:lang w:val="sk-SK"/>
        </w:rPr>
        <w:t xml:space="preserve">predísť, ak </w:t>
      </w:r>
      <w:r w:rsidRPr="00157521">
        <w:rPr>
          <w:lang w:val="sk-SK"/>
        </w:rPr>
        <w:t xml:space="preserve">sa ACE inhibítory </w:t>
      </w:r>
      <w:r w:rsidRPr="00157521">
        <w:rPr>
          <w:szCs w:val="22"/>
          <w:lang w:val="sk-SK"/>
        </w:rPr>
        <w:t>dočasne vysadili. Avšak pri neuváženom opätovnom užití lieku sa reakcie opäť objavili.</w:t>
      </w:r>
    </w:p>
    <w:p w14:paraId="264E331F" w14:textId="77777777" w:rsidR="00A8338F" w:rsidRPr="00157521" w:rsidRDefault="00A8338F" w:rsidP="009512D0">
      <w:pPr>
        <w:tabs>
          <w:tab w:val="left" w:pos="7080"/>
        </w:tabs>
        <w:spacing w:line="240" w:lineRule="auto"/>
        <w:rPr>
          <w:i/>
          <w:szCs w:val="22"/>
          <w:u w:val="single"/>
          <w:lang w:val="sk-SK"/>
        </w:rPr>
      </w:pPr>
    </w:p>
    <w:p w14:paraId="264E3320" w14:textId="77777777" w:rsidR="000575DE" w:rsidRPr="003F7DD0" w:rsidRDefault="00D92878" w:rsidP="000575DE">
      <w:pPr>
        <w:outlineLvl w:val="0"/>
        <w:rPr>
          <w:i/>
          <w:u w:val="single"/>
          <w:lang w:val="sk-SK"/>
        </w:rPr>
      </w:pPr>
      <w:r w:rsidRPr="003F7DD0">
        <w:rPr>
          <w:i/>
          <w:u w:val="single"/>
          <w:lang w:val="sk-SK"/>
        </w:rPr>
        <w:t>Zlyhanie pečene</w:t>
      </w:r>
    </w:p>
    <w:p w14:paraId="264E3321" w14:textId="77777777" w:rsidR="00681759" w:rsidRPr="00157521" w:rsidRDefault="000575DE" w:rsidP="000575DE">
      <w:pPr>
        <w:tabs>
          <w:tab w:val="left" w:pos="432"/>
          <w:tab w:val="left" w:pos="3456"/>
          <w:tab w:val="left" w:pos="3600"/>
        </w:tabs>
        <w:spacing w:line="240" w:lineRule="auto"/>
        <w:rPr>
          <w:lang w:val="sk-SK"/>
        </w:rPr>
      </w:pPr>
      <w:r w:rsidRPr="00157521">
        <w:rPr>
          <w:szCs w:val="22"/>
          <w:lang w:val="sk-SK"/>
        </w:rPr>
        <w:t>ACE inhibítory sa veľmi zriedkavo spájajú</w:t>
      </w:r>
      <w:r w:rsidRPr="00157521">
        <w:rPr>
          <w:lang w:val="sk-SK"/>
        </w:rPr>
        <w:t xml:space="preserve"> so syndrómom, ktorý začína </w:t>
      </w:r>
      <w:proofErr w:type="spellStart"/>
      <w:r w:rsidRPr="00157521">
        <w:rPr>
          <w:lang w:val="sk-SK"/>
        </w:rPr>
        <w:t>cholestatickou</w:t>
      </w:r>
      <w:proofErr w:type="spellEnd"/>
      <w:r w:rsidRPr="00157521">
        <w:rPr>
          <w:lang w:val="sk-SK"/>
        </w:rPr>
        <w:t xml:space="preserve"> žltačkou alebo hepatitídou a </w:t>
      </w:r>
      <w:proofErr w:type="spellStart"/>
      <w:r w:rsidRPr="00157521">
        <w:rPr>
          <w:lang w:val="sk-SK"/>
        </w:rPr>
        <w:t>progreduje</w:t>
      </w:r>
      <w:proofErr w:type="spellEnd"/>
      <w:r w:rsidRPr="00157521">
        <w:rPr>
          <w:lang w:val="sk-SK"/>
        </w:rPr>
        <w:t xml:space="preserve"> do fulminantnej </w:t>
      </w:r>
      <w:proofErr w:type="spellStart"/>
      <w:r w:rsidRPr="00157521">
        <w:rPr>
          <w:lang w:val="sk-SK"/>
        </w:rPr>
        <w:t>nekrózy</w:t>
      </w:r>
      <w:proofErr w:type="spellEnd"/>
      <w:r w:rsidRPr="00157521">
        <w:rPr>
          <w:lang w:val="sk-SK"/>
        </w:rPr>
        <w:t xml:space="preserve"> a (niekedy) smrti. Mechanizmus tohto syndrómu nie je známy. Pacienti užívajúci </w:t>
      </w:r>
      <w:proofErr w:type="spellStart"/>
      <w:r w:rsidR="00055614" w:rsidRPr="00157521">
        <w:rPr>
          <w:szCs w:val="22"/>
          <w:lang w:val="sk-SK"/>
        </w:rPr>
        <w:t>lizinopril</w:t>
      </w:r>
      <w:proofErr w:type="spellEnd"/>
      <w:r w:rsidRPr="00157521">
        <w:rPr>
          <w:lang w:val="sk-SK"/>
        </w:rPr>
        <w:t xml:space="preserve">, u ktorých sa vyvinie žltačka alebo výrazné zvýšenie </w:t>
      </w:r>
      <w:proofErr w:type="spellStart"/>
      <w:r w:rsidRPr="00157521">
        <w:rPr>
          <w:lang w:val="sk-SK"/>
        </w:rPr>
        <w:t>hepatálnych</w:t>
      </w:r>
      <w:proofErr w:type="spellEnd"/>
      <w:r w:rsidRPr="00157521">
        <w:rPr>
          <w:lang w:val="sk-SK"/>
        </w:rPr>
        <w:t xml:space="preserve"> enzýmov, </w:t>
      </w:r>
      <w:r w:rsidRPr="00157521">
        <w:rPr>
          <w:szCs w:val="22"/>
          <w:lang w:val="sk-SK"/>
        </w:rPr>
        <w:t>majú</w:t>
      </w:r>
      <w:r w:rsidRPr="00157521">
        <w:rPr>
          <w:lang w:val="sk-SK"/>
        </w:rPr>
        <w:t xml:space="preserve"> ukončiť užívanie </w:t>
      </w:r>
      <w:proofErr w:type="spellStart"/>
      <w:r w:rsidR="00055614" w:rsidRPr="00157521">
        <w:rPr>
          <w:szCs w:val="22"/>
          <w:lang w:val="sk-SK"/>
        </w:rPr>
        <w:t>lizinoprilu</w:t>
      </w:r>
      <w:proofErr w:type="spellEnd"/>
      <w:r w:rsidR="00681759" w:rsidRPr="00157521">
        <w:rPr>
          <w:lang w:val="sk-SK"/>
        </w:rPr>
        <w:t xml:space="preserve"> a</w:t>
      </w:r>
      <w:r w:rsidRPr="00157521">
        <w:rPr>
          <w:szCs w:val="22"/>
          <w:lang w:val="sk-SK"/>
        </w:rPr>
        <w:t xml:space="preserve"> majú byť pod vhodným lekársky</w:t>
      </w:r>
      <w:r w:rsidR="00681759" w:rsidRPr="00157521">
        <w:rPr>
          <w:szCs w:val="22"/>
          <w:lang w:val="sk-SK"/>
        </w:rPr>
        <w:t>m</w:t>
      </w:r>
      <w:r w:rsidRPr="00157521">
        <w:rPr>
          <w:szCs w:val="22"/>
          <w:lang w:val="sk-SK"/>
        </w:rPr>
        <w:t xml:space="preserve"> </w:t>
      </w:r>
      <w:r w:rsidR="00681759" w:rsidRPr="00157521">
        <w:rPr>
          <w:szCs w:val="22"/>
          <w:lang w:val="sk-SK"/>
        </w:rPr>
        <w:t>do</w:t>
      </w:r>
      <w:r w:rsidRPr="00157521">
        <w:rPr>
          <w:szCs w:val="22"/>
          <w:lang w:val="sk-SK"/>
        </w:rPr>
        <w:t>hľad</w:t>
      </w:r>
      <w:r w:rsidR="00681759" w:rsidRPr="00157521">
        <w:rPr>
          <w:szCs w:val="22"/>
          <w:lang w:val="sk-SK"/>
        </w:rPr>
        <w:t>o</w:t>
      </w:r>
      <w:r w:rsidRPr="00157521">
        <w:rPr>
          <w:szCs w:val="22"/>
          <w:lang w:val="sk-SK"/>
        </w:rPr>
        <w:t>m</w:t>
      </w:r>
      <w:r w:rsidR="00681759" w:rsidRPr="00157521">
        <w:rPr>
          <w:lang w:val="sk-SK"/>
        </w:rPr>
        <w:t>.</w:t>
      </w:r>
    </w:p>
    <w:p w14:paraId="264E3322" w14:textId="77777777" w:rsidR="00681759" w:rsidRPr="00157521" w:rsidRDefault="00681759" w:rsidP="009512D0">
      <w:pPr>
        <w:tabs>
          <w:tab w:val="left" w:pos="7080"/>
        </w:tabs>
        <w:spacing w:line="240" w:lineRule="auto"/>
        <w:rPr>
          <w:i/>
          <w:u w:val="single"/>
          <w:lang w:val="sk-SK"/>
        </w:rPr>
      </w:pPr>
    </w:p>
    <w:p w14:paraId="264E3323" w14:textId="77777777" w:rsidR="00215EAC" w:rsidRPr="003F7DD0" w:rsidRDefault="00215EAC" w:rsidP="003F7DD0">
      <w:pPr>
        <w:outlineLvl w:val="0"/>
        <w:rPr>
          <w:i/>
          <w:u w:val="single"/>
          <w:lang w:val="sk-SK"/>
        </w:rPr>
      </w:pPr>
      <w:proofErr w:type="spellStart"/>
      <w:r w:rsidRPr="003F7DD0">
        <w:rPr>
          <w:i/>
          <w:u w:val="single"/>
          <w:lang w:val="sk-SK"/>
        </w:rPr>
        <w:t>Neutropénia</w:t>
      </w:r>
      <w:proofErr w:type="spellEnd"/>
      <w:r w:rsidRPr="003F7DD0">
        <w:rPr>
          <w:i/>
          <w:u w:val="single"/>
          <w:lang w:val="sk-SK"/>
        </w:rPr>
        <w:t>/</w:t>
      </w:r>
      <w:proofErr w:type="spellStart"/>
      <w:r w:rsidRPr="003F7DD0">
        <w:rPr>
          <w:i/>
          <w:u w:val="single"/>
          <w:lang w:val="sk-SK"/>
        </w:rPr>
        <w:t>agranulocytóza</w:t>
      </w:r>
      <w:proofErr w:type="spellEnd"/>
    </w:p>
    <w:p w14:paraId="264E3324" w14:textId="77777777" w:rsidR="00302D90" w:rsidRPr="00157521" w:rsidRDefault="006677A3" w:rsidP="00215EAC">
      <w:pPr>
        <w:outlineLvl w:val="0"/>
        <w:rPr>
          <w:szCs w:val="22"/>
          <w:lang w:val="sk-SK"/>
        </w:rPr>
      </w:pPr>
      <w:r w:rsidRPr="00157521">
        <w:rPr>
          <w:lang w:val="sk-SK"/>
        </w:rPr>
        <w:t xml:space="preserve">U pacientov užívajúcich ACE inhibítory bola veľmi zriedkavo hlásená </w:t>
      </w:r>
      <w:proofErr w:type="spellStart"/>
      <w:r w:rsidRPr="00157521">
        <w:rPr>
          <w:lang w:val="sk-SK"/>
        </w:rPr>
        <w:t>neutropénia</w:t>
      </w:r>
      <w:proofErr w:type="spellEnd"/>
      <w:r w:rsidRPr="00157521">
        <w:rPr>
          <w:lang w:val="sk-SK"/>
        </w:rPr>
        <w:t xml:space="preserve">, </w:t>
      </w:r>
      <w:proofErr w:type="spellStart"/>
      <w:r w:rsidRPr="00157521">
        <w:rPr>
          <w:lang w:val="sk-SK"/>
        </w:rPr>
        <w:t>agranulocytóza</w:t>
      </w:r>
      <w:proofErr w:type="spellEnd"/>
      <w:r w:rsidRPr="00157521">
        <w:rPr>
          <w:lang w:val="sk-SK"/>
        </w:rPr>
        <w:t xml:space="preserve">, </w:t>
      </w:r>
      <w:proofErr w:type="spellStart"/>
      <w:r w:rsidRPr="00157521">
        <w:rPr>
          <w:lang w:val="sk-SK"/>
        </w:rPr>
        <w:t>trombocytopénia</w:t>
      </w:r>
      <w:proofErr w:type="spellEnd"/>
      <w:r w:rsidRPr="00157521">
        <w:rPr>
          <w:lang w:val="sk-SK"/>
        </w:rPr>
        <w:t xml:space="preserve"> a anémia (pozri časť 4.8). U pacientov s normálnou </w:t>
      </w:r>
      <w:proofErr w:type="spellStart"/>
      <w:r w:rsidRPr="00157521">
        <w:rPr>
          <w:lang w:val="sk-SK"/>
        </w:rPr>
        <w:t>renálnou</w:t>
      </w:r>
      <w:proofErr w:type="spellEnd"/>
      <w:r w:rsidRPr="00157521">
        <w:rPr>
          <w:lang w:val="sk-SK"/>
        </w:rPr>
        <w:t xml:space="preserve"> funkciou a bez žiadnych iných komplikujúcich faktorov sa </w:t>
      </w:r>
      <w:proofErr w:type="spellStart"/>
      <w:r w:rsidRPr="00157521">
        <w:rPr>
          <w:lang w:val="sk-SK"/>
        </w:rPr>
        <w:t>neutropénia</w:t>
      </w:r>
      <w:proofErr w:type="spellEnd"/>
      <w:r w:rsidRPr="00157521">
        <w:rPr>
          <w:lang w:val="sk-SK"/>
        </w:rPr>
        <w:t xml:space="preserve"> vyskytuje zriedkavo. </w:t>
      </w:r>
      <w:proofErr w:type="spellStart"/>
      <w:r w:rsidRPr="00157521">
        <w:rPr>
          <w:lang w:val="sk-SK"/>
        </w:rPr>
        <w:t>Neutropénia</w:t>
      </w:r>
      <w:proofErr w:type="spellEnd"/>
      <w:r w:rsidRPr="00157521">
        <w:rPr>
          <w:lang w:val="sk-SK"/>
        </w:rPr>
        <w:t xml:space="preserve"> a </w:t>
      </w:r>
      <w:proofErr w:type="spellStart"/>
      <w:r w:rsidRPr="00157521">
        <w:rPr>
          <w:lang w:val="sk-SK"/>
        </w:rPr>
        <w:t>agranulocytóza</w:t>
      </w:r>
      <w:proofErr w:type="spellEnd"/>
      <w:r w:rsidRPr="00157521">
        <w:rPr>
          <w:lang w:val="sk-SK"/>
        </w:rPr>
        <w:t xml:space="preserve"> sú reverzibilné po vysadení ACE inhibítora</w:t>
      </w:r>
      <w:r w:rsidR="00681759" w:rsidRPr="00157521">
        <w:rPr>
          <w:lang w:val="sk-SK"/>
        </w:rPr>
        <w:t>.</w:t>
      </w:r>
    </w:p>
    <w:p w14:paraId="264E3325" w14:textId="77777777" w:rsidR="00681759" w:rsidRPr="00157521" w:rsidRDefault="00302D90" w:rsidP="00215EAC">
      <w:pPr>
        <w:outlineLvl w:val="0"/>
        <w:rPr>
          <w:lang w:val="sk-SK"/>
        </w:rPr>
      </w:pPr>
      <w:proofErr w:type="spellStart"/>
      <w:r w:rsidRPr="00157521">
        <w:rPr>
          <w:szCs w:val="22"/>
          <w:lang w:val="sk-SK"/>
        </w:rPr>
        <w:t>Lizinopril</w:t>
      </w:r>
      <w:proofErr w:type="spellEnd"/>
      <w:r w:rsidR="00681759" w:rsidRPr="00157521">
        <w:rPr>
          <w:lang w:val="sk-SK"/>
        </w:rPr>
        <w:t xml:space="preserve"> </w:t>
      </w:r>
      <w:r w:rsidR="006677A3" w:rsidRPr="00157521">
        <w:rPr>
          <w:lang w:val="sk-SK"/>
        </w:rPr>
        <w:t xml:space="preserve">sa </w:t>
      </w:r>
      <w:r w:rsidR="00233747" w:rsidRPr="00157521">
        <w:rPr>
          <w:szCs w:val="22"/>
          <w:lang w:val="sk-SK"/>
        </w:rPr>
        <w:t>má</w:t>
      </w:r>
      <w:r w:rsidR="00233747" w:rsidRPr="00157521">
        <w:rPr>
          <w:lang w:val="sk-SK"/>
        </w:rPr>
        <w:t xml:space="preserve"> </w:t>
      </w:r>
      <w:r w:rsidR="006677A3" w:rsidRPr="00157521">
        <w:rPr>
          <w:lang w:val="sk-SK"/>
        </w:rPr>
        <w:t xml:space="preserve">používať s mimoriadnou opatrnosťou u pacientov s </w:t>
      </w:r>
      <w:proofErr w:type="spellStart"/>
      <w:r w:rsidR="006677A3" w:rsidRPr="00157521">
        <w:rPr>
          <w:lang w:val="sk-SK"/>
        </w:rPr>
        <w:t>kolagénovou</w:t>
      </w:r>
      <w:proofErr w:type="spellEnd"/>
      <w:r w:rsidR="006677A3" w:rsidRPr="00157521">
        <w:rPr>
          <w:lang w:val="sk-SK"/>
        </w:rPr>
        <w:t xml:space="preserve"> chorobou ciev, </w:t>
      </w:r>
      <w:proofErr w:type="spellStart"/>
      <w:r w:rsidR="006677A3" w:rsidRPr="00157521">
        <w:rPr>
          <w:lang w:val="sk-SK"/>
        </w:rPr>
        <w:t>imunosupresívnou</w:t>
      </w:r>
      <w:proofErr w:type="spellEnd"/>
      <w:r w:rsidR="006677A3" w:rsidRPr="00157521">
        <w:rPr>
          <w:lang w:val="sk-SK"/>
        </w:rPr>
        <w:t xml:space="preserve"> liečbou, liečbou </w:t>
      </w:r>
      <w:proofErr w:type="spellStart"/>
      <w:r w:rsidR="006677A3" w:rsidRPr="00157521">
        <w:rPr>
          <w:lang w:val="sk-SK"/>
        </w:rPr>
        <w:t>alopurinolom</w:t>
      </w:r>
      <w:proofErr w:type="spellEnd"/>
      <w:r w:rsidR="006677A3" w:rsidRPr="00157521">
        <w:rPr>
          <w:lang w:val="sk-SK"/>
        </w:rPr>
        <w:t xml:space="preserve"> alebo </w:t>
      </w:r>
      <w:proofErr w:type="spellStart"/>
      <w:r w:rsidR="006677A3" w:rsidRPr="00157521">
        <w:rPr>
          <w:lang w:val="sk-SK"/>
        </w:rPr>
        <w:t>prokaínamidom</w:t>
      </w:r>
      <w:proofErr w:type="spellEnd"/>
      <w:r w:rsidR="006677A3" w:rsidRPr="00157521">
        <w:rPr>
          <w:lang w:val="sk-SK"/>
        </w:rPr>
        <w:t xml:space="preserve">, alebo pri kombinácii týchto komplikujúcich faktorov, zvlášť ak je prítomné už existujúce poškodenie </w:t>
      </w:r>
      <w:proofErr w:type="spellStart"/>
      <w:r w:rsidR="006677A3" w:rsidRPr="00157521">
        <w:rPr>
          <w:lang w:val="sk-SK"/>
        </w:rPr>
        <w:t>renálnej</w:t>
      </w:r>
      <w:proofErr w:type="spellEnd"/>
      <w:r w:rsidR="006677A3" w:rsidRPr="00157521">
        <w:rPr>
          <w:lang w:val="sk-SK"/>
        </w:rPr>
        <w:t xml:space="preserve"> funkcie. U niektorých týchto pacientov sa rozvinuli ťažké infekcie, ktoré v niektorých prípadoch neodpovedali na intenzívnu antibiotickú liečbu</w:t>
      </w:r>
      <w:r w:rsidR="00681759" w:rsidRPr="00157521">
        <w:rPr>
          <w:lang w:val="sk-SK"/>
        </w:rPr>
        <w:t xml:space="preserve">. </w:t>
      </w:r>
      <w:r w:rsidR="006677A3" w:rsidRPr="00157521">
        <w:rPr>
          <w:lang w:val="sk-SK"/>
        </w:rPr>
        <w:t xml:space="preserve">Ak sa u takýchto pacientov </w:t>
      </w:r>
      <w:r w:rsidR="006677A3" w:rsidRPr="00157521">
        <w:rPr>
          <w:szCs w:val="22"/>
          <w:lang w:val="sk-SK"/>
        </w:rPr>
        <w:t xml:space="preserve">používa </w:t>
      </w:r>
      <w:proofErr w:type="spellStart"/>
      <w:r w:rsidRPr="00157521">
        <w:rPr>
          <w:szCs w:val="22"/>
          <w:lang w:val="sk-SK"/>
        </w:rPr>
        <w:t>lizinopril</w:t>
      </w:r>
      <w:proofErr w:type="spellEnd"/>
      <w:r w:rsidRPr="00157521">
        <w:rPr>
          <w:lang w:val="sk-SK"/>
        </w:rPr>
        <w:t>,</w:t>
      </w:r>
      <w:r w:rsidR="006677A3" w:rsidRPr="00157521">
        <w:rPr>
          <w:lang w:val="sk-SK"/>
        </w:rPr>
        <w:t xml:space="preserve"> odporúča sa robiť pravidelné monitorovanie počtu bielych krviniek a pacienti musia byť poučení, aby hlásili akýkoľvek </w:t>
      </w:r>
      <w:r w:rsidR="00786CF4" w:rsidRPr="00157521">
        <w:rPr>
          <w:lang w:val="sk-SK"/>
        </w:rPr>
        <w:t>pr</w:t>
      </w:r>
      <w:r w:rsidR="00786CF4">
        <w:rPr>
          <w:lang w:val="sk-SK"/>
        </w:rPr>
        <w:t>ejav</w:t>
      </w:r>
      <w:r w:rsidR="00786CF4" w:rsidRPr="00157521">
        <w:rPr>
          <w:lang w:val="sk-SK"/>
        </w:rPr>
        <w:t xml:space="preserve"> </w:t>
      </w:r>
      <w:r w:rsidR="006677A3" w:rsidRPr="00157521">
        <w:rPr>
          <w:lang w:val="sk-SK"/>
        </w:rPr>
        <w:t>infekcie</w:t>
      </w:r>
      <w:r w:rsidR="00681759" w:rsidRPr="00157521">
        <w:rPr>
          <w:lang w:val="sk-SK"/>
        </w:rPr>
        <w:t>.</w:t>
      </w:r>
    </w:p>
    <w:p w14:paraId="264E3326" w14:textId="77777777" w:rsidR="00AA0896" w:rsidRPr="003B45BA" w:rsidRDefault="00AA0896" w:rsidP="00AA0896">
      <w:pPr>
        <w:rPr>
          <w:i/>
          <w:szCs w:val="22"/>
          <w:lang w:val="sk-SK"/>
        </w:rPr>
      </w:pPr>
    </w:p>
    <w:p w14:paraId="264E3327" w14:textId="77777777" w:rsidR="00AA0896" w:rsidRPr="000B69CF" w:rsidRDefault="00AA0896" w:rsidP="00AA0896">
      <w:pPr>
        <w:rPr>
          <w:i/>
          <w:szCs w:val="22"/>
          <w:u w:val="single"/>
          <w:lang w:val="sk-SK"/>
        </w:rPr>
      </w:pPr>
      <w:r w:rsidRPr="000B69CF">
        <w:rPr>
          <w:i/>
          <w:szCs w:val="22"/>
          <w:u w:val="single"/>
          <w:lang w:val="sk-SK"/>
        </w:rPr>
        <w:t xml:space="preserve">Duálna inhibícia systému </w:t>
      </w:r>
      <w:proofErr w:type="spellStart"/>
      <w:r w:rsidRPr="000B69CF">
        <w:rPr>
          <w:i/>
          <w:szCs w:val="22"/>
          <w:u w:val="single"/>
          <w:lang w:val="sk-SK"/>
        </w:rPr>
        <w:t>renín-angiotenzín-aldosterón</w:t>
      </w:r>
      <w:proofErr w:type="spellEnd"/>
      <w:r w:rsidRPr="000B69CF">
        <w:rPr>
          <w:i/>
          <w:szCs w:val="22"/>
          <w:u w:val="single"/>
          <w:lang w:val="sk-SK"/>
        </w:rPr>
        <w:t xml:space="preserve"> (RAAS):</w:t>
      </w:r>
    </w:p>
    <w:p w14:paraId="264E3328" w14:textId="77777777" w:rsidR="00AA0896" w:rsidRPr="003F7DD0" w:rsidRDefault="00AA0896" w:rsidP="00AA0896">
      <w:pPr>
        <w:rPr>
          <w:szCs w:val="22"/>
          <w:lang w:val="sk-SK"/>
        </w:rPr>
      </w:pPr>
      <w:r w:rsidRPr="003F7DD0">
        <w:rPr>
          <w:szCs w:val="22"/>
          <w:lang w:val="sk-SK"/>
        </w:rPr>
        <w:t xml:space="preserve">Preukázalo sa, že súbežné použitie inhibítorov ACE, </w:t>
      </w:r>
      <w:proofErr w:type="spellStart"/>
      <w:r w:rsidRPr="003F7DD0">
        <w:rPr>
          <w:szCs w:val="22"/>
          <w:lang w:val="sk-SK"/>
        </w:rPr>
        <w:t>blokátorov</w:t>
      </w:r>
      <w:proofErr w:type="spellEnd"/>
      <w:r w:rsidRPr="003F7DD0">
        <w:rPr>
          <w:szCs w:val="22"/>
          <w:lang w:val="sk-SK"/>
        </w:rPr>
        <w:t xml:space="preserve"> receptorov </w:t>
      </w:r>
      <w:proofErr w:type="spellStart"/>
      <w:r w:rsidRPr="003F7DD0">
        <w:rPr>
          <w:szCs w:val="22"/>
          <w:lang w:val="sk-SK"/>
        </w:rPr>
        <w:t>angiotenzínu</w:t>
      </w:r>
      <w:proofErr w:type="spellEnd"/>
      <w:r w:rsidRPr="003F7DD0">
        <w:rPr>
          <w:szCs w:val="22"/>
          <w:lang w:val="sk-SK"/>
        </w:rPr>
        <w:t xml:space="preserve"> II alebo </w:t>
      </w:r>
      <w:proofErr w:type="spellStart"/>
      <w:r w:rsidRPr="003F7DD0">
        <w:rPr>
          <w:szCs w:val="22"/>
          <w:lang w:val="sk-SK"/>
        </w:rPr>
        <w:t>aliskirenu</w:t>
      </w:r>
      <w:proofErr w:type="spellEnd"/>
      <w:r w:rsidRPr="003F7DD0">
        <w:rPr>
          <w:szCs w:val="22"/>
          <w:lang w:val="sk-SK"/>
        </w:rPr>
        <w:t xml:space="preserve"> zvyšuje riziko hypotenzie, </w:t>
      </w:r>
      <w:proofErr w:type="spellStart"/>
      <w:r w:rsidRPr="003F7DD0">
        <w:rPr>
          <w:szCs w:val="22"/>
          <w:lang w:val="sk-SK"/>
        </w:rPr>
        <w:t>hyperkaliémie</w:t>
      </w:r>
      <w:proofErr w:type="spellEnd"/>
      <w:r w:rsidRPr="003F7DD0">
        <w:rPr>
          <w:szCs w:val="22"/>
          <w:lang w:val="sk-SK"/>
        </w:rPr>
        <w:t xml:space="preserve"> a zníženia funkcie obličiek (vrátane akútneho zlyhania obličiek). Duálna inhibícia RAAS kombinovaným použitím inhibítorov ACE, </w:t>
      </w:r>
      <w:proofErr w:type="spellStart"/>
      <w:r w:rsidRPr="003F7DD0">
        <w:rPr>
          <w:szCs w:val="22"/>
          <w:lang w:val="sk-SK"/>
        </w:rPr>
        <w:t>blokátorov</w:t>
      </w:r>
      <w:proofErr w:type="spellEnd"/>
      <w:r w:rsidRPr="003F7DD0">
        <w:rPr>
          <w:szCs w:val="22"/>
          <w:lang w:val="sk-SK"/>
        </w:rPr>
        <w:t xml:space="preserve"> receptorov </w:t>
      </w:r>
      <w:proofErr w:type="spellStart"/>
      <w:r w:rsidRPr="003F7DD0">
        <w:rPr>
          <w:szCs w:val="22"/>
          <w:lang w:val="sk-SK"/>
        </w:rPr>
        <w:t>angiotenzínu</w:t>
      </w:r>
      <w:proofErr w:type="spellEnd"/>
      <w:r w:rsidRPr="003F7DD0">
        <w:rPr>
          <w:szCs w:val="22"/>
          <w:lang w:val="sk-SK"/>
        </w:rPr>
        <w:t xml:space="preserve"> II alebo </w:t>
      </w:r>
      <w:proofErr w:type="spellStart"/>
      <w:r w:rsidRPr="003F7DD0">
        <w:rPr>
          <w:szCs w:val="22"/>
          <w:lang w:val="sk-SK"/>
        </w:rPr>
        <w:t>aliskirenu</w:t>
      </w:r>
      <w:proofErr w:type="spellEnd"/>
      <w:r w:rsidRPr="003F7DD0">
        <w:rPr>
          <w:szCs w:val="22"/>
          <w:lang w:val="sk-SK"/>
        </w:rPr>
        <w:t xml:space="preserve"> sa preto neodporúča (pozri časti 4.5 a 5.1).</w:t>
      </w:r>
    </w:p>
    <w:p w14:paraId="264E3329" w14:textId="77777777" w:rsidR="00AA0896" w:rsidRPr="003F7DD0" w:rsidRDefault="00AA0896" w:rsidP="00AA0896">
      <w:pPr>
        <w:rPr>
          <w:szCs w:val="22"/>
          <w:lang w:val="sk-SK"/>
        </w:rPr>
      </w:pPr>
      <w:r w:rsidRPr="003F7DD0">
        <w:rPr>
          <w:szCs w:val="22"/>
          <w:lang w:val="sk-SK"/>
        </w:rPr>
        <w:t>Ak sa liečba duálnou inhibíciou považuje za absolútne nevyhnutnú, má sa podať iba pod dohľadom odborníka a u pacienta sa majú často a dôsledne kontrolovať funkcia obličiek, elektrolyty a krvný tlak.</w:t>
      </w:r>
    </w:p>
    <w:p w14:paraId="264E332A" w14:textId="77777777" w:rsidR="00AA0896" w:rsidRPr="003F7DD0" w:rsidRDefault="00AA0896" w:rsidP="00AA0896">
      <w:pPr>
        <w:rPr>
          <w:szCs w:val="22"/>
          <w:lang w:val="sk-SK"/>
        </w:rPr>
      </w:pPr>
      <w:r w:rsidRPr="003F7DD0">
        <w:rPr>
          <w:szCs w:val="22"/>
          <w:lang w:val="sk-SK"/>
        </w:rPr>
        <w:t xml:space="preserve">Inhibítory ACE a </w:t>
      </w:r>
      <w:proofErr w:type="spellStart"/>
      <w:r w:rsidRPr="003F7DD0">
        <w:rPr>
          <w:szCs w:val="22"/>
          <w:lang w:val="sk-SK"/>
        </w:rPr>
        <w:t>blokátory</w:t>
      </w:r>
      <w:proofErr w:type="spellEnd"/>
      <w:r w:rsidRPr="003F7DD0">
        <w:rPr>
          <w:szCs w:val="22"/>
          <w:lang w:val="sk-SK"/>
        </w:rPr>
        <w:t xml:space="preserve"> receptorov </w:t>
      </w:r>
      <w:proofErr w:type="spellStart"/>
      <w:r w:rsidRPr="003F7DD0">
        <w:rPr>
          <w:szCs w:val="22"/>
          <w:lang w:val="sk-SK"/>
        </w:rPr>
        <w:t>angiotenzínu</w:t>
      </w:r>
      <w:proofErr w:type="spellEnd"/>
      <w:r w:rsidRPr="003F7DD0">
        <w:rPr>
          <w:szCs w:val="22"/>
          <w:lang w:val="sk-SK"/>
        </w:rPr>
        <w:t xml:space="preserve"> II sa nemajú súbežne používať u pacientov s</w:t>
      </w:r>
      <w:r w:rsidR="00496A47">
        <w:rPr>
          <w:szCs w:val="22"/>
          <w:lang w:val="sk-SK"/>
        </w:rPr>
        <w:t> </w:t>
      </w:r>
      <w:r w:rsidRPr="003F7DD0">
        <w:rPr>
          <w:szCs w:val="22"/>
          <w:lang w:val="sk-SK"/>
        </w:rPr>
        <w:t xml:space="preserve">diabetickou </w:t>
      </w:r>
      <w:proofErr w:type="spellStart"/>
      <w:r w:rsidRPr="003F7DD0">
        <w:rPr>
          <w:szCs w:val="22"/>
          <w:lang w:val="sk-SK"/>
        </w:rPr>
        <w:t>nefropatiou</w:t>
      </w:r>
      <w:proofErr w:type="spellEnd"/>
      <w:r w:rsidRPr="003F7DD0">
        <w:rPr>
          <w:szCs w:val="22"/>
          <w:lang w:val="sk-SK"/>
        </w:rPr>
        <w:t>.</w:t>
      </w:r>
    </w:p>
    <w:p w14:paraId="264E332B" w14:textId="77777777" w:rsidR="00681759" w:rsidRPr="003F7DD0" w:rsidRDefault="00681759" w:rsidP="009512D0">
      <w:pPr>
        <w:tabs>
          <w:tab w:val="left" w:pos="7080"/>
        </w:tabs>
        <w:spacing w:line="240" w:lineRule="auto"/>
        <w:rPr>
          <w:szCs w:val="22"/>
          <w:lang w:val="sk-SK"/>
        </w:rPr>
      </w:pPr>
    </w:p>
    <w:p w14:paraId="264E332C" w14:textId="77777777" w:rsidR="00215EAC" w:rsidRPr="003F7DD0" w:rsidRDefault="00215EAC" w:rsidP="003F7DD0">
      <w:pPr>
        <w:outlineLvl w:val="0"/>
        <w:rPr>
          <w:i/>
          <w:u w:val="single"/>
          <w:lang w:val="sk-SK"/>
        </w:rPr>
      </w:pPr>
      <w:r w:rsidRPr="003F7DD0">
        <w:rPr>
          <w:i/>
          <w:u w:val="single"/>
          <w:lang w:val="sk-SK"/>
        </w:rPr>
        <w:t>Rasa</w:t>
      </w:r>
    </w:p>
    <w:p w14:paraId="264E332D" w14:textId="77777777" w:rsidR="00302D90" w:rsidRPr="00157521" w:rsidRDefault="00302D90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Inhibítory </w:t>
      </w:r>
      <w:proofErr w:type="spellStart"/>
      <w:r w:rsidRPr="00157521">
        <w:rPr>
          <w:szCs w:val="22"/>
          <w:lang w:val="sk-SK"/>
        </w:rPr>
        <w:t>angiotenzín</w:t>
      </w:r>
      <w:proofErr w:type="spellEnd"/>
      <w:r w:rsidRPr="00157521">
        <w:rPr>
          <w:szCs w:val="22"/>
          <w:lang w:val="sk-SK"/>
        </w:rPr>
        <w:t xml:space="preserve"> konvertujúceho enzýmu vyvolávajú </w:t>
      </w:r>
      <w:proofErr w:type="spellStart"/>
      <w:r w:rsidRPr="00157521">
        <w:rPr>
          <w:szCs w:val="22"/>
          <w:lang w:val="sk-SK"/>
        </w:rPr>
        <w:t>angioneurotický</w:t>
      </w:r>
      <w:proofErr w:type="spellEnd"/>
      <w:r w:rsidRPr="00157521">
        <w:rPr>
          <w:szCs w:val="22"/>
          <w:lang w:val="sk-SK"/>
        </w:rPr>
        <w:t xml:space="preserve"> edém častejšie u pacientov čiernej rasy než u pacientov iných rás.</w:t>
      </w:r>
    </w:p>
    <w:p w14:paraId="264E332E" w14:textId="77777777" w:rsidR="00302D90" w:rsidRPr="00157521" w:rsidRDefault="00302D90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Podobne ako iné ACE inhibítory aj </w:t>
      </w:r>
      <w:proofErr w:type="spellStart"/>
      <w:r w:rsidRPr="00157521">
        <w:rPr>
          <w:szCs w:val="22"/>
          <w:lang w:val="sk-SK"/>
        </w:rPr>
        <w:t>lizinopril</w:t>
      </w:r>
      <w:proofErr w:type="spellEnd"/>
      <w:r w:rsidRPr="00157521">
        <w:rPr>
          <w:szCs w:val="22"/>
          <w:lang w:val="sk-SK"/>
        </w:rPr>
        <w:t xml:space="preserve"> môže byť menej účinný na zníženie tlaku krvi u pacientov čiernej rasy než u pacientov iných rás, a to pravdepodobne v dôsledku vyššieho výskytu stavov s nízkou hladinou </w:t>
      </w:r>
      <w:proofErr w:type="spellStart"/>
      <w:r w:rsidRPr="00157521">
        <w:rPr>
          <w:szCs w:val="22"/>
          <w:lang w:val="sk-SK"/>
        </w:rPr>
        <w:t>renínu</w:t>
      </w:r>
      <w:proofErr w:type="spellEnd"/>
      <w:r w:rsidRPr="00157521">
        <w:rPr>
          <w:szCs w:val="22"/>
          <w:lang w:val="sk-SK"/>
        </w:rPr>
        <w:t xml:space="preserve"> u populácie pacientov čiernej rasy s hypertenziou.</w:t>
      </w:r>
    </w:p>
    <w:p w14:paraId="264E332F" w14:textId="77777777" w:rsidR="00215EAC" w:rsidRPr="00157521" w:rsidRDefault="00215EAC" w:rsidP="00215EAC">
      <w:pPr>
        <w:tabs>
          <w:tab w:val="left" w:pos="1336"/>
        </w:tabs>
        <w:outlineLvl w:val="0"/>
        <w:rPr>
          <w:lang w:val="sk-SK"/>
        </w:rPr>
      </w:pPr>
    </w:p>
    <w:p w14:paraId="264E3330" w14:textId="77777777" w:rsidR="006677A3" w:rsidRPr="003F7DD0" w:rsidRDefault="006677A3" w:rsidP="00215EAC">
      <w:pPr>
        <w:tabs>
          <w:tab w:val="left" w:pos="1336"/>
        </w:tabs>
        <w:outlineLvl w:val="0"/>
        <w:rPr>
          <w:i/>
          <w:u w:val="single"/>
          <w:lang w:val="sk-SK"/>
        </w:rPr>
      </w:pPr>
      <w:r w:rsidRPr="003F7DD0">
        <w:rPr>
          <w:i/>
          <w:u w:val="single"/>
          <w:lang w:val="sk-SK"/>
        </w:rPr>
        <w:t>Kašeľ</w:t>
      </w:r>
    </w:p>
    <w:p w14:paraId="264E3331" w14:textId="77777777" w:rsidR="00681759" w:rsidRPr="00157521" w:rsidRDefault="006677A3" w:rsidP="006677A3">
      <w:pPr>
        <w:tabs>
          <w:tab w:val="left" w:pos="7080"/>
        </w:tabs>
        <w:spacing w:line="240" w:lineRule="auto"/>
        <w:rPr>
          <w:lang w:val="sk-SK"/>
        </w:rPr>
      </w:pPr>
      <w:r w:rsidRPr="00157521">
        <w:rPr>
          <w:lang w:val="sk-SK"/>
        </w:rPr>
        <w:t>Pri používaní ACE inhibítorov bol hlásený kašeľ. Typický kašeľ je neproduktívny, pretrvávajúci a ustúpi po prerušení liečby. Kašeľ vyvolaný ACE inhibítorom sa musí vziať do úvahy pri diferenciálnej diagnóze kašľa</w:t>
      </w:r>
      <w:r w:rsidR="00681759" w:rsidRPr="00157521">
        <w:rPr>
          <w:lang w:val="sk-SK"/>
        </w:rPr>
        <w:t>.</w:t>
      </w:r>
    </w:p>
    <w:p w14:paraId="264E3332" w14:textId="77777777" w:rsidR="00681759" w:rsidRPr="00157521" w:rsidRDefault="00681759" w:rsidP="009512D0">
      <w:pPr>
        <w:tabs>
          <w:tab w:val="left" w:pos="7080"/>
        </w:tabs>
        <w:spacing w:line="240" w:lineRule="auto"/>
        <w:rPr>
          <w:lang w:val="sk-SK"/>
        </w:rPr>
      </w:pPr>
    </w:p>
    <w:p w14:paraId="264E3333" w14:textId="77777777" w:rsidR="007F10E6" w:rsidRPr="003F7DD0" w:rsidRDefault="007F10E6" w:rsidP="007F10E6">
      <w:pPr>
        <w:jc w:val="both"/>
        <w:rPr>
          <w:u w:val="single"/>
          <w:lang w:val="sk-SK"/>
        </w:rPr>
      </w:pPr>
      <w:r w:rsidRPr="003F7DD0">
        <w:rPr>
          <w:i/>
          <w:szCs w:val="22"/>
          <w:u w:val="single"/>
          <w:lang w:val="sk-SK"/>
        </w:rPr>
        <w:t>Chirurgické výkony/</w:t>
      </w:r>
      <w:r w:rsidRPr="003F7DD0">
        <w:rPr>
          <w:i/>
          <w:u w:val="single"/>
          <w:lang w:val="sk-SK"/>
        </w:rPr>
        <w:t>anestézia</w:t>
      </w:r>
    </w:p>
    <w:p w14:paraId="264E3334" w14:textId="77777777" w:rsidR="00681759" w:rsidRPr="00157521" w:rsidRDefault="006677A3" w:rsidP="007F10E6">
      <w:pPr>
        <w:outlineLvl w:val="0"/>
        <w:rPr>
          <w:lang w:val="sk-SK"/>
        </w:rPr>
      </w:pPr>
      <w:r w:rsidRPr="00157521">
        <w:rPr>
          <w:lang w:val="sk-SK"/>
        </w:rPr>
        <w:t xml:space="preserve">U pacientov podstupujúcich veľký chirurgický zákrok alebo počas anestézie za použitia liekov vyvolávajúcich hypotenziu môže </w:t>
      </w:r>
      <w:proofErr w:type="spellStart"/>
      <w:r w:rsidRPr="00157521">
        <w:rPr>
          <w:lang w:val="sk-SK"/>
        </w:rPr>
        <w:t>lizinopril</w:t>
      </w:r>
      <w:proofErr w:type="spellEnd"/>
      <w:r w:rsidRPr="00157521">
        <w:rPr>
          <w:lang w:val="sk-SK"/>
        </w:rPr>
        <w:t xml:space="preserve"> blokovať tvorbu </w:t>
      </w:r>
      <w:proofErr w:type="spellStart"/>
      <w:r w:rsidRPr="00157521">
        <w:rPr>
          <w:lang w:val="sk-SK"/>
        </w:rPr>
        <w:t>angiotenzínu</w:t>
      </w:r>
      <w:proofErr w:type="spellEnd"/>
      <w:r w:rsidRPr="00157521">
        <w:rPr>
          <w:lang w:val="sk-SK"/>
        </w:rPr>
        <w:t xml:space="preserve"> II </w:t>
      </w:r>
      <w:r w:rsidRPr="00157521">
        <w:rPr>
          <w:szCs w:val="22"/>
          <w:lang w:val="sk-SK"/>
        </w:rPr>
        <w:t>pri druhotnom</w:t>
      </w:r>
      <w:r w:rsidRPr="00157521">
        <w:rPr>
          <w:lang w:val="sk-SK"/>
        </w:rPr>
        <w:t xml:space="preserve"> kompenzačnom uvoľnení </w:t>
      </w:r>
      <w:proofErr w:type="spellStart"/>
      <w:r w:rsidRPr="00157521">
        <w:rPr>
          <w:lang w:val="sk-SK"/>
        </w:rPr>
        <w:t>renínu</w:t>
      </w:r>
      <w:proofErr w:type="spellEnd"/>
      <w:r w:rsidRPr="00157521">
        <w:rPr>
          <w:lang w:val="sk-SK"/>
        </w:rPr>
        <w:t>. Ak sa objaví hypotenzia</w:t>
      </w:r>
      <w:r w:rsidR="007F10E6" w:rsidRPr="00157521">
        <w:rPr>
          <w:szCs w:val="22"/>
          <w:lang w:val="sk-SK"/>
        </w:rPr>
        <w:t>, pričom sa predpokladá, že vznikla</w:t>
      </w:r>
      <w:r w:rsidRPr="00157521">
        <w:rPr>
          <w:lang w:val="sk-SK"/>
        </w:rPr>
        <w:t xml:space="preserve"> týmto mechanizmom, možno ju korigovať zväčšením objemu.</w:t>
      </w:r>
    </w:p>
    <w:p w14:paraId="264E3335" w14:textId="77777777" w:rsidR="00681759" w:rsidRPr="00157521" w:rsidRDefault="00681759" w:rsidP="009512D0">
      <w:pPr>
        <w:tabs>
          <w:tab w:val="left" w:pos="7080"/>
        </w:tabs>
        <w:spacing w:line="240" w:lineRule="auto"/>
        <w:rPr>
          <w:i/>
          <w:u w:val="single"/>
          <w:lang w:val="sk-SK"/>
        </w:rPr>
      </w:pPr>
    </w:p>
    <w:p w14:paraId="264E3336" w14:textId="77777777" w:rsidR="006677A3" w:rsidRPr="003F7DD0" w:rsidRDefault="006677A3" w:rsidP="006677A3">
      <w:pPr>
        <w:outlineLvl w:val="0"/>
        <w:rPr>
          <w:i/>
          <w:u w:val="single"/>
          <w:lang w:val="sk-SK"/>
        </w:rPr>
      </w:pPr>
      <w:proofErr w:type="spellStart"/>
      <w:r w:rsidRPr="003F7DD0">
        <w:rPr>
          <w:i/>
          <w:u w:val="single"/>
          <w:lang w:val="sk-SK"/>
        </w:rPr>
        <w:t>Hyperkaliémia</w:t>
      </w:r>
      <w:proofErr w:type="spellEnd"/>
    </w:p>
    <w:p w14:paraId="264E3337" w14:textId="77777777" w:rsidR="00540B04" w:rsidRPr="00540B04" w:rsidRDefault="00540B04" w:rsidP="00540B04">
      <w:pPr>
        <w:rPr>
          <w:lang w:val="sk-SK"/>
        </w:rPr>
      </w:pPr>
      <w:r w:rsidRPr="00540B04">
        <w:rPr>
          <w:bCs/>
          <w:lang w:val="sk-SK"/>
        </w:rPr>
        <w:t xml:space="preserve">Inhibítory ACE môžu spôsobiť </w:t>
      </w:r>
      <w:proofErr w:type="spellStart"/>
      <w:r w:rsidRPr="00540B04">
        <w:rPr>
          <w:bCs/>
          <w:lang w:val="sk-SK"/>
        </w:rPr>
        <w:t>hyperkaliémiu</w:t>
      </w:r>
      <w:proofErr w:type="spellEnd"/>
      <w:r w:rsidRPr="00540B04">
        <w:rPr>
          <w:bCs/>
          <w:lang w:val="sk-SK"/>
        </w:rPr>
        <w:t xml:space="preserve">, pretože </w:t>
      </w:r>
      <w:proofErr w:type="spellStart"/>
      <w:r w:rsidRPr="00540B04">
        <w:rPr>
          <w:bCs/>
          <w:lang w:val="sk-SK"/>
        </w:rPr>
        <w:t>inhibujú</w:t>
      </w:r>
      <w:proofErr w:type="spellEnd"/>
      <w:r w:rsidRPr="00540B04">
        <w:rPr>
          <w:bCs/>
          <w:lang w:val="sk-SK"/>
        </w:rPr>
        <w:t xml:space="preserve"> uvoľňovanie </w:t>
      </w:r>
      <w:proofErr w:type="spellStart"/>
      <w:r w:rsidRPr="00540B04">
        <w:rPr>
          <w:bCs/>
          <w:lang w:val="sk-SK"/>
        </w:rPr>
        <w:t>aldosterónu</w:t>
      </w:r>
      <w:proofErr w:type="spellEnd"/>
      <w:r w:rsidRPr="00540B04">
        <w:rPr>
          <w:bCs/>
          <w:lang w:val="sk-SK"/>
        </w:rPr>
        <w:t xml:space="preserve">. Účinok zvyčajne nie je významný u pacientov s normálnou funkciou obličiek. Avšak </w:t>
      </w:r>
      <w:proofErr w:type="spellStart"/>
      <w:r w:rsidRPr="00540B04">
        <w:rPr>
          <w:bCs/>
          <w:lang w:val="sk-SK"/>
        </w:rPr>
        <w:t>hyperkaliémia</w:t>
      </w:r>
      <w:proofErr w:type="spellEnd"/>
      <w:r w:rsidRPr="00540B04">
        <w:rPr>
          <w:bCs/>
          <w:lang w:val="sk-SK"/>
        </w:rPr>
        <w:t xml:space="preserve"> sa môže vyskytnúť u pacientov s poruchou funkcie obličiek a/alebo u pacientov užívajúcich doplnky draslíka (vrátane náhrad solí), draslík šetriace diuretiká</w:t>
      </w:r>
      <w:r w:rsidR="006C4926">
        <w:rPr>
          <w:bCs/>
          <w:lang w:val="sk-SK"/>
        </w:rPr>
        <w:t xml:space="preserve"> (napr. </w:t>
      </w:r>
      <w:proofErr w:type="spellStart"/>
      <w:r w:rsidR="006C4926">
        <w:rPr>
          <w:bCs/>
          <w:lang w:val="sk-SK"/>
        </w:rPr>
        <w:t>spironolaktón</w:t>
      </w:r>
      <w:proofErr w:type="spellEnd"/>
      <w:r w:rsidR="006C4926">
        <w:rPr>
          <w:bCs/>
          <w:lang w:val="sk-SK"/>
        </w:rPr>
        <w:t xml:space="preserve">, </w:t>
      </w:r>
      <w:proofErr w:type="spellStart"/>
      <w:r w:rsidR="006C4926">
        <w:rPr>
          <w:bCs/>
          <w:lang w:val="sk-SK"/>
        </w:rPr>
        <w:t>triamterén</w:t>
      </w:r>
      <w:proofErr w:type="spellEnd"/>
      <w:r w:rsidR="006C4926">
        <w:rPr>
          <w:bCs/>
          <w:lang w:val="sk-SK"/>
        </w:rPr>
        <w:t xml:space="preserve"> alebo </w:t>
      </w:r>
      <w:proofErr w:type="spellStart"/>
      <w:r w:rsidR="006C4926">
        <w:rPr>
          <w:bCs/>
          <w:lang w:val="sk-SK"/>
        </w:rPr>
        <w:t>amilorid</w:t>
      </w:r>
      <w:proofErr w:type="spellEnd"/>
      <w:r w:rsidR="006C4926">
        <w:rPr>
          <w:bCs/>
          <w:lang w:val="sk-SK"/>
        </w:rPr>
        <w:t xml:space="preserve">) </w:t>
      </w:r>
      <w:r w:rsidRPr="00540B04">
        <w:rPr>
          <w:bCs/>
          <w:lang w:val="sk-SK"/>
        </w:rPr>
        <w:t>,</w:t>
      </w:r>
      <w:r w:rsidR="006C4926" w:rsidRPr="00A71DC8">
        <w:rPr>
          <w:lang w:val="sk-SK"/>
        </w:rPr>
        <w:t xml:space="preserve"> </w:t>
      </w:r>
      <w:r w:rsidR="006C4926" w:rsidRPr="006C4926">
        <w:rPr>
          <w:bCs/>
          <w:lang w:val="sk-SK"/>
        </w:rPr>
        <w:t xml:space="preserve">ako aj </w:t>
      </w:r>
      <w:r w:rsidR="006C4926">
        <w:rPr>
          <w:bCs/>
          <w:lang w:val="sk-SK"/>
        </w:rPr>
        <w:t xml:space="preserve">u </w:t>
      </w:r>
      <w:r w:rsidR="006C4926" w:rsidRPr="006C4926">
        <w:rPr>
          <w:bCs/>
          <w:lang w:val="sk-SK"/>
        </w:rPr>
        <w:t xml:space="preserve">pacientov užívajúcich iné lieky, ktoré zvyšujú draslík v krvi (napr. </w:t>
      </w:r>
      <w:proofErr w:type="spellStart"/>
      <w:r w:rsidR="006C4926" w:rsidRPr="006C4926">
        <w:rPr>
          <w:bCs/>
          <w:lang w:val="sk-SK"/>
        </w:rPr>
        <w:t>heparín</w:t>
      </w:r>
      <w:proofErr w:type="spellEnd"/>
      <w:r w:rsidR="006C4926" w:rsidRPr="006C4926">
        <w:rPr>
          <w:bCs/>
          <w:lang w:val="sk-SK"/>
        </w:rPr>
        <w:t xml:space="preserve">, </w:t>
      </w:r>
      <w:proofErr w:type="spellStart"/>
      <w:r w:rsidR="006C4926">
        <w:rPr>
          <w:bCs/>
          <w:lang w:val="sk-SK"/>
        </w:rPr>
        <w:t>trimetoprim</w:t>
      </w:r>
      <w:proofErr w:type="spellEnd"/>
      <w:r w:rsidR="006C4926">
        <w:rPr>
          <w:bCs/>
          <w:lang w:val="sk-SK"/>
        </w:rPr>
        <w:t xml:space="preserve"> alebo kombinácia </w:t>
      </w:r>
      <w:proofErr w:type="spellStart"/>
      <w:r w:rsidR="006C4926" w:rsidRPr="006C4926">
        <w:rPr>
          <w:bCs/>
          <w:lang w:val="sk-SK"/>
        </w:rPr>
        <w:t>kotrimoxazol</w:t>
      </w:r>
      <w:proofErr w:type="spellEnd"/>
      <w:r w:rsidR="006C4926" w:rsidRPr="006C4926">
        <w:rPr>
          <w:bCs/>
          <w:lang w:val="sk-SK"/>
        </w:rPr>
        <w:t xml:space="preserve">, známy aj ako </w:t>
      </w:r>
      <w:proofErr w:type="spellStart"/>
      <w:r w:rsidR="006C4926" w:rsidRPr="006C4926">
        <w:rPr>
          <w:bCs/>
          <w:lang w:val="sk-SK"/>
        </w:rPr>
        <w:t>trimetoprim</w:t>
      </w:r>
      <w:proofErr w:type="spellEnd"/>
      <w:r w:rsidR="006C4926" w:rsidRPr="006C4926">
        <w:rPr>
          <w:bCs/>
          <w:lang w:val="sk-SK"/>
        </w:rPr>
        <w:t>/</w:t>
      </w:r>
      <w:proofErr w:type="spellStart"/>
      <w:r w:rsidR="006C4926" w:rsidRPr="006C4926">
        <w:rPr>
          <w:bCs/>
          <w:lang w:val="sk-SK"/>
        </w:rPr>
        <w:t>sulfametoxazol</w:t>
      </w:r>
      <w:proofErr w:type="spellEnd"/>
      <w:r w:rsidR="006C4926" w:rsidRPr="006C4926">
        <w:rPr>
          <w:bCs/>
          <w:lang w:val="sk-SK"/>
        </w:rPr>
        <w:t xml:space="preserve">) </w:t>
      </w:r>
      <w:r w:rsidRPr="00540B04">
        <w:rPr>
          <w:bCs/>
          <w:lang w:val="sk-SK"/>
        </w:rPr>
        <w:t xml:space="preserve">a predovšetkým </w:t>
      </w:r>
      <w:proofErr w:type="spellStart"/>
      <w:r w:rsidRPr="00540B04">
        <w:rPr>
          <w:bCs/>
          <w:lang w:val="sk-SK"/>
        </w:rPr>
        <w:t>antagonisty</w:t>
      </w:r>
      <w:proofErr w:type="spellEnd"/>
      <w:r w:rsidRPr="00540B04">
        <w:rPr>
          <w:bCs/>
          <w:lang w:val="sk-SK"/>
        </w:rPr>
        <w:t xml:space="preserve"> </w:t>
      </w:r>
      <w:proofErr w:type="spellStart"/>
      <w:r w:rsidRPr="00540B04">
        <w:rPr>
          <w:bCs/>
          <w:lang w:val="sk-SK"/>
        </w:rPr>
        <w:t>aldosterónu</w:t>
      </w:r>
      <w:proofErr w:type="spellEnd"/>
      <w:r w:rsidRPr="00540B04">
        <w:rPr>
          <w:bCs/>
          <w:lang w:val="sk-SK"/>
        </w:rPr>
        <w:t xml:space="preserve"> alebo </w:t>
      </w:r>
      <w:proofErr w:type="spellStart"/>
      <w:r w:rsidRPr="00540B04">
        <w:rPr>
          <w:bCs/>
          <w:lang w:val="sk-SK"/>
        </w:rPr>
        <w:t>blokátory</w:t>
      </w:r>
      <w:proofErr w:type="spellEnd"/>
      <w:r w:rsidRPr="00540B04">
        <w:rPr>
          <w:bCs/>
          <w:lang w:val="sk-SK"/>
        </w:rPr>
        <w:t xml:space="preserve"> receptorov </w:t>
      </w:r>
      <w:proofErr w:type="spellStart"/>
      <w:r w:rsidRPr="00540B04">
        <w:rPr>
          <w:bCs/>
          <w:lang w:val="sk-SK"/>
        </w:rPr>
        <w:t>angiotenzínu</w:t>
      </w:r>
      <w:proofErr w:type="spellEnd"/>
      <w:r w:rsidRPr="00540B04">
        <w:rPr>
          <w:bCs/>
          <w:lang w:val="sk-SK"/>
        </w:rPr>
        <w:t xml:space="preserve">. Draslík šetriace diuretiká a </w:t>
      </w:r>
      <w:proofErr w:type="spellStart"/>
      <w:r w:rsidRPr="00540B04">
        <w:rPr>
          <w:bCs/>
          <w:lang w:val="sk-SK"/>
        </w:rPr>
        <w:t>blokátory</w:t>
      </w:r>
      <w:proofErr w:type="spellEnd"/>
      <w:r w:rsidRPr="00540B04">
        <w:rPr>
          <w:bCs/>
          <w:lang w:val="sk-SK"/>
        </w:rPr>
        <w:t xml:space="preserve"> receptorov </w:t>
      </w:r>
      <w:proofErr w:type="spellStart"/>
      <w:r w:rsidRPr="00540B04">
        <w:rPr>
          <w:bCs/>
          <w:lang w:val="sk-SK"/>
        </w:rPr>
        <w:t>angiotenzínu</w:t>
      </w:r>
      <w:proofErr w:type="spellEnd"/>
      <w:r w:rsidRPr="00540B04">
        <w:rPr>
          <w:bCs/>
          <w:lang w:val="sk-SK"/>
        </w:rPr>
        <w:t xml:space="preserve"> sa majú používať s opatrnosťou u pacientov užívajúcich inhibítory ACE</w:t>
      </w:r>
      <w:r w:rsidR="00A17377">
        <w:rPr>
          <w:bCs/>
          <w:lang w:val="sk-SK"/>
        </w:rPr>
        <w:t>.</w:t>
      </w:r>
      <w:r w:rsidRPr="00540B04">
        <w:rPr>
          <w:bCs/>
          <w:lang w:val="sk-SK"/>
        </w:rPr>
        <w:t xml:space="preserve"> </w:t>
      </w:r>
    </w:p>
    <w:p w14:paraId="264E3338" w14:textId="77777777" w:rsidR="00430ED3" w:rsidRPr="00157521" w:rsidRDefault="00430ED3" w:rsidP="003F7DD0">
      <w:pPr>
        <w:rPr>
          <w:lang w:val="sk-SK"/>
        </w:rPr>
      </w:pPr>
      <w:r w:rsidRPr="00157521">
        <w:rPr>
          <w:lang w:val="sk-SK"/>
        </w:rPr>
        <w:t xml:space="preserve">Ak </w:t>
      </w:r>
      <w:r w:rsidRPr="00157521">
        <w:rPr>
          <w:szCs w:val="22"/>
          <w:lang w:val="sk-SK"/>
        </w:rPr>
        <w:t>sa</w:t>
      </w:r>
      <w:r w:rsidRPr="00157521">
        <w:rPr>
          <w:lang w:val="sk-SK"/>
        </w:rPr>
        <w:t xml:space="preserve"> sú</w:t>
      </w:r>
      <w:r w:rsidR="00E948D3">
        <w:rPr>
          <w:lang w:val="sk-SK"/>
        </w:rPr>
        <w:t>bež</w:t>
      </w:r>
      <w:r w:rsidRPr="00157521">
        <w:rPr>
          <w:lang w:val="sk-SK"/>
        </w:rPr>
        <w:t xml:space="preserve">né </w:t>
      </w:r>
      <w:r w:rsidRPr="00157521">
        <w:rPr>
          <w:szCs w:val="22"/>
          <w:lang w:val="sk-SK"/>
        </w:rPr>
        <w:t>použitie uvedených liekov považuje za potrebné</w:t>
      </w:r>
      <w:r w:rsidRPr="00157521">
        <w:rPr>
          <w:lang w:val="sk-SK"/>
        </w:rPr>
        <w:t>,</w:t>
      </w:r>
      <w:r w:rsidR="00A17377">
        <w:rPr>
          <w:lang w:val="sk-SK"/>
        </w:rPr>
        <w:t xml:space="preserve"> musí sa monitorovať</w:t>
      </w:r>
      <w:r w:rsidRPr="00157521">
        <w:rPr>
          <w:szCs w:val="22"/>
          <w:lang w:val="sk-SK"/>
        </w:rPr>
        <w:t xml:space="preserve"> sérov</w:t>
      </w:r>
      <w:r w:rsidR="00A17377">
        <w:rPr>
          <w:szCs w:val="22"/>
          <w:lang w:val="sk-SK"/>
        </w:rPr>
        <w:t>ý</w:t>
      </w:r>
      <w:r w:rsidRPr="00157521">
        <w:rPr>
          <w:szCs w:val="22"/>
          <w:lang w:val="sk-SK"/>
        </w:rPr>
        <w:t xml:space="preserve"> </w:t>
      </w:r>
      <w:r w:rsidRPr="00157521">
        <w:rPr>
          <w:lang w:val="sk-SK"/>
        </w:rPr>
        <w:t>draslík</w:t>
      </w:r>
      <w:r w:rsidR="00A17377" w:rsidRPr="00A17377">
        <w:rPr>
          <w:lang w:val="sk-SK"/>
        </w:rPr>
        <w:t xml:space="preserve"> a funkcia obličiek (pozri časť 4.5).</w:t>
      </w:r>
    </w:p>
    <w:p w14:paraId="264E3339" w14:textId="77777777" w:rsidR="00681759" w:rsidRPr="00157521" w:rsidRDefault="00681759" w:rsidP="009512D0">
      <w:pPr>
        <w:spacing w:line="240" w:lineRule="auto"/>
        <w:rPr>
          <w:szCs w:val="22"/>
          <w:lang w:val="sk-SK"/>
        </w:rPr>
      </w:pPr>
    </w:p>
    <w:p w14:paraId="264E333A" w14:textId="77777777" w:rsidR="007F10E6" w:rsidRPr="003F7DD0" w:rsidRDefault="007F10E6" w:rsidP="007F10E6">
      <w:pPr>
        <w:jc w:val="both"/>
        <w:rPr>
          <w:szCs w:val="22"/>
          <w:u w:val="single"/>
          <w:lang w:val="sk-SK"/>
        </w:rPr>
      </w:pPr>
      <w:r w:rsidRPr="003F7DD0">
        <w:rPr>
          <w:i/>
          <w:szCs w:val="22"/>
          <w:u w:val="single"/>
          <w:lang w:val="sk-SK"/>
        </w:rPr>
        <w:t>Pacienti s diabetom mellitus</w:t>
      </w:r>
    </w:p>
    <w:p w14:paraId="264E333B" w14:textId="77777777" w:rsidR="007F10E6" w:rsidRPr="00157521" w:rsidRDefault="007F10E6" w:rsidP="003F7DD0">
      <w:pPr>
        <w:rPr>
          <w:i/>
          <w:szCs w:val="22"/>
          <w:lang w:val="sk-SK"/>
        </w:rPr>
      </w:pPr>
      <w:r w:rsidRPr="00157521">
        <w:rPr>
          <w:szCs w:val="22"/>
          <w:lang w:val="sk-SK"/>
        </w:rPr>
        <w:t xml:space="preserve">U diabetických pacientov liečených perorálnymi </w:t>
      </w:r>
      <w:proofErr w:type="spellStart"/>
      <w:r w:rsidRPr="00157521">
        <w:rPr>
          <w:szCs w:val="22"/>
          <w:lang w:val="sk-SK"/>
        </w:rPr>
        <w:t>antidiabetikami</w:t>
      </w:r>
      <w:proofErr w:type="spellEnd"/>
      <w:r w:rsidRPr="00157521">
        <w:rPr>
          <w:szCs w:val="22"/>
          <w:lang w:val="sk-SK"/>
        </w:rPr>
        <w:t xml:space="preserve"> alebo inzulínom je potrebné starostlivo robiť kontroly glykémie počas prvého mesiaca liečby ACE inhibítorom (pozri časť 4.5).</w:t>
      </w:r>
    </w:p>
    <w:p w14:paraId="264E333C" w14:textId="77777777" w:rsidR="007F10E6" w:rsidRPr="00157521" w:rsidRDefault="007F10E6" w:rsidP="007F10E6">
      <w:pPr>
        <w:jc w:val="both"/>
        <w:rPr>
          <w:b/>
          <w:i/>
          <w:szCs w:val="22"/>
          <w:lang w:val="sk-SK"/>
        </w:rPr>
      </w:pPr>
    </w:p>
    <w:p w14:paraId="264E333D" w14:textId="77777777" w:rsidR="007F10E6" w:rsidRPr="003F7DD0" w:rsidRDefault="007F10E6" w:rsidP="007F10E6">
      <w:pPr>
        <w:jc w:val="both"/>
        <w:rPr>
          <w:szCs w:val="22"/>
          <w:u w:val="single"/>
          <w:lang w:val="sk-SK"/>
        </w:rPr>
      </w:pPr>
      <w:r w:rsidRPr="003F7DD0">
        <w:rPr>
          <w:i/>
          <w:szCs w:val="22"/>
          <w:u w:val="single"/>
          <w:lang w:val="sk-SK"/>
        </w:rPr>
        <w:t>Lítium</w:t>
      </w:r>
    </w:p>
    <w:p w14:paraId="264E333E" w14:textId="77777777" w:rsidR="007F10E6" w:rsidRPr="00157521" w:rsidRDefault="007F10E6" w:rsidP="007F10E6">
      <w:pPr>
        <w:jc w:val="both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Kombinácia lítia a </w:t>
      </w:r>
      <w:proofErr w:type="spellStart"/>
      <w:r w:rsidR="00430ED3" w:rsidRPr="00157521">
        <w:rPr>
          <w:szCs w:val="22"/>
          <w:lang w:val="sk-SK"/>
        </w:rPr>
        <w:t>lizinoprilu</w:t>
      </w:r>
      <w:proofErr w:type="spellEnd"/>
      <w:r w:rsidRPr="00157521">
        <w:rPr>
          <w:i/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>sa všeobecne neodporúča (pozri časť 4.5).</w:t>
      </w:r>
    </w:p>
    <w:p w14:paraId="264E333F" w14:textId="77777777" w:rsidR="007F10E6" w:rsidRPr="00157521" w:rsidRDefault="007F10E6" w:rsidP="007F10E6">
      <w:pPr>
        <w:jc w:val="both"/>
        <w:rPr>
          <w:b/>
          <w:i/>
          <w:szCs w:val="22"/>
          <w:lang w:val="sk-SK"/>
        </w:rPr>
      </w:pPr>
    </w:p>
    <w:p w14:paraId="264E3340" w14:textId="77777777" w:rsidR="007F10E6" w:rsidRPr="003F7DD0" w:rsidRDefault="007F10E6" w:rsidP="007F10E6">
      <w:pPr>
        <w:jc w:val="both"/>
        <w:rPr>
          <w:szCs w:val="22"/>
          <w:u w:val="single"/>
          <w:lang w:val="sk-SK"/>
        </w:rPr>
      </w:pPr>
      <w:r w:rsidRPr="003F7DD0">
        <w:rPr>
          <w:i/>
          <w:szCs w:val="22"/>
          <w:u w:val="single"/>
          <w:lang w:val="sk-SK"/>
        </w:rPr>
        <w:t xml:space="preserve">Gravidita </w:t>
      </w:r>
    </w:p>
    <w:p w14:paraId="264E3341" w14:textId="77777777" w:rsidR="007F10E6" w:rsidRPr="00157521" w:rsidRDefault="00C6681F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Liečba ACE inhibítormi sa nemá začínať počas gravidity. Aj keď je pokračovanie v liečbe ACE inhibítorom považované za esenciálne, pacientky, ktoré plánujú tehotenstvo, musia byť prevedené na alternatívnu </w:t>
      </w:r>
      <w:proofErr w:type="spellStart"/>
      <w:r w:rsidRPr="00157521">
        <w:rPr>
          <w:szCs w:val="22"/>
          <w:lang w:val="sk-SK"/>
        </w:rPr>
        <w:t>antihypertenznú</w:t>
      </w:r>
      <w:proofErr w:type="spellEnd"/>
      <w:r w:rsidRPr="00157521">
        <w:rPr>
          <w:szCs w:val="22"/>
          <w:lang w:val="sk-SK"/>
        </w:rPr>
        <w:t xml:space="preserve"> liečbu, ktorá má stanovený bezpečnostný profil pre použitie v gravidite. Keď sa diagnostikuje gravidita, liečbu ACE inhibítorom </w:t>
      </w:r>
      <w:r w:rsidR="00430161" w:rsidRPr="00157521">
        <w:rPr>
          <w:szCs w:val="22"/>
          <w:lang w:val="sk-SK"/>
        </w:rPr>
        <w:t>treba ihneď zastaviť a, pokiaľ je to vhodné, má sa začať s alternatívnou liečbou (pozri čas</w:t>
      </w:r>
      <w:r w:rsidR="00496A47">
        <w:rPr>
          <w:szCs w:val="22"/>
          <w:lang w:val="sk-SK"/>
        </w:rPr>
        <w:t>ti</w:t>
      </w:r>
      <w:r w:rsidR="00430161" w:rsidRPr="00157521">
        <w:rPr>
          <w:szCs w:val="22"/>
          <w:lang w:val="sk-SK"/>
        </w:rPr>
        <w:t xml:space="preserve"> 4.3 a 4.6).</w:t>
      </w:r>
    </w:p>
    <w:p w14:paraId="264E3342" w14:textId="77777777" w:rsidR="00802965" w:rsidRPr="00157521" w:rsidRDefault="00802965" w:rsidP="009512D0">
      <w:pPr>
        <w:spacing w:line="240" w:lineRule="auto"/>
        <w:rPr>
          <w:szCs w:val="22"/>
          <w:lang w:val="sk-SK"/>
        </w:rPr>
      </w:pPr>
    </w:p>
    <w:p w14:paraId="264E3343" w14:textId="77777777" w:rsidR="00C66EDE" w:rsidRPr="00732909" w:rsidRDefault="00C66EDE" w:rsidP="00C66EDE">
      <w:pPr>
        <w:spacing w:line="240" w:lineRule="auto"/>
        <w:rPr>
          <w:u w:val="single"/>
          <w:lang w:val="sk-SK"/>
        </w:rPr>
      </w:pPr>
      <w:r w:rsidRPr="00732909">
        <w:rPr>
          <w:u w:val="single"/>
          <w:lang w:val="sk-SK"/>
        </w:rPr>
        <w:t>Vzťahujúce sa k </w:t>
      </w:r>
      <w:proofErr w:type="spellStart"/>
      <w:r w:rsidRPr="00732909">
        <w:rPr>
          <w:u w:val="single"/>
          <w:lang w:val="sk-SK"/>
        </w:rPr>
        <w:t>amlodipínu</w:t>
      </w:r>
      <w:proofErr w:type="spellEnd"/>
    </w:p>
    <w:p w14:paraId="264E3344" w14:textId="77777777" w:rsidR="00C66EDE" w:rsidRPr="00157521" w:rsidRDefault="00C66EDE" w:rsidP="00302D90">
      <w:pPr>
        <w:outlineLvl w:val="0"/>
        <w:rPr>
          <w:i/>
          <w:szCs w:val="22"/>
          <w:lang w:val="sk-SK"/>
        </w:rPr>
      </w:pPr>
    </w:p>
    <w:p w14:paraId="264E3345" w14:textId="77777777" w:rsidR="008A44A0" w:rsidRPr="00157521" w:rsidRDefault="008A44A0">
      <w:pPr>
        <w:ind w:left="567" w:hanging="567"/>
        <w:rPr>
          <w:bCs/>
          <w:szCs w:val="22"/>
          <w:lang w:val="sk-SK"/>
        </w:rPr>
      </w:pPr>
      <w:r w:rsidRPr="00157521">
        <w:rPr>
          <w:bCs/>
          <w:szCs w:val="22"/>
          <w:lang w:val="sk-SK"/>
        </w:rPr>
        <w:t xml:space="preserve">Bezpečnosť a účinnosť </w:t>
      </w:r>
      <w:proofErr w:type="spellStart"/>
      <w:r w:rsidRPr="00157521">
        <w:rPr>
          <w:bCs/>
          <w:szCs w:val="22"/>
          <w:lang w:val="sk-SK"/>
        </w:rPr>
        <w:t>amlodipínu</w:t>
      </w:r>
      <w:proofErr w:type="spellEnd"/>
      <w:r w:rsidRPr="00157521">
        <w:rPr>
          <w:bCs/>
          <w:szCs w:val="22"/>
          <w:lang w:val="sk-SK"/>
        </w:rPr>
        <w:t xml:space="preserve"> pri </w:t>
      </w:r>
      <w:proofErr w:type="spellStart"/>
      <w:r w:rsidRPr="00157521">
        <w:rPr>
          <w:bCs/>
          <w:szCs w:val="22"/>
          <w:lang w:val="sk-SK"/>
        </w:rPr>
        <w:t>hypertenznej</w:t>
      </w:r>
      <w:proofErr w:type="spellEnd"/>
      <w:r w:rsidRPr="00157521">
        <w:rPr>
          <w:bCs/>
          <w:szCs w:val="22"/>
          <w:lang w:val="sk-SK"/>
        </w:rPr>
        <w:t xml:space="preserve"> kríze neboli stanovené.</w:t>
      </w:r>
    </w:p>
    <w:p w14:paraId="264E3346" w14:textId="77777777" w:rsidR="00260420" w:rsidRDefault="00260420" w:rsidP="00732909">
      <w:pPr>
        <w:pStyle w:val="Nadpis1"/>
        <w:spacing w:before="0" w:after="0"/>
        <w:ind w:left="567" w:hanging="567"/>
        <w:rPr>
          <w:b w:val="0"/>
          <w:i/>
          <w:caps w:val="0"/>
          <w:sz w:val="22"/>
          <w:szCs w:val="22"/>
          <w:u w:val="single"/>
          <w:lang w:val="sk-SK"/>
        </w:rPr>
      </w:pPr>
    </w:p>
    <w:p w14:paraId="264E3347" w14:textId="77777777" w:rsidR="008A44A0" w:rsidRPr="00157521" w:rsidRDefault="006876B0" w:rsidP="00732909">
      <w:pPr>
        <w:pStyle w:val="Nadpis1"/>
        <w:spacing w:before="0" w:after="0"/>
        <w:ind w:left="567" w:hanging="567"/>
        <w:rPr>
          <w:b w:val="0"/>
          <w:i/>
          <w:caps w:val="0"/>
          <w:sz w:val="22"/>
          <w:szCs w:val="22"/>
          <w:u w:val="single"/>
          <w:lang w:val="sk-SK"/>
        </w:rPr>
      </w:pPr>
      <w:r>
        <w:rPr>
          <w:b w:val="0"/>
          <w:i/>
          <w:caps w:val="0"/>
          <w:sz w:val="22"/>
          <w:szCs w:val="22"/>
          <w:u w:val="single"/>
          <w:lang w:val="sk-SK"/>
        </w:rPr>
        <w:t>S</w:t>
      </w:r>
      <w:r w:rsidR="008A44A0" w:rsidRPr="00157521">
        <w:rPr>
          <w:b w:val="0"/>
          <w:i/>
          <w:caps w:val="0"/>
          <w:sz w:val="22"/>
          <w:szCs w:val="22"/>
          <w:u w:val="single"/>
          <w:lang w:val="sk-SK"/>
        </w:rPr>
        <w:t>rdcov</w:t>
      </w:r>
      <w:r>
        <w:rPr>
          <w:b w:val="0"/>
          <w:i/>
          <w:caps w:val="0"/>
          <w:sz w:val="22"/>
          <w:szCs w:val="22"/>
          <w:u w:val="single"/>
          <w:lang w:val="sk-SK"/>
        </w:rPr>
        <w:t>é</w:t>
      </w:r>
      <w:r w:rsidR="008A44A0" w:rsidRPr="00157521">
        <w:rPr>
          <w:b w:val="0"/>
          <w:i/>
          <w:caps w:val="0"/>
          <w:sz w:val="22"/>
          <w:szCs w:val="22"/>
          <w:u w:val="single"/>
          <w:lang w:val="sk-SK"/>
        </w:rPr>
        <w:t xml:space="preserve"> </w:t>
      </w:r>
      <w:r w:rsidRPr="00157521">
        <w:rPr>
          <w:b w:val="0"/>
          <w:i/>
          <w:caps w:val="0"/>
          <w:sz w:val="22"/>
          <w:szCs w:val="22"/>
          <w:u w:val="single"/>
          <w:lang w:val="sk-SK"/>
        </w:rPr>
        <w:t>zlyhan</w:t>
      </w:r>
      <w:r>
        <w:rPr>
          <w:b w:val="0"/>
          <w:i/>
          <w:caps w:val="0"/>
          <w:sz w:val="22"/>
          <w:szCs w:val="22"/>
          <w:u w:val="single"/>
          <w:lang w:val="sk-SK"/>
        </w:rPr>
        <w:t>ie</w:t>
      </w:r>
    </w:p>
    <w:p w14:paraId="264E3348" w14:textId="77777777" w:rsidR="00C4035C" w:rsidRDefault="008A44A0" w:rsidP="008A44A0">
      <w:pPr>
        <w:pStyle w:val="Zkladntext"/>
        <w:tabs>
          <w:tab w:val="left" w:pos="567"/>
        </w:tabs>
        <w:rPr>
          <w:i w:val="0"/>
          <w:color w:val="auto"/>
          <w:szCs w:val="22"/>
          <w:lang w:val="sk-SK"/>
        </w:rPr>
      </w:pPr>
      <w:r w:rsidRPr="00157521">
        <w:rPr>
          <w:i w:val="0"/>
          <w:color w:val="auto"/>
          <w:szCs w:val="22"/>
          <w:lang w:val="sk-SK"/>
        </w:rPr>
        <w:t xml:space="preserve">Pacienti so srdcovým zlyhaním majú byť liečení s opatrnosťou. V dlhodobej placebom kontrolovanej štúdii u pacientov s ťažkým srdcovým zlyhaním (III. a IV. stupňa podľa NYHA) bol hlásený vyšší výskyt pľúcneho edému v skupine liečenej </w:t>
      </w:r>
      <w:proofErr w:type="spellStart"/>
      <w:r w:rsidRPr="00157521">
        <w:rPr>
          <w:i w:val="0"/>
          <w:color w:val="auto"/>
          <w:szCs w:val="22"/>
          <w:lang w:val="sk-SK"/>
        </w:rPr>
        <w:t>amlodipínom</w:t>
      </w:r>
      <w:proofErr w:type="spellEnd"/>
      <w:r w:rsidRPr="00157521">
        <w:rPr>
          <w:i w:val="0"/>
          <w:color w:val="auto"/>
          <w:szCs w:val="22"/>
          <w:lang w:val="sk-SK"/>
        </w:rPr>
        <w:t xml:space="preserve"> ako v skupine s placebom (pozri časť 5.1).</w:t>
      </w:r>
    </w:p>
    <w:p w14:paraId="264E3349" w14:textId="77777777" w:rsidR="008A44A0" w:rsidRPr="00157521" w:rsidRDefault="008A44A0" w:rsidP="008A44A0">
      <w:pPr>
        <w:pStyle w:val="Zkladntext"/>
        <w:tabs>
          <w:tab w:val="left" w:pos="567"/>
        </w:tabs>
        <w:rPr>
          <w:i w:val="0"/>
          <w:color w:val="auto"/>
          <w:szCs w:val="22"/>
          <w:lang w:val="sk-SK"/>
        </w:rPr>
      </w:pPr>
      <w:proofErr w:type="spellStart"/>
      <w:r w:rsidRPr="00157521">
        <w:rPr>
          <w:i w:val="0"/>
          <w:color w:val="auto"/>
          <w:szCs w:val="22"/>
          <w:lang w:val="sk-SK"/>
        </w:rPr>
        <w:t>Blokátory</w:t>
      </w:r>
      <w:proofErr w:type="spellEnd"/>
      <w:r w:rsidRPr="00157521">
        <w:rPr>
          <w:i w:val="0"/>
          <w:color w:val="auto"/>
          <w:szCs w:val="22"/>
          <w:lang w:val="sk-SK"/>
        </w:rPr>
        <w:t xml:space="preserve"> kalciového kanála, vrátane </w:t>
      </w:r>
      <w:proofErr w:type="spellStart"/>
      <w:r w:rsidRPr="00157521">
        <w:rPr>
          <w:i w:val="0"/>
          <w:color w:val="auto"/>
          <w:szCs w:val="22"/>
          <w:lang w:val="sk-SK"/>
        </w:rPr>
        <w:t>amlodipínu</w:t>
      </w:r>
      <w:proofErr w:type="spellEnd"/>
      <w:r w:rsidRPr="00157521">
        <w:rPr>
          <w:i w:val="0"/>
          <w:color w:val="auto"/>
          <w:szCs w:val="22"/>
          <w:lang w:val="sk-SK"/>
        </w:rPr>
        <w:t>, sa majú používať s opatrnosťou u pacientov s </w:t>
      </w:r>
      <w:proofErr w:type="spellStart"/>
      <w:r w:rsidRPr="00157521">
        <w:rPr>
          <w:i w:val="0"/>
          <w:color w:val="auto"/>
          <w:szCs w:val="22"/>
          <w:lang w:val="sk-SK"/>
        </w:rPr>
        <w:t>kongestívnym</w:t>
      </w:r>
      <w:proofErr w:type="spellEnd"/>
      <w:r w:rsidRPr="00157521">
        <w:rPr>
          <w:i w:val="0"/>
          <w:color w:val="auto"/>
          <w:szCs w:val="22"/>
          <w:lang w:val="sk-SK"/>
        </w:rPr>
        <w:t xml:space="preserve"> srdcovým zlyhaním, keďže môžu zvyšovať riziko kardiovaskulárnych príhod a mortality v budúcnosti.</w:t>
      </w:r>
    </w:p>
    <w:p w14:paraId="264E334A" w14:textId="77777777" w:rsidR="008A44A0" w:rsidRPr="00157521" w:rsidRDefault="008A44A0" w:rsidP="008A44A0">
      <w:pPr>
        <w:ind w:left="567" w:hanging="567"/>
        <w:rPr>
          <w:szCs w:val="22"/>
          <w:lang w:val="sk-SK"/>
        </w:rPr>
      </w:pPr>
    </w:p>
    <w:p w14:paraId="264E334B" w14:textId="77777777" w:rsidR="008A44A0" w:rsidRPr="00157521" w:rsidRDefault="008A44A0" w:rsidP="008A44A0">
      <w:pPr>
        <w:ind w:left="567" w:hanging="567"/>
        <w:rPr>
          <w:i/>
          <w:szCs w:val="22"/>
          <w:u w:val="single"/>
          <w:lang w:val="sk-SK"/>
        </w:rPr>
      </w:pPr>
      <w:r w:rsidRPr="00157521">
        <w:rPr>
          <w:i/>
          <w:szCs w:val="22"/>
          <w:u w:val="single"/>
          <w:lang w:val="sk-SK"/>
        </w:rPr>
        <w:t>Poruch</w:t>
      </w:r>
      <w:r w:rsidR="007E0BAF">
        <w:rPr>
          <w:i/>
          <w:szCs w:val="22"/>
          <w:u w:val="single"/>
          <w:lang w:val="sk-SK"/>
        </w:rPr>
        <w:t>a</w:t>
      </w:r>
      <w:r w:rsidRPr="00157521">
        <w:rPr>
          <w:i/>
          <w:szCs w:val="22"/>
          <w:u w:val="single"/>
          <w:lang w:val="sk-SK"/>
        </w:rPr>
        <w:t xml:space="preserve"> funkcie pečene</w:t>
      </w:r>
    </w:p>
    <w:p w14:paraId="264E334C" w14:textId="77777777" w:rsidR="008A44A0" w:rsidRPr="00157521" w:rsidRDefault="008A44A0" w:rsidP="008A44A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Biologický polčas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je u pacientov s poruchou funkcie pečene predĺžený a hodnoty AUC sú vyššie</w:t>
      </w:r>
      <w:r w:rsidR="002C580C">
        <w:rPr>
          <w:szCs w:val="22"/>
          <w:lang w:val="sk-SK"/>
        </w:rPr>
        <w:t>,,</w:t>
      </w:r>
      <w:r w:rsidRPr="00157521">
        <w:rPr>
          <w:szCs w:val="22"/>
          <w:lang w:val="sk-SK"/>
        </w:rPr>
        <w:t xml:space="preserve"> odporúčania pre dávkovanie neboli stanovené. Podávanie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sa má preto začať na dolnej hranici dávkovacieho rozsahu a pri začatí liečby ako aj pri zvyšovaní dávky treba postupovať </w:t>
      </w:r>
      <w:r w:rsidRPr="00157521">
        <w:rPr>
          <w:szCs w:val="22"/>
          <w:lang w:val="sk-SK"/>
        </w:rPr>
        <w:lastRenderedPageBreak/>
        <w:t>s opatrnosťou. Pomalá titrácia dávky a starostlivé monitorovanie môžu byť potrebné u pacientov s</w:t>
      </w:r>
      <w:r w:rsidR="00260420">
        <w:rPr>
          <w:szCs w:val="22"/>
          <w:lang w:val="sk-SK"/>
        </w:rPr>
        <w:t> ťažkou poruchou funkcie</w:t>
      </w:r>
      <w:r w:rsidRPr="00157521">
        <w:rPr>
          <w:szCs w:val="22"/>
          <w:lang w:val="sk-SK"/>
        </w:rPr>
        <w:t xml:space="preserve"> pečene.</w:t>
      </w:r>
    </w:p>
    <w:p w14:paraId="264E334D" w14:textId="77777777" w:rsidR="008A44A0" w:rsidRPr="00157521" w:rsidRDefault="008A44A0" w:rsidP="008A44A0">
      <w:pPr>
        <w:suppressAutoHyphens/>
        <w:ind w:left="567" w:hanging="567"/>
        <w:rPr>
          <w:szCs w:val="22"/>
          <w:lang w:val="sk-SK"/>
        </w:rPr>
      </w:pPr>
    </w:p>
    <w:p w14:paraId="264E334E" w14:textId="77777777" w:rsidR="008A44A0" w:rsidRPr="00157521" w:rsidRDefault="002C580C" w:rsidP="008A44A0">
      <w:pPr>
        <w:ind w:left="567" w:hanging="567"/>
        <w:rPr>
          <w:bCs/>
          <w:i/>
          <w:szCs w:val="22"/>
          <w:u w:val="single"/>
          <w:lang w:val="sk-SK"/>
        </w:rPr>
      </w:pPr>
      <w:r>
        <w:rPr>
          <w:bCs/>
          <w:i/>
          <w:szCs w:val="22"/>
          <w:u w:val="single"/>
          <w:lang w:val="sk-SK"/>
        </w:rPr>
        <w:t>S</w:t>
      </w:r>
      <w:r w:rsidR="008A44A0" w:rsidRPr="00157521">
        <w:rPr>
          <w:bCs/>
          <w:i/>
          <w:szCs w:val="22"/>
          <w:u w:val="single"/>
          <w:lang w:val="sk-SK"/>
        </w:rPr>
        <w:t xml:space="preserve">tarší </w:t>
      </w:r>
      <w:r w:rsidR="006930A5">
        <w:rPr>
          <w:bCs/>
          <w:i/>
          <w:szCs w:val="22"/>
          <w:u w:val="single"/>
          <w:lang w:val="sk-SK"/>
        </w:rPr>
        <w:t>ľudia</w:t>
      </w:r>
    </w:p>
    <w:p w14:paraId="264E334F" w14:textId="77777777" w:rsidR="008A44A0" w:rsidRPr="00157521" w:rsidRDefault="008A44A0" w:rsidP="008A44A0">
      <w:pPr>
        <w:ind w:left="567" w:hanging="567"/>
        <w:rPr>
          <w:bCs/>
          <w:szCs w:val="22"/>
          <w:lang w:val="sk-SK"/>
        </w:rPr>
      </w:pPr>
      <w:r w:rsidRPr="00157521">
        <w:rPr>
          <w:bCs/>
          <w:szCs w:val="22"/>
          <w:lang w:val="sk-SK"/>
        </w:rPr>
        <w:t xml:space="preserve">Zvyšovanie dávky sa má u starších </w:t>
      </w:r>
      <w:r w:rsidR="006D13F0">
        <w:rPr>
          <w:bCs/>
          <w:szCs w:val="22"/>
          <w:lang w:val="sk-SK"/>
        </w:rPr>
        <w:t>ľudí</w:t>
      </w:r>
      <w:r w:rsidR="006D13F0" w:rsidRPr="00157521">
        <w:rPr>
          <w:bCs/>
          <w:szCs w:val="22"/>
          <w:lang w:val="sk-SK"/>
        </w:rPr>
        <w:t xml:space="preserve"> </w:t>
      </w:r>
      <w:r w:rsidRPr="00157521">
        <w:rPr>
          <w:bCs/>
          <w:szCs w:val="22"/>
          <w:lang w:val="sk-SK"/>
        </w:rPr>
        <w:t>vykonávať s opatrnosťou (pozri časti 4.2 a 5.2).</w:t>
      </w:r>
    </w:p>
    <w:p w14:paraId="264E3350" w14:textId="77777777" w:rsidR="008A44A0" w:rsidRPr="00157521" w:rsidRDefault="008A44A0" w:rsidP="008A44A0">
      <w:pPr>
        <w:ind w:left="567" w:hanging="567"/>
        <w:rPr>
          <w:szCs w:val="22"/>
          <w:lang w:val="sk-SK"/>
        </w:rPr>
      </w:pPr>
    </w:p>
    <w:p w14:paraId="264E3351" w14:textId="77777777" w:rsidR="008A44A0" w:rsidRPr="00157521" w:rsidRDefault="006930A5" w:rsidP="008A44A0">
      <w:pPr>
        <w:ind w:left="567" w:hanging="567"/>
        <w:outlineLvl w:val="0"/>
        <w:rPr>
          <w:i/>
          <w:szCs w:val="22"/>
          <w:u w:val="single"/>
          <w:lang w:val="sk-SK"/>
        </w:rPr>
      </w:pPr>
      <w:r>
        <w:rPr>
          <w:i/>
          <w:szCs w:val="22"/>
          <w:u w:val="single"/>
          <w:lang w:val="sk-SK"/>
        </w:rPr>
        <w:t>Porucha funkcie obličiek</w:t>
      </w:r>
    </w:p>
    <w:p w14:paraId="264E3352" w14:textId="77777777" w:rsidR="008A44A0" w:rsidRPr="00157521" w:rsidRDefault="008A44A0" w:rsidP="008A44A0">
      <w:pPr>
        <w:outlineLvl w:val="0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U takýchto pacientov sa môžu používať bežné dávky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. Zmeny plazmatických koncentrácií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nie sú v súlade so stupňom </w:t>
      </w:r>
      <w:r w:rsidR="006930A5">
        <w:rPr>
          <w:szCs w:val="22"/>
          <w:lang w:val="sk-SK"/>
        </w:rPr>
        <w:t>poruchy funkcie obličiek</w:t>
      </w:r>
      <w:r w:rsidRPr="00157521">
        <w:rPr>
          <w:szCs w:val="22"/>
          <w:lang w:val="sk-SK"/>
        </w:rPr>
        <w:t xml:space="preserve">. </w:t>
      </w: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szCs w:val="22"/>
          <w:lang w:val="sk-SK"/>
        </w:rPr>
        <w:t xml:space="preserve"> nie je </w:t>
      </w:r>
      <w:proofErr w:type="spellStart"/>
      <w:r w:rsidRPr="00157521">
        <w:rPr>
          <w:szCs w:val="22"/>
          <w:lang w:val="sk-SK"/>
        </w:rPr>
        <w:t>dialyzovateľný</w:t>
      </w:r>
      <w:proofErr w:type="spellEnd"/>
      <w:r w:rsidRPr="00157521">
        <w:rPr>
          <w:szCs w:val="22"/>
          <w:lang w:val="sk-SK"/>
        </w:rPr>
        <w:t>.</w:t>
      </w:r>
    </w:p>
    <w:p w14:paraId="264E3353" w14:textId="77777777" w:rsidR="00A8338F" w:rsidRDefault="00A8338F" w:rsidP="009512D0">
      <w:pPr>
        <w:spacing w:line="240" w:lineRule="auto"/>
        <w:rPr>
          <w:lang w:val="sk-SK"/>
        </w:rPr>
      </w:pPr>
    </w:p>
    <w:p w14:paraId="264E3354" w14:textId="77777777" w:rsidR="00540B04" w:rsidRDefault="00540B04" w:rsidP="009512D0">
      <w:pPr>
        <w:spacing w:line="240" w:lineRule="auto"/>
        <w:rPr>
          <w:lang w:val="sk-SK"/>
        </w:rPr>
      </w:pPr>
      <w:r>
        <w:rPr>
          <w:lang w:val="sk-SK"/>
        </w:rPr>
        <w:t>Vzťahujúce sa k </w:t>
      </w:r>
      <w:r w:rsidR="00915D85">
        <w:rPr>
          <w:lang w:val="sk-SK"/>
        </w:rPr>
        <w:t>DIRONORMU</w:t>
      </w:r>
    </w:p>
    <w:p w14:paraId="264E3355" w14:textId="77777777" w:rsidR="00540B04" w:rsidRPr="00540B04" w:rsidRDefault="00540B04" w:rsidP="00540B04">
      <w:pPr>
        <w:spacing w:line="240" w:lineRule="auto"/>
        <w:rPr>
          <w:lang w:val="sk-SK"/>
        </w:rPr>
      </w:pPr>
      <w:r w:rsidRPr="00540B04">
        <w:rPr>
          <w:lang w:val="sk-SK"/>
        </w:rPr>
        <w:t>Tento liek obsahuje menej ako 1 mmol sodíka (23 mg) v</w:t>
      </w:r>
      <w:r w:rsidR="006E7A9B">
        <w:rPr>
          <w:lang w:val="sk-SK"/>
        </w:rPr>
        <w:t xml:space="preserve"> jednej </w:t>
      </w:r>
      <w:r w:rsidRPr="00540B04">
        <w:rPr>
          <w:lang w:val="sk-SK"/>
        </w:rPr>
        <w:t xml:space="preserve">tablete, </w:t>
      </w:r>
      <w:proofErr w:type="spellStart"/>
      <w:r w:rsidRPr="00540B04">
        <w:rPr>
          <w:lang w:val="sk-SK"/>
        </w:rPr>
        <w:t>t.j</w:t>
      </w:r>
      <w:proofErr w:type="spellEnd"/>
      <w:r w:rsidRPr="00540B04">
        <w:rPr>
          <w:lang w:val="sk-SK"/>
        </w:rPr>
        <w:t>. v podstate zanedbateľné množstvo sodíka.</w:t>
      </w:r>
    </w:p>
    <w:p w14:paraId="264E3356" w14:textId="77777777" w:rsidR="00540B04" w:rsidRPr="00157521" w:rsidRDefault="00540B04" w:rsidP="009512D0">
      <w:pPr>
        <w:spacing w:line="240" w:lineRule="auto"/>
        <w:rPr>
          <w:lang w:val="sk-SK"/>
        </w:rPr>
      </w:pPr>
    </w:p>
    <w:p w14:paraId="264E3357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4.5</w:t>
      </w:r>
      <w:r w:rsidRPr="00157521">
        <w:rPr>
          <w:b/>
          <w:lang w:val="sk-SK"/>
        </w:rPr>
        <w:tab/>
      </w:r>
      <w:r w:rsidR="006677A3" w:rsidRPr="00157521">
        <w:rPr>
          <w:b/>
          <w:lang w:val="sk-SK"/>
        </w:rPr>
        <w:t>Liekové a iné interakcie</w:t>
      </w:r>
    </w:p>
    <w:p w14:paraId="264E3358" w14:textId="77777777" w:rsidR="00681759" w:rsidRPr="00157521" w:rsidRDefault="00681759" w:rsidP="009512D0">
      <w:pPr>
        <w:spacing w:line="240" w:lineRule="auto"/>
        <w:outlineLvl w:val="0"/>
        <w:rPr>
          <w:b/>
          <w:lang w:val="sk-SK"/>
        </w:rPr>
      </w:pPr>
    </w:p>
    <w:p w14:paraId="264E3359" w14:textId="77777777" w:rsidR="006677A3" w:rsidRPr="00732909" w:rsidRDefault="006677A3" w:rsidP="006677A3">
      <w:pPr>
        <w:spacing w:line="240" w:lineRule="auto"/>
        <w:rPr>
          <w:u w:val="single"/>
          <w:lang w:val="sk-SK"/>
        </w:rPr>
      </w:pPr>
      <w:r w:rsidRPr="00732909">
        <w:rPr>
          <w:u w:val="single"/>
          <w:lang w:val="sk-SK"/>
        </w:rPr>
        <w:t>Interakcie spojené s </w:t>
      </w:r>
      <w:proofErr w:type="spellStart"/>
      <w:r w:rsidRPr="00732909">
        <w:rPr>
          <w:u w:val="single"/>
          <w:lang w:val="sk-SK"/>
        </w:rPr>
        <w:t>li</w:t>
      </w:r>
      <w:r w:rsidR="0062376C" w:rsidRPr="00732909">
        <w:rPr>
          <w:u w:val="single"/>
          <w:lang w:val="sk-SK"/>
        </w:rPr>
        <w:t>z</w:t>
      </w:r>
      <w:r w:rsidRPr="00732909">
        <w:rPr>
          <w:u w:val="single"/>
          <w:lang w:val="sk-SK"/>
        </w:rPr>
        <w:t>inoprilom</w:t>
      </w:r>
      <w:proofErr w:type="spellEnd"/>
    </w:p>
    <w:p w14:paraId="264E335A" w14:textId="77777777" w:rsidR="00681759" w:rsidRPr="00311CA1" w:rsidRDefault="00681759" w:rsidP="009512D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4E335B" w14:textId="77777777" w:rsidR="002B2C20" w:rsidRPr="00732909" w:rsidRDefault="002B2C20" w:rsidP="002B2C20">
      <w:pPr>
        <w:pStyle w:val="Normlnysozarkami"/>
        <w:spacing w:after="0"/>
        <w:ind w:left="0"/>
        <w:rPr>
          <w:i/>
          <w:lang w:val="sk-SK"/>
        </w:rPr>
      </w:pPr>
      <w:proofErr w:type="spellStart"/>
      <w:r w:rsidRPr="00732909">
        <w:rPr>
          <w:i/>
          <w:lang w:val="sk-SK"/>
        </w:rPr>
        <w:t>Antihypertenzíva</w:t>
      </w:r>
      <w:proofErr w:type="spellEnd"/>
    </w:p>
    <w:p w14:paraId="264E335C" w14:textId="77777777" w:rsidR="002B2C20" w:rsidRDefault="002B2C20" w:rsidP="002B2C20">
      <w:pPr>
        <w:pStyle w:val="Normlnysozarkami"/>
        <w:spacing w:after="0"/>
        <w:ind w:left="0"/>
        <w:rPr>
          <w:szCs w:val="22"/>
          <w:lang w:val="sk-SK"/>
        </w:rPr>
      </w:pPr>
      <w:r>
        <w:rPr>
          <w:szCs w:val="22"/>
          <w:lang w:val="sk-SK"/>
        </w:rPr>
        <w:t xml:space="preserve">Keď sa </w:t>
      </w:r>
      <w:proofErr w:type="spellStart"/>
      <w:r>
        <w:rPr>
          <w:szCs w:val="22"/>
          <w:lang w:val="sk-SK"/>
        </w:rPr>
        <w:t>lizinopril</w:t>
      </w:r>
      <w:proofErr w:type="spellEnd"/>
      <w:r>
        <w:rPr>
          <w:szCs w:val="22"/>
          <w:lang w:val="sk-SK"/>
        </w:rPr>
        <w:t xml:space="preserve"> kombinuje s inými </w:t>
      </w:r>
      <w:proofErr w:type="spellStart"/>
      <w:r>
        <w:rPr>
          <w:szCs w:val="22"/>
          <w:lang w:val="sk-SK"/>
        </w:rPr>
        <w:t>antihypertenzívami</w:t>
      </w:r>
      <w:proofErr w:type="spellEnd"/>
      <w:r>
        <w:rPr>
          <w:szCs w:val="22"/>
          <w:lang w:val="sk-SK"/>
        </w:rPr>
        <w:t xml:space="preserve"> (napr. </w:t>
      </w:r>
      <w:proofErr w:type="spellStart"/>
      <w:r>
        <w:rPr>
          <w:szCs w:val="22"/>
          <w:lang w:val="sk-SK"/>
        </w:rPr>
        <w:t>glyceryltrinitrátom</w:t>
      </w:r>
      <w:proofErr w:type="spellEnd"/>
      <w:r>
        <w:rPr>
          <w:szCs w:val="22"/>
          <w:lang w:val="sk-SK"/>
        </w:rPr>
        <w:t xml:space="preserve"> a inými nitrátmi alebo inými </w:t>
      </w:r>
      <w:proofErr w:type="spellStart"/>
      <w:r>
        <w:rPr>
          <w:szCs w:val="22"/>
          <w:lang w:val="sk-SK"/>
        </w:rPr>
        <w:t>vazodilat</w:t>
      </w:r>
      <w:r w:rsidR="006D13F0">
        <w:rPr>
          <w:szCs w:val="22"/>
          <w:lang w:val="sk-SK"/>
        </w:rPr>
        <w:t>anciami</w:t>
      </w:r>
      <w:proofErr w:type="spellEnd"/>
      <w:r>
        <w:rPr>
          <w:szCs w:val="22"/>
          <w:lang w:val="sk-SK"/>
        </w:rPr>
        <w:t>), môže sa vyskytnúť dodatočný pokles krvného tlaku.</w:t>
      </w:r>
    </w:p>
    <w:p w14:paraId="264E335D" w14:textId="77777777" w:rsidR="00346735" w:rsidRPr="003D7BB5" w:rsidRDefault="00346735" w:rsidP="00346735">
      <w:pPr>
        <w:tabs>
          <w:tab w:val="left" w:pos="0"/>
        </w:tabs>
        <w:rPr>
          <w:szCs w:val="22"/>
          <w:lang w:val="sk-SK"/>
        </w:rPr>
      </w:pPr>
      <w:r w:rsidRPr="003F7DD0">
        <w:rPr>
          <w:szCs w:val="22"/>
          <w:lang w:val="sk-SK"/>
        </w:rPr>
        <w:t xml:space="preserve">Údaje z klinických skúšaní ukázali, že duálna inhibícia systému </w:t>
      </w:r>
      <w:proofErr w:type="spellStart"/>
      <w:r w:rsidRPr="003F7DD0">
        <w:rPr>
          <w:szCs w:val="22"/>
          <w:lang w:val="sk-SK"/>
        </w:rPr>
        <w:t>renín-angiotenzín-aldosterón</w:t>
      </w:r>
      <w:proofErr w:type="spellEnd"/>
      <w:r w:rsidRPr="003F7DD0">
        <w:rPr>
          <w:szCs w:val="22"/>
          <w:lang w:val="sk-SK"/>
        </w:rPr>
        <w:t xml:space="preserve"> (RAAS) kombinovaným použitím inhibítorov ACE, </w:t>
      </w:r>
      <w:proofErr w:type="spellStart"/>
      <w:r w:rsidRPr="003F7DD0">
        <w:rPr>
          <w:szCs w:val="22"/>
          <w:lang w:val="sk-SK"/>
        </w:rPr>
        <w:t>blokátorov</w:t>
      </w:r>
      <w:proofErr w:type="spellEnd"/>
      <w:r w:rsidRPr="003F7DD0">
        <w:rPr>
          <w:szCs w:val="22"/>
          <w:lang w:val="sk-SK"/>
        </w:rPr>
        <w:t xml:space="preserve"> receptorov </w:t>
      </w:r>
      <w:proofErr w:type="spellStart"/>
      <w:r w:rsidRPr="003F7DD0">
        <w:rPr>
          <w:szCs w:val="22"/>
          <w:lang w:val="sk-SK"/>
        </w:rPr>
        <w:t>angiotenzínu</w:t>
      </w:r>
      <w:proofErr w:type="spellEnd"/>
      <w:r w:rsidRPr="003F7DD0">
        <w:rPr>
          <w:szCs w:val="22"/>
          <w:lang w:val="sk-SK"/>
        </w:rPr>
        <w:t xml:space="preserve"> II alebo </w:t>
      </w:r>
      <w:proofErr w:type="spellStart"/>
      <w:r w:rsidRPr="003F7DD0">
        <w:rPr>
          <w:szCs w:val="22"/>
          <w:lang w:val="sk-SK"/>
        </w:rPr>
        <w:t>aliskirenu</w:t>
      </w:r>
      <w:proofErr w:type="spellEnd"/>
      <w:r w:rsidRPr="003F7DD0">
        <w:rPr>
          <w:szCs w:val="22"/>
          <w:lang w:val="sk-SK"/>
        </w:rPr>
        <w:t xml:space="preserve"> sa spája s vyššou frekvenciou nežiaducich udalostí, ako sú hypotenzia, </w:t>
      </w:r>
      <w:proofErr w:type="spellStart"/>
      <w:r w:rsidRPr="003F7DD0">
        <w:rPr>
          <w:szCs w:val="22"/>
          <w:lang w:val="sk-SK"/>
        </w:rPr>
        <w:t>hyperkaliémia</w:t>
      </w:r>
      <w:proofErr w:type="spellEnd"/>
      <w:r w:rsidRPr="003F7DD0">
        <w:rPr>
          <w:szCs w:val="22"/>
          <w:lang w:val="sk-SK"/>
        </w:rPr>
        <w:t xml:space="preserve"> a znížená funkcia obličiek (vrátane akútneho zlyhania obličiek), v porovnaní s použitím látky ovplyvňujúcej RAAS v </w:t>
      </w:r>
      <w:proofErr w:type="spellStart"/>
      <w:r w:rsidRPr="003F7DD0">
        <w:rPr>
          <w:szCs w:val="22"/>
          <w:lang w:val="sk-SK"/>
        </w:rPr>
        <w:t>monoterapii</w:t>
      </w:r>
      <w:proofErr w:type="spellEnd"/>
      <w:r w:rsidRPr="003B45BA">
        <w:rPr>
          <w:szCs w:val="22"/>
          <w:lang w:val="sk-SK"/>
        </w:rPr>
        <w:t xml:space="preserve"> (pozri časti 4.3, 4.4 a 5.1).</w:t>
      </w:r>
    </w:p>
    <w:p w14:paraId="264E335E" w14:textId="77777777" w:rsidR="00346735" w:rsidRDefault="00346735" w:rsidP="00346735">
      <w:pPr>
        <w:jc w:val="both"/>
        <w:rPr>
          <w:i/>
          <w:szCs w:val="22"/>
          <w:lang w:val="sk-SK"/>
        </w:rPr>
      </w:pPr>
    </w:p>
    <w:p w14:paraId="264E335F" w14:textId="77777777" w:rsidR="00540B04" w:rsidRPr="00170A95" w:rsidRDefault="00540B04" w:rsidP="00540B04">
      <w:pPr>
        <w:rPr>
          <w:snapToGrid w:val="0"/>
          <w:szCs w:val="22"/>
          <w:lang w:val="sk-SK"/>
        </w:rPr>
      </w:pPr>
      <w:r w:rsidRPr="00170A95">
        <w:rPr>
          <w:i/>
          <w:iCs/>
          <w:snapToGrid w:val="0"/>
          <w:szCs w:val="22"/>
          <w:lang w:val="sk-SK"/>
        </w:rPr>
        <w:t xml:space="preserve">Lieky, ktoré môžu zvýšiť riziko </w:t>
      </w:r>
      <w:proofErr w:type="spellStart"/>
      <w:r w:rsidRPr="00170A95">
        <w:rPr>
          <w:i/>
          <w:iCs/>
          <w:snapToGrid w:val="0"/>
          <w:szCs w:val="22"/>
          <w:lang w:val="sk-SK"/>
        </w:rPr>
        <w:t>angioedému</w:t>
      </w:r>
      <w:proofErr w:type="spellEnd"/>
    </w:p>
    <w:p w14:paraId="264E3360" w14:textId="77777777" w:rsidR="00540B04" w:rsidRPr="00540B04" w:rsidRDefault="00540B04" w:rsidP="00540B04">
      <w:pPr>
        <w:rPr>
          <w:bCs/>
          <w:snapToGrid w:val="0"/>
          <w:szCs w:val="22"/>
          <w:lang w:val="sk-SK"/>
        </w:rPr>
      </w:pPr>
      <w:r w:rsidRPr="00540B04">
        <w:rPr>
          <w:bCs/>
          <w:snapToGrid w:val="0"/>
          <w:szCs w:val="22"/>
          <w:lang w:val="sk-SK"/>
        </w:rPr>
        <w:t xml:space="preserve">Súbežné užívanie inhibítorov ACE so </w:t>
      </w:r>
      <w:proofErr w:type="spellStart"/>
      <w:r w:rsidRPr="00540B04">
        <w:rPr>
          <w:bCs/>
          <w:snapToGrid w:val="0"/>
          <w:szCs w:val="22"/>
          <w:lang w:val="sk-SK"/>
        </w:rPr>
        <w:t>sakubitrilom</w:t>
      </w:r>
      <w:proofErr w:type="spellEnd"/>
      <w:r w:rsidRPr="00540B04">
        <w:rPr>
          <w:bCs/>
          <w:snapToGrid w:val="0"/>
          <w:szCs w:val="22"/>
          <w:lang w:val="sk-SK"/>
        </w:rPr>
        <w:t>/</w:t>
      </w:r>
      <w:proofErr w:type="spellStart"/>
      <w:r w:rsidRPr="00540B04">
        <w:rPr>
          <w:bCs/>
          <w:snapToGrid w:val="0"/>
          <w:szCs w:val="22"/>
          <w:lang w:val="sk-SK"/>
        </w:rPr>
        <w:t>valsartanom</w:t>
      </w:r>
      <w:proofErr w:type="spellEnd"/>
      <w:r w:rsidRPr="00540B04">
        <w:rPr>
          <w:bCs/>
          <w:snapToGrid w:val="0"/>
          <w:szCs w:val="22"/>
          <w:lang w:val="sk-SK"/>
        </w:rPr>
        <w:t xml:space="preserve"> je kontraindikované, pretože sa zvyšuje riziko </w:t>
      </w:r>
      <w:proofErr w:type="spellStart"/>
      <w:r w:rsidRPr="00540B04">
        <w:rPr>
          <w:bCs/>
          <w:snapToGrid w:val="0"/>
          <w:szCs w:val="22"/>
          <w:lang w:val="sk-SK"/>
        </w:rPr>
        <w:t>angioedému</w:t>
      </w:r>
      <w:proofErr w:type="spellEnd"/>
      <w:r w:rsidRPr="00540B04">
        <w:rPr>
          <w:bCs/>
          <w:snapToGrid w:val="0"/>
          <w:szCs w:val="22"/>
          <w:lang w:val="sk-SK"/>
        </w:rPr>
        <w:t xml:space="preserve"> (pozri čas</w:t>
      </w:r>
      <w:r w:rsidR="006E7A9B">
        <w:rPr>
          <w:bCs/>
          <w:snapToGrid w:val="0"/>
          <w:szCs w:val="22"/>
          <w:lang w:val="sk-SK"/>
        </w:rPr>
        <w:t>ti</w:t>
      </w:r>
      <w:r w:rsidRPr="00540B04">
        <w:rPr>
          <w:bCs/>
          <w:snapToGrid w:val="0"/>
          <w:szCs w:val="22"/>
          <w:lang w:val="sk-SK"/>
        </w:rPr>
        <w:t xml:space="preserve"> 4.3 a 4.4).</w:t>
      </w:r>
    </w:p>
    <w:p w14:paraId="264E3361" w14:textId="77777777" w:rsidR="00540B04" w:rsidRDefault="00540B04" w:rsidP="00540B04">
      <w:pPr>
        <w:rPr>
          <w:snapToGrid w:val="0"/>
          <w:szCs w:val="22"/>
          <w:lang w:val="sk-SK"/>
        </w:rPr>
      </w:pPr>
    </w:p>
    <w:p w14:paraId="264E3362" w14:textId="77777777" w:rsidR="00294082" w:rsidRPr="00294082" w:rsidRDefault="00294082" w:rsidP="00294082">
      <w:pPr>
        <w:rPr>
          <w:snapToGrid w:val="0"/>
          <w:szCs w:val="22"/>
          <w:lang w:val="sk-SK"/>
        </w:rPr>
      </w:pPr>
      <w:r w:rsidRPr="00294082">
        <w:rPr>
          <w:snapToGrid w:val="0"/>
          <w:szCs w:val="22"/>
          <w:lang w:val="sk-SK"/>
        </w:rPr>
        <w:t xml:space="preserve">Súbežné užívanie inhibítorov ACE </w:t>
      </w:r>
      <w:r w:rsidRPr="00294082">
        <w:rPr>
          <w:bCs/>
          <w:szCs w:val="22"/>
          <w:lang w:val="sk-SK" w:eastAsia="hu-HU"/>
        </w:rPr>
        <w:t xml:space="preserve">s </w:t>
      </w:r>
      <w:proofErr w:type="spellStart"/>
      <w:r w:rsidRPr="00294082">
        <w:rPr>
          <w:bCs/>
          <w:szCs w:val="22"/>
          <w:lang w:val="sk-SK" w:eastAsia="hu-HU"/>
        </w:rPr>
        <w:t>mTOR</w:t>
      </w:r>
      <w:proofErr w:type="spellEnd"/>
      <w:r w:rsidRPr="00294082">
        <w:rPr>
          <w:bCs/>
          <w:szCs w:val="22"/>
          <w:lang w:val="sk-SK" w:eastAsia="hu-HU"/>
        </w:rPr>
        <w:t xml:space="preserve"> inhibítormi (napr. </w:t>
      </w:r>
      <w:proofErr w:type="spellStart"/>
      <w:r w:rsidRPr="00294082">
        <w:rPr>
          <w:bCs/>
          <w:szCs w:val="22"/>
          <w:lang w:val="sk-SK" w:eastAsia="hu-HU"/>
        </w:rPr>
        <w:t>temsirolimom</w:t>
      </w:r>
      <w:proofErr w:type="spellEnd"/>
      <w:r w:rsidRPr="00294082">
        <w:rPr>
          <w:bCs/>
          <w:szCs w:val="22"/>
          <w:lang w:val="sk-SK" w:eastAsia="hu-HU"/>
        </w:rPr>
        <w:t xml:space="preserve">, </w:t>
      </w:r>
      <w:proofErr w:type="spellStart"/>
      <w:r w:rsidRPr="00294082">
        <w:rPr>
          <w:bCs/>
          <w:szCs w:val="22"/>
          <w:lang w:val="sk-SK" w:eastAsia="hu-HU"/>
        </w:rPr>
        <w:t>sirolimom</w:t>
      </w:r>
      <w:proofErr w:type="spellEnd"/>
      <w:r w:rsidRPr="00294082">
        <w:rPr>
          <w:bCs/>
          <w:szCs w:val="22"/>
          <w:lang w:val="sk-SK" w:eastAsia="hu-HU"/>
        </w:rPr>
        <w:t xml:space="preserve">, </w:t>
      </w:r>
      <w:proofErr w:type="spellStart"/>
      <w:r w:rsidRPr="00294082">
        <w:rPr>
          <w:bCs/>
          <w:szCs w:val="22"/>
          <w:lang w:val="sk-SK" w:eastAsia="hu-HU"/>
        </w:rPr>
        <w:t>everolimom</w:t>
      </w:r>
      <w:proofErr w:type="spellEnd"/>
      <w:r w:rsidRPr="00294082">
        <w:rPr>
          <w:bCs/>
          <w:szCs w:val="22"/>
          <w:lang w:val="sk-SK" w:eastAsia="hu-HU"/>
        </w:rPr>
        <w:t xml:space="preserve">) alebo inhibítormi neutrálnej </w:t>
      </w:r>
      <w:proofErr w:type="spellStart"/>
      <w:r w:rsidRPr="00294082">
        <w:rPr>
          <w:bCs/>
          <w:szCs w:val="22"/>
          <w:lang w:val="sk-SK" w:eastAsia="hu-HU"/>
        </w:rPr>
        <w:t>endopeptidázy</w:t>
      </w:r>
      <w:proofErr w:type="spellEnd"/>
      <w:r w:rsidRPr="00294082">
        <w:rPr>
          <w:bCs/>
          <w:szCs w:val="22"/>
          <w:lang w:val="sk-SK" w:eastAsia="hu-HU"/>
        </w:rPr>
        <w:t xml:space="preserve"> (NEP) (napr. </w:t>
      </w:r>
      <w:proofErr w:type="spellStart"/>
      <w:r w:rsidRPr="00294082">
        <w:rPr>
          <w:bCs/>
          <w:szCs w:val="22"/>
          <w:lang w:val="sk-SK" w:eastAsia="hu-HU"/>
        </w:rPr>
        <w:t>racekadotrilom</w:t>
      </w:r>
      <w:proofErr w:type="spellEnd"/>
      <w:r w:rsidRPr="00294082">
        <w:rPr>
          <w:bCs/>
          <w:szCs w:val="22"/>
          <w:lang w:val="sk-SK" w:eastAsia="hu-HU"/>
        </w:rPr>
        <w:t xml:space="preserve">) alebo </w:t>
      </w:r>
      <w:proofErr w:type="spellStart"/>
      <w:r w:rsidRPr="00294082">
        <w:rPr>
          <w:bCs/>
          <w:szCs w:val="22"/>
          <w:lang w:val="sk-SK" w:eastAsia="hu-HU"/>
        </w:rPr>
        <w:t>aktivátorom</w:t>
      </w:r>
      <w:proofErr w:type="spellEnd"/>
      <w:r w:rsidRPr="00294082">
        <w:rPr>
          <w:bCs/>
          <w:szCs w:val="22"/>
          <w:lang w:val="sk-SK" w:eastAsia="hu-HU"/>
        </w:rPr>
        <w:t xml:space="preserve"> tkanivového </w:t>
      </w:r>
      <w:proofErr w:type="spellStart"/>
      <w:r w:rsidRPr="00294082">
        <w:rPr>
          <w:bCs/>
          <w:szCs w:val="22"/>
          <w:lang w:val="sk-SK" w:eastAsia="hu-HU"/>
        </w:rPr>
        <w:t>plazminogénu</w:t>
      </w:r>
      <w:proofErr w:type="spellEnd"/>
      <w:r w:rsidRPr="00294082">
        <w:rPr>
          <w:snapToGrid w:val="0"/>
          <w:szCs w:val="22"/>
          <w:lang w:val="sk-SK"/>
        </w:rPr>
        <w:t xml:space="preserve"> a</w:t>
      </w:r>
      <w:r w:rsidR="006E7A9B">
        <w:rPr>
          <w:snapToGrid w:val="0"/>
          <w:szCs w:val="22"/>
          <w:lang w:val="sk-SK"/>
        </w:rPr>
        <w:t>lebo</w:t>
      </w:r>
      <w:r w:rsidRPr="00294082">
        <w:rPr>
          <w:snapToGrid w:val="0"/>
          <w:szCs w:val="22"/>
          <w:lang w:val="sk-SK"/>
        </w:rPr>
        <w:t xml:space="preserve"> </w:t>
      </w:r>
      <w:proofErr w:type="spellStart"/>
      <w:r w:rsidRPr="00294082">
        <w:rPr>
          <w:snapToGrid w:val="0"/>
          <w:szCs w:val="22"/>
          <w:lang w:val="sk-SK"/>
        </w:rPr>
        <w:t>vildagliptínom</w:t>
      </w:r>
      <w:proofErr w:type="spellEnd"/>
      <w:r w:rsidRPr="00294082">
        <w:rPr>
          <w:snapToGrid w:val="0"/>
          <w:szCs w:val="22"/>
          <w:lang w:val="sk-SK"/>
        </w:rPr>
        <w:t xml:space="preserve"> </w:t>
      </w:r>
      <w:r w:rsidRPr="00294082">
        <w:rPr>
          <w:bCs/>
          <w:szCs w:val="22"/>
          <w:lang w:val="sk-SK" w:eastAsia="hu-HU"/>
        </w:rPr>
        <w:t xml:space="preserve">môže </w:t>
      </w:r>
      <w:r w:rsidRPr="00294082">
        <w:rPr>
          <w:snapToGrid w:val="0"/>
          <w:szCs w:val="22"/>
          <w:lang w:val="sk-SK"/>
        </w:rPr>
        <w:t xml:space="preserve">viesť k zvýšenému riziku </w:t>
      </w:r>
      <w:proofErr w:type="spellStart"/>
      <w:r w:rsidRPr="00294082">
        <w:rPr>
          <w:snapToGrid w:val="0"/>
          <w:szCs w:val="22"/>
          <w:lang w:val="sk-SK"/>
        </w:rPr>
        <w:t>angioedému</w:t>
      </w:r>
      <w:proofErr w:type="spellEnd"/>
      <w:r w:rsidRPr="00294082">
        <w:rPr>
          <w:snapToGrid w:val="0"/>
          <w:szCs w:val="22"/>
          <w:lang w:val="sk-SK"/>
        </w:rPr>
        <w:t xml:space="preserve"> (pozri časť 4.4). </w:t>
      </w:r>
    </w:p>
    <w:p w14:paraId="264E3363" w14:textId="77777777" w:rsidR="00662D78" w:rsidRDefault="00662D78" w:rsidP="006E7654">
      <w:pPr>
        <w:jc w:val="both"/>
        <w:rPr>
          <w:i/>
          <w:szCs w:val="22"/>
          <w:lang w:val="sk-SK"/>
        </w:rPr>
      </w:pPr>
    </w:p>
    <w:p w14:paraId="264E3364" w14:textId="77777777" w:rsidR="006E7654" w:rsidRPr="00157521" w:rsidRDefault="006E7654" w:rsidP="006E7654">
      <w:pPr>
        <w:jc w:val="both"/>
        <w:rPr>
          <w:szCs w:val="22"/>
          <w:lang w:val="sk-SK"/>
        </w:rPr>
      </w:pPr>
      <w:r w:rsidRPr="00157521">
        <w:rPr>
          <w:i/>
          <w:szCs w:val="22"/>
          <w:lang w:val="sk-SK"/>
        </w:rPr>
        <w:t>Diuretiká</w:t>
      </w:r>
    </w:p>
    <w:p w14:paraId="264E3365" w14:textId="77777777" w:rsidR="006E7654" w:rsidRPr="00157521" w:rsidRDefault="006E7654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Keď sa diuretiká pridajú k liečbe pacienta užívajúceho </w:t>
      </w:r>
      <w:proofErr w:type="spellStart"/>
      <w:r w:rsidRPr="00157521">
        <w:rPr>
          <w:szCs w:val="22"/>
          <w:lang w:val="sk-SK"/>
        </w:rPr>
        <w:t>lizinopril</w:t>
      </w:r>
      <w:proofErr w:type="spellEnd"/>
      <w:r w:rsidRPr="00157521">
        <w:rPr>
          <w:i/>
          <w:szCs w:val="22"/>
          <w:lang w:val="sk-SK"/>
        </w:rPr>
        <w:t xml:space="preserve">, </w:t>
      </w:r>
      <w:proofErr w:type="spellStart"/>
      <w:r w:rsidRPr="00157521">
        <w:rPr>
          <w:szCs w:val="22"/>
          <w:lang w:val="sk-SK"/>
        </w:rPr>
        <w:t>antihypertenzný</w:t>
      </w:r>
      <w:proofErr w:type="spellEnd"/>
      <w:r w:rsidRPr="00157521">
        <w:rPr>
          <w:szCs w:val="22"/>
          <w:lang w:val="sk-SK"/>
        </w:rPr>
        <w:t xml:space="preserve"> účinok sa zvyčajne sčíta. U pacientov s diuretickou liečbou, a to najmä u tých, u ktorých sa začala diuretická liečba nedávno, môže občas nastať po pridaní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 nadmerný pokles tlaku krvi. Pravdepodobnosť symptomatickej hypotenzie súvisiacej s 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 možno minimalizovať tým, že sa pred začatím liečby 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 diuretická liečba preruší (pozri čas</w:t>
      </w:r>
      <w:r w:rsidR="00260420">
        <w:rPr>
          <w:szCs w:val="22"/>
          <w:lang w:val="sk-SK"/>
        </w:rPr>
        <w:t>ti</w:t>
      </w:r>
      <w:r w:rsidRPr="00157521">
        <w:rPr>
          <w:szCs w:val="22"/>
          <w:lang w:val="sk-SK"/>
        </w:rPr>
        <w:t xml:space="preserve"> 4.4</w:t>
      </w:r>
      <w:r w:rsidR="00972163" w:rsidRPr="00157521">
        <w:rPr>
          <w:szCs w:val="22"/>
          <w:lang w:val="sk-SK"/>
        </w:rPr>
        <w:t xml:space="preserve"> a časť 4.2</w:t>
      </w:r>
      <w:r w:rsidRPr="00157521">
        <w:rPr>
          <w:szCs w:val="22"/>
          <w:lang w:val="sk-SK"/>
        </w:rPr>
        <w:t>).</w:t>
      </w:r>
    </w:p>
    <w:p w14:paraId="264E3366" w14:textId="77777777" w:rsidR="006E7654" w:rsidRPr="00157521" w:rsidRDefault="006E7654" w:rsidP="006E7654">
      <w:pPr>
        <w:jc w:val="both"/>
        <w:rPr>
          <w:b/>
          <w:szCs w:val="22"/>
          <w:lang w:val="sk-SK"/>
        </w:rPr>
      </w:pPr>
    </w:p>
    <w:p w14:paraId="264E3367" w14:textId="77777777" w:rsidR="006E7654" w:rsidRPr="00157521" w:rsidRDefault="006E7654" w:rsidP="006E7654">
      <w:pPr>
        <w:jc w:val="both"/>
        <w:rPr>
          <w:szCs w:val="22"/>
          <w:lang w:val="sk-SK"/>
        </w:rPr>
      </w:pPr>
      <w:r w:rsidRPr="00157521">
        <w:rPr>
          <w:i/>
          <w:szCs w:val="22"/>
          <w:lang w:val="sk-SK"/>
        </w:rPr>
        <w:t>Doplnky draslíka, kálium šetriace diuretiká alebo náhrady solí obsahujúcich draslík</w:t>
      </w:r>
      <w:r w:rsidR="00982B94">
        <w:rPr>
          <w:i/>
          <w:szCs w:val="22"/>
          <w:lang w:val="sk-SK"/>
        </w:rPr>
        <w:t xml:space="preserve"> </w:t>
      </w:r>
      <w:r w:rsidR="00E058F2" w:rsidRPr="00E058F2">
        <w:rPr>
          <w:i/>
          <w:szCs w:val="22"/>
          <w:lang w:val="sk-SK"/>
        </w:rPr>
        <w:t>a iné lieky, ktoré môžu zvýšiť hladiny sérového draslíka</w:t>
      </w:r>
    </w:p>
    <w:p w14:paraId="264E3368" w14:textId="77777777" w:rsidR="00662D78" w:rsidRDefault="00662D78" w:rsidP="003F7DD0">
      <w:pPr>
        <w:rPr>
          <w:szCs w:val="22"/>
          <w:lang w:val="sk-SK"/>
        </w:rPr>
      </w:pPr>
      <w:r w:rsidRPr="00662D78">
        <w:rPr>
          <w:szCs w:val="22"/>
          <w:lang w:val="sk-SK"/>
        </w:rPr>
        <w:t xml:space="preserve">Hoci hladiny draslíka v sére zvyčajne zostávajú v rámci normálnych hodnôt, u niektorých pacientov liečených </w:t>
      </w:r>
      <w:proofErr w:type="spellStart"/>
      <w:r>
        <w:rPr>
          <w:szCs w:val="22"/>
          <w:lang w:val="sk-SK"/>
        </w:rPr>
        <w:t>lizinoprilom</w:t>
      </w:r>
      <w:proofErr w:type="spellEnd"/>
      <w:r w:rsidRPr="00662D78">
        <w:rPr>
          <w:szCs w:val="22"/>
          <w:lang w:val="sk-SK"/>
        </w:rPr>
        <w:t xml:space="preserve"> sa môže vyskytnúť </w:t>
      </w:r>
      <w:proofErr w:type="spellStart"/>
      <w:r w:rsidRPr="00662D78">
        <w:rPr>
          <w:szCs w:val="22"/>
          <w:lang w:val="sk-SK"/>
        </w:rPr>
        <w:t>hyperkaliémia</w:t>
      </w:r>
      <w:proofErr w:type="spellEnd"/>
      <w:r w:rsidRPr="00662D78">
        <w:rPr>
          <w:szCs w:val="22"/>
          <w:lang w:val="sk-SK"/>
        </w:rPr>
        <w:t xml:space="preserve">. Užívanie draslík šetriacich diuretík (napr. </w:t>
      </w:r>
      <w:proofErr w:type="spellStart"/>
      <w:r w:rsidRPr="00662D78">
        <w:rPr>
          <w:szCs w:val="22"/>
          <w:lang w:val="sk-SK"/>
        </w:rPr>
        <w:t>spironolaktón</w:t>
      </w:r>
      <w:proofErr w:type="spellEnd"/>
      <w:r w:rsidRPr="00662D78">
        <w:rPr>
          <w:szCs w:val="22"/>
          <w:lang w:val="sk-SK"/>
        </w:rPr>
        <w:t xml:space="preserve">, </w:t>
      </w:r>
      <w:proofErr w:type="spellStart"/>
      <w:r w:rsidRPr="00662D78">
        <w:rPr>
          <w:szCs w:val="22"/>
          <w:lang w:val="sk-SK"/>
        </w:rPr>
        <w:t>triamterén</w:t>
      </w:r>
      <w:proofErr w:type="spellEnd"/>
      <w:r w:rsidRPr="00662D78">
        <w:rPr>
          <w:szCs w:val="22"/>
          <w:lang w:val="sk-SK"/>
        </w:rPr>
        <w:t xml:space="preserve"> alebo </w:t>
      </w:r>
      <w:proofErr w:type="spellStart"/>
      <w:r w:rsidRPr="00662D78">
        <w:rPr>
          <w:szCs w:val="22"/>
          <w:lang w:val="sk-SK"/>
        </w:rPr>
        <w:t>amilorid</w:t>
      </w:r>
      <w:proofErr w:type="spellEnd"/>
      <w:r w:rsidRPr="00662D78">
        <w:rPr>
          <w:szCs w:val="22"/>
          <w:lang w:val="sk-SK"/>
        </w:rPr>
        <w:t>), doplnkov draslíka alebo náhrad solí obsahujúcich draslík môže viesť k významnému zvýšeniu hladín draslíka v</w:t>
      </w:r>
      <w:r>
        <w:rPr>
          <w:szCs w:val="22"/>
          <w:lang w:val="sk-SK"/>
        </w:rPr>
        <w:t> </w:t>
      </w:r>
      <w:r w:rsidRPr="00662D78">
        <w:rPr>
          <w:szCs w:val="22"/>
          <w:lang w:val="sk-SK"/>
        </w:rPr>
        <w:t>sére</w:t>
      </w:r>
      <w:r>
        <w:rPr>
          <w:szCs w:val="22"/>
          <w:lang w:val="sk-SK"/>
        </w:rPr>
        <w:t>,</w:t>
      </w:r>
      <w:r w:rsidRPr="00662D78">
        <w:rPr>
          <w:szCs w:val="22"/>
          <w:lang w:val="sk-SK"/>
        </w:rPr>
        <w:t xml:space="preserve"> a to najmä u pacientov</w:t>
      </w:r>
      <w:r>
        <w:rPr>
          <w:szCs w:val="22"/>
          <w:lang w:val="sk-SK"/>
        </w:rPr>
        <w:t xml:space="preserve"> s </w:t>
      </w:r>
      <w:r w:rsidR="006E7A9B">
        <w:rPr>
          <w:szCs w:val="22"/>
          <w:lang w:val="sk-SK"/>
        </w:rPr>
        <w:t xml:space="preserve">poruchou </w:t>
      </w:r>
      <w:r>
        <w:rPr>
          <w:szCs w:val="22"/>
          <w:lang w:val="sk-SK"/>
        </w:rPr>
        <w:t>funkci</w:t>
      </w:r>
      <w:r w:rsidR="006E7A9B">
        <w:rPr>
          <w:szCs w:val="22"/>
          <w:lang w:val="sk-SK"/>
        </w:rPr>
        <w:t>e</w:t>
      </w:r>
      <w:r>
        <w:rPr>
          <w:szCs w:val="22"/>
          <w:lang w:val="sk-SK"/>
        </w:rPr>
        <w:t xml:space="preserve"> obličiek</w:t>
      </w:r>
      <w:r w:rsidRPr="00662D78">
        <w:rPr>
          <w:szCs w:val="22"/>
          <w:lang w:val="sk-SK"/>
        </w:rPr>
        <w:t xml:space="preserve">. Opatrnosť je tiež potrebná pri súbežnom podávaní </w:t>
      </w:r>
      <w:proofErr w:type="spellStart"/>
      <w:r>
        <w:rPr>
          <w:szCs w:val="22"/>
          <w:lang w:val="sk-SK"/>
        </w:rPr>
        <w:t>lizinoprilu</w:t>
      </w:r>
      <w:proofErr w:type="spellEnd"/>
      <w:r w:rsidRPr="00662D78">
        <w:rPr>
          <w:szCs w:val="22"/>
          <w:lang w:val="sk-SK"/>
        </w:rPr>
        <w:t xml:space="preserve"> s inými liekmi, ktoré zvyšujú hladinu draslíka v sére, napríklad </w:t>
      </w:r>
      <w:proofErr w:type="spellStart"/>
      <w:r w:rsidRPr="00662D78">
        <w:rPr>
          <w:szCs w:val="22"/>
          <w:lang w:val="sk-SK"/>
        </w:rPr>
        <w:t>trimetoprim</w:t>
      </w:r>
      <w:proofErr w:type="spellEnd"/>
      <w:r w:rsidRPr="00662D78">
        <w:rPr>
          <w:szCs w:val="22"/>
          <w:lang w:val="sk-SK"/>
        </w:rPr>
        <w:t xml:space="preserve"> a </w:t>
      </w:r>
      <w:proofErr w:type="spellStart"/>
      <w:r w:rsidRPr="00662D78">
        <w:rPr>
          <w:szCs w:val="22"/>
          <w:lang w:val="sk-SK"/>
        </w:rPr>
        <w:t>kotrimoxazol</w:t>
      </w:r>
      <w:proofErr w:type="spellEnd"/>
      <w:r w:rsidRPr="00662D78">
        <w:rPr>
          <w:szCs w:val="22"/>
          <w:lang w:val="sk-SK"/>
        </w:rPr>
        <w:t xml:space="preserve"> (</w:t>
      </w:r>
      <w:proofErr w:type="spellStart"/>
      <w:r w:rsidRPr="00662D78">
        <w:rPr>
          <w:szCs w:val="22"/>
          <w:lang w:val="sk-SK"/>
        </w:rPr>
        <w:t>trimetoprim</w:t>
      </w:r>
      <w:proofErr w:type="spellEnd"/>
      <w:r w:rsidRPr="00662D78">
        <w:rPr>
          <w:szCs w:val="22"/>
          <w:lang w:val="sk-SK"/>
        </w:rPr>
        <w:t>/</w:t>
      </w:r>
      <w:proofErr w:type="spellStart"/>
      <w:r w:rsidRPr="00662D78">
        <w:rPr>
          <w:szCs w:val="22"/>
          <w:lang w:val="sk-SK"/>
        </w:rPr>
        <w:t>sulfametoxazol</w:t>
      </w:r>
      <w:proofErr w:type="spellEnd"/>
      <w:r w:rsidRPr="00662D78">
        <w:rPr>
          <w:szCs w:val="22"/>
          <w:lang w:val="sk-SK"/>
        </w:rPr>
        <w:t>), ke</w:t>
      </w:r>
      <w:r w:rsidR="006E7A9B">
        <w:rPr>
          <w:szCs w:val="22"/>
          <w:lang w:val="sk-SK"/>
        </w:rPr>
        <w:t>ď</w:t>
      </w:r>
      <w:r w:rsidRPr="00662D78">
        <w:rPr>
          <w:szCs w:val="22"/>
          <w:lang w:val="sk-SK"/>
        </w:rPr>
        <w:t xml:space="preserve">že </w:t>
      </w:r>
      <w:proofErr w:type="spellStart"/>
      <w:r w:rsidRPr="00662D78">
        <w:rPr>
          <w:szCs w:val="22"/>
          <w:lang w:val="sk-SK"/>
        </w:rPr>
        <w:t>trimetoprim</w:t>
      </w:r>
      <w:proofErr w:type="spellEnd"/>
      <w:r w:rsidRPr="00662D78">
        <w:rPr>
          <w:szCs w:val="22"/>
          <w:lang w:val="sk-SK"/>
        </w:rPr>
        <w:t xml:space="preserve"> pôsobí ako draslík šetriace diuretikum, rovnako ako </w:t>
      </w:r>
      <w:proofErr w:type="spellStart"/>
      <w:r w:rsidRPr="00662D78">
        <w:rPr>
          <w:szCs w:val="22"/>
          <w:lang w:val="sk-SK"/>
        </w:rPr>
        <w:t>amilorid</w:t>
      </w:r>
      <w:proofErr w:type="spellEnd"/>
      <w:r w:rsidRPr="00662D78">
        <w:rPr>
          <w:szCs w:val="22"/>
          <w:lang w:val="sk-SK"/>
        </w:rPr>
        <w:t xml:space="preserve">. Preto sa užívanie </w:t>
      </w:r>
      <w:proofErr w:type="spellStart"/>
      <w:r>
        <w:rPr>
          <w:szCs w:val="22"/>
          <w:lang w:val="sk-SK"/>
        </w:rPr>
        <w:t>lizinoprilu</w:t>
      </w:r>
      <w:proofErr w:type="spellEnd"/>
      <w:r w:rsidRPr="00662D78">
        <w:rPr>
          <w:szCs w:val="22"/>
          <w:lang w:val="sk-SK"/>
        </w:rPr>
        <w:t xml:space="preserve"> v kombinácii s vyššie uvedenými liekmi neodporúča. Ak je indikované ich súbežné užívanie, majú sa užívať s opatrnosťou a majú sa často sledovať hladiny draslíka v</w:t>
      </w:r>
      <w:r>
        <w:rPr>
          <w:szCs w:val="22"/>
          <w:lang w:val="sk-SK"/>
        </w:rPr>
        <w:t> </w:t>
      </w:r>
      <w:r w:rsidRPr="00662D78">
        <w:rPr>
          <w:szCs w:val="22"/>
          <w:lang w:val="sk-SK"/>
        </w:rPr>
        <w:t>sére</w:t>
      </w:r>
      <w:r>
        <w:rPr>
          <w:szCs w:val="22"/>
          <w:lang w:val="sk-SK"/>
        </w:rPr>
        <w:t xml:space="preserve"> (p</w:t>
      </w:r>
      <w:r w:rsidR="006E7A9B">
        <w:rPr>
          <w:szCs w:val="22"/>
          <w:lang w:val="sk-SK"/>
        </w:rPr>
        <w:t>o</w:t>
      </w:r>
      <w:r>
        <w:rPr>
          <w:szCs w:val="22"/>
          <w:lang w:val="sk-SK"/>
        </w:rPr>
        <w:t xml:space="preserve">zri </w:t>
      </w:r>
      <w:r w:rsidR="006E7A9B">
        <w:rPr>
          <w:szCs w:val="22"/>
          <w:lang w:val="sk-SK"/>
        </w:rPr>
        <w:t>č</w:t>
      </w:r>
      <w:r>
        <w:rPr>
          <w:szCs w:val="22"/>
          <w:lang w:val="sk-SK"/>
        </w:rPr>
        <w:t>asť 4.4)</w:t>
      </w:r>
      <w:r w:rsidRPr="00662D78">
        <w:rPr>
          <w:szCs w:val="22"/>
          <w:lang w:val="sk-SK"/>
        </w:rPr>
        <w:t xml:space="preserve">. </w:t>
      </w:r>
    </w:p>
    <w:p w14:paraId="264E3369" w14:textId="77777777" w:rsidR="00662D78" w:rsidRDefault="00662D78" w:rsidP="00662D78">
      <w:pPr>
        <w:rPr>
          <w:szCs w:val="22"/>
          <w:lang w:val="sk-SK"/>
        </w:rPr>
      </w:pPr>
    </w:p>
    <w:p w14:paraId="264E336A" w14:textId="77777777" w:rsidR="00662D78" w:rsidRPr="000F51B1" w:rsidRDefault="00662D78" w:rsidP="00662D78">
      <w:pPr>
        <w:rPr>
          <w:i/>
          <w:szCs w:val="22"/>
          <w:lang w:val="sk-SK"/>
        </w:rPr>
      </w:pPr>
      <w:proofErr w:type="spellStart"/>
      <w:r w:rsidRPr="000F51B1">
        <w:rPr>
          <w:i/>
          <w:szCs w:val="22"/>
          <w:lang w:val="sk-SK"/>
        </w:rPr>
        <w:t>Cyklosporín</w:t>
      </w:r>
      <w:proofErr w:type="spellEnd"/>
      <w:r w:rsidRPr="000F51B1">
        <w:rPr>
          <w:i/>
          <w:szCs w:val="22"/>
          <w:lang w:val="sk-SK"/>
        </w:rPr>
        <w:t xml:space="preserve"> </w:t>
      </w:r>
    </w:p>
    <w:p w14:paraId="264E336B" w14:textId="77777777" w:rsidR="00662D78" w:rsidRPr="00662D78" w:rsidRDefault="00662D78" w:rsidP="00662D78">
      <w:pPr>
        <w:rPr>
          <w:szCs w:val="22"/>
          <w:lang w:val="sk-SK"/>
        </w:rPr>
      </w:pPr>
      <w:r w:rsidRPr="00662D78">
        <w:rPr>
          <w:szCs w:val="22"/>
          <w:lang w:val="sk-SK"/>
        </w:rPr>
        <w:t xml:space="preserve">Pri súbežnom užívaní inhibítorov ACE s </w:t>
      </w:r>
      <w:proofErr w:type="spellStart"/>
      <w:r w:rsidRPr="00662D78">
        <w:rPr>
          <w:szCs w:val="22"/>
          <w:lang w:val="sk-SK"/>
        </w:rPr>
        <w:t>cyklosporínom</w:t>
      </w:r>
      <w:proofErr w:type="spellEnd"/>
      <w:r w:rsidRPr="00662D78">
        <w:rPr>
          <w:szCs w:val="22"/>
          <w:lang w:val="sk-SK"/>
        </w:rPr>
        <w:t xml:space="preserve"> sa môže vyskytnúť </w:t>
      </w:r>
      <w:proofErr w:type="spellStart"/>
      <w:r w:rsidRPr="00662D78">
        <w:rPr>
          <w:szCs w:val="22"/>
          <w:lang w:val="sk-SK"/>
        </w:rPr>
        <w:t>hyperkaliémia</w:t>
      </w:r>
      <w:proofErr w:type="spellEnd"/>
      <w:r w:rsidRPr="00662D78">
        <w:rPr>
          <w:szCs w:val="22"/>
          <w:lang w:val="sk-SK"/>
        </w:rPr>
        <w:t xml:space="preserve">. Odporúča sa monitorovanie hladiny draslíka v sére. </w:t>
      </w:r>
    </w:p>
    <w:p w14:paraId="264E336C" w14:textId="77777777" w:rsidR="00662D78" w:rsidRDefault="00662D78" w:rsidP="00662D78">
      <w:pPr>
        <w:rPr>
          <w:i/>
          <w:szCs w:val="22"/>
          <w:lang w:val="sk-SK"/>
        </w:rPr>
      </w:pPr>
    </w:p>
    <w:p w14:paraId="264E336D" w14:textId="77777777" w:rsidR="00662D78" w:rsidRPr="000F51B1" w:rsidRDefault="00662D78" w:rsidP="00662D78">
      <w:pPr>
        <w:rPr>
          <w:i/>
          <w:szCs w:val="22"/>
          <w:lang w:val="sk-SK"/>
        </w:rPr>
      </w:pPr>
      <w:proofErr w:type="spellStart"/>
      <w:r w:rsidRPr="000F51B1">
        <w:rPr>
          <w:i/>
          <w:szCs w:val="22"/>
          <w:lang w:val="sk-SK"/>
        </w:rPr>
        <w:t>Heparín</w:t>
      </w:r>
      <w:proofErr w:type="spellEnd"/>
      <w:r w:rsidRPr="000F51B1">
        <w:rPr>
          <w:i/>
          <w:szCs w:val="22"/>
          <w:lang w:val="sk-SK"/>
        </w:rPr>
        <w:t xml:space="preserve"> </w:t>
      </w:r>
    </w:p>
    <w:p w14:paraId="264E336E" w14:textId="77777777" w:rsidR="00662D78" w:rsidRDefault="00662D78" w:rsidP="00662D78">
      <w:pPr>
        <w:rPr>
          <w:szCs w:val="22"/>
          <w:lang w:val="sk-SK"/>
        </w:rPr>
      </w:pPr>
      <w:proofErr w:type="spellStart"/>
      <w:r w:rsidRPr="00662D78">
        <w:rPr>
          <w:szCs w:val="22"/>
          <w:lang w:val="sk-SK"/>
        </w:rPr>
        <w:t>Hyperkaliémia</w:t>
      </w:r>
      <w:proofErr w:type="spellEnd"/>
      <w:r w:rsidRPr="00662D78">
        <w:rPr>
          <w:szCs w:val="22"/>
          <w:lang w:val="sk-SK"/>
        </w:rPr>
        <w:t xml:space="preserve"> sa môže vyskytnúť pri súbežnom užívaní inhibítorov ACE s </w:t>
      </w:r>
      <w:proofErr w:type="spellStart"/>
      <w:r w:rsidRPr="00662D78">
        <w:rPr>
          <w:szCs w:val="22"/>
          <w:lang w:val="sk-SK"/>
        </w:rPr>
        <w:t>heparínom</w:t>
      </w:r>
      <w:proofErr w:type="spellEnd"/>
      <w:r w:rsidRPr="00662D78">
        <w:rPr>
          <w:szCs w:val="22"/>
          <w:lang w:val="sk-SK"/>
        </w:rPr>
        <w:t xml:space="preserve">. Odporúča sa monitorovanie hladiny draslíka v sére. </w:t>
      </w:r>
    </w:p>
    <w:p w14:paraId="264E336F" w14:textId="77777777" w:rsidR="006E7654" w:rsidRPr="00157521" w:rsidRDefault="006E7654" w:rsidP="00662D78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Ak sa </w:t>
      </w:r>
      <w:proofErr w:type="spellStart"/>
      <w:r w:rsidRPr="00157521">
        <w:rPr>
          <w:szCs w:val="22"/>
          <w:lang w:val="sk-SK"/>
        </w:rPr>
        <w:t>lizinopril</w:t>
      </w:r>
      <w:proofErr w:type="spellEnd"/>
      <w:r w:rsidRPr="00157521">
        <w:rPr>
          <w:szCs w:val="22"/>
          <w:lang w:val="sk-SK"/>
        </w:rPr>
        <w:t xml:space="preserve"> podáva spolu s diuretikami, ktoré vedú k strate draslíka, diuretikami indukovaná </w:t>
      </w:r>
      <w:proofErr w:type="spellStart"/>
      <w:r w:rsidRPr="00157521">
        <w:rPr>
          <w:szCs w:val="22"/>
          <w:lang w:val="sk-SK"/>
        </w:rPr>
        <w:t>hypokaliémia</w:t>
      </w:r>
      <w:proofErr w:type="spellEnd"/>
      <w:r w:rsidRPr="00157521">
        <w:rPr>
          <w:szCs w:val="22"/>
          <w:lang w:val="sk-SK"/>
        </w:rPr>
        <w:t xml:space="preserve"> sa môže zmierniť.</w:t>
      </w:r>
    </w:p>
    <w:p w14:paraId="264E3370" w14:textId="77777777" w:rsidR="006E7654" w:rsidRPr="00157521" w:rsidRDefault="006E7654" w:rsidP="006E7654">
      <w:pPr>
        <w:jc w:val="both"/>
        <w:rPr>
          <w:b/>
          <w:i/>
          <w:szCs w:val="22"/>
          <w:lang w:val="sk-SK"/>
        </w:rPr>
      </w:pPr>
    </w:p>
    <w:p w14:paraId="264E3371" w14:textId="77777777" w:rsidR="006E7654" w:rsidRPr="00157521" w:rsidRDefault="006E7654" w:rsidP="006E7654">
      <w:pPr>
        <w:jc w:val="both"/>
        <w:rPr>
          <w:szCs w:val="22"/>
          <w:lang w:val="sk-SK"/>
        </w:rPr>
      </w:pPr>
      <w:r w:rsidRPr="00157521">
        <w:rPr>
          <w:i/>
          <w:szCs w:val="22"/>
          <w:lang w:val="sk-SK"/>
        </w:rPr>
        <w:t>Lítium</w:t>
      </w:r>
    </w:p>
    <w:p w14:paraId="264E3372" w14:textId="18ED3997" w:rsidR="006E7654" w:rsidRPr="00157521" w:rsidRDefault="006E7654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>Reverzibilný vzostup sérových koncentrácií lítia a zvýšenie toxicity sa zaznamenali počas</w:t>
      </w:r>
      <w:r w:rsidR="00625AF4">
        <w:rPr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 xml:space="preserve"> </w:t>
      </w:r>
      <w:r w:rsidR="00625AF4" w:rsidRPr="00EB675A">
        <w:rPr>
          <w:szCs w:val="22"/>
          <w:lang w:val="sk-SK"/>
        </w:rPr>
        <w:t>sú</w:t>
      </w:r>
      <w:r w:rsidR="00625AF4">
        <w:rPr>
          <w:szCs w:val="22"/>
          <w:lang w:val="sk-SK"/>
        </w:rPr>
        <w:t>bež</w:t>
      </w:r>
      <w:r w:rsidR="00625AF4" w:rsidRPr="00344D28">
        <w:rPr>
          <w:szCs w:val="22"/>
          <w:lang w:val="sk-SK"/>
        </w:rPr>
        <w:t>ného</w:t>
      </w:r>
      <w:r w:rsidR="00625AF4" w:rsidRPr="00157521">
        <w:rPr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 xml:space="preserve">podávania lítia s ACE inhibítormi. </w:t>
      </w:r>
      <w:r w:rsidR="00625AF4" w:rsidRPr="00344D28">
        <w:rPr>
          <w:szCs w:val="22"/>
          <w:lang w:val="sk-SK"/>
        </w:rPr>
        <w:t>Sú</w:t>
      </w:r>
      <w:r w:rsidR="00625AF4">
        <w:rPr>
          <w:szCs w:val="22"/>
          <w:lang w:val="sk-SK"/>
        </w:rPr>
        <w:t>bež</w:t>
      </w:r>
      <w:r w:rsidR="00625AF4" w:rsidRPr="00344D28">
        <w:rPr>
          <w:szCs w:val="22"/>
          <w:lang w:val="sk-SK"/>
        </w:rPr>
        <w:t>né</w:t>
      </w:r>
      <w:r w:rsidRPr="00157521">
        <w:rPr>
          <w:szCs w:val="22"/>
          <w:lang w:val="sk-SK"/>
        </w:rPr>
        <w:t xml:space="preserve"> užívanie </w:t>
      </w:r>
      <w:proofErr w:type="spellStart"/>
      <w:r w:rsidRPr="00157521">
        <w:rPr>
          <w:szCs w:val="22"/>
          <w:lang w:val="sk-SK"/>
        </w:rPr>
        <w:t>tiazidových</w:t>
      </w:r>
      <w:proofErr w:type="spellEnd"/>
      <w:r w:rsidRPr="00157521">
        <w:rPr>
          <w:szCs w:val="22"/>
          <w:lang w:val="sk-SK"/>
        </w:rPr>
        <w:t xml:space="preserve"> diuretík môže zvýšiť</w:t>
      </w:r>
      <w:r w:rsidRPr="00157521">
        <w:rPr>
          <w:b/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 xml:space="preserve">riziko toxicity lítia, ako aj zvýšiť už existujúcu toxicitu lítia s ACE inhibítormi. Užívanie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 s lítiom sa neodporúča, ak sa však kombinácia pokladá za nevyhnutnú, treba starostlivo monitorovať sérové hladiny lítia (pozri časť 4.4).</w:t>
      </w:r>
    </w:p>
    <w:p w14:paraId="264E3373" w14:textId="77777777" w:rsidR="006E7654" w:rsidRPr="00157521" w:rsidRDefault="006E7654" w:rsidP="006E7654">
      <w:pPr>
        <w:jc w:val="both"/>
        <w:rPr>
          <w:i/>
          <w:szCs w:val="22"/>
          <w:lang w:val="sk-SK"/>
        </w:rPr>
      </w:pPr>
    </w:p>
    <w:p w14:paraId="264E3374" w14:textId="77777777" w:rsidR="002B2C20" w:rsidRPr="00157521" w:rsidRDefault="002B2C20" w:rsidP="002B2C20">
      <w:pPr>
        <w:jc w:val="both"/>
        <w:rPr>
          <w:szCs w:val="22"/>
          <w:lang w:val="sk-SK"/>
        </w:rPr>
      </w:pPr>
      <w:proofErr w:type="spellStart"/>
      <w:r w:rsidRPr="00157521">
        <w:rPr>
          <w:i/>
          <w:szCs w:val="22"/>
          <w:lang w:val="sk-SK"/>
        </w:rPr>
        <w:t>Nesteroid</w:t>
      </w:r>
      <w:r>
        <w:rPr>
          <w:i/>
          <w:szCs w:val="22"/>
          <w:lang w:val="sk-SK"/>
        </w:rPr>
        <w:t>n</w:t>
      </w:r>
      <w:r w:rsidRPr="00157521">
        <w:rPr>
          <w:i/>
          <w:szCs w:val="22"/>
          <w:lang w:val="sk-SK"/>
        </w:rPr>
        <w:t>é</w:t>
      </w:r>
      <w:proofErr w:type="spellEnd"/>
      <w:r w:rsidRPr="00157521">
        <w:rPr>
          <w:i/>
          <w:szCs w:val="22"/>
          <w:lang w:val="sk-SK"/>
        </w:rPr>
        <w:t xml:space="preserve"> </w:t>
      </w:r>
      <w:r>
        <w:rPr>
          <w:i/>
          <w:szCs w:val="22"/>
          <w:lang w:val="sk-SK"/>
        </w:rPr>
        <w:t>protizápalové lieky</w:t>
      </w:r>
      <w:r w:rsidRPr="00157521">
        <w:rPr>
          <w:i/>
          <w:szCs w:val="22"/>
          <w:lang w:val="sk-SK"/>
        </w:rPr>
        <w:t xml:space="preserve"> (NSAID) vrátane </w:t>
      </w:r>
      <w:r>
        <w:rPr>
          <w:i/>
          <w:szCs w:val="22"/>
          <w:lang w:val="sk-SK"/>
        </w:rPr>
        <w:t xml:space="preserve">kyseliny </w:t>
      </w:r>
      <w:proofErr w:type="spellStart"/>
      <w:r w:rsidRPr="00157521">
        <w:rPr>
          <w:i/>
          <w:szCs w:val="22"/>
          <w:lang w:val="sk-SK"/>
        </w:rPr>
        <w:t>acetylsalicylovej</w:t>
      </w:r>
      <w:proofErr w:type="spellEnd"/>
      <w:r w:rsidRPr="00157521">
        <w:rPr>
          <w:i/>
          <w:szCs w:val="22"/>
          <w:lang w:val="sk-SK"/>
        </w:rPr>
        <w:t xml:space="preserve"> </w:t>
      </w:r>
      <w:r w:rsidRPr="00157521">
        <w:rPr>
          <w:i/>
          <w:szCs w:val="22"/>
          <w:lang w:val="sk-SK"/>
        </w:rPr>
        <w:sym w:font="Symbol" w:char="F0B3"/>
      </w:r>
      <w:r w:rsidRPr="00157521">
        <w:rPr>
          <w:i/>
          <w:szCs w:val="22"/>
          <w:lang w:val="sk-SK"/>
        </w:rPr>
        <w:t xml:space="preserve"> 3g/deň</w:t>
      </w:r>
    </w:p>
    <w:p w14:paraId="264E3375" w14:textId="77777777" w:rsidR="002B2C20" w:rsidRDefault="002B2C20" w:rsidP="002B2C20">
      <w:pPr>
        <w:pStyle w:val="Normlnysozarkami"/>
        <w:spacing w:after="0"/>
        <w:ind w:left="0"/>
        <w:rPr>
          <w:spacing w:val="-3"/>
          <w:szCs w:val="22"/>
          <w:lang w:val="sk-SK"/>
        </w:rPr>
      </w:pPr>
      <w:r>
        <w:rPr>
          <w:szCs w:val="22"/>
          <w:lang w:val="sk-SK"/>
        </w:rPr>
        <w:t>Keď sa ACE inhibítory podávajú súbežne s </w:t>
      </w:r>
      <w:proofErr w:type="spellStart"/>
      <w:r>
        <w:rPr>
          <w:szCs w:val="22"/>
          <w:lang w:val="sk-SK"/>
        </w:rPr>
        <w:t>nesteroidnými</w:t>
      </w:r>
      <w:proofErr w:type="spellEnd"/>
      <w:r>
        <w:rPr>
          <w:szCs w:val="22"/>
          <w:lang w:val="sk-SK"/>
        </w:rPr>
        <w:t xml:space="preserve"> protizápalovými liekmi (napr. </w:t>
      </w:r>
      <w:r w:rsidRPr="00887B90">
        <w:rPr>
          <w:spacing w:val="-3"/>
          <w:szCs w:val="22"/>
          <w:lang w:val="sk-SK"/>
        </w:rPr>
        <w:t xml:space="preserve">kyselina </w:t>
      </w:r>
      <w:proofErr w:type="spellStart"/>
      <w:r w:rsidRPr="00887B90">
        <w:rPr>
          <w:spacing w:val="-3"/>
          <w:szCs w:val="22"/>
          <w:lang w:val="sk-SK"/>
        </w:rPr>
        <w:t>acetylsalicylová</w:t>
      </w:r>
      <w:proofErr w:type="spellEnd"/>
      <w:r>
        <w:rPr>
          <w:spacing w:val="-3"/>
          <w:szCs w:val="22"/>
          <w:lang w:val="sk-SK"/>
        </w:rPr>
        <w:t xml:space="preserve"> v protizápalových dávkach,</w:t>
      </w:r>
      <w:r>
        <w:rPr>
          <w:szCs w:val="22"/>
          <w:lang w:val="sk-SK"/>
        </w:rPr>
        <w:t xml:space="preserve"> </w:t>
      </w:r>
      <w:r w:rsidRPr="00887B90">
        <w:rPr>
          <w:spacing w:val="-3"/>
          <w:szCs w:val="22"/>
          <w:lang w:val="sk-SK"/>
        </w:rPr>
        <w:t>COX-2 inhibítory</w:t>
      </w:r>
      <w:r>
        <w:rPr>
          <w:spacing w:val="-3"/>
          <w:szCs w:val="22"/>
          <w:lang w:val="sk-SK"/>
        </w:rPr>
        <w:t xml:space="preserve"> a neselektívne NSAID), môže sa vyskytnúť zoslabenie </w:t>
      </w:r>
      <w:proofErr w:type="spellStart"/>
      <w:r>
        <w:rPr>
          <w:spacing w:val="-3"/>
          <w:szCs w:val="22"/>
          <w:lang w:val="sk-SK"/>
        </w:rPr>
        <w:t>antihypertenzného</w:t>
      </w:r>
      <w:proofErr w:type="spellEnd"/>
      <w:r>
        <w:rPr>
          <w:spacing w:val="-3"/>
          <w:szCs w:val="22"/>
          <w:lang w:val="sk-SK"/>
        </w:rPr>
        <w:t xml:space="preserve"> účinku. Súbežné používanie ACE inhibítorov a NSAID môže viesť k zvýšenému riziku zhoršenia </w:t>
      </w:r>
      <w:proofErr w:type="spellStart"/>
      <w:r>
        <w:rPr>
          <w:spacing w:val="-3"/>
          <w:szCs w:val="22"/>
          <w:lang w:val="sk-SK"/>
        </w:rPr>
        <w:t>renálnych</w:t>
      </w:r>
      <w:proofErr w:type="spellEnd"/>
      <w:r>
        <w:rPr>
          <w:spacing w:val="-3"/>
          <w:szCs w:val="22"/>
          <w:lang w:val="sk-SK"/>
        </w:rPr>
        <w:t xml:space="preserve"> funkcií, vrátane možného akútneho </w:t>
      </w:r>
      <w:proofErr w:type="spellStart"/>
      <w:r>
        <w:rPr>
          <w:spacing w:val="-3"/>
          <w:szCs w:val="22"/>
          <w:lang w:val="sk-SK"/>
        </w:rPr>
        <w:t>renálneho</w:t>
      </w:r>
      <w:proofErr w:type="spellEnd"/>
      <w:r>
        <w:rPr>
          <w:spacing w:val="-3"/>
          <w:szCs w:val="22"/>
          <w:lang w:val="sk-SK"/>
        </w:rPr>
        <w:t xml:space="preserve"> zlyhania a k zvýšeniu draslíka v sére, zvlášť u pacientov s už existujúcou slabou funkciou obličiek. Tieto účinky sú zvyčajne reverzibilné. Táto kombinácia sa musí podávať s opatrnosťou, zvlášť u starších. Pacienti musia byť primerane hydratovaní a musí sa venovať pozornosť monitorovaniu </w:t>
      </w:r>
      <w:proofErr w:type="spellStart"/>
      <w:r>
        <w:rPr>
          <w:spacing w:val="-3"/>
          <w:szCs w:val="22"/>
          <w:lang w:val="sk-SK"/>
        </w:rPr>
        <w:t>renálnych</w:t>
      </w:r>
      <w:proofErr w:type="spellEnd"/>
      <w:r>
        <w:rPr>
          <w:spacing w:val="-3"/>
          <w:szCs w:val="22"/>
          <w:lang w:val="sk-SK"/>
        </w:rPr>
        <w:t xml:space="preserve"> funkcií po začatí súbežnej liečby, a potom v ňom pravidelne pokračovať.</w:t>
      </w:r>
    </w:p>
    <w:p w14:paraId="264E3376" w14:textId="77777777" w:rsidR="006E7654" w:rsidRPr="00157521" w:rsidRDefault="006E7654" w:rsidP="006E7654">
      <w:pPr>
        <w:jc w:val="both"/>
        <w:rPr>
          <w:b/>
          <w:i/>
          <w:szCs w:val="22"/>
          <w:lang w:val="sk-SK"/>
        </w:rPr>
      </w:pPr>
    </w:p>
    <w:p w14:paraId="264E3377" w14:textId="77777777" w:rsidR="00A253DC" w:rsidRPr="00157521" w:rsidRDefault="00A253DC" w:rsidP="006E7654">
      <w:pPr>
        <w:jc w:val="both"/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>Zlato</w:t>
      </w:r>
    </w:p>
    <w:p w14:paraId="264E3378" w14:textId="77777777" w:rsidR="00D26846" w:rsidRPr="00157521" w:rsidRDefault="00A253DC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U pacientov dostávajúcich liečbu ACE inhibítorom boli </w:t>
      </w:r>
      <w:r w:rsidR="00D26846" w:rsidRPr="00157521">
        <w:rPr>
          <w:szCs w:val="22"/>
          <w:lang w:val="sk-SK"/>
        </w:rPr>
        <w:t xml:space="preserve">po injektovateľnom zlate (napr. </w:t>
      </w:r>
      <w:proofErr w:type="spellStart"/>
      <w:r w:rsidR="00D26846" w:rsidRPr="00157521">
        <w:rPr>
          <w:szCs w:val="22"/>
          <w:lang w:val="sk-SK"/>
        </w:rPr>
        <w:t>nátriumaurotiomalát</w:t>
      </w:r>
      <w:proofErr w:type="spellEnd"/>
      <w:r w:rsidR="00D26846" w:rsidRPr="00157521">
        <w:rPr>
          <w:szCs w:val="22"/>
          <w:lang w:val="sk-SK"/>
        </w:rPr>
        <w:t xml:space="preserve">) </w:t>
      </w:r>
      <w:r w:rsidRPr="00157521">
        <w:rPr>
          <w:szCs w:val="22"/>
          <w:lang w:val="sk-SK"/>
        </w:rPr>
        <w:t>častejšie hlásené</w:t>
      </w:r>
      <w:r w:rsidR="00D26846" w:rsidRPr="00157521">
        <w:rPr>
          <w:szCs w:val="22"/>
          <w:lang w:val="sk-SK"/>
        </w:rPr>
        <w:t xml:space="preserve"> </w:t>
      </w:r>
      <w:proofErr w:type="spellStart"/>
      <w:r w:rsidR="00D26846" w:rsidRPr="00157521">
        <w:rPr>
          <w:szCs w:val="22"/>
          <w:lang w:val="sk-SK"/>
        </w:rPr>
        <w:t>nitritoidné</w:t>
      </w:r>
      <w:proofErr w:type="spellEnd"/>
      <w:r w:rsidR="00D26846" w:rsidRPr="00157521">
        <w:rPr>
          <w:szCs w:val="22"/>
          <w:lang w:val="sk-SK"/>
        </w:rPr>
        <w:t xml:space="preserve"> reakcie (symptómy </w:t>
      </w:r>
      <w:proofErr w:type="spellStart"/>
      <w:r w:rsidR="00D26846" w:rsidRPr="00157521">
        <w:rPr>
          <w:szCs w:val="22"/>
          <w:lang w:val="sk-SK"/>
        </w:rPr>
        <w:t>vazodilatácie</w:t>
      </w:r>
      <w:proofErr w:type="spellEnd"/>
      <w:r w:rsidR="00D26846" w:rsidRPr="00157521">
        <w:rPr>
          <w:szCs w:val="22"/>
          <w:lang w:val="sk-SK"/>
        </w:rPr>
        <w:t>, vrátane návalov tepla, nevoľnosti, závratov a hypotenzie, ktoré môžu byť veľmi závažné).</w:t>
      </w:r>
    </w:p>
    <w:p w14:paraId="264E3379" w14:textId="77777777" w:rsidR="00D26846" w:rsidRPr="00157521" w:rsidRDefault="00D26846" w:rsidP="006E7654">
      <w:pPr>
        <w:jc w:val="both"/>
        <w:rPr>
          <w:lang w:val="sk-SK"/>
        </w:rPr>
      </w:pPr>
    </w:p>
    <w:p w14:paraId="264E337A" w14:textId="77777777" w:rsidR="006E7654" w:rsidRPr="00157521" w:rsidRDefault="006E7654" w:rsidP="006E7654">
      <w:pPr>
        <w:jc w:val="both"/>
        <w:rPr>
          <w:lang w:val="sk-SK"/>
        </w:rPr>
      </w:pPr>
      <w:proofErr w:type="spellStart"/>
      <w:r w:rsidRPr="00157521">
        <w:rPr>
          <w:i/>
          <w:lang w:val="sk-SK"/>
        </w:rPr>
        <w:t>Tricyklické</w:t>
      </w:r>
      <w:proofErr w:type="spellEnd"/>
      <w:r w:rsidRPr="00157521">
        <w:rPr>
          <w:i/>
          <w:lang w:val="sk-SK"/>
        </w:rPr>
        <w:t xml:space="preserve"> </w:t>
      </w:r>
      <w:proofErr w:type="spellStart"/>
      <w:r w:rsidRPr="00157521">
        <w:rPr>
          <w:i/>
          <w:lang w:val="sk-SK"/>
        </w:rPr>
        <w:t>antidepresíva</w:t>
      </w:r>
      <w:proofErr w:type="spellEnd"/>
      <w:r w:rsidRPr="00157521">
        <w:rPr>
          <w:i/>
          <w:lang w:val="sk-SK"/>
        </w:rPr>
        <w:t>/</w:t>
      </w:r>
      <w:proofErr w:type="spellStart"/>
      <w:r w:rsidRPr="00157521">
        <w:rPr>
          <w:i/>
          <w:lang w:val="sk-SK"/>
        </w:rPr>
        <w:t>antipsychotiká</w:t>
      </w:r>
      <w:proofErr w:type="spellEnd"/>
      <w:r w:rsidRPr="00157521">
        <w:rPr>
          <w:i/>
          <w:lang w:val="sk-SK"/>
        </w:rPr>
        <w:t>/anestetiká</w:t>
      </w:r>
    </w:p>
    <w:p w14:paraId="264E337B" w14:textId="77777777" w:rsidR="006E7654" w:rsidRPr="00157521" w:rsidRDefault="006E7654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Súčasné užívanie určitých anestetických </w:t>
      </w:r>
      <w:r w:rsidR="003E3EA2">
        <w:rPr>
          <w:szCs w:val="22"/>
          <w:lang w:val="sk-SK"/>
        </w:rPr>
        <w:t>liekov</w:t>
      </w:r>
      <w:r w:rsidRPr="00157521">
        <w:rPr>
          <w:szCs w:val="22"/>
          <w:lang w:val="sk-SK"/>
        </w:rPr>
        <w:t xml:space="preserve">, </w:t>
      </w:r>
      <w:proofErr w:type="spellStart"/>
      <w:r w:rsidRPr="00157521">
        <w:rPr>
          <w:szCs w:val="22"/>
          <w:lang w:val="sk-SK"/>
        </w:rPr>
        <w:t>tricyklických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antidepresív</w:t>
      </w:r>
      <w:proofErr w:type="spellEnd"/>
      <w:r w:rsidRPr="00157521">
        <w:rPr>
          <w:szCs w:val="22"/>
          <w:lang w:val="sk-SK"/>
        </w:rPr>
        <w:t xml:space="preserve"> a </w:t>
      </w:r>
      <w:proofErr w:type="spellStart"/>
      <w:r w:rsidRPr="00157521">
        <w:rPr>
          <w:szCs w:val="22"/>
          <w:lang w:val="sk-SK"/>
        </w:rPr>
        <w:t>antipsychotík</w:t>
      </w:r>
      <w:proofErr w:type="spellEnd"/>
      <w:r w:rsidRPr="00157521">
        <w:rPr>
          <w:szCs w:val="22"/>
          <w:lang w:val="sk-SK"/>
        </w:rPr>
        <w:t xml:space="preserve"> s ACE inhibítormi môže viesť k výraznejšiemu poklesu tlaku krvi (pozri časť 4.4).</w:t>
      </w:r>
    </w:p>
    <w:p w14:paraId="264E337C" w14:textId="77777777" w:rsidR="006E7654" w:rsidRPr="00157521" w:rsidRDefault="006E7654" w:rsidP="006E7654">
      <w:pPr>
        <w:jc w:val="both"/>
        <w:rPr>
          <w:b/>
          <w:szCs w:val="22"/>
          <w:lang w:val="sk-SK"/>
        </w:rPr>
      </w:pPr>
    </w:p>
    <w:p w14:paraId="264E337D" w14:textId="77777777" w:rsidR="006E7654" w:rsidRPr="00157521" w:rsidRDefault="006E7654" w:rsidP="006E7654">
      <w:pPr>
        <w:jc w:val="both"/>
        <w:rPr>
          <w:szCs w:val="22"/>
          <w:lang w:val="sk-SK"/>
        </w:rPr>
      </w:pPr>
      <w:proofErr w:type="spellStart"/>
      <w:r w:rsidRPr="00157521">
        <w:rPr>
          <w:i/>
          <w:szCs w:val="22"/>
          <w:lang w:val="sk-SK"/>
        </w:rPr>
        <w:t>Sympatomimetiká</w:t>
      </w:r>
      <w:proofErr w:type="spellEnd"/>
    </w:p>
    <w:p w14:paraId="264E337E" w14:textId="77777777" w:rsidR="006E7654" w:rsidRPr="00157521" w:rsidRDefault="006E7654" w:rsidP="006E7654">
      <w:pPr>
        <w:jc w:val="both"/>
        <w:rPr>
          <w:i/>
          <w:lang w:val="sk-SK"/>
        </w:rPr>
      </w:pPr>
      <w:proofErr w:type="spellStart"/>
      <w:r w:rsidRPr="00157521">
        <w:rPr>
          <w:szCs w:val="22"/>
          <w:lang w:val="sk-SK"/>
        </w:rPr>
        <w:t>Sympatomimetiká</w:t>
      </w:r>
      <w:proofErr w:type="spellEnd"/>
      <w:r w:rsidRPr="00157521">
        <w:rPr>
          <w:szCs w:val="22"/>
          <w:lang w:val="sk-SK"/>
        </w:rPr>
        <w:t xml:space="preserve"> môžu znižovať </w:t>
      </w:r>
      <w:proofErr w:type="spellStart"/>
      <w:r w:rsidRPr="00157521">
        <w:rPr>
          <w:szCs w:val="22"/>
          <w:lang w:val="sk-SK"/>
        </w:rPr>
        <w:t>antihypertenzívny</w:t>
      </w:r>
      <w:proofErr w:type="spellEnd"/>
      <w:r w:rsidRPr="00157521">
        <w:rPr>
          <w:szCs w:val="22"/>
          <w:lang w:val="sk-SK"/>
        </w:rPr>
        <w:t xml:space="preserve"> účinok</w:t>
      </w:r>
      <w:r w:rsidRPr="00157521">
        <w:rPr>
          <w:lang w:val="sk-SK"/>
        </w:rPr>
        <w:t xml:space="preserve"> ACE inhibítorov.</w:t>
      </w:r>
    </w:p>
    <w:p w14:paraId="264E337F" w14:textId="77777777" w:rsidR="006E7654" w:rsidRPr="00157521" w:rsidRDefault="006E7654" w:rsidP="006E7654">
      <w:pPr>
        <w:jc w:val="both"/>
        <w:rPr>
          <w:b/>
          <w:i/>
          <w:lang w:val="sk-SK"/>
        </w:rPr>
      </w:pPr>
    </w:p>
    <w:p w14:paraId="264E3380" w14:textId="77777777" w:rsidR="006E7654" w:rsidRPr="00157521" w:rsidRDefault="006E7654" w:rsidP="006E7654">
      <w:pPr>
        <w:jc w:val="both"/>
        <w:rPr>
          <w:szCs w:val="22"/>
          <w:lang w:val="sk-SK"/>
        </w:rPr>
      </w:pPr>
      <w:proofErr w:type="spellStart"/>
      <w:r w:rsidRPr="00157521">
        <w:rPr>
          <w:i/>
          <w:lang w:val="sk-SK"/>
        </w:rPr>
        <w:t>Antidiabetiká</w:t>
      </w:r>
      <w:proofErr w:type="spellEnd"/>
    </w:p>
    <w:p w14:paraId="264E3381" w14:textId="765B3E65" w:rsidR="006E7654" w:rsidRPr="00157521" w:rsidRDefault="006E7654" w:rsidP="003F7DD0">
      <w:pPr>
        <w:rPr>
          <w:lang w:val="sk-SK"/>
        </w:rPr>
      </w:pPr>
      <w:r w:rsidRPr="00157521">
        <w:rPr>
          <w:lang w:val="sk-SK"/>
        </w:rPr>
        <w:t xml:space="preserve">Epidemiologické štúdie </w:t>
      </w:r>
      <w:r w:rsidRPr="00157521">
        <w:rPr>
          <w:szCs w:val="22"/>
          <w:lang w:val="sk-SK"/>
        </w:rPr>
        <w:t>poukazujú na to</w:t>
      </w:r>
      <w:r w:rsidRPr="00157521">
        <w:rPr>
          <w:lang w:val="sk-SK"/>
        </w:rPr>
        <w:t xml:space="preserve">, že </w:t>
      </w:r>
      <w:r w:rsidR="00625AF4" w:rsidRPr="002D0C45">
        <w:rPr>
          <w:szCs w:val="22"/>
          <w:lang w:val="sk-SK"/>
        </w:rPr>
        <w:t>sú</w:t>
      </w:r>
      <w:r w:rsidR="00625AF4">
        <w:rPr>
          <w:szCs w:val="22"/>
          <w:lang w:val="sk-SK"/>
        </w:rPr>
        <w:t>bež</w:t>
      </w:r>
      <w:r w:rsidR="00625AF4" w:rsidRPr="00170A95">
        <w:rPr>
          <w:szCs w:val="22"/>
          <w:lang w:val="sk-SK"/>
        </w:rPr>
        <w:t>né</w:t>
      </w:r>
      <w:r w:rsidRPr="00157521">
        <w:rPr>
          <w:lang w:val="sk-SK"/>
        </w:rPr>
        <w:t xml:space="preserve"> podávanie ACE inhibítorov a</w:t>
      </w:r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lang w:val="sk-SK"/>
        </w:rPr>
        <w:t>antidiabetík</w:t>
      </w:r>
      <w:proofErr w:type="spellEnd"/>
      <w:r w:rsidRPr="00157521">
        <w:rPr>
          <w:lang w:val="sk-SK"/>
        </w:rPr>
        <w:t xml:space="preserve"> (</w:t>
      </w:r>
      <w:r w:rsidRPr="00157521">
        <w:rPr>
          <w:szCs w:val="22"/>
          <w:lang w:val="sk-SK"/>
        </w:rPr>
        <w:t xml:space="preserve">inzulínu, perorálnych </w:t>
      </w:r>
      <w:proofErr w:type="spellStart"/>
      <w:r w:rsidRPr="00157521">
        <w:rPr>
          <w:szCs w:val="22"/>
          <w:lang w:val="sk-SK"/>
        </w:rPr>
        <w:t>antidiabetík</w:t>
      </w:r>
      <w:proofErr w:type="spellEnd"/>
      <w:r w:rsidRPr="00157521">
        <w:rPr>
          <w:szCs w:val="22"/>
          <w:lang w:val="sk-SK"/>
        </w:rPr>
        <w:t xml:space="preserve">) môže viesť k prehĺbeniu </w:t>
      </w:r>
      <w:proofErr w:type="spellStart"/>
      <w:r w:rsidRPr="00157521">
        <w:rPr>
          <w:szCs w:val="22"/>
          <w:lang w:val="sk-SK"/>
        </w:rPr>
        <w:t>hypoglykemického</w:t>
      </w:r>
      <w:proofErr w:type="spellEnd"/>
      <w:r w:rsidRPr="00157521">
        <w:rPr>
          <w:lang w:val="sk-SK"/>
        </w:rPr>
        <w:t xml:space="preserve"> účinku s rizikom </w:t>
      </w:r>
      <w:r w:rsidRPr="00157521">
        <w:rPr>
          <w:szCs w:val="22"/>
          <w:lang w:val="sk-SK"/>
        </w:rPr>
        <w:t xml:space="preserve">vzniku </w:t>
      </w:r>
      <w:proofErr w:type="spellStart"/>
      <w:r w:rsidRPr="00157521">
        <w:rPr>
          <w:lang w:val="sk-SK"/>
        </w:rPr>
        <w:t>hypoglykémie</w:t>
      </w:r>
      <w:proofErr w:type="spellEnd"/>
      <w:r w:rsidRPr="00157521">
        <w:rPr>
          <w:lang w:val="sk-SK"/>
        </w:rPr>
        <w:t xml:space="preserve">. </w:t>
      </w:r>
      <w:r w:rsidRPr="00157521">
        <w:rPr>
          <w:szCs w:val="22"/>
          <w:lang w:val="sk-SK"/>
        </w:rPr>
        <w:t>Rozvoj tohto fenoménu sa zdá pravdepodobnejší</w:t>
      </w:r>
      <w:r w:rsidRPr="00157521">
        <w:rPr>
          <w:lang w:val="sk-SK"/>
        </w:rPr>
        <w:t xml:space="preserve"> počas prvých týždňov kombinovanej liečby a</w:t>
      </w:r>
      <w:r w:rsidRPr="00157521">
        <w:rPr>
          <w:szCs w:val="22"/>
          <w:lang w:val="sk-SK"/>
        </w:rPr>
        <w:t xml:space="preserve"> </w:t>
      </w:r>
      <w:r w:rsidRPr="00157521">
        <w:rPr>
          <w:lang w:val="sk-SK"/>
        </w:rPr>
        <w:t>u</w:t>
      </w:r>
      <w:r w:rsidRPr="00157521">
        <w:rPr>
          <w:szCs w:val="22"/>
          <w:lang w:val="sk-SK"/>
        </w:rPr>
        <w:t xml:space="preserve"> </w:t>
      </w:r>
      <w:r w:rsidRPr="00157521">
        <w:rPr>
          <w:lang w:val="sk-SK"/>
        </w:rPr>
        <w:t>pacientov s </w:t>
      </w:r>
      <w:proofErr w:type="spellStart"/>
      <w:r w:rsidRPr="00157521">
        <w:rPr>
          <w:lang w:val="sk-SK"/>
        </w:rPr>
        <w:t>renálnym</w:t>
      </w:r>
      <w:proofErr w:type="spellEnd"/>
      <w:r w:rsidRPr="00157521">
        <w:rPr>
          <w:lang w:val="sk-SK"/>
        </w:rPr>
        <w:t xml:space="preserve"> poškodením.</w:t>
      </w:r>
    </w:p>
    <w:p w14:paraId="264E3382" w14:textId="77777777" w:rsidR="00CF6CE4" w:rsidRPr="00732909" w:rsidRDefault="00CF6CE4" w:rsidP="006E7654">
      <w:pPr>
        <w:jc w:val="both"/>
        <w:rPr>
          <w:i/>
          <w:lang w:val="sk-SK"/>
        </w:rPr>
      </w:pPr>
    </w:p>
    <w:p w14:paraId="264E3383" w14:textId="77777777" w:rsidR="006E7654" w:rsidRPr="00157521" w:rsidRDefault="006E7654" w:rsidP="006E7654">
      <w:pPr>
        <w:jc w:val="both"/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 xml:space="preserve">Kyselina </w:t>
      </w:r>
      <w:proofErr w:type="spellStart"/>
      <w:r w:rsidRPr="00157521">
        <w:rPr>
          <w:i/>
          <w:szCs w:val="22"/>
          <w:lang w:val="sk-SK"/>
        </w:rPr>
        <w:t>acetylsalicylová</w:t>
      </w:r>
      <w:proofErr w:type="spellEnd"/>
      <w:r w:rsidRPr="00157521">
        <w:rPr>
          <w:i/>
          <w:szCs w:val="22"/>
          <w:lang w:val="sk-SK"/>
        </w:rPr>
        <w:t xml:space="preserve">, </w:t>
      </w:r>
      <w:proofErr w:type="spellStart"/>
      <w:r w:rsidRPr="00157521">
        <w:rPr>
          <w:i/>
          <w:szCs w:val="22"/>
          <w:lang w:val="sk-SK"/>
        </w:rPr>
        <w:t>trombolytiká</w:t>
      </w:r>
      <w:proofErr w:type="spellEnd"/>
      <w:r w:rsidRPr="00157521">
        <w:rPr>
          <w:i/>
          <w:szCs w:val="22"/>
          <w:lang w:val="sk-SK"/>
        </w:rPr>
        <w:t xml:space="preserve">, </w:t>
      </w:r>
      <w:proofErr w:type="spellStart"/>
      <w:r w:rsidRPr="00157521">
        <w:rPr>
          <w:i/>
          <w:szCs w:val="22"/>
          <w:lang w:val="sk-SK"/>
        </w:rPr>
        <w:t>betablokátory</w:t>
      </w:r>
      <w:proofErr w:type="spellEnd"/>
      <w:r w:rsidRPr="00157521">
        <w:rPr>
          <w:i/>
          <w:szCs w:val="22"/>
          <w:lang w:val="sk-SK"/>
        </w:rPr>
        <w:t>, nitráty</w:t>
      </w:r>
    </w:p>
    <w:p w14:paraId="264E3384" w14:textId="57EDE4C0" w:rsidR="006E7654" w:rsidRPr="00157521" w:rsidRDefault="006E7654" w:rsidP="003F7DD0">
      <w:pPr>
        <w:rPr>
          <w:lang w:val="sk-SK"/>
        </w:rPr>
      </w:pPr>
      <w:proofErr w:type="spellStart"/>
      <w:r w:rsidRPr="00157521">
        <w:rPr>
          <w:szCs w:val="22"/>
          <w:lang w:val="sk-SK"/>
        </w:rPr>
        <w:t>Lizinopril</w:t>
      </w:r>
      <w:proofErr w:type="spellEnd"/>
      <w:r w:rsidRPr="00157521">
        <w:rPr>
          <w:i/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 xml:space="preserve">sa </w:t>
      </w:r>
      <w:r w:rsidRPr="00157521">
        <w:rPr>
          <w:lang w:val="sk-SK"/>
        </w:rPr>
        <w:t xml:space="preserve">môže </w:t>
      </w:r>
      <w:r w:rsidRPr="00157521">
        <w:rPr>
          <w:szCs w:val="22"/>
          <w:lang w:val="sk-SK"/>
        </w:rPr>
        <w:t xml:space="preserve">užívať </w:t>
      </w:r>
      <w:r w:rsidR="00625AF4" w:rsidRPr="002D0C45">
        <w:rPr>
          <w:szCs w:val="22"/>
          <w:lang w:val="sk-SK"/>
        </w:rPr>
        <w:t>sú</w:t>
      </w:r>
      <w:r w:rsidR="00625AF4">
        <w:rPr>
          <w:szCs w:val="22"/>
          <w:lang w:val="sk-SK"/>
        </w:rPr>
        <w:t>bež</w:t>
      </w:r>
      <w:r w:rsidR="00625AF4" w:rsidRPr="00170A95">
        <w:rPr>
          <w:szCs w:val="22"/>
          <w:lang w:val="sk-SK"/>
        </w:rPr>
        <w:t>n</w:t>
      </w:r>
      <w:r w:rsidR="002D0C45">
        <w:rPr>
          <w:szCs w:val="22"/>
          <w:lang w:val="sk-SK"/>
        </w:rPr>
        <w:t>e</w:t>
      </w:r>
      <w:r w:rsidRPr="00157521">
        <w:rPr>
          <w:szCs w:val="22"/>
          <w:lang w:val="sk-SK"/>
        </w:rPr>
        <w:t xml:space="preserve"> s kyselinou </w:t>
      </w:r>
      <w:proofErr w:type="spellStart"/>
      <w:r w:rsidRPr="00157521">
        <w:rPr>
          <w:szCs w:val="22"/>
          <w:lang w:val="sk-SK"/>
        </w:rPr>
        <w:t>acetylsalicylovou</w:t>
      </w:r>
      <w:proofErr w:type="spellEnd"/>
      <w:r w:rsidRPr="00157521">
        <w:rPr>
          <w:szCs w:val="22"/>
          <w:lang w:val="sk-SK"/>
        </w:rPr>
        <w:t xml:space="preserve"> (v dávkach používaných v kardiológii), </w:t>
      </w:r>
      <w:proofErr w:type="spellStart"/>
      <w:r w:rsidRPr="00157521">
        <w:rPr>
          <w:szCs w:val="22"/>
          <w:lang w:val="sk-SK"/>
        </w:rPr>
        <w:t>trombolytikami</w:t>
      </w:r>
      <w:proofErr w:type="spellEnd"/>
      <w:r w:rsidRPr="00157521">
        <w:rPr>
          <w:szCs w:val="22"/>
          <w:lang w:val="sk-SK"/>
        </w:rPr>
        <w:t xml:space="preserve">, </w:t>
      </w:r>
      <w:proofErr w:type="spellStart"/>
      <w:r w:rsidRPr="00157521">
        <w:rPr>
          <w:szCs w:val="22"/>
          <w:lang w:val="sk-SK"/>
        </w:rPr>
        <w:t>betablokátormi</w:t>
      </w:r>
      <w:proofErr w:type="spellEnd"/>
      <w:r w:rsidRPr="00157521">
        <w:rPr>
          <w:szCs w:val="22"/>
          <w:lang w:val="sk-SK"/>
        </w:rPr>
        <w:t xml:space="preserve"> a/alebo nitrátmi</w:t>
      </w:r>
      <w:r w:rsidRPr="00157521">
        <w:rPr>
          <w:lang w:val="sk-SK"/>
        </w:rPr>
        <w:t>.</w:t>
      </w:r>
    </w:p>
    <w:p w14:paraId="264E3385" w14:textId="77777777" w:rsidR="00681759" w:rsidRPr="00157521" w:rsidRDefault="00681759" w:rsidP="009512D0">
      <w:pPr>
        <w:tabs>
          <w:tab w:val="left" w:pos="540"/>
        </w:tabs>
        <w:spacing w:line="240" w:lineRule="auto"/>
        <w:ind w:left="540" w:hanging="540"/>
        <w:rPr>
          <w:lang w:val="sk-SK"/>
        </w:rPr>
      </w:pPr>
    </w:p>
    <w:p w14:paraId="264E3386" w14:textId="77777777" w:rsidR="00B936DA" w:rsidRPr="00732909" w:rsidRDefault="00B936DA" w:rsidP="00B936DA">
      <w:pPr>
        <w:outlineLvl w:val="0"/>
        <w:rPr>
          <w:u w:val="single"/>
          <w:lang w:val="sk-SK"/>
        </w:rPr>
      </w:pPr>
      <w:r w:rsidRPr="00732909">
        <w:rPr>
          <w:u w:val="single"/>
          <w:lang w:val="sk-SK"/>
        </w:rPr>
        <w:t>Interakcie spojené s</w:t>
      </w:r>
      <w:r w:rsidR="00D26846" w:rsidRPr="00732909">
        <w:rPr>
          <w:u w:val="single"/>
          <w:lang w:val="sk-SK"/>
        </w:rPr>
        <w:t> </w:t>
      </w:r>
      <w:proofErr w:type="spellStart"/>
      <w:r w:rsidRPr="00732909">
        <w:rPr>
          <w:u w:val="single"/>
          <w:lang w:val="sk-SK"/>
        </w:rPr>
        <w:t>amlodipínom</w:t>
      </w:r>
      <w:proofErr w:type="spellEnd"/>
    </w:p>
    <w:p w14:paraId="264E3387" w14:textId="77777777" w:rsidR="00D26846" w:rsidRPr="00157521" w:rsidRDefault="00D26846" w:rsidP="00B936DA">
      <w:pPr>
        <w:outlineLvl w:val="0"/>
        <w:rPr>
          <w:i/>
          <w:szCs w:val="22"/>
          <w:u w:val="single"/>
          <w:lang w:val="sk-SK"/>
        </w:rPr>
      </w:pPr>
    </w:p>
    <w:p w14:paraId="264E3388" w14:textId="77777777" w:rsidR="00D26846" w:rsidRPr="00732909" w:rsidRDefault="00D26846" w:rsidP="00D26846">
      <w:pPr>
        <w:ind w:left="567" w:hanging="567"/>
        <w:rPr>
          <w:i/>
          <w:u w:val="single"/>
          <w:lang w:val="sk-SK"/>
        </w:rPr>
      </w:pPr>
      <w:r w:rsidRPr="00732909">
        <w:rPr>
          <w:i/>
          <w:u w:val="single"/>
          <w:lang w:val="sk-SK"/>
        </w:rPr>
        <w:t xml:space="preserve">Účinky iných liekov na </w:t>
      </w:r>
      <w:proofErr w:type="spellStart"/>
      <w:r w:rsidRPr="00732909">
        <w:rPr>
          <w:i/>
          <w:u w:val="single"/>
          <w:lang w:val="sk-SK"/>
        </w:rPr>
        <w:t>amlodipín</w:t>
      </w:r>
      <w:proofErr w:type="spellEnd"/>
    </w:p>
    <w:p w14:paraId="264E3389" w14:textId="77777777" w:rsidR="00D26846" w:rsidRPr="00157521" w:rsidRDefault="00D26846" w:rsidP="00B936DA">
      <w:pPr>
        <w:outlineLvl w:val="0"/>
        <w:rPr>
          <w:i/>
          <w:szCs w:val="22"/>
          <w:u w:val="single"/>
          <w:lang w:val="sk-SK"/>
        </w:rPr>
      </w:pPr>
    </w:p>
    <w:p w14:paraId="264E338A" w14:textId="77777777" w:rsidR="00D26846" w:rsidRPr="00157521" w:rsidRDefault="00B936DA" w:rsidP="00B936DA">
      <w:pPr>
        <w:pStyle w:val="Normlnywebov"/>
        <w:spacing w:before="0" w:beforeAutospacing="0" w:after="0" w:afterAutospacing="0"/>
        <w:rPr>
          <w:i/>
          <w:sz w:val="22"/>
          <w:szCs w:val="22"/>
          <w:lang w:val="sk-SK"/>
        </w:rPr>
      </w:pPr>
      <w:r w:rsidRPr="00157521">
        <w:rPr>
          <w:i/>
          <w:sz w:val="22"/>
          <w:lang w:val="sk-SK"/>
        </w:rPr>
        <w:lastRenderedPageBreak/>
        <w:t>CYP3A4 inhibítory</w:t>
      </w:r>
    </w:p>
    <w:p w14:paraId="264E338B" w14:textId="77777777" w:rsidR="00D26846" w:rsidRPr="00157521" w:rsidRDefault="003E3EA2" w:rsidP="00D26846">
      <w:pPr>
        <w:rPr>
          <w:szCs w:val="22"/>
          <w:lang w:val="sk-SK"/>
        </w:rPr>
      </w:pPr>
      <w:r w:rsidRPr="00157521">
        <w:rPr>
          <w:szCs w:val="22"/>
          <w:lang w:val="sk-SK"/>
        </w:rPr>
        <w:t>Sú</w:t>
      </w:r>
      <w:r>
        <w:rPr>
          <w:szCs w:val="22"/>
          <w:lang w:val="sk-SK"/>
        </w:rPr>
        <w:t>bežné</w:t>
      </w:r>
      <w:r w:rsidRPr="0015752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</w:t>
      </w:r>
      <w:r w:rsidR="00D26846" w:rsidRPr="00157521">
        <w:rPr>
          <w:szCs w:val="22"/>
          <w:lang w:val="sk-SK"/>
        </w:rPr>
        <w:t xml:space="preserve">užívanie </w:t>
      </w:r>
      <w:proofErr w:type="spellStart"/>
      <w:r w:rsidR="00D26846" w:rsidRPr="00157521">
        <w:rPr>
          <w:szCs w:val="22"/>
          <w:lang w:val="sk-SK"/>
        </w:rPr>
        <w:t>amlodipínu</w:t>
      </w:r>
      <w:proofErr w:type="spellEnd"/>
      <w:r w:rsidR="00D26846" w:rsidRPr="00157521">
        <w:rPr>
          <w:szCs w:val="22"/>
          <w:lang w:val="sk-SK"/>
        </w:rPr>
        <w:t xml:space="preserve"> so silnými alebo stredne silnými inhibítormi CYP3A4 (inhibítormi </w:t>
      </w:r>
      <w:proofErr w:type="spellStart"/>
      <w:r w:rsidR="00D26846" w:rsidRPr="00157521">
        <w:rPr>
          <w:szCs w:val="22"/>
          <w:lang w:val="sk-SK"/>
        </w:rPr>
        <w:t>proteáz</w:t>
      </w:r>
      <w:proofErr w:type="spellEnd"/>
      <w:r w:rsidR="00D26846" w:rsidRPr="00157521">
        <w:rPr>
          <w:szCs w:val="22"/>
          <w:lang w:val="sk-SK"/>
        </w:rPr>
        <w:t xml:space="preserve">, </w:t>
      </w:r>
      <w:proofErr w:type="spellStart"/>
      <w:r w:rsidR="00D26846" w:rsidRPr="00157521">
        <w:rPr>
          <w:szCs w:val="22"/>
          <w:lang w:val="sk-SK"/>
        </w:rPr>
        <w:t>azolovými</w:t>
      </w:r>
      <w:proofErr w:type="spellEnd"/>
      <w:r w:rsidR="00D26846" w:rsidRPr="00157521">
        <w:rPr>
          <w:szCs w:val="22"/>
          <w:lang w:val="sk-SK"/>
        </w:rPr>
        <w:t xml:space="preserve"> antimykotikami, </w:t>
      </w:r>
      <w:proofErr w:type="spellStart"/>
      <w:r w:rsidR="00D26846" w:rsidRPr="00157521">
        <w:rPr>
          <w:szCs w:val="22"/>
          <w:lang w:val="sk-SK"/>
        </w:rPr>
        <w:t>makrolidmi</w:t>
      </w:r>
      <w:proofErr w:type="spellEnd"/>
      <w:r w:rsidR="00D26846" w:rsidRPr="00157521">
        <w:rPr>
          <w:szCs w:val="22"/>
          <w:lang w:val="sk-SK"/>
        </w:rPr>
        <w:t xml:space="preserve">, ako sú </w:t>
      </w:r>
      <w:proofErr w:type="spellStart"/>
      <w:r w:rsidR="00D26846" w:rsidRPr="00157521">
        <w:rPr>
          <w:szCs w:val="22"/>
          <w:lang w:val="sk-SK"/>
        </w:rPr>
        <w:t>erytromycín</w:t>
      </w:r>
      <w:proofErr w:type="spellEnd"/>
      <w:r w:rsidR="00D26846" w:rsidRPr="00157521">
        <w:rPr>
          <w:szCs w:val="22"/>
          <w:lang w:val="sk-SK"/>
        </w:rPr>
        <w:t xml:space="preserve"> alebo </w:t>
      </w:r>
      <w:proofErr w:type="spellStart"/>
      <w:r w:rsidR="00D26846" w:rsidRPr="00157521">
        <w:rPr>
          <w:szCs w:val="22"/>
          <w:lang w:val="sk-SK"/>
        </w:rPr>
        <w:t>klaritromycín</w:t>
      </w:r>
      <w:proofErr w:type="spellEnd"/>
      <w:r w:rsidR="00D26846" w:rsidRPr="00157521">
        <w:rPr>
          <w:szCs w:val="22"/>
          <w:lang w:val="sk-SK"/>
        </w:rPr>
        <w:t xml:space="preserve">, </w:t>
      </w:r>
      <w:proofErr w:type="spellStart"/>
      <w:r w:rsidR="00D26846" w:rsidRPr="00157521">
        <w:rPr>
          <w:szCs w:val="22"/>
          <w:lang w:val="sk-SK"/>
        </w:rPr>
        <w:t>verapamil</w:t>
      </w:r>
      <w:proofErr w:type="spellEnd"/>
      <w:r w:rsidR="00D26846" w:rsidRPr="00157521">
        <w:rPr>
          <w:szCs w:val="22"/>
          <w:lang w:val="sk-SK"/>
        </w:rPr>
        <w:t xml:space="preserve"> alebo </w:t>
      </w:r>
      <w:proofErr w:type="spellStart"/>
      <w:r w:rsidR="00D26846" w:rsidRPr="00157521">
        <w:rPr>
          <w:szCs w:val="22"/>
          <w:lang w:val="sk-SK"/>
        </w:rPr>
        <w:t>diltiazem</w:t>
      </w:r>
      <w:proofErr w:type="spellEnd"/>
      <w:r w:rsidR="00D26846" w:rsidRPr="00157521">
        <w:rPr>
          <w:szCs w:val="22"/>
          <w:lang w:val="sk-SK"/>
        </w:rPr>
        <w:t xml:space="preserve">) môže zapríčiniť signifikantné zvýšenie expozície </w:t>
      </w:r>
      <w:proofErr w:type="spellStart"/>
      <w:r w:rsidR="00D26846" w:rsidRPr="00157521">
        <w:rPr>
          <w:szCs w:val="22"/>
          <w:lang w:val="sk-SK"/>
        </w:rPr>
        <w:t>amlodipínu</w:t>
      </w:r>
      <w:proofErr w:type="spellEnd"/>
      <w:r w:rsidR="008E1CB2">
        <w:rPr>
          <w:szCs w:val="22"/>
          <w:lang w:val="sk-SK"/>
        </w:rPr>
        <w:t>, čo má za následok zvýšené riziko hypotenzie</w:t>
      </w:r>
      <w:r w:rsidR="00D26846" w:rsidRPr="00157521">
        <w:rPr>
          <w:szCs w:val="22"/>
          <w:lang w:val="sk-SK"/>
        </w:rPr>
        <w:t xml:space="preserve">. Klinický význam týchto zmien vo </w:t>
      </w:r>
      <w:proofErr w:type="spellStart"/>
      <w:r w:rsidR="00D26846" w:rsidRPr="00157521">
        <w:rPr>
          <w:szCs w:val="22"/>
          <w:lang w:val="sk-SK"/>
        </w:rPr>
        <w:t>farmakokinetike</w:t>
      </w:r>
      <w:proofErr w:type="spellEnd"/>
      <w:r w:rsidR="00D26846" w:rsidRPr="00157521">
        <w:rPr>
          <w:szCs w:val="22"/>
          <w:lang w:val="sk-SK"/>
        </w:rPr>
        <w:t xml:space="preserve"> (PK) sa môže prejaviť</w:t>
      </w:r>
      <w:r w:rsidR="00D26846" w:rsidRPr="00157521">
        <w:rPr>
          <w:lang w:val="sk-SK"/>
        </w:rPr>
        <w:t xml:space="preserve"> u starších </w:t>
      </w:r>
      <w:r w:rsidR="001F73FD">
        <w:rPr>
          <w:lang w:val="sk-SK"/>
        </w:rPr>
        <w:t>ľudí</w:t>
      </w:r>
      <w:r w:rsidR="00D26846" w:rsidRPr="00157521">
        <w:rPr>
          <w:szCs w:val="22"/>
          <w:lang w:val="sk-SK"/>
        </w:rPr>
        <w:t xml:space="preserve">. </w:t>
      </w:r>
      <w:r w:rsidR="00760E3C">
        <w:rPr>
          <w:szCs w:val="22"/>
          <w:lang w:val="sk-SK"/>
        </w:rPr>
        <w:t>Odporúča sa</w:t>
      </w:r>
      <w:r w:rsidR="00340544">
        <w:rPr>
          <w:szCs w:val="22"/>
          <w:lang w:val="sk-SK"/>
        </w:rPr>
        <w:t xml:space="preserve"> </w:t>
      </w:r>
      <w:r w:rsidR="00D26846" w:rsidRPr="00157521">
        <w:rPr>
          <w:szCs w:val="22"/>
          <w:lang w:val="sk-SK"/>
        </w:rPr>
        <w:t>klinické monitorovanie a </w:t>
      </w:r>
      <w:r w:rsidR="00760E3C" w:rsidRPr="00157521">
        <w:rPr>
          <w:szCs w:val="22"/>
          <w:lang w:val="sk-SK"/>
        </w:rPr>
        <w:t xml:space="preserve">môže </w:t>
      </w:r>
      <w:r w:rsidR="00760E3C">
        <w:rPr>
          <w:szCs w:val="22"/>
          <w:lang w:val="sk-SK"/>
        </w:rPr>
        <w:t xml:space="preserve">sa preto </w:t>
      </w:r>
      <w:r w:rsidR="00760E3C" w:rsidRPr="00157521">
        <w:rPr>
          <w:szCs w:val="22"/>
          <w:lang w:val="sk-SK"/>
        </w:rPr>
        <w:t xml:space="preserve">vyžadovať </w:t>
      </w:r>
      <w:r w:rsidR="00D26846" w:rsidRPr="00157521">
        <w:rPr>
          <w:szCs w:val="22"/>
          <w:lang w:val="sk-SK"/>
        </w:rPr>
        <w:t xml:space="preserve">úprava dávky. </w:t>
      </w:r>
    </w:p>
    <w:p w14:paraId="264E338C" w14:textId="77777777" w:rsidR="0032067B" w:rsidRDefault="0032067B" w:rsidP="006D6E13">
      <w:pPr>
        <w:rPr>
          <w:bCs/>
          <w:lang w:val="sk-SK"/>
        </w:rPr>
      </w:pPr>
    </w:p>
    <w:p w14:paraId="264E338D" w14:textId="77777777" w:rsidR="006D6E13" w:rsidRPr="000B69CF" w:rsidRDefault="006D6E13" w:rsidP="006D6E13">
      <w:pPr>
        <w:rPr>
          <w:szCs w:val="22"/>
          <w:lang w:val="sk-SK"/>
        </w:rPr>
      </w:pPr>
      <w:proofErr w:type="spellStart"/>
      <w:r w:rsidRPr="0032067B">
        <w:rPr>
          <w:bCs/>
          <w:lang w:val="sk-SK"/>
        </w:rPr>
        <w:t>Klaritromycín</w:t>
      </w:r>
      <w:proofErr w:type="spellEnd"/>
      <w:r w:rsidRPr="0032067B">
        <w:rPr>
          <w:bCs/>
          <w:lang w:val="sk-SK"/>
        </w:rPr>
        <w:t xml:space="preserve"> je inhibítor CYP3A4. U pacientov užívajúcich </w:t>
      </w:r>
      <w:proofErr w:type="spellStart"/>
      <w:r w:rsidRPr="0032067B">
        <w:rPr>
          <w:bCs/>
          <w:lang w:val="sk-SK"/>
        </w:rPr>
        <w:t>klaritromycín</w:t>
      </w:r>
      <w:proofErr w:type="spellEnd"/>
      <w:r w:rsidRPr="0032067B">
        <w:rPr>
          <w:bCs/>
          <w:lang w:val="sk-SK"/>
        </w:rPr>
        <w:t xml:space="preserve"> spolu s </w:t>
      </w:r>
      <w:proofErr w:type="spellStart"/>
      <w:r w:rsidRPr="0032067B">
        <w:rPr>
          <w:bCs/>
          <w:lang w:val="sk-SK"/>
        </w:rPr>
        <w:t>amlodipínom</w:t>
      </w:r>
      <w:proofErr w:type="spellEnd"/>
      <w:r w:rsidRPr="0032067B">
        <w:rPr>
          <w:bCs/>
          <w:lang w:val="sk-SK"/>
        </w:rPr>
        <w:t xml:space="preserve"> je zvýšené riziko vzniku hypotenzie. Pri súbežnom podávaní </w:t>
      </w:r>
      <w:proofErr w:type="spellStart"/>
      <w:r w:rsidRPr="0032067B">
        <w:rPr>
          <w:bCs/>
          <w:lang w:val="sk-SK"/>
        </w:rPr>
        <w:t>amlodipínu</w:t>
      </w:r>
      <w:proofErr w:type="spellEnd"/>
      <w:r w:rsidRPr="0032067B">
        <w:rPr>
          <w:bCs/>
          <w:lang w:val="sk-SK"/>
        </w:rPr>
        <w:t xml:space="preserve"> spolu s </w:t>
      </w:r>
      <w:proofErr w:type="spellStart"/>
      <w:r w:rsidRPr="0032067B">
        <w:rPr>
          <w:bCs/>
          <w:lang w:val="sk-SK"/>
        </w:rPr>
        <w:t>klaritromycínom</w:t>
      </w:r>
      <w:proofErr w:type="spellEnd"/>
      <w:r w:rsidRPr="0032067B">
        <w:rPr>
          <w:bCs/>
          <w:lang w:val="sk-SK"/>
        </w:rPr>
        <w:t xml:space="preserve"> sa odporúča dôkladné pozorovanie pacientov.</w:t>
      </w:r>
    </w:p>
    <w:p w14:paraId="264E338E" w14:textId="77777777" w:rsidR="001F73FD" w:rsidRPr="000B69CF" w:rsidRDefault="001F73FD" w:rsidP="009512D0">
      <w:pPr>
        <w:pStyle w:val="Normlnywebov"/>
        <w:spacing w:before="0" w:beforeAutospacing="0" w:after="0" w:afterAutospacing="0"/>
        <w:rPr>
          <w:i/>
          <w:iCs/>
          <w:sz w:val="22"/>
          <w:szCs w:val="22"/>
          <w:lang w:val="sk-SK"/>
        </w:rPr>
      </w:pPr>
    </w:p>
    <w:p w14:paraId="264E338F" w14:textId="77777777" w:rsidR="00D26846" w:rsidRPr="00157521" w:rsidRDefault="00B936DA" w:rsidP="009512D0">
      <w:pPr>
        <w:pStyle w:val="Normlnywebov"/>
        <w:spacing w:before="0" w:beforeAutospacing="0" w:after="0" w:afterAutospacing="0"/>
        <w:rPr>
          <w:i/>
          <w:sz w:val="22"/>
          <w:szCs w:val="22"/>
          <w:lang w:val="sk-SK"/>
        </w:rPr>
      </w:pPr>
      <w:r w:rsidRPr="00157521">
        <w:rPr>
          <w:i/>
          <w:sz w:val="22"/>
          <w:szCs w:val="22"/>
          <w:lang w:val="sk-SK"/>
        </w:rPr>
        <w:t>CYP3A4 induktor</w:t>
      </w:r>
      <w:r w:rsidR="00C15206" w:rsidRPr="00157521">
        <w:rPr>
          <w:i/>
          <w:sz w:val="22"/>
          <w:szCs w:val="22"/>
          <w:lang w:val="sk-SK"/>
        </w:rPr>
        <w:t>y</w:t>
      </w:r>
    </w:p>
    <w:p w14:paraId="264E3390" w14:textId="77777777" w:rsidR="0036698F" w:rsidRPr="00915D85" w:rsidRDefault="00FF5DC0" w:rsidP="00732909">
      <w:pPr>
        <w:pStyle w:val="Normlnywebov"/>
        <w:spacing w:before="0" w:beforeAutospacing="0" w:after="0" w:afterAutospacing="0"/>
        <w:rPr>
          <w:lang w:val="sk-SK"/>
        </w:rPr>
      </w:pPr>
      <w:r w:rsidRPr="00FF5DC0">
        <w:rPr>
          <w:sz w:val="22"/>
          <w:lang w:val="sk-SK"/>
        </w:rPr>
        <w:t>Pri súbežnom podávaní známych</w:t>
      </w:r>
      <w:r w:rsidRPr="00732909">
        <w:rPr>
          <w:sz w:val="22"/>
          <w:lang w:val="sk-SK"/>
        </w:rPr>
        <w:t xml:space="preserve"> induktorov CYP3A4 </w:t>
      </w:r>
      <w:r w:rsidRPr="00FF5DC0">
        <w:rPr>
          <w:sz w:val="22"/>
          <w:lang w:val="sk-SK"/>
        </w:rPr>
        <w:t>sa môže meniť plazmatická koncentrácia</w:t>
      </w:r>
      <w:r w:rsidR="000F51B1">
        <w:rPr>
          <w:sz w:val="22"/>
          <w:lang w:val="sk-SK"/>
        </w:rPr>
        <w:t xml:space="preserve"> </w:t>
      </w:r>
      <w:proofErr w:type="spellStart"/>
      <w:r w:rsidRPr="00732909">
        <w:rPr>
          <w:sz w:val="22"/>
          <w:lang w:val="sk-SK"/>
        </w:rPr>
        <w:t>amlodipínu</w:t>
      </w:r>
      <w:proofErr w:type="spellEnd"/>
      <w:r w:rsidRPr="00732909">
        <w:rPr>
          <w:sz w:val="22"/>
          <w:lang w:val="sk-SK"/>
        </w:rPr>
        <w:t xml:space="preserve">. </w:t>
      </w:r>
      <w:r w:rsidRPr="00FF5DC0">
        <w:rPr>
          <w:sz w:val="22"/>
          <w:lang w:val="sk-SK"/>
        </w:rPr>
        <w:t xml:space="preserve">Preto sa má v prípade súbežného podávania najmä so silnými </w:t>
      </w:r>
      <w:r w:rsidRPr="00732909">
        <w:rPr>
          <w:sz w:val="22"/>
          <w:lang w:val="sk-SK"/>
        </w:rPr>
        <w:t>induktormi CYP3A4</w:t>
      </w:r>
      <w:r w:rsidR="000F51B1">
        <w:rPr>
          <w:lang w:val="sk-SK"/>
        </w:rPr>
        <w:t xml:space="preserve"> </w:t>
      </w:r>
      <w:r w:rsidRPr="00732909">
        <w:rPr>
          <w:sz w:val="22"/>
          <w:lang w:val="sk-SK"/>
        </w:rPr>
        <w:t xml:space="preserve">(napr. </w:t>
      </w:r>
      <w:proofErr w:type="spellStart"/>
      <w:r w:rsidRPr="00732909">
        <w:rPr>
          <w:sz w:val="22"/>
          <w:lang w:val="sk-SK"/>
        </w:rPr>
        <w:t>rifampicínom</w:t>
      </w:r>
      <w:proofErr w:type="spellEnd"/>
      <w:r w:rsidRPr="00732909">
        <w:rPr>
          <w:sz w:val="22"/>
          <w:lang w:val="sk-SK"/>
        </w:rPr>
        <w:t xml:space="preserve">, </w:t>
      </w:r>
      <w:proofErr w:type="spellStart"/>
      <w:r w:rsidR="007A1449">
        <w:rPr>
          <w:i/>
          <w:sz w:val="22"/>
          <w:lang w:val="sk-SK"/>
        </w:rPr>
        <w:t>H</w:t>
      </w:r>
      <w:r w:rsidRPr="001B52C4">
        <w:rPr>
          <w:i/>
          <w:sz w:val="22"/>
          <w:lang w:val="sk-SK"/>
        </w:rPr>
        <w:t>ypericum</w:t>
      </w:r>
      <w:proofErr w:type="spellEnd"/>
      <w:r w:rsidRPr="00732909">
        <w:rPr>
          <w:i/>
          <w:sz w:val="22"/>
          <w:lang w:val="sk-SK"/>
        </w:rPr>
        <w:t xml:space="preserve"> </w:t>
      </w:r>
      <w:proofErr w:type="spellStart"/>
      <w:r w:rsidRPr="00732909">
        <w:rPr>
          <w:i/>
          <w:sz w:val="22"/>
          <w:lang w:val="sk-SK"/>
        </w:rPr>
        <w:t>perforatum</w:t>
      </w:r>
      <w:proofErr w:type="spellEnd"/>
      <w:r w:rsidRPr="00FF5DC0">
        <w:rPr>
          <w:sz w:val="22"/>
          <w:lang w:val="sk-SK"/>
        </w:rPr>
        <w:t xml:space="preserve"> – </w:t>
      </w:r>
      <w:r w:rsidR="007A1449">
        <w:rPr>
          <w:sz w:val="22"/>
          <w:lang w:val="sk-SK"/>
        </w:rPr>
        <w:t>ľ</w:t>
      </w:r>
      <w:r w:rsidRPr="00FF5DC0">
        <w:rPr>
          <w:sz w:val="22"/>
          <w:lang w:val="sk-SK"/>
        </w:rPr>
        <w:t>ubovníkom bodkovaným) monitorovať krvný</w:t>
      </w:r>
      <w:r w:rsidR="000F51B1">
        <w:rPr>
          <w:sz w:val="22"/>
          <w:lang w:val="sk-SK"/>
        </w:rPr>
        <w:t xml:space="preserve"> </w:t>
      </w:r>
      <w:r w:rsidRPr="00FF5DC0">
        <w:rPr>
          <w:sz w:val="22"/>
          <w:lang w:val="sk-SK"/>
        </w:rPr>
        <w:t>tlak a zvážiť regulácia dávkovania počas takejto súbežnej liečby aj po nej</w:t>
      </w:r>
      <w:r w:rsidRPr="00732909">
        <w:rPr>
          <w:sz w:val="22"/>
          <w:lang w:val="sk-SK"/>
        </w:rPr>
        <w:t>.</w:t>
      </w:r>
    </w:p>
    <w:p w14:paraId="264E3391" w14:textId="77777777" w:rsidR="00FF5DC0" w:rsidRPr="00732909" w:rsidRDefault="00FF5DC0" w:rsidP="00FF5DC0">
      <w:pPr>
        <w:pStyle w:val="Normlnywebov"/>
        <w:spacing w:before="0" w:beforeAutospacing="0" w:after="0" w:afterAutospacing="0"/>
        <w:rPr>
          <w:sz w:val="22"/>
          <w:lang w:val="sk-SK"/>
        </w:rPr>
      </w:pPr>
    </w:p>
    <w:p w14:paraId="264E3392" w14:textId="77777777" w:rsidR="0036698F" w:rsidRPr="00157521" w:rsidRDefault="0036698F" w:rsidP="00FF5DC0">
      <w:pPr>
        <w:pStyle w:val="Normlnywebov"/>
        <w:spacing w:before="0" w:beforeAutospacing="0" w:after="0" w:afterAutospacing="0"/>
        <w:rPr>
          <w:i/>
          <w:sz w:val="22"/>
          <w:szCs w:val="22"/>
          <w:lang w:val="sk-SK"/>
        </w:rPr>
      </w:pPr>
      <w:r w:rsidRPr="00157521">
        <w:rPr>
          <w:sz w:val="22"/>
          <w:szCs w:val="22"/>
          <w:lang w:val="sk-SK"/>
        </w:rPr>
        <w:t xml:space="preserve">Podávanie </w:t>
      </w:r>
      <w:proofErr w:type="spellStart"/>
      <w:r w:rsidRPr="00157521">
        <w:rPr>
          <w:sz w:val="22"/>
          <w:szCs w:val="22"/>
          <w:lang w:val="sk-SK"/>
        </w:rPr>
        <w:t>amlodipínu</w:t>
      </w:r>
      <w:proofErr w:type="spellEnd"/>
      <w:r w:rsidRPr="00157521">
        <w:rPr>
          <w:sz w:val="22"/>
          <w:szCs w:val="22"/>
          <w:lang w:val="sk-SK"/>
        </w:rPr>
        <w:t xml:space="preserve"> s grapefruitom alebo grapefruitovou šťavou sa neodporúča, pretože u niektorých pacientov môže dôjsť k zvýšeniu biologickej dostupnosti </w:t>
      </w:r>
      <w:proofErr w:type="spellStart"/>
      <w:r w:rsidRPr="00157521">
        <w:rPr>
          <w:sz w:val="22"/>
          <w:szCs w:val="22"/>
          <w:lang w:val="sk-SK"/>
        </w:rPr>
        <w:t>amlodipínu</w:t>
      </w:r>
      <w:proofErr w:type="spellEnd"/>
      <w:r w:rsidRPr="00157521">
        <w:rPr>
          <w:sz w:val="22"/>
          <w:szCs w:val="22"/>
          <w:lang w:val="sk-SK"/>
        </w:rPr>
        <w:t xml:space="preserve"> s následným zosilnením jeho účinkov na zníženie tlaku krvi</w:t>
      </w:r>
      <w:r w:rsidR="007B30A9" w:rsidRPr="00157521">
        <w:rPr>
          <w:sz w:val="22"/>
          <w:szCs w:val="22"/>
          <w:lang w:val="sk-SK"/>
        </w:rPr>
        <w:t>.</w:t>
      </w:r>
    </w:p>
    <w:p w14:paraId="264E3393" w14:textId="77777777" w:rsidR="0036698F" w:rsidRPr="00157521" w:rsidRDefault="0036698F" w:rsidP="009512D0">
      <w:pPr>
        <w:pStyle w:val="Normlnywebov"/>
        <w:spacing w:before="0" w:beforeAutospacing="0" w:after="0" w:afterAutospacing="0"/>
        <w:rPr>
          <w:i/>
          <w:sz w:val="22"/>
          <w:szCs w:val="22"/>
          <w:lang w:val="sk-SK"/>
        </w:rPr>
      </w:pPr>
    </w:p>
    <w:p w14:paraId="264E3394" w14:textId="77777777" w:rsidR="00D14EE6" w:rsidRPr="00157521" w:rsidRDefault="00D14EE6" w:rsidP="009512D0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 w:rsidRPr="00157521">
        <w:rPr>
          <w:i/>
          <w:sz w:val="22"/>
          <w:szCs w:val="22"/>
          <w:lang w:val="sk-SK"/>
        </w:rPr>
        <w:t>Dantrolén</w:t>
      </w:r>
      <w:proofErr w:type="spellEnd"/>
      <w:r w:rsidRPr="00157521">
        <w:rPr>
          <w:i/>
          <w:sz w:val="22"/>
          <w:szCs w:val="22"/>
          <w:lang w:val="sk-SK"/>
        </w:rPr>
        <w:t xml:space="preserve"> (infúzia)</w:t>
      </w:r>
    </w:p>
    <w:p w14:paraId="264E3395" w14:textId="77777777" w:rsidR="00D14EE6" w:rsidRPr="00157521" w:rsidRDefault="00D14EE6" w:rsidP="009512D0">
      <w:pPr>
        <w:pStyle w:val="Normlnywebov"/>
        <w:spacing w:before="0" w:beforeAutospacing="0" w:after="0" w:afterAutospacing="0"/>
        <w:rPr>
          <w:i/>
          <w:sz w:val="22"/>
          <w:szCs w:val="22"/>
          <w:lang w:val="sk-SK"/>
        </w:rPr>
      </w:pPr>
      <w:r w:rsidRPr="00157521">
        <w:rPr>
          <w:sz w:val="22"/>
          <w:szCs w:val="22"/>
          <w:lang w:val="sk-SK"/>
        </w:rPr>
        <w:t xml:space="preserve">U zvierat sa po podaní </w:t>
      </w:r>
      <w:proofErr w:type="spellStart"/>
      <w:r w:rsidRPr="00157521">
        <w:rPr>
          <w:sz w:val="22"/>
          <w:szCs w:val="22"/>
          <w:lang w:val="sk-SK"/>
        </w:rPr>
        <w:t>verapamilu</w:t>
      </w:r>
      <w:proofErr w:type="spellEnd"/>
      <w:r w:rsidRPr="00157521">
        <w:rPr>
          <w:sz w:val="22"/>
          <w:szCs w:val="22"/>
          <w:lang w:val="sk-SK"/>
        </w:rPr>
        <w:t xml:space="preserve"> a intravenózneho </w:t>
      </w:r>
      <w:proofErr w:type="spellStart"/>
      <w:r w:rsidRPr="00157521">
        <w:rPr>
          <w:sz w:val="22"/>
          <w:szCs w:val="22"/>
          <w:lang w:val="sk-SK"/>
        </w:rPr>
        <w:t>dantrolénu</w:t>
      </w:r>
      <w:proofErr w:type="spellEnd"/>
      <w:r w:rsidRPr="00157521">
        <w:rPr>
          <w:sz w:val="22"/>
          <w:szCs w:val="22"/>
          <w:lang w:val="sk-SK"/>
        </w:rPr>
        <w:t xml:space="preserve"> pozoruje letálna </w:t>
      </w:r>
      <w:proofErr w:type="spellStart"/>
      <w:r w:rsidRPr="00157521">
        <w:rPr>
          <w:sz w:val="22"/>
          <w:szCs w:val="22"/>
          <w:lang w:val="sk-SK"/>
        </w:rPr>
        <w:t>fibrilácia</w:t>
      </w:r>
      <w:proofErr w:type="spellEnd"/>
      <w:r w:rsidRPr="00157521">
        <w:rPr>
          <w:sz w:val="22"/>
          <w:szCs w:val="22"/>
          <w:lang w:val="sk-SK"/>
        </w:rPr>
        <w:t xml:space="preserve"> komôr a srdcový kolaps v spojení s </w:t>
      </w:r>
      <w:proofErr w:type="spellStart"/>
      <w:r w:rsidRPr="00157521">
        <w:rPr>
          <w:sz w:val="22"/>
          <w:szCs w:val="22"/>
          <w:lang w:val="sk-SK"/>
        </w:rPr>
        <w:t>hyperkaliémiou</w:t>
      </w:r>
      <w:proofErr w:type="spellEnd"/>
      <w:r w:rsidRPr="00157521">
        <w:rPr>
          <w:sz w:val="22"/>
          <w:szCs w:val="22"/>
          <w:lang w:val="sk-SK"/>
        </w:rPr>
        <w:t xml:space="preserve">. Vzhľadom na riziko </w:t>
      </w:r>
      <w:proofErr w:type="spellStart"/>
      <w:r w:rsidRPr="00157521">
        <w:rPr>
          <w:sz w:val="22"/>
          <w:szCs w:val="22"/>
          <w:lang w:val="sk-SK"/>
        </w:rPr>
        <w:t>hyperkaliémie</w:t>
      </w:r>
      <w:proofErr w:type="spellEnd"/>
      <w:r w:rsidRPr="00157521">
        <w:rPr>
          <w:sz w:val="22"/>
          <w:szCs w:val="22"/>
          <w:lang w:val="sk-SK"/>
        </w:rPr>
        <w:t xml:space="preserve"> sa odporúča, aby sa pacienti náchylní na malígnu </w:t>
      </w:r>
      <w:proofErr w:type="spellStart"/>
      <w:r w:rsidRPr="00157521">
        <w:rPr>
          <w:sz w:val="22"/>
          <w:szCs w:val="22"/>
          <w:lang w:val="sk-SK"/>
        </w:rPr>
        <w:t>hypertermiu</w:t>
      </w:r>
      <w:proofErr w:type="spellEnd"/>
      <w:r w:rsidRPr="00157521">
        <w:rPr>
          <w:sz w:val="22"/>
          <w:szCs w:val="22"/>
          <w:lang w:val="sk-SK"/>
        </w:rPr>
        <w:t xml:space="preserve"> a pri regulovaní malígnej </w:t>
      </w:r>
      <w:proofErr w:type="spellStart"/>
      <w:r w:rsidRPr="00157521">
        <w:rPr>
          <w:sz w:val="22"/>
          <w:szCs w:val="22"/>
          <w:lang w:val="sk-SK"/>
        </w:rPr>
        <w:t>hypertermie</w:t>
      </w:r>
      <w:proofErr w:type="spellEnd"/>
      <w:r w:rsidRPr="00157521">
        <w:rPr>
          <w:sz w:val="22"/>
          <w:szCs w:val="22"/>
          <w:lang w:val="sk-SK"/>
        </w:rPr>
        <w:t xml:space="preserve"> vyhýbali súčasnému podávaniu </w:t>
      </w:r>
      <w:proofErr w:type="spellStart"/>
      <w:r w:rsidRPr="00157521">
        <w:rPr>
          <w:sz w:val="22"/>
          <w:szCs w:val="22"/>
          <w:lang w:val="sk-SK"/>
        </w:rPr>
        <w:t>blokátorov</w:t>
      </w:r>
      <w:proofErr w:type="spellEnd"/>
      <w:r w:rsidRPr="00157521">
        <w:rPr>
          <w:sz w:val="22"/>
          <w:szCs w:val="22"/>
          <w:lang w:val="sk-SK"/>
        </w:rPr>
        <w:t xml:space="preserve"> kalciových kanálov, ako je </w:t>
      </w:r>
      <w:proofErr w:type="spellStart"/>
      <w:r w:rsidRPr="00157521">
        <w:rPr>
          <w:sz w:val="22"/>
          <w:szCs w:val="22"/>
          <w:lang w:val="sk-SK"/>
        </w:rPr>
        <w:t>amlodipín</w:t>
      </w:r>
      <w:proofErr w:type="spellEnd"/>
      <w:r w:rsidR="000A6BEE" w:rsidRPr="00157521">
        <w:rPr>
          <w:sz w:val="22"/>
          <w:szCs w:val="22"/>
          <w:lang w:val="sk-SK"/>
        </w:rPr>
        <w:t>.</w:t>
      </w:r>
    </w:p>
    <w:p w14:paraId="264E3396" w14:textId="77777777" w:rsidR="00681759" w:rsidRPr="00157521" w:rsidRDefault="00681759" w:rsidP="009512D0">
      <w:pPr>
        <w:spacing w:line="240" w:lineRule="auto"/>
        <w:rPr>
          <w:szCs w:val="22"/>
          <w:lang w:val="sk-SK"/>
        </w:rPr>
      </w:pPr>
    </w:p>
    <w:p w14:paraId="264E3397" w14:textId="77777777" w:rsidR="000A6BEE" w:rsidRPr="000B69CF" w:rsidRDefault="000A6BEE" w:rsidP="003F7DD0">
      <w:pPr>
        <w:ind w:left="567" w:hanging="567"/>
        <w:rPr>
          <w:bCs/>
          <w:i/>
          <w:szCs w:val="22"/>
          <w:u w:val="single"/>
          <w:lang w:val="sk-SK"/>
        </w:rPr>
      </w:pPr>
      <w:r w:rsidRPr="000B69CF">
        <w:rPr>
          <w:bCs/>
          <w:i/>
          <w:szCs w:val="22"/>
          <w:u w:val="single"/>
          <w:lang w:val="sk-SK"/>
        </w:rPr>
        <w:t xml:space="preserve">Účinky </w:t>
      </w:r>
      <w:proofErr w:type="spellStart"/>
      <w:r w:rsidRPr="000B69CF">
        <w:rPr>
          <w:bCs/>
          <w:i/>
          <w:szCs w:val="22"/>
          <w:u w:val="single"/>
          <w:lang w:val="sk-SK"/>
        </w:rPr>
        <w:t>amlodipínu</w:t>
      </w:r>
      <w:proofErr w:type="spellEnd"/>
      <w:r w:rsidRPr="000B69CF">
        <w:rPr>
          <w:bCs/>
          <w:i/>
          <w:szCs w:val="22"/>
          <w:u w:val="single"/>
          <w:lang w:val="sk-SK"/>
        </w:rPr>
        <w:t xml:space="preserve"> na iné lieky</w:t>
      </w:r>
    </w:p>
    <w:p w14:paraId="264E3398" w14:textId="77777777" w:rsidR="007F7B6E" w:rsidRDefault="007F7B6E" w:rsidP="003F7DD0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264E3399" w14:textId="77777777" w:rsidR="000A6BEE" w:rsidRPr="003F7DD0" w:rsidRDefault="000A6BEE" w:rsidP="003F7DD0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3F7DD0">
        <w:rPr>
          <w:sz w:val="22"/>
          <w:szCs w:val="22"/>
          <w:lang w:val="sk-SK"/>
        </w:rPr>
        <w:t xml:space="preserve">Účinky </w:t>
      </w:r>
      <w:proofErr w:type="spellStart"/>
      <w:r w:rsidRPr="003F7DD0">
        <w:rPr>
          <w:sz w:val="22"/>
          <w:szCs w:val="22"/>
          <w:lang w:val="sk-SK"/>
        </w:rPr>
        <w:t>amlodipínu</w:t>
      </w:r>
      <w:proofErr w:type="spellEnd"/>
      <w:r w:rsidRPr="003F7DD0">
        <w:rPr>
          <w:sz w:val="22"/>
          <w:szCs w:val="22"/>
          <w:lang w:val="sk-SK"/>
        </w:rPr>
        <w:t xml:space="preserve"> na zníženie tlaku krvi sa sčítavajú s účinkami iných </w:t>
      </w:r>
      <w:proofErr w:type="spellStart"/>
      <w:r w:rsidRPr="003F7DD0">
        <w:rPr>
          <w:sz w:val="22"/>
          <w:szCs w:val="22"/>
          <w:lang w:val="sk-SK"/>
        </w:rPr>
        <w:t>antihypertenzív</w:t>
      </w:r>
      <w:proofErr w:type="spellEnd"/>
      <w:r w:rsidRPr="003F7DD0">
        <w:rPr>
          <w:sz w:val="22"/>
          <w:szCs w:val="22"/>
          <w:lang w:val="sk-SK"/>
        </w:rPr>
        <w:t xml:space="preserve"> znižujúcich tlak krvi.</w:t>
      </w:r>
    </w:p>
    <w:p w14:paraId="264E339A" w14:textId="77777777" w:rsidR="000A6BEE" w:rsidRDefault="000A6BEE" w:rsidP="000A6BEE">
      <w:pPr>
        <w:rPr>
          <w:spacing w:val="-3"/>
          <w:szCs w:val="22"/>
          <w:u w:val="single"/>
          <w:lang w:val="sk-SK"/>
        </w:rPr>
      </w:pPr>
    </w:p>
    <w:p w14:paraId="264E339B" w14:textId="77777777" w:rsidR="009411AD" w:rsidRPr="000B69CF" w:rsidRDefault="009411AD" w:rsidP="000A6BEE">
      <w:pPr>
        <w:rPr>
          <w:i/>
          <w:spacing w:val="-3"/>
          <w:szCs w:val="22"/>
          <w:lang w:val="sk-SK"/>
        </w:rPr>
      </w:pPr>
      <w:proofErr w:type="spellStart"/>
      <w:r w:rsidRPr="000B69CF">
        <w:rPr>
          <w:i/>
          <w:spacing w:val="-3"/>
          <w:szCs w:val="22"/>
          <w:lang w:val="sk-SK"/>
        </w:rPr>
        <w:t>Takrolimus</w:t>
      </w:r>
      <w:proofErr w:type="spellEnd"/>
    </w:p>
    <w:p w14:paraId="264E339C" w14:textId="77777777" w:rsidR="0073223D" w:rsidRDefault="009411AD" w:rsidP="000A6BEE">
      <w:pPr>
        <w:rPr>
          <w:spacing w:val="-3"/>
          <w:szCs w:val="22"/>
          <w:lang w:val="sk-SK"/>
        </w:rPr>
      </w:pPr>
      <w:r w:rsidRPr="000B69CF">
        <w:rPr>
          <w:spacing w:val="-3"/>
          <w:szCs w:val="22"/>
          <w:lang w:val="sk-SK"/>
        </w:rPr>
        <w:t>Pri súbežnom podávaní s </w:t>
      </w:r>
      <w:proofErr w:type="spellStart"/>
      <w:r w:rsidRPr="000B69CF">
        <w:rPr>
          <w:spacing w:val="-3"/>
          <w:szCs w:val="22"/>
          <w:lang w:val="sk-SK"/>
        </w:rPr>
        <w:t>amlodipínom</w:t>
      </w:r>
      <w:proofErr w:type="spellEnd"/>
      <w:r w:rsidRPr="000B69CF">
        <w:rPr>
          <w:spacing w:val="-3"/>
          <w:szCs w:val="22"/>
          <w:lang w:val="sk-SK"/>
        </w:rPr>
        <w:t xml:space="preserve"> </w:t>
      </w:r>
      <w:r w:rsidR="0073223D" w:rsidRPr="000B69CF">
        <w:rPr>
          <w:spacing w:val="-3"/>
          <w:szCs w:val="22"/>
          <w:lang w:val="sk-SK"/>
        </w:rPr>
        <w:t>nastáva</w:t>
      </w:r>
      <w:r w:rsidRPr="000B69CF">
        <w:rPr>
          <w:spacing w:val="-3"/>
          <w:szCs w:val="22"/>
          <w:lang w:val="sk-SK"/>
        </w:rPr>
        <w:t xml:space="preserve"> riziko zvýšenia hladín </w:t>
      </w:r>
      <w:proofErr w:type="spellStart"/>
      <w:r w:rsidRPr="000B69CF">
        <w:rPr>
          <w:spacing w:val="-3"/>
          <w:szCs w:val="22"/>
          <w:lang w:val="sk-SK"/>
        </w:rPr>
        <w:t>takrolimu</w:t>
      </w:r>
      <w:proofErr w:type="spellEnd"/>
      <w:r w:rsidRPr="000B69CF">
        <w:rPr>
          <w:spacing w:val="-3"/>
          <w:szCs w:val="22"/>
          <w:lang w:val="sk-SK"/>
        </w:rPr>
        <w:t xml:space="preserve"> v krvi,</w:t>
      </w:r>
      <w:r w:rsidR="0073223D" w:rsidRPr="000B69CF">
        <w:rPr>
          <w:spacing w:val="-3"/>
          <w:szCs w:val="22"/>
          <w:lang w:val="sk-SK"/>
        </w:rPr>
        <w:t xml:space="preserve"> </w:t>
      </w:r>
      <w:proofErr w:type="spellStart"/>
      <w:r w:rsidR="0073223D" w:rsidRPr="000B69CF">
        <w:rPr>
          <w:spacing w:val="-3"/>
          <w:szCs w:val="22"/>
          <w:lang w:val="sk-SK"/>
        </w:rPr>
        <w:t>farmakokinetický</w:t>
      </w:r>
      <w:proofErr w:type="spellEnd"/>
      <w:r w:rsidR="0073223D" w:rsidRPr="000B69CF">
        <w:rPr>
          <w:spacing w:val="-3"/>
          <w:szCs w:val="22"/>
          <w:lang w:val="sk-SK"/>
        </w:rPr>
        <w:t xml:space="preserve"> mechanizmus tejto interakcie však nie je úplne objasnený. U pacientov </w:t>
      </w:r>
      <w:r w:rsidR="00D41F7B">
        <w:rPr>
          <w:spacing w:val="-3"/>
          <w:szCs w:val="22"/>
          <w:lang w:val="sk-SK"/>
        </w:rPr>
        <w:t>liečených</w:t>
      </w:r>
      <w:r w:rsidR="0073223D" w:rsidRPr="000B69CF">
        <w:rPr>
          <w:spacing w:val="-3"/>
          <w:szCs w:val="22"/>
          <w:lang w:val="sk-SK"/>
        </w:rPr>
        <w:t xml:space="preserve"> </w:t>
      </w:r>
      <w:proofErr w:type="spellStart"/>
      <w:r w:rsidR="0073223D" w:rsidRPr="000B69CF">
        <w:rPr>
          <w:spacing w:val="-3"/>
          <w:szCs w:val="22"/>
          <w:lang w:val="sk-SK"/>
        </w:rPr>
        <w:t>takrolim</w:t>
      </w:r>
      <w:r w:rsidR="00D41F7B">
        <w:rPr>
          <w:spacing w:val="-3"/>
          <w:szCs w:val="22"/>
          <w:lang w:val="sk-SK"/>
        </w:rPr>
        <w:t>om</w:t>
      </w:r>
      <w:proofErr w:type="spellEnd"/>
      <w:r w:rsidR="0073223D" w:rsidRPr="000B69CF">
        <w:rPr>
          <w:spacing w:val="-3"/>
          <w:szCs w:val="22"/>
          <w:lang w:val="sk-SK"/>
        </w:rPr>
        <w:t xml:space="preserve"> sa vyžaduje sledovanie hladín </w:t>
      </w:r>
      <w:proofErr w:type="spellStart"/>
      <w:r w:rsidR="0073223D" w:rsidRPr="000B69CF">
        <w:rPr>
          <w:spacing w:val="-3"/>
          <w:szCs w:val="22"/>
          <w:lang w:val="sk-SK"/>
        </w:rPr>
        <w:t>takrolimu</w:t>
      </w:r>
      <w:proofErr w:type="spellEnd"/>
      <w:r w:rsidR="0073223D" w:rsidRPr="000B69CF">
        <w:rPr>
          <w:spacing w:val="-3"/>
          <w:szCs w:val="22"/>
          <w:lang w:val="sk-SK"/>
        </w:rPr>
        <w:t xml:space="preserve"> v krvi a v prípade potreby úprava jeho dávky, aby sa predišlo toxicite </w:t>
      </w:r>
      <w:proofErr w:type="spellStart"/>
      <w:r w:rsidR="0073223D" w:rsidRPr="000B69CF">
        <w:rPr>
          <w:spacing w:val="-3"/>
          <w:szCs w:val="22"/>
          <w:lang w:val="sk-SK"/>
        </w:rPr>
        <w:t>takrolimu</w:t>
      </w:r>
      <w:proofErr w:type="spellEnd"/>
      <w:r w:rsidR="0073223D" w:rsidRPr="000B69CF">
        <w:rPr>
          <w:spacing w:val="-3"/>
          <w:szCs w:val="22"/>
          <w:lang w:val="sk-SK"/>
        </w:rPr>
        <w:t>.</w:t>
      </w:r>
    </w:p>
    <w:p w14:paraId="264E339D" w14:textId="77777777" w:rsidR="0073223D" w:rsidRDefault="0073223D" w:rsidP="000A6BEE">
      <w:pPr>
        <w:rPr>
          <w:spacing w:val="-3"/>
          <w:szCs w:val="22"/>
          <w:lang w:val="sk-SK"/>
        </w:rPr>
      </w:pPr>
    </w:p>
    <w:p w14:paraId="556B13B0" w14:textId="77777777" w:rsidR="00625AF4" w:rsidRPr="00170A95" w:rsidRDefault="00625AF4" w:rsidP="00625AF4">
      <w:pPr>
        <w:autoSpaceDE w:val="0"/>
        <w:autoSpaceDN w:val="0"/>
        <w:adjustRightInd w:val="0"/>
        <w:spacing w:line="240" w:lineRule="auto"/>
        <w:rPr>
          <w:bCs/>
          <w:i/>
          <w:szCs w:val="22"/>
          <w:lang w:val="sk-SK"/>
        </w:rPr>
      </w:pPr>
      <w:proofErr w:type="spellStart"/>
      <w:r w:rsidRPr="00170A95">
        <w:rPr>
          <w:bCs/>
          <w:i/>
          <w:szCs w:val="22"/>
          <w:lang w:val="sk-SK"/>
        </w:rPr>
        <w:t>mTOR</w:t>
      </w:r>
      <w:proofErr w:type="spellEnd"/>
      <w:r w:rsidRPr="00170A95">
        <w:rPr>
          <w:bCs/>
          <w:i/>
          <w:szCs w:val="22"/>
          <w:lang w:val="sk-SK"/>
        </w:rPr>
        <w:t xml:space="preserve"> inhibítory </w:t>
      </w:r>
    </w:p>
    <w:p w14:paraId="07DF2E0B" w14:textId="77777777" w:rsidR="00625AF4" w:rsidRPr="00170A95" w:rsidRDefault="00625AF4" w:rsidP="00625AF4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proofErr w:type="spellStart"/>
      <w:r w:rsidRPr="00170A95">
        <w:rPr>
          <w:bCs/>
          <w:szCs w:val="22"/>
          <w:lang w:val="sk-SK"/>
        </w:rPr>
        <w:t>mTOR</w:t>
      </w:r>
      <w:proofErr w:type="spellEnd"/>
      <w:r w:rsidRPr="00170A95">
        <w:rPr>
          <w:bCs/>
          <w:szCs w:val="22"/>
          <w:lang w:val="sk-SK"/>
        </w:rPr>
        <w:t xml:space="preserve"> inhibítory, ako napr. </w:t>
      </w:r>
      <w:proofErr w:type="spellStart"/>
      <w:r w:rsidRPr="00170A95">
        <w:rPr>
          <w:bCs/>
          <w:szCs w:val="22"/>
          <w:lang w:val="sk-SK"/>
        </w:rPr>
        <w:t>sirolimus</w:t>
      </w:r>
      <w:proofErr w:type="spellEnd"/>
      <w:r w:rsidRPr="00170A95">
        <w:rPr>
          <w:bCs/>
          <w:szCs w:val="22"/>
          <w:lang w:val="sk-SK"/>
        </w:rPr>
        <w:t xml:space="preserve">, </w:t>
      </w:r>
      <w:proofErr w:type="spellStart"/>
      <w:r w:rsidRPr="00170A95">
        <w:rPr>
          <w:bCs/>
          <w:szCs w:val="22"/>
          <w:lang w:val="sk-SK"/>
        </w:rPr>
        <w:t>everolimus</w:t>
      </w:r>
      <w:proofErr w:type="spellEnd"/>
      <w:r w:rsidRPr="00170A95">
        <w:rPr>
          <w:bCs/>
          <w:szCs w:val="22"/>
          <w:lang w:val="sk-SK"/>
        </w:rPr>
        <w:t xml:space="preserve">, </w:t>
      </w:r>
      <w:proofErr w:type="spellStart"/>
      <w:r w:rsidRPr="00170A95">
        <w:rPr>
          <w:bCs/>
          <w:szCs w:val="22"/>
          <w:lang w:val="sk-SK"/>
        </w:rPr>
        <w:t>temsirolimus</w:t>
      </w:r>
      <w:proofErr w:type="spellEnd"/>
      <w:r w:rsidRPr="00170A95">
        <w:rPr>
          <w:bCs/>
          <w:szCs w:val="22"/>
          <w:lang w:val="sk-SK"/>
        </w:rPr>
        <w:t xml:space="preserve">, sú CYP3A substrátmi. </w:t>
      </w:r>
      <w:proofErr w:type="spellStart"/>
      <w:r w:rsidRPr="00170A95">
        <w:rPr>
          <w:bCs/>
          <w:szCs w:val="22"/>
          <w:lang w:val="sk-SK"/>
        </w:rPr>
        <w:t>Amlodipín</w:t>
      </w:r>
      <w:proofErr w:type="spellEnd"/>
      <w:r w:rsidRPr="00170A95">
        <w:rPr>
          <w:bCs/>
          <w:szCs w:val="22"/>
          <w:lang w:val="sk-SK"/>
        </w:rPr>
        <w:t xml:space="preserve"> je slabým inhibítorom CYP3A. Pri súbežnom používaní s </w:t>
      </w:r>
      <w:proofErr w:type="spellStart"/>
      <w:r w:rsidRPr="00170A95">
        <w:rPr>
          <w:bCs/>
          <w:szCs w:val="22"/>
          <w:lang w:val="sk-SK"/>
        </w:rPr>
        <w:t>mTOR</w:t>
      </w:r>
      <w:proofErr w:type="spellEnd"/>
      <w:r w:rsidRPr="00170A95">
        <w:rPr>
          <w:bCs/>
          <w:szCs w:val="22"/>
          <w:lang w:val="sk-SK"/>
        </w:rPr>
        <w:t xml:space="preserve"> inhibítormi môže </w:t>
      </w:r>
      <w:proofErr w:type="spellStart"/>
      <w:r w:rsidRPr="00170A95">
        <w:rPr>
          <w:bCs/>
          <w:szCs w:val="22"/>
          <w:lang w:val="sk-SK"/>
        </w:rPr>
        <w:t>amlodipín</w:t>
      </w:r>
      <w:proofErr w:type="spellEnd"/>
      <w:r w:rsidRPr="00170A95">
        <w:rPr>
          <w:bCs/>
          <w:szCs w:val="22"/>
          <w:lang w:val="sk-SK"/>
        </w:rPr>
        <w:t xml:space="preserve"> zvyšovať expozíciu </w:t>
      </w:r>
      <w:proofErr w:type="spellStart"/>
      <w:r w:rsidRPr="00170A95">
        <w:rPr>
          <w:bCs/>
          <w:szCs w:val="22"/>
          <w:lang w:val="sk-SK"/>
        </w:rPr>
        <w:t>mTOR</w:t>
      </w:r>
      <w:proofErr w:type="spellEnd"/>
      <w:r w:rsidRPr="00170A95">
        <w:rPr>
          <w:bCs/>
          <w:szCs w:val="22"/>
          <w:lang w:val="sk-SK"/>
        </w:rPr>
        <w:t xml:space="preserve"> inhibítorom.</w:t>
      </w:r>
    </w:p>
    <w:p w14:paraId="6BBA1DF8" w14:textId="77777777" w:rsidR="00B44E72" w:rsidRDefault="00B44E72" w:rsidP="000A6BEE">
      <w:pPr>
        <w:rPr>
          <w:spacing w:val="-3"/>
          <w:szCs w:val="22"/>
          <w:lang w:val="sk-SK"/>
        </w:rPr>
      </w:pPr>
    </w:p>
    <w:p w14:paraId="264E339E" w14:textId="77777777" w:rsidR="0073223D" w:rsidRPr="000B69CF" w:rsidRDefault="0073223D" w:rsidP="000A6BEE">
      <w:pPr>
        <w:rPr>
          <w:i/>
          <w:spacing w:val="-3"/>
          <w:szCs w:val="22"/>
          <w:lang w:val="sk-SK"/>
        </w:rPr>
      </w:pPr>
      <w:proofErr w:type="spellStart"/>
      <w:r w:rsidRPr="000B69CF">
        <w:rPr>
          <w:i/>
          <w:spacing w:val="-3"/>
          <w:szCs w:val="22"/>
          <w:lang w:val="sk-SK"/>
        </w:rPr>
        <w:t>Cyklosporín</w:t>
      </w:r>
      <w:proofErr w:type="spellEnd"/>
    </w:p>
    <w:p w14:paraId="264E339F" w14:textId="77777777" w:rsidR="0073223D" w:rsidRPr="000B69CF" w:rsidRDefault="0073223D" w:rsidP="000A6BEE">
      <w:pPr>
        <w:rPr>
          <w:spacing w:val="-3"/>
          <w:szCs w:val="22"/>
          <w:lang w:val="sk-SK"/>
        </w:rPr>
      </w:pPr>
      <w:r>
        <w:rPr>
          <w:spacing w:val="-3"/>
          <w:szCs w:val="22"/>
          <w:lang w:val="sk-SK"/>
        </w:rPr>
        <w:t>U zdravých dobrovoľníkov alebo u iných skupín pacientov, s výnimkou pacientov po transplantácii obličk</w:t>
      </w:r>
      <w:r w:rsidR="002B3C7D">
        <w:rPr>
          <w:spacing w:val="-3"/>
          <w:szCs w:val="22"/>
          <w:lang w:val="sk-SK"/>
        </w:rPr>
        <w:t>y</w:t>
      </w:r>
      <w:r>
        <w:rPr>
          <w:spacing w:val="-3"/>
          <w:szCs w:val="22"/>
          <w:lang w:val="sk-SK"/>
        </w:rPr>
        <w:t>, sa neuskutočnili žiadne štúdie interakcie s </w:t>
      </w:r>
      <w:proofErr w:type="spellStart"/>
      <w:r>
        <w:rPr>
          <w:spacing w:val="-3"/>
          <w:szCs w:val="22"/>
          <w:lang w:val="sk-SK"/>
        </w:rPr>
        <w:t>cyklosporínom</w:t>
      </w:r>
      <w:proofErr w:type="spellEnd"/>
      <w:r>
        <w:rPr>
          <w:spacing w:val="-3"/>
          <w:szCs w:val="22"/>
          <w:lang w:val="sk-SK"/>
        </w:rPr>
        <w:t xml:space="preserve"> a </w:t>
      </w:r>
      <w:proofErr w:type="spellStart"/>
      <w:r>
        <w:rPr>
          <w:spacing w:val="-3"/>
          <w:szCs w:val="22"/>
          <w:lang w:val="sk-SK"/>
        </w:rPr>
        <w:t>amlodipínom</w:t>
      </w:r>
      <w:proofErr w:type="spellEnd"/>
      <w:r>
        <w:rPr>
          <w:spacing w:val="-3"/>
          <w:szCs w:val="22"/>
          <w:lang w:val="sk-SK"/>
        </w:rPr>
        <w:t>, v </w:t>
      </w:r>
      <w:r w:rsidRPr="000B69CF">
        <w:rPr>
          <w:rStyle w:val="hps"/>
          <w:lang w:val="sk-SK"/>
        </w:rPr>
        <w:t>k</w:t>
      </w:r>
      <w:r>
        <w:rPr>
          <w:rStyle w:val="hps"/>
          <w:lang w:val="sk-SK"/>
        </w:rPr>
        <w:t xml:space="preserve">torých by sa sledovali nárasty minimálnej koncentrácie </w:t>
      </w:r>
      <w:r>
        <w:rPr>
          <w:color w:val="000000"/>
          <w:szCs w:val="22"/>
          <w:lang w:val="sk-SK" w:eastAsia="hu-HU"/>
        </w:rPr>
        <w:t>(v priemere</w:t>
      </w:r>
      <w:r w:rsidRPr="000B69CF">
        <w:rPr>
          <w:color w:val="000000"/>
          <w:szCs w:val="22"/>
          <w:lang w:val="sk-SK" w:eastAsia="hu-HU"/>
        </w:rPr>
        <w:t xml:space="preserve"> 0% - 40%) </w:t>
      </w:r>
      <w:proofErr w:type="spellStart"/>
      <w:r>
        <w:rPr>
          <w:rStyle w:val="hps"/>
          <w:lang w:val="sk-SK"/>
        </w:rPr>
        <w:t>cyklosporínu</w:t>
      </w:r>
      <w:proofErr w:type="spellEnd"/>
      <w:r>
        <w:rPr>
          <w:rStyle w:val="hps"/>
          <w:lang w:val="sk-SK"/>
        </w:rPr>
        <w:t xml:space="preserve">. </w:t>
      </w:r>
      <w:r w:rsidRPr="000B69CF">
        <w:rPr>
          <w:rStyle w:val="hps"/>
          <w:lang w:val="sk-SK"/>
        </w:rPr>
        <w:t>Je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 xml:space="preserve">potrebné zvážiť </w:t>
      </w:r>
      <w:r>
        <w:rPr>
          <w:rStyle w:val="hps"/>
          <w:lang w:val="sk-SK"/>
        </w:rPr>
        <w:t>sled</w:t>
      </w:r>
      <w:r w:rsidRPr="000B69CF">
        <w:rPr>
          <w:rStyle w:val="hps"/>
          <w:lang w:val="sk-SK"/>
        </w:rPr>
        <w:t>ovanie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hladín</w:t>
      </w:r>
      <w:r w:rsidRPr="000B69CF">
        <w:rPr>
          <w:lang w:val="sk-SK"/>
        </w:rPr>
        <w:t xml:space="preserve"> </w:t>
      </w:r>
      <w:proofErr w:type="spellStart"/>
      <w:r w:rsidRPr="000B69CF">
        <w:rPr>
          <w:rStyle w:val="hps"/>
          <w:lang w:val="sk-SK"/>
        </w:rPr>
        <w:t>cyklosporínu</w:t>
      </w:r>
      <w:proofErr w:type="spellEnd"/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u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pacientov po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transplantácii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obličk</w:t>
      </w:r>
      <w:r w:rsidR="002B3C7D">
        <w:rPr>
          <w:rStyle w:val="hps"/>
          <w:lang w:val="sk-SK"/>
        </w:rPr>
        <w:t>y</w:t>
      </w:r>
      <w:r>
        <w:rPr>
          <w:rStyle w:val="hps"/>
          <w:lang w:val="sk-SK"/>
        </w:rPr>
        <w:t>, ktorí užívajú</w:t>
      </w:r>
      <w:r w:rsidRPr="000B69CF">
        <w:rPr>
          <w:rStyle w:val="hps"/>
          <w:lang w:val="sk-SK"/>
        </w:rPr>
        <w:t xml:space="preserve"> </w:t>
      </w:r>
      <w:proofErr w:type="spellStart"/>
      <w:r w:rsidRPr="000B69CF">
        <w:rPr>
          <w:rStyle w:val="hps"/>
          <w:lang w:val="sk-SK"/>
        </w:rPr>
        <w:t>amlodipín</w:t>
      </w:r>
      <w:proofErr w:type="spellEnd"/>
      <w:r w:rsidR="002B3C7D">
        <w:rPr>
          <w:rStyle w:val="hps"/>
          <w:lang w:val="sk-SK"/>
        </w:rPr>
        <w:t>,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a</w:t>
      </w:r>
      <w:r w:rsidR="007A1449">
        <w:rPr>
          <w:lang w:val="sk-SK"/>
        </w:rPr>
        <w:t> </w:t>
      </w:r>
      <w:r w:rsidRPr="000B69CF">
        <w:rPr>
          <w:rStyle w:val="hps"/>
          <w:lang w:val="sk-SK"/>
        </w:rPr>
        <w:t>v</w:t>
      </w:r>
      <w:r w:rsidR="007A1449">
        <w:rPr>
          <w:rStyle w:val="hps"/>
          <w:lang w:val="sk-SK"/>
        </w:rPr>
        <w:t> </w:t>
      </w:r>
      <w:r w:rsidRPr="000B69CF">
        <w:rPr>
          <w:rStyle w:val="hps"/>
          <w:lang w:val="sk-SK"/>
        </w:rPr>
        <w:t>prípade potreby</w:t>
      </w:r>
      <w:r w:rsidRPr="000B69CF">
        <w:rPr>
          <w:lang w:val="sk-SK"/>
        </w:rPr>
        <w:t xml:space="preserve"> </w:t>
      </w:r>
      <w:r>
        <w:rPr>
          <w:lang w:val="sk-SK"/>
        </w:rPr>
        <w:t xml:space="preserve">treba </w:t>
      </w:r>
      <w:r w:rsidRPr="000B69CF">
        <w:rPr>
          <w:rStyle w:val="hps"/>
          <w:lang w:val="sk-SK"/>
        </w:rPr>
        <w:t>zníž</w:t>
      </w:r>
      <w:r>
        <w:rPr>
          <w:rStyle w:val="hps"/>
          <w:lang w:val="sk-SK"/>
        </w:rPr>
        <w:t>iť</w:t>
      </w:r>
      <w:r w:rsidRPr="000B69CF">
        <w:rPr>
          <w:lang w:val="sk-SK"/>
        </w:rPr>
        <w:t xml:space="preserve"> </w:t>
      </w:r>
      <w:r>
        <w:rPr>
          <w:lang w:val="sk-SK"/>
        </w:rPr>
        <w:t xml:space="preserve">dávku </w:t>
      </w:r>
      <w:proofErr w:type="spellStart"/>
      <w:r w:rsidRPr="000B69CF">
        <w:rPr>
          <w:rStyle w:val="hps"/>
          <w:lang w:val="sk-SK"/>
        </w:rPr>
        <w:t>cyklosporín</w:t>
      </w:r>
      <w:r>
        <w:rPr>
          <w:rStyle w:val="hps"/>
          <w:lang w:val="sk-SK"/>
        </w:rPr>
        <w:t>u</w:t>
      </w:r>
      <w:proofErr w:type="spellEnd"/>
      <w:r w:rsidRPr="000B69CF">
        <w:rPr>
          <w:lang w:val="sk-SK"/>
        </w:rPr>
        <w:t>.</w:t>
      </w:r>
    </w:p>
    <w:p w14:paraId="264E33A0" w14:textId="77777777" w:rsidR="000A6BEE" w:rsidRPr="00157521" w:rsidRDefault="000A6BEE" w:rsidP="000A6BEE">
      <w:pPr>
        <w:outlineLvl w:val="0"/>
        <w:rPr>
          <w:szCs w:val="22"/>
          <w:lang w:val="sk-SK"/>
        </w:rPr>
      </w:pPr>
    </w:p>
    <w:p w14:paraId="264E33A1" w14:textId="77777777" w:rsidR="000A6BEE" w:rsidRPr="00157521" w:rsidRDefault="000A6BEE" w:rsidP="000A6BEE">
      <w:pPr>
        <w:spacing w:line="240" w:lineRule="auto"/>
        <w:rPr>
          <w:i/>
          <w:szCs w:val="22"/>
          <w:lang w:val="sk-SK"/>
        </w:rPr>
      </w:pPr>
      <w:proofErr w:type="spellStart"/>
      <w:r w:rsidRPr="00157521">
        <w:rPr>
          <w:i/>
          <w:szCs w:val="22"/>
          <w:lang w:val="sk-SK"/>
        </w:rPr>
        <w:t>Simvastatín</w:t>
      </w:r>
      <w:proofErr w:type="spellEnd"/>
    </w:p>
    <w:p w14:paraId="264E33A2" w14:textId="77777777" w:rsidR="00D14EE6" w:rsidRPr="00157521" w:rsidRDefault="00D41F7B" w:rsidP="000A6BEE">
      <w:p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>Sú</w:t>
      </w:r>
      <w:r>
        <w:rPr>
          <w:szCs w:val="22"/>
          <w:lang w:val="sk-SK"/>
        </w:rPr>
        <w:t>bež</w:t>
      </w:r>
      <w:r w:rsidRPr="00157521">
        <w:rPr>
          <w:szCs w:val="22"/>
          <w:lang w:val="sk-SK"/>
        </w:rPr>
        <w:t xml:space="preserve">né </w:t>
      </w:r>
      <w:r w:rsidR="000A6BEE" w:rsidRPr="00157521">
        <w:rPr>
          <w:szCs w:val="22"/>
          <w:lang w:val="sk-SK"/>
        </w:rPr>
        <w:t xml:space="preserve">podávanie viacnásobných dávok 10 mg </w:t>
      </w:r>
      <w:proofErr w:type="spellStart"/>
      <w:r w:rsidR="000A6BEE" w:rsidRPr="00157521">
        <w:rPr>
          <w:szCs w:val="22"/>
          <w:lang w:val="sk-SK"/>
        </w:rPr>
        <w:t>amlodipínu</w:t>
      </w:r>
      <w:proofErr w:type="spellEnd"/>
      <w:r w:rsidR="000A6BEE" w:rsidRPr="00157521">
        <w:rPr>
          <w:szCs w:val="22"/>
          <w:lang w:val="sk-SK"/>
        </w:rPr>
        <w:t xml:space="preserve"> s 80 mg </w:t>
      </w:r>
      <w:proofErr w:type="spellStart"/>
      <w:r w:rsidR="000A6BEE" w:rsidRPr="00157521">
        <w:rPr>
          <w:szCs w:val="22"/>
          <w:lang w:val="sk-SK"/>
        </w:rPr>
        <w:t>simvastatínu</w:t>
      </w:r>
      <w:proofErr w:type="spellEnd"/>
      <w:r w:rsidR="000A6BEE" w:rsidRPr="00157521">
        <w:rPr>
          <w:szCs w:val="22"/>
          <w:lang w:val="sk-SK"/>
        </w:rPr>
        <w:t xml:space="preserve"> vedie k 77 % zvýšeniu expozície </w:t>
      </w:r>
      <w:proofErr w:type="spellStart"/>
      <w:r w:rsidR="000A6BEE" w:rsidRPr="00157521">
        <w:rPr>
          <w:szCs w:val="22"/>
          <w:lang w:val="sk-SK"/>
        </w:rPr>
        <w:t>simvastatínu</w:t>
      </w:r>
      <w:proofErr w:type="spellEnd"/>
      <w:r w:rsidR="000A6BEE" w:rsidRPr="00157521">
        <w:rPr>
          <w:szCs w:val="22"/>
          <w:lang w:val="sk-SK"/>
        </w:rPr>
        <w:t xml:space="preserve"> v </w:t>
      </w:r>
      <w:proofErr w:type="spellStart"/>
      <w:r w:rsidR="000A6BEE" w:rsidRPr="00157521">
        <w:rPr>
          <w:szCs w:val="22"/>
          <w:lang w:val="sk-SK"/>
        </w:rPr>
        <w:t>porovaní</w:t>
      </w:r>
      <w:proofErr w:type="spellEnd"/>
      <w:r w:rsidR="000A6BEE" w:rsidRPr="00157521">
        <w:rPr>
          <w:szCs w:val="22"/>
          <w:lang w:val="sk-SK"/>
        </w:rPr>
        <w:t xml:space="preserve"> so samotným </w:t>
      </w:r>
      <w:proofErr w:type="spellStart"/>
      <w:r w:rsidR="000A6BEE" w:rsidRPr="00157521">
        <w:rPr>
          <w:szCs w:val="22"/>
          <w:lang w:val="sk-SK"/>
        </w:rPr>
        <w:t>simvastatínom</w:t>
      </w:r>
      <w:proofErr w:type="spellEnd"/>
      <w:r w:rsidR="000A6BEE" w:rsidRPr="00157521">
        <w:rPr>
          <w:szCs w:val="22"/>
          <w:lang w:val="sk-SK"/>
        </w:rPr>
        <w:t>. U pacientov s </w:t>
      </w:r>
      <w:proofErr w:type="spellStart"/>
      <w:r w:rsidR="000A6BEE" w:rsidRPr="00157521">
        <w:rPr>
          <w:szCs w:val="22"/>
          <w:lang w:val="sk-SK"/>
        </w:rPr>
        <w:t>amlodipínom</w:t>
      </w:r>
      <w:proofErr w:type="spellEnd"/>
      <w:r w:rsidR="000A6BEE" w:rsidRPr="00157521">
        <w:rPr>
          <w:szCs w:val="22"/>
          <w:lang w:val="sk-SK"/>
        </w:rPr>
        <w:t xml:space="preserve"> obmedzte dávku </w:t>
      </w:r>
      <w:proofErr w:type="spellStart"/>
      <w:r w:rsidR="000A6BEE" w:rsidRPr="00157521">
        <w:rPr>
          <w:szCs w:val="22"/>
          <w:lang w:val="sk-SK"/>
        </w:rPr>
        <w:t>simvastatínu</w:t>
      </w:r>
      <w:proofErr w:type="spellEnd"/>
      <w:r w:rsidR="000A6BEE" w:rsidRPr="00157521">
        <w:rPr>
          <w:szCs w:val="22"/>
          <w:lang w:val="sk-SK"/>
        </w:rPr>
        <w:t xml:space="preserve"> na 20 mg denne.</w:t>
      </w:r>
    </w:p>
    <w:p w14:paraId="264E33A3" w14:textId="77777777" w:rsidR="00D14EE6" w:rsidRDefault="00D14EE6" w:rsidP="009512D0">
      <w:pPr>
        <w:spacing w:line="240" w:lineRule="auto"/>
        <w:rPr>
          <w:szCs w:val="22"/>
          <w:lang w:val="sk-SK"/>
        </w:rPr>
      </w:pPr>
    </w:p>
    <w:p w14:paraId="264E33A4" w14:textId="77777777" w:rsidR="00E432D2" w:rsidRPr="00157521" w:rsidRDefault="00E432D2" w:rsidP="00E432D2">
      <w:pPr>
        <w:outlineLvl w:val="0"/>
        <w:rPr>
          <w:szCs w:val="22"/>
          <w:lang w:val="sk-SK"/>
        </w:rPr>
      </w:pPr>
      <w:r w:rsidRPr="00157521">
        <w:rPr>
          <w:szCs w:val="22"/>
          <w:lang w:val="sk-SK"/>
        </w:rPr>
        <w:lastRenderedPageBreak/>
        <w:t xml:space="preserve">V klinických interakčných štúdiách </w:t>
      </w: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szCs w:val="22"/>
          <w:lang w:val="sk-SK"/>
        </w:rPr>
        <w:t xml:space="preserve"> neovplyvňoval </w:t>
      </w:r>
      <w:proofErr w:type="spellStart"/>
      <w:r w:rsidRPr="00157521">
        <w:rPr>
          <w:szCs w:val="22"/>
          <w:lang w:val="sk-SK"/>
        </w:rPr>
        <w:t>farmakok</w:t>
      </w:r>
      <w:r>
        <w:rPr>
          <w:szCs w:val="22"/>
          <w:lang w:val="sk-SK"/>
        </w:rPr>
        <w:t>inetiku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atorvastatínu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digoxínu</w:t>
      </w:r>
      <w:proofErr w:type="spellEnd"/>
      <w:r>
        <w:rPr>
          <w:szCs w:val="22"/>
          <w:lang w:val="sk-SK"/>
        </w:rPr>
        <w:t xml:space="preserve"> alebo</w:t>
      </w:r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warfarínu</w:t>
      </w:r>
      <w:proofErr w:type="spellEnd"/>
      <w:r w:rsidRPr="00157521">
        <w:rPr>
          <w:szCs w:val="22"/>
          <w:lang w:val="sk-SK"/>
        </w:rPr>
        <w:t>.</w:t>
      </w:r>
    </w:p>
    <w:p w14:paraId="264E33A5" w14:textId="77777777" w:rsidR="00E432D2" w:rsidRPr="00157521" w:rsidRDefault="00E432D2" w:rsidP="009512D0">
      <w:pPr>
        <w:spacing w:line="240" w:lineRule="auto"/>
        <w:rPr>
          <w:szCs w:val="22"/>
          <w:lang w:val="sk-SK"/>
        </w:rPr>
      </w:pPr>
    </w:p>
    <w:p w14:paraId="264E33A6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szCs w:val="22"/>
          <w:lang w:val="sk-SK"/>
        </w:rPr>
        <w:t>4.6</w:t>
      </w:r>
      <w:r w:rsidRPr="00157521">
        <w:rPr>
          <w:b/>
          <w:szCs w:val="22"/>
          <w:lang w:val="sk-SK"/>
        </w:rPr>
        <w:tab/>
      </w:r>
      <w:proofErr w:type="spellStart"/>
      <w:r w:rsidR="00CD0A80" w:rsidRPr="00157521">
        <w:rPr>
          <w:b/>
          <w:szCs w:val="22"/>
          <w:lang w:val="sk-SK"/>
        </w:rPr>
        <w:t>Fertilita</w:t>
      </w:r>
      <w:proofErr w:type="spellEnd"/>
      <w:r w:rsidR="00CD0A80" w:rsidRPr="00157521">
        <w:rPr>
          <w:b/>
          <w:szCs w:val="22"/>
          <w:lang w:val="sk-SK"/>
        </w:rPr>
        <w:t>, g</w:t>
      </w:r>
      <w:r w:rsidR="00B936DA" w:rsidRPr="00157521">
        <w:rPr>
          <w:b/>
          <w:szCs w:val="22"/>
          <w:lang w:val="sk-SK"/>
        </w:rPr>
        <w:t>ravidita</w:t>
      </w:r>
      <w:r w:rsidR="00B936DA" w:rsidRPr="00157521">
        <w:rPr>
          <w:b/>
          <w:lang w:val="sk-SK"/>
        </w:rPr>
        <w:t xml:space="preserve"> a laktácia</w:t>
      </w:r>
    </w:p>
    <w:p w14:paraId="264E33A7" w14:textId="77777777" w:rsidR="00681759" w:rsidRPr="00157521" w:rsidRDefault="00681759" w:rsidP="009512D0">
      <w:pPr>
        <w:spacing w:line="240" w:lineRule="auto"/>
        <w:ind w:left="567" w:hanging="567"/>
        <w:rPr>
          <w:i/>
          <w:lang w:val="sk-SK"/>
        </w:rPr>
      </w:pPr>
    </w:p>
    <w:p w14:paraId="264E33A8" w14:textId="77777777" w:rsidR="00681759" w:rsidRPr="00157521" w:rsidRDefault="00B936DA" w:rsidP="009512D0">
      <w:pPr>
        <w:spacing w:line="240" w:lineRule="auto"/>
        <w:rPr>
          <w:u w:val="single"/>
          <w:lang w:val="sk-SK"/>
        </w:rPr>
      </w:pPr>
      <w:r w:rsidRPr="00157521">
        <w:rPr>
          <w:u w:val="single"/>
          <w:lang w:val="sk-SK"/>
        </w:rPr>
        <w:t>Gravidita</w:t>
      </w:r>
    </w:p>
    <w:p w14:paraId="264E33A9" w14:textId="77777777" w:rsidR="00ED2DA9" w:rsidRPr="00157521" w:rsidRDefault="00ED2DA9" w:rsidP="009512D0">
      <w:pPr>
        <w:spacing w:line="240" w:lineRule="auto"/>
        <w:rPr>
          <w:iCs/>
          <w:szCs w:val="22"/>
          <w:u w:val="single"/>
          <w:lang w:val="sk-SK"/>
        </w:rPr>
      </w:pPr>
    </w:p>
    <w:p w14:paraId="264E33AA" w14:textId="77777777" w:rsidR="004D2A52" w:rsidRPr="00157521" w:rsidRDefault="004D2A52" w:rsidP="004D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Používanie </w:t>
      </w:r>
      <w:r w:rsidR="00915D85">
        <w:rPr>
          <w:szCs w:val="22"/>
          <w:lang w:val="sk-SK"/>
        </w:rPr>
        <w:t>DIRONORMU</w:t>
      </w:r>
      <w:r w:rsidRPr="00157521">
        <w:rPr>
          <w:szCs w:val="22"/>
          <w:lang w:val="sk-SK"/>
        </w:rPr>
        <w:t xml:space="preserve"> sa neodporúča počas prvého </w:t>
      </w:r>
      <w:proofErr w:type="spellStart"/>
      <w:r w:rsidRPr="00157521">
        <w:rPr>
          <w:szCs w:val="22"/>
          <w:lang w:val="sk-SK"/>
        </w:rPr>
        <w:t>trimestra</w:t>
      </w:r>
      <w:proofErr w:type="spellEnd"/>
      <w:r w:rsidRPr="00157521">
        <w:rPr>
          <w:szCs w:val="22"/>
          <w:lang w:val="sk-SK"/>
        </w:rPr>
        <w:t xml:space="preserve"> gravidity a je kontraindikované počas druhého a tretieho </w:t>
      </w:r>
      <w:proofErr w:type="spellStart"/>
      <w:r w:rsidRPr="00157521">
        <w:rPr>
          <w:szCs w:val="22"/>
          <w:lang w:val="sk-SK"/>
        </w:rPr>
        <w:t>trimestra</w:t>
      </w:r>
      <w:proofErr w:type="spellEnd"/>
      <w:r w:rsidRPr="00157521">
        <w:rPr>
          <w:szCs w:val="22"/>
          <w:lang w:val="sk-SK"/>
        </w:rPr>
        <w:t xml:space="preserve"> gravidity.</w:t>
      </w:r>
    </w:p>
    <w:p w14:paraId="264E33AB" w14:textId="77777777" w:rsidR="004D2A52" w:rsidRPr="00157521" w:rsidRDefault="004D2A52" w:rsidP="00ED2DA9">
      <w:pPr>
        <w:rPr>
          <w:szCs w:val="22"/>
          <w:lang w:val="sk-SK"/>
        </w:rPr>
      </w:pPr>
    </w:p>
    <w:p w14:paraId="264E33AC" w14:textId="77777777" w:rsidR="00ED2DA9" w:rsidRPr="00157521" w:rsidRDefault="00F94402" w:rsidP="00ED2DA9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Nie sú k dispozícii žiadne skúsenosti z vhodne kontrolovaných klinických skúšaní s používaním </w:t>
      </w:r>
      <w:proofErr w:type="spellStart"/>
      <w:r w:rsidR="008C3C05">
        <w:rPr>
          <w:szCs w:val="22"/>
          <w:lang w:val="sk-SK"/>
        </w:rPr>
        <w:t>lizinoprilu</w:t>
      </w:r>
      <w:proofErr w:type="spellEnd"/>
      <w:r w:rsidR="008C3C05">
        <w:rPr>
          <w:szCs w:val="22"/>
          <w:lang w:val="sk-SK"/>
        </w:rPr>
        <w:t xml:space="preserve"> a </w:t>
      </w:r>
      <w:proofErr w:type="spellStart"/>
      <w:r w:rsidR="008C3C05">
        <w:rPr>
          <w:szCs w:val="22"/>
          <w:lang w:val="sk-SK"/>
        </w:rPr>
        <w:t>amlodipínu</w:t>
      </w:r>
      <w:proofErr w:type="spellEnd"/>
      <w:r w:rsidR="00ED2DA9" w:rsidRPr="00157521">
        <w:rPr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>u gravidných žien</w:t>
      </w:r>
      <w:r w:rsidR="00ED2DA9" w:rsidRPr="00157521">
        <w:rPr>
          <w:szCs w:val="22"/>
          <w:lang w:val="sk-SK"/>
        </w:rPr>
        <w:t>.</w:t>
      </w:r>
      <w:r w:rsidR="004D2A52" w:rsidRPr="00157521">
        <w:rPr>
          <w:szCs w:val="22"/>
          <w:lang w:val="sk-SK"/>
        </w:rPr>
        <w:t xml:space="preserve"> Avšak použitie oboch liečiv počas gravidity je alebo neodporúčané alebo kontraindikované (detaily špecifické pre látky pozri nižšie).</w:t>
      </w:r>
    </w:p>
    <w:p w14:paraId="264E33AD" w14:textId="77777777" w:rsidR="004D2A52" w:rsidRPr="00157521" w:rsidRDefault="004D2A52" w:rsidP="00ED2DA9">
      <w:pPr>
        <w:rPr>
          <w:szCs w:val="22"/>
          <w:lang w:val="sk-SK"/>
        </w:rPr>
      </w:pPr>
    </w:p>
    <w:p w14:paraId="264E33AE" w14:textId="77777777" w:rsidR="004D2A52" w:rsidRPr="00157521" w:rsidRDefault="004D2A52" w:rsidP="004D2A52">
      <w:pPr>
        <w:jc w:val="both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Keď sa diagnostikuje gravidita, liečbu </w:t>
      </w:r>
      <w:r w:rsidR="00915D85">
        <w:rPr>
          <w:szCs w:val="22"/>
          <w:lang w:val="sk-SK"/>
        </w:rPr>
        <w:t>DIRONORMOM</w:t>
      </w:r>
      <w:r w:rsidRPr="00157521">
        <w:rPr>
          <w:szCs w:val="22"/>
          <w:lang w:val="sk-SK"/>
        </w:rPr>
        <w:t xml:space="preserve"> treba ihneď zastaviť a, pokiaľ je to vhodné, má sa začať s alternatívnou liečbou (pozri časť </w:t>
      </w:r>
      <w:r w:rsidRPr="007D54A6">
        <w:rPr>
          <w:szCs w:val="22"/>
          <w:lang w:val="sk-SK"/>
        </w:rPr>
        <w:t>4.</w:t>
      </w:r>
      <w:r w:rsidR="008C3C05" w:rsidRPr="007D54A6">
        <w:rPr>
          <w:szCs w:val="22"/>
          <w:lang w:val="sk-SK"/>
        </w:rPr>
        <w:t>4</w:t>
      </w:r>
      <w:r w:rsidRPr="007D54A6">
        <w:rPr>
          <w:szCs w:val="22"/>
          <w:lang w:val="sk-SK"/>
        </w:rPr>
        <w:t>).</w:t>
      </w:r>
    </w:p>
    <w:p w14:paraId="264E33AF" w14:textId="77777777" w:rsidR="004D2A52" w:rsidRPr="00157521" w:rsidRDefault="008C3C05" w:rsidP="00ED2DA9">
      <w:pPr>
        <w:rPr>
          <w:szCs w:val="22"/>
          <w:lang w:val="sk-SK"/>
        </w:rPr>
      </w:pPr>
      <w:r w:rsidRPr="00AF5E2C">
        <w:rPr>
          <w:szCs w:val="22"/>
          <w:lang w:val="sk-SK"/>
        </w:rPr>
        <w:t xml:space="preserve">Liečba </w:t>
      </w:r>
      <w:r w:rsidR="00915D85">
        <w:rPr>
          <w:szCs w:val="22"/>
          <w:lang w:val="sk-SK"/>
        </w:rPr>
        <w:t>DIRONORMOM</w:t>
      </w:r>
      <w:r w:rsidRPr="00AF5E2C">
        <w:rPr>
          <w:szCs w:val="22"/>
          <w:lang w:val="sk-SK"/>
        </w:rPr>
        <w:t xml:space="preserve"> sa počas </w:t>
      </w:r>
      <w:r w:rsidR="00AB2C09">
        <w:rPr>
          <w:szCs w:val="22"/>
          <w:lang w:val="sk-SK"/>
        </w:rPr>
        <w:t>gravidity</w:t>
      </w:r>
      <w:r w:rsidR="00AB2C09" w:rsidRPr="00AF5E2C">
        <w:rPr>
          <w:szCs w:val="22"/>
          <w:lang w:val="sk-SK"/>
        </w:rPr>
        <w:t xml:space="preserve"> </w:t>
      </w:r>
      <w:r w:rsidRPr="00AF5E2C">
        <w:rPr>
          <w:szCs w:val="22"/>
          <w:lang w:val="sk-SK"/>
        </w:rPr>
        <w:t xml:space="preserve">nemá začínať. </w:t>
      </w:r>
      <w:r w:rsidR="004D2A52" w:rsidRPr="00157521">
        <w:rPr>
          <w:szCs w:val="22"/>
          <w:lang w:val="sk-SK"/>
        </w:rPr>
        <w:t xml:space="preserve">Aj keď je pokračovanie v liečbe </w:t>
      </w:r>
      <w:r w:rsidR="00915D85">
        <w:rPr>
          <w:szCs w:val="22"/>
          <w:lang w:val="sk-SK"/>
        </w:rPr>
        <w:t>DIRONORMOM</w:t>
      </w:r>
      <w:r w:rsidR="004D2A52" w:rsidRPr="00157521">
        <w:rPr>
          <w:szCs w:val="22"/>
          <w:lang w:val="sk-SK"/>
        </w:rPr>
        <w:t xml:space="preserve"> považované za esenciálne, pacientky, ktoré plánujú </w:t>
      </w:r>
      <w:r w:rsidR="00496A47">
        <w:rPr>
          <w:szCs w:val="22"/>
          <w:lang w:val="sk-SK"/>
        </w:rPr>
        <w:t>gravidit</w:t>
      </w:r>
      <w:r w:rsidR="00C43BEB">
        <w:rPr>
          <w:szCs w:val="22"/>
          <w:lang w:val="sk-SK"/>
        </w:rPr>
        <w:t>u</w:t>
      </w:r>
      <w:r w:rsidR="004D2A52" w:rsidRPr="00157521">
        <w:rPr>
          <w:szCs w:val="22"/>
          <w:lang w:val="sk-SK"/>
        </w:rPr>
        <w:t xml:space="preserve">, musia byť prevedené na alternatívnu </w:t>
      </w:r>
      <w:proofErr w:type="spellStart"/>
      <w:r w:rsidR="004D2A52" w:rsidRPr="00157521">
        <w:rPr>
          <w:szCs w:val="22"/>
          <w:lang w:val="sk-SK"/>
        </w:rPr>
        <w:t>antihypertenznú</w:t>
      </w:r>
      <w:proofErr w:type="spellEnd"/>
      <w:r w:rsidR="004D2A52" w:rsidRPr="00157521">
        <w:rPr>
          <w:szCs w:val="22"/>
          <w:lang w:val="sk-SK"/>
        </w:rPr>
        <w:t xml:space="preserve"> liečbu, ktorá má stanovený bezpečnostný profil pre použitie v gravidite.</w:t>
      </w:r>
      <w:r>
        <w:rPr>
          <w:szCs w:val="22"/>
          <w:lang w:val="sk-SK"/>
        </w:rPr>
        <w:t xml:space="preserve"> </w:t>
      </w:r>
    </w:p>
    <w:p w14:paraId="264E33B0" w14:textId="77777777" w:rsidR="00ED2DA9" w:rsidRPr="00157521" w:rsidRDefault="00ED2DA9" w:rsidP="00ED2DA9">
      <w:pPr>
        <w:rPr>
          <w:szCs w:val="22"/>
          <w:lang w:val="sk-SK"/>
        </w:rPr>
      </w:pPr>
    </w:p>
    <w:p w14:paraId="264E33B1" w14:textId="77777777" w:rsidR="00ED2DA9" w:rsidRPr="00157521" w:rsidRDefault="00F94402" w:rsidP="00ED2DA9">
      <w:pPr>
        <w:rPr>
          <w:i/>
          <w:iCs/>
          <w:szCs w:val="22"/>
          <w:lang w:val="sk-SK"/>
        </w:rPr>
      </w:pPr>
      <w:r w:rsidRPr="00157521">
        <w:rPr>
          <w:i/>
          <w:iCs/>
          <w:szCs w:val="22"/>
          <w:lang w:val="sk-SK"/>
        </w:rPr>
        <w:t xml:space="preserve">Spojené s </w:t>
      </w:r>
      <w:proofErr w:type="spellStart"/>
      <w:r w:rsidR="00ED2DA9" w:rsidRPr="00157521">
        <w:rPr>
          <w:i/>
          <w:iCs/>
          <w:szCs w:val="22"/>
          <w:lang w:val="sk-SK"/>
        </w:rPr>
        <w:t>li</w:t>
      </w:r>
      <w:r w:rsidRPr="00157521">
        <w:rPr>
          <w:i/>
          <w:iCs/>
          <w:szCs w:val="22"/>
          <w:lang w:val="sk-SK"/>
        </w:rPr>
        <w:t>z</w:t>
      </w:r>
      <w:r w:rsidR="00ED2DA9" w:rsidRPr="00157521">
        <w:rPr>
          <w:i/>
          <w:iCs/>
          <w:szCs w:val="22"/>
          <w:lang w:val="sk-SK"/>
        </w:rPr>
        <w:t>inopril</w:t>
      </w:r>
      <w:r w:rsidRPr="00157521">
        <w:rPr>
          <w:i/>
          <w:iCs/>
          <w:szCs w:val="22"/>
          <w:lang w:val="sk-SK"/>
        </w:rPr>
        <w:t>om</w:t>
      </w:r>
      <w:proofErr w:type="spellEnd"/>
    </w:p>
    <w:p w14:paraId="264E33B2" w14:textId="77777777" w:rsidR="00ED2DA9" w:rsidRPr="00157521" w:rsidRDefault="00ED2DA9" w:rsidP="009512D0">
      <w:pPr>
        <w:spacing w:line="240" w:lineRule="auto"/>
        <w:rPr>
          <w:iCs/>
          <w:szCs w:val="22"/>
          <w:u w:val="single"/>
          <w:lang w:val="sk-SK"/>
        </w:rPr>
      </w:pPr>
    </w:p>
    <w:p w14:paraId="264E33B3" w14:textId="77777777" w:rsidR="004D2A52" w:rsidRPr="00157521" w:rsidRDefault="00F94402" w:rsidP="0069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157521">
        <w:rPr>
          <w:lang w:val="sk-SK"/>
        </w:rPr>
        <w:t xml:space="preserve">Podávanie ACE inhibítorov sa v prvom </w:t>
      </w:r>
      <w:proofErr w:type="spellStart"/>
      <w:r w:rsidRPr="00157521">
        <w:rPr>
          <w:lang w:val="sk-SK"/>
        </w:rPr>
        <w:t>trimestri</w:t>
      </w:r>
      <w:proofErr w:type="spellEnd"/>
      <w:r w:rsidRPr="00157521">
        <w:rPr>
          <w:lang w:val="sk-SK"/>
        </w:rPr>
        <w:t xml:space="preserve"> gravidity neodporúča</w:t>
      </w:r>
      <w:r w:rsidR="004D2A52" w:rsidRPr="00157521">
        <w:rPr>
          <w:lang w:val="sk-SK"/>
        </w:rPr>
        <w:t xml:space="preserve"> </w:t>
      </w:r>
      <w:r w:rsidR="004D2A52" w:rsidRPr="00157521">
        <w:rPr>
          <w:szCs w:val="22"/>
          <w:lang w:val="sk-SK"/>
        </w:rPr>
        <w:t>(pozri časť 4.4).</w:t>
      </w:r>
    </w:p>
    <w:p w14:paraId="264E33B4" w14:textId="77777777" w:rsidR="00681759" w:rsidRPr="00157521" w:rsidRDefault="004D2A52" w:rsidP="0069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sk-SK"/>
        </w:rPr>
      </w:pPr>
      <w:r w:rsidRPr="00157521">
        <w:rPr>
          <w:szCs w:val="22"/>
          <w:lang w:val="sk-SK"/>
        </w:rPr>
        <w:t>Podávanie ACE inhibítorov je</w:t>
      </w:r>
      <w:r w:rsidR="00F94402" w:rsidRPr="00157521">
        <w:rPr>
          <w:lang w:val="sk-SK"/>
        </w:rPr>
        <w:t xml:space="preserve"> v druhom a treťom </w:t>
      </w:r>
      <w:proofErr w:type="spellStart"/>
      <w:r w:rsidR="00F94402" w:rsidRPr="00157521">
        <w:rPr>
          <w:lang w:val="sk-SK"/>
        </w:rPr>
        <w:t>trimestri</w:t>
      </w:r>
      <w:proofErr w:type="spellEnd"/>
      <w:r w:rsidR="00F94402" w:rsidRPr="00157521">
        <w:rPr>
          <w:lang w:val="sk-SK"/>
        </w:rPr>
        <w:t xml:space="preserve"> </w:t>
      </w:r>
      <w:r w:rsidR="00A8338F" w:rsidRPr="00157521">
        <w:rPr>
          <w:lang w:val="sk-SK"/>
        </w:rPr>
        <w:t>kontraindikované</w:t>
      </w:r>
      <w:r w:rsidR="00F94402" w:rsidRPr="00157521">
        <w:rPr>
          <w:szCs w:val="22"/>
          <w:lang w:val="sk-SK"/>
        </w:rPr>
        <w:t xml:space="preserve"> </w:t>
      </w:r>
      <w:r w:rsidR="0020078F" w:rsidRPr="00157521">
        <w:rPr>
          <w:szCs w:val="22"/>
          <w:lang w:val="sk-SK"/>
        </w:rPr>
        <w:t>(</w:t>
      </w:r>
      <w:r w:rsidR="00F94402" w:rsidRPr="00157521">
        <w:rPr>
          <w:szCs w:val="22"/>
          <w:lang w:val="sk-SK"/>
        </w:rPr>
        <w:t xml:space="preserve">pozri časti </w:t>
      </w:r>
      <w:r w:rsidR="0020078F" w:rsidRPr="00157521">
        <w:rPr>
          <w:szCs w:val="22"/>
          <w:lang w:val="sk-SK"/>
        </w:rPr>
        <w:t>4.3 a 4.4)</w:t>
      </w:r>
      <w:r w:rsidR="00681759" w:rsidRPr="00157521">
        <w:rPr>
          <w:szCs w:val="22"/>
          <w:lang w:val="sk-SK"/>
        </w:rPr>
        <w:t>.</w:t>
      </w:r>
      <w:r w:rsidR="00681759" w:rsidRPr="00157521">
        <w:rPr>
          <w:lang w:val="sk-SK"/>
        </w:rPr>
        <w:t xml:space="preserve"> </w:t>
      </w:r>
    </w:p>
    <w:p w14:paraId="264E33B5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3B6" w14:textId="77777777" w:rsidR="005F3556" w:rsidRPr="00157521" w:rsidRDefault="00F94402" w:rsidP="005F3556">
      <w:pPr>
        <w:rPr>
          <w:szCs w:val="22"/>
          <w:lang w:val="sk-SK"/>
        </w:rPr>
      </w:pPr>
      <w:r w:rsidRPr="00157521">
        <w:rPr>
          <w:lang w:val="sk-SK"/>
        </w:rPr>
        <w:t xml:space="preserve">Epidemiologické dôkazy týkajúce sa rizika </w:t>
      </w:r>
      <w:proofErr w:type="spellStart"/>
      <w:r w:rsidRPr="00157521">
        <w:rPr>
          <w:lang w:val="sk-SK"/>
        </w:rPr>
        <w:t>teratogenity</w:t>
      </w:r>
      <w:proofErr w:type="spellEnd"/>
      <w:r w:rsidRPr="00157521">
        <w:rPr>
          <w:lang w:val="sk-SK"/>
        </w:rPr>
        <w:t xml:space="preserve"> po expozícii ACE inhibítorom počas prvého </w:t>
      </w:r>
      <w:proofErr w:type="spellStart"/>
      <w:r w:rsidRPr="00157521">
        <w:rPr>
          <w:lang w:val="sk-SK"/>
        </w:rPr>
        <w:t>trimestra</w:t>
      </w:r>
      <w:proofErr w:type="spellEnd"/>
      <w:r w:rsidRPr="00157521">
        <w:rPr>
          <w:lang w:val="sk-SK"/>
        </w:rPr>
        <w:t xml:space="preserve"> gravidity </w:t>
      </w:r>
      <w:r w:rsidRPr="00157521">
        <w:rPr>
          <w:szCs w:val="22"/>
          <w:lang w:val="sk-SK"/>
        </w:rPr>
        <w:t>nepriniesli závery; avšak mierne zvýšenie rizika sa nedá vylúčiť</w:t>
      </w:r>
      <w:r w:rsidR="00681759" w:rsidRPr="00157521">
        <w:rPr>
          <w:szCs w:val="22"/>
          <w:lang w:val="sk-SK"/>
        </w:rPr>
        <w:t xml:space="preserve">. </w:t>
      </w:r>
      <w:r w:rsidRPr="00157521">
        <w:rPr>
          <w:szCs w:val="22"/>
          <w:lang w:val="sk-SK"/>
        </w:rPr>
        <w:t xml:space="preserve">Pokiaľ sa pokračovanie v liečbe ACE inhibítorom zváži ako potrebné, treba pacientku, plánujúcu </w:t>
      </w:r>
      <w:r w:rsidR="00E2644B">
        <w:rPr>
          <w:szCs w:val="22"/>
          <w:lang w:val="sk-SK"/>
        </w:rPr>
        <w:t>graviditu</w:t>
      </w:r>
      <w:r w:rsidR="00E2644B" w:rsidRPr="00157521">
        <w:rPr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 xml:space="preserve">prestaviť na inú </w:t>
      </w:r>
      <w:proofErr w:type="spellStart"/>
      <w:r w:rsidRPr="00157521">
        <w:rPr>
          <w:szCs w:val="22"/>
          <w:lang w:val="sk-SK"/>
        </w:rPr>
        <w:t>antihypertenzn</w:t>
      </w:r>
      <w:r w:rsidR="00E2644B">
        <w:rPr>
          <w:szCs w:val="22"/>
          <w:lang w:val="sk-SK"/>
        </w:rPr>
        <w:t>ú</w:t>
      </w:r>
      <w:proofErr w:type="spellEnd"/>
      <w:r w:rsidRPr="00157521">
        <w:rPr>
          <w:szCs w:val="22"/>
          <w:lang w:val="sk-SK"/>
        </w:rPr>
        <w:t xml:space="preserve"> liečbu, ktorá má stanovený bezpečnostný profil pre použitie v</w:t>
      </w:r>
      <w:r w:rsidR="00E2644B">
        <w:rPr>
          <w:szCs w:val="22"/>
          <w:lang w:val="sk-SK"/>
        </w:rPr>
        <w:t> </w:t>
      </w:r>
      <w:r w:rsidRPr="00157521">
        <w:rPr>
          <w:szCs w:val="22"/>
          <w:lang w:val="sk-SK"/>
        </w:rPr>
        <w:t>gravidite</w:t>
      </w:r>
      <w:r w:rsidR="005F3556" w:rsidRPr="00157521">
        <w:rPr>
          <w:szCs w:val="22"/>
          <w:lang w:val="sk-SK"/>
        </w:rPr>
        <w:t xml:space="preserve">. </w:t>
      </w:r>
      <w:r w:rsidRPr="00157521">
        <w:rPr>
          <w:szCs w:val="22"/>
          <w:lang w:val="sk-SK"/>
        </w:rPr>
        <w:t xml:space="preserve">Keď sa zistí </w:t>
      </w:r>
      <w:r w:rsidR="00E2644B">
        <w:rPr>
          <w:szCs w:val="22"/>
          <w:lang w:val="sk-SK"/>
        </w:rPr>
        <w:t>gravidita</w:t>
      </w:r>
      <w:r w:rsidRPr="00157521">
        <w:rPr>
          <w:szCs w:val="22"/>
          <w:lang w:val="sk-SK"/>
        </w:rPr>
        <w:t>, treba liečbu ACE inhibítorom ihneď zastaviť, a ak je to vhodné, začať alternatívnu liečbu</w:t>
      </w:r>
      <w:r w:rsidR="005F3556" w:rsidRPr="00157521">
        <w:rPr>
          <w:szCs w:val="22"/>
          <w:lang w:val="sk-SK"/>
        </w:rPr>
        <w:t>.</w:t>
      </w:r>
      <w:r w:rsidRPr="00157521">
        <w:rPr>
          <w:szCs w:val="22"/>
          <w:lang w:val="sk-SK"/>
        </w:rPr>
        <w:t xml:space="preserve"> </w:t>
      </w:r>
    </w:p>
    <w:p w14:paraId="264E33B7" w14:textId="77777777" w:rsidR="00681759" w:rsidRPr="00157521" w:rsidRDefault="00F94402" w:rsidP="005F3556">
      <w:pPr>
        <w:rPr>
          <w:lang w:val="sk-SK"/>
        </w:rPr>
      </w:pPr>
      <w:r w:rsidRPr="00157521">
        <w:rPr>
          <w:lang w:val="sk-SK"/>
        </w:rPr>
        <w:t xml:space="preserve">Je známe, že expozícia ACE inhibítorom v druhom a treťom </w:t>
      </w:r>
      <w:proofErr w:type="spellStart"/>
      <w:r w:rsidRPr="00157521">
        <w:rPr>
          <w:lang w:val="sk-SK"/>
        </w:rPr>
        <w:t>trimestri</w:t>
      </w:r>
      <w:proofErr w:type="spellEnd"/>
      <w:r w:rsidRPr="00157521">
        <w:rPr>
          <w:lang w:val="sk-SK"/>
        </w:rPr>
        <w:t xml:space="preserve"> indukuje u ľudí </w:t>
      </w:r>
      <w:proofErr w:type="spellStart"/>
      <w:r w:rsidRPr="00157521">
        <w:rPr>
          <w:lang w:val="sk-SK"/>
        </w:rPr>
        <w:t>fetotoxicitu</w:t>
      </w:r>
      <w:proofErr w:type="spellEnd"/>
      <w:r w:rsidRPr="00157521">
        <w:rPr>
          <w:lang w:val="sk-SK"/>
        </w:rPr>
        <w:t xml:space="preserve"> (znížená funkcia obličiek, </w:t>
      </w:r>
      <w:proofErr w:type="spellStart"/>
      <w:r w:rsidRPr="00157521">
        <w:rPr>
          <w:lang w:val="sk-SK"/>
        </w:rPr>
        <w:t>oligohydramnió</w:t>
      </w:r>
      <w:r w:rsidR="00C66A5E" w:rsidRPr="00157521">
        <w:rPr>
          <w:lang w:val="sk-SK"/>
        </w:rPr>
        <w:t>n</w:t>
      </w:r>
      <w:proofErr w:type="spellEnd"/>
      <w:r w:rsidRPr="00157521">
        <w:rPr>
          <w:lang w:val="sk-SK"/>
        </w:rPr>
        <w:t>, spomalenie osifikácie lebky) a novorodeneck</w:t>
      </w:r>
      <w:r w:rsidR="00C66A5E" w:rsidRPr="00157521">
        <w:rPr>
          <w:lang w:val="sk-SK"/>
        </w:rPr>
        <w:t>ú</w:t>
      </w:r>
      <w:r w:rsidRPr="00157521">
        <w:rPr>
          <w:lang w:val="sk-SK"/>
        </w:rPr>
        <w:t xml:space="preserve"> toxicit</w:t>
      </w:r>
      <w:r w:rsidR="00C66A5E" w:rsidRPr="00157521">
        <w:rPr>
          <w:lang w:val="sk-SK"/>
        </w:rPr>
        <w:t>u</w:t>
      </w:r>
      <w:r w:rsidRPr="00157521">
        <w:rPr>
          <w:lang w:val="sk-SK"/>
        </w:rPr>
        <w:t xml:space="preserve"> (zlyhanie obličiek, hypotenzia, </w:t>
      </w:r>
      <w:proofErr w:type="spellStart"/>
      <w:r w:rsidRPr="00157521">
        <w:rPr>
          <w:lang w:val="sk-SK"/>
        </w:rPr>
        <w:t>hyperkaliémia</w:t>
      </w:r>
      <w:proofErr w:type="spellEnd"/>
      <w:r w:rsidR="00681759" w:rsidRPr="00157521">
        <w:rPr>
          <w:szCs w:val="22"/>
          <w:lang w:val="sk-SK"/>
        </w:rPr>
        <w:t>)</w:t>
      </w:r>
      <w:r w:rsidR="00E43805" w:rsidRPr="00157521">
        <w:rPr>
          <w:szCs w:val="22"/>
          <w:lang w:val="sk-SK"/>
        </w:rPr>
        <w:t xml:space="preserve"> </w:t>
      </w:r>
      <w:r w:rsidR="005F3556" w:rsidRPr="00157521">
        <w:rPr>
          <w:szCs w:val="22"/>
          <w:lang w:val="sk-SK"/>
        </w:rPr>
        <w:t>(</w:t>
      </w:r>
      <w:r w:rsidR="00E43805" w:rsidRPr="00157521">
        <w:rPr>
          <w:szCs w:val="22"/>
          <w:lang w:val="sk-SK"/>
        </w:rPr>
        <w:t>p</w:t>
      </w:r>
      <w:r w:rsidRPr="00157521">
        <w:rPr>
          <w:szCs w:val="22"/>
          <w:lang w:val="sk-SK"/>
        </w:rPr>
        <w:t xml:space="preserve">ozri časť </w:t>
      </w:r>
      <w:r w:rsidR="005F3556" w:rsidRPr="00157521">
        <w:rPr>
          <w:szCs w:val="22"/>
          <w:lang w:val="sk-SK"/>
        </w:rPr>
        <w:t>5.3)</w:t>
      </w:r>
      <w:r w:rsidR="00E43805" w:rsidRPr="00157521">
        <w:rPr>
          <w:szCs w:val="22"/>
          <w:lang w:val="sk-SK"/>
        </w:rPr>
        <w:t xml:space="preserve">. Ak došlo k expozícii </w:t>
      </w:r>
      <w:r w:rsidR="005F3556" w:rsidRPr="00157521">
        <w:rPr>
          <w:szCs w:val="22"/>
          <w:lang w:val="sk-SK"/>
        </w:rPr>
        <w:t>ACE inhib</w:t>
      </w:r>
      <w:r w:rsidR="00E43805" w:rsidRPr="00157521">
        <w:rPr>
          <w:szCs w:val="22"/>
          <w:lang w:val="sk-SK"/>
        </w:rPr>
        <w:t>í</w:t>
      </w:r>
      <w:r w:rsidR="005F3556" w:rsidRPr="00157521">
        <w:rPr>
          <w:szCs w:val="22"/>
          <w:lang w:val="sk-SK"/>
        </w:rPr>
        <w:t>tor</w:t>
      </w:r>
      <w:r w:rsidR="00E43805" w:rsidRPr="00157521">
        <w:rPr>
          <w:szCs w:val="22"/>
          <w:lang w:val="sk-SK"/>
        </w:rPr>
        <w:t xml:space="preserve">u od druhého </w:t>
      </w:r>
      <w:proofErr w:type="spellStart"/>
      <w:r w:rsidR="00E43805" w:rsidRPr="00157521">
        <w:rPr>
          <w:szCs w:val="22"/>
          <w:lang w:val="sk-SK"/>
        </w:rPr>
        <w:t>trimestra</w:t>
      </w:r>
      <w:proofErr w:type="spellEnd"/>
      <w:r w:rsidR="00E43805" w:rsidRPr="00157521">
        <w:rPr>
          <w:szCs w:val="22"/>
          <w:lang w:val="sk-SK"/>
        </w:rPr>
        <w:t xml:space="preserve">, odporúča sa kontrola </w:t>
      </w:r>
      <w:r w:rsidR="00D85D63" w:rsidRPr="00157521">
        <w:rPr>
          <w:szCs w:val="22"/>
          <w:lang w:val="sk-SK"/>
        </w:rPr>
        <w:t xml:space="preserve">funkcie obličiek a lebky ultrazvukom. Deti, ktorých matky užívali </w:t>
      </w:r>
      <w:r w:rsidR="005F3556" w:rsidRPr="00157521">
        <w:rPr>
          <w:szCs w:val="22"/>
          <w:lang w:val="sk-SK"/>
        </w:rPr>
        <w:t>ACE inhib</w:t>
      </w:r>
      <w:r w:rsidR="00D85D63" w:rsidRPr="00157521">
        <w:rPr>
          <w:szCs w:val="22"/>
          <w:lang w:val="sk-SK"/>
        </w:rPr>
        <w:t>í</w:t>
      </w:r>
      <w:r w:rsidR="005F3556" w:rsidRPr="00157521">
        <w:rPr>
          <w:szCs w:val="22"/>
          <w:lang w:val="sk-SK"/>
        </w:rPr>
        <w:t>tor</w:t>
      </w:r>
      <w:r w:rsidR="00D85D63" w:rsidRPr="00157521">
        <w:rPr>
          <w:szCs w:val="22"/>
          <w:lang w:val="sk-SK"/>
        </w:rPr>
        <w:t xml:space="preserve">y treba pozorne sledovať pre hypotenziu </w:t>
      </w:r>
      <w:r w:rsidR="005F3556" w:rsidRPr="00157521">
        <w:rPr>
          <w:szCs w:val="22"/>
          <w:lang w:val="sk-SK"/>
        </w:rPr>
        <w:t>(</w:t>
      </w:r>
      <w:r w:rsidR="00D85D63" w:rsidRPr="00157521">
        <w:rPr>
          <w:szCs w:val="22"/>
          <w:lang w:val="sk-SK"/>
        </w:rPr>
        <w:t xml:space="preserve">pozri časti </w:t>
      </w:r>
      <w:r w:rsidR="005F3556" w:rsidRPr="00157521">
        <w:rPr>
          <w:szCs w:val="22"/>
          <w:lang w:val="sk-SK"/>
        </w:rPr>
        <w:t>4.3 a 4.4</w:t>
      </w:r>
      <w:r w:rsidR="005F3556" w:rsidRPr="00157521">
        <w:rPr>
          <w:lang w:val="sk-SK"/>
        </w:rPr>
        <w:t>).</w:t>
      </w:r>
    </w:p>
    <w:p w14:paraId="264E33B8" w14:textId="77777777" w:rsidR="00ED2DA9" w:rsidRPr="00157521" w:rsidRDefault="00ED2DA9" w:rsidP="005F3556">
      <w:pPr>
        <w:rPr>
          <w:szCs w:val="22"/>
          <w:lang w:val="sk-SK"/>
        </w:rPr>
      </w:pPr>
    </w:p>
    <w:p w14:paraId="264E33B9" w14:textId="77777777" w:rsidR="00ED2DA9" w:rsidRPr="00157521" w:rsidRDefault="00D85D63" w:rsidP="00ED2DA9">
      <w:pPr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 xml:space="preserve">Spojené s </w:t>
      </w:r>
      <w:proofErr w:type="spellStart"/>
      <w:r w:rsidRPr="00157521">
        <w:rPr>
          <w:i/>
          <w:szCs w:val="22"/>
          <w:lang w:val="sk-SK"/>
        </w:rPr>
        <w:t>amlodipínom</w:t>
      </w:r>
      <w:proofErr w:type="spellEnd"/>
    </w:p>
    <w:p w14:paraId="264E33BA" w14:textId="77777777" w:rsidR="00996517" w:rsidRPr="00157521" w:rsidRDefault="00996517" w:rsidP="009512D0">
      <w:pPr>
        <w:spacing w:line="240" w:lineRule="auto"/>
        <w:rPr>
          <w:szCs w:val="22"/>
          <w:lang w:val="sk-SK"/>
        </w:rPr>
      </w:pPr>
    </w:p>
    <w:p w14:paraId="264E33BB" w14:textId="77777777" w:rsidR="00472FF0" w:rsidRPr="00157521" w:rsidRDefault="00472FF0" w:rsidP="00472FF0">
      <w:pPr>
        <w:rPr>
          <w:szCs w:val="22"/>
          <w:lang w:val="sk-SK"/>
        </w:rPr>
      </w:pPr>
      <w:r w:rsidRPr="00157521">
        <w:rPr>
          <w:szCs w:val="22"/>
          <w:lang w:val="sk-SK"/>
        </w:rPr>
        <w:t>Bezpečnosť podávania</w:t>
      </w:r>
      <w:r w:rsidRPr="00157521">
        <w:rPr>
          <w:lang w:val="sk-SK"/>
        </w:rPr>
        <w:t xml:space="preserve"> </w:t>
      </w:r>
      <w:proofErr w:type="spellStart"/>
      <w:r w:rsidRPr="00157521">
        <w:rPr>
          <w:lang w:val="sk-SK"/>
        </w:rPr>
        <w:t>amlodipínu</w:t>
      </w:r>
      <w:proofErr w:type="spellEnd"/>
      <w:r w:rsidRPr="00157521">
        <w:rPr>
          <w:lang w:val="sk-SK"/>
        </w:rPr>
        <w:t xml:space="preserve"> </w:t>
      </w:r>
      <w:r w:rsidRPr="00157521">
        <w:rPr>
          <w:szCs w:val="22"/>
          <w:lang w:val="sk-SK"/>
        </w:rPr>
        <w:t xml:space="preserve">u žien </w:t>
      </w:r>
      <w:r w:rsidRPr="00157521">
        <w:rPr>
          <w:lang w:val="sk-SK"/>
        </w:rPr>
        <w:t xml:space="preserve">počas gravidity </w:t>
      </w:r>
      <w:r w:rsidRPr="00157521">
        <w:rPr>
          <w:szCs w:val="22"/>
          <w:lang w:val="sk-SK"/>
        </w:rPr>
        <w:t xml:space="preserve">nebola stanovená. </w:t>
      </w:r>
    </w:p>
    <w:p w14:paraId="264E33BC" w14:textId="77777777" w:rsidR="00472FF0" w:rsidRPr="00157521" w:rsidRDefault="00472FF0" w:rsidP="00472FF0">
      <w:pPr>
        <w:rPr>
          <w:noProof/>
          <w:szCs w:val="22"/>
          <w:lang w:val="sk-SK"/>
        </w:rPr>
      </w:pPr>
      <w:r w:rsidRPr="00157521">
        <w:rPr>
          <w:noProof/>
          <w:szCs w:val="22"/>
          <w:lang w:val="sk-SK"/>
        </w:rPr>
        <w:t>Štúdie na zvieratách preukázali reprodukčnú toxicitu pri vysokých dávkach (pozri časť 5.3).</w:t>
      </w:r>
    </w:p>
    <w:p w14:paraId="264E33BD" w14:textId="77777777" w:rsidR="00996517" w:rsidRPr="00157521" w:rsidRDefault="00472FF0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>Použitie počas gravidity sa odporúča iba vtedy, ak niet bezpečnejšej alternatívy a ak ochorenie samotné predstavuje zvýšené riziko pre matku a plod.</w:t>
      </w:r>
    </w:p>
    <w:p w14:paraId="264E33BE" w14:textId="77777777" w:rsidR="00996517" w:rsidRPr="00157521" w:rsidRDefault="00996517" w:rsidP="009512D0">
      <w:pPr>
        <w:spacing w:line="240" w:lineRule="auto"/>
        <w:rPr>
          <w:szCs w:val="22"/>
          <w:lang w:val="sk-SK"/>
        </w:rPr>
      </w:pPr>
    </w:p>
    <w:p w14:paraId="264E33BF" w14:textId="77777777" w:rsidR="008605A5" w:rsidRPr="00157521" w:rsidRDefault="008605A5" w:rsidP="009512D0">
      <w:pPr>
        <w:spacing w:line="240" w:lineRule="auto"/>
        <w:rPr>
          <w:iCs/>
          <w:szCs w:val="22"/>
          <w:u w:val="single"/>
          <w:lang w:val="sk-SK"/>
        </w:rPr>
      </w:pPr>
      <w:r w:rsidRPr="00157521">
        <w:rPr>
          <w:iCs/>
          <w:szCs w:val="22"/>
          <w:u w:val="single"/>
          <w:lang w:val="sk-SK"/>
        </w:rPr>
        <w:t>Dojčenie</w:t>
      </w:r>
    </w:p>
    <w:p w14:paraId="264E33C0" w14:textId="77777777" w:rsidR="00681759" w:rsidRPr="00157521" w:rsidRDefault="00681759" w:rsidP="009512D0">
      <w:pPr>
        <w:spacing w:line="240" w:lineRule="auto"/>
        <w:ind w:left="567" w:hanging="567"/>
        <w:rPr>
          <w:b/>
          <w:szCs w:val="22"/>
          <w:lang w:val="sk-SK"/>
        </w:rPr>
      </w:pPr>
    </w:p>
    <w:p w14:paraId="264E33C1" w14:textId="77777777" w:rsidR="00ED2DA9" w:rsidRPr="00157521" w:rsidRDefault="00FF5DC0" w:rsidP="00FF5DC0">
      <w:pPr>
        <w:rPr>
          <w:iCs/>
          <w:szCs w:val="22"/>
          <w:lang w:val="sk-SK"/>
        </w:rPr>
      </w:pPr>
      <w:proofErr w:type="spellStart"/>
      <w:r w:rsidRPr="00FF5DC0">
        <w:rPr>
          <w:iCs/>
          <w:szCs w:val="22"/>
          <w:lang w:val="sk-SK"/>
        </w:rPr>
        <w:t>Amlodipín</w:t>
      </w:r>
      <w:proofErr w:type="spellEnd"/>
      <w:r w:rsidRPr="00FF5DC0">
        <w:rPr>
          <w:iCs/>
          <w:szCs w:val="22"/>
          <w:lang w:val="sk-SK"/>
        </w:rPr>
        <w:t xml:space="preserve"> sa vylučuje do ľudského materského mlieka. Podiel dávky podanej matke, ktorý</w:t>
      </w:r>
      <w:r w:rsidR="000F51B1">
        <w:rPr>
          <w:iCs/>
          <w:szCs w:val="22"/>
          <w:lang w:val="sk-SK"/>
        </w:rPr>
        <w:t xml:space="preserve"> </w:t>
      </w:r>
      <w:r w:rsidRPr="00FF5DC0">
        <w:rPr>
          <w:iCs/>
          <w:szCs w:val="22"/>
          <w:lang w:val="sk-SK"/>
        </w:rPr>
        <w:t xml:space="preserve">dostane dieťa, sa odhadol s </w:t>
      </w:r>
      <w:proofErr w:type="spellStart"/>
      <w:r w:rsidRPr="00FF5DC0">
        <w:rPr>
          <w:iCs/>
          <w:szCs w:val="22"/>
          <w:lang w:val="sk-SK"/>
        </w:rPr>
        <w:t>interkvartilovým</w:t>
      </w:r>
      <w:proofErr w:type="spellEnd"/>
      <w:r w:rsidRPr="00FF5DC0">
        <w:rPr>
          <w:iCs/>
          <w:szCs w:val="22"/>
          <w:lang w:val="sk-SK"/>
        </w:rPr>
        <w:t xml:space="preserve"> rozsahom 3 až 7</w:t>
      </w:r>
      <w:r w:rsidR="007A1449">
        <w:rPr>
          <w:iCs/>
          <w:szCs w:val="22"/>
          <w:lang w:val="sk-SK"/>
        </w:rPr>
        <w:t> </w:t>
      </w:r>
      <w:r w:rsidRPr="00FF5DC0">
        <w:rPr>
          <w:iCs/>
          <w:szCs w:val="22"/>
          <w:lang w:val="sk-SK"/>
        </w:rPr>
        <w:t>%, s maximom 15</w:t>
      </w:r>
      <w:r w:rsidR="007A1449">
        <w:rPr>
          <w:iCs/>
          <w:szCs w:val="22"/>
          <w:lang w:val="sk-SK"/>
        </w:rPr>
        <w:t> </w:t>
      </w:r>
      <w:r w:rsidRPr="00FF5DC0">
        <w:rPr>
          <w:iCs/>
          <w:szCs w:val="22"/>
          <w:lang w:val="sk-SK"/>
        </w:rPr>
        <w:t>%. Účinok</w:t>
      </w:r>
      <w:r w:rsidR="007A1449">
        <w:rPr>
          <w:iCs/>
          <w:szCs w:val="22"/>
          <w:lang w:val="sk-SK"/>
        </w:rPr>
        <w:t xml:space="preserve"> </w:t>
      </w:r>
      <w:proofErr w:type="spellStart"/>
      <w:r w:rsidRPr="00FF5DC0">
        <w:rPr>
          <w:iCs/>
          <w:szCs w:val="22"/>
          <w:lang w:val="sk-SK"/>
        </w:rPr>
        <w:t>amlodipínu</w:t>
      </w:r>
      <w:proofErr w:type="spellEnd"/>
      <w:r w:rsidRPr="00FF5DC0">
        <w:rPr>
          <w:iCs/>
          <w:szCs w:val="22"/>
          <w:lang w:val="sk-SK"/>
        </w:rPr>
        <w:t xml:space="preserve"> na deti nie je známy. </w:t>
      </w:r>
      <w:r w:rsidR="00915D85">
        <w:rPr>
          <w:iCs/>
          <w:szCs w:val="22"/>
          <w:lang w:val="sk-SK"/>
        </w:rPr>
        <w:t>DIRONORM</w:t>
      </w:r>
      <w:r w:rsidR="00ED2DA9" w:rsidRPr="00157521">
        <w:rPr>
          <w:iCs/>
          <w:szCs w:val="22"/>
          <w:lang w:val="sk-SK"/>
        </w:rPr>
        <w:t xml:space="preserve"> </w:t>
      </w:r>
      <w:r w:rsidR="00C97DCA" w:rsidRPr="00157521">
        <w:rPr>
          <w:iCs/>
          <w:szCs w:val="22"/>
          <w:lang w:val="sk-SK"/>
        </w:rPr>
        <w:t xml:space="preserve">nie </w:t>
      </w:r>
      <w:r w:rsidR="00790714" w:rsidRPr="00157521">
        <w:rPr>
          <w:iCs/>
          <w:szCs w:val="22"/>
          <w:lang w:val="sk-SK"/>
        </w:rPr>
        <w:t>je</w:t>
      </w:r>
      <w:r w:rsidR="00C97DCA" w:rsidRPr="00157521">
        <w:rPr>
          <w:iCs/>
          <w:szCs w:val="22"/>
          <w:lang w:val="sk-SK"/>
        </w:rPr>
        <w:t xml:space="preserve"> odporúčan</w:t>
      </w:r>
      <w:r w:rsidR="00790714" w:rsidRPr="00157521">
        <w:rPr>
          <w:iCs/>
          <w:szCs w:val="22"/>
          <w:lang w:val="sk-SK"/>
        </w:rPr>
        <w:t>ý</w:t>
      </w:r>
      <w:r w:rsidR="00C97DCA" w:rsidRPr="00157521">
        <w:rPr>
          <w:iCs/>
          <w:szCs w:val="22"/>
          <w:lang w:val="sk-SK"/>
        </w:rPr>
        <w:t xml:space="preserve"> a treba uprednostniť </w:t>
      </w:r>
      <w:r w:rsidR="00ED2DA9" w:rsidRPr="00157521">
        <w:rPr>
          <w:iCs/>
          <w:szCs w:val="22"/>
          <w:lang w:val="sk-SK"/>
        </w:rPr>
        <w:t>alternat</w:t>
      </w:r>
      <w:r w:rsidR="00C97DCA" w:rsidRPr="00157521">
        <w:rPr>
          <w:iCs/>
          <w:szCs w:val="22"/>
          <w:lang w:val="sk-SK"/>
        </w:rPr>
        <w:t>í</w:t>
      </w:r>
      <w:r w:rsidR="00ED2DA9" w:rsidRPr="00157521">
        <w:rPr>
          <w:iCs/>
          <w:szCs w:val="22"/>
          <w:lang w:val="sk-SK"/>
        </w:rPr>
        <w:t>v</w:t>
      </w:r>
      <w:r w:rsidR="00C97DCA" w:rsidRPr="00157521">
        <w:rPr>
          <w:iCs/>
          <w:szCs w:val="22"/>
          <w:lang w:val="sk-SK"/>
        </w:rPr>
        <w:t>nu liečbu s lepšie stanoveným bezpečnostným profilom pre použitie počas dojčenia, najmä pri dojčení novorodenca alebo predčasn</w:t>
      </w:r>
      <w:r w:rsidR="00ED2DA9" w:rsidRPr="00157521">
        <w:rPr>
          <w:iCs/>
          <w:szCs w:val="22"/>
          <w:lang w:val="sk-SK"/>
        </w:rPr>
        <w:t>e</w:t>
      </w:r>
      <w:r w:rsidR="00C97DCA" w:rsidRPr="00157521">
        <w:rPr>
          <w:iCs/>
          <w:szCs w:val="22"/>
          <w:lang w:val="sk-SK"/>
        </w:rPr>
        <w:t xml:space="preserve"> </w:t>
      </w:r>
      <w:r w:rsidR="00ED2DA9" w:rsidRPr="00157521">
        <w:rPr>
          <w:iCs/>
          <w:szCs w:val="22"/>
          <w:lang w:val="sk-SK"/>
        </w:rPr>
        <w:t>naroden</w:t>
      </w:r>
      <w:r w:rsidR="00C97DCA" w:rsidRPr="00157521">
        <w:rPr>
          <w:iCs/>
          <w:szCs w:val="22"/>
          <w:lang w:val="sk-SK"/>
        </w:rPr>
        <w:t>éh</w:t>
      </w:r>
      <w:r w:rsidR="00ED2DA9" w:rsidRPr="00157521">
        <w:rPr>
          <w:iCs/>
          <w:szCs w:val="22"/>
          <w:lang w:val="sk-SK"/>
        </w:rPr>
        <w:t>o</w:t>
      </w:r>
      <w:r w:rsidR="00C97DCA" w:rsidRPr="00157521">
        <w:rPr>
          <w:iCs/>
          <w:szCs w:val="22"/>
          <w:lang w:val="sk-SK"/>
        </w:rPr>
        <w:t xml:space="preserve"> dieť</w:t>
      </w:r>
      <w:r w:rsidR="00ED2DA9" w:rsidRPr="00157521">
        <w:rPr>
          <w:iCs/>
          <w:szCs w:val="22"/>
          <w:lang w:val="sk-SK"/>
        </w:rPr>
        <w:t>a</w:t>
      </w:r>
      <w:r w:rsidR="00C97DCA" w:rsidRPr="00157521">
        <w:rPr>
          <w:iCs/>
          <w:szCs w:val="22"/>
          <w:lang w:val="sk-SK"/>
        </w:rPr>
        <w:t>ťa</w:t>
      </w:r>
      <w:r w:rsidR="00ED2DA9" w:rsidRPr="00157521">
        <w:rPr>
          <w:iCs/>
          <w:szCs w:val="22"/>
          <w:lang w:val="sk-SK"/>
        </w:rPr>
        <w:t xml:space="preserve">. </w:t>
      </w:r>
    </w:p>
    <w:p w14:paraId="264E33C2" w14:textId="77777777" w:rsidR="00063988" w:rsidRPr="00157521" w:rsidRDefault="00063988" w:rsidP="00ED2DA9">
      <w:pPr>
        <w:rPr>
          <w:iCs/>
          <w:szCs w:val="22"/>
          <w:lang w:val="sk-SK"/>
        </w:rPr>
      </w:pPr>
    </w:p>
    <w:p w14:paraId="264E33C3" w14:textId="77777777" w:rsidR="00063988" w:rsidRPr="00157521" w:rsidRDefault="00063988" w:rsidP="00ED2DA9">
      <w:pPr>
        <w:rPr>
          <w:iCs/>
          <w:szCs w:val="22"/>
          <w:u w:val="single"/>
          <w:lang w:val="sk-SK"/>
        </w:rPr>
      </w:pPr>
      <w:proofErr w:type="spellStart"/>
      <w:r w:rsidRPr="00157521">
        <w:rPr>
          <w:iCs/>
          <w:szCs w:val="22"/>
          <w:u w:val="single"/>
          <w:lang w:val="sk-SK"/>
        </w:rPr>
        <w:t>Fertilita</w:t>
      </w:r>
      <w:proofErr w:type="spellEnd"/>
    </w:p>
    <w:p w14:paraId="264E33C4" w14:textId="77777777" w:rsidR="00063988" w:rsidRPr="00157521" w:rsidRDefault="00063988" w:rsidP="00ED2DA9">
      <w:pPr>
        <w:rPr>
          <w:iCs/>
          <w:szCs w:val="22"/>
          <w:u w:val="single"/>
          <w:lang w:val="sk-SK"/>
        </w:rPr>
      </w:pPr>
    </w:p>
    <w:p w14:paraId="264E33C5" w14:textId="77777777" w:rsidR="00063988" w:rsidRPr="003F7DD0" w:rsidRDefault="00063988" w:rsidP="00ED2DA9">
      <w:pPr>
        <w:rPr>
          <w:lang w:val="sk-SK"/>
        </w:rPr>
      </w:pPr>
      <w:r w:rsidRPr="003F7DD0">
        <w:rPr>
          <w:iCs/>
          <w:szCs w:val="22"/>
          <w:lang w:val="sk-SK"/>
        </w:rPr>
        <w:t xml:space="preserve">Nie sú dostupné </w:t>
      </w:r>
      <w:r w:rsidRPr="003F7DD0">
        <w:rPr>
          <w:lang w:val="sk-SK"/>
        </w:rPr>
        <w:t>žiadne skúsenosti</w:t>
      </w:r>
      <w:r w:rsidRPr="003F7DD0">
        <w:rPr>
          <w:iCs/>
          <w:szCs w:val="22"/>
          <w:lang w:val="sk-SK"/>
        </w:rPr>
        <w:t xml:space="preserve"> s účinkom </w:t>
      </w:r>
      <w:proofErr w:type="spellStart"/>
      <w:r w:rsidR="007F7B6E" w:rsidRPr="007F7B6E">
        <w:rPr>
          <w:iCs/>
          <w:szCs w:val="22"/>
          <w:lang w:val="sk-SK"/>
        </w:rPr>
        <w:t>lizinoprilu</w:t>
      </w:r>
      <w:proofErr w:type="spellEnd"/>
      <w:r w:rsidR="007F7B6E" w:rsidRPr="007F7B6E">
        <w:rPr>
          <w:iCs/>
          <w:szCs w:val="22"/>
          <w:lang w:val="sk-SK"/>
        </w:rPr>
        <w:t xml:space="preserve"> a </w:t>
      </w:r>
      <w:proofErr w:type="spellStart"/>
      <w:r w:rsidR="007F7B6E" w:rsidRPr="007F7B6E">
        <w:rPr>
          <w:iCs/>
          <w:szCs w:val="22"/>
          <w:lang w:val="sk-SK"/>
        </w:rPr>
        <w:t>amlodipínu</w:t>
      </w:r>
      <w:proofErr w:type="spellEnd"/>
      <w:r w:rsidRPr="003F7DD0">
        <w:rPr>
          <w:iCs/>
          <w:szCs w:val="22"/>
          <w:lang w:val="sk-SK"/>
        </w:rPr>
        <w:t xml:space="preserve"> na </w:t>
      </w:r>
      <w:proofErr w:type="spellStart"/>
      <w:r w:rsidRPr="003F7DD0">
        <w:rPr>
          <w:iCs/>
          <w:szCs w:val="22"/>
          <w:lang w:val="sk-SK"/>
        </w:rPr>
        <w:t>fertilitu</w:t>
      </w:r>
      <w:proofErr w:type="spellEnd"/>
      <w:r w:rsidRPr="003F7DD0">
        <w:rPr>
          <w:iCs/>
          <w:szCs w:val="22"/>
          <w:lang w:val="sk-SK"/>
        </w:rPr>
        <w:t xml:space="preserve"> z adekvátne</w:t>
      </w:r>
      <w:r w:rsidRPr="003F7DD0">
        <w:rPr>
          <w:lang w:val="sk-SK"/>
        </w:rPr>
        <w:t xml:space="preserve"> kontrolovaných klinických skúšaní.</w:t>
      </w:r>
    </w:p>
    <w:p w14:paraId="264E33C6" w14:textId="77777777" w:rsidR="00063988" w:rsidRPr="00157521" w:rsidRDefault="00063988" w:rsidP="00ED2DA9">
      <w:pPr>
        <w:rPr>
          <w:iCs/>
          <w:szCs w:val="22"/>
          <w:u w:val="single"/>
          <w:lang w:val="sk-SK"/>
        </w:rPr>
      </w:pPr>
    </w:p>
    <w:p w14:paraId="264E33C7" w14:textId="77777777" w:rsidR="00063988" w:rsidRPr="00157521" w:rsidRDefault="00063988" w:rsidP="00063988">
      <w:pPr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 xml:space="preserve">Spojené s </w:t>
      </w:r>
      <w:proofErr w:type="spellStart"/>
      <w:r w:rsidRPr="00157521">
        <w:rPr>
          <w:i/>
          <w:szCs w:val="22"/>
          <w:lang w:val="sk-SK"/>
        </w:rPr>
        <w:t>amlodipínom</w:t>
      </w:r>
      <w:proofErr w:type="spellEnd"/>
    </w:p>
    <w:p w14:paraId="264E33C8" w14:textId="77777777" w:rsidR="00CF6CE4" w:rsidRPr="00732909" w:rsidRDefault="00CF6CE4" w:rsidP="00ED2DA9">
      <w:pPr>
        <w:rPr>
          <w:lang w:val="sk-SK"/>
        </w:rPr>
      </w:pPr>
    </w:p>
    <w:p w14:paraId="264E33C9" w14:textId="77777777" w:rsidR="00063988" w:rsidRPr="00157521" w:rsidRDefault="00063988" w:rsidP="00ED2DA9">
      <w:pPr>
        <w:rPr>
          <w:iCs/>
          <w:szCs w:val="22"/>
          <w:u w:val="single"/>
          <w:lang w:val="sk-SK"/>
        </w:rPr>
      </w:pPr>
      <w:r w:rsidRPr="00157521">
        <w:rPr>
          <w:szCs w:val="22"/>
          <w:lang w:val="sk-SK"/>
        </w:rPr>
        <w:t xml:space="preserve">U niektorých pacientov liečených </w:t>
      </w:r>
      <w:proofErr w:type="spellStart"/>
      <w:r w:rsidRPr="00157521">
        <w:rPr>
          <w:szCs w:val="22"/>
          <w:lang w:val="sk-SK"/>
        </w:rPr>
        <w:t>blokátormi</w:t>
      </w:r>
      <w:proofErr w:type="spellEnd"/>
      <w:r w:rsidRPr="00157521">
        <w:rPr>
          <w:szCs w:val="22"/>
          <w:lang w:val="sk-SK"/>
        </w:rPr>
        <w:t xml:space="preserve"> kalciového kanála boli hlásené reverzibilné biochemické zmeny v hlavičke spermií. Nie sú dostatočné klinické údaje týkajúce sa možného účinku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na </w:t>
      </w:r>
      <w:proofErr w:type="spellStart"/>
      <w:r w:rsidRPr="00157521">
        <w:rPr>
          <w:szCs w:val="22"/>
          <w:lang w:val="sk-SK"/>
        </w:rPr>
        <w:t>fertilitu</w:t>
      </w:r>
      <w:proofErr w:type="spellEnd"/>
      <w:r w:rsidRPr="00157521">
        <w:rPr>
          <w:szCs w:val="22"/>
          <w:lang w:val="sk-SK"/>
        </w:rPr>
        <w:t xml:space="preserve">. V jednej štúdii u potkanov boli zaznamenané nežiaduce účinky na </w:t>
      </w:r>
      <w:proofErr w:type="spellStart"/>
      <w:r w:rsidRPr="00157521">
        <w:rPr>
          <w:szCs w:val="22"/>
          <w:lang w:val="sk-SK"/>
        </w:rPr>
        <w:t>fertilitu</w:t>
      </w:r>
      <w:proofErr w:type="spellEnd"/>
      <w:r w:rsidRPr="00157521">
        <w:rPr>
          <w:szCs w:val="22"/>
          <w:lang w:val="sk-SK"/>
        </w:rPr>
        <w:t xml:space="preserve"> u samcov (pozri časť 5.3).</w:t>
      </w:r>
    </w:p>
    <w:p w14:paraId="264E33CA" w14:textId="77777777" w:rsidR="00ED2DA9" w:rsidRPr="00157521" w:rsidRDefault="00ED2DA9" w:rsidP="009512D0">
      <w:pPr>
        <w:spacing w:line="240" w:lineRule="auto"/>
        <w:ind w:left="567" w:hanging="567"/>
        <w:rPr>
          <w:b/>
          <w:lang w:val="sk-SK"/>
        </w:rPr>
      </w:pPr>
    </w:p>
    <w:p w14:paraId="264E33CB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4.7</w:t>
      </w:r>
      <w:r w:rsidRPr="00157521">
        <w:rPr>
          <w:b/>
          <w:lang w:val="sk-SK"/>
        </w:rPr>
        <w:tab/>
      </w:r>
      <w:r w:rsidR="008638A1" w:rsidRPr="00157521">
        <w:rPr>
          <w:b/>
          <w:lang w:val="sk-SK"/>
        </w:rPr>
        <w:t>Ovplyvnenie schopnosti viesť vozidlá a obsluhovať stroje</w:t>
      </w:r>
    </w:p>
    <w:p w14:paraId="264E33CC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3CD" w14:textId="77777777" w:rsidR="005F12E4" w:rsidRPr="00157521" w:rsidRDefault="005F12E4" w:rsidP="005F12E4">
      <w:pPr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>Spojené s </w:t>
      </w:r>
      <w:proofErr w:type="spellStart"/>
      <w:r w:rsidRPr="00157521">
        <w:rPr>
          <w:i/>
          <w:szCs w:val="22"/>
          <w:lang w:val="sk-SK"/>
        </w:rPr>
        <w:t>lizinoprilom</w:t>
      </w:r>
      <w:proofErr w:type="spellEnd"/>
    </w:p>
    <w:p w14:paraId="264E33CE" w14:textId="77777777" w:rsidR="005F12E4" w:rsidRPr="00157521" w:rsidRDefault="005F12E4" w:rsidP="003F7DD0">
      <w:pPr>
        <w:rPr>
          <w:szCs w:val="22"/>
          <w:lang w:val="sk-SK"/>
        </w:rPr>
      </w:pPr>
      <w:r w:rsidRPr="00157521">
        <w:rPr>
          <w:szCs w:val="22"/>
          <w:lang w:val="sk-SK"/>
        </w:rPr>
        <w:t>Pri vedení vozidiel alebo práci so strojmi je nevyhnutné vziať do úvahy, že sa môžu občas dostaviť závraty alebo únava.</w:t>
      </w:r>
    </w:p>
    <w:p w14:paraId="264E33CF" w14:textId="77777777" w:rsidR="005F12E4" w:rsidRPr="00157521" w:rsidRDefault="005F12E4" w:rsidP="005F12E4">
      <w:pPr>
        <w:rPr>
          <w:i/>
          <w:szCs w:val="22"/>
          <w:lang w:val="sk-SK"/>
        </w:rPr>
      </w:pPr>
    </w:p>
    <w:p w14:paraId="264E33D0" w14:textId="77777777" w:rsidR="005F12E4" w:rsidRPr="00157521" w:rsidRDefault="005F12E4" w:rsidP="005F12E4">
      <w:pPr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 xml:space="preserve">Spojené s </w:t>
      </w:r>
      <w:proofErr w:type="spellStart"/>
      <w:r w:rsidRPr="00157521">
        <w:rPr>
          <w:i/>
          <w:szCs w:val="22"/>
          <w:lang w:val="sk-SK"/>
        </w:rPr>
        <w:t>amlodipínom</w:t>
      </w:r>
      <w:proofErr w:type="spellEnd"/>
    </w:p>
    <w:p w14:paraId="264E33D1" w14:textId="6FFAC704" w:rsidR="005F12E4" w:rsidRDefault="005F12E4" w:rsidP="005F12E4">
      <w:pPr>
        <w:rPr>
          <w:szCs w:val="22"/>
          <w:lang w:val="sk-SK"/>
        </w:rPr>
      </w:pP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lang w:val="sk-SK"/>
        </w:rPr>
        <w:t xml:space="preserve"> môže </w:t>
      </w:r>
      <w:r w:rsidRPr="00157521">
        <w:rPr>
          <w:szCs w:val="22"/>
          <w:lang w:val="sk-SK"/>
        </w:rPr>
        <w:t>mať malý alebo mierny vplyv na</w:t>
      </w:r>
      <w:r w:rsidRPr="00157521">
        <w:rPr>
          <w:lang w:val="sk-SK"/>
        </w:rPr>
        <w:t xml:space="preserve"> schopnosť viesť vozidlá a obsluhovať stroje</w:t>
      </w:r>
      <w:r w:rsidRPr="00157521">
        <w:rPr>
          <w:szCs w:val="22"/>
          <w:lang w:val="sk-SK"/>
        </w:rPr>
        <w:t xml:space="preserve">. Ak pacienti </w:t>
      </w:r>
      <w:r w:rsidR="00EB0D42" w:rsidRPr="00EB675A">
        <w:rPr>
          <w:szCs w:val="22"/>
          <w:lang w:val="sk-SK"/>
        </w:rPr>
        <w:t xml:space="preserve">užívajúci </w:t>
      </w:r>
      <w:proofErr w:type="spellStart"/>
      <w:r w:rsidR="00EB0D42" w:rsidRPr="00EB675A">
        <w:rPr>
          <w:szCs w:val="22"/>
          <w:lang w:val="sk-SK"/>
        </w:rPr>
        <w:t>amlodipín</w:t>
      </w:r>
      <w:proofErr w:type="spellEnd"/>
      <w:r w:rsidR="00EB0D42" w:rsidRPr="00EB675A">
        <w:rPr>
          <w:szCs w:val="22"/>
          <w:lang w:val="sk-SK"/>
        </w:rPr>
        <w:t xml:space="preserve"> </w:t>
      </w:r>
      <w:r w:rsidRPr="00157521">
        <w:rPr>
          <w:szCs w:val="22"/>
          <w:lang w:val="sk-SK"/>
        </w:rPr>
        <w:t>trpia závratmi, bolesťou hlavy, únavou alebo nutkaním na vracanie, ich schopnosť reagovať môže byť narušená. Opatrnosť sa odporúča zvlášť na začiatku</w:t>
      </w:r>
      <w:r w:rsidRPr="00157521">
        <w:rPr>
          <w:lang w:val="sk-SK"/>
        </w:rPr>
        <w:t xml:space="preserve"> liečby</w:t>
      </w:r>
      <w:r w:rsidRPr="00157521">
        <w:rPr>
          <w:szCs w:val="22"/>
          <w:lang w:val="sk-SK"/>
        </w:rPr>
        <w:t>.</w:t>
      </w:r>
    </w:p>
    <w:p w14:paraId="264E33D2" w14:textId="77777777" w:rsidR="008C3C05" w:rsidRDefault="008C3C05" w:rsidP="005F12E4">
      <w:pPr>
        <w:rPr>
          <w:szCs w:val="22"/>
          <w:lang w:val="sk-SK"/>
        </w:rPr>
      </w:pPr>
    </w:p>
    <w:p w14:paraId="264E33D3" w14:textId="77777777" w:rsidR="008C3C05" w:rsidRPr="00AF5E2C" w:rsidRDefault="008C3C05" w:rsidP="008C3C05">
      <w:pPr>
        <w:rPr>
          <w:szCs w:val="22"/>
          <w:lang w:val="sk-SK"/>
        </w:rPr>
      </w:pPr>
      <w:r w:rsidRPr="00AF5E2C">
        <w:rPr>
          <w:szCs w:val="22"/>
          <w:lang w:val="sk-SK"/>
        </w:rPr>
        <w:t xml:space="preserve">Podľa vyššie uvedeného môže </w:t>
      </w:r>
      <w:r w:rsidR="00915D85">
        <w:rPr>
          <w:szCs w:val="22"/>
          <w:lang w:val="sk-SK"/>
        </w:rPr>
        <w:t>DIRONORM</w:t>
      </w:r>
      <w:r w:rsidRPr="00AF5E2C">
        <w:rPr>
          <w:szCs w:val="22"/>
          <w:lang w:val="sk-SK"/>
        </w:rPr>
        <w:t xml:space="preserve"> ovplyvniť schopnosť viesť vozidlá a obsluhovať stroje (najmä v úvodnej fáze liečby).</w:t>
      </w:r>
    </w:p>
    <w:p w14:paraId="264E33D4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3D5" w14:textId="77777777" w:rsidR="00681759" w:rsidRPr="00157521" w:rsidRDefault="00C97DCA" w:rsidP="009512D0">
      <w:pPr>
        <w:numPr>
          <w:ilvl w:val="1"/>
          <w:numId w:val="10"/>
        </w:numPr>
        <w:spacing w:line="240" w:lineRule="auto"/>
        <w:rPr>
          <w:b/>
          <w:lang w:val="sk-SK"/>
        </w:rPr>
      </w:pPr>
      <w:r w:rsidRPr="00157521">
        <w:rPr>
          <w:b/>
          <w:lang w:val="sk-SK"/>
        </w:rPr>
        <w:t>Nežiaduce účinky</w:t>
      </w:r>
    </w:p>
    <w:p w14:paraId="264E33D6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3D7" w14:textId="5C6D6F3E" w:rsidR="00681759" w:rsidRPr="00157521" w:rsidRDefault="00C97DCA" w:rsidP="009512D0">
      <w:pPr>
        <w:spacing w:line="240" w:lineRule="auto"/>
        <w:rPr>
          <w:lang w:val="sk-SK"/>
        </w:rPr>
      </w:pPr>
      <w:r w:rsidRPr="00157521">
        <w:rPr>
          <w:lang w:val="sk-SK"/>
        </w:rPr>
        <w:t xml:space="preserve">Počas kontrolovanej klinickej štúdie (n=195) nebol výskyt nežiaducich účinkov vyšší u jedincov liečených obidvomi liečivami </w:t>
      </w:r>
      <w:r w:rsidR="00EB0D42" w:rsidRPr="002D0C45">
        <w:rPr>
          <w:szCs w:val="22"/>
          <w:lang w:val="sk-SK"/>
        </w:rPr>
        <w:t>sú</w:t>
      </w:r>
      <w:r w:rsidR="00EB0D42">
        <w:rPr>
          <w:szCs w:val="22"/>
          <w:lang w:val="sk-SK"/>
        </w:rPr>
        <w:t>bež</w:t>
      </w:r>
      <w:r w:rsidR="00EB0D42" w:rsidRPr="007E0725">
        <w:rPr>
          <w:szCs w:val="22"/>
          <w:lang w:val="sk-SK"/>
        </w:rPr>
        <w:t>ne</w:t>
      </w:r>
      <w:r w:rsidRPr="00157521">
        <w:rPr>
          <w:lang w:val="sk-SK"/>
        </w:rPr>
        <w:t xml:space="preserve"> ako u pacientov na </w:t>
      </w:r>
      <w:proofErr w:type="spellStart"/>
      <w:r w:rsidRPr="00157521">
        <w:rPr>
          <w:lang w:val="sk-SK"/>
        </w:rPr>
        <w:t>monoterapii</w:t>
      </w:r>
      <w:proofErr w:type="spellEnd"/>
      <w:r w:rsidRPr="00157521">
        <w:rPr>
          <w:lang w:val="sk-SK"/>
        </w:rPr>
        <w:t xml:space="preserve">. Nežiaduce účinky boli obmedzené na tých, u ktorých boli hlásené v minulosti v súvislosti s </w:t>
      </w:r>
      <w:proofErr w:type="spellStart"/>
      <w:r w:rsidRPr="00157521">
        <w:rPr>
          <w:lang w:val="sk-SK"/>
        </w:rPr>
        <w:t>amlodipínom</w:t>
      </w:r>
      <w:proofErr w:type="spellEnd"/>
      <w:r w:rsidRPr="00157521">
        <w:rPr>
          <w:lang w:val="sk-SK"/>
        </w:rPr>
        <w:t xml:space="preserve"> a/alebo </w:t>
      </w:r>
      <w:proofErr w:type="spellStart"/>
      <w:r w:rsidRPr="00157521">
        <w:rPr>
          <w:lang w:val="sk-SK"/>
        </w:rPr>
        <w:t>lizinoprilom</w:t>
      </w:r>
      <w:proofErr w:type="spellEnd"/>
      <w:r w:rsidRPr="00157521">
        <w:rPr>
          <w:lang w:val="sk-SK"/>
        </w:rPr>
        <w:t>. Nežiaduce účinky boli zvyčajne mierne, prechodné a zriedka si vyžadovali prerušenie liečby. Najčastejšie nežiaduce účinky kombinácie boli bolesti hlavy (8%), kašeľ (5%) a závrat (3%</w:t>
      </w:r>
      <w:r w:rsidR="00681759" w:rsidRPr="00157521">
        <w:rPr>
          <w:lang w:val="sk-SK"/>
        </w:rPr>
        <w:t>).</w:t>
      </w:r>
    </w:p>
    <w:p w14:paraId="264E33D8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3D9" w14:textId="77777777" w:rsidR="00C97DCA" w:rsidRPr="00157521" w:rsidRDefault="00C97DCA" w:rsidP="00C97DCA">
      <w:pPr>
        <w:rPr>
          <w:lang w:val="sk-SK"/>
        </w:rPr>
      </w:pPr>
      <w:r w:rsidRPr="00157521">
        <w:rPr>
          <w:lang w:val="sk-SK"/>
        </w:rPr>
        <w:t xml:space="preserve">Frekvencie sú definované nasledovne: </w:t>
      </w:r>
      <w:r w:rsidR="00E2644B">
        <w:rPr>
          <w:lang w:val="sk-SK"/>
        </w:rPr>
        <w:t>v</w:t>
      </w:r>
      <w:r w:rsidRPr="00157521">
        <w:rPr>
          <w:lang w:val="sk-SK"/>
        </w:rPr>
        <w:t>eľmi časté (≥1/10</w:t>
      </w:r>
      <w:r w:rsidRPr="00157521">
        <w:rPr>
          <w:szCs w:val="22"/>
          <w:lang w:val="sk-SK"/>
        </w:rPr>
        <w:t>,</w:t>
      </w:r>
      <w:r w:rsidRPr="00157521">
        <w:rPr>
          <w:lang w:val="sk-SK"/>
        </w:rPr>
        <w:t xml:space="preserve"> </w:t>
      </w:r>
      <w:r w:rsidR="00E2644B">
        <w:rPr>
          <w:lang w:val="sk-SK"/>
        </w:rPr>
        <w:t>č</w:t>
      </w:r>
      <w:r w:rsidRPr="00157521">
        <w:rPr>
          <w:lang w:val="sk-SK"/>
        </w:rPr>
        <w:t xml:space="preserve">asté (≥1/100 až &lt;1/10), </w:t>
      </w:r>
      <w:r w:rsidR="00E2644B">
        <w:rPr>
          <w:lang w:val="sk-SK"/>
        </w:rPr>
        <w:t>m</w:t>
      </w:r>
      <w:r w:rsidRPr="00157521">
        <w:rPr>
          <w:lang w:val="sk-SK"/>
        </w:rPr>
        <w:t xml:space="preserve">enej časté (≥1/1 000 až &lt;1/100), </w:t>
      </w:r>
      <w:r w:rsidR="00E2644B">
        <w:rPr>
          <w:lang w:val="sk-SK"/>
        </w:rPr>
        <w:t>z</w:t>
      </w:r>
      <w:r w:rsidRPr="00157521">
        <w:rPr>
          <w:lang w:val="sk-SK"/>
        </w:rPr>
        <w:t xml:space="preserve">riedkavé (≥1/10 000 až &lt;1/1 000), </w:t>
      </w:r>
      <w:r w:rsidR="00E2644B">
        <w:rPr>
          <w:lang w:val="sk-SK"/>
        </w:rPr>
        <w:t>v</w:t>
      </w:r>
      <w:r w:rsidRPr="00157521">
        <w:rPr>
          <w:lang w:val="sk-SK"/>
        </w:rPr>
        <w:t xml:space="preserve">eľmi zriedkavé (&lt;1/10 000), </w:t>
      </w:r>
      <w:r w:rsidR="00E2644B">
        <w:rPr>
          <w:lang w:val="sk-SK"/>
        </w:rPr>
        <w:t>n</w:t>
      </w:r>
      <w:r w:rsidRPr="00157521">
        <w:rPr>
          <w:lang w:val="sk-SK"/>
        </w:rPr>
        <w:t>eznáme (</w:t>
      </w:r>
      <w:r w:rsidRPr="00157521">
        <w:rPr>
          <w:szCs w:val="22"/>
          <w:lang w:val="sk-SK"/>
        </w:rPr>
        <w:t xml:space="preserve">nemožno ich určiť </w:t>
      </w:r>
      <w:r w:rsidRPr="00157521">
        <w:rPr>
          <w:lang w:val="sk-SK"/>
        </w:rPr>
        <w:t xml:space="preserve">z dostupných údajov). V každej frekvenčnej skupine sú nežiaduce účinky uvedené v zostupnom poradí. </w:t>
      </w:r>
    </w:p>
    <w:p w14:paraId="264E33DA" w14:textId="77777777" w:rsidR="00C97DCA" w:rsidRPr="00157521" w:rsidRDefault="00C97DCA" w:rsidP="00C97DCA">
      <w:pPr>
        <w:rPr>
          <w:lang w:val="sk-SK"/>
        </w:rPr>
      </w:pPr>
    </w:p>
    <w:p w14:paraId="264E33DB" w14:textId="77777777" w:rsidR="00681759" w:rsidRPr="00157521" w:rsidRDefault="00C97DCA" w:rsidP="003F7DD0">
      <w:pPr>
        <w:spacing w:line="240" w:lineRule="auto"/>
        <w:rPr>
          <w:lang w:val="sk-SK"/>
        </w:rPr>
      </w:pPr>
      <w:r w:rsidRPr="00157521">
        <w:rPr>
          <w:lang w:val="sk-SK"/>
        </w:rPr>
        <w:t xml:space="preserve">Nasledujúce nežiaduce účinky boli pozorované a hlásené počas liečby </w:t>
      </w:r>
      <w:proofErr w:type="spellStart"/>
      <w:r w:rsidRPr="00157521">
        <w:rPr>
          <w:lang w:val="sk-SK"/>
        </w:rPr>
        <w:t>lizinoprilom</w:t>
      </w:r>
      <w:proofErr w:type="spellEnd"/>
      <w:r w:rsidRPr="00157521">
        <w:rPr>
          <w:lang w:val="sk-SK"/>
        </w:rPr>
        <w:t xml:space="preserve"> a </w:t>
      </w:r>
      <w:proofErr w:type="spellStart"/>
      <w:r w:rsidRPr="00157521">
        <w:rPr>
          <w:lang w:val="sk-SK"/>
        </w:rPr>
        <w:t>amlodipínom</w:t>
      </w:r>
      <w:proofErr w:type="spellEnd"/>
      <w:r w:rsidRPr="00157521">
        <w:rPr>
          <w:lang w:val="sk-SK"/>
        </w:rPr>
        <w:t xml:space="preserve"> nezávisle</w:t>
      </w:r>
      <w:r w:rsidR="00681759" w:rsidRPr="00157521">
        <w:rPr>
          <w:lang w:val="sk-SK"/>
        </w:rPr>
        <w:t>:</w:t>
      </w:r>
    </w:p>
    <w:p w14:paraId="264E33DC" w14:textId="77777777" w:rsidR="000C0967" w:rsidRDefault="000C0967" w:rsidP="000C0967">
      <w:pPr>
        <w:spacing w:line="240" w:lineRule="auto"/>
        <w:jc w:val="both"/>
        <w:rPr>
          <w:lang w:val="sk-SK"/>
        </w:rPr>
      </w:pPr>
    </w:p>
    <w:tbl>
      <w:tblPr>
        <w:tblW w:w="9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1501"/>
        <w:gridCol w:w="2840"/>
        <w:gridCol w:w="2205"/>
      </w:tblGrid>
      <w:tr w:rsidR="00EB0D42" w:rsidRPr="00EB675A" w14:paraId="62D4EBA6" w14:textId="77777777" w:rsidTr="00191D2D">
        <w:trPr>
          <w:cantSplit/>
        </w:trPr>
        <w:tc>
          <w:tcPr>
            <w:tcW w:w="2550" w:type="dxa"/>
          </w:tcPr>
          <w:p w14:paraId="3F51900D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Trieda orgánového systému</w:t>
            </w:r>
          </w:p>
        </w:tc>
        <w:tc>
          <w:tcPr>
            <w:tcW w:w="1501" w:type="dxa"/>
          </w:tcPr>
          <w:p w14:paraId="371022EE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2840" w:type="dxa"/>
          </w:tcPr>
          <w:p w14:paraId="0118E6FF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 xml:space="preserve">Nežiaduce účinky </w:t>
            </w:r>
            <w:proofErr w:type="spellStart"/>
            <w:r w:rsidRPr="00EB675A">
              <w:rPr>
                <w:b/>
                <w:szCs w:val="22"/>
                <w:lang w:val="sk-SK"/>
              </w:rPr>
              <w:t>lizinoprilu</w:t>
            </w:r>
            <w:proofErr w:type="spellEnd"/>
          </w:p>
        </w:tc>
        <w:tc>
          <w:tcPr>
            <w:tcW w:w="2205" w:type="dxa"/>
          </w:tcPr>
          <w:p w14:paraId="336272A5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 xml:space="preserve">Nežiaduce účinky </w:t>
            </w:r>
            <w:proofErr w:type="spellStart"/>
            <w:r w:rsidRPr="00EB675A">
              <w:rPr>
                <w:b/>
                <w:szCs w:val="22"/>
                <w:lang w:val="sk-SK"/>
              </w:rPr>
              <w:t>amlodipínu</w:t>
            </w:r>
            <w:proofErr w:type="spellEnd"/>
          </w:p>
        </w:tc>
      </w:tr>
      <w:tr w:rsidR="00EB0D42" w:rsidRPr="00EB675A" w14:paraId="261D5DDB" w14:textId="77777777" w:rsidTr="00191D2D">
        <w:trPr>
          <w:cantSplit/>
        </w:trPr>
        <w:tc>
          <w:tcPr>
            <w:tcW w:w="2550" w:type="dxa"/>
            <w:vMerge w:val="restart"/>
          </w:tcPr>
          <w:p w14:paraId="1D611E21" w14:textId="77777777" w:rsidR="00EB0D42" w:rsidRPr="00EB675A" w:rsidRDefault="00EB0D42" w:rsidP="00191D2D">
            <w:pPr>
              <w:pStyle w:val="Zkladntext"/>
              <w:rPr>
                <w:b/>
                <w:i w:val="0"/>
                <w:color w:val="auto"/>
                <w:szCs w:val="22"/>
                <w:lang w:val="sk-SK"/>
              </w:rPr>
            </w:pPr>
            <w:r w:rsidRPr="00EB675A">
              <w:rPr>
                <w:b/>
                <w:i w:val="0"/>
                <w:color w:val="auto"/>
                <w:szCs w:val="22"/>
                <w:lang w:val="sk-SK"/>
              </w:rPr>
              <w:t>Poruchy krvi a lymfatického systému</w:t>
            </w:r>
          </w:p>
          <w:p w14:paraId="31CD997A" w14:textId="77777777" w:rsidR="00EB0D42" w:rsidRPr="00EB675A" w:rsidRDefault="00EB0D42" w:rsidP="00191D2D">
            <w:pPr>
              <w:spacing w:line="240" w:lineRule="auto"/>
              <w:rPr>
                <w:b/>
                <w:i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3785ADB8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</w:tc>
        <w:tc>
          <w:tcPr>
            <w:tcW w:w="2840" w:type="dxa"/>
          </w:tcPr>
          <w:p w14:paraId="1E6641D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Zníženie hemoglobínu, zníženie </w:t>
            </w:r>
            <w:proofErr w:type="spellStart"/>
            <w:r w:rsidRPr="00EB675A">
              <w:rPr>
                <w:szCs w:val="22"/>
                <w:lang w:val="sk-SK"/>
              </w:rPr>
              <w:t>hematokritu</w:t>
            </w:r>
            <w:proofErr w:type="spellEnd"/>
          </w:p>
        </w:tc>
        <w:tc>
          <w:tcPr>
            <w:tcW w:w="2205" w:type="dxa"/>
          </w:tcPr>
          <w:p w14:paraId="53F982D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44900450" w14:textId="77777777" w:rsidTr="00191D2D">
        <w:trPr>
          <w:cantSplit/>
        </w:trPr>
        <w:tc>
          <w:tcPr>
            <w:tcW w:w="2550" w:type="dxa"/>
            <w:vMerge/>
          </w:tcPr>
          <w:p w14:paraId="4FA655A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523572D5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  <w:p w14:paraId="67833788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0D2AC561" w14:textId="40C949DD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Útlm kostnej drene, </w:t>
            </w:r>
            <w:proofErr w:type="spellStart"/>
            <w:r w:rsidRPr="00EB675A">
              <w:rPr>
                <w:szCs w:val="22"/>
                <w:lang w:val="sk-SK"/>
              </w:rPr>
              <w:t>agranulocytóza</w:t>
            </w:r>
            <w:proofErr w:type="spellEnd"/>
            <w:r w:rsidRPr="00EB675A">
              <w:rPr>
                <w:szCs w:val="22"/>
                <w:lang w:val="sk-SK"/>
              </w:rPr>
              <w:t xml:space="preserve"> (pozri časť 4.4), </w:t>
            </w:r>
            <w:proofErr w:type="spellStart"/>
            <w:r w:rsidRPr="00EB675A">
              <w:rPr>
                <w:szCs w:val="22"/>
                <w:lang w:val="sk-SK"/>
              </w:rPr>
              <w:t>leukopénia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neutropénia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trombocytopénia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hemolytická</w:t>
            </w:r>
            <w:proofErr w:type="spellEnd"/>
            <w:r w:rsidRPr="00EB675A">
              <w:rPr>
                <w:szCs w:val="22"/>
                <w:lang w:val="sk-SK"/>
              </w:rPr>
              <w:t xml:space="preserve"> anémia, anémia, </w:t>
            </w:r>
            <w:proofErr w:type="spellStart"/>
            <w:r w:rsidRPr="00EB675A">
              <w:rPr>
                <w:szCs w:val="22"/>
                <w:lang w:val="sk-SK"/>
              </w:rPr>
              <w:t>lymfadenopatia</w:t>
            </w:r>
            <w:proofErr w:type="spellEnd"/>
            <w:r w:rsidRPr="00EB675A">
              <w:rPr>
                <w:szCs w:val="22"/>
                <w:lang w:val="sk-SK"/>
              </w:rPr>
              <w:t>.</w:t>
            </w:r>
          </w:p>
        </w:tc>
        <w:tc>
          <w:tcPr>
            <w:tcW w:w="2205" w:type="dxa"/>
          </w:tcPr>
          <w:p w14:paraId="3CE2CE7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  <w:p w14:paraId="641775D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  <w:p w14:paraId="73114F76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  <w:p w14:paraId="7A225A33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Trombocytopénia</w:t>
            </w:r>
            <w:proofErr w:type="spellEnd"/>
            <w:r w:rsidRPr="00EB675A">
              <w:rPr>
                <w:szCs w:val="22"/>
                <w:lang w:val="sk-SK"/>
              </w:rPr>
              <w:t>,</w:t>
            </w:r>
          </w:p>
          <w:p w14:paraId="12EB4BF1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leukocytopénia</w:t>
            </w:r>
            <w:proofErr w:type="spellEnd"/>
          </w:p>
          <w:p w14:paraId="67CD284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6F64A9F8" w14:textId="77777777" w:rsidTr="00191D2D">
        <w:trPr>
          <w:cantSplit/>
        </w:trPr>
        <w:tc>
          <w:tcPr>
            <w:tcW w:w="2550" w:type="dxa"/>
            <w:vMerge w:val="restart"/>
          </w:tcPr>
          <w:p w14:paraId="640251F1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imunitného systému</w:t>
            </w:r>
          </w:p>
        </w:tc>
        <w:tc>
          <w:tcPr>
            <w:tcW w:w="1501" w:type="dxa"/>
          </w:tcPr>
          <w:p w14:paraId="7021C8F7" w14:textId="05238286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</w:tc>
        <w:tc>
          <w:tcPr>
            <w:tcW w:w="2840" w:type="dxa"/>
          </w:tcPr>
          <w:p w14:paraId="481141CF" w14:textId="3E52FCFC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Autoimunitné</w:t>
            </w:r>
            <w:proofErr w:type="spellEnd"/>
            <w:r w:rsidRPr="00EB675A">
              <w:rPr>
                <w:szCs w:val="22"/>
                <w:lang w:val="sk-SK"/>
              </w:rPr>
              <w:t xml:space="preserve"> ochorenie</w:t>
            </w:r>
          </w:p>
        </w:tc>
        <w:tc>
          <w:tcPr>
            <w:tcW w:w="2205" w:type="dxa"/>
          </w:tcPr>
          <w:p w14:paraId="455BD76F" w14:textId="10C03321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Alergické reakcie</w:t>
            </w:r>
          </w:p>
        </w:tc>
      </w:tr>
      <w:tr w:rsidR="00EB0D42" w:rsidRPr="00EB675A" w14:paraId="449AA89B" w14:textId="77777777" w:rsidTr="00191D2D">
        <w:trPr>
          <w:cantSplit/>
        </w:trPr>
        <w:tc>
          <w:tcPr>
            <w:tcW w:w="2550" w:type="dxa"/>
            <w:vMerge/>
          </w:tcPr>
          <w:p w14:paraId="03D97779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48C9117B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Neznáme</w:t>
            </w:r>
          </w:p>
        </w:tc>
        <w:tc>
          <w:tcPr>
            <w:tcW w:w="2840" w:type="dxa"/>
          </w:tcPr>
          <w:p w14:paraId="64B0822F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Anafylaktická</w:t>
            </w:r>
            <w:proofErr w:type="spellEnd"/>
            <w:r w:rsidRPr="00EB675A">
              <w:rPr>
                <w:szCs w:val="22"/>
                <w:lang w:val="sk-SK"/>
              </w:rPr>
              <w:t>/</w:t>
            </w:r>
            <w:proofErr w:type="spellStart"/>
            <w:r w:rsidRPr="00EB675A">
              <w:rPr>
                <w:szCs w:val="22"/>
                <w:lang w:val="sk-SK"/>
              </w:rPr>
              <w:t>anafylaktoidná</w:t>
            </w:r>
            <w:proofErr w:type="spellEnd"/>
            <w:r w:rsidRPr="00EB675A">
              <w:rPr>
                <w:szCs w:val="22"/>
                <w:lang w:val="sk-SK"/>
              </w:rPr>
              <w:t xml:space="preserve"> reakcia</w:t>
            </w:r>
          </w:p>
        </w:tc>
        <w:tc>
          <w:tcPr>
            <w:tcW w:w="2205" w:type="dxa"/>
          </w:tcPr>
          <w:p w14:paraId="627F317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57075367" w14:textId="77777777" w:rsidTr="00191D2D">
        <w:trPr>
          <w:cantSplit/>
        </w:trPr>
        <w:tc>
          <w:tcPr>
            <w:tcW w:w="2550" w:type="dxa"/>
          </w:tcPr>
          <w:p w14:paraId="7C43297B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endokrinného systému</w:t>
            </w:r>
          </w:p>
        </w:tc>
        <w:tc>
          <w:tcPr>
            <w:tcW w:w="1501" w:type="dxa"/>
          </w:tcPr>
          <w:p w14:paraId="379B5875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</w:tc>
        <w:tc>
          <w:tcPr>
            <w:tcW w:w="2840" w:type="dxa"/>
          </w:tcPr>
          <w:p w14:paraId="5D9D553F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Syndróm neprimeranej sekrécie </w:t>
            </w:r>
            <w:proofErr w:type="spellStart"/>
            <w:r w:rsidRPr="00EB675A">
              <w:rPr>
                <w:szCs w:val="22"/>
                <w:lang w:val="sk-SK"/>
              </w:rPr>
              <w:t>antidiuretického</w:t>
            </w:r>
            <w:proofErr w:type="spellEnd"/>
            <w:r w:rsidRPr="00EB675A">
              <w:rPr>
                <w:szCs w:val="22"/>
                <w:lang w:val="sk-SK"/>
              </w:rPr>
              <w:t xml:space="preserve"> hormónu (SIADH).</w:t>
            </w:r>
          </w:p>
        </w:tc>
        <w:tc>
          <w:tcPr>
            <w:tcW w:w="2205" w:type="dxa"/>
          </w:tcPr>
          <w:p w14:paraId="77DC3C6F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0C9AE984" w14:textId="77777777" w:rsidTr="00191D2D">
        <w:trPr>
          <w:cantSplit/>
        </w:trPr>
        <w:tc>
          <w:tcPr>
            <w:tcW w:w="2550" w:type="dxa"/>
          </w:tcPr>
          <w:p w14:paraId="4F17719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metabolizmu a výživy</w:t>
            </w:r>
          </w:p>
        </w:tc>
        <w:tc>
          <w:tcPr>
            <w:tcW w:w="1501" w:type="dxa"/>
          </w:tcPr>
          <w:p w14:paraId="516E2352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  <w:p w14:paraId="094DDCBB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0B19A08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Hypoglykémia</w:t>
            </w:r>
            <w:proofErr w:type="spellEnd"/>
          </w:p>
          <w:p w14:paraId="7130A738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728C0E6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Hyperglykémia</w:t>
            </w:r>
          </w:p>
          <w:p w14:paraId="0212217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622DEE21" w14:textId="77777777" w:rsidTr="00191D2D">
        <w:trPr>
          <w:cantSplit/>
        </w:trPr>
        <w:tc>
          <w:tcPr>
            <w:tcW w:w="2550" w:type="dxa"/>
            <w:vMerge w:val="restart"/>
          </w:tcPr>
          <w:p w14:paraId="61483658" w14:textId="38763BD3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Psychické poruchy</w:t>
            </w:r>
          </w:p>
          <w:p w14:paraId="2A59AA8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42C59A01" w14:textId="06A427D3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</w:tc>
        <w:tc>
          <w:tcPr>
            <w:tcW w:w="2840" w:type="dxa"/>
          </w:tcPr>
          <w:p w14:paraId="1E05886C" w14:textId="4E95F5E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Zmeny nálady, poruchy spánku, halucinácie</w:t>
            </w:r>
          </w:p>
        </w:tc>
        <w:tc>
          <w:tcPr>
            <w:tcW w:w="2205" w:type="dxa"/>
          </w:tcPr>
          <w:p w14:paraId="38A30CC7" w14:textId="575CA404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Nespavosť, zmeny nálady (vrátane </w:t>
            </w:r>
            <w:proofErr w:type="spellStart"/>
            <w:r w:rsidRPr="00EB675A">
              <w:rPr>
                <w:szCs w:val="22"/>
                <w:lang w:val="sk-SK"/>
              </w:rPr>
              <w:t>anxiety</w:t>
            </w:r>
            <w:proofErr w:type="spellEnd"/>
            <w:r w:rsidRPr="00EB675A">
              <w:rPr>
                <w:szCs w:val="22"/>
                <w:lang w:val="sk-SK"/>
              </w:rPr>
              <w:t>), depresia</w:t>
            </w:r>
          </w:p>
        </w:tc>
      </w:tr>
      <w:tr w:rsidR="00EB0D42" w:rsidRPr="00EB675A" w14:paraId="1671C3F3" w14:textId="77777777" w:rsidTr="00191D2D">
        <w:trPr>
          <w:cantSplit/>
        </w:trPr>
        <w:tc>
          <w:tcPr>
            <w:tcW w:w="2550" w:type="dxa"/>
            <w:vMerge/>
          </w:tcPr>
          <w:p w14:paraId="17155EE7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29E68183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</w:tc>
        <w:tc>
          <w:tcPr>
            <w:tcW w:w="2840" w:type="dxa"/>
          </w:tcPr>
          <w:p w14:paraId="0B033DE8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Mentálna zmätenosť</w:t>
            </w:r>
          </w:p>
        </w:tc>
        <w:tc>
          <w:tcPr>
            <w:tcW w:w="2205" w:type="dxa"/>
          </w:tcPr>
          <w:p w14:paraId="166AB36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Zmätenosť</w:t>
            </w:r>
          </w:p>
        </w:tc>
      </w:tr>
      <w:tr w:rsidR="00EB0D42" w:rsidRPr="00EB675A" w14:paraId="52D341BA" w14:textId="77777777" w:rsidTr="00191D2D">
        <w:trPr>
          <w:cantSplit/>
          <w:trHeight w:val="62"/>
        </w:trPr>
        <w:tc>
          <w:tcPr>
            <w:tcW w:w="2550" w:type="dxa"/>
            <w:vMerge/>
          </w:tcPr>
          <w:p w14:paraId="2576FDF9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60F9F1E0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Neznáme</w:t>
            </w:r>
          </w:p>
        </w:tc>
        <w:tc>
          <w:tcPr>
            <w:tcW w:w="2840" w:type="dxa"/>
          </w:tcPr>
          <w:p w14:paraId="6FC115F5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Symptómy depresie.</w:t>
            </w:r>
          </w:p>
        </w:tc>
        <w:tc>
          <w:tcPr>
            <w:tcW w:w="2205" w:type="dxa"/>
          </w:tcPr>
          <w:p w14:paraId="5D74544F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02363B9F" w14:textId="77777777" w:rsidTr="00191D2D">
        <w:trPr>
          <w:cantSplit/>
        </w:trPr>
        <w:tc>
          <w:tcPr>
            <w:tcW w:w="2550" w:type="dxa"/>
            <w:vMerge w:val="restart"/>
          </w:tcPr>
          <w:p w14:paraId="2B92FBE9" w14:textId="546F23E6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nervového systému</w:t>
            </w:r>
          </w:p>
        </w:tc>
        <w:tc>
          <w:tcPr>
            <w:tcW w:w="1501" w:type="dxa"/>
          </w:tcPr>
          <w:p w14:paraId="16C09CCC" w14:textId="0C7091AE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Časté</w:t>
            </w:r>
          </w:p>
        </w:tc>
        <w:tc>
          <w:tcPr>
            <w:tcW w:w="2840" w:type="dxa"/>
          </w:tcPr>
          <w:p w14:paraId="764C054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Závrat, bolesť hlavy.</w:t>
            </w:r>
          </w:p>
          <w:p w14:paraId="1B51FB53" w14:textId="57396832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50C7207D" w14:textId="2A28046D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Ospanlivosť, závrat, bolesť hlavy (zvlášť na začiatku liečby)</w:t>
            </w:r>
          </w:p>
        </w:tc>
      </w:tr>
      <w:tr w:rsidR="00EB0D42" w:rsidRPr="00EB675A" w14:paraId="60D1DEA0" w14:textId="77777777" w:rsidTr="00191D2D">
        <w:trPr>
          <w:cantSplit/>
        </w:trPr>
        <w:tc>
          <w:tcPr>
            <w:tcW w:w="2550" w:type="dxa"/>
            <w:vMerge/>
          </w:tcPr>
          <w:p w14:paraId="7599FEED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2FD5C4D5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</w:tc>
        <w:tc>
          <w:tcPr>
            <w:tcW w:w="2840" w:type="dxa"/>
          </w:tcPr>
          <w:p w14:paraId="36ECFE2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Vertigo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parestézia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dysgeúzia</w:t>
            </w:r>
            <w:proofErr w:type="spellEnd"/>
            <w:r w:rsidRPr="00EB675A">
              <w:rPr>
                <w:szCs w:val="22"/>
                <w:lang w:val="sk-SK"/>
              </w:rPr>
              <w:t>.</w:t>
            </w:r>
          </w:p>
        </w:tc>
        <w:tc>
          <w:tcPr>
            <w:tcW w:w="2205" w:type="dxa"/>
          </w:tcPr>
          <w:p w14:paraId="3CDF627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Synkopa, tras, </w:t>
            </w:r>
            <w:proofErr w:type="spellStart"/>
            <w:r w:rsidRPr="00EB675A">
              <w:rPr>
                <w:szCs w:val="22"/>
                <w:lang w:val="sk-SK"/>
              </w:rPr>
              <w:t>dysgeúzia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hypestézia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parestézia</w:t>
            </w:r>
            <w:proofErr w:type="spellEnd"/>
          </w:p>
        </w:tc>
      </w:tr>
      <w:tr w:rsidR="00EB0D42" w:rsidRPr="00EB675A" w14:paraId="5899E5D0" w14:textId="77777777" w:rsidTr="00191D2D">
        <w:trPr>
          <w:cantSplit/>
        </w:trPr>
        <w:tc>
          <w:tcPr>
            <w:tcW w:w="2550" w:type="dxa"/>
            <w:vMerge/>
          </w:tcPr>
          <w:p w14:paraId="6E568713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0888D3C6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</w:tc>
        <w:tc>
          <w:tcPr>
            <w:tcW w:w="2840" w:type="dxa"/>
          </w:tcPr>
          <w:p w14:paraId="04310DC1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Porucha čuchu</w:t>
            </w:r>
          </w:p>
        </w:tc>
        <w:tc>
          <w:tcPr>
            <w:tcW w:w="2205" w:type="dxa"/>
          </w:tcPr>
          <w:p w14:paraId="68E948C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6AEFFE66" w14:textId="77777777" w:rsidTr="00191D2D">
        <w:trPr>
          <w:cantSplit/>
        </w:trPr>
        <w:tc>
          <w:tcPr>
            <w:tcW w:w="2550" w:type="dxa"/>
            <w:vMerge/>
          </w:tcPr>
          <w:p w14:paraId="23124F81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1080D3C5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</w:tc>
        <w:tc>
          <w:tcPr>
            <w:tcW w:w="2840" w:type="dxa"/>
          </w:tcPr>
          <w:p w14:paraId="3948E01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3BCAB78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Hypertónia, periférna </w:t>
            </w:r>
            <w:proofErr w:type="spellStart"/>
            <w:r w:rsidRPr="00EB675A">
              <w:rPr>
                <w:szCs w:val="22"/>
                <w:lang w:val="sk-SK"/>
              </w:rPr>
              <w:t>neuropatia</w:t>
            </w:r>
            <w:proofErr w:type="spellEnd"/>
          </w:p>
        </w:tc>
      </w:tr>
      <w:tr w:rsidR="00EB0D42" w:rsidRPr="00EB675A" w14:paraId="20E9F070" w14:textId="77777777" w:rsidTr="00191D2D">
        <w:trPr>
          <w:cantSplit/>
        </w:trPr>
        <w:tc>
          <w:tcPr>
            <w:tcW w:w="2550" w:type="dxa"/>
            <w:vMerge/>
          </w:tcPr>
          <w:p w14:paraId="13FF8405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4C787C1F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Neznáme</w:t>
            </w:r>
          </w:p>
        </w:tc>
        <w:tc>
          <w:tcPr>
            <w:tcW w:w="2840" w:type="dxa"/>
          </w:tcPr>
          <w:p w14:paraId="453E95F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Synkopa</w:t>
            </w:r>
          </w:p>
        </w:tc>
        <w:tc>
          <w:tcPr>
            <w:tcW w:w="2205" w:type="dxa"/>
          </w:tcPr>
          <w:p w14:paraId="0D0C035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Extrapyramídová</w:t>
            </w:r>
            <w:proofErr w:type="spellEnd"/>
            <w:r w:rsidRPr="00EB675A">
              <w:rPr>
                <w:szCs w:val="22"/>
                <w:lang w:val="sk-SK"/>
              </w:rPr>
              <w:t xml:space="preserve"> porucha</w:t>
            </w:r>
          </w:p>
        </w:tc>
      </w:tr>
      <w:tr w:rsidR="00EB0D42" w:rsidRPr="00EB675A" w14:paraId="0FE26E43" w14:textId="77777777" w:rsidTr="00191D2D">
        <w:trPr>
          <w:cantSplit/>
        </w:trPr>
        <w:tc>
          <w:tcPr>
            <w:tcW w:w="2550" w:type="dxa"/>
          </w:tcPr>
          <w:p w14:paraId="49B9B082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oka</w:t>
            </w:r>
          </w:p>
        </w:tc>
        <w:tc>
          <w:tcPr>
            <w:tcW w:w="1501" w:type="dxa"/>
          </w:tcPr>
          <w:p w14:paraId="73B5516D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Časté</w:t>
            </w:r>
          </w:p>
        </w:tc>
        <w:tc>
          <w:tcPr>
            <w:tcW w:w="2840" w:type="dxa"/>
          </w:tcPr>
          <w:p w14:paraId="0E01B983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73369441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Poruchy videnia (vrátane </w:t>
            </w:r>
            <w:proofErr w:type="spellStart"/>
            <w:r w:rsidRPr="00EB675A">
              <w:rPr>
                <w:szCs w:val="22"/>
                <w:lang w:val="sk-SK"/>
              </w:rPr>
              <w:t>diplopie</w:t>
            </w:r>
            <w:proofErr w:type="spellEnd"/>
            <w:r w:rsidRPr="00EB675A">
              <w:rPr>
                <w:szCs w:val="22"/>
                <w:lang w:val="sk-SK"/>
              </w:rPr>
              <w:t>)</w:t>
            </w:r>
          </w:p>
        </w:tc>
      </w:tr>
      <w:tr w:rsidR="00EB0D42" w:rsidRPr="00EB675A" w14:paraId="5B3DC38F" w14:textId="77777777" w:rsidTr="00191D2D">
        <w:trPr>
          <w:cantSplit/>
        </w:trPr>
        <w:tc>
          <w:tcPr>
            <w:tcW w:w="2550" w:type="dxa"/>
          </w:tcPr>
          <w:p w14:paraId="7CACC280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ucha a labyrintu</w:t>
            </w:r>
          </w:p>
        </w:tc>
        <w:tc>
          <w:tcPr>
            <w:tcW w:w="1501" w:type="dxa"/>
          </w:tcPr>
          <w:p w14:paraId="0AAE9141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  <w:p w14:paraId="66071BB0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39BE2E2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4FFDEB6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Tinnitus</w:t>
            </w:r>
            <w:proofErr w:type="spellEnd"/>
          </w:p>
        </w:tc>
      </w:tr>
      <w:tr w:rsidR="00EB0D42" w:rsidRPr="00EB675A" w14:paraId="55E9E267" w14:textId="77777777" w:rsidTr="00191D2D">
        <w:trPr>
          <w:cantSplit/>
        </w:trPr>
        <w:tc>
          <w:tcPr>
            <w:tcW w:w="2550" w:type="dxa"/>
            <w:vMerge w:val="restart"/>
          </w:tcPr>
          <w:p w14:paraId="3FD77ED7" w14:textId="5F792D9D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srdca a srdcovej činnosti</w:t>
            </w:r>
            <w:r w:rsidRPr="00EB675A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501" w:type="dxa"/>
          </w:tcPr>
          <w:p w14:paraId="210D9969" w14:textId="765BF069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Časté</w:t>
            </w:r>
          </w:p>
        </w:tc>
        <w:tc>
          <w:tcPr>
            <w:tcW w:w="2840" w:type="dxa"/>
          </w:tcPr>
          <w:p w14:paraId="6CBAF68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5513066A" w14:textId="17767D7F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Palpitácie</w:t>
            </w:r>
            <w:proofErr w:type="spellEnd"/>
          </w:p>
        </w:tc>
      </w:tr>
      <w:tr w:rsidR="00EB0D42" w:rsidRPr="00EB675A" w14:paraId="53B8AA90" w14:textId="77777777" w:rsidTr="00191D2D">
        <w:trPr>
          <w:cantSplit/>
        </w:trPr>
        <w:tc>
          <w:tcPr>
            <w:tcW w:w="2550" w:type="dxa"/>
            <w:vMerge/>
          </w:tcPr>
          <w:p w14:paraId="089F77B7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68C06957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  <w:p w14:paraId="389621D9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729D433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Infarkt myokardu, možný sekundárne pri </w:t>
            </w:r>
            <w:proofErr w:type="spellStart"/>
            <w:r w:rsidRPr="00EB675A">
              <w:rPr>
                <w:szCs w:val="22"/>
                <w:lang w:val="sk-SK"/>
              </w:rPr>
              <w:t>excesívnej</w:t>
            </w:r>
            <w:proofErr w:type="spellEnd"/>
            <w:r w:rsidRPr="00EB675A">
              <w:rPr>
                <w:szCs w:val="22"/>
                <w:lang w:val="sk-SK"/>
              </w:rPr>
              <w:t xml:space="preserve"> hypotenzii u vysoko rizikových pacientov (pozri časť 4.4), </w:t>
            </w:r>
            <w:proofErr w:type="spellStart"/>
            <w:r w:rsidRPr="00EB675A">
              <w:rPr>
                <w:szCs w:val="22"/>
                <w:lang w:val="sk-SK"/>
              </w:rPr>
              <w:t>tachykardia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palpitácie</w:t>
            </w:r>
            <w:proofErr w:type="spellEnd"/>
          </w:p>
        </w:tc>
        <w:tc>
          <w:tcPr>
            <w:tcW w:w="2205" w:type="dxa"/>
          </w:tcPr>
          <w:p w14:paraId="16299152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Arytmia</w:t>
            </w:r>
            <w:proofErr w:type="spellEnd"/>
            <w:r w:rsidRPr="00EB675A">
              <w:rPr>
                <w:szCs w:val="22"/>
                <w:lang w:val="sk-SK"/>
              </w:rPr>
              <w:t xml:space="preserve"> (vrátane bradykardie, komorovej </w:t>
            </w:r>
            <w:proofErr w:type="spellStart"/>
            <w:r w:rsidRPr="00EB675A">
              <w:rPr>
                <w:szCs w:val="22"/>
                <w:lang w:val="sk-SK"/>
              </w:rPr>
              <w:t>tachykardie</w:t>
            </w:r>
            <w:proofErr w:type="spellEnd"/>
            <w:r w:rsidRPr="00EB675A">
              <w:rPr>
                <w:szCs w:val="22"/>
                <w:lang w:val="sk-SK"/>
              </w:rPr>
              <w:t xml:space="preserve"> a predsieňovej </w:t>
            </w:r>
            <w:proofErr w:type="spellStart"/>
            <w:r w:rsidRPr="00EB675A">
              <w:rPr>
                <w:szCs w:val="22"/>
                <w:lang w:val="sk-SK"/>
              </w:rPr>
              <w:t>fibrilácie</w:t>
            </w:r>
            <w:proofErr w:type="spellEnd"/>
            <w:r w:rsidRPr="00EB675A">
              <w:rPr>
                <w:szCs w:val="22"/>
                <w:lang w:val="sk-SK"/>
              </w:rPr>
              <w:t>)</w:t>
            </w:r>
          </w:p>
        </w:tc>
      </w:tr>
      <w:tr w:rsidR="00EB0D42" w:rsidRPr="00EB675A" w14:paraId="666CA398" w14:textId="77777777" w:rsidTr="00191D2D">
        <w:trPr>
          <w:cantSplit/>
        </w:trPr>
        <w:tc>
          <w:tcPr>
            <w:tcW w:w="2550" w:type="dxa"/>
            <w:vMerge/>
          </w:tcPr>
          <w:p w14:paraId="6E7443DB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7D5C17D3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</w:tc>
        <w:tc>
          <w:tcPr>
            <w:tcW w:w="2840" w:type="dxa"/>
          </w:tcPr>
          <w:p w14:paraId="510AEFD0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2B9EE9A3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Infarkt myokardu </w:t>
            </w:r>
          </w:p>
          <w:p w14:paraId="0A75DB59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2378E615" w14:textId="77777777" w:rsidTr="00191D2D">
        <w:trPr>
          <w:cantSplit/>
        </w:trPr>
        <w:tc>
          <w:tcPr>
            <w:tcW w:w="2550" w:type="dxa"/>
            <w:vMerge w:val="restart"/>
          </w:tcPr>
          <w:p w14:paraId="5063B01D" w14:textId="2FD81455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ciev</w:t>
            </w:r>
          </w:p>
        </w:tc>
        <w:tc>
          <w:tcPr>
            <w:tcW w:w="1501" w:type="dxa"/>
          </w:tcPr>
          <w:p w14:paraId="1B683AA8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Časté</w:t>
            </w:r>
          </w:p>
          <w:p w14:paraId="55DAF316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7C39D864" w14:textId="3278BD8C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Ortostatické</w:t>
            </w:r>
            <w:proofErr w:type="spellEnd"/>
            <w:r w:rsidRPr="00EB675A">
              <w:rPr>
                <w:szCs w:val="22"/>
                <w:lang w:val="sk-SK"/>
              </w:rPr>
              <w:t xml:space="preserve"> účinky (vrátane hypotenzie).</w:t>
            </w:r>
          </w:p>
        </w:tc>
        <w:tc>
          <w:tcPr>
            <w:tcW w:w="2205" w:type="dxa"/>
          </w:tcPr>
          <w:p w14:paraId="522F5DA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Začervenanie</w:t>
            </w:r>
          </w:p>
          <w:p w14:paraId="155CC832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0F258922" w14:textId="77777777" w:rsidTr="00191D2D">
        <w:trPr>
          <w:cantSplit/>
        </w:trPr>
        <w:tc>
          <w:tcPr>
            <w:tcW w:w="2550" w:type="dxa"/>
            <w:vMerge/>
          </w:tcPr>
          <w:p w14:paraId="701F7048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012368A4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  <w:p w14:paraId="46721BCB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22A107C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Cerebrovaskulárna</w:t>
            </w:r>
            <w:proofErr w:type="spellEnd"/>
            <w:r w:rsidRPr="00EB675A">
              <w:rPr>
                <w:szCs w:val="22"/>
                <w:lang w:val="sk-SK"/>
              </w:rPr>
              <w:t xml:space="preserve"> príhoda možná sekundárne pri </w:t>
            </w:r>
            <w:proofErr w:type="spellStart"/>
            <w:r w:rsidRPr="00EB675A">
              <w:rPr>
                <w:szCs w:val="22"/>
                <w:lang w:val="sk-SK"/>
              </w:rPr>
              <w:t>excesívnej</w:t>
            </w:r>
            <w:proofErr w:type="spellEnd"/>
            <w:r w:rsidRPr="00EB675A">
              <w:rPr>
                <w:szCs w:val="22"/>
                <w:lang w:val="sk-SK"/>
              </w:rPr>
              <w:t xml:space="preserve"> hypotenzii u vysoko rizikových pacientoch (pozri časť 4.4), </w:t>
            </w:r>
            <w:proofErr w:type="spellStart"/>
            <w:r w:rsidRPr="00EB675A">
              <w:rPr>
                <w:szCs w:val="22"/>
                <w:lang w:val="sk-SK"/>
              </w:rPr>
              <w:t>Raynaudov</w:t>
            </w:r>
            <w:proofErr w:type="spellEnd"/>
            <w:r w:rsidRPr="00EB675A">
              <w:rPr>
                <w:szCs w:val="22"/>
                <w:lang w:val="sk-SK"/>
              </w:rPr>
              <w:t xml:space="preserve"> fenomén</w:t>
            </w:r>
          </w:p>
        </w:tc>
        <w:tc>
          <w:tcPr>
            <w:tcW w:w="2205" w:type="dxa"/>
          </w:tcPr>
          <w:p w14:paraId="16B411BF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Hypotenzia</w:t>
            </w:r>
          </w:p>
          <w:p w14:paraId="1519858F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072E2092" w14:textId="77777777" w:rsidTr="00191D2D">
        <w:trPr>
          <w:cantSplit/>
        </w:trPr>
        <w:tc>
          <w:tcPr>
            <w:tcW w:w="2550" w:type="dxa"/>
            <w:vMerge/>
          </w:tcPr>
          <w:p w14:paraId="2E0A8A16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65603253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</w:tc>
        <w:tc>
          <w:tcPr>
            <w:tcW w:w="2840" w:type="dxa"/>
          </w:tcPr>
          <w:p w14:paraId="36778D2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236F7D7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Vaskulitída</w:t>
            </w:r>
            <w:proofErr w:type="spellEnd"/>
          </w:p>
        </w:tc>
      </w:tr>
      <w:tr w:rsidR="00EB0D42" w:rsidRPr="00EB675A" w14:paraId="51052DE3" w14:textId="77777777" w:rsidTr="00191D2D">
        <w:trPr>
          <w:cantSplit/>
        </w:trPr>
        <w:tc>
          <w:tcPr>
            <w:tcW w:w="2550" w:type="dxa"/>
            <w:vMerge w:val="restart"/>
          </w:tcPr>
          <w:p w14:paraId="41EDEFF3" w14:textId="5C343724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EB675A">
              <w:rPr>
                <w:b/>
                <w:szCs w:val="22"/>
                <w:lang w:val="sk-SK"/>
              </w:rPr>
              <w:t>mediastína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501" w:type="dxa"/>
          </w:tcPr>
          <w:p w14:paraId="4EB48FE6" w14:textId="59B743B8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Časté </w:t>
            </w:r>
          </w:p>
        </w:tc>
        <w:tc>
          <w:tcPr>
            <w:tcW w:w="2840" w:type="dxa"/>
          </w:tcPr>
          <w:p w14:paraId="6A57B567" w14:textId="0A561B06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Kašeľ</w:t>
            </w:r>
          </w:p>
        </w:tc>
        <w:tc>
          <w:tcPr>
            <w:tcW w:w="2205" w:type="dxa"/>
          </w:tcPr>
          <w:p w14:paraId="0FD09C34" w14:textId="38A82275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Dýchavičnosť</w:t>
            </w:r>
          </w:p>
        </w:tc>
      </w:tr>
      <w:tr w:rsidR="00EB0D42" w:rsidRPr="00EB675A" w14:paraId="1EEE5E81" w14:textId="77777777" w:rsidTr="00191D2D">
        <w:trPr>
          <w:cantSplit/>
        </w:trPr>
        <w:tc>
          <w:tcPr>
            <w:tcW w:w="2550" w:type="dxa"/>
            <w:vMerge/>
          </w:tcPr>
          <w:p w14:paraId="4EBE43BE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7439A789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</w:tc>
        <w:tc>
          <w:tcPr>
            <w:tcW w:w="2840" w:type="dxa"/>
          </w:tcPr>
          <w:p w14:paraId="62DD38F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Rinitída</w:t>
            </w:r>
            <w:proofErr w:type="spellEnd"/>
          </w:p>
        </w:tc>
        <w:tc>
          <w:tcPr>
            <w:tcW w:w="2205" w:type="dxa"/>
          </w:tcPr>
          <w:p w14:paraId="5BDF41D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Kašeľ, </w:t>
            </w:r>
            <w:proofErr w:type="spellStart"/>
            <w:r w:rsidRPr="00EB675A">
              <w:rPr>
                <w:szCs w:val="22"/>
                <w:lang w:val="sk-SK"/>
              </w:rPr>
              <w:t>rinitída</w:t>
            </w:r>
            <w:proofErr w:type="spellEnd"/>
          </w:p>
        </w:tc>
      </w:tr>
      <w:tr w:rsidR="00EB0D42" w:rsidRPr="00EB675A" w14:paraId="05D267C6" w14:textId="77777777" w:rsidTr="00191D2D">
        <w:trPr>
          <w:cantSplit/>
        </w:trPr>
        <w:tc>
          <w:tcPr>
            <w:tcW w:w="2550" w:type="dxa"/>
            <w:vMerge/>
          </w:tcPr>
          <w:p w14:paraId="39AC3C93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1F9CB8B5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  <w:p w14:paraId="5A66C168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3316A1D3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Bronchospazmus</w:t>
            </w:r>
            <w:proofErr w:type="spellEnd"/>
            <w:r w:rsidRPr="00EB675A">
              <w:rPr>
                <w:szCs w:val="22"/>
                <w:lang w:val="sk-SK"/>
              </w:rPr>
              <w:t xml:space="preserve">, alergická </w:t>
            </w:r>
            <w:proofErr w:type="spellStart"/>
            <w:r w:rsidRPr="00EB675A">
              <w:rPr>
                <w:szCs w:val="22"/>
                <w:lang w:val="sk-SK"/>
              </w:rPr>
              <w:t>alveolitída</w:t>
            </w:r>
            <w:proofErr w:type="spellEnd"/>
            <w:r w:rsidRPr="00EB675A">
              <w:rPr>
                <w:szCs w:val="22"/>
                <w:lang w:val="sk-SK"/>
              </w:rPr>
              <w:t>/</w:t>
            </w:r>
            <w:proofErr w:type="spellStart"/>
            <w:r w:rsidRPr="00EB675A">
              <w:rPr>
                <w:szCs w:val="22"/>
                <w:lang w:val="sk-SK"/>
              </w:rPr>
              <w:t>eozinofilná</w:t>
            </w:r>
            <w:proofErr w:type="spellEnd"/>
            <w:r w:rsidRPr="00EB675A">
              <w:rPr>
                <w:szCs w:val="22"/>
                <w:lang w:val="sk-SK"/>
              </w:rPr>
              <w:t xml:space="preserve"> pneumónia, </w:t>
            </w:r>
            <w:proofErr w:type="spellStart"/>
            <w:r w:rsidRPr="00EB675A">
              <w:rPr>
                <w:szCs w:val="22"/>
                <w:lang w:val="sk-SK"/>
              </w:rPr>
              <w:t>sinusitída</w:t>
            </w:r>
            <w:proofErr w:type="spellEnd"/>
            <w:r w:rsidRPr="00EB675A">
              <w:rPr>
                <w:szCs w:val="22"/>
                <w:lang w:val="sk-SK"/>
              </w:rPr>
              <w:t>.</w:t>
            </w:r>
          </w:p>
        </w:tc>
        <w:tc>
          <w:tcPr>
            <w:tcW w:w="2205" w:type="dxa"/>
          </w:tcPr>
          <w:p w14:paraId="064AFCD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403E9FFD" w14:textId="77777777" w:rsidTr="00191D2D">
        <w:trPr>
          <w:cantSplit/>
        </w:trPr>
        <w:tc>
          <w:tcPr>
            <w:tcW w:w="2550" w:type="dxa"/>
            <w:vMerge w:val="restart"/>
          </w:tcPr>
          <w:p w14:paraId="2F71059D" w14:textId="35164A75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EB675A">
              <w:rPr>
                <w:b/>
                <w:szCs w:val="22"/>
                <w:lang w:val="sk-SK"/>
              </w:rPr>
              <w:t>gastrointestinálneho</w:t>
            </w:r>
            <w:proofErr w:type="spellEnd"/>
            <w:r w:rsidRPr="00EB675A">
              <w:rPr>
                <w:b/>
                <w:szCs w:val="22"/>
                <w:lang w:val="sk-SK"/>
              </w:rPr>
              <w:t xml:space="preserve"> traktu</w:t>
            </w:r>
          </w:p>
        </w:tc>
        <w:tc>
          <w:tcPr>
            <w:tcW w:w="1501" w:type="dxa"/>
          </w:tcPr>
          <w:p w14:paraId="1DF11F98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Časté</w:t>
            </w:r>
          </w:p>
          <w:p w14:paraId="2CB7BE8E" w14:textId="577CF626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5F7C3C6B" w14:textId="086B7851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Hnačka, vracanie.</w:t>
            </w:r>
          </w:p>
        </w:tc>
        <w:tc>
          <w:tcPr>
            <w:tcW w:w="2205" w:type="dxa"/>
          </w:tcPr>
          <w:p w14:paraId="003D06E8" w14:textId="212D7CD0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Bolesť brucha, nauzea, </w:t>
            </w:r>
            <w:proofErr w:type="spellStart"/>
            <w:r w:rsidRPr="00EB675A">
              <w:rPr>
                <w:szCs w:val="22"/>
                <w:lang w:val="sk-SK"/>
              </w:rPr>
              <w:t>dyspepsia</w:t>
            </w:r>
            <w:proofErr w:type="spellEnd"/>
            <w:r w:rsidRPr="00EB675A">
              <w:rPr>
                <w:szCs w:val="22"/>
                <w:lang w:val="sk-SK"/>
              </w:rPr>
              <w:t>, zmenené správanie čriev (hnačka a obstipácia),</w:t>
            </w:r>
          </w:p>
        </w:tc>
      </w:tr>
      <w:tr w:rsidR="00EB0D42" w:rsidRPr="00EB675A" w14:paraId="01CC9326" w14:textId="77777777" w:rsidTr="00191D2D">
        <w:trPr>
          <w:cantSplit/>
        </w:trPr>
        <w:tc>
          <w:tcPr>
            <w:tcW w:w="2550" w:type="dxa"/>
            <w:vMerge/>
          </w:tcPr>
          <w:p w14:paraId="3D8C7F1C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51F52100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  <w:p w14:paraId="43FFCFF2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47D953A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Bolesť brucha, nauzea, poruchy trávenia.</w:t>
            </w:r>
          </w:p>
        </w:tc>
        <w:tc>
          <w:tcPr>
            <w:tcW w:w="2205" w:type="dxa"/>
          </w:tcPr>
          <w:p w14:paraId="776BE8B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Vracanie, sucho v ústach</w:t>
            </w:r>
          </w:p>
        </w:tc>
      </w:tr>
      <w:tr w:rsidR="00EB0D42" w:rsidRPr="00EB675A" w14:paraId="4603B0AC" w14:textId="77777777" w:rsidTr="00191D2D">
        <w:trPr>
          <w:cantSplit/>
        </w:trPr>
        <w:tc>
          <w:tcPr>
            <w:tcW w:w="2550" w:type="dxa"/>
            <w:vMerge/>
          </w:tcPr>
          <w:p w14:paraId="2035CF48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4B5DB2A8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</w:tc>
        <w:tc>
          <w:tcPr>
            <w:tcW w:w="2840" w:type="dxa"/>
          </w:tcPr>
          <w:p w14:paraId="649BBC08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Sucho v ústach</w:t>
            </w:r>
          </w:p>
        </w:tc>
        <w:tc>
          <w:tcPr>
            <w:tcW w:w="2205" w:type="dxa"/>
          </w:tcPr>
          <w:p w14:paraId="4589796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3DC9E88C" w14:textId="77777777" w:rsidTr="00191D2D">
        <w:trPr>
          <w:cantSplit/>
        </w:trPr>
        <w:tc>
          <w:tcPr>
            <w:tcW w:w="2550" w:type="dxa"/>
            <w:vMerge/>
          </w:tcPr>
          <w:p w14:paraId="169D962C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3696C7BD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</w:tc>
        <w:tc>
          <w:tcPr>
            <w:tcW w:w="2840" w:type="dxa"/>
          </w:tcPr>
          <w:p w14:paraId="51796883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Pankreatitída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intestinálny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  <w:proofErr w:type="spellStart"/>
            <w:r w:rsidRPr="00EB675A">
              <w:rPr>
                <w:szCs w:val="22"/>
                <w:lang w:val="sk-SK"/>
              </w:rPr>
              <w:t>angioedém</w:t>
            </w:r>
            <w:proofErr w:type="spellEnd"/>
            <w:r w:rsidRPr="00EB675A">
              <w:rPr>
                <w:szCs w:val="22"/>
                <w:lang w:val="sk-SK"/>
              </w:rPr>
              <w:t>.</w:t>
            </w:r>
          </w:p>
          <w:p w14:paraId="39AB550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7CEA263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Pankreatitída</w:t>
            </w:r>
            <w:proofErr w:type="spellEnd"/>
            <w:r w:rsidRPr="00EB675A">
              <w:rPr>
                <w:szCs w:val="22"/>
                <w:lang w:val="sk-SK"/>
              </w:rPr>
              <w:t xml:space="preserve">, gastritída, </w:t>
            </w:r>
            <w:proofErr w:type="spellStart"/>
            <w:r w:rsidRPr="00EB675A">
              <w:rPr>
                <w:szCs w:val="22"/>
                <w:lang w:val="sk-SK"/>
              </w:rPr>
              <w:t>hyperplázia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  <w:proofErr w:type="spellStart"/>
            <w:r w:rsidRPr="00EB675A">
              <w:rPr>
                <w:szCs w:val="22"/>
                <w:lang w:val="sk-SK"/>
              </w:rPr>
              <w:t>gingívy</w:t>
            </w:r>
            <w:proofErr w:type="spellEnd"/>
          </w:p>
        </w:tc>
      </w:tr>
      <w:tr w:rsidR="00EB0D42" w:rsidRPr="00EB675A" w14:paraId="3C561166" w14:textId="77777777" w:rsidTr="00191D2D">
        <w:trPr>
          <w:cantSplit/>
        </w:trPr>
        <w:tc>
          <w:tcPr>
            <w:tcW w:w="2550" w:type="dxa"/>
          </w:tcPr>
          <w:p w14:paraId="05EB1C67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pečene a žlčových ciest</w:t>
            </w:r>
          </w:p>
          <w:p w14:paraId="27AD5138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3F1194DB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  <w:p w14:paraId="2088624A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2B2F645C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Hepatitída – </w:t>
            </w:r>
            <w:proofErr w:type="spellStart"/>
            <w:r w:rsidRPr="00EB675A">
              <w:rPr>
                <w:szCs w:val="22"/>
                <w:lang w:val="sk-SK"/>
              </w:rPr>
              <w:t>hepatocelulárna</w:t>
            </w:r>
            <w:proofErr w:type="spellEnd"/>
            <w:r w:rsidRPr="00EB675A">
              <w:rPr>
                <w:szCs w:val="22"/>
                <w:lang w:val="sk-SK"/>
              </w:rPr>
              <w:t xml:space="preserve"> alebo </w:t>
            </w:r>
            <w:proofErr w:type="spellStart"/>
            <w:r w:rsidRPr="00EB675A">
              <w:rPr>
                <w:szCs w:val="22"/>
                <w:lang w:val="sk-SK"/>
              </w:rPr>
              <w:t>cholestatická</w:t>
            </w:r>
            <w:proofErr w:type="spellEnd"/>
            <w:r w:rsidRPr="00EB675A">
              <w:rPr>
                <w:szCs w:val="22"/>
                <w:lang w:val="sk-SK"/>
              </w:rPr>
              <w:t xml:space="preserve"> žltačka a zlyhanie pečene(pozri časť 4.4).</w:t>
            </w:r>
          </w:p>
          <w:p w14:paraId="5429EF18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67C6451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Hepatitída, žltačka, zvýšenie </w:t>
            </w:r>
            <w:proofErr w:type="spellStart"/>
            <w:r w:rsidRPr="00EB675A">
              <w:rPr>
                <w:szCs w:val="22"/>
                <w:lang w:val="sk-SK"/>
              </w:rPr>
              <w:t>hepatálnych</w:t>
            </w:r>
            <w:proofErr w:type="spellEnd"/>
            <w:r w:rsidRPr="00EB675A">
              <w:rPr>
                <w:szCs w:val="22"/>
                <w:lang w:val="sk-SK"/>
              </w:rPr>
              <w:t xml:space="preserve"> enzýmov** </w:t>
            </w:r>
          </w:p>
        </w:tc>
      </w:tr>
      <w:tr w:rsidR="00EB0D42" w:rsidRPr="00EB675A" w14:paraId="3319EC88" w14:textId="77777777" w:rsidTr="00191D2D">
        <w:trPr>
          <w:cantSplit/>
        </w:trPr>
        <w:tc>
          <w:tcPr>
            <w:tcW w:w="2550" w:type="dxa"/>
            <w:vMerge w:val="restart"/>
          </w:tcPr>
          <w:p w14:paraId="5F5DD144" w14:textId="16D6560B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kože a podkožného tkaniva</w:t>
            </w:r>
          </w:p>
        </w:tc>
        <w:tc>
          <w:tcPr>
            <w:tcW w:w="1501" w:type="dxa"/>
          </w:tcPr>
          <w:p w14:paraId="2D31F4EC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  <w:p w14:paraId="366085A0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  <w:p w14:paraId="2FF30C2A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  <w:p w14:paraId="1A267436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  <w:p w14:paraId="504503FF" w14:textId="7672A85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02B73950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Vyrážka, </w:t>
            </w:r>
            <w:proofErr w:type="spellStart"/>
            <w:r w:rsidRPr="00EB675A">
              <w:rPr>
                <w:szCs w:val="22"/>
                <w:lang w:val="sk-SK"/>
              </w:rPr>
              <w:t>pruritus</w:t>
            </w:r>
            <w:proofErr w:type="spellEnd"/>
            <w:r w:rsidRPr="00EB675A">
              <w:rPr>
                <w:szCs w:val="22"/>
                <w:lang w:val="sk-SK"/>
              </w:rPr>
              <w:t>.</w:t>
            </w:r>
          </w:p>
          <w:p w14:paraId="703468BA" w14:textId="52339081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491B3054" w14:textId="124845D5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Alopécia</w:t>
            </w:r>
            <w:proofErr w:type="spellEnd"/>
            <w:r w:rsidRPr="00EB675A">
              <w:rPr>
                <w:szCs w:val="22"/>
                <w:lang w:val="sk-SK"/>
              </w:rPr>
              <w:t xml:space="preserve">, vyrážka, exantém, </w:t>
            </w:r>
            <w:proofErr w:type="spellStart"/>
            <w:r w:rsidRPr="00EB675A">
              <w:rPr>
                <w:szCs w:val="22"/>
                <w:lang w:val="sk-SK"/>
              </w:rPr>
              <w:t>purpura</w:t>
            </w:r>
            <w:proofErr w:type="spellEnd"/>
            <w:r w:rsidRPr="00EB675A">
              <w:rPr>
                <w:szCs w:val="22"/>
                <w:lang w:val="sk-SK"/>
              </w:rPr>
              <w:t xml:space="preserve">, zmena farby kože, </w:t>
            </w:r>
            <w:proofErr w:type="spellStart"/>
            <w:r w:rsidRPr="00EB675A">
              <w:rPr>
                <w:szCs w:val="22"/>
                <w:lang w:val="sk-SK"/>
              </w:rPr>
              <w:t>hyperhidróza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pruritus</w:t>
            </w:r>
            <w:proofErr w:type="spellEnd"/>
            <w:r w:rsidRPr="00EB675A">
              <w:rPr>
                <w:szCs w:val="22"/>
                <w:lang w:val="sk-SK"/>
              </w:rPr>
              <w:t>, žihľavka</w:t>
            </w:r>
          </w:p>
        </w:tc>
      </w:tr>
      <w:tr w:rsidR="00EB0D42" w:rsidRPr="00EB675A" w14:paraId="6FBA4D89" w14:textId="77777777" w:rsidTr="00191D2D">
        <w:trPr>
          <w:cantSplit/>
        </w:trPr>
        <w:tc>
          <w:tcPr>
            <w:tcW w:w="2550" w:type="dxa"/>
            <w:vMerge/>
          </w:tcPr>
          <w:p w14:paraId="0493EFAE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3A5EAA9F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  <w:p w14:paraId="5CC46961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760BA359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Psoriáza, žihľavka, </w:t>
            </w:r>
            <w:proofErr w:type="spellStart"/>
            <w:r w:rsidRPr="00EB675A">
              <w:rPr>
                <w:szCs w:val="22"/>
                <w:lang w:val="sk-SK"/>
              </w:rPr>
              <w:t>alopécia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hypersenzitivita</w:t>
            </w:r>
            <w:proofErr w:type="spellEnd"/>
            <w:r w:rsidRPr="00EB675A">
              <w:rPr>
                <w:szCs w:val="22"/>
                <w:lang w:val="sk-SK"/>
              </w:rPr>
              <w:t>/</w:t>
            </w:r>
          </w:p>
          <w:p w14:paraId="378689D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angioneurotický</w:t>
            </w:r>
            <w:proofErr w:type="spellEnd"/>
            <w:r w:rsidRPr="00EB675A">
              <w:rPr>
                <w:szCs w:val="22"/>
                <w:lang w:val="sk-SK"/>
              </w:rPr>
              <w:t xml:space="preserve"> edém, </w:t>
            </w:r>
            <w:proofErr w:type="spellStart"/>
            <w:r w:rsidRPr="00EB675A">
              <w:rPr>
                <w:szCs w:val="22"/>
                <w:lang w:val="sk-SK"/>
              </w:rPr>
              <w:t>angioneurotický</w:t>
            </w:r>
            <w:proofErr w:type="spellEnd"/>
            <w:r w:rsidRPr="00EB675A">
              <w:rPr>
                <w:szCs w:val="22"/>
                <w:lang w:val="sk-SK"/>
              </w:rPr>
              <w:t xml:space="preserve"> edém tváre, končatín, pier, jazyka, hlasiviek a/alebo hrtanu (pozri časť 4.4). </w:t>
            </w:r>
          </w:p>
        </w:tc>
        <w:tc>
          <w:tcPr>
            <w:tcW w:w="2205" w:type="dxa"/>
          </w:tcPr>
          <w:p w14:paraId="3F63B8E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1FAE94B5" w14:textId="77777777" w:rsidTr="00191D2D">
        <w:trPr>
          <w:cantSplit/>
        </w:trPr>
        <w:tc>
          <w:tcPr>
            <w:tcW w:w="2550" w:type="dxa"/>
            <w:vMerge/>
          </w:tcPr>
          <w:p w14:paraId="593D811F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278F61F2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  <w:p w14:paraId="42AD5908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0F3D52C3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Toxická </w:t>
            </w:r>
            <w:proofErr w:type="spellStart"/>
            <w:r w:rsidRPr="00EB675A">
              <w:rPr>
                <w:szCs w:val="22"/>
                <w:lang w:val="sk-SK"/>
              </w:rPr>
              <w:t>epidermálna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  <w:proofErr w:type="spellStart"/>
            <w:r w:rsidRPr="00EB675A">
              <w:rPr>
                <w:szCs w:val="22"/>
                <w:lang w:val="sk-SK"/>
              </w:rPr>
              <w:t>nekrolýza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Stevensov-Johnsonov</w:t>
            </w:r>
            <w:proofErr w:type="spellEnd"/>
            <w:r w:rsidRPr="00EB675A">
              <w:rPr>
                <w:szCs w:val="22"/>
                <w:lang w:val="sk-SK"/>
              </w:rPr>
              <w:t xml:space="preserve"> syndróm, </w:t>
            </w:r>
            <w:proofErr w:type="spellStart"/>
            <w:r w:rsidRPr="00EB675A">
              <w:rPr>
                <w:szCs w:val="22"/>
                <w:lang w:val="sk-SK"/>
              </w:rPr>
              <w:t>multiformný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  <w:proofErr w:type="spellStart"/>
            <w:r w:rsidRPr="00EB675A">
              <w:rPr>
                <w:szCs w:val="22"/>
                <w:lang w:val="sk-SK"/>
              </w:rPr>
              <w:t>erytém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pemfigus</w:t>
            </w:r>
            <w:proofErr w:type="spellEnd"/>
            <w:r w:rsidRPr="00EB675A">
              <w:rPr>
                <w:szCs w:val="22"/>
                <w:lang w:val="sk-SK"/>
              </w:rPr>
              <w:t xml:space="preserve">, potenie, </w:t>
            </w:r>
            <w:proofErr w:type="spellStart"/>
            <w:r w:rsidRPr="00EB675A">
              <w:rPr>
                <w:szCs w:val="22"/>
                <w:lang w:val="sk-SK"/>
              </w:rPr>
              <w:t>kutánny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  <w:proofErr w:type="spellStart"/>
            <w:r w:rsidRPr="00EB675A">
              <w:rPr>
                <w:szCs w:val="22"/>
                <w:lang w:val="sk-SK"/>
              </w:rPr>
              <w:t>pseudolymfóm</w:t>
            </w:r>
            <w:proofErr w:type="spellEnd"/>
            <w:r w:rsidRPr="00EB675A">
              <w:rPr>
                <w:szCs w:val="22"/>
                <w:lang w:val="sk-SK"/>
              </w:rPr>
              <w:t>*.</w:t>
            </w:r>
          </w:p>
        </w:tc>
        <w:tc>
          <w:tcPr>
            <w:tcW w:w="2205" w:type="dxa"/>
          </w:tcPr>
          <w:p w14:paraId="3E9CC7ED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Multiformný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  <w:proofErr w:type="spellStart"/>
            <w:r w:rsidRPr="00EB675A">
              <w:rPr>
                <w:szCs w:val="22"/>
                <w:lang w:val="sk-SK"/>
              </w:rPr>
              <w:t>erytém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angioedém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exfoliatívna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  <w:proofErr w:type="spellStart"/>
            <w:r w:rsidRPr="00EB675A">
              <w:rPr>
                <w:szCs w:val="22"/>
                <w:lang w:val="sk-SK"/>
              </w:rPr>
              <w:t>derma-titída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Stevensov-Johnsonov</w:t>
            </w:r>
            <w:proofErr w:type="spellEnd"/>
            <w:r w:rsidRPr="00EB675A">
              <w:rPr>
                <w:szCs w:val="22"/>
                <w:lang w:val="sk-SK"/>
              </w:rPr>
              <w:t xml:space="preserve"> syndróm, </w:t>
            </w:r>
            <w:proofErr w:type="spellStart"/>
            <w:r w:rsidRPr="00EB675A">
              <w:rPr>
                <w:szCs w:val="22"/>
                <w:lang w:val="sk-SK"/>
              </w:rPr>
              <w:t>Quinckeho</w:t>
            </w:r>
            <w:proofErr w:type="spellEnd"/>
            <w:r w:rsidRPr="00EB675A">
              <w:rPr>
                <w:szCs w:val="22"/>
                <w:lang w:val="sk-SK"/>
              </w:rPr>
              <w:t xml:space="preserve"> edém, </w:t>
            </w:r>
            <w:proofErr w:type="spellStart"/>
            <w:r w:rsidRPr="00EB675A">
              <w:rPr>
                <w:szCs w:val="22"/>
                <w:lang w:val="sk-SK"/>
              </w:rPr>
              <w:t>fotosenzitivita</w:t>
            </w:r>
            <w:proofErr w:type="spellEnd"/>
          </w:p>
        </w:tc>
      </w:tr>
      <w:tr w:rsidR="00EB0D42" w:rsidRPr="00EB675A" w14:paraId="5D640A87" w14:textId="77777777" w:rsidTr="00191D2D">
        <w:trPr>
          <w:cantSplit/>
        </w:trPr>
        <w:tc>
          <w:tcPr>
            <w:tcW w:w="2550" w:type="dxa"/>
            <w:vMerge/>
          </w:tcPr>
          <w:p w14:paraId="078BB3C8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157CB2D6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Neznáme</w:t>
            </w:r>
          </w:p>
        </w:tc>
        <w:tc>
          <w:tcPr>
            <w:tcW w:w="2840" w:type="dxa"/>
          </w:tcPr>
          <w:p w14:paraId="6BE5718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5C41A501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Toxická </w:t>
            </w:r>
            <w:proofErr w:type="spellStart"/>
            <w:r w:rsidRPr="00EB675A">
              <w:rPr>
                <w:szCs w:val="22"/>
                <w:lang w:val="sk-SK"/>
              </w:rPr>
              <w:t>epidermálna</w:t>
            </w:r>
            <w:proofErr w:type="spellEnd"/>
            <w:r w:rsidRPr="00EB675A">
              <w:rPr>
                <w:szCs w:val="22"/>
                <w:lang w:val="sk-SK"/>
              </w:rPr>
              <w:t xml:space="preserve"> </w:t>
            </w:r>
            <w:proofErr w:type="spellStart"/>
            <w:r w:rsidRPr="00EB675A">
              <w:rPr>
                <w:szCs w:val="22"/>
                <w:lang w:val="sk-SK"/>
              </w:rPr>
              <w:t>nekrolýza</w:t>
            </w:r>
            <w:proofErr w:type="spellEnd"/>
          </w:p>
        </w:tc>
      </w:tr>
      <w:tr w:rsidR="00EB0D42" w:rsidRPr="00EB675A" w14:paraId="413FB357" w14:textId="77777777" w:rsidTr="00191D2D">
        <w:trPr>
          <w:cantSplit/>
        </w:trPr>
        <w:tc>
          <w:tcPr>
            <w:tcW w:w="2550" w:type="dxa"/>
            <w:vMerge w:val="restart"/>
          </w:tcPr>
          <w:p w14:paraId="61F4BDD9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kostrovej a svalovej sústavy a spojivového tkaniva</w:t>
            </w:r>
          </w:p>
          <w:p w14:paraId="052421C0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7460C885" w14:textId="4CBC7CC1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Časté</w:t>
            </w:r>
          </w:p>
          <w:p w14:paraId="634452C1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3DD85DA5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  <w:p w14:paraId="308D6972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3FA53DC6" w14:textId="72502343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Opuch kĺbov, svalové kŕče</w:t>
            </w:r>
          </w:p>
        </w:tc>
      </w:tr>
      <w:tr w:rsidR="00EB0D42" w:rsidRPr="00EB675A" w14:paraId="18ED5EAE" w14:textId="77777777" w:rsidTr="00191D2D">
        <w:trPr>
          <w:cantSplit/>
        </w:trPr>
        <w:tc>
          <w:tcPr>
            <w:tcW w:w="2550" w:type="dxa"/>
            <w:vMerge/>
          </w:tcPr>
          <w:p w14:paraId="43CFE559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199E71E2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</w:tc>
        <w:tc>
          <w:tcPr>
            <w:tcW w:w="2840" w:type="dxa"/>
          </w:tcPr>
          <w:p w14:paraId="6E83A9D0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4C16920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Artralgia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myalgia</w:t>
            </w:r>
            <w:proofErr w:type="spellEnd"/>
            <w:r w:rsidRPr="00EB675A">
              <w:rPr>
                <w:szCs w:val="22"/>
                <w:lang w:val="sk-SK"/>
              </w:rPr>
              <w:t>, bolesť chrbta</w:t>
            </w:r>
          </w:p>
        </w:tc>
      </w:tr>
      <w:tr w:rsidR="00EB0D42" w:rsidRPr="00EB675A" w14:paraId="3DECFA76" w14:textId="77777777" w:rsidTr="00191D2D">
        <w:trPr>
          <w:cantSplit/>
        </w:trPr>
        <w:tc>
          <w:tcPr>
            <w:tcW w:w="2550" w:type="dxa"/>
            <w:vMerge w:val="restart"/>
          </w:tcPr>
          <w:p w14:paraId="01DB2E04" w14:textId="6F77C36F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obličiek a močových ciest</w:t>
            </w:r>
          </w:p>
        </w:tc>
        <w:tc>
          <w:tcPr>
            <w:tcW w:w="1501" w:type="dxa"/>
          </w:tcPr>
          <w:p w14:paraId="4F1F3B22" w14:textId="1F01BAA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Časté</w:t>
            </w:r>
          </w:p>
        </w:tc>
        <w:tc>
          <w:tcPr>
            <w:tcW w:w="2840" w:type="dxa"/>
          </w:tcPr>
          <w:p w14:paraId="7BDFA3E8" w14:textId="2419FE71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Reálna dysfunkcia</w:t>
            </w:r>
          </w:p>
        </w:tc>
        <w:tc>
          <w:tcPr>
            <w:tcW w:w="2205" w:type="dxa"/>
          </w:tcPr>
          <w:p w14:paraId="04975D8F" w14:textId="1442EC0D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40681DF2" w14:textId="77777777" w:rsidTr="00191D2D">
        <w:trPr>
          <w:cantSplit/>
        </w:trPr>
        <w:tc>
          <w:tcPr>
            <w:tcW w:w="2550" w:type="dxa"/>
            <w:vMerge/>
          </w:tcPr>
          <w:p w14:paraId="47514D98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151A9A10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  <w:p w14:paraId="3895031F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47A595A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366AF5E5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Porucha močenia, </w:t>
            </w:r>
            <w:proofErr w:type="spellStart"/>
            <w:r w:rsidRPr="00EB675A">
              <w:rPr>
                <w:szCs w:val="22"/>
                <w:lang w:val="sk-SK"/>
              </w:rPr>
              <w:t>noktúria</w:t>
            </w:r>
            <w:proofErr w:type="spellEnd"/>
            <w:r w:rsidRPr="00EB675A">
              <w:rPr>
                <w:szCs w:val="22"/>
                <w:lang w:val="sk-SK"/>
              </w:rPr>
              <w:t>, zvýšená frekvencia močenia</w:t>
            </w:r>
          </w:p>
        </w:tc>
      </w:tr>
      <w:tr w:rsidR="00EB0D42" w:rsidRPr="00EB675A" w14:paraId="79FD0830" w14:textId="77777777" w:rsidTr="00191D2D">
        <w:trPr>
          <w:cantSplit/>
        </w:trPr>
        <w:tc>
          <w:tcPr>
            <w:tcW w:w="2550" w:type="dxa"/>
            <w:vMerge/>
          </w:tcPr>
          <w:p w14:paraId="755198E3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566343B6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  <w:p w14:paraId="392971B6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05FC2FBC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Akútne zlyhanie obličiek, urémia.</w:t>
            </w:r>
          </w:p>
        </w:tc>
        <w:tc>
          <w:tcPr>
            <w:tcW w:w="2205" w:type="dxa"/>
          </w:tcPr>
          <w:p w14:paraId="36BFDFE4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2BD910A0" w14:textId="77777777" w:rsidTr="00191D2D">
        <w:trPr>
          <w:cantSplit/>
        </w:trPr>
        <w:tc>
          <w:tcPr>
            <w:tcW w:w="2550" w:type="dxa"/>
            <w:vMerge/>
          </w:tcPr>
          <w:p w14:paraId="7B301BE2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7FAAB671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zriedkavé</w:t>
            </w:r>
          </w:p>
        </w:tc>
        <w:tc>
          <w:tcPr>
            <w:tcW w:w="2840" w:type="dxa"/>
          </w:tcPr>
          <w:p w14:paraId="53260B4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Oligúria</w:t>
            </w:r>
            <w:proofErr w:type="spellEnd"/>
            <w:r w:rsidRPr="00EB675A">
              <w:rPr>
                <w:szCs w:val="22"/>
                <w:lang w:val="sk-SK"/>
              </w:rPr>
              <w:t>/</w:t>
            </w:r>
            <w:proofErr w:type="spellStart"/>
            <w:r w:rsidRPr="00EB675A">
              <w:rPr>
                <w:szCs w:val="22"/>
                <w:lang w:val="sk-SK"/>
              </w:rPr>
              <w:t>anúria</w:t>
            </w:r>
            <w:proofErr w:type="spellEnd"/>
            <w:r w:rsidRPr="00EB675A">
              <w:rPr>
                <w:szCs w:val="22"/>
                <w:lang w:val="sk-SK"/>
              </w:rPr>
              <w:t>.</w:t>
            </w:r>
          </w:p>
        </w:tc>
        <w:tc>
          <w:tcPr>
            <w:tcW w:w="2205" w:type="dxa"/>
          </w:tcPr>
          <w:p w14:paraId="758C8BB8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4E100D7B" w14:textId="77777777" w:rsidTr="00191D2D">
        <w:trPr>
          <w:cantSplit/>
        </w:trPr>
        <w:tc>
          <w:tcPr>
            <w:tcW w:w="2550" w:type="dxa"/>
            <w:vMerge w:val="restart"/>
          </w:tcPr>
          <w:p w14:paraId="78BE01FB" w14:textId="02AF3ABC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Poruchy reprodukčného systému a prsníkov</w:t>
            </w:r>
          </w:p>
        </w:tc>
        <w:tc>
          <w:tcPr>
            <w:tcW w:w="1501" w:type="dxa"/>
          </w:tcPr>
          <w:p w14:paraId="4F2686DA" w14:textId="01AE2CFD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</w:tc>
        <w:tc>
          <w:tcPr>
            <w:tcW w:w="2840" w:type="dxa"/>
          </w:tcPr>
          <w:p w14:paraId="50F6CA0E" w14:textId="4876DB12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Impotencia</w:t>
            </w:r>
          </w:p>
        </w:tc>
        <w:tc>
          <w:tcPr>
            <w:tcW w:w="2205" w:type="dxa"/>
          </w:tcPr>
          <w:p w14:paraId="25C6935D" w14:textId="12BF1DA1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Impotencia, </w:t>
            </w:r>
            <w:proofErr w:type="spellStart"/>
            <w:r w:rsidRPr="00EB675A">
              <w:rPr>
                <w:szCs w:val="22"/>
                <w:lang w:val="sk-SK"/>
              </w:rPr>
              <w:t>gynekomastia</w:t>
            </w:r>
            <w:proofErr w:type="spellEnd"/>
          </w:p>
        </w:tc>
      </w:tr>
      <w:tr w:rsidR="00EB0D42" w:rsidRPr="00EB675A" w14:paraId="0F78C5E2" w14:textId="77777777" w:rsidTr="00191D2D">
        <w:trPr>
          <w:cantSplit/>
        </w:trPr>
        <w:tc>
          <w:tcPr>
            <w:tcW w:w="2550" w:type="dxa"/>
            <w:vMerge/>
          </w:tcPr>
          <w:p w14:paraId="58E21873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74D0DBC6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</w:tc>
        <w:tc>
          <w:tcPr>
            <w:tcW w:w="2840" w:type="dxa"/>
          </w:tcPr>
          <w:p w14:paraId="0B8C3FA2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B675A">
              <w:rPr>
                <w:szCs w:val="22"/>
                <w:lang w:val="sk-SK"/>
              </w:rPr>
              <w:t>Gynekomastia</w:t>
            </w:r>
            <w:proofErr w:type="spellEnd"/>
          </w:p>
        </w:tc>
        <w:tc>
          <w:tcPr>
            <w:tcW w:w="2205" w:type="dxa"/>
          </w:tcPr>
          <w:p w14:paraId="1E71D157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EB0D42" w:rsidRPr="00EB675A" w14:paraId="794C8CD8" w14:textId="77777777" w:rsidTr="00191D2D">
        <w:trPr>
          <w:cantSplit/>
        </w:trPr>
        <w:tc>
          <w:tcPr>
            <w:tcW w:w="2550" w:type="dxa"/>
            <w:vMerge w:val="restart"/>
          </w:tcPr>
          <w:p w14:paraId="2E7DBABE" w14:textId="0130F295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501" w:type="dxa"/>
          </w:tcPr>
          <w:p w14:paraId="0D74F9CF" w14:textId="1ABFBE5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Veľmi časté</w:t>
            </w:r>
          </w:p>
        </w:tc>
        <w:tc>
          <w:tcPr>
            <w:tcW w:w="2840" w:type="dxa"/>
          </w:tcPr>
          <w:p w14:paraId="09AD764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6C11934B" w14:textId="75E71D96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Edém </w:t>
            </w:r>
          </w:p>
        </w:tc>
      </w:tr>
      <w:tr w:rsidR="00EB0D42" w:rsidRPr="00EB675A" w14:paraId="58B6A438" w14:textId="77777777" w:rsidTr="00191D2D">
        <w:trPr>
          <w:cantSplit/>
        </w:trPr>
        <w:tc>
          <w:tcPr>
            <w:tcW w:w="2550" w:type="dxa"/>
            <w:vMerge/>
          </w:tcPr>
          <w:p w14:paraId="08C42A31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689346AE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Časté</w:t>
            </w:r>
          </w:p>
        </w:tc>
        <w:tc>
          <w:tcPr>
            <w:tcW w:w="2840" w:type="dxa"/>
          </w:tcPr>
          <w:p w14:paraId="750B79D8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205" w:type="dxa"/>
          </w:tcPr>
          <w:p w14:paraId="544E3E3E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Únava, asténia</w:t>
            </w:r>
          </w:p>
        </w:tc>
      </w:tr>
      <w:tr w:rsidR="00EB0D42" w:rsidRPr="00EB675A" w14:paraId="4951D49C" w14:textId="77777777" w:rsidTr="00191D2D">
        <w:trPr>
          <w:cantSplit/>
        </w:trPr>
        <w:tc>
          <w:tcPr>
            <w:tcW w:w="2550" w:type="dxa"/>
            <w:vMerge/>
          </w:tcPr>
          <w:p w14:paraId="71C6CE0F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72DC0DDB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</w:tc>
        <w:tc>
          <w:tcPr>
            <w:tcW w:w="2840" w:type="dxa"/>
          </w:tcPr>
          <w:p w14:paraId="7F0C86DC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Únava, asténia</w:t>
            </w:r>
          </w:p>
        </w:tc>
        <w:tc>
          <w:tcPr>
            <w:tcW w:w="2205" w:type="dxa"/>
          </w:tcPr>
          <w:p w14:paraId="1E9EB350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Bolesť na hrudi, bolesť, nevoľnosť</w:t>
            </w:r>
          </w:p>
        </w:tc>
      </w:tr>
      <w:tr w:rsidR="00EB0D42" w:rsidRPr="00EB675A" w14:paraId="65891313" w14:textId="77777777" w:rsidTr="00191D2D">
        <w:trPr>
          <w:cantSplit/>
        </w:trPr>
        <w:tc>
          <w:tcPr>
            <w:tcW w:w="2550" w:type="dxa"/>
            <w:vMerge w:val="restart"/>
          </w:tcPr>
          <w:p w14:paraId="684E12B3" w14:textId="6DEAD568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b/>
                <w:szCs w:val="22"/>
                <w:lang w:val="sk-SK"/>
              </w:rPr>
              <w:t>Laboratórne a funkčné vyšetrenia</w:t>
            </w:r>
          </w:p>
          <w:p w14:paraId="16305271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  <w:p w14:paraId="56D784BA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203CDE1A" w14:textId="225672FF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Menej časté</w:t>
            </w:r>
          </w:p>
          <w:p w14:paraId="5A215805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  <w:p w14:paraId="4C3AAA15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26921E9D" w14:textId="338B0A9F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Zvýšenie </w:t>
            </w:r>
            <w:proofErr w:type="spellStart"/>
            <w:r w:rsidRPr="00EB675A">
              <w:rPr>
                <w:szCs w:val="22"/>
                <w:lang w:val="sk-SK"/>
              </w:rPr>
              <w:t>urey</w:t>
            </w:r>
            <w:proofErr w:type="spellEnd"/>
            <w:r w:rsidRPr="00EB675A">
              <w:rPr>
                <w:szCs w:val="22"/>
                <w:lang w:val="sk-SK"/>
              </w:rPr>
              <w:t xml:space="preserve"> v krvi, zvýšenie sérového </w:t>
            </w:r>
            <w:proofErr w:type="spellStart"/>
            <w:r w:rsidRPr="00EB675A">
              <w:rPr>
                <w:szCs w:val="22"/>
                <w:lang w:val="sk-SK"/>
              </w:rPr>
              <w:t>kreatinínu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hyperkaliémia</w:t>
            </w:r>
            <w:proofErr w:type="spellEnd"/>
            <w:r w:rsidRPr="00EB675A">
              <w:rPr>
                <w:szCs w:val="22"/>
                <w:lang w:val="sk-SK"/>
              </w:rPr>
              <w:t xml:space="preserve">, zvýšenie </w:t>
            </w:r>
            <w:proofErr w:type="spellStart"/>
            <w:r w:rsidRPr="00EB675A">
              <w:rPr>
                <w:szCs w:val="22"/>
                <w:lang w:val="sk-SK"/>
              </w:rPr>
              <w:t>hepatálnych</w:t>
            </w:r>
            <w:proofErr w:type="spellEnd"/>
            <w:r w:rsidRPr="00EB675A">
              <w:rPr>
                <w:szCs w:val="22"/>
                <w:lang w:val="sk-SK"/>
              </w:rPr>
              <w:t xml:space="preserve"> enzýmov.</w:t>
            </w:r>
          </w:p>
        </w:tc>
        <w:tc>
          <w:tcPr>
            <w:tcW w:w="2205" w:type="dxa"/>
          </w:tcPr>
          <w:p w14:paraId="477B701E" w14:textId="7AE21C06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Zvýšenie telesnej hmotnosti, zníženie telesnej hmotnosti</w:t>
            </w:r>
          </w:p>
        </w:tc>
      </w:tr>
      <w:tr w:rsidR="00EB0D42" w:rsidRPr="00EB675A" w14:paraId="6CAF0804" w14:textId="77777777" w:rsidTr="00191D2D">
        <w:trPr>
          <w:cantSplit/>
        </w:trPr>
        <w:tc>
          <w:tcPr>
            <w:tcW w:w="2550" w:type="dxa"/>
            <w:vMerge/>
          </w:tcPr>
          <w:p w14:paraId="56ADBA7C" w14:textId="77777777" w:rsidR="00EB0D42" w:rsidRPr="00EB675A" w:rsidRDefault="00EB0D42" w:rsidP="00191D2D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501" w:type="dxa"/>
          </w:tcPr>
          <w:p w14:paraId="61D8072E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>Zriedkavé</w:t>
            </w:r>
          </w:p>
          <w:p w14:paraId="37984B46" w14:textId="77777777" w:rsidR="00EB0D42" w:rsidRPr="00EB675A" w:rsidRDefault="00EB0D42" w:rsidP="00191D2D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840" w:type="dxa"/>
          </w:tcPr>
          <w:p w14:paraId="688C94EB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  <w:r w:rsidRPr="00EB675A">
              <w:rPr>
                <w:szCs w:val="22"/>
                <w:lang w:val="sk-SK"/>
              </w:rPr>
              <w:t xml:space="preserve">Zvýšenie sérového </w:t>
            </w:r>
            <w:proofErr w:type="spellStart"/>
            <w:r w:rsidRPr="00EB675A">
              <w:rPr>
                <w:szCs w:val="22"/>
                <w:lang w:val="sk-SK"/>
              </w:rPr>
              <w:t>bilirubínu</w:t>
            </w:r>
            <w:proofErr w:type="spellEnd"/>
            <w:r w:rsidRPr="00EB675A">
              <w:rPr>
                <w:szCs w:val="22"/>
                <w:lang w:val="sk-SK"/>
              </w:rPr>
              <w:t xml:space="preserve">, </w:t>
            </w:r>
            <w:proofErr w:type="spellStart"/>
            <w:r w:rsidRPr="00EB675A">
              <w:rPr>
                <w:szCs w:val="22"/>
                <w:lang w:val="sk-SK"/>
              </w:rPr>
              <w:t>hyponatriémia</w:t>
            </w:r>
            <w:proofErr w:type="spellEnd"/>
            <w:r w:rsidRPr="00EB675A">
              <w:rPr>
                <w:szCs w:val="22"/>
                <w:lang w:val="sk-SK"/>
              </w:rPr>
              <w:t xml:space="preserve">. </w:t>
            </w:r>
          </w:p>
        </w:tc>
        <w:tc>
          <w:tcPr>
            <w:tcW w:w="2205" w:type="dxa"/>
          </w:tcPr>
          <w:p w14:paraId="7439E910" w14:textId="77777777" w:rsidR="00EB0D42" w:rsidRPr="00EB675A" w:rsidRDefault="00EB0D42" w:rsidP="00191D2D">
            <w:pPr>
              <w:spacing w:line="240" w:lineRule="auto"/>
              <w:rPr>
                <w:szCs w:val="22"/>
                <w:lang w:val="sk-SK"/>
              </w:rPr>
            </w:pPr>
          </w:p>
        </w:tc>
      </w:tr>
    </w:tbl>
    <w:p w14:paraId="544D94C8" w14:textId="77777777" w:rsidR="00EB0D42" w:rsidRPr="00157521" w:rsidRDefault="00EB0D42" w:rsidP="000C0967">
      <w:pPr>
        <w:spacing w:line="240" w:lineRule="auto"/>
        <w:jc w:val="both"/>
        <w:rPr>
          <w:lang w:val="sk-SK"/>
        </w:rPr>
      </w:pPr>
    </w:p>
    <w:p w14:paraId="264E358E" w14:textId="77777777" w:rsidR="000C0967" w:rsidRPr="00157521" w:rsidRDefault="006B541A" w:rsidP="003F7DD0">
      <w:pPr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* Bol hlásený komplex symptómov, ktorý môže zahŕňať jeden alebo viac z nasledujúcich príznakov: horúčka, </w:t>
      </w:r>
      <w:proofErr w:type="spellStart"/>
      <w:r w:rsidRPr="00157521">
        <w:rPr>
          <w:szCs w:val="22"/>
          <w:lang w:val="sk-SK"/>
        </w:rPr>
        <w:t>vaskulitída</w:t>
      </w:r>
      <w:proofErr w:type="spellEnd"/>
      <w:r w:rsidRPr="00157521">
        <w:rPr>
          <w:szCs w:val="22"/>
          <w:lang w:val="sk-SK"/>
        </w:rPr>
        <w:t xml:space="preserve">, </w:t>
      </w:r>
      <w:proofErr w:type="spellStart"/>
      <w:r w:rsidRPr="00157521">
        <w:rPr>
          <w:szCs w:val="22"/>
          <w:lang w:val="sk-SK"/>
        </w:rPr>
        <w:t>myalgia</w:t>
      </w:r>
      <w:proofErr w:type="spellEnd"/>
      <w:r w:rsidRPr="00157521">
        <w:rPr>
          <w:szCs w:val="22"/>
          <w:lang w:val="sk-SK"/>
        </w:rPr>
        <w:t xml:space="preserve">, </w:t>
      </w:r>
      <w:proofErr w:type="spellStart"/>
      <w:r w:rsidRPr="00157521">
        <w:rPr>
          <w:szCs w:val="22"/>
          <w:lang w:val="sk-SK"/>
        </w:rPr>
        <w:t>artralgia</w:t>
      </w:r>
      <w:proofErr w:type="spellEnd"/>
      <w:r w:rsidRPr="00157521">
        <w:rPr>
          <w:szCs w:val="22"/>
          <w:lang w:val="sk-SK"/>
        </w:rPr>
        <w:t xml:space="preserve">/artritída, pozitívne </w:t>
      </w:r>
      <w:proofErr w:type="spellStart"/>
      <w:r w:rsidRPr="00157521">
        <w:rPr>
          <w:szCs w:val="22"/>
          <w:lang w:val="sk-SK"/>
        </w:rPr>
        <w:t>antinukleárne</w:t>
      </w:r>
      <w:proofErr w:type="spellEnd"/>
      <w:r w:rsidRPr="00157521">
        <w:rPr>
          <w:szCs w:val="22"/>
          <w:lang w:val="sk-SK"/>
        </w:rPr>
        <w:t xml:space="preserve"> protilátky (ANA), zrýchlenie sedimentácie červených krviniek (ESR), </w:t>
      </w:r>
      <w:proofErr w:type="spellStart"/>
      <w:r w:rsidRPr="00157521">
        <w:rPr>
          <w:szCs w:val="22"/>
          <w:lang w:val="sk-SK"/>
        </w:rPr>
        <w:t>eozinofília</w:t>
      </w:r>
      <w:proofErr w:type="spellEnd"/>
      <w:r w:rsidRPr="00157521">
        <w:rPr>
          <w:szCs w:val="22"/>
          <w:lang w:val="sk-SK"/>
        </w:rPr>
        <w:t xml:space="preserve"> a leukocytóza, vyrážka, </w:t>
      </w:r>
      <w:proofErr w:type="spellStart"/>
      <w:r w:rsidRPr="00157521">
        <w:rPr>
          <w:szCs w:val="22"/>
          <w:lang w:val="sk-SK"/>
        </w:rPr>
        <w:t>fotosenzitivita</w:t>
      </w:r>
      <w:proofErr w:type="spellEnd"/>
      <w:r w:rsidRPr="00157521">
        <w:rPr>
          <w:szCs w:val="22"/>
          <w:lang w:val="sk-SK"/>
        </w:rPr>
        <w:t xml:space="preserve"> alebo sa môžu vyskytnúť iné dermatologické manifestácie.</w:t>
      </w:r>
    </w:p>
    <w:p w14:paraId="264E358F" w14:textId="77777777" w:rsidR="006B541A" w:rsidRPr="00157521" w:rsidRDefault="006B541A" w:rsidP="000C0967">
      <w:pPr>
        <w:spacing w:line="240" w:lineRule="auto"/>
        <w:jc w:val="both"/>
        <w:rPr>
          <w:szCs w:val="22"/>
          <w:lang w:val="sk-SK"/>
        </w:rPr>
      </w:pPr>
      <w:r w:rsidRPr="00157521">
        <w:rPr>
          <w:szCs w:val="22"/>
          <w:lang w:val="sk-SK"/>
        </w:rPr>
        <w:t>** Väčšinou v spojení s </w:t>
      </w:r>
      <w:proofErr w:type="spellStart"/>
      <w:r w:rsidRPr="00157521">
        <w:rPr>
          <w:szCs w:val="22"/>
          <w:lang w:val="sk-SK"/>
        </w:rPr>
        <w:t>cholestázou</w:t>
      </w:r>
      <w:proofErr w:type="spellEnd"/>
    </w:p>
    <w:p w14:paraId="264E3590" w14:textId="77777777" w:rsidR="006B541A" w:rsidRPr="00157521" w:rsidRDefault="006B541A" w:rsidP="000C0967">
      <w:pPr>
        <w:spacing w:line="240" w:lineRule="auto"/>
        <w:jc w:val="both"/>
        <w:rPr>
          <w:szCs w:val="22"/>
          <w:lang w:val="sk-SK"/>
        </w:rPr>
      </w:pPr>
    </w:p>
    <w:p w14:paraId="264E3591" w14:textId="77777777" w:rsidR="0084107D" w:rsidRPr="00673249" w:rsidRDefault="0084107D" w:rsidP="0084107D">
      <w:pPr>
        <w:rPr>
          <w:szCs w:val="22"/>
          <w:lang w:val="sk-SK"/>
        </w:rPr>
      </w:pPr>
      <w:r w:rsidRPr="00673249">
        <w:rPr>
          <w:rStyle w:val="apple-style-span"/>
          <w:bCs/>
          <w:color w:val="000000"/>
          <w:szCs w:val="22"/>
          <w:lang w:val="sk-SK"/>
        </w:rPr>
        <w:t xml:space="preserve">Bezpečnostné údaje z klinických štúdií naznačujú, že </w:t>
      </w:r>
      <w:proofErr w:type="spellStart"/>
      <w:r w:rsidRPr="00673249">
        <w:rPr>
          <w:rStyle w:val="apple-style-span"/>
          <w:bCs/>
          <w:color w:val="000000"/>
          <w:szCs w:val="22"/>
          <w:lang w:val="sk-SK"/>
        </w:rPr>
        <w:t>lizinopril</w:t>
      </w:r>
      <w:proofErr w:type="spellEnd"/>
      <w:r w:rsidRPr="00673249">
        <w:rPr>
          <w:rStyle w:val="apple-style-span"/>
          <w:bCs/>
          <w:color w:val="000000"/>
          <w:szCs w:val="22"/>
          <w:lang w:val="sk-SK"/>
        </w:rPr>
        <w:t xml:space="preserve"> je všeobecne dobre znášaný u </w:t>
      </w:r>
      <w:proofErr w:type="spellStart"/>
      <w:r w:rsidRPr="00673249">
        <w:rPr>
          <w:rStyle w:val="apple-style-span"/>
          <w:bCs/>
          <w:color w:val="000000"/>
          <w:szCs w:val="22"/>
          <w:lang w:val="sk-SK"/>
        </w:rPr>
        <w:t>hypertenzných</w:t>
      </w:r>
      <w:proofErr w:type="spellEnd"/>
      <w:r w:rsidRPr="00673249">
        <w:rPr>
          <w:rStyle w:val="apple-style-span"/>
          <w:bCs/>
          <w:color w:val="000000"/>
          <w:szCs w:val="22"/>
          <w:lang w:val="sk-SK"/>
        </w:rPr>
        <w:t xml:space="preserve"> pediatrických pacientov a že bezpečnostný profil u tejto vekovej skupiny je porovnateľný s profilom u dospelých.</w:t>
      </w:r>
    </w:p>
    <w:p w14:paraId="264E3592" w14:textId="77777777" w:rsidR="006B541A" w:rsidRDefault="006B541A" w:rsidP="000C0967">
      <w:pPr>
        <w:spacing w:line="240" w:lineRule="auto"/>
        <w:jc w:val="both"/>
        <w:rPr>
          <w:lang w:val="sk-SK"/>
        </w:rPr>
      </w:pPr>
    </w:p>
    <w:p w14:paraId="264E3593" w14:textId="77777777" w:rsidR="00374247" w:rsidRPr="003F7DD0" w:rsidRDefault="00374247" w:rsidP="00374247">
      <w:pPr>
        <w:suppressLineNumbers/>
        <w:autoSpaceDE w:val="0"/>
        <w:autoSpaceDN w:val="0"/>
        <w:adjustRightInd w:val="0"/>
        <w:rPr>
          <w:szCs w:val="22"/>
          <w:u w:val="single"/>
          <w:lang w:val="sk-SK"/>
        </w:rPr>
      </w:pPr>
      <w:r w:rsidRPr="003F7DD0">
        <w:rPr>
          <w:noProof/>
          <w:szCs w:val="22"/>
          <w:u w:val="single"/>
          <w:lang w:val="sk-SK"/>
        </w:rPr>
        <w:t>Hlásenie podozrení na nežiaduce reakcie</w:t>
      </w:r>
    </w:p>
    <w:p w14:paraId="264E3594" w14:textId="77777777" w:rsidR="00374247" w:rsidRPr="003F7DD0" w:rsidRDefault="00374247" w:rsidP="00374247">
      <w:pPr>
        <w:suppressLineNumbers/>
        <w:autoSpaceDE w:val="0"/>
        <w:autoSpaceDN w:val="0"/>
        <w:adjustRightInd w:val="0"/>
        <w:rPr>
          <w:noProof/>
          <w:szCs w:val="22"/>
          <w:lang w:val="sk-SK"/>
        </w:rPr>
      </w:pPr>
      <w:r w:rsidRPr="003F7DD0">
        <w:rPr>
          <w:noProof/>
          <w:szCs w:val="22"/>
          <w:lang w:val="sk-SK"/>
        </w:rPr>
        <w:t>Hlásenie podozrení na nežiaduce reakcie po registrácii lieku je dôležité.</w:t>
      </w:r>
      <w:r w:rsidRPr="003F7DD0">
        <w:rPr>
          <w:szCs w:val="22"/>
          <w:lang w:val="sk-SK"/>
        </w:rPr>
        <w:t xml:space="preserve"> </w:t>
      </w:r>
      <w:r w:rsidRPr="003F7DD0">
        <w:rPr>
          <w:noProof/>
          <w:szCs w:val="22"/>
          <w:lang w:val="sk-SK"/>
        </w:rPr>
        <w:t>Umožňuje priebežné monitorovanie pomeru prínosu a rizika lieku.</w:t>
      </w:r>
      <w:r w:rsidRPr="003F7DD0">
        <w:rPr>
          <w:szCs w:val="22"/>
          <w:lang w:val="sk-SK"/>
        </w:rPr>
        <w:t xml:space="preserve"> Od </w:t>
      </w:r>
      <w:r w:rsidRPr="003F7DD0">
        <w:rPr>
          <w:noProof/>
          <w:szCs w:val="22"/>
          <w:lang w:val="sk-SK"/>
        </w:rPr>
        <w:t xml:space="preserve">zdravotníckych pracovníkov sa vyžaduje, aby hlásili akékoľvek podozrenia na nežiaduce reakcie </w:t>
      </w:r>
      <w:r w:rsidR="0084107D">
        <w:rPr>
          <w:noProof/>
          <w:szCs w:val="22"/>
          <w:lang w:val="sk-SK"/>
        </w:rPr>
        <w:t>na</w:t>
      </w:r>
      <w:r w:rsidRPr="003F7DD0">
        <w:rPr>
          <w:noProof/>
          <w:szCs w:val="22"/>
          <w:lang w:val="sk-SK"/>
        </w:rPr>
        <w:t xml:space="preserve"> </w:t>
      </w:r>
      <w:r w:rsidRPr="003F7DD0">
        <w:rPr>
          <w:noProof/>
          <w:szCs w:val="22"/>
          <w:highlight w:val="lightGray"/>
          <w:lang w:val="sk-SK"/>
        </w:rPr>
        <w:t>národn</w:t>
      </w:r>
      <w:r w:rsidR="007A2BFE">
        <w:rPr>
          <w:noProof/>
          <w:szCs w:val="22"/>
          <w:highlight w:val="lightGray"/>
          <w:lang w:val="sk-SK"/>
        </w:rPr>
        <w:t>é</w:t>
      </w:r>
      <w:r w:rsidRPr="003F7DD0">
        <w:rPr>
          <w:noProof/>
          <w:szCs w:val="22"/>
          <w:highlight w:val="lightGray"/>
          <w:lang w:val="sk-SK"/>
        </w:rPr>
        <w:t xml:space="preserve"> </w:t>
      </w:r>
      <w:r w:rsidR="007A2BFE">
        <w:rPr>
          <w:noProof/>
          <w:szCs w:val="22"/>
          <w:highlight w:val="lightGray"/>
          <w:lang w:val="sk-SK"/>
        </w:rPr>
        <w:t>centrum</w:t>
      </w:r>
      <w:r w:rsidRPr="003F7DD0">
        <w:rPr>
          <w:noProof/>
          <w:szCs w:val="22"/>
          <w:highlight w:val="lightGray"/>
          <w:lang w:val="sk-SK"/>
        </w:rPr>
        <w:t xml:space="preserve"> hlásenia uveden</w:t>
      </w:r>
      <w:r w:rsidR="007A2BFE">
        <w:rPr>
          <w:noProof/>
          <w:szCs w:val="22"/>
          <w:highlight w:val="lightGray"/>
          <w:lang w:val="sk-SK"/>
        </w:rPr>
        <w:t>é</w:t>
      </w:r>
      <w:r w:rsidRPr="003F7DD0">
        <w:rPr>
          <w:noProof/>
          <w:szCs w:val="22"/>
          <w:highlight w:val="lightGray"/>
          <w:lang w:val="sk-SK"/>
        </w:rPr>
        <w:t xml:space="preserve"> v </w:t>
      </w:r>
      <w:hyperlink r:id="rId16" w:history="1">
        <w:r w:rsidRPr="003F7DD0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F7DD0">
        <w:rPr>
          <w:noProof/>
          <w:szCs w:val="22"/>
          <w:lang w:val="sk-SK"/>
        </w:rPr>
        <w:t>.</w:t>
      </w:r>
    </w:p>
    <w:p w14:paraId="264E3595" w14:textId="77777777" w:rsidR="00374247" w:rsidRPr="00157521" w:rsidRDefault="00374247" w:rsidP="000C0967">
      <w:pPr>
        <w:spacing w:line="240" w:lineRule="auto"/>
        <w:jc w:val="both"/>
        <w:rPr>
          <w:lang w:val="sk-SK"/>
        </w:rPr>
      </w:pPr>
    </w:p>
    <w:p w14:paraId="264E3596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4.9</w:t>
      </w:r>
      <w:r w:rsidRPr="00157521">
        <w:rPr>
          <w:b/>
          <w:lang w:val="sk-SK"/>
        </w:rPr>
        <w:tab/>
      </w:r>
      <w:r w:rsidR="00D137A9" w:rsidRPr="00157521">
        <w:rPr>
          <w:b/>
          <w:lang w:val="sk-SK"/>
        </w:rPr>
        <w:t>Predávkovanie</w:t>
      </w:r>
    </w:p>
    <w:p w14:paraId="264E3597" w14:textId="77777777" w:rsidR="00681759" w:rsidRPr="00157521" w:rsidRDefault="00D137A9" w:rsidP="009512D0">
      <w:pPr>
        <w:spacing w:line="240" w:lineRule="auto"/>
        <w:rPr>
          <w:lang w:val="sk-SK"/>
        </w:rPr>
      </w:pPr>
      <w:r w:rsidRPr="00157521">
        <w:rPr>
          <w:lang w:val="sk-SK"/>
        </w:rPr>
        <w:t xml:space="preserve"> </w:t>
      </w:r>
    </w:p>
    <w:p w14:paraId="264E3598" w14:textId="77777777" w:rsidR="00752AA1" w:rsidRPr="00157521" w:rsidRDefault="00752AA1" w:rsidP="009512D0">
      <w:pPr>
        <w:spacing w:line="240" w:lineRule="auto"/>
        <w:rPr>
          <w:lang w:val="sk-SK"/>
        </w:rPr>
      </w:pPr>
      <w:r w:rsidRPr="00157521">
        <w:rPr>
          <w:lang w:val="sk-SK"/>
        </w:rPr>
        <w:t xml:space="preserve">Nie sú dostupné žiadne údaje o predávkovaní </w:t>
      </w:r>
      <w:r w:rsidR="00915D85">
        <w:rPr>
          <w:lang w:val="sk-SK"/>
        </w:rPr>
        <w:t>DIRONORMOM</w:t>
      </w:r>
      <w:r w:rsidRPr="00157521">
        <w:rPr>
          <w:lang w:val="sk-SK"/>
        </w:rPr>
        <w:t xml:space="preserve"> u ľudí.</w:t>
      </w:r>
    </w:p>
    <w:p w14:paraId="264E3599" w14:textId="77777777" w:rsidR="00752AA1" w:rsidRPr="00157521" w:rsidRDefault="00752AA1" w:rsidP="009512D0">
      <w:pPr>
        <w:spacing w:line="240" w:lineRule="auto"/>
        <w:rPr>
          <w:lang w:val="sk-SK"/>
        </w:rPr>
      </w:pPr>
    </w:p>
    <w:p w14:paraId="264E359A" w14:textId="77777777" w:rsidR="00BD74B2" w:rsidRPr="00157521" w:rsidRDefault="00BD74B2" w:rsidP="00BD74B2">
      <w:pPr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 xml:space="preserve">Spojené s predávkovaním </w:t>
      </w:r>
      <w:proofErr w:type="spellStart"/>
      <w:r w:rsidRPr="00157521">
        <w:rPr>
          <w:i/>
          <w:szCs w:val="22"/>
          <w:lang w:val="sk-SK"/>
        </w:rPr>
        <w:t>lizinoprilom</w:t>
      </w:r>
      <w:proofErr w:type="spellEnd"/>
    </w:p>
    <w:p w14:paraId="264E359B" w14:textId="77777777" w:rsidR="00BD74B2" w:rsidRPr="00157521" w:rsidRDefault="00BD74B2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Dostupné údaje o predávkovaní u ľudí sú nedostatočné. Príznaky spojené s predávkovaním ACE inhibítorov môžu zahŕňať hypotenziu, cirkulačný šok, poruchy elektrolytov,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renálne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zlyhanie,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hyperventiláciu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tachykardiu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palpitácie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bradykardiu, závraty, úzkosť a kašeľ. V liečbe predávkovania sa odporúča intravenózna infúzia fyziologického roztoku. Ak je prítomná hypotenzia, pacient sa má uložiť do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protišokovej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polohy. Možno zvážiť infúznu liečbu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angiotenzínom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II a/alebo intravenóznymi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katecholamínmi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ak je takáto liečba dostupná. Ak pacient užil liek nedávno, treba urobiť opatrenia, zamerané na elimináciu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(napríklad vyvolaním vracania,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lavážou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žalúdka, podaním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adsorbencií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a síranu sodného).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možno odstrániť z cirkulácie hemodialýzou (pozri časť 4.4). Liečba kardiostimulátorom je indikovaná v prípadoch bradykardie rezistentnej na liečbu. Je nevyhnutné často monitorovať vitálne funkcie, koncentrácie sérových elektrolytov 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264E359C" w14:textId="77777777" w:rsidR="00BD74B2" w:rsidRPr="00157521" w:rsidRDefault="00BD74B2" w:rsidP="009512D0">
      <w:pPr>
        <w:tabs>
          <w:tab w:val="left" w:pos="288"/>
          <w:tab w:val="left" w:pos="432"/>
        </w:tabs>
        <w:spacing w:line="240" w:lineRule="auto"/>
        <w:rPr>
          <w:lang w:val="sk-SK"/>
        </w:rPr>
      </w:pPr>
    </w:p>
    <w:p w14:paraId="264E359D" w14:textId="77777777" w:rsidR="00BD74B2" w:rsidRPr="00157521" w:rsidRDefault="00BD74B2" w:rsidP="00BD74B2">
      <w:pPr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 xml:space="preserve">Spojené s predávkovaním </w:t>
      </w:r>
      <w:proofErr w:type="spellStart"/>
      <w:r w:rsidRPr="00157521">
        <w:rPr>
          <w:i/>
          <w:szCs w:val="22"/>
          <w:lang w:val="sk-SK"/>
        </w:rPr>
        <w:t>amlodipínom</w:t>
      </w:r>
      <w:proofErr w:type="spellEnd"/>
    </w:p>
    <w:p w14:paraId="264E359E" w14:textId="77777777" w:rsidR="00985929" w:rsidRPr="00157521" w:rsidRDefault="00985929" w:rsidP="00985929">
      <w:pPr>
        <w:rPr>
          <w:bCs/>
          <w:szCs w:val="22"/>
          <w:lang w:val="sk-SK"/>
        </w:rPr>
      </w:pPr>
      <w:r w:rsidRPr="00157521">
        <w:rPr>
          <w:bCs/>
          <w:szCs w:val="22"/>
          <w:lang w:val="sk-SK"/>
        </w:rPr>
        <w:t>Skúsenosti s úmyselným predávkovaním u ľudí sú obmedzené.</w:t>
      </w:r>
    </w:p>
    <w:p w14:paraId="264E359F" w14:textId="77777777" w:rsidR="0059775D" w:rsidRDefault="0059775D" w:rsidP="00985929">
      <w:pPr>
        <w:rPr>
          <w:i/>
          <w:szCs w:val="22"/>
          <w:lang w:val="sk-SK"/>
        </w:rPr>
      </w:pPr>
    </w:p>
    <w:p w14:paraId="264E35A0" w14:textId="77777777" w:rsidR="00985929" w:rsidRPr="003F7DD0" w:rsidRDefault="00985929" w:rsidP="00985929">
      <w:pPr>
        <w:rPr>
          <w:szCs w:val="22"/>
          <w:lang w:val="sk-SK"/>
        </w:rPr>
      </w:pPr>
      <w:r w:rsidRPr="003F7DD0">
        <w:rPr>
          <w:szCs w:val="22"/>
          <w:lang w:val="sk-SK"/>
        </w:rPr>
        <w:t>Symptómy</w:t>
      </w:r>
    </w:p>
    <w:p w14:paraId="264E35A1" w14:textId="77777777" w:rsidR="00985929" w:rsidRPr="00157521" w:rsidRDefault="00985929" w:rsidP="00985929">
      <w:pPr>
        <w:rPr>
          <w:i/>
          <w:szCs w:val="22"/>
          <w:lang w:val="sk-SK"/>
        </w:rPr>
      </w:pPr>
      <w:r w:rsidRPr="00157521">
        <w:rPr>
          <w:szCs w:val="22"/>
          <w:lang w:val="sk-SK"/>
        </w:rPr>
        <w:t xml:space="preserve">Dostupné informácie naznačujú, že veľké predávkovanie môže viesť k </w:t>
      </w:r>
      <w:proofErr w:type="spellStart"/>
      <w:r w:rsidRPr="00157521">
        <w:rPr>
          <w:szCs w:val="22"/>
          <w:lang w:val="sk-SK"/>
        </w:rPr>
        <w:t>excesívnej</w:t>
      </w:r>
      <w:proofErr w:type="spellEnd"/>
      <w:r w:rsidRPr="00157521">
        <w:rPr>
          <w:szCs w:val="22"/>
          <w:lang w:val="sk-SK"/>
        </w:rPr>
        <w:t xml:space="preserve"> periférnej </w:t>
      </w:r>
      <w:proofErr w:type="spellStart"/>
      <w:r w:rsidRPr="00157521">
        <w:rPr>
          <w:szCs w:val="22"/>
          <w:lang w:val="sk-SK"/>
        </w:rPr>
        <w:t>vazodilatácii</w:t>
      </w:r>
      <w:proofErr w:type="spellEnd"/>
      <w:r w:rsidRPr="00157521">
        <w:rPr>
          <w:szCs w:val="22"/>
          <w:lang w:val="sk-SK"/>
        </w:rPr>
        <w:t xml:space="preserve"> a možnej reflexnej </w:t>
      </w:r>
      <w:proofErr w:type="spellStart"/>
      <w:r w:rsidRPr="00157521">
        <w:rPr>
          <w:szCs w:val="22"/>
          <w:lang w:val="sk-SK"/>
        </w:rPr>
        <w:t>tachykardii</w:t>
      </w:r>
      <w:proofErr w:type="spellEnd"/>
      <w:r w:rsidRPr="00157521">
        <w:rPr>
          <w:szCs w:val="22"/>
          <w:lang w:val="sk-SK"/>
        </w:rPr>
        <w:t>. Bola hlásená výrazná a pravdepodobne predĺžená systémová hypotenzia vrátane šoku s následnou smrťou.</w:t>
      </w:r>
    </w:p>
    <w:p w14:paraId="264E35A2" w14:textId="77777777" w:rsidR="00985929" w:rsidRPr="00157521" w:rsidRDefault="00985929" w:rsidP="00985929">
      <w:pPr>
        <w:rPr>
          <w:i/>
          <w:szCs w:val="22"/>
          <w:lang w:val="sk-SK"/>
        </w:rPr>
      </w:pPr>
    </w:p>
    <w:p w14:paraId="264E35A3" w14:textId="77777777" w:rsidR="00985929" w:rsidRPr="003F7DD0" w:rsidRDefault="00985929" w:rsidP="00985929">
      <w:pPr>
        <w:rPr>
          <w:szCs w:val="22"/>
          <w:lang w:val="sk-SK"/>
        </w:rPr>
      </w:pPr>
      <w:r w:rsidRPr="003F7DD0">
        <w:rPr>
          <w:szCs w:val="22"/>
          <w:lang w:val="sk-SK"/>
        </w:rPr>
        <w:t>Liečba</w:t>
      </w:r>
    </w:p>
    <w:p w14:paraId="264E35A4" w14:textId="77777777" w:rsidR="00985929" w:rsidRPr="00157521" w:rsidRDefault="00985929" w:rsidP="00985929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Klinicky významná hypotenzia spôsobená predávkovaním </w:t>
      </w:r>
      <w:proofErr w:type="spellStart"/>
      <w:r w:rsidRPr="00157521">
        <w:rPr>
          <w:szCs w:val="22"/>
          <w:lang w:val="sk-SK"/>
        </w:rPr>
        <w:t>amlodipínom</w:t>
      </w:r>
      <w:proofErr w:type="spellEnd"/>
      <w:r w:rsidRPr="00157521">
        <w:rPr>
          <w:szCs w:val="22"/>
          <w:lang w:val="sk-SK"/>
        </w:rPr>
        <w:t xml:space="preserve"> vyžaduje aktívnu kardiovaskulárnu podpornú starostlivosť</w:t>
      </w:r>
      <w:r w:rsidR="00AE1580" w:rsidRPr="00157521">
        <w:rPr>
          <w:szCs w:val="22"/>
          <w:lang w:val="sk-SK"/>
        </w:rPr>
        <w:t>,</w:t>
      </w:r>
      <w:r w:rsidRPr="00157521">
        <w:rPr>
          <w:szCs w:val="22"/>
          <w:lang w:val="sk-SK"/>
        </w:rPr>
        <w:t xml:space="preserve"> vrátane častého monitorovania funkcie srdca a pľúc, zvýšenú polohu končatín, sledovanie objemu tekutín v obehu a </w:t>
      </w:r>
      <w:proofErr w:type="spellStart"/>
      <w:r w:rsidRPr="00157521">
        <w:rPr>
          <w:szCs w:val="22"/>
          <w:lang w:val="sk-SK"/>
        </w:rPr>
        <w:t>diurézu</w:t>
      </w:r>
      <w:proofErr w:type="spellEnd"/>
      <w:r w:rsidRPr="00157521">
        <w:rPr>
          <w:szCs w:val="22"/>
          <w:lang w:val="sk-SK"/>
        </w:rPr>
        <w:t>.</w:t>
      </w:r>
    </w:p>
    <w:p w14:paraId="264E35A5" w14:textId="77777777" w:rsidR="00985929" w:rsidRPr="00157521" w:rsidRDefault="00985929" w:rsidP="00985929">
      <w:pPr>
        <w:rPr>
          <w:szCs w:val="22"/>
          <w:lang w:val="sk-SK"/>
        </w:rPr>
      </w:pPr>
      <w:proofErr w:type="spellStart"/>
      <w:r w:rsidRPr="00157521">
        <w:rPr>
          <w:szCs w:val="22"/>
          <w:lang w:val="sk-SK"/>
        </w:rPr>
        <w:t>Vazokonstrikčné</w:t>
      </w:r>
      <w:proofErr w:type="spellEnd"/>
      <w:r w:rsidRPr="00157521">
        <w:rPr>
          <w:szCs w:val="22"/>
          <w:lang w:val="sk-SK"/>
        </w:rPr>
        <w:t xml:space="preserve"> látky môžu pomôcť udržať cievny tonus a tlak krvi, ak ich podanie nie je kontraindikované. </w:t>
      </w:r>
      <w:proofErr w:type="spellStart"/>
      <w:r w:rsidRPr="00157521">
        <w:rPr>
          <w:szCs w:val="22"/>
          <w:lang w:val="sk-SK"/>
        </w:rPr>
        <w:t>Kalciumglukonát</w:t>
      </w:r>
      <w:proofErr w:type="spellEnd"/>
      <w:r w:rsidRPr="00157521">
        <w:rPr>
          <w:szCs w:val="22"/>
          <w:lang w:val="sk-SK"/>
        </w:rPr>
        <w:t xml:space="preserve"> aplikovaný intravenózne môže pomôcť zrušiť blokádu kalciových kanálov.</w:t>
      </w:r>
    </w:p>
    <w:p w14:paraId="264E35A6" w14:textId="77777777" w:rsidR="00985929" w:rsidRPr="00157521" w:rsidRDefault="00985929" w:rsidP="00985929">
      <w:pPr>
        <w:suppressAutoHyphens/>
        <w:rPr>
          <w:bCs/>
          <w:szCs w:val="22"/>
          <w:lang w:val="sk-SK"/>
        </w:rPr>
      </w:pPr>
      <w:r w:rsidRPr="00157521">
        <w:rPr>
          <w:szCs w:val="22"/>
          <w:lang w:val="sk-SK"/>
        </w:rPr>
        <w:lastRenderedPageBreak/>
        <w:t>V niektorých prípadoch môže byť vhodný výplach žalúdka. Ukázalo sa, že požitie aktívneho uhlia zdravými dobrovoľníkmi do </w:t>
      </w:r>
      <w:r w:rsidRPr="00157521">
        <w:rPr>
          <w:bCs/>
          <w:szCs w:val="22"/>
          <w:lang w:val="sk-SK"/>
        </w:rPr>
        <w:t xml:space="preserve">2 hodín po podaní 10 mg </w:t>
      </w:r>
      <w:proofErr w:type="spellStart"/>
      <w:r w:rsidRPr="00157521">
        <w:rPr>
          <w:bCs/>
          <w:szCs w:val="22"/>
          <w:lang w:val="sk-SK"/>
        </w:rPr>
        <w:t>amlodipínu</w:t>
      </w:r>
      <w:proofErr w:type="spellEnd"/>
      <w:r w:rsidRPr="00157521">
        <w:rPr>
          <w:bCs/>
          <w:szCs w:val="22"/>
          <w:lang w:val="sk-SK"/>
        </w:rPr>
        <w:t xml:space="preserve"> znížilo rýchlosť absorpcie </w:t>
      </w:r>
      <w:proofErr w:type="spellStart"/>
      <w:r w:rsidRPr="00157521">
        <w:rPr>
          <w:bCs/>
          <w:szCs w:val="22"/>
          <w:lang w:val="sk-SK"/>
        </w:rPr>
        <w:t>amlodipínu</w:t>
      </w:r>
      <w:proofErr w:type="spellEnd"/>
      <w:r w:rsidRPr="00157521">
        <w:rPr>
          <w:bCs/>
          <w:szCs w:val="22"/>
          <w:lang w:val="sk-SK"/>
        </w:rPr>
        <w:t>.</w:t>
      </w:r>
    </w:p>
    <w:p w14:paraId="264E35A7" w14:textId="77777777" w:rsidR="00AE1580" w:rsidRPr="00157521" w:rsidRDefault="00AE1580" w:rsidP="00985929">
      <w:pPr>
        <w:suppressAutoHyphens/>
        <w:rPr>
          <w:bCs/>
          <w:szCs w:val="22"/>
          <w:lang w:val="sk-SK"/>
        </w:rPr>
      </w:pPr>
      <w:r w:rsidRPr="00157521">
        <w:rPr>
          <w:szCs w:val="22"/>
          <w:lang w:val="sk-SK"/>
        </w:rPr>
        <w:t xml:space="preserve">Keďže sa </w:t>
      </w: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szCs w:val="22"/>
          <w:lang w:val="sk-SK"/>
        </w:rPr>
        <w:t xml:space="preserve"> extenzívne viaže na bielkoviny, nie je pravdepodobné, že by dialýza bola účinná.</w:t>
      </w:r>
    </w:p>
    <w:p w14:paraId="264E35A8" w14:textId="77777777" w:rsidR="00AE1580" w:rsidRPr="00157521" w:rsidRDefault="00AE1580" w:rsidP="009512D0">
      <w:pPr>
        <w:tabs>
          <w:tab w:val="left" w:pos="288"/>
          <w:tab w:val="left" w:pos="432"/>
        </w:tabs>
        <w:spacing w:line="240" w:lineRule="auto"/>
        <w:rPr>
          <w:lang w:val="sk-SK"/>
        </w:rPr>
      </w:pPr>
    </w:p>
    <w:p w14:paraId="264E35A9" w14:textId="77777777" w:rsidR="00681759" w:rsidRPr="00157521" w:rsidRDefault="00D137A9" w:rsidP="009512D0">
      <w:pPr>
        <w:tabs>
          <w:tab w:val="left" w:pos="288"/>
          <w:tab w:val="left" w:pos="432"/>
        </w:tabs>
        <w:spacing w:line="240" w:lineRule="auto"/>
        <w:rPr>
          <w:szCs w:val="22"/>
          <w:lang w:val="sk-SK"/>
        </w:rPr>
      </w:pPr>
      <w:r w:rsidRPr="003F7DD0">
        <w:rPr>
          <w:i/>
          <w:lang w:val="sk-SK"/>
        </w:rPr>
        <w:t xml:space="preserve">Predávkovanie </w:t>
      </w:r>
      <w:r w:rsidR="00915D85">
        <w:rPr>
          <w:i/>
          <w:lang w:val="sk-SK"/>
        </w:rPr>
        <w:t>DIRONORMOM</w:t>
      </w:r>
      <w:r w:rsidR="00AE1580" w:rsidRPr="00157521">
        <w:rPr>
          <w:lang w:val="sk-SK"/>
        </w:rPr>
        <w:t xml:space="preserve"> </w:t>
      </w:r>
      <w:r w:rsidRPr="00157521">
        <w:rPr>
          <w:lang w:val="sk-SK"/>
        </w:rPr>
        <w:t xml:space="preserve">môže vyústiť do masívnej periférnej </w:t>
      </w:r>
      <w:proofErr w:type="spellStart"/>
      <w:r w:rsidRPr="00157521">
        <w:rPr>
          <w:lang w:val="sk-SK"/>
        </w:rPr>
        <w:t>vazodilatácie</w:t>
      </w:r>
      <w:proofErr w:type="spellEnd"/>
      <w:r w:rsidRPr="00157521">
        <w:rPr>
          <w:lang w:val="sk-SK"/>
        </w:rPr>
        <w:t xml:space="preserve"> s výraznou hypotenziou, obehovým šokom, poruchami v elektrolytoch, zlyhaním obličiek, </w:t>
      </w:r>
      <w:proofErr w:type="spellStart"/>
      <w:r w:rsidRPr="00157521">
        <w:rPr>
          <w:lang w:val="sk-SK"/>
        </w:rPr>
        <w:t>hyperventiláciou</w:t>
      </w:r>
      <w:proofErr w:type="spellEnd"/>
      <w:r w:rsidRPr="00157521">
        <w:rPr>
          <w:lang w:val="sk-SK"/>
        </w:rPr>
        <w:t xml:space="preserve">, </w:t>
      </w:r>
      <w:proofErr w:type="spellStart"/>
      <w:r w:rsidRPr="00157521">
        <w:rPr>
          <w:lang w:val="sk-SK"/>
        </w:rPr>
        <w:t>tachykardiou</w:t>
      </w:r>
      <w:proofErr w:type="spellEnd"/>
      <w:r w:rsidRPr="00157521">
        <w:rPr>
          <w:lang w:val="sk-SK"/>
        </w:rPr>
        <w:t xml:space="preserve">, </w:t>
      </w:r>
      <w:proofErr w:type="spellStart"/>
      <w:r w:rsidRPr="00157521">
        <w:rPr>
          <w:lang w:val="sk-SK"/>
        </w:rPr>
        <w:t>palpitáciami</w:t>
      </w:r>
      <w:proofErr w:type="spellEnd"/>
      <w:r w:rsidRPr="00157521">
        <w:rPr>
          <w:lang w:val="sk-SK"/>
        </w:rPr>
        <w:t xml:space="preserve">, bradykardiou, závratom, úzkosťou a kašľom. Odporúča sa symptomatická liečba (uloženie pacienta do polohy na chrbte, monitorovanie - a keď je potrebné, podpora – srdcovej </w:t>
      </w:r>
      <w:r w:rsidR="00ED7E82" w:rsidRPr="00157521">
        <w:rPr>
          <w:lang w:val="sk-SK"/>
        </w:rPr>
        <w:t xml:space="preserve">a respiračnej </w:t>
      </w:r>
      <w:r w:rsidRPr="00157521">
        <w:rPr>
          <w:lang w:val="sk-SK"/>
        </w:rPr>
        <w:t>funkcie, krvného tlaku, tekutín a </w:t>
      </w:r>
      <w:proofErr w:type="spellStart"/>
      <w:r w:rsidRPr="00157521">
        <w:rPr>
          <w:lang w:val="sk-SK"/>
        </w:rPr>
        <w:t>elektrolytovej</w:t>
      </w:r>
      <w:proofErr w:type="spellEnd"/>
      <w:r w:rsidRPr="00157521">
        <w:rPr>
          <w:lang w:val="sk-SK"/>
        </w:rPr>
        <w:t xml:space="preserve"> rovnováhy</w:t>
      </w:r>
      <w:r w:rsidR="00ED7E82" w:rsidRPr="00157521">
        <w:rPr>
          <w:lang w:val="sk-SK"/>
        </w:rPr>
        <w:t xml:space="preserve"> a koncentrácií </w:t>
      </w:r>
      <w:proofErr w:type="spellStart"/>
      <w:r w:rsidR="00ED7E82" w:rsidRPr="00157521">
        <w:rPr>
          <w:lang w:val="sk-SK"/>
        </w:rPr>
        <w:t>kreatinínu</w:t>
      </w:r>
      <w:proofErr w:type="spellEnd"/>
      <w:r w:rsidRPr="00157521">
        <w:rPr>
          <w:lang w:val="sk-SK"/>
        </w:rPr>
        <w:t xml:space="preserve">). V prípade vážnej hypotenzie sa majú podvihnúť dolné končatiny a keď intravenózny roztok nevyvolá dostatočnú odpoveď, môže byť potrebné pridať podpornú liečbu s podaním periférnych </w:t>
      </w:r>
      <w:proofErr w:type="spellStart"/>
      <w:r w:rsidRPr="00157521">
        <w:rPr>
          <w:lang w:val="sk-SK"/>
        </w:rPr>
        <w:t>vazopresorov</w:t>
      </w:r>
      <w:proofErr w:type="spellEnd"/>
      <w:r w:rsidRPr="00157521">
        <w:rPr>
          <w:lang w:val="sk-SK"/>
        </w:rPr>
        <w:t xml:space="preserve">, pokiaľ to nie je kontraindikované. Ak je dostupná, môže sa zvážiť liečba infúziou </w:t>
      </w:r>
      <w:proofErr w:type="spellStart"/>
      <w:r w:rsidRPr="00157521">
        <w:rPr>
          <w:lang w:val="sk-SK"/>
        </w:rPr>
        <w:t>angiotenzínu</w:t>
      </w:r>
      <w:proofErr w:type="spellEnd"/>
      <w:r w:rsidRPr="00157521">
        <w:rPr>
          <w:lang w:val="sk-SK"/>
        </w:rPr>
        <w:t xml:space="preserve"> II. Pre odvrátenie účinkov blokády kalciových kanálov môže byť prospešný intravenózny kalcium </w:t>
      </w:r>
      <w:proofErr w:type="spellStart"/>
      <w:r w:rsidRPr="00157521">
        <w:rPr>
          <w:lang w:val="sk-SK"/>
        </w:rPr>
        <w:t>glukonát</w:t>
      </w:r>
      <w:proofErr w:type="spellEnd"/>
      <w:r w:rsidR="00681759" w:rsidRPr="00157521">
        <w:rPr>
          <w:szCs w:val="22"/>
          <w:lang w:val="sk-SK"/>
        </w:rPr>
        <w:t>.</w:t>
      </w:r>
    </w:p>
    <w:p w14:paraId="264E35AB" w14:textId="77777777" w:rsidR="00681759" w:rsidRPr="00157521" w:rsidRDefault="00D137A9" w:rsidP="00D137A9">
      <w:pPr>
        <w:pStyle w:val="Zkladntext"/>
        <w:tabs>
          <w:tab w:val="left" w:pos="144"/>
          <w:tab w:val="left" w:pos="567"/>
        </w:tabs>
        <w:rPr>
          <w:i w:val="0"/>
          <w:color w:val="auto"/>
          <w:lang w:val="sk-SK"/>
        </w:rPr>
      </w:pPr>
      <w:proofErr w:type="spellStart"/>
      <w:r w:rsidRPr="00157521">
        <w:rPr>
          <w:i w:val="0"/>
          <w:color w:val="auto"/>
          <w:lang w:val="sk-SK"/>
        </w:rPr>
        <w:t>Lizinopril</w:t>
      </w:r>
      <w:proofErr w:type="spellEnd"/>
      <w:r w:rsidRPr="00157521">
        <w:rPr>
          <w:i w:val="0"/>
          <w:color w:val="auto"/>
          <w:lang w:val="sk-SK"/>
        </w:rPr>
        <w:t xml:space="preserve"> možno odstrániť zo systémovej cirkulácie hemodialýzou. </w:t>
      </w:r>
      <w:r w:rsidR="00ED7E82" w:rsidRPr="00157521">
        <w:rPr>
          <w:i w:val="0"/>
          <w:color w:val="auto"/>
          <w:szCs w:val="22"/>
          <w:lang w:val="sk-SK"/>
        </w:rPr>
        <w:t>P</w:t>
      </w:r>
      <w:r w:rsidR="00847304" w:rsidRPr="00157521">
        <w:rPr>
          <w:i w:val="0"/>
          <w:color w:val="auto"/>
          <w:szCs w:val="22"/>
          <w:lang w:val="sk-SK"/>
        </w:rPr>
        <w:t>očas dialýzy</w:t>
      </w:r>
      <w:r w:rsidR="00847304" w:rsidRPr="00157521">
        <w:rPr>
          <w:color w:val="auto"/>
          <w:szCs w:val="22"/>
          <w:lang w:val="sk-SK"/>
        </w:rPr>
        <w:t xml:space="preserve"> </w:t>
      </w:r>
      <w:r w:rsidR="00847304" w:rsidRPr="00157521">
        <w:rPr>
          <w:i w:val="0"/>
          <w:color w:val="auto"/>
          <w:szCs w:val="22"/>
          <w:lang w:val="sk-SK"/>
        </w:rPr>
        <w:t>sa treba vyvarovať p</w:t>
      </w:r>
      <w:r w:rsidR="00ED7E82" w:rsidRPr="00157521">
        <w:rPr>
          <w:i w:val="0"/>
          <w:color w:val="auto"/>
          <w:szCs w:val="22"/>
          <w:lang w:val="sk-SK"/>
        </w:rPr>
        <w:t xml:space="preserve">oužitiu </w:t>
      </w:r>
      <w:r w:rsidR="009B5801">
        <w:rPr>
          <w:i w:val="0"/>
          <w:color w:val="auto"/>
          <w:szCs w:val="22"/>
          <w:lang w:val="sk-SK"/>
        </w:rPr>
        <w:t>„</w:t>
      </w:r>
      <w:proofErr w:type="spellStart"/>
      <w:r w:rsidR="00847304" w:rsidRPr="00157521">
        <w:rPr>
          <w:i w:val="0"/>
          <w:color w:val="auto"/>
          <w:szCs w:val="22"/>
          <w:lang w:val="sk-SK"/>
        </w:rPr>
        <w:t>high-flux</w:t>
      </w:r>
      <w:proofErr w:type="spellEnd"/>
      <w:r w:rsidR="00847304" w:rsidRPr="009B5801">
        <w:rPr>
          <w:i w:val="0"/>
          <w:color w:val="auto"/>
          <w:szCs w:val="22"/>
          <w:lang w:val="sk-SK"/>
        </w:rPr>
        <w:t>“</w:t>
      </w:r>
      <w:r w:rsidR="00847304" w:rsidRPr="00157521">
        <w:rPr>
          <w:i w:val="0"/>
          <w:color w:val="auto"/>
          <w:szCs w:val="22"/>
          <w:lang w:val="sk-SK"/>
        </w:rPr>
        <w:t xml:space="preserve"> </w:t>
      </w:r>
      <w:proofErr w:type="spellStart"/>
      <w:r w:rsidR="00847304" w:rsidRPr="00157521">
        <w:rPr>
          <w:i w:val="0"/>
          <w:color w:val="auto"/>
          <w:szCs w:val="22"/>
          <w:lang w:val="sk-SK"/>
        </w:rPr>
        <w:t>polyakrylonitrilových</w:t>
      </w:r>
      <w:proofErr w:type="spellEnd"/>
      <w:r w:rsidR="00847304" w:rsidRPr="00157521">
        <w:rPr>
          <w:i w:val="0"/>
          <w:color w:val="auto"/>
          <w:szCs w:val="22"/>
          <w:lang w:val="sk-SK"/>
        </w:rPr>
        <w:t xml:space="preserve"> membrán.</w:t>
      </w:r>
    </w:p>
    <w:p w14:paraId="264E35AC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5AD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5AE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5.</w:t>
      </w:r>
      <w:r w:rsidRPr="00157521">
        <w:rPr>
          <w:b/>
          <w:lang w:val="sk-SK"/>
        </w:rPr>
        <w:tab/>
      </w:r>
      <w:r w:rsidR="00D137A9" w:rsidRPr="00157521">
        <w:rPr>
          <w:b/>
          <w:lang w:val="sk-SK"/>
        </w:rPr>
        <w:t>FARMAKOLOGICKÉ VLASTNOSTI</w:t>
      </w:r>
    </w:p>
    <w:p w14:paraId="264E35AF" w14:textId="77777777" w:rsidR="00681759" w:rsidRPr="00157521" w:rsidRDefault="00681759" w:rsidP="009512D0">
      <w:pPr>
        <w:spacing w:line="240" w:lineRule="auto"/>
        <w:rPr>
          <w:b/>
          <w:lang w:val="sk-SK"/>
        </w:rPr>
      </w:pPr>
    </w:p>
    <w:p w14:paraId="264E35B0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5.1</w:t>
      </w:r>
      <w:r w:rsidRPr="00157521">
        <w:rPr>
          <w:b/>
          <w:lang w:val="sk-SK"/>
        </w:rPr>
        <w:tab/>
      </w:r>
      <w:proofErr w:type="spellStart"/>
      <w:r w:rsidR="00D137A9" w:rsidRPr="00157521">
        <w:rPr>
          <w:b/>
          <w:lang w:val="sk-SK"/>
        </w:rPr>
        <w:t>Farmakodynamické</w:t>
      </w:r>
      <w:proofErr w:type="spellEnd"/>
      <w:r w:rsidR="00D137A9" w:rsidRPr="00157521">
        <w:rPr>
          <w:b/>
          <w:lang w:val="sk-SK"/>
        </w:rPr>
        <w:t xml:space="preserve"> vlastnosti</w:t>
      </w:r>
    </w:p>
    <w:p w14:paraId="264E35B1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5B2" w14:textId="2ED7F490" w:rsidR="00681759" w:rsidRPr="00157521" w:rsidRDefault="00D137A9" w:rsidP="009512D0">
      <w:pPr>
        <w:tabs>
          <w:tab w:val="left" w:pos="288"/>
          <w:tab w:val="left" w:pos="432"/>
        </w:tabs>
        <w:spacing w:line="240" w:lineRule="auto"/>
        <w:rPr>
          <w:lang w:val="sk-SK"/>
        </w:rPr>
      </w:pPr>
      <w:proofErr w:type="spellStart"/>
      <w:r w:rsidRPr="00157521">
        <w:rPr>
          <w:lang w:val="sk-SK"/>
        </w:rPr>
        <w:t>Farmakoterapeutická</w:t>
      </w:r>
      <w:proofErr w:type="spellEnd"/>
      <w:r w:rsidRPr="00157521">
        <w:rPr>
          <w:lang w:val="sk-SK"/>
        </w:rPr>
        <w:t xml:space="preserve"> skupina</w:t>
      </w:r>
      <w:r w:rsidR="00681759" w:rsidRPr="00157521">
        <w:rPr>
          <w:lang w:val="sk-SK"/>
        </w:rPr>
        <w:t xml:space="preserve">: </w:t>
      </w:r>
      <w:r w:rsidR="00EB0D42">
        <w:rPr>
          <w:szCs w:val="22"/>
          <w:lang w:val="sk-SK"/>
        </w:rPr>
        <w:t>I</w:t>
      </w:r>
      <w:r w:rsidR="00EB0D42" w:rsidRPr="009752FF">
        <w:rPr>
          <w:szCs w:val="22"/>
          <w:lang w:val="sk-SK"/>
        </w:rPr>
        <w:t xml:space="preserve">nhibítory </w:t>
      </w:r>
      <w:hyperlink r:id="rId17" w:history="1">
        <w:r w:rsidRPr="00157521">
          <w:rPr>
            <w:rStyle w:val="Hypertextovprepojenie"/>
            <w:color w:val="auto"/>
            <w:u w:val="none"/>
            <w:lang w:val="sk-SK"/>
          </w:rPr>
          <w:t>ACE a </w:t>
        </w:r>
        <w:proofErr w:type="spellStart"/>
        <w:r w:rsidRPr="00157521">
          <w:rPr>
            <w:rStyle w:val="Hypertextovprepojenie"/>
            <w:color w:val="auto"/>
            <w:u w:val="none"/>
            <w:lang w:val="sk-SK"/>
          </w:rPr>
          <w:t>blokátory</w:t>
        </w:r>
        <w:proofErr w:type="spellEnd"/>
        <w:r w:rsidRPr="00157521">
          <w:rPr>
            <w:rStyle w:val="Hypertextovprepojenie"/>
            <w:color w:val="auto"/>
            <w:u w:val="none"/>
            <w:lang w:val="sk-SK"/>
          </w:rPr>
          <w:t xml:space="preserve"> kalciových kanálov</w:t>
        </w:r>
      </w:hyperlink>
      <w:r w:rsidRPr="00157521">
        <w:rPr>
          <w:lang w:val="sk-SK"/>
        </w:rPr>
        <w:t>, ATC</w:t>
      </w:r>
      <w:r w:rsidR="00496314">
        <w:rPr>
          <w:lang w:val="sk-SK"/>
        </w:rPr>
        <w:t xml:space="preserve"> </w:t>
      </w:r>
      <w:r w:rsidRPr="00157521">
        <w:rPr>
          <w:lang w:val="sk-SK"/>
        </w:rPr>
        <w:t>kód</w:t>
      </w:r>
      <w:r w:rsidR="00681759" w:rsidRPr="00157521">
        <w:rPr>
          <w:lang w:val="sk-SK"/>
        </w:rPr>
        <w:t xml:space="preserve">: </w:t>
      </w:r>
      <w:r w:rsidR="002B302E" w:rsidRPr="00157521">
        <w:rPr>
          <w:szCs w:val="22"/>
          <w:lang w:val="sk-SK"/>
        </w:rPr>
        <w:t>C09BB03</w:t>
      </w:r>
    </w:p>
    <w:p w14:paraId="264E35B3" w14:textId="77777777" w:rsidR="00681759" w:rsidRPr="00157521" w:rsidRDefault="00681759" w:rsidP="009512D0">
      <w:pPr>
        <w:tabs>
          <w:tab w:val="left" w:pos="288"/>
          <w:tab w:val="left" w:pos="432"/>
        </w:tabs>
        <w:spacing w:line="240" w:lineRule="auto"/>
        <w:rPr>
          <w:lang w:val="sk-SK"/>
        </w:rPr>
      </w:pPr>
    </w:p>
    <w:p w14:paraId="264E35B4" w14:textId="77777777" w:rsidR="00681759" w:rsidRPr="00157521" w:rsidRDefault="00915D85" w:rsidP="009512D0">
      <w:pPr>
        <w:pStyle w:val="Zkladntext"/>
        <w:tabs>
          <w:tab w:val="left" w:pos="567"/>
        </w:tabs>
        <w:rPr>
          <w:i w:val="0"/>
          <w:color w:val="auto"/>
          <w:lang w:val="sk-SK"/>
        </w:rPr>
      </w:pPr>
      <w:r>
        <w:rPr>
          <w:i w:val="0"/>
          <w:color w:val="auto"/>
          <w:szCs w:val="22"/>
          <w:lang w:val="sk-SK"/>
        </w:rPr>
        <w:t>DIRONORM</w:t>
      </w:r>
      <w:r w:rsidR="00681759" w:rsidRPr="00157521">
        <w:rPr>
          <w:i w:val="0"/>
          <w:color w:val="auto"/>
          <w:lang w:val="sk-SK"/>
        </w:rPr>
        <w:t xml:space="preserve"> </w:t>
      </w:r>
      <w:r w:rsidR="002001E7" w:rsidRPr="00157521">
        <w:rPr>
          <w:i w:val="0"/>
          <w:color w:val="auto"/>
          <w:lang w:val="sk-SK"/>
        </w:rPr>
        <w:t xml:space="preserve">je fixná kombinácia </w:t>
      </w:r>
      <w:r w:rsidR="002001E7" w:rsidRPr="00157521">
        <w:rPr>
          <w:i w:val="0"/>
          <w:color w:val="auto"/>
          <w:szCs w:val="22"/>
          <w:lang w:val="sk-SK"/>
        </w:rPr>
        <w:t>dáv</w:t>
      </w:r>
      <w:r w:rsidR="001A6EF0" w:rsidRPr="00157521">
        <w:rPr>
          <w:i w:val="0"/>
          <w:color w:val="auto"/>
          <w:szCs w:val="22"/>
          <w:lang w:val="sk-SK"/>
        </w:rPr>
        <w:t>o</w:t>
      </w:r>
      <w:r w:rsidR="002001E7" w:rsidRPr="00157521">
        <w:rPr>
          <w:i w:val="0"/>
          <w:color w:val="auto"/>
          <w:szCs w:val="22"/>
          <w:lang w:val="sk-SK"/>
        </w:rPr>
        <w:t>k</w:t>
      </w:r>
      <w:r w:rsidR="00D137A9" w:rsidRPr="00157521">
        <w:rPr>
          <w:i w:val="0"/>
          <w:color w:val="auto"/>
          <w:szCs w:val="22"/>
          <w:lang w:val="sk-SK"/>
        </w:rPr>
        <w:t>, obsahujúc</w:t>
      </w:r>
      <w:r w:rsidR="001A6EF0" w:rsidRPr="00157521">
        <w:rPr>
          <w:i w:val="0"/>
          <w:color w:val="auto"/>
          <w:szCs w:val="22"/>
          <w:lang w:val="sk-SK"/>
        </w:rPr>
        <w:t>a</w:t>
      </w:r>
      <w:r w:rsidR="00D137A9" w:rsidRPr="00157521">
        <w:rPr>
          <w:i w:val="0"/>
          <w:color w:val="auto"/>
          <w:lang w:val="sk-SK"/>
        </w:rPr>
        <w:t xml:space="preserve"> liečivá </w:t>
      </w:r>
      <w:proofErr w:type="spellStart"/>
      <w:r w:rsidR="00D137A9" w:rsidRPr="00157521">
        <w:rPr>
          <w:i w:val="0"/>
          <w:color w:val="auto"/>
          <w:lang w:val="sk-SK"/>
        </w:rPr>
        <w:t>lizinopril</w:t>
      </w:r>
      <w:proofErr w:type="spellEnd"/>
      <w:r w:rsidR="00D137A9" w:rsidRPr="00157521">
        <w:rPr>
          <w:i w:val="0"/>
          <w:color w:val="auto"/>
          <w:lang w:val="sk-SK"/>
        </w:rPr>
        <w:t xml:space="preserve"> a </w:t>
      </w:r>
      <w:proofErr w:type="spellStart"/>
      <w:r w:rsidR="00D137A9" w:rsidRPr="00157521">
        <w:rPr>
          <w:i w:val="0"/>
          <w:color w:val="auto"/>
          <w:lang w:val="sk-SK"/>
        </w:rPr>
        <w:t>amlodipín</w:t>
      </w:r>
      <w:proofErr w:type="spellEnd"/>
      <w:r w:rsidR="00681759" w:rsidRPr="00157521">
        <w:rPr>
          <w:i w:val="0"/>
          <w:color w:val="auto"/>
          <w:lang w:val="sk-SK"/>
        </w:rPr>
        <w:t xml:space="preserve">. </w:t>
      </w:r>
    </w:p>
    <w:p w14:paraId="264E35B5" w14:textId="77777777" w:rsidR="00681759" w:rsidRPr="00157521" w:rsidRDefault="00681759" w:rsidP="009512D0">
      <w:pPr>
        <w:pStyle w:val="Zkladntext"/>
        <w:tabs>
          <w:tab w:val="left" w:pos="567"/>
        </w:tabs>
        <w:rPr>
          <w:i w:val="0"/>
          <w:color w:val="auto"/>
          <w:lang w:val="sk-SK"/>
        </w:rPr>
      </w:pPr>
    </w:p>
    <w:p w14:paraId="264E35B6" w14:textId="77777777" w:rsidR="00681759" w:rsidRPr="00157521" w:rsidRDefault="00681759" w:rsidP="009512D0">
      <w:pPr>
        <w:pStyle w:val="Zkladntext"/>
        <w:tabs>
          <w:tab w:val="left" w:pos="567"/>
        </w:tabs>
        <w:rPr>
          <w:i w:val="0"/>
          <w:color w:val="auto"/>
          <w:u w:val="single"/>
          <w:lang w:val="sk-SK"/>
        </w:rPr>
      </w:pPr>
      <w:proofErr w:type="spellStart"/>
      <w:r w:rsidRPr="00157521">
        <w:rPr>
          <w:i w:val="0"/>
          <w:color w:val="auto"/>
          <w:u w:val="single"/>
          <w:lang w:val="sk-SK"/>
        </w:rPr>
        <w:t>Li</w:t>
      </w:r>
      <w:r w:rsidR="00D137A9" w:rsidRPr="00157521">
        <w:rPr>
          <w:i w:val="0"/>
          <w:color w:val="auto"/>
          <w:u w:val="single"/>
          <w:lang w:val="sk-SK"/>
        </w:rPr>
        <w:t>z</w:t>
      </w:r>
      <w:r w:rsidRPr="00157521">
        <w:rPr>
          <w:i w:val="0"/>
          <w:color w:val="auto"/>
          <w:u w:val="single"/>
          <w:lang w:val="sk-SK"/>
        </w:rPr>
        <w:t>inopril</w:t>
      </w:r>
      <w:proofErr w:type="spellEnd"/>
    </w:p>
    <w:p w14:paraId="264E35B7" w14:textId="77777777" w:rsidR="0084107D" w:rsidRDefault="0084107D" w:rsidP="0084107D">
      <w:pPr>
        <w:pStyle w:val="Style1"/>
        <w:rPr>
          <w:rFonts w:ascii="Times New Roman" w:hAnsi="Times New Roman"/>
          <w:sz w:val="22"/>
          <w:u w:val="single"/>
          <w:lang w:val="sk-SK"/>
        </w:rPr>
      </w:pPr>
    </w:p>
    <w:p w14:paraId="264E35B8" w14:textId="77777777" w:rsidR="0084107D" w:rsidRPr="00732909" w:rsidRDefault="0084107D" w:rsidP="0084107D">
      <w:pPr>
        <w:pStyle w:val="Style1"/>
        <w:rPr>
          <w:rFonts w:ascii="Times New Roman" w:hAnsi="Times New Roman"/>
          <w:i/>
          <w:sz w:val="22"/>
          <w:lang w:val="sk-SK"/>
        </w:rPr>
      </w:pPr>
      <w:r w:rsidRPr="00732909">
        <w:rPr>
          <w:rFonts w:ascii="Times New Roman" w:hAnsi="Times New Roman"/>
          <w:i/>
          <w:sz w:val="22"/>
          <w:lang w:val="sk-SK"/>
        </w:rPr>
        <w:t>Mechanizmus účinku</w:t>
      </w:r>
    </w:p>
    <w:p w14:paraId="264E35B9" w14:textId="77777777" w:rsidR="001676C4" w:rsidRPr="00157521" w:rsidRDefault="00656108" w:rsidP="003F7DD0">
      <w:pPr>
        <w:pStyle w:val="Style1"/>
        <w:rPr>
          <w:rFonts w:ascii="Times New Roman" w:hAnsi="Times New Roman"/>
          <w:sz w:val="22"/>
          <w:lang w:val="sk-SK"/>
        </w:rPr>
      </w:pPr>
      <w:proofErr w:type="spellStart"/>
      <w:r w:rsidRPr="00157521">
        <w:rPr>
          <w:rFonts w:ascii="Times New Roman" w:hAnsi="Times New Roman"/>
          <w:sz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lang w:val="sk-SK"/>
        </w:rPr>
        <w:t xml:space="preserve"> je inhibítor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peptidyl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dipeptidázy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Inhibuje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konvertujúci enzým (ACE), ktorý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katalyzuje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premenu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I na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vazokonstrikčný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peptid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II.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II stimuluje aj sekréciu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aldosterónu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v kôre nadobličiek. Inhibícia ACE aktivity vedie k poklesu koncentrácií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II s následným poklesom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vazokonstrikčnej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aktivity a k zníženej sekrécii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aldosterónu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>. Tá môže viesť k vzostupu sérových koncentrácií draslíka</w:t>
      </w:r>
      <w:r w:rsidRPr="00157521">
        <w:rPr>
          <w:rFonts w:ascii="Times New Roman" w:hAnsi="Times New Roman"/>
          <w:sz w:val="22"/>
          <w:lang w:val="sk-SK"/>
        </w:rPr>
        <w:t xml:space="preserve">. </w:t>
      </w:r>
    </w:p>
    <w:p w14:paraId="264E35BA" w14:textId="77777777" w:rsidR="001676C4" w:rsidRPr="00157521" w:rsidRDefault="001676C4" w:rsidP="00656108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BB" w14:textId="77777777" w:rsidR="0084107D" w:rsidRPr="00732909" w:rsidRDefault="0084107D" w:rsidP="0084107D">
      <w:pPr>
        <w:pStyle w:val="Style1"/>
        <w:jc w:val="both"/>
        <w:rPr>
          <w:rFonts w:ascii="Times New Roman" w:hAnsi="Times New Roman"/>
          <w:i/>
          <w:sz w:val="22"/>
          <w:lang w:val="sk-SK"/>
        </w:rPr>
      </w:pPr>
      <w:proofErr w:type="spellStart"/>
      <w:r w:rsidRPr="00732909">
        <w:rPr>
          <w:rFonts w:ascii="Times New Roman" w:hAnsi="Times New Roman"/>
          <w:i/>
          <w:sz w:val="22"/>
          <w:lang w:val="sk-SK"/>
        </w:rPr>
        <w:t>Farmakodynamické</w:t>
      </w:r>
      <w:proofErr w:type="spellEnd"/>
      <w:r w:rsidRPr="00732909">
        <w:rPr>
          <w:rFonts w:ascii="Times New Roman" w:hAnsi="Times New Roman"/>
          <w:i/>
          <w:sz w:val="22"/>
          <w:lang w:val="sk-SK"/>
        </w:rPr>
        <w:t xml:space="preserve"> účinky</w:t>
      </w:r>
    </w:p>
    <w:p w14:paraId="264E35BC" w14:textId="77777777" w:rsidR="00656108" w:rsidRPr="00157521" w:rsidRDefault="00656108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Aj keď sa primárna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supresia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systému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renín-angiotenzín-aldosterón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pokladá za mechanizmus, ktorým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znižuje tlak krvi,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má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antihypertenzívny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účinok aj u pacientov s hypertenziou a nízkou hladinou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renínu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>. ACE je identický s 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kininázou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II, enzýmom, ktorý rozkladá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bradykinín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. Či zvýšené hladiny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bradykinínu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silného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vazodilatačného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peptidu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zohrávajú úlohu v terapeutických účinkoch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>, zostáva zatiaľ neobjasnené.</w:t>
      </w:r>
    </w:p>
    <w:p w14:paraId="264E35BD" w14:textId="77777777" w:rsidR="001676C4" w:rsidRPr="00157521" w:rsidRDefault="001676C4" w:rsidP="006F65EC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BE" w14:textId="77777777" w:rsidR="0084107D" w:rsidRPr="00732909" w:rsidRDefault="0084107D" w:rsidP="0084107D">
      <w:pPr>
        <w:pStyle w:val="Style1"/>
        <w:jc w:val="both"/>
        <w:rPr>
          <w:rFonts w:ascii="Times New Roman" w:hAnsi="Times New Roman"/>
          <w:i/>
          <w:sz w:val="22"/>
          <w:lang w:val="sk-SK"/>
        </w:rPr>
      </w:pPr>
      <w:r w:rsidRPr="00732909">
        <w:rPr>
          <w:rFonts w:ascii="Times New Roman" w:hAnsi="Times New Roman"/>
          <w:i/>
          <w:sz w:val="22"/>
          <w:lang w:val="sk-SK"/>
        </w:rPr>
        <w:t>Klinická účinnosť a bezpečnosť</w:t>
      </w:r>
    </w:p>
    <w:p w14:paraId="264E35BF" w14:textId="77777777" w:rsidR="006F65EC" w:rsidRPr="00157521" w:rsidRDefault="006F65EC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Účinok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na mortalitu a morbiditu pacientov so srdcovým zlyhaním sa skúmal porovnávaním vysokých dávok (32,5 mg alebo 35 mg jedenkrát denne) s nízkymi dávkami (2,5 mg alebo 5 mg jedenkrát denne). V štúdii s 3 164 pacientmi s priemerným časom sledovania 46 mesiacov viedli vysoké dávky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u prežívajúcich pacientov v porovnaní s nízkymi dávkami k 12 % poklesu rizika vo výsledku, ktorý kombinuje mortalitu zo všetkých príčin a hospitalizáciu zo všetkých príčin (p = 0,002) a k 8 % poklesu rizika v mortalite zo všetkých príčin a hospitalizácií z kardiovaskulárnych dôvodov (p = 0,036). Zaznamenal sa pokles mortality zo všetkých príčin (8 %</w:t>
      </w:r>
      <w:r w:rsidRPr="00157521">
        <w:rPr>
          <w:rFonts w:ascii="Times New Roman" w:hAnsi="Times New Roman"/>
          <w:sz w:val="22"/>
          <w:szCs w:val="22"/>
          <w:lang w:val="sk-SK"/>
        </w:rPr>
        <w:sym w:font="Symbol" w:char="F03B"/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 p = 0,128) a pokles mortality na kardiovaskulárne príhody (10 %</w:t>
      </w:r>
      <w:r w:rsidRPr="00157521">
        <w:rPr>
          <w:rFonts w:ascii="Times New Roman" w:hAnsi="Times New Roman"/>
          <w:sz w:val="22"/>
          <w:szCs w:val="22"/>
          <w:lang w:val="sk-SK"/>
        </w:rPr>
        <w:sym w:font="Symbol" w:char="F03B"/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 p = 0,073). Podľa ďalších analýz sa počet hospitalizácií na srdcové zlyhanie znížil o 24 % (p = 0,002) u pacientov liečených vysokými dávkami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v porovnaní s nízkymi dávkami. Výhody týkajúce sa výskytu príznakov boli podobné u pacientov liečených vysokými, ako aj nízkymi dávkami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lizonoprilu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>.</w:t>
      </w:r>
    </w:p>
    <w:p w14:paraId="264E35C0" w14:textId="77777777" w:rsidR="001676C4" w:rsidRPr="00157521" w:rsidRDefault="001676C4" w:rsidP="006F65EC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C1" w14:textId="2DCDF5D4" w:rsidR="006F65EC" w:rsidRPr="00157521" w:rsidRDefault="006F65EC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lastRenderedPageBreak/>
        <w:t xml:space="preserve">Výsledky štúdie ukázali, že celkový profil nežiaducich účinkov u pacientov liečených vysokými alebo nízkymi dávkami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</w:t>
      </w:r>
      <w:r w:rsidR="006C5FA9">
        <w:rPr>
          <w:rFonts w:ascii="Times New Roman" w:hAnsi="Times New Roman"/>
          <w:sz w:val="22"/>
          <w:szCs w:val="22"/>
          <w:lang w:val="sk-SK"/>
        </w:rPr>
        <w:t>pr</w:t>
      </w:r>
      <w:r w:rsidRPr="00157521">
        <w:rPr>
          <w:rFonts w:ascii="Times New Roman" w:hAnsi="Times New Roman"/>
          <w:sz w:val="22"/>
          <w:szCs w:val="22"/>
          <w:lang w:val="sk-SK"/>
        </w:rPr>
        <w:t>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boli podobné, čo sa týka ich charakteru aj počtu. Predpokladané účinky, ktoré sú dôsledkom inhibície ACE, ako napríklad hypotenzia alebo porucha obličkových funkcií, sa dali zvládnuť a vzácne viedli k vysadeniu liečby. Kašeľ bol menej častý u pacientov liečených vysokými dávkami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v porovnaní s nízkymi dávkami.</w:t>
      </w:r>
    </w:p>
    <w:p w14:paraId="264E35C2" w14:textId="77777777" w:rsidR="001676C4" w:rsidRPr="00157521" w:rsidRDefault="001676C4" w:rsidP="006F65EC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C3" w14:textId="77777777" w:rsidR="006F65EC" w:rsidRPr="00157521" w:rsidRDefault="006F65EC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V štúdii GISSI-3, ktorá používala 2 x 2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faktoriálny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postup na porovnanie účinkov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glyceryl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trinitrátu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podávaných samostatne alebo v kombinácii počas 6 týždňov oproti kontrole s 19 394 pacientmi, ktorým sa podávala liečba v priebehu 24 hodín po akútnom infarkte myokardu,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viedol k štatisticky významnejšiemu poklesu rizika mortality, predstavujúceho 11 % oproti kontrole (2p = 0,03). Zníženie rizika s 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glyceryl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nitrátom nebolo signifikantné, ale kombinácia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glyceryl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nitrátu viedla k signifikantnému poklesu mortality, a to o 17 % oproti kontrole (2p = 0,02). V podskupinách starších pacientov (starších ako 70-ročných) a žien, ktoré boli definované ako pacientky s vysokým rizikom mortality, sa pozoroval významný prínos pre kombinovaný výsledok, zložený z mortality a srdcovej funkcie. Aj u pacientov užívajúcich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v kombinácii s 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glyceryl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nitrátom 6 týždňov sa zaznamenalo významné zlepšenie v kombinovanom výsledku, a to tak pre všetkých pacientov, ako aj pacientov vo vysoko rizikových skupinách. Toto poukazuje na preventívny účinok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. Ako možno očakávať od akejkoľvek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vazodilatačnej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liečby, liečba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lizinoprilom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bola spojená so zvýšeným výskytom hypotenzie 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renálnej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dysfunkcie, no neboli proporcionálne spojené so zvýšením mortality.</w:t>
      </w:r>
    </w:p>
    <w:p w14:paraId="264E35C4" w14:textId="77777777" w:rsidR="001676C4" w:rsidRPr="00157521" w:rsidRDefault="001676C4" w:rsidP="006F65EC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C5" w14:textId="77777777" w:rsidR="006F65EC" w:rsidRPr="00157521" w:rsidRDefault="006F65EC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V dvojito zaslepenej,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randomizovanej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multicentrickej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štúdii, ktorá porovnávala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s 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blokátormi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kalciových kanálov u 335 pacientov s hypertenziou a diabetom mellitus 2. typu so začínajúcou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nefropatiou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charakterizovanou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mikroalbuminúriou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podávaný v dávke 10 mg až 20 mg jedenkrát denne 12 mesiacov, redukoval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systolický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/diastolický tlak krvi o 13/10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mmHg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a straty albumínu močom o 40 %. V porovnaní s 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blokátormi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kalciových kanálov, ktoré vedú k podobnému poklesu tlaku krvi, sa u pacientov liečených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lizinoprilom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zaznamenal signifikantne výraznejší pokles strát albumínu močom, čo poskytuje dôkaz o tom, že vplyv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na inhibíciu ACE znižuje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mikroalbuminúriu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nielen prostredníctvom zníženia tlaku krvi, ale aj priamym pôsobením na tkanivo obličiek.</w:t>
      </w:r>
    </w:p>
    <w:p w14:paraId="264E35C6" w14:textId="77777777" w:rsidR="006F65EC" w:rsidRPr="00157521" w:rsidRDefault="006F65EC" w:rsidP="006F65EC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C7" w14:textId="77777777" w:rsidR="006F65EC" w:rsidRPr="00157521" w:rsidRDefault="006F65EC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Liečba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lizinoprilom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neovplyvňuje glykemickú kontrolu, čo dokazuje chýbanie významnejšieho účinku na hladiny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glykozylovaného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hemoglobínu (HbA1c).</w:t>
      </w:r>
    </w:p>
    <w:p w14:paraId="264E35C8" w14:textId="77777777" w:rsidR="006F65EC" w:rsidRPr="00157521" w:rsidRDefault="006F65EC" w:rsidP="006F65EC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C9" w14:textId="77777777" w:rsidR="00346735" w:rsidRPr="000B69CF" w:rsidRDefault="0084107D" w:rsidP="000B69CF">
      <w:pPr>
        <w:tabs>
          <w:tab w:val="left" w:pos="0"/>
        </w:tabs>
        <w:rPr>
          <w:i/>
          <w:szCs w:val="22"/>
          <w:u w:val="single"/>
          <w:lang w:val="sk-SK"/>
        </w:rPr>
      </w:pPr>
      <w:r w:rsidRPr="003E31C3">
        <w:rPr>
          <w:i/>
          <w:szCs w:val="22"/>
          <w:lang w:val="sk-SK"/>
        </w:rPr>
        <w:t xml:space="preserve">Liečivá s účinkom na </w:t>
      </w:r>
      <w:proofErr w:type="spellStart"/>
      <w:r w:rsidRPr="003E31C3">
        <w:rPr>
          <w:i/>
          <w:szCs w:val="22"/>
          <w:lang w:val="sk-SK"/>
        </w:rPr>
        <w:t>renín-angiotenzínový</w:t>
      </w:r>
      <w:proofErr w:type="spellEnd"/>
      <w:r w:rsidRPr="003E31C3">
        <w:rPr>
          <w:i/>
          <w:szCs w:val="22"/>
          <w:lang w:val="sk-SK"/>
        </w:rPr>
        <w:t xml:space="preserve"> systém (RAS)</w:t>
      </w:r>
    </w:p>
    <w:p w14:paraId="264E35CA" w14:textId="77777777" w:rsidR="00346735" w:rsidRPr="006B22F1" w:rsidRDefault="00346735" w:rsidP="00346735">
      <w:pPr>
        <w:pStyle w:val="Zarkazkladnhotextu"/>
        <w:ind w:left="0"/>
        <w:rPr>
          <w:lang w:val="sk-SK" w:eastAsia="en-US"/>
        </w:rPr>
      </w:pPr>
      <w:r w:rsidRPr="003F7DD0">
        <w:rPr>
          <w:lang w:val="sk-SK" w:eastAsia="en-US"/>
        </w:rPr>
        <w:t xml:space="preserve">Dve rozsiahle </w:t>
      </w:r>
      <w:proofErr w:type="spellStart"/>
      <w:r w:rsidRPr="003F7DD0">
        <w:rPr>
          <w:lang w:val="sk-SK" w:eastAsia="en-US"/>
        </w:rPr>
        <w:t>randomizované</w:t>
      </w:r>
      <w:proofErr w:type="spellEnd"/>
      <w:r w:rsidRPr="003F7DD0">
        <w:rPr>
          <w:lang w:val="sk-SK" w:eastAsia="en-US"/>
        </w:rPr>
        <w:t>, kontrolované klinické skúšania (ONTARGET (</w:t>
      </w:r>
      <w:proofErr w:type="spellStart"/>
      <w:r w:rsidRPr="003F7DD0">
        <w:rPr>
          <w:lang w:val="sk-SK" w:eastAsia="en-US"/>
        </w:rPr>
        <w:t>ONgoing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Telmisartan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Alone</w:t>
      </w:r>
      <w:proofErr w:type="spellEnd"/>
      <w:r w:rsidRPr="003F7DD0">
        <w:rPr>
          <w:lang w:val="sk-SK" w:eastAsia="en-US"/>
        </w:rPr>
        <w:t xml:space="preserve"> and in </w:t>
      </w:r>
      <w:proofErr w:type="spellStart"/>
      <w:r w:rsidRPr="003F7DD0">
        <w:rPr>
          <w:lang w:val="sk-SK" w:eastAsia="en-US"/>
        </w:rPr>
        <w:t>combination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with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Ramipril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Global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Endpoint</w:t>
      </w:r>
      <w:proofErr w:type="spellEnd"/>
      <w:r w:rsidRPr="003F7DD0">
        <w:rPr>
          <w:lang w:val="sk-SK" w:eastAsia="en-US"/>
        </w:rPr>
        <w:t xml:space="preserve"> Trial) a VA NEPHRON-D (</w:t>
      </w:r>
      <w:proofErr w:type="spellStart"/>
      <w:r w:rsidRPr="003F7DD0">
        <w:rPr>
          <w:lang w:val="sk-SK" w:eastAsia="en-US"/>
        </w:rPr>
        <w:t>The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Veterans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Affairs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Nephropathy</w:t>
      </w:r>
      <w:proofErr w:type="spellEnd"/>
      <w:r w:rsidRPr="003F7DD0">
        <w:rPr>
          <w:lang w:val="sk-SK" w:eastAsia="en-US"/>
        </w:rPr>
        <w:t xml:space="preserve"> in Diabetes)) skúmali použitie kombinácie inhibítora ACE a </w:t>
      </w:r>
      <w:proofErr w:type="spellStart"/>
      <w:r w:rsidRPr="003F7DD0">
        <w:rPr>
          <w:lang w:val="sk-SK" w:eastAsia="en-US"/>
        </w:rPr>
        <w:t>blokátora</w:t>
      </w:r>
      <w:proofErr w:type="spellEnd"/>
      <w:r w:rsidRPr="003F7DD0">
        <w:rPr>
          <w:lang w:val="sk-SK" w:eastAsia="en-US"/>
        </w:rPr>
        <w:t xml:space="preserve"> receptorov </w:t>
      </w:r>
      <w:proofErr w:type="spellStart"/>
      <w:r w:rsidRPr="003F7DD0">
        <w:rPr>
          <w:lang w:val="sk-SK" w:eastAsia="en-US"/>
        </w:rPr>
        <w:t>angiotenzínu</w:t>
      </w:r>
      <w:proofErr w:type="spellEnd"/>
      <w:r w:rsidRPr="003F7DD0">
        <w:rPr>
          <w:lang w:val="sk-SK" w:eastAsia="en-US"/>
        </w:rPr>
        <w:t xml:space="preserve"> II. Skúšanie ONTARGET sa vykonalo u pacientov s kardiovaskulárnym alebo </w:t>
      </w:r>
      <w:proofErr w:type="spellStart"/>
      <w:r w:rsidRPr="003F7DD0">
        <w:rPr>
          <w:lang w:val="sk-SK" w:eastAsia="en-US"/>
        </w:rPr>
        <w:t>cerebrovaskulárnym</w:t>
      </w:r>
      <w:proofErr w:type="spellEnd"/>
      <w:r w:rsidRPr="003F7DD0">
        <w:rPr>
          <w:lang w:val="sk-SK" w:eastAsia="en-US"/>
        </w:rPr>
        <w:t xml:space="preserve"> ochorením v anamnéze, alebo u pacientov s diabetes mellitus 2. typu, u ktorých sa preukázalo poškodenie cieľových orgánov. Skúšanie VA NEPHRON-D sa vykonalo u pacientov s diabetes mellitus 2. typu a diabetickou </w:t>
      </w:r>
      <w:proofErr w:type="spellStart"/>
      <w:r w:rsidRPr="003F7DD0">
        <w:rPr>
          <w:lang w:val="sk-SK" w:eastAsia="en-US"/>
        </w:rPr>
        <w:t>nefropatiou</w:t>
      </w:r>
      <w:proofErr w:type="spellEnd"/>
      <w:r w:rsidRPr="003F7DD0">
        <w:rPr>
          <w:lang w:val="sk-SK" w:eastAsia="en-US"/>
        </w:rPr>
        <w:t>.</w:t>
      </w:r>
    </w:p>
    <w:p w14:paraId="264E35CB" w14:textId="77777777" w:rsidR="00346735" w:rsidRPr="006B22F1" w:rsidRDefault="00346735" w:rsidP="00346735">
      <w:pPr>
        <w:pStyle w:val="Zarkazkladnhotextu"/>
        <w:ind w:left="0"/>
        <w:rPr>
          <w:lang w:val="sk-SK" w:eastAsia="en-US"/>
        </w:rPr>
      </w:pPr>
      <w:r w:rsidRPr="003F7DD0">
        <w:rPr>
          <w:lang w:val="sk-SK" w:eastAsia="en-US"/>
        </w:rPr>
        <w:t xml:space="preserve">Tieto skúšania neukázali významný priaznivý účinok na </w:t>
      </w:r>
      <w:proofErr w:type="spellStart"/>
      <w:r w:rsidRPr="003F7DD0">
        <w:rPr>
          <w:lang w:val="sk-SK" w:eastAsia="en-US"/>
        </w:rPr>
        <w:t>renálne</w:t>
      </w:r>
      <w:proofErr w:type="spellEnd"/>
      <w:r w:rsidRPr="003F7DD0">
        <w:rPr>
          <w:lang w:val="sk-SK" w:eastAsia="en-US"/>
        </w:rPr>
        <w:t xml:space="preserve"> a/alebo kardiovaskulárne ukazovatele a mortalitu, zatiaľ čo v porovnaní s </w:t>
      </w:r>
      <w:proofErr w:type="spellStart"/>
      <w:r w:rsidRPr="003F7DD0">
        <w:rPr>
          <w:lang w:val="sk-SK" w:eastAsia="en-US"/>
        </w:rPr>
        <w:t>monoterapiou</w:t>
      </w:r>
      <w:proofErr w:type="spellEnd"/>
      <w:r w:rsidRPr="003F7DD0">
        <w:rPr>
          <w:lang w:val="sk-SK" w:eastAsia="en-US"/>
        </w:rPr>
        <w:t xml:space="preserve"> sa pozorovalo zvýšené riziko </w:t>
      </w:r>
      <w:proofErr w:type="spellStart"/>
      <w:r w:rsidRPr="003F7DD0">
        <w:rPr>
          <w:lang w:val="sk-SK" w:eastAsia="en-US"/>
        </w:rPr>
        <w:t>hyperkaliémie</w:t>
      </w:r>
      <w:proofErr w:type="spellEnd"/>
      <w:r w:rsidRPr="003F7DD0">
        <w:rPr>
          <w:lang w:val="sk-SK" w:eastAsia="en-US"/>
        </w:rPr>
        <w:t>, akútneho poškodenia obličiek a/alebo hypotenzie.</w:t>
      </w:r>
    </w:p>
    <w:p w14:paraId="264E35CC" w14:textId="77777777" w:rsidR="00346735" w:rsidRPr="006B22F1" w:rsidRDefault="00346735" w:rsidP="00346735">
      <w:pPr>
        <w:pStyle w:val="Zarkazkladnhotextu"/>
        <w:ind w:left="0"/>
        <w:rPr>
          <w:lang w:val="sk-SK" w:eastAsia="en-US"/>
        </w:rPr>
      </w:pPr>
      <w:r w:rsidRPr="003F7DD0">
        <w:rPr>
          <w:lang w:val="sk-SK" w:eastAsia="en-US"/>
        </w:rPr>
        <w:t xml:space="preserve">Vzhľadom na podobné </w:t>
      </w:r>
      <w:proofErr w:type="spellStart"/>
      <w:r w:rsidRPr="003F7DD0">
        <w:rPr>
          <w:lang w:val="sk-SK" w:eastAsia="en-US"/>
        </w:rPr>
        <w:t>farmakodynamické</w:t>
      </w:r>
      <w:proofErr w:type="spellEnd"/>
      <w:r w:rsidRPr="003F7DD0">
        <w:rPr>
          <w:lang w:val="sk-SK" w:eastAsia="en-US"/>
        </w:rPr>
        <w:t xml:space="preserve"> vlastnosti sú tieto výsledky relevantné aj pre ostatné inhibítory ACE a </w:t>
      </w:r>
      <w:proofErr w:type="spellStart"/>
      <w:r w:rsidRPr="003F7DD0">
        <w:rPr>
          <w:lang w:val="sk-SK" w:eastAsia="en-US"/>
        </w:rPr>
        <w:t>blokátory</w:t>
      </w:r>
      <w:proofErr w:type="spellEnd"/>
      <w:r w:rsidRPr="003F7DD0">
        <w:rPr>
          <w:lang w:val="sk-SK" w:eastAsia="en-US"/>
        </w:rPr>
        <w:t xml:space="preserve"> receptorov </w:t>
      </w:r>
      <w:proofErr w:type="spellStart"/>
      <w:r w:rsidRPr="003F7DD0">
        <w:rPr>
          <w:lang w:val="sk-SK" w:eastAsia="en-US"/>
        </w:rPr>
        <w:t>angiotenzínu</w:t>
      </w:r>
      <w:proofErr w:type="spellEnd"/>
      <w:r w:rsidRPr="003F7DD0">
        <w:rPr>
          <w:lang w:val="sk-SK" w:eastAsia="en-US"/>
        </w:rPr>
        <w:t xml:space="preserve"> II.</w:t>
      </w:r>
    </w:p>
    <w:p w14:paraId="264E35CD" w14:textId="77777777" w:rsidR="00346735" w:rsidRPr="006B22F1" w:rsidRDefault="00346735" w:rsidP="00346735">
      <w:pPr>
        <w:pStyle w:val="Zarkazkladnhotextu"/>
        <w:ind w:left="0"/>
        <w:rPr>
          <w:lang w:val="sk-SK" w:eastAsia="en-US"/>
        </w:rPr>
      </w:pPr>
      <w:r w:rsidRPr="003F7DD0">
        <w:rPr>
          <w:lang w:val="sk-SK" w:eastAsia="en-US"/>
        </w:rPr>
        <w:t xml:space="preserve">Inhibítory ACE a </w:t>
      </w:r>
      <w:proofErr w:type="spellStart"/>
      <w:r w:rsidRPr="003F7DD0">
        <w:rPr>
          <w:lang w:val="sk-SK" w:eastAsia="en-US"/>
        </w:rPr>
        <w:t>blokátory</w:t>
      </w:r>
      <w:proofErr w:type="spellEnd"/>
      <w:r w:rsidRPr="003F7DD0">
        <w:rPr>
          <w:lang w:val="sk-SK" w:eastAsia="en-US"/>
        </w:rPr>
        <w:t xml:space="preserve"> receptorov </w:t>
      </w:r>
      <w:proofErr w:type="spellStart"/>
      <w:r w:rsidRPr="003F7DD0">
        <w:rPr>
          <w:lang w:val="sk-SK" w:eastAsia="en-US"/>
        </w:rPr>
        <w:t>angiotenzínu</w:t>
      </w:r>
      <w:proofErr w:type="spellEnd"/>
      <w:r w:rsidRPr="003F7DD0">
        <w:rPr>
          <w:lang w:val="sk-SK" w:eastAsia="en-US"/>
        </w:rPr>
        <w:t xml:space="preserve"> II sa preto nemajú používať súbežne u pacientov s diabetickou </w:t>
      </w:r>
      <w:proofErr w:type="spellStart"/>
      <w:r w:rsidRPr="003F7DD0">
        <w:rPr>
          <w:lang w:val="sk-SK" w:eastAsia="en-US"/>
        </w:rPr>
        <w:t>nefropatiou</w:t>
      </w:r>
      <w:proofErr w:type="spellEnd"/>
      <w:r w:rsidRPr="003F7DD0">
        <w:rPr>
          <w:lang w:val="sk-SK" w:eastAsia="en-US"/>
        </w:rPr>
        <w:t>.</w:t>
      </w:r>
    </w:p>
    <w:p w14:paraId="264E35CE" w14:textId="77777777" w:rsidR="00346735" w:rsidRPr="006B22F1" w:rsidRDefault="00346735" w:rsidP="00346735">
      <w:pPr>
        <w:pStyle w:val="Zarkazkladnhotextu"/>
        <w:ind w:left="0"/>
        <w:rPr>
          <w:lang w:val="sk-SK" w:eastAsia="en-US"/>
        </w:rPr>
      </w:pPr>
      <w:r w:rsidRPr="003F7DD0">
        <w:rPr>
          <w:lang w:val="sk-SK" w:eastAsia="en-US"/>
        </w:rPr>
        <w:t>Skúšanie ALTITUDE (</w:t>
      </w:r>
      <w:proofErr w:type="spellStart"/>
      <w:r w:rsidRPr="003F7DD0">
        <w:rPr>
          <w:lang w:val="sk-SK" w:eastAsia="en-US"/>
        </w:rPr>
        <w:t>Aliskiren</w:t>
      </w:r>
      <w:proofErr w:type="spellEnd"/>
      <w:r w:rsidRPr="003F7DD0">
        <w:rPr>
          <w:lang w:val="sk-SK" w:eastAsia="en-US"/>
        </w:rPr>
        <w:t xml:space="preserve"> Trial in Type 2 Diabetes </w:t>
      </w:r>
      <w:proofErr w:type="spellStart"/>
      <w:r w:rsidRPr="003F7DD0">
        <w:rPr>
          <w:lang w:val="sk-SK" w:eastAsia="en-US"/>
        </w:rPr>
        <w:t>Using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Cardiovascular</w:t>
      </w:r>
      <w:proofErr w:type="spellEnd"/>
      <w:r w:rsidRPr="003F7DD0">
        <w:rPr>
          <w:lang w:val="sk-SK" w:eastAsia="en-US"/>
        </w:rPr>
        <w:t xml:space="preserve"> and </w:t>
      </w:r>
      <w:proofErr w:type="spellStart"/>
      <w:r w:rsidRPr="003F7DD0">
        <w:rPr>
          <w:lang w:val="sk-SK" w:eastAsia="en-US"/>
        </w:rPr>
        <w:t>Renal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Disease</w:t>
      </w:r>
      <w:proofErr w:type="spellEnd"/>
      <w:r w:rsidRPr="003F7DD0">
        <w:rPr>
          <w:lang w:val="sk-SK" w:eastAsia="en-US"/>
        </w:rPr>
        <w:t xml:space="preserve"> </w:t>
      </w:r>
      <w:proofErr w:type="spellStart"/>
      <w:r w:rsidRPr="003F7DD0">
        <w:rPr>
          <w:lang w:val="sk-SK" w:eastAsia="en-US"/>
        </w:rPr>
        <w:t>Endpoints</w:t>
      </w:r>
      <w:proofErr w:type="spellEnd"/>
      <w:r w:rsidRPr="003F7DD0">
        <w:rPr>
          <w:lang w:val="sk-SK" w:eastAsia="en-US"/>
        </w:rPr>
        <w:t xml:space="preserve">) bolo navrhnuté na otestovanie prínosu pridania </w:t>
      </w:r>
      <w:proofErr w:type="spellStart"/>
      <w:r w:rsidRPr="003F7DD0">
        <w:rPr>
          <w:lang w:val="sk-SK" w:eastAsia="en-US"/>
        </w:rPr>
        <w:t>aliskirenu</w:t>
      </w:r>
      <w:proofErr w:type="spellEnd"/>
      <w:r w:rsidRPr="003F7DD0">
        <w:rPr>
          <w:lang w:val="sk-SK" w:eastAsia="en-US"/>
        </w:rPr>
        <w:t xml:space="preserve"> k štandardnej liečbe inhibítorom ACE alebo </w:t>
      </w:r>
      <w:proofErr w:type="spellStart"/>
      <w:r w:rsidRPr="003F7DD0">
        <w:rPr>
          <w:lang w:val="sk-SK" w:eastAsia="en-US"/>
        </w:rPr>
        <w:t>blokátorom</w:t>
      </w:r>
      <w:proofErr w:type="spellEnd"/>
      <w:r w:rsidRPr="003F7DD0">
        <w:rPr>
          <w:lang w:val="sk-SK" w:eastAsia="en-US"/>
        </w:rPr>
        <w:t xml:space="preserve"> receptorov </w:t>
      </w:r>
      <w:proofErr w:type="spellStart"/>
      <w:r w:rsidRPr="003F7DD0">
        <w:rPr>
          <w:lang w:val="sk-SK" w:eastAsia="en-US"/>
        </w:rPr>
        <w:t>angiotenzínu</w:t>
      </w:r>
      <w:proofErr w:type="spellEnd"/>
      <w:r w:rsidRPr="003F7DD0">
        <w:rPr>
          <w:lang w:val="sk-SK" w:eastAsia="en-US"/>
        </w:rPr>
        <w:t xml:space="preserve"> II u pacientov s diabetes mellitus 2. typu a chronickým ochorením obličiek, kardiovaskulárnym ochorením, alebo oboma ochoreniami. Skúšanie bolo predčasne ukončené pre zvýšené riziko nežiaducich udalostí. V skupine </w:t>
      </w:r>
      <w:proofErr w:type="spellStart"/>
      <w:r w:rsidRPr="003F7DD0">
        <w:rPr>
          <w:lang w:val="sk-SK" w:eastAsia="en-US"/>
        </w:rPr>
        <w:t>aliskirenu</w:t>
      </w:r>
      <w:proofErr w:type="spellEnd"/>
      <w:r w:rsidRPr="003F7DD0">
        <w:rPr>
          <w:lang w:val="sk-SK" w:eastAsia="en-US"/>
        </w:rPr>
        <w:t xml:space="preserve"> bolo numericky viac úmrtí z kardiovaskulárnej príčiny a cievnych mozgových príhod ako v skupine placeba a v skupine </w:t>
      </w:r>
      <w:proofErr w:type="spellStart"/>
      <w:r w:rsidRPr="003F7DD0">
        <w:rPr>
          <w:lang w:val="sk-SK" w:eastAsia="en-US"/>
        </w:rPr>
        <w:t>aliskirenu</w:t>
      </w:r>
      <w:proofErr w:type="spellEnd"/>
      <w:r w:rsidRPr="003F7DD0">
        <w:rPr>
          <w:lang w:val="sk-SK" w:eastAsia="en-US"/>
        </w:rPr>
        <w:t xml:space="preserve"> </w:t>
      </w:r>
      <w:r w:rsidRPr="003F7DD0">
        <w:rPr>
          <w:lang w:val="sk-SK" w:eastAsia="en-US"/>
        </w:rPr>
        <w:lastRenderedPageBreak/>
        <w:t>boli častejšie hlásené sledované nežiaduce udalosti a závažné nežiaduce udalosti (</w:t>
      </w:r>
      <w:proofErr w:type="spellStart"/>
      <w:r w:rsidRPr="003F7DD0">
        <w:rPr>
          <w:lang w:val="sk-SK" w:eastAsia="en-US"/>
        </w:rPr>
        <w:t>hyperkaliémia</w:t>
      </w:r>
      <w:proofErr w:type="spellEnd"/>
      <w:r w:rsidRPr="003F7DD0">
        <w:rPr>
          <w:lang w:val="sk-SK" w:eastAsia="en-US"/>
        </w:rPr>
        <w:t xml:space="preserve">, hypotenzia a </w:t>
      </w:r>
      <w:proofErr w:type="spellStart"/>
      <w:r w:rsidRPr="003F7DD0">
        <w:rPr>
          <w:lang w:val="sk-SK" w:eastAsia="en-US"/>
        </w:rPr>
        <w:t>renálna</w:t>
      </w:r>
      <w:proofErr w:type="spellEnd"/>
      <w:r w:rsidRPr="003F7DD0">
        <w:rPr>
          <w:lang w:val="sk-SK" w:eastAsia="en-US"/>
        </w:rPr>
        <w:t xml:space="preserve"> dysfunkcia) ako v skupine placeba.</w:t>
      </w:r>
    </w:p>
    <w:p w14:paraId="264E35CF" w14:textId="77777777" w:rsidR="0084107D" w:rsidRDefault="0084107D" w:rsidP="0084107D">
      <w:pPr>
        <w:rPr>
          <w:szCs w:val="22"/>
          <w:u w:val="single"/>
          <w:lang w:val="sk-SK"/>
        </w:rPr>
      </w:pPr>
    </w:p>
    <w:p w14:paraId="264E35D0" w14:textId="77777777" w:rsidR="0084107D" w:rsidRPr="00732909" w:rsidRDefault="0084107D" w:rsidP="0084107D">
      <w:pPr>
        <w:rPr>
          <w:i/>
          <w:lang w:val="sk-SK"/>
        </w:rPr>
      </w:pPr>
      <w:r w:rsidRPr="00732909">
        <w:rPr>
          <w:i/>
          <w:lang w:val="sk-SK"/>
        </w:rPr>
        <w:t>Pediatrická populácia</w:t>
      </w:r>
    </w:p>
    <w:p w14:paraId="264E35D1" w14:textId="77777777" w:rsidR="0084107D" w:rsidRPr="00157521" w:rsidRDefault="0084107D" w:rsidP="0084107D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V klinickej štúdii zahŕňajúcej 115 pediatrických pacientov s hypertenziou vo veku 6-16 rokov s telesnou hmotnosťou menej ako 50 kg sa </w:t>
      </w:r>
      <w:r w:rsidR="00960B46">
        <w:rPr>
          <w:szCs w:val="22"/>
          <w:lang w:val="sk-SK"/>
        </w:rPr>
        <w:t xml:space="preserve">pacientom </w:t>
      </w:r>
      <w:r w:rsidRPr="00157521">
        <w:rPr>
          <w:szCs w:val="22"/>
          <w:lang w:val="sk-SK"/>
        </w:rPr>
        <w:t xml:space="preserve">podávalo 0,625 mg, 2,5 mg alebo 20 mg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 jedenkrát denne a pacientom s telesnou hmotnosťou 50 kg alebo viac sa podávalo 1,25 mg, 5 mg alebo 40 mg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 jedenkrát denne. Po dvoch týždňoch podávania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 jedenkrát denne sa znížil tlak krvi v závislosti od veľkosti dávky s jasným </w:t>
      </w:r>
      <w:proofErr w:type="spellStart"/>
      <w:r w:rsidRPr="00157521">
        <w:rPr>
          <w:szCs w:val="22"/>
          <w:lang w:val="sk-SK"/>
        </w:rPr>
        <w:t>antihypertenzívnym</w:t>
      </w:r>
      <w:proofErr w:type="spellEnd"/>
      <w:r w:rsidRPr="00157521">
        <w:rPr>
          <w:szCs w:val="22"/>
          <w:lang w:val="sk-SK"/>
        </w:rPr>
        <w:t xml:space="preserve"> účinkom pri dávkach nad 1,25 mg.</w:t>
      </w:r>
    </w:p>
    <w:p w14:paraId="264E35D2" w14:textId="77777777" w:rsidR="0084107D" w:rsidRPr="00157521" w:rsidRDefault="0084107D" w:rsidP="0084107D">
      <w:pPr>
        <w:rPr>
          <w:szCs w:val="22"/>
          <w:lang w:val="sk-SK"/>
        </w:rPr>
      </w:pPr>
    </w:p>
    <w:p w14:paraId="264E35D3" w14:textId="77777777" w:rsidR="00346735" w:rsidRPr="006B22F1" w:rsidRDefault="0084107D" w:rsidP="00346735">
      <w:pPr>
        <w:tabs>
          <w:tab w:val="left" w:pos="864"/>
          <w:tab w:val="left" w:pos="1008"/>
        </w:tabs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>Tento účinok bol potvrdený vo fáze vysadzovania lieku, keď diastolický tlak krvi stúpol približne o</w:t>
      </w:r>
      <w:r w:rsidR="00960B46">
        <w:rPr>
          <w:szCs w:val="22"/>
          <w:lang w:val="sk-SK"/>
        </w:rPr>
        <w:t> </w:t>
      </w:r>
      <w:r w:rsidRPr="00157521">
        <w:rPr>
          <w:szCs w:val="22"/>
          <w:lang w:val="sk-SK"/>
        </w:rPr>
        <w:t>9</w:t>
      </w:r>
      <w:r w:rsidR="00960B46">
        <w:rPr>
          <w:szCs w:val="22"/>
          <w:lang w:val="sk-SK"/>
        </w:rPr>
        <w:t> </w:t>
      </w:r>
      <w:proofErr w:type="spellStart"/>
      <w:r w:rsidRPr="00157521">
        <w:rPr>
          <w:szCs w:val="22"/>
          <w:lang w:val="sk-SK"/>
        </w:rPr>
        <w:t>mmHg</w:t>
      </w:r>
      <w:proofErr w:type="spellEnd"/>
      <w:r w:rsidRPr="00157521">
        <w:rPr>
          <w:szCs w:val="22"/>
          <w:lang w:val="sk-SK"/>
        </w:rPr>
        <w:t xml:space="preserve"> viac u pacientov </w:t>
      </w:r>
      <w:proofErr w:type="spellStart"/>
      <w:r w:rsidRPr="00157521">
        <w:rPr>
          <w:szCs w:val="22"/>
          <w:lang w:val="sk-SK"/>
        </w:rPr>
        <w:t>randomizovaných</w:t>
      </w:r>
      <w:proofErr w:type="spellEnd"/>
      <w:r w:rsidRPr="00157521">
        <w:rPr>
          <w:szCs w:val="22"/>
          <w:lang w:val="sk-SK"/>
        </w:rPr>
        <w:t xml:space="preserve"> na placebo než u pacientov, ktorí boli </w:t>
      </w:r>
      <w:proofErr w:type="spellStart"/>
      <w:r w:rsidRPr="00157521">
        <w:rPr>
          <w:szCs w:val="22"/>
          <w:lang w:val="sk-SK"/>
        </w:rPr>
        <w:t>randomizovaní</w:t>
      </w:r>
      <w:proofErr w:type="spellEnd"/>
      <w:r w:rsidRPr="00157521">
        <w:rPr>
          <w:szCs w:val="22"/>
          <w:lang w:val="sk-SK"/>
        </w:rPr>
        <w:t xml:space="preserve"> na ponechanie strednej alebo vysokej dávky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. </w:t>
      </w:r>
      <w:proofErr w:type="spellStart"/>
      <w:r w:rsidRPr="00157521">
        <w:rPr>
          <w:szCs w:val="22"/>
          <w:lang w:val="sk-SK"/>
        </w:rPr>
        <w:t>Antihypertenzný</w:t>
      </w:r>
      <w:proofErr w:type="spellEnd"/>
      <w:r w:rsidRPr="00157521">
        <w:rPr>
          <w:szCs w:val="22"/>
          <w:lang w:val="sk-SK"/>
        </w:rPr>
        <w:t xml:space="preserve"> účinok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 závislý od veľkosti dávky bol konštantne prítomný vo viacerých demografických podskupinách podľa veku, </w:t>
      </w:r>
      <w:proofErr w:type="spellStart"/>
      <w:r w:rsidRPr="00157521">
        <w:rPr>
          <w:szCs w:val="22"/>
          <w:lang w:val="sk-SK"/>
        </w:rPr>
        <w:t>Tannerovho</w:t>
      </w:r>
      <w:proofErr w:type="spellEnd"/>
      <w:r w:rsidRPr="00157521">
        <w:rPr>
          <w:szCs w:val="22"/>
          <w:lang w:val="sk-SK"/>
        </w:rPr>
        <w:t xml:space="preserve"> štádia, pohlavia a</w:t>
      </w:r>
      <w:r>
        <w:rPr>
          <w:szCs w:val="22"/>
          <w:lang w:val="sk-SK"/>
        </w:rPr>
        <w:t> </w:t>
      </w:r>
      <w:r w:rsidRPr="00157521">
        <w:rPr>
          <w:szCs w:val="22"/>
          <w:lang w:val="sk-SK"/>
        </w:rPr>
        <w:t>rasy</w:t>
      </w:r>
      <w:r>
        <w:rPr>
          <w:szCs w:val="22"/>
          <w:lang w:val="sk-SK"/>
        </w:rPr>
        <w:t>.</w:t>
      </w:r>
    </w:p>
    <w:p w14:paraId="264E35D4" w14:textId="77777777" w:rsidR="00132A1D" w:rsidRPr="003F7DD0" w:rsidRDefault="00132A1D" w:rsidP="00132A1D">
      <w:pPr>
        <w:tabs>
          <w:tab w:val="left" w:pos="864"/>
          <w:tab w:val="left" w:pos="1008"/>
        </w:tabs>
        <w:spacing w:line="240" w:lineRule="auto"/>
        <w:rPr>
          <w:szCs w:val="22"/>
          <w:lang w:val="sk-SK"/>
        </w:rPr>
      </w:pPr>
    </w:p>
    <w:p w14:paraId="264E35D5" w14:textId="77777777" w:rsidR="00681759" w:rsidRPr="00157521" w:rsidRDefault="00681759" w:rsidP="009512D0">
      <w:pPr>
        <w:spacing w:line="240" w:lineRule="auto"/>
        <w:rPr>
          <w:iCs/>
          <w:szCs w:val="22"/>
          <w:u w:val="single"/>
          <w:lang w:val="sk-SK"/>
        </w:rPr>
      </w:pPr>
      <w:proofErr w:type="spellStart"/>
      <w:r w:rsidRPr="00157521">
        <w:rPr>
          <w:iCs/>
          <w:szCs w:val="22"/>
          <w:u w:val="single"/>
          <w:lang w:val="sk-SK"/>
        </w:rPr>
        <w:t>Amlodip</w:t>
      </w:r>
      <w:r w:rsidR="00F02C9B" w:rsidRPr="00157521">
        <w:rPr>
          <w:iCs/>
          <w:szCs w:val="22"/>
          <w:u w:val="single"/>
          <w:lang w:val="sk-SK"/>
        </w:rPr>
        <w:t>ín</w:t>
      </w:r>
      <w:proofErr w:type="spellEnd"/>
    </w:p>
    <w:p w14:paraId="264E35D6" w14:textId="77777777" w:rsidR="003D2AEB" w:rsidRPr="00157521" w:rsidRDefault="003D2AEB" w:rsidP="003D2AEB">
      <w:pPr>
        <w:rPr>
          <w:szCs w:val="22"/>
          <w:lang w:val="sk-SK"/>
        </w:rPr>
      </w:pP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szCs w:val="22"/>
          <w:lang w:val="sk-SK"/>
        </w:rPr>
        <w:t xml:space="preserve"> je inhibítor vstupu kalciových iónov (</w:t>
      </w:r>
      <w:proofErr w:type="spellStart"/>
      <w:r w:rsidRPr="00157521">
        <w:rPr>
          <w:szCs w:val="22"/>
          <w:lang w:val="sk-SK"/>
        </w:rPr>
        <w:t>blokátor</w:t>
      </w:r>
      <w:proofErr w:type="spellEnd"/>
      <w:r w:rsidRPr="00157521">
        <w:rPr>
          <w:szCs w:val="22"/>
          <w:lang w:val="sk-SK"/>
        </w:rPr>
        <w:t xml:space="preserve"> pomalého kanála alebo antagonista kalciových iónov) a </w:t>
      </w:r>
      <w:proofErr w:type="spellStart"/>
      <w:r w:rsidRPr="00157521">
        <w:rPr>
          <w:szCs w:val="22"/>
          <w:lang w:val="sk-SK"/>
        </w:rPr>
        <w:t>inhibuje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transmembránový</w:t>
      </w:r>
      <w:proofErr w:type="spellEnd"/>
      <w:r w:rsidRPr="00157521">
        <w:rPr>
          <w:szCs w:val="22"/>
          <w:lang w:val="sk-SK"/>
        </w:rPr>
        <w:t xml:space="preserve"> vstup kalciových iónov do hladkých svalov ciev a srdcovej svaloviny.</w:t>
      </w:r>
    </w:p>
    <w:p w14:paraId="264E35D7" w14:textId="77777777" w:rsidR="0059775D" w:rsidRDefault="003D2AEB" w:rsidP="003D2AEB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Mechanizmom </w:t>
      </w:r>
      <w:proofErr w:type="spellStart"/>
      <w:r w:rsidRPr="00157521">
        <w:rPr>
          <w:szCs w:val="22"/>
          <w:lang w:val="sk-SK"/>
        </w:rPr>
        <w:t>antihypertenzného</w:t>
      </w:r>
      <w:proofErr w:type="spellEnd"/>
      <w:r w:rsidRPr="00157521">
        <w:rPr>
          <w:szCs w:val="22"/>
          <w:lang w:val="sk-SK"/>
        </w:rPr>
        <w:t xml:space="preserve"> účinku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je priamy relaxačný vplyv na hladké svaly ciev.</w:t>
      </w:r>
      <w:r w:rsidR="0041363F">
        <w:rPr>
          <w:szCs w:val="22"/>
          <w:lang w:val="sk-SK"/>
        </w:rPr>
        <w:t xml:space="preserve"> Presný mechanizmus, ktorým </w:t>
      </w:r>
      <w:proofErr w:type="spellStart"/>
      <w:r w:rsidR="0041363F">
        <w:rPr>
          <w:szCs w:val="22"/>
          <w:lang w:val="sk-SK"/>
        </w:rPr>
        <w:t>amlodipín</w:t>
      </w:r>
      <w:proofErr w:type="spellEnd"/>
      <w:r w:rsidR="0041363F">
        <w:rPr>
          <w:szCs w:val="22"/>
          <w:lang w:val="sk-SK"/>
        </w:rPr>
        <w:t xml:space="preserve"> </w:t>
      </w:r>
      <w:r w:rsidR="0041363F" w:rsidRPr="000B69CF">
        <w:rPr>
          <w:rStyle w:val="hps"/>
          <w:lang w:val="sk-SK"/>
        </w:rPr>
        <w:t>zmierňuje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angínu</w:t>
      </w:r>
      <w:r w:rsidR="0041363F" w:rsidRPr="000B69CF">
        <w:rPr>
          <w:lang w:val="sk-SK"/>
        </w:rPr>
        <w:t xml:space="preserve"> </w:t>
      </w:r>
      <w:proofErr w:type="spellStart"/>
      <w:r w:rsidR="00ED08FE">
        <w:rPr>
          <w:rStyle w:val="hps"/>
          <w:lang w:val="sk-SK"/>
        </w:rPr>
        <w:t>pec</w:t>
      </w:r>
      <w:r w:rsidR="0041363F" w:rsidRPr="000B69CF">
        <w:rPr>
          <w:rStyle w:val="hps"/>
          <w:lang w:val="sk-SK"/>
        </w:rPr>
        <w:t>toris</w:t>
      </w:r>
      <w:proofErr w:type="spellEnd"/>
      <w:r w:rsidR="00ED08FE">
        <w:rPr>
          <w:rStyle w:val="hps"/>
          <w:lang w:val="sk-SK"/>
        </w:rPr>
        <w:t>,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nebol</w:t>
      </w:r>
      <w:r w:rsidR="0041363F">
        <w:rPr>
          <w:rStyle w:val="hps"/>
          <w:lang w:val="sk-SK"/>
        </w:rPr>
        <w:t xml:space="preserve"> úplne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stanoven</w:t>
      </w:r>
      <w:r w:rsidR="0041363F">
        <w:rPr>
          <w:rStyle w:val="hps"/>
          <w:lang w:val="sk-SK"/>
        </w:rPr>
        <w:t>ý</w:t>
      </w:r>
      <w:r w:rsidR="00ED08FE">
        <w:rPr>
          <w:rStyle w:val="hps"/>
          <w:lang w:val="sk-SK"/>
        </w:rPr>
        <w:t>. C</w:t>
      </w:r>
      <w:r w:rsidR="00552023" w:rsidRPr="0041363F">
        <w:rPr>
          <w:rStyle w:val="hps"/>
          <w:lang w:val="sk-SK"/>
        </w:rPr>
        <w:t>elkov</w:t>
      </w:r>
      <w:r w:rsidR="00552023">
        <w:rPr>
          <w:rStyle w:val="hps"/>
          <w:lang w:val="sk-SK"/>
        </w:rPr>
        <w:t>ú</w:t>
      </w:r>
      <w:r w:rsidR="00552023" w:rsidRPr="0041363F">
        <w:rPr>
          <w:lang w:val="sk-SK"/>
        </w:rPr>
        <w:t xml:space="preserve"> </w:t>
      </w:r>
      <w:r w:rsidR="00552023" w:rsidRPr="0041363F">
        <w:rPr>
          <w:rStyle w:val="hps"/>
          <w:lang w:val="sk-SK"/>
        </w:rPr>
        <w:t>ischemick</w:t>
      </w:r>
      <w:r w:rsidR="00552023">
        <w:rPr>
          <w:rStyle w:val="hps"/>
          <w:lang w:val="sk-SK"/>
        </w:rPr>
        <w:t>ú</w:t>
      </w:r>
      <w:r w:rsidR="00552023" w:rsidRPr="0041363F">
        <w:rPr>
          <w:lang w:val="sk-SK"/>
        </w:rPr>
        <w:t xml:space="preserve"> </w:t>
      </w:r>
      <w:r w:rsidR="00552023" w:rsidRPr="0041363F">
        <w:rPr>
          <w:rStyle w:val="hps"/>
          <w:lang w:val="sk-SK"/>
        </w:rPr>
        <w:t xml:space="preserve">záťaž </w:t>
      </w:r>
      <w:r w:rsidR="00ED08FE">
        <w:rPr>
          <w:rStyle w:val="hps"/>
          <w:lang w:val="sk-SK"/>
        </w:rPr>
        <w:t xml:space="preserve">však </w:t>
      </w:r>
      <w:proofErr w:type="spellStart"/>
      <w:r w:rsidR="00ED08FE">
        <w:rPr>
          <w:rStyle w:val="hps"/>
          <w:lang w:val="sk-SK"/>
        </w:rPr>
        <w:t>amlodipín</w:t>
      </w:r>
      <w:proofErr w:type="spellEnd"/>
      <w:r w:rsidR="00ED08FE">
        <w:rPr>
          <w:rStyle w:val="hps"/>
          <w:lang w:val="sk-SK"/>
        </w:rPr>
        <w:t xml:space="preserve"> </w:t>
      </w:r>
      <w:r w:rsidR="00552023">
        <w:rPr>
          <w:rStyle w:val="hps"/>
          <w:lang w:val="sk-SK"/>
        </w:rPr>
        <w:t xml:space="preserve">znižuje </w:t>
      </w:r>
      <w:r w:rsidR="0041363F" w:rsidRPr="000B69CF">
        <w:rPr>
          <w:rStyle w:val="hps"/>
          <w:lang w:val="sk-SK"/>
        </w:rPr>
        <w:t>nasledujúci</w:t>
      </w:r>
      <w:r w:rsidR="00552023">
        <w:rPr>
          <w:rStyle w:val="hps"/>
          <w:lang w:val="sk-SK"/>
        </w:rPr>
        <w:t>mi</w:t>
      </w:r>
      <w:r w:rsidR="0041363F" w:rsidRPr="000B69CF">
        <w:rPr>
          <w:rStyle w:val="hps"/>
          <w:lang w:val="sk-SK"/>
        </w:rPr>
        <w:t xml:space="preserve"> dvo</w:t>
      </w:r>
      <w:r w:rsidR="00552023">
        <w:rPr>
          <w:rStyle w:val="hps"/>
          <w:lang w:val="sk-SK"/>
        </w:rPr>
        <w:t>ma</w:t>
      </w:r>
      <w:r w:rsidR="0041363F" w:rsidRPr="000B69CF">
        <w:rPr>
          <w:lang w:val="sk-SK"/>
        </w:rPr>
        <w:t xml:space="preserve"> </w:t>
      </w:r>
      <w:r w:rsidR="00552023">
        <w:rPr>
          <w:rStyle w:val="hps"/>
          <w:lang w:val="sk-SK"/>
        </w:rPr>
        <w:t>spôsobmi</w:t>
      </w:r>
      <w:r w:rsidR="0041363F" w:rsidRPr="000B69CF">
        <w:rPr>
          <w:rStyle w:val="hps"/>
          <w:lang w:val="sk-SK"/>
        </w:rPr>
        <w:t>:</w:t>
      </w:r>
      <w:r w:rsidR="0041363F" w:rsidRPr="000B69CF">
        <w:rPr>
          <w:lang w:val="sk-SK"/>
        </w:rPr>
        <w:br/>
      </w:r>
      <w:r w:rsidR="0041363F" w:rsidRPr="000B69CF">
        <w:rPr>
          <w:lang w:val="sk-SK"/>
        </w:rPr>
        <w:br/>
      </w:r>
      <w:r w:rsidR="00CF6CE4">
        <w:rPr>
          <w:lang w:val="sk-SK"/>
        </w:rPr>
        <w:t>-</w:t>
      </w:r>
      <w:r w:rsidR="00CF6CE4">
        <w:rPr>
          <w:lang w:val="sk-SK"/>
        </w:rPr>
        <w:tab/>
      </w:r>
      <w:proofErr w:type="spellStart"/>
      <w:r w:rsidR="0041363F" w:rsidRPr="000B69CF">
        <w:rPr>
          <w:rStyle w:val="hps"/>
          <w:lang w:val="sk-SK"/>
        </w:rPr>
        <w:t>Amlodipín</w:t>
      </w:r>
      <w:proofErr w:type="spellEnd"/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dilatuje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periférne</w:t>
      </w:r>
      <w:r w:rsidR="0041363F" w:rsidRPr="000B69CF">
        <w:rPr>
          <w:lang w:val="sk-SK"/>
        </w:rPr>
        <w:t xml:space="preserve"> </w:t>
      </w:r>
      <w:proofErr w:type="spellStart"/>
      <w:r w:rsidR="0041363F" w:rsidRPr="000B69CF">
        <w:rPr>
          <w:rStyle w:val="hps"/>
          <w:lang w:val="sk-SK"/>
        </w:rPr>
        <w:t>arterioly</w:t>
      </w:r>
      <w:proofErr w:type="spellEnd"/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tým znižuje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celkový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periférny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odpor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(</w:t>
      </w:r>
      <w:proofErr w:type="spellStart"/>
      <w:r w:rsidR="0041363F" w:rsidRPr="000B69CF">
        <w:rPr>
          <w:lang w:val="sk-SK"/>
        </w:rPr>
        <w:t>afterload</w:t>
      </w:r>
      <w:proofErr w:type="spellEnd"/>
      <w:r w:rsidR="0041363F" w:rsidRPr="000B69CF">
        <w:rPr>
          <w:lang w:val="sk-SK"/>
        </w:rPr>
        <w:t xml:space="preserve">), </w:t>
      </w:r>
      <w:r w:rsidR="0041363F" w:rsidRPr="000B69CF">
        <w:rPr>
          <w:rStyle w:val="hps"/>
          <w:lang w:val="sk-SK"/>
        </w:rPr>
        <w:t>proti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ktorému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srdce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pracuje</w:t>
      </w:r>
      <w:r w:rsidR="0041363F" w:rsidRPr="000B69CF">
        <w:rPr>
          <w:lang w:val="sk-SK"/>
        </w:rPr>
        <w:t xml:space="preserve">. </w:t>
      </w:r>
      <w:r w:rsidR="0041363F" w:rsidRPr="000B69CF">
        <w:rPr>
          <w:rStyle w:val="hps"/>
          <w:lang w:val="sk-SK"/>
        </w:rPr>
        <w:t xml:space="preserve">Vzhľadom </w:t>
      </w:r>
      <w:r w:rsidR="00960B46">
        <w:rPr>
          <w:rStyle w:val="hps"/>
          <w:lang w:val="sk-SK"/>
        </w:rPr>
        <w:t>na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to</w:t>
      </w:r>
      <w:r w:rsidR="0041363F" w:rsidRPr="000B69CF">
        <w:rPr>
          <w:lang w:val="sk-SK"/>
        </w:rPr>
        <w:t xml:space="preserve">, </w:t>
      </w:r>
      <w:r w:rsidR="00ED08FE">
        <w:rPr>
          <w:lang w:val="sk-SK"/>
        </w:rPr>
        <w:t xml:space="preserve">že </w:t>
      </w:r>
      <w:r w:rsidR="0041363F" w:rsidRPr="000B69CF">
        <w:rPr>
          <w:lang w:val="sk-SK"/>
        </w:rPr>
        <w:t xml:space="preserve">srdcová </w:t>
      </w:r>
      <w:r w:rsidR="0041363F" w:rsidRPr="000B69CF">
        <w:rPr>
          <w:rStyle w:val="hps"/>
          <w:lang w:val="sk-SK"/>
        </w:rPr>
        <w:t>frekvencia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zostáva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stabilná</w:t>
      </w:r>
      <w:r w:rsidR="0041363F" w:rsidRPr="000B69CF">
        <w:rPr>
          <w:lang w:val="sk-SK"/>
        </w:rPr>
        <w:t xml:space="preserve">, </w:t>
      </w:r>
      <w:r w:rsidR="0041363F" w:rsidRPr="000B69CF">
        <w:rPr>
          <w:rStyle w:val="hps"/>
          <w:lang w:val="sk-SK"/>
        </w:rPr>
        <w:t>toto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odľahčenie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srdca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znižuje</w:t>
      </w:r>
      <w:r w:rsidR="0041363F" w:rsidRPr="000B69CF">
        <w:rPr>
          <w:lang w:val="sk-SK"/>
        </w:rPr>
        <w:t xml:space="preserve"> </w:t>
      </w:r>
      <w:proofErr w:type="spellStart"/>
      <w:r w:rsidR="0041363F" w:rsidRPr="000B69CF">
        <w:rPr>
          <w:rStyle w:val="hps"/>
          <w:lang w:val="sk-SK"/>
        </w:rPr>
        <w:t>myokardiálnu</w:t>
      </w:r>
      <w:proofErr w:type="spellEnd"/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spotrebu energie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a požiadavky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na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kyslík</w:t>
      </w:r>
      <w:r w:rsidR="0041363F" w:rsidRPr="000B69CF">
        <w:rPr>
          <w:lang w:val="sk-SK"/>
        </w:rPr>
        <w:t>.</w:t>
      </w:r>
      <w:r w:rsidR="0041363F" w:rsidRPr="000B69CF">
        <w:rPr>
          <w:lang w:val="sk-SK"/>
        </w:rPr>
        <w:br/>
      </w:r>
      <w:r w:rsidR="0041363F" w:rsidRPr="000B69CF">
        <w:rPr>
          <w:lang w:val="sk-SK"/>
        </w:rPr>
        <w:br/>
      </w:r>
      <w:r w:rsidR="00CF6CE4">
        <w:rPr>
          <w:lang w:val="sk-SK"/>
        </w:rPr>
        <w:t>-</w:t>
      </w:r>
      <w:r w:rsidR="00CF6CE4">
        <w:rPr>
          <w:lang w:val="sk-SK"/>
        </w:rPr>
        <w:tab/>
      </w:r>
      <w:r w:rsidR="0041363F" w:rsidRPr="000B69CF">
        <w:rPr>
          <w:rStyle w:val="hps"/>
          <w:lang w:val="sk-SK"/>
        </w:rPr>
        <w:t>Mechanizmus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účinku</w:t>
      </w:r>
      <w:r w:rsidR="0041363F" w:rsidRPr="000B69CF">
        <w:rPr>
          <w:lang w:val="sk-SK"/>
        </w:rPr>
        <w:t xml:space="preserve"> </w:t>
      </w:r>
      <w:proofErr w:type="spellStart"/>
      <w:r w:rsidR="0041363F" w:rsidRPr="000B69CF">
        <w:rPr>
          <w:rStyle w:val="hps"/>
          <w:lang w:val="sk-SK"/>
        </w:rPr>
        <w:t>amlodipínu</w:t>
      </w:r>
      <w:proofErr w:type="spellEnd"/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pravdepodobne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tiež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zahŕňa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dilatáciu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hlavn</w:t>
      </w:r>
      <w:r w:rsidR="00ED08FE">
        <w:rPr>
          <w:rStyle w:val="hps"/>
          <w:lang w:val="sk-SK"/>
        </w:rPr>
        <w:t>ých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koronárn</w:t>
      </w:r>
      <w:r w:rsidR="00ED08FE">
        <w:rPr>
          <w:rStyle w:val="hps"/>
          <w:lang w:val="sk-SK"/>
        </w:rPr>
        <w:t>ych</w:t>
      </w:r>
      <w:r w:rsidR="0041363F" w:rsidRPr="000B69CF">
        <w:rPr>
          <w:lang w:val="sk-SK"/>
        </w:rPr>
        <w:t xml:space="preserve"> </w:t>
      </w:r>
      <w:r w:rsidR="00ED08FE">
        <w:rPr>
          <w:rStyle w:val="hps"/>
          <w:lang w:val="sk-SK"/>
        </w:rPr>
        <w:t>artérií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koronárn</w:t>
      </w:r>
      <w:r w:rsidR="00ED08FE">
        <w:rPr>
          <w:rStyle w:val="hps"/>
          <w:lang w:val="sk-SK"/>
        </w:rPr>
        <w:t>ych</w:t>
      </w:r>
      <w:r w:rsidR="0041363F" w:rsidRPr="000B69CF">
        <w:rPr>
          <w:lang w:val="sk-SK"/>
        </w:rPr>
        <w:t xml:space="preserve"> </w:t>
      </w:r>
      <w:proofErr w:type="spellStart"/>
      <w:r w:rsidR="0041363F" w:rsidRPr="000B69CF">
        <w:rPr>
          <w:rStyle w:val="hps"/>
          <w:lang w:val="sk-SK"/>
        </w:rPr>
        <w:t>arteriol</w:t>
      </w:r>
      <w:proofErr w:type="spellEnd"/>
      <w:r w:rsidR="0041363F" w:rsidRPr="000B69CF">
        <w:rPr>
          <w:lang w:val="sk-SK"/>
        </w:rPr>
        <w:t xml:space="preserve">, </w:t>
      </w:r>
      <w:r w:rsidR="0041363F" w:rsidRPr="000B69CF">
        <w:rPr>
          <w:rStyle w:val="hps"/>
          <w:lang w:val="sk-SK"/>
        </w:rPr>
        <w:t>v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normálnych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a</w:t>
      </w:r>
      <w:r w:rsidR="00ED08FE">
        <w:rPr>
          <w:rStyle w:val="hps"/>
          <w:lang w:val="sk-SK"/>
        </w:rPr>
        <w:t>j v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ischemických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oblastiach.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Táto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dilatácia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zvyšuje</w:t>
      </w:r>
      <w:r w:rsidR="0041363F" w:rsidRPr="000B69CF">
        <w:rPr>
          <w:lang w:val="sk-SK"/>
        </w:rPr>
        <w:t xml:space="preserve"> </w:t>
      </w:r>
      <w:proofErr w:type="spellStart"/>
      <w:r w:rsidR="00ED08FE">
        <w:rPr>
          <w:lang w:val="sk-SK"/>
        </w:rPr>
        <w:t>myokardiálnu</w:t>
      </w:r>
      <w:proofErr w:type="spellEnd"/>
      <w:r w:rsidR="00ED08FE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dodávku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kyslíka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u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pacientov s</w:t>
      </w:r>
      <w:r w:rsidR="00ED08FE">
        <w:rPr>
          <w:rStyle w:val="hps"/>
          <w:lang w:val="sk-SK"/>
        </w:rPr>
        <w:t>o</w:t>
      </w:r>
      <w:r w:rsidR="0041363F" w:rsidRPr="000B69CF">
        <w:rPr>
          <w:lang w:val="sk-SK"/>
        </w:rPr>
        <w:t xml:space="preserve"> </w:t>
      </w:r>
      <w:proofErr w:type="spellStart"/>
      <w:r w:rsidR="0041363F" w:rsidRPr="000B69CF">
        <w:rPr>
          <w:rStyle w:val="hps"/>
          <w:lang w:val="sk-SK"/>
        </w:rPr>
        <w:t>spazm</w:t>
      </w:r>
      <w:r w:rsidR="00ED08FE">
        <w:rPr>
          <w:rStyle w:val="hps"/>
          <w:lang w:val="sk-SK"/>
        </w:rPr>
        <w:t>ami</w:t>
      </w:r>
      <w:proofErr w:type="spellEnd"/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koronárnych</w:t>
      </w:r>
      <w:r w:rsidR="0041363F" w:rsidRPr="000B69CF">
        <w:rPr>
          <w:lang w:val="sk-SK"/>
        </w:rPr>
        <w:t xml:space="preserve"> </w:t>
      </w:r>
      <w:r w:rsidR="00ED08FE">
        <w:rPr>
          <w:rStyle w:val="hps"/>
          <w:lang w:val="sk-SK"/>
        </w:rPr>
        <w:t>artérií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(</w:t>
      </w:r>
      <w:proofErr w:type="spellStart"/>
      <w:r w:rsidR="0041363F" w:rsidRPr="000B69CF">
        <w:rPr>
          <w:lang w:val="sk-SK"/>
        </w:rPr>
        <w:t>Prinzmetalova</w:t>
      </w:r>
      <w:proofErr w:type="spellEnd"/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alebo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variantná</w:t>
      </w:r>
      <w:r w:rsidR="0041363F" w:rsidRPr="000B69CF">
        <w:rPr>
          <w:lang w:val="sk-SK"/>
        </w:rPr>
        <w:t xml:space="preserve"> </w:t>
      </w:r>
      <w:r w:rsidR="0041363F" w:rsidRPr="000B69CF">
        <w:rPr>
          <w:rStyle w:val="hps"/>
          <w:lang w:val="sk-SK"/>
        </w:rPr>
        <w:t>angína</w:t>
      </w:r>
      <w:r w:rsidR="0041363F" w:rsidRPr="000B69CF">
        <w:rPr>
          <w:lang w:val="sk-SK"/>
        </w:rPr>
        <w:t xml:space="preserve"> </w:t>
      </w:r>
      <w:proofErr w:type="spellStart"/>
      <w:r w:rsidR="00ED08FE">
        <w:rPr>
          <w:rStyle w:val="hps"/>
          <w:lang w:val="sk-SK"/>
        </w:rPr>
        <w:t>pec</w:t>
      </w:r>
      <w:r w:rsidR="0041363F" w:rsidRPr="000B69CF">
        <w:rPr>
          <w:rStyle w:val="hps"/>
          <w:lang w:val="sk-SK"/>
        </w:rPr>
        <w:t>toris</w:t>
      </w:r>
      <w:proofErr w:type="spellEnd"/>
      <w:r w:rsidR="0041363F" w:rsidRPr="000B69CF">
        <w:rPr>
          <w:lang w:val="sk-SK"/>
        </w:rPr>
        <w:t>).</w:t>
      </w:r>
      <w:r w:rsidR="0041363F">
        <w:rPr>
          <w:szCs w:val="22"/>
          <w:lang w:val="sk-SK"/>
        </w:rPr>
        <w:t xml:space="preserve"> </w:t>
      </w:r>
    </w:p>
    <w:p w14:paraId="264E35D8" w14:textId="77777777" w:rsidR="00ED08FE" w:rsidRDefault="00ED08FE" w:rsidP="003D2AEB">
      <w:pPr>
        <w:rPr>
          <w:szCs w:val="22"/>
          <w:lang w:val="sk-SK"/>
        </w:rPr>
      </w:pPr>
    </w:p>
    <w:p w14:paraId="264E35D9" w14:textId="77777777" w:rsidR="003D2AEB" w:rsidRPr="00157521" w:rsidRDefault="003D2AEB" w:rsidP="003D2AEB">
      <w:pPr>
        <w:rPr>
          <w:szCs w:val="22"/>
          <w:lang w:val="sk-SK"/>
        </w:rPr>
      </w:pPr>
      <w:r w:rsidRPr="00157521">
        <w:rPr>
          <w:szCs w:val="22"/>
          <w:lang w:val="sk-SK"/>
        </w:rPr>
        <w:t>U pacientov s hypertenziou vedie dávkovanie jedenkrát denne ku klinicky signifikantnému zníženiu tlaku krvi v ľahu aj v stoji počas celého 24</w:t>
      </w:r>
      <w:r w:rsidRPr="00157521">
        <w:rPr>
          <w:szCs w:val="22"/>
          <w:lang w:val="sk-SK"/>
        </w:rPr>
        <w:noBreakHyphen/>
        <w:t xml:space="preserve">hodinového intervalu. Vzhľadom </w:t>
      </w:r>
      <w:r w:rsidR="00960B46">
        <w:rPr>
          <w:szCs w:val="22"/>
          <w:lang w:val="sk-SK"/>
        </w:rPr>
        <w:t>na</w:t>
      </w:r>
      <w:r w:rsidRPr="00157521">
        <w:rPr>
          <w:szCs w:val="22"/>
          <w:lang w:val="sk-SK"/>
        </w:rPr>
        <w:t xml:space="preserve"> pozvoľn</w:t>
      </w:r>
      <w:r w:rsidR="00960B46">
        <w:rPr>
          <w:szCs w:val="22"/>
          <w:lang w:val="sk-SK"/>
        </w:rPr>
        <w:t>ý</w:t>
      </w:r>
      <w:r w:rsidRPr="00157521">
        <w:rPr>
          <w:szCs w:val="22"/>
          <w:lang w:val="sk-SK"/>
        </w:rPr>
        <w:t xml:space="preserve"> nástup účinku nie je podávanie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spojené s akútnou hypotenziou.</w:t>
      </w:r>
    </w:p>
    <w:p w14:paraId="264E35DA" w14:textId="77777777" w:rsidR="003D2AEB" w:rsidRDefault="003D2AEB" w:rsidP="003D2AEB">
      <w:pPr>
        <w:tabs>
          <w:tab w:val="left" w:pos="864"/>
          <w:tab w:val="left" w:pos="1008"/>
        </w:tabs>
        <w:spacing w:line="240" w:lineRule="auto"/>
        <w:rPr>
          <w:iCs/>
          <w:szCs w:val="22"/>
          <w:lang w:val="sk-SK"/>
        </w:rPr>
      </w:pPr>
    </w:p>
    <w:p w14:paraId="264E35DB" w14:textId="77777777" w:rsidR="00ED08FE" w:rsidRDefault="00ED08FE" w:rsidP="003D2AEB">
      <w:pPr>
        <w:tabs>
          <w:tab w:val="left" w:pos="864"/>
          <w:tab w:val="left" w:pos="1008"/>
        </w:tabs>
        <w:spacing w:line="240" w:lineRule="auto"/>
        <w:rPr>
          <w:lang w:val="sk-SK"/>
        </w:rPr>
      </w:pPr>
      <w:r w:rsidRPr="000B69CF">
        <w:rPr>
          <w:rStyle w:val="hps"/>
          <w:lang w:val="sk-SK"/>
        </w:rPr>
        <w:t>U pacientov</w:t>
      </w:r>
      <w:r w:rsidRPr="000B69CF">
        <w:rPr>
          <w:lang w:val="sk-SK"/>
        </w:rPr>
        <w:t xml:space="preserve"> </w:t>
      </w:r>
      <w:r>
        <w:rPr>
          <w:rStyle w:val="hps"/>
          <w:lang w:val="sk-SK"/>
        </w:rPr>
        <w:t>s angí</w:t>
      </w:r>
      <w:r w:rsidRPr="000B69CF">
        <w:rPr>
          <w:rStyle w:val="hps"/>
          <w:lang w:val="sk-SK"/>
        </w:rPr>
        <w:t>nou</w:t>
      </w:r>
      <w:r w:rsidRPr="000B69CF">
        <w:rPr>
          <w:lang w:val="sk-SK"/>
        </w:rPr>
        <w:t xml:space="preserve"> </w:t>
      </w:r>
      <w:proofErr w:type="spellStart"/>
      <w:r w:rsidRPr="000B69CF">
        <w:rPr>
          <w:rStyle w:val="hps"/>
          <w:lang w:val="sk-SK"/>
        </w:rPr>
        <w:t>pectoris</w:t>
      </w:r>
      <w:proofErr w:type="spellEnd"/>
      <w:r>
        <w:rPr>
          <w:lang w:val="sk-SK"/>
        </w:rPr>
        <w:t xml:space="preserve"> </w:t>
      </w:r>
      <w:r w:rsidRPr="00ED08FE">
        <w:rPr>
          <w:rStyle w:val="hps"/>
          <w:lang w:val="sk-SK"/>
        </w:rPr>
        <w:t>zvyšuje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podávanie</w:t>
      </w:r>
      <w:r w:rsidRPr="000B69CF">
        <w:rPr>
          <w:lang w:val="sk-SK"/>
        </w:rPr>
        <w:t xml:space="preserve"> </w:t>
      </w:r>
      <w:proofErr w:type="spellStart"/>
      <w:r w:rsidRPr="00ED08FE">
        <w:rPr>
          <w:rStyle w:val="hps"/>
          <w:lang w:val="sk-SK"/>
        </w:rPr>
        <w:t>amlodipínu</w:t>
      </w:r>
      <w:proofErr w:type="spellEnd"/>
      <w:r w:rsidRPr="00ED08FE">
        <w:rPr>
          <w:rStyle w:val="hps"/>
          <w:lang w:val="sk-SK"/>
        </w:rPr>
        <w:t xml:space="preserve"> </w:t>
      </w:r>
      <w:r w:rsidRPr="000B69CF">
        <w:rPr>
          <w:rStyle w:val="hps"/>
          <w:lang w:val="sk-SK"/>
        </w:rPr>
        <w:t>raz denne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celkový</w:t>
      </w:r>
      <w:r w:rsidRPr="000B69CF">
        <w:rPr>
          <w:lang w:val="sk-SK"/>
        </w:rPr>
        <w:t xml:space="preserve"> </w:t>
      </w:r>
      <w:r>
        <w:rPr>
          <w:lang w:val="sk-SK"/>
        </w:rPr>
        <w:t xml:space="preserve">čas </w:t>
      </w:r>
      <w:r w:rsidR="00F06ABD">
        <w:rPr>
          <w:rStyle w:val="hps"/>
          <w:lang w:val="sk-SK"/>
        </w:rPr>
        <w:t>trvania záťaže</w:t>
      </w:r>
      <w:r w:rsidRPr="000B69CF">
        <w:rPr>
          <w:lang w:val="sk-SK"/>
        </w:rPr>
        <w:t xml:space="preserve">, </w:t>
      </w:r>
      <w:r w:rsidRPr="000B69CF">
        <w:rPr>
          <w:rStyle w:val="hps"/>
          <w:lang w:val="sk-SK"/>
        </w:rPr>
        <w:t>čas do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nástupu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angíny</w:t>
      </w:r>
      <w:r>
        <w:rPr>
          <w:rStyle w:val="hps"/>
          <w:lang w:val="sk-SK"/>
        </w:rPr>
        <w:t xml:space="preserve"> a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čas</w:t>
      </w:r>
      <w:r w:rsidRPr="000B69CF">
        <w:rPr>
          <w:lang w:val="sk-SK"/>
        </w:rPr>
        <w:t xml:space="preserve"> </w:t>
      </w:r>
      <w:r>
        <w:rPr>
          <w:rStyle w:val="hps"/>
          <w:lang w:val="sk-SK"/>
        </w:rPr>
        <w:t>do</w:t>
      </w:r>
      <w:r w:rsidRPr="000B69CF">
        <w:rPr>
          <w:lang w:val="sk-SK"/>
        </w:rPr>
        <w:t xml:space="preserve"> </w:t>
      </w:r>
      <w:r w:rsidR="00F06ABD">
        <w:rPr>
          <w:lang w:val="sk-SK"/>
        </w:rPr>
        <w:t xml:space="preserve">nástupu </w:t>
      </w:r>
      <w:r w:rsidRPr="000B69CF">
        <w:rPr>
          <w:rStyle w:val="hps"/>
          <w:lang w:val="sk-SK"/>
        </w:rPr>
        <w:t>1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mm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depresie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ST</w:t>
      </w:r>
      <w:r w:rsidR="00F06ABD">
        <w:rPr>
          <w:rStyle w:val="hps"/>
          <w:lang w:val="sk-SK"/>
        </w:rPr>
        <w:t xml:space="preserve"> segmentu</w:t>
      </w:r>
      <w:r w:rsidRPr="000B69CF">
        <w:rPr>
          <w:lang w:val="sk-SK"/>
        </w:rPr>
        <w:t xml:space="preserve">, </w:t>
      </w:r>
      <w:r w:rsidRPr="000B69CF">
        <w:rPr>
          <w:rStyle w:val="hps"/>
          <w:lang w:val="sk-SK"/>
        </w:rPr>
        <w:t>a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znižuje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frekvenciu</w:t>
      </w:r>
      <w:r w:rsidRPr="000B69CF">
        <w:rPr>
          <w:lang w:val="sk-SK"/>
        </w:rPr>
        <w:t xml:space="preserve"> </w:t>
      </w:r>
      <w:r w:rsidR="00F06ABD">
        <w:rPr>
          <w:lang w:val="sk-SK"/>
        </w:rPr>
        <w:t xml:space="preserve">záchvatov angíny </w:t>
      </w:r>
      <w:r w:rsidRPr="000B69CF">
        <w:rPr>
          <w:rStyle w:val="hps"/>
          <w:lang w:val="sk-SK"/>
        </w:rPr>
        <w:t>a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spotrebu</w:t>
      </w:r>
      <w:r w:rsidRPr="000B69CF">
        <w:rPr>
          <w:lang w:val="sk-SK"/>
        </w:rPr>
        <w:t xml:space="preserve"> </w:t>
      </w:r>
      <w:r w:rsidRPr="000B69CF">
        <w:rPr>
          <w:rStyle w:val="hps"/>
          <w:lang w:val="sk-SK"/>
        </w:rPr>
        <w:t>tabliet</w:t>
      </w:r>
      <w:r w:rsidRPr="000B69CF">
        <w:rPr>
          <w:lang w:val="sk-SK"/>
        </w:rPr>
        <w:t xml:space="preserve"> </w:t>
      </w:r>
      <w:proofErr w:type="spellStart"/>
      <w:r w:rsidRPr="000B69CF">
        <w:rPr>
          <w:rStyle w:val="hps"/>
          <w:lang w:val="sk-SK"/>
        </w:rPr>
        <w:t>glyceroltrinitrátu</w:t>
      </w:r>
      <w:proofErr w:type="spellEnd"/>
      <w:r w:rsidRPr="000B69CF">
        <w:rPr>
          <w:lang w:val="sk-SK"/>
        </w:rPr>
        <w:t>.</w:t>
      </w:r>
    </w:p>
    <w:p w14:paraId="264E35DC" w14:textId="77777777" w:rsidR="00ED08FE" w:rsidRPr="00ED08FE" w:rsidRDefault="00ED08FE" w:rsidP="003D2AEB">
      <w:pPr>
        <w:tabs>
          <w:tab w:val="left" w:pos="864"/>
          <w:tab w:val="left" w:pos="1008"/>
        </w:tabs>
        <w:spacing w:line="240" w:lineRule="auto"/>
        <w:rPr>
          <w:iCs/>
          <w:szCs w:val="22"/>
          <w:lang w:val="sk-SK"/>
        </w:rPr>
      </w:pPr>
    </w:p>
    <w:p w14:paraId="264E35DD" w14:textId="77777777" w:rsidR="00F06ABD" w:rsidRDefault="003D2AEB" w:rsidP="003D2AEB">
      <w:pPr>
        <w:tabs>
          <w:tab w:val="left" w:pos="864"/>
          <w:tab w:val="left" w:pos="1008"/>
        </w:tabs>
        <w:spacing w:line="240" w:lineRule="auto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Podávanie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nie je spojené so žiadnymi nepriaznivými metabolickými účinkami, ani zmenami plazmatických lipidov a je vhodné u pacientov s astmou, cukrovkou a dnou.</w:t>
      </w:r>
    </w:p>
    <w:p w14:paraId="264E35DE" w14:textId="77777777" w:rsidR="00F06ABD" w:rsidRDefault="00F06ABD" w:rsidP="003D2AEB">
      <w:pPr>
        <w:tabs>
          <w:tab w:val="left" w:pos="864"/>
          <w:tab w:val="left" w:pos="1008"/>
        </w:tabs>
        <w:spacing w:line="240" w:lineRule="auto"/>
        <w:rPr>
          <w:lang w:val="sk-SK"/>
        </w:rPr>
      </w:pPr>
    </w:p>
    <w:p w14:paraId="264E35DF" w14:textId="77777777" w:rsidR="003D2AEB" w:rsidRDefault="00F06ABD" w:rsidP="003D2AEB">
      <w:pPr>
        <w:tabs>
          <w:tab w:val="left" w:pos="864"/>
          <w:tab w:val="left" w:pos="1008"/>
        </w:tabs>
        <w:spacing w:line="240" w:lineRule="auto"/>
        <w:rPr>
          <w:lang w:val="sk-SK"/>
        </w:rPr>
      </w:pPr>
      <w:r w:rsidRPr="00732909">
        <w:rPr>
          <w:u w:val="single"/>
          <w:lang w:val="sk-SK"/>
        </w:rPr>
        <w:t>Z</w:t>
      </w:r>
      <w:r w:rsidR="0033575F" w:rsidRPr="00732909">
        <w:rPr>
          <w:u w:val="single"/>
          <w:lang w:val="sk-SK"/>
        </w:rPr>
        <w:t>lyhanie</w:t>
      </w:r>
      <w:r w:rsidRPr="00732909">
        <w:rPr>
          <w:u w:val="single"/>
          <w:lang w:val="sk-SK"/>
        </w:rPr>
        <w:t xml:space="preserve"> srdca</w:t>
      </w:r>
      <w:r w:rsidRPr="00732909">
        <w:rPr>
          <w:u w:val="single"/>
          <w:lang w:val="sk-SK"/>
        </w:rPr>
        <w:br/>
      </w:r>
      <w:r w:rsidR="00A86D94">
        <w:rPr>
          <w:lang w:val="sk-SK"/>
        </w:rPr>
        <w:t>Š</w:t>
      </w:r>
      <w:r w:rsidR="0033575F" w:rsidRPr="00F06ABD">
        <w:rPr>
          <w:lang w:val="sk-SK"/>
        </w:rPr>
        <w:t>túdie</w:t>
      </w:r>
      <w:r w:rsidR="0033575F">
        <w:rPr>
          <w:lang w:val="sk-SK"/>
        </w:rPr>
        <w:t xml:space="preserve"> </w:t>
      </w:r>
      <w:proofErr w:type="spellStart"/>
      <w:r w:rsidR="00A86D94">
        <w:rPr>
          <w:lang w:val="sk-SK"/>
        </w:rPr>
        <w:t>hemodynamiky</w:t>
      </w:r>
      <w:proofErr w:type="spellEnd"/>
      <w:r w:rsidR="00A86D94">
        <w:rPr>
          <w:lang w:val="sk-SK"/>
        </w:rPr>
        <w:t xml:space="preserve"> </w:t>
      </w:r>
      <w:r w:rsidR="0033575F">
        <w:rPr>
          <w:lang w:val="sk-SK"/>
        </w:rPr>
        <w:t>a</w:t>
      </w:r>
      <w:r w:rsidR="00A86D94">
        <w:rPr>
          <w:lang w:val="sk-SK"/>
        </w:rPr>
        <w:t> </w:t>
      </w:r>
      <w:r w:rsidR="0033575F">
        <w:rPr>
          <w:lang w:val="sk-SK"/>
        </w:rPr>
        <w:t>k</w:t>
      </w:r>
      <w:r w:rsidRPr="000B69CF">
        <w:rPr>
          <w:lang w:val="sk-SK"/>
        </w:rPr>
        <w:t>ontrolovan</w:t>
      </w:r>
      <w:r w:rsidR="0033575F">
        <w:rPr>
          <w:lang w:val="sk-SK"/>
        </w:rPr>
        <w:t>é</w:t>
      </w:r>
      <w:r w:rsidR="00A86D94">
        <w:rPr>
          <w:lang w:val="sk-SK"/>
        </w:rPr>
        <w:t xml:space="preserve">, </w:t>
      </w:r>
      <w:proofErr w:type="spellStart"/>
      <w:r w:rsidR="00166D3F">
        <w:rPr>
          <w:lang w:val="sk-SK"/>
        </w:rPr>
        <w:t>h</w:t>
      </w:r>
      <w:r w:rsidR="0033575F" w:rsidRPr="00F06ABD">
        <w:rPr>
          <w:lang w:val="sk-SK"/>
        </w:rPr>
        <w:t>emodynamické</w:t>
      </w:r>
      <w:proofErr w:type="spellEnd"/>
      <w:r w:rsidR="0033575F" w:rsidRPr="00F06ABD">
        <w:rPr>
          <w:lang w:val="sk-SK"/>
        </w:rPr>
        <w:t xml:space="preserve"> štúdie</w:t>
      </w:r>
      <w:r w:rsidR="0033575F">
        <w:rPr>
          <w:lang w:val="sk-SK"/>
        </w:rPr>
        <w:t xml:space="preserve"> a na záťaži založené k</w:t>
      </w:r>
      <w:r w:rsidRPr="000B69CF">
        <w:rPr>
          <w:lang w:val="sk-SK"/>
        </w:rPr>
        <w:t>ontrolovan</w:t>
      </w:r>
      <w:r w:rsidR="0033575F">
        <w:rPr>
          <w:lang w:val="sk-SK"/>
        </w:rPr>
        <w:t>é</w:t>
      </w:r>
      <w:r w:rsidRPr="000B69CF">
        <w:rPr>
          <w:lang w:val="sk-SK"/>
        </w:rPr>
        <w:t xml:space="preserve"> klinick</w:t>
      </w:r>
      <w:r w:rsidR="0033575F">
        <w:rPr>
          <w:lang w:val="sk-SK"/>
        </w:rPr>
        <w:t>é</w:t>
      </w:r>
      <w:r w:rsidRPr="000B69CF">
        <w:rPr>
          <w:lang w:val="sk-SK"/>
        </w:rPr>
        <w:t xml:space="preserve"> štúdi</w:t>
      </w:r>
      <w:r w:rsidR="0033575F">
        <w:rPr>
          <w:lang w:val="sk-SK"/>
        </w:rPr>
        <w:t>e</w:t>
      </w:r>
      <w:r w:rsidRPr="000B69CF">
        <w:rPr>
          <w:lang w:val="sk-SK"/>
        </w:rPr>
        <w:t xml:space="preserve"> u pacientov so srdcovým zlyhaním </w:t>
      </w:r>
      <w:r w:rsidR="0033575F">
        <w:rPr>
          <w:lang w:val="sk-SK"/>
        </w:rPr>
        <w:t xml:space="preserve">NYHA </w:t>
      </w:r>
      <w:r w:rsidRPr="000B69CF">
        <w:rPr>
          <w:lang w:val="sk-SK"/>
        </w:rPr>
        <w:t>triedy II-IV</w:t>
      </w:r>
      <w:r w:rsidR="0033575F">
        <w:rPr>
          <w:lang w:val="sk-SK"/>
        </w:rPr>
        <w:t xml:space="preserve"> preukázali</w:t>
      </w:r>
      <w:r w:rsidR="00A86D94">
        <w:rPr>
          <w:lang w:val="sk-SK"/>
        </w:rPr>
        <w:t>,</w:t>
      </w:r>
      <w:r w:rsidR="0033575F">
        <w:rPr>
          <w:lang w:val="sk-SK"/>
        </w:rPr>
        <w:t xml:space="preserve"> na základe</w:t>
      </w:r>
      <w:r w:rsidRPr="000B69CF">
        <w:rPr>
          <w:lang w:val="sk-SK"/>
        </w:rPr>
        <w:t xml:space="preserve"> merania </w:t>
      </w:r>
      <w:r w:rsidR="0033575F">
        <w:rPr>
          <w:lang w:val="sk-SK"/>
        </w:rPr>
        <w:t xml:space="preserve">záťažovej </w:t>
      </w:r>
      <w:r w:rsidRPr="000B69CF">
        <w:rPr>
          <w:lang w:val="sk-SK"/>
        </w:rPr>
        <w:t xml:space="preserve">tolerancie, </w:t>
      </w:r>
      <w:proofErr w:type="spellStart"/>
      <w:r w:rsidRPr="000B69CF">
        <w:rPr>
          <w:lang w:val="sk-SK"/>
        </w:rPr>
        <w:t>ejekčnej</w:t>
      </w:r>
      <w:proofErr w:type="spellEnd"/>
      <w:r w:rsidRPr="000B69CF">
        <w:rPr>
          <w:lang w:val="sk-SK"/>
        </w:rPr>
        <w:t xml:space="preserve"> frakcie ľavej komory a klinickej </w:t>
      </w:r>
      <w:proofErr w:type="spellStart"/>
      <w:r w:rsidRPr="000B69CF">
        <w:rPr>
          <w:lang w:val="sk-SK"/>
        </w:rPr>
        <w:t>symptomatológie</w:t>
      </w:r>
      <w:proofErr w:type="spellEnd"/>
      <w:r w:rsidR="0033575F">
        <w:rPr>
          <w:lang w:val="sk-SK"/>
        </w:rPr>
        <w:t xml:space="preserve">, že </w:t>
      </w:r>
      <w:proofErr w:type="spellStart"/>
      <w:r w:rsidR="0033575F" w:rsidRPr="00F06ABD">
        <w:rPr>
          <w:lang w:val="sk-SK"/>
        </w:rPr>
        <w:t>amlodipín</w:t>
      </w:r>
      <w:proofErr w:type="spellEnd"/>
      <w:r w:rsidR="0033575F" w:rsidRPr="00F06ABD">
        <w:rPr>
          <w:lang w:val="sk-SK"/>
        </w:rPr>
        <w:t xml:space="preserve"> neviedol ku klinickému zhoršeniu</w:t>
      </w:r>
      <w:r w:rsidRPr="000B69CF">
        <w:rPr>
          <w:lang w:val="sk-SK"/>
        </w:rPr>
        <w:t>.</w:t>
      </w:r>
      <w:r w:rsidRPr="000B69CF">
        <w:rPr>
          <w:lang w:val="sk-SK"/>
        </w:rPr>
        <w:br/>
        <w:t>Placebom kontrolovaná štúdia (PRAISE)</w:t>
      </w:r>
      <w:r w:rsidR="00AC0FB7">
        <w:rPr>
          <w:lang w:val="sk-SK"/>
        </w:rPr>
        <w:t>,</w:t>
      </w:r>
      <w:r w:rsidRPr="000B69CF">
        <w:rPr>
          <w:lang w:val="sk-SK"/>
        </w:rPr>
        <w:t xml:space="preserve"> navrhnutá na hodnotenie pacientov </w:t>
      </w:r>
      <w:r w:rsidR="00AC0FB7">
        <w:rPr>
          <w:lang w:val="sk-SK"/>
        </w:rPr>
        <w:t xml:space="preserve">so </w:t>
      </w:r>
      <w:r w:rsidR="00AC0FB7" w:rsidRPr="00F06ABD">
        <w:rPr>
          <w:lang w:val="sk-SK"/>
        </w:rPr>
        <w:t>srdcovým zlyhaním</w:t>
      </w:r>
      <w:r w:rsidRPr="000B69CF">
        <w:rPr>
          <w:lang w:val="sk-SK"/>
        </w:rPr>
        <w:t xml:space="preserve"> NYHA </w:t>
      </w:r>
      <w:r w:rsidR="00AC0FB7">
        <w:rPr>
          <w:lang w:val="sk-SK"/>
        </w:rPr>
        <w:t xml:space="preserve">triedy </w:t>
      </w:r>
      <w:r w:rsidRPr="000B69CF">
        <w:rPr>
          <w:lang w:val="sk-SK"/>
        </w:rPr>
        <w:t>III-IV</w:t>
      </w:r>
      <w:r w:rsidR="00AC0FB7">
        <w:rPr>
          <w:lang w:val="sk-SK"/>
        </w:rPr>
        <w:t>, ktorí</w:t>
      </w:r>
      <w:r w:rsidRPr="000B69CF">
        <w:rPr>
          <w:lang w:val="sk-SK"/>
        </w:rPr>
        <w:t xml:space="preserve"> </w:t>
      </w:r>
      <w:r w:rsidR="00AC0FB7">
        <w:rPr>
          <w:lang w:val="sk-SK"/>
        </w:rPr>
        <w:t xml:space="preserve">sú </w:t>
      </w:r>
      <w:r w:rsidRPr="000B69CF">
        <w:rPr>
          <w:lang w:val="sk-SK"/>
        </w:rPr>
        <w:t>liečen</w:t>
      </w:r>
      <w:r w:rsidR="00AC0FB7">
        <w:rPr>
          <w:lang w:val="sk-SK"/>
        </w:rPr>
        <w:t>í</w:t>
      </w:r>
      <w:r w:rsidRPr="000B69CF">
        <w:rPr>
          <w:lang w:val="sk-SK"/>
        </w:rPr>
        <w:t xml:space="preserve"> </w:t>
      </w:r>
      <w:proofErr w:type="spellStart"/>
      <w:r w:rsidRPr="000B69CF">
        <w:rPr>
          <w:lang w:val="sk-SK"/>
        </w:rPr>
        <w:t>digoxínom</w:t>
      </w:r>
      <w:proofErr w:type="spellEnd"/>
      <w:r w:rsidR="00AC0FB7">
        <w:rPr>
          <w:lang w:val="sk-SK"/>
        </w:rPr>
        <w:t>,</w:t>
      </w:r>
      <w:r w:rsidRPr="000B69CF">
        <w:rPr>
          <w:lang w:val="sk-SK"/>
        </w:rPr>
        <w:t xml:space="preserve"> diuretik</w:t>
      </w:r>
      <w:r w:rsidR="00AC0FB7">
        <w:rPr>
          <w:lang w:val="sk-SK"/>
        </w:rPr>
        <w:t>ami</w:t>
      </w:r>
      <w:r w:rsidRPr="000B69CF">
        <w:rPr>
          <w:lang w:val="sk-SK"/>
        </w:rPr>
        <w:t xml:space="preserve"> a ACE inhibítor</w:t>
      </w:r>
      <w:r w:rsidR="00AC0FB7">
        <w:rPr>
          <w:lang w:val="sk-SK"/>
        </w:rPr>
        <w:t>mi,</w:t>
      </w:r>
      <w:r w:rsidRPr="000B69CF">
        <w:rPr>
          <w:lang w:val="sk-SK"/>
        </w:rPr>
        <w:t xml:space="preserve"> </w:t>
      </w:r>
      <w:r w:rsidR="00AC0FB7">
        <w:rPr>
          <w:lang w:val="sk-SK"/>
        </w:rPr>
        <w:t>pre</w:t>
      </w:r>
      <w:r w:rsidRPr="000B69CF">
        <w:rPr>
          <w:lang w:val="sk-SK"/>
        </w:rPr>
        <w:t xml:space="preserve">ukázala, že </w:t>
      </w:r>
      <w:proofErr w:type="spellStart"/>
      <w:r w:rsidRPr="000B69CF">
        <w:rPr>
          <w:lang w:val="sk-SK"/>
        </w:rPr>
        <w:t>amlodipín</w:t>
      </w:r>
      <w:proofErr w:type="spellEnd"/>
      <w:r w:rsidRPr="000B69CF">
        <w:rPr>
          <w:lang w:val="sk-SK"/>
        </w:rPr>
        <w:t xml:space="preserve"> neviedol k zvýšeniu rizika mortality alebo kombinovan</w:t>
      </w:r>
      <w:r w:rsidR="00AC0FB7">
        <w:rPr>
          <w:lang w:val="sk-SK"/>
        </w:rPr>
        <w:t>ej</w:t>
      </w:r>
      <w:r w:rsidRPr="000B69CF">
        <w:rPr>
          <w:lang w:val="sk-SK"/>
        </w:rPr>
        <w:t xml:space="preserve"> mortality a morbidity pri srdcovom zlyhaní.</w:t>
      </w:r>
      <w:r w:rsidRPr="000B69CF">
        <w:rPr>
          <w:lang w:val="sk-SK"/>
        </w:rPr>
        <w:br/>
        <w:t>V nadväz</w:t>
      </w:r>
      <w:r w:rsidR="008F3A44">
        <w:rPr>
          <w:lang w:val="sk-SK"/>
        </w:rPr>
        <w:t>ujúcej</w:t>
      </w:r>
      <w:r w:rsidRPr="000B69CF">
        <w:rPr>
          <w:lang w:val="sk-SK"/>
        </w:rPr>
        <w:t xml:space="preserve"> dlhodobej placebom kontrolovanej štúdii (PRAISE-2) s </w:t>
      </w:r>
      <w:proofErr w:type="spellStart"/>
      <w:r w:rsidRPr="000B69CF">
        <w:rPr>
          <w:lang w:val="sk-SK"/>
        </w:rPr>
        <w:t>amlodipínom</w:t>
      </w:r>
      <w:proofErr w:type="spellEnd"/>
      <w:r w:rsidRPr="000B69CF">
        <w:rPr>
          <w:lang w:val="sk-SK"/>
        </w:rPr>
        <w:t xml:space="preserve"> u pacientov s</w:t>
      </w:r>
      <w:r w:rsidR="008F3A44">
        <w:rPr>
          <w:lang w:val="sk-SK"/>
        </w:rPr>
        <w:t xml:space="preserve">o </w:t>
      </w:r>
      <w:r w:rsidR="008F3A44" w:rsidRPr="00F06ABD">
        <w:rPr>
          <w:lang w:val="sk-SK"/>
        </w:rPr>
        <w:lastRenderedPageBreak/>
        <w:t>srdcovým zlyhaním</w:t>
      </w:r>
      <w:r w:rsidR="008F3A44">
        <w:rPr>
          <w:lang w:val="sk-SK"/>
        </w:rPr>
        <w:t xml:space="preserve"> </w:t>
      </w:r>
      <w:r w:rsidRPr="000B69CF">
        <w:rPr>
          <w:lang w:val="sk-SK"/>
        </w:rPr>
        <w:t xml:space="preserve">NYHA </w:t>
      </w:r>
      <w:r w:rsidR="008F3A44">
        <w:rPr>
          <w:lang w:val="sk-SK"/>
        </w:rPr>
        <w:t>triedy</w:t>
      </w:r>
      <w:r w:rsidR="008F3A44" w:rsidRPr="00F06ABD">
        <w:rPr>
          <w:lang w:val="sk-SK"/>
        </w:rPr>
        <w:t xml:space="preserve"> </w:t>
      </w:r>
      <w:r w:rsidRPr="000B69CF">
        <w:rPr>
          <w:lang w:val="sk-SK"/>
        </w:rPr>
        <w:t>III a IV bez klinických príznakov alebo objektívnych nálezov</w:t>
      </w:r>
      <w:r w:rsidR="008F3A44">
        <w:rPr>
          <w:lang w:val="sk-SK"/>
        </w:rPr>
        <w:t>,</w:t>
      </w:r>
      <w:r w:rsidRPr="000B69CF">
        <w:rPr>
          <w:lang w:val="sk-SK"/>
        </w:rPr>
        <w:t xml:space="preserve"> naznačujúcich základné ischemick</w:t>
      </w:r>
      <w:r w:rsidR="008F3A44">
        <w:rPr>
          <w:lang w:val="sk-SK"/>
        </w:rPr>
        <w:t>é</w:t>
      </w:r>
      <w:r w:rsidRPr="000B69CF">
        <w:rPr>
          <w:lang w:val="sk-SK"/>
        </w:rPr>
        <w:t xml:space="preserve"> </w:t>
      </w:r>
      <w:r w:rsidR="008F3A44">
        <w:rPr>
          <w:lang w:val="sk-SK"/>
        </w:rPr>
        <w:t>o</w:t>
      </w:r>
      <w:r w:rsidRPr="000B69CF">
        <w:rPr>
          <w:lang w:val="sk-SK"/>
        </w:rPr>
        <w:t>chor</w:t>
      </w:r>
      <w:r w:rsidR="008F3A44">
        <w:rPr>
          <w:lang w:val="sk-SK"/>
        </w:rPr>
        <w:t>enie</w:t>
      </w:r>
      <w:r w:rsidRPr="000B69CF">
        <w:rPr>
          <w:lang w:val="sk-SK"/>
        </w:rPr>
        <w:t xml:space="preserve">, </w:t>
      </w:r>
      <w:r w:rsidR="008F3A44">
        <w:rPr>
          <w:lang w:val="sk-SK"/>
        </w:rPr>
        <w:t>ktorým boli podávané</w:t>
      </w:r>
      <w:r w:rsidRPr="000B69CF">
        <w:rPr>
          <w:lang w:val="sk-SK"/>
        </w:rPr>
        <w:t xml:space="preserve"> stabiln</w:t>
      </w:r>
      <w:r w:rsidR="008F3A44">
        <w:rPr>
          <w:lang w:val="sk-SK"/>
        </w:rPr>
        <w:t>é</w:t>
      </w:r>
      <w:r w:rsidRPr="000B69CF">
        <w:rPr>
          <w:lang w:val="sk-SK"/>
        </w:rPr>
        <w:t xml:space="preserve"> dávk</w:t>
      </w:r>
      <w:r w:rsidR="008F3A44">
        <w:rPr>
          <w:lang w:val="sk-SK"/>
        </w:rPr>
        <w:t>y</w:t>
      </w:r>
      <w:r w:rsidRPr="000B69CF">
        <w:rPr>
          <w:lang w:val="sk-SK"/>
        </w:rPr>
        <w:t xml:space="preserve"> ACE inhibítorov, </w:t>
      </w:r>
      <w:proofErr w:type="spellStart"/>
      <w:r w:rsidRPr="000B69CF">
        <w:rPr>
          <w:lang w:val="sk-SK"/>
        </w:rPr>
        <w:t>digitálisu</w:t>
      </w:r>
      <w:proofErr w:type="spellEnd"/>
      <w:r w:rsidRPr="000B69CF">
        <w:rPr>
          <w:lang w:val="sk-SK"/>
        </w:rPr>
        <w:t xml:space="preserve"> a diuretík, nemal </w:t>
      </w:r>
      <w:proofErr w:type="spellStart"/>
      <w:r w:rsidRPr="000B69CF">
        <w:rPr>
          <w:lang w:val="sk-SK"/>
        </w:rPr>
        <w:t>amlodipín</w:t>
      </w:r>
      <w:proofErr w:type="spellEnd"/>
      <w:r w:rsidRPr="000B69CF">
        <w:rPr>
          <w:lang w:val="sk-SK"/>
        </w:rPr>
        <w:t xml:space="preserve"> </w:t>
      </w:r>
      <w:r w:rsidR="008F3A44">
        <w:rPr>
          <w:lang w:val="sk-SK"/>
        </w:rPr>
        <w:t xml:space="preserve">žiaden </w:t>
      </w:r>
      <w:r w:rsidRPr="000B69CF">
        <w:rPr>
          <w:lang w:val="sk-SK"/>
        </w:rPr>
        <w:t xml:space="preserve">účinok na celkovú kardiovaskulárnu mortalitu. V tej istej populácii bol </w:t>
      </w:r>
      <w:proofErr w:type="spellStart"/>
      <w:r w:rsidRPr="000B69CF">
        <w:rPr>
          <w:lang w:val="sk-SK"/>
        </w:rPr>
        <w:t>amlodipín</w:t>
      </w:r>
      <w:proofErr w:type="spellEnd"/>
      <w:r w:rsidRPr="000B69CF">
        <w:rPr>
          <w:lang w:val="sk-SK"/>
        </w:rPr>
        <w:t xml:space="preserve"> sp</w:t>
      </w:r>
      <w:r w:rsidR="008F3A44">
        <w:rPr>
          <w:lang w:val="sk-SK"/>
        </w:rPr>
        <w:t>á</w:t>
      </w:r>
      <w:r w:rsidRPr="000B69CF">
        <w:rPr>
          <w:lang w:val="sk-SK"/>
        </w:rPr>
        <w:t>j</w:t>
      </w:r>
      <w:r w:rsidR="008F3A44">
        <w:rPr>
          <w:lang w:val="sk-SK"/>
        </w:rPr>
        <w:t>a</w:t>
      </w:r>
      <w:r w:rsidRPr="000B69CF">
        <w:rPr>
          <w:lang w:val="sk-SK"/>
        </w:rPr>
        <w:t>ný so zvýšeným počtom hlásení pľúcneho edému.</w:t>
      </w:r>
    </w:p>
    <w:p w14:paraId="264E35E0" w14:textId="77777777" w:rsidR="00F06ABD" w:rsidRPr="00F06ABD" w:rsidRDefault="00F06ABD" w:rsidP="003D2AEB">
      <w:pPr>
        <w:tabs>
          <w:tab w:val="left" w:pos="864"/>
          <w:tab w:val="left" w:pos="1008"/>
        </w:tabs>
        <w:spacing w:line="240" w:lineRule="auto"/>
        <w:rPr>
          <w:iCs/>
          <w:szCs w:val="22"/>
          <w:lang w:val="sk-SK"/>
        </w:rPr>
      </w:pPr>
    </w:p>
    <w:p w14:paraId="264E35E1" w14:textId="77777777" w:rsidR="000476E1" w:rsidRPr="003F7DD0" w:rsidRDefault="000476E1" w:rsidP="000476E1">
      <w:pPr>
        <w:suppressAutoHyphens/>
        <w:autoSpaceDE w:val="0"/>
        <w:autoSpaceDN w:val="0"/>
        <w:adjustRightInd w:val="0"/>
        <w:rPr>
          <w:i/>
          <w:iCs/>
          <w:szCs w:val="22"/>
          <w:lang w:val="sk-SK"/>
        </w:rPr>
      </w:pPr>
      <w:proofErr w:type="spellStart"/>
      <w:r w:rsidRPr="003F7DD0">
        <w:rPr>
          <w:i/>
          <w:iCs/>
          <w:szCs w:val="22"/>
          <w:lang w:val="sk-SK"/>
        </w:rPr>
        <w:t>Antihypertenzívna</w:t>
      </w:r>
      <w:proofErr w:type="spellEnd"/>
      <w:r w:rsidRPr="003F7DD0">
        <w:rPr>
          <w:i/>
          <w:iCs/>
          <w:szCs w:val="22"/>
          <w:lang w:val="sk-SK"/>
        </w:rPr>
        <w:t xml:space="preserve"> liečba a</w:t>
      </w:r>
      <w:r w:rsidR="00E07F47">
        <w:rPr>
          <w:i/>
          <w:iCs/>
          <w:szCs w:val="22"/>
          <w:lang w:val="sk-SK"/>
        </w:rPr>
        <w:t xml:space="preserve"> </w:t>
      </w:r>
      <w:r w:rsidRPr="003F7DD0">
        <w:rPr>
          <w:i/>
          <w:iCs/>
          <w:szCs w:val="22"/>
          <w:lang w:val="sk-SK"/>
        </w:rPr>
        <w:t>liečba na znižovanie tukov zameraná na prevenciu infarktu myokardu (ALLHAT)</w:t>
      </w:r>
    </w:p>
    <w:p w14:paraId="264E35E2" w14:textId="77777777" w:rsidR="000476E1" w:rsidRPr="00157521" w:rsidRDefault="000476E1" w:rsidP="000476E1">
      <w:p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157521">
        <w:rPr>
          <w:szCs w:val="22"/>
          <w:lang w:val="sk-SK"/>
        </w:rPr>
        <w:t>Randomizovaná</w:t>
      </w:r>
      <w:proofErr w:type="spellEnd"/>
      <w:r w:rsidRPr="00157521">
        <w:rPr>
          <w:szCs w:val="22"/>
          <w:lang w:val="sk-SK"/>
        </w:rPr>
        <w:t xml:space="preserve"> dvojito</w:t>
      </w:r>
      <w:r w:rsidRPr="00157521">
        <w:rPr>
          <w:szCs w:val="22"/>
          <w:lang w:val="sk-SK"/>
        </w:rPr>
        <w:noBreakHyphen/>
        <w:t xml:space="preserve">zaslepená </w:t>
      </w:r>
      <w:proofErr w:type="spellStart"/>
      <w:r w:rsidRPr="00157521">
        <w:rPr>
          <w:szCs w:val="22"/>
          <w:lang w:val="sk-SK"/>
        </w:rPr>
        <w:t>morbiditno</w:t>
      </w:r>
      <w:proofErr w:type="spellEnd"/>
      <w:r w:rsidRPr="00157521">
        <w:rPr>
          <w:szCs w:val="22"/>
          <w:lang w:val="sk-SK"/>
        </w:rPr>
        <w:noBreakHyphen/>
        <w:t xml:space="preserve">mortalitná štúdia nazvaná Klinické skúšanie zamerané na </w:t>
      </w:r>
      <w:proofErr w:type="spellStart"/>
      <w:r w:rsidRPr="00157521">
        <w:rPr>
          <w:szCs w:val="22"/>
          <w:lang w:val="sk-SK"/>
        </w:rPr>
        <w:t>antihypertenznú</w:t>
      </w:r>
      <w:proofErr w:type="spellEnd"/>
      <w:r w:rsidRPr="00157521">
        <w:rPr>
          <w:szCs w:val="22"/>
          <w:lang w:val="sk-SK"/>
        </w:rPr>
        <w:t xml:space="preserve"> a </w:t>
      </w:r>
      <w:proofErr w:type="spellStart"/>
      <w:r w:rsidRPr="00157521">
        <w:rPr>
          <w:szCs w:val="22"/>
          <w:lang w:val="sk-SK"/>
        </w:rPr>
        <w:t>hypolipidemickú</w:t>
      </w:r>
      <w:proofErr w:type="spellEnd"/>
      <w:r w:rsidRPr="00157521">
        <w:rPr>
          <w:szCs w:val="22"/>
          <w:lang w:val="sk-SK"/>
        </w:rPr>
        <w:t xml:space="preserve"> liečbu za účelom prevencie infarktu myokardu (</w:t>
      </w:r>
      <w:proofErr w:type="spellStart"/>
      <w:r w:rsidRPr="00157521">
        <w:rPr>
          <w:szCs w:val="22"/>
          <w:lang w:val="sk-SK"/>
        </w:rPr>
        <w:t>Antihypertensive</w:t>
      </w:r>
      <w:proofErr w:type="spellEnd"/>
      <w:r w:rsidRPr="00157521">
        <w:rPr>
          <w:szCs w:val="22"/>
          <w:lang w:val="sk-SK"/>
        </w:rPr>
        <w:t xml:space="preserve"> and Lipid-</w:t>
      </w:r>
      <w:proofErr w:type="spellStart"/>
      <w:r w:rsidRPr="00157521">
        <w:rPr>
          <w:szCs w:val="22"/>
          <w:lang w:val="sk-SK"/>
        </w:rPr>
        <w:t>Lowering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Treatment</w:t>
      </w:r>
      <w:proofErr w:type="spellEnd"/>
      <w:r w:rsidRPr="00157521">
        <w:rPr>
          <w:szCs w:val="22"/>
          <w:lang w:val="sk-SK"/>
        </w:rPr>
        <w:t xml:space="preserve"> to </w:t>
      </w:r>
      <w:proofErr w:type="spellStart"/>
      <w:r w:rsidRPr="00157521">
        <w:rPr>
          <w:szCs w:val="22"/>
          <w:lang w:val="sk-SK"/>
        </w:rPr>
        <w:t>Prevent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Heart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Attack</w:t>
      </w:r>
      <w:proofErr w:type="spellEnd"/>
      <w:r w:rsidRPr="00157521">
        <w:rPr>
          <w:szCs w:val="22"/>
          <w:lang w:val="sk-SK"/>
        </w:rPr>
        <w:t xml:space="preserve"> Trial, ALLHAT) bola vykonaná na porovnanie terapie novšími liekmi: </w:t>
      </w:r>
      <w:proofErr w:type="spellStart"/>
      <w:r w:rsidRPr="00157521">
        <w:rPr>
          <w:szCs w:val="22"/>
          <w:lang w:val="sk-SK"/>
        </w:rPr>
        <w:t>amlodipínom</w:t>
      </w:r>
      <w:proofErr w:type="spellEnd"/>
      <w:r w:rsidRPr="00157521">
        <w:rPr>
          <w:szCs w:val="22"/>
          <w:lang w:val="sk-SK"/>
        </w:rPr>
        <w:t xml:space="preserve"> 2,5 – 10 mg/deň (</w:t>
      </w:r>
      <w:proofErr w:type="spellStart"/>
      <w:r w:rsidRPr="00157521">
        <w:rPr>
          <w:szCs w:val="22"/>
          <w:lang w:val="sk-SK"/>
        </w:rPr>
        <w:t>blokátor</w:t>
      </w:r>
      <w:proofErr w:type="spellEnd"/>
      <w:r w:rsidRPr="00157521">
        <w:rPr>
          <w:szCs w:val="22"/>
          <w:lang w:val="sk-SK"/>
        </w:rPr>
        <w:t xml:space="preserve"> kalciového kanála) alebo </w:t>
      </w:r>
      <w:proofErr w:type="spellStart"/>
      <w:r w:rsidRPr="00157521">
        <w:rPr>
          <w:szCs w:val="22"/>
          <w:lang w:val="sk-SK"/>
        </w:rPr>
        <w:t>lizinoprilom</w:t>
      </w:r>
      <w:proofErr w:type="spellEnd"/>
      <w:r w:rsidRPr="00157521">
        <w:rPr>
          <w:szCs w:val="22"/>
          <w:lang w:val="sk-SK"/>
        </w:rPr>
        <w:t xml:space="preserve"> 10 – 40 mg/deň (ACE inhibítor) ako liekov prvej voľby s liečbou </w:t>
      </w:r>
      <w:proofErr w:type="spellStart"/>
      <w:r w:rsidRPr="00157521">
        <w:rPr>
          <w:szCs w:val="22"/>
          <w:lang w:val="sk-SK"/>
        </w:rPr>
        <w:t>tiazidovým</w:t>
      </w:r>
      <w:proofErr w:type="spellEnd"/>
      <w:r w:rsidRPr="00157521">
        <w:rPr>
          <w:szCs w:val="22"/>
          <w:lang w:val="sk-SK"/>
        </w:rPr>
        <w:t xml:space="preserve"> diuretikom </w:t>
      </w:r>
      <w:proofErr w:type="spellStart"/>
      <w:r w:rsidRPr="00157521">
        <w:rPr>
          <w:szCs w:val="22"/>
          <w:lang w:val="sk-SK"/>
        </w:rPr>
        <w:t>chlórtalidónom</w:t>
      </w:r>
      <w:proofErr w:type="spellEnd"/>
      <w:r w:rsidRPr="00157521">
        <w:rPr>
          <w:szCs w:val="22"/>
          <w:lang w:val="sk-SK"/>
        </w:rPr>
        <w:t xml:space="preserve"> 12,5 – 25 mg/deň pri miernej až stredne závažnej hypertenzii.</w:t>
      </w:r>
    </w:p>
    <w:p w14:paraId="264E35E3" w14:textId="77777777" w:rsidR="000476E1" w:rsidRPr="00157521" w:rsidRDefault="000476E1" w:rsidP="000476E1">
      <w:pPr>
        <w:autoSpaceDE w:val="0"/>
        <w:autoSpaceDN w:val="0"/>
        <w:adjustRightInd w:val="0"/>
        <w:rPr>
          <w:szCs w:val="22"/>
          <w:lang w:val="sk-SK"/>
        </w:rPr>
      </w:pPr>
    </w:p>
    <w:p w14:paraId="264E35E4" w14:textId="77777777" w:rsidR="000476E1" w:rsidRPr="00157521" w:rsidRDefault="000476E1" w:rsidP="000476E1">
      <w:pPr>
        <w:autoSpaceDE w:val="0"/>
        <w:autoSpaceDN w:val="0"/>
        <w:adjustRightInd w:val="0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Celkovo bolo </w:t>
      </w:r>
      <w:proofErr w:type="spellStart"/>
      <w:r w:rsidRPr="00157521">
        <w:rPr>
          <w:szCs w:val="22"/>
          <w:lang w:val="sk-SK"/>
        </w:rPr>
        <w:t>randomizovaných</w:t>
      </w:r>
      <w:proofErr w:type="spellEnd"/>
      <w:r w:rsidRPr="00157521">
        <w:rPr>
          <w:szCs w:val="22"/>
          <w:lang w:val="sk-SK"/>
        </w:rPr>
        <w:t xml:space="preserve"> 33 357 pacientov s hypertenziou vo veku 55 rokov alebo starších, ktorí pokračovali v liečbe v priemere 4,9 roka. Pacienti mali aspoň jeden ďalší rizikový faktor koronárnej choroby srdca (</w:t>
      </w:r>
      <w:proofErr w:type="spellStart"/>
      <w:r w:rsidRPr="00157521">
        <w:rPr>
          <w:szCs w:val="22"/>
          <w:lang w:val="sk-SK"/>
        </w:rPr>
        <w:t>Coronary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Heart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Disease</w:t>
      </w:r>
      <w:proofErr w:type="spellEnd"/>
      <w:r w:rsidRPr="00157521">
        <w:rPr>
          <w:szCs w:val="22"/>
          <w:lang w:val="sk-SK"/>
        </w:rPr>
        <w:t xml:space="preserve">, CHD) vrátane prekonaného infarktu myokardu alebo mozgovej mŕtvice (&gt; 6 mesiacov pred zaradením do štúdie) alebo dokumentované iné </w:t>
      </w:r>
      <w:proofErr w:type="spellStart"/>
      <w:r w:rsidRPr="00157521">
        <w:rPr>
          <w:szCs w:val="22"/>
          <w:lang w:val="sk-SK"/>
        </w:rPr>
        <w:t>aterosklerotické</w:t>
      </w:r>
      <w:proofErr w:type="spellEnd"/>
      <w:r w:rsidRPr="00157521">
        <w:rPr>
          <w:szCs w:val="22"/>
          <w:lang w:val="sk-SK"/>
        </w:rPr>
        <w:t xml:space="preserve"> kardiovaskulárne ochorenie (celkovo 51,5 %), diabetes 2. typu (36,1 %), HDL cholesterol &lt; 35 mg/dl = 0,91 mmol/l (11,6 %), hypertrofiu ľavej komory diagnostikovanú pomocou elektrokardiogramu alebo </w:t>
      </w:r>
      <w:proofErr w:type="spellStart"/>
      <w:r w:rsidRPr="00157521">
        <w:rPr>
          <w:szCs w:val="22"/>
          <w:lang w:val="sk-SK"/>
        </w:rPr>
        <w:t>echokardiograficky</w:t>
      </w:r>
      <w:proofErr w:type="spellEnd"/>
      <w:r w:rsidRPr="00157521">
        <w:rPr>
          <w:szCs w:val="22"/>
          <w:lang w:val="sk-SK"/>
        </w:rPr>
        <w:t xml:space="preserve"> (20,9 %), fajčenie cigariet v súčasnosti (21,9 %).</w:t>
      </w:r>
    </w:p>
    <w:p w14:paraId="264E35E5" w14:textId="77777777" w:rsidR="000476E1" w:rsidRPr="00157521" w:rsidRDefault="000476E1" w:rsidP="000476E1">
      <w:pPr>
        <w:autoSpaceDE w:val="0"/>
        <w:autoSpaceDN w:val="0"/>
        <w:adjustRightInd w:val="0"/>
        <w:rPr>
          <w:szCs w:val="22"/>
          <w:lang w:val="sk-SK"/>
        </w:rPr>
      </w:pPr>
    </w:p>
    <w:p w14:paraId="264E35E6" w14:textId="77777777" w:rsidR="000476E1" w:rsidRPr="00157521" w:rsidRDefault="000476E1" w:rsidP="000476E1">
      <w:pPr>
        <w:autoSpaceDE w:val="0"/>
        <w:autoSpaceDN w:val="0"/>
        <w:adjustRightInd w:val="0"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Primárny koncový bod bol kombináciou fatálne končiacej CHD alebo nefatálneho infarktu myokardu. V primárnom koncovom bode nebol signifikantný rozdiel medzi liečbou </w:t>
      </w:r>
      <w:proofErr w:type="spellStart"/>
      <w:r w:rsidRPr="00157521">
        <w:rPr>
          <w:szCs w:val="22"/>
          <w:lang w:val="sk-SK"/>
        </w:rPr>
        <w:t>amlodipínom</w:t>
      </w:r>
      <w:proofErr w:type="spellEnd"/>
      <w:r w:rsidRPr="00157521">
        <w:rPr>
          <w:szCs w:val="22"/>
          <w:lang w:val="sk-SK"/>
        </w:rPr>
        <w:t xml:space="preserve"> a liečbou </w:t>
      </w:r>
      <w:proofErr w:type="spellStart"/>
      <w:r w:rsidRPr="00157521">
        <w:rPr>
          <w:szCs w:val="22"/>
          <w:lang w:val="sk-SK"/>
        </w:rPr>
        <w:t>chlórtalidónom</w:t>
      </w:r>
      <w:proofErr w:type="spellEnd"/>
      <w:r w:rsidRPr="00157521">
        <w:rPr>
          <w:szCs w:val="22"/>
          <w:lang w:val="sk-SK"/>
        </w:rPr>
        <w:t xml:space="preserve">: RR 0,98 95 % IS [0,90 – 1,07] p = 0,65. </w:t>
      </w:r>
      <w:r w:rsidR="00643794" w:rsidRPr="000B69CF">
        <w:rPr>
          <w:rStyle w:val="hps"/>
          <w:lang w:val="sk-SK"/>
        </w:rPr>
        <w:t>Medzi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sekundárny</w:t>
      </w:r>
      <w:r w:rsidR="00A06B8E">
        <w:rPr>
          <w:rStyle w:val="hps"/>
          <w:lang w:val="sk-SK"/>
        </w:rPr>
        <w:t>mi</w:t>
      </w:r>
      <w:r w:rsidR="00643794" w:rsidRPr="000B69CF">
        <w:rPr>
          <w:lang w:val="sk-SK"/>
        </w:rPr>
        <w:t xml:space="preserve"> </w:t>
      </w:r>
      <w:r w:rsidR="007F2B62">
        <w:rPr>
          <w:rStyle w:val="hps"/>
          <w:lang w:val="sk-SK"/>
        </w:rPr>
        <w:t>koncovými bodmi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bol výskyt srdcového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zlyhania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(</w:t>
      </w:r>
      <w:r w:rsidR="00643794" w:rsidRPr="000B69CF">
        <w:rPr>
          <w:lang w:val="sk-SK"/>
        </w:rPr>
        <w:t xml:space="preserve">zložka </w:t>
      </w:r>
      <w:r w:rsidR="00643794" w:rsidRPr="000B69CF">
        <w:rPr>
          <w:rStyle w:val="hps"/>
          <w:lang w:val="sk-SK"/>
        </w:rPr>
        <w:t>zloženého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kombinovaného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kardiovaskulárneho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koncového bodu</w:t>
      </w:r>
      <w:r w:rsidR="00643794" w:rsidRPr="000B69CF">
        <w:rPr>
          <w:lang w:val="sk-SK"/>
        </w:rPr>
        <w:t xml:space="preserve">) </w:t>
      </w:r>
      <w:r w:rsidR="00643794" w:rsidRPr="000B69CF">
        <w:rPr>
          <w:rStyle w:val="hps"/>
          <w:lang w:val="sk-SK"/>
        </w:rPr>
        <w:t>významne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vyšš</w:t>
      </w:r>
      <w:r w:rsidR="007F2B62">
        <w:rPr>
          <w:rStyle w:val="hps"/>
          <w:lang w:val="sk-SK"/>
        </w:rPr>
        <w:t>í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v skupine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s</w:t>
      </w:r>
      <w:r w:rsidR="00643794" w:rsidRPr="000B69CF">
        <w:rPr>
          <w:lang w:val="sk-SK"/>
        </w:rPr>
        <w:t xml:space="preserve"> </w:t>
      </w:r>
      <w:proofErr w:type="spellStart"/>
      <w:r w:rsidR="00643794" w:rsidRPr="000B69CF">
        <w:rPr>
          <w:rStyle w:val="hps"/>
          <w:lang w:val="sk-SK"/>
        </w:rPr>
        <w:t>amlodipínom</w:t>
      </w:r>
      <w:proofErr w:type="spellEnd"/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v porovnaní so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skupinou</w:t>
      </w:r>
      <w:r w:rsidR="00643794" w:rsidRPr="000B69CF">
        <w:rPr>
          <w:lang w:val="sk-SK"/>
        </w:rPr>
        <w:t xml:space="preserve"> </w:t>
      </w:r>
      <w:r w:rsidR="007F2B62">
        <w:rPr>
          <w:lang w:val="sk-SK"/>
        </w:rPr>
        <w:t xml:space="preserve">s </w:t>
      </w:r>
      <w:proofErr w:type="spellStart"/>
      <w:r w:rsidR="00643794" w:rsidRPr="000B69CF">
        <w:rPr>
          <w:rStyle w:val="hps"/>
          <w:lang w:val="sk-SK"/>
        </w:rPr>
        <w:t>chlórtalidónom</w:t>
      </w:r>
      <w:proofErr w:type="spellEnd"/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(</w:t>
      </w:r>
      <w:r w:rsidR="00643794" w:rsidRPr="000B69CF">
        <w:rPr>
          <w:lang w:val="sk-SK"/>
        </w:rPr>
        <w:t xml:space="preserve">10,2% oproti </w:t>
      </w:r>
      <w:r w:rsidR="00643794" w:rsidRPr="000B69CF">
        <w:rPr>
          <w:rStyle w:val="hps"/>
          <w:lang w:val="sk-SK"/>
        </w:rPr>
        <w:t>7,7</w:t>
      </w:r>
      <w:r w:rsidR="00643794" w:rsidRPr="000B69CF">
        <w:rPr>
          <w:lang w:val="sk-SK"/>
        </w:rPr>
        <w:t xml:space="preserve">%, </w:t>
      </w:r>
      <w:r w:rsidR="00643794" w:rsidRPr="000B69CF">
        <w:rPr>
          <w:rStyle w:val="hps"/>
          <w:lang w:val="sk-SK"/>
        </w:rPr>
        <w:t>RR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1,38</w:t>
      </w:r>
      <w:r w:rsidR="00643794" w:rsidRPr="000B69CF">
        <w:rPr>
          <w:lang w:val="sk-SK"/>
        </w:rPr>
        <w:t xml:space="preserve">, </w:t>
      </w:r>
      <w:r w:rsidR="00643794" w:rsidRPr="000B69CF">
        <w:rPr>
          <w:rStyle w:val="hps"/>
          <w:lang w:val="sk-SK"/>
        </w:rPr>
        <w:t>95</w:t>
      </w:r>
      <w:r w:rsidR="00643794" w:rsidRPr="000B69CF">
        <w:rPr>
          <w:lang w:val="sk-SK"/>
        </w:rPr>
        <w:t xml:space="preserve">% </w:t>
      </w:r>
      <w:r w:rsidR="00643794" w:rsidRPr="000B69CF">
        <w:rPr>
          <w:rStyle w:val="hps"/>
          <w:lang w:val="sk-SK"/>
        </w:rPr>
        <w:t>I</w:t>
      </w:r>
      <w:r w:rsidR="003B2C16">
        <w:rPr>
          <w:rStyle w:val="hps"/>
          <w:lang w:val="sk-SK"/>
        </w:rPr>
        <w:t>S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[</w:t>
      </w:r>
      <w:r w:rsidR="00643794" w:rsidRPr="000B69CF">
        <w:rPr>
          <w:lang w:val="sk-SK"/>
        </w:rPr>
        <w:t xml:space="preserve">1,25-1,52] </w:t>
      </w:r>
      <w:r w:rsidR="00643794" w:rsidRPr="000B69CF">
        <w:rPr>
          <w:rStyle w:val="hps"/>
          <w:lang w:val="sk-SK"/>
        </w:rPr>
        <w:t>p</w:t>
      </w:r>
      <w:r w:rsidR="00643794" w:rsidRPr="000B69CF">
        <w:rPr>
          <w:lang w:val="sk-SK"/>
        </w:rPr>
        <w:t xml:space="preserve"> </w:t>
      </w:r>
      <w:r w:rsidR="00643794" w:rsidRPr="000B69CF">
        <w:rPr>
          <w:rStyle w:val="hps"/>
          <w:lang w:val="sk-SK"/>
        </w:rPr>
        <w:t>&lt;</w:t>
      </w:r>
      <w:r w:rsidR="00643794" w:rsidRPr="000B69CF">
        <w:rPr>
          <w:lang w:val="sk-SK"/>
        </w:rPr>
        <w:t>0,001).</w:t>
      </w:r>
      <w:r w:rsidR="00643794">
        <w:rPr>
          <w:lang w:val="sk-SK"/>
        </w:rPr>
        <w:t xml:space="preserve"> </w:t>
      </w:r>
      <w:r w:rsidRPr="00157521">
        <w:rPr>
          <w:szCs w:val="22"/>
          <w:lang w:val="sk-SK"/>
        </w:rPr>
        <w:t>Spomedzi sekundárnych koncových bodov bol výskyt srdcového zlyhania (zložka zloženého kombinovaného kardiovaskulárneho koncového bodu) signifikantne vyšší v skupine s </w:t>
      </w:r>
      <w:proofErr w:type="spellStart"/>
      <w:r w:rsidRPr="00157521">
        <w:rPr>
          <w:szCs w:val="22"/>
          <w:lang w:val="sk-SK"/>
        </w:rPr>
        <w:t>amlodipínom</w:t>
      </w:r>
      <w:proofErr w:type="spellEnd"/>
      <w:r w:rsidRPr="00157521">
        <w:rPr>
          <w:szCs w:val="22"/>
          <w:lang w:val="sk-SK"/>
        </w:rPr>
        <w:t xml:space="preserve"> v porovnaní so skupinou s </w:t>
      </w:r>
      <w:proofErr w:type="spellStart"/>
      <w:r w:rsidRPr="00157521">
        <w:rPr>
          <w:szCs w:val="22"/>
          <w:lang w:val="sk-SK"/>
        </w:rPr>
        <w:t>chlórtalidónom</w:t>
      </w:r>
      <w:proofErr w:type="spellEnd"/>
      <w:r w:rsidRPr="00157521">
        <w:rPr>
          <w:szCs w:val="22"/>
          <w:lang w:val="sk-SK"/>
        </w:rPr>
        <w:t xml:space="preserve"> (10,2 % verzus 7,7 %, RR 1,38, 95% IS [1,25 </w:t>
      </w:r>
      <w:r w:rsidRPr="00157521">
        <w:rPr>
          <w:szCs w:val="22"/>
          <w:lang w:val="sk-SK"/>
        </w:rPr>
        <w:noBreakHyphen/>
        <w:t xml:space="preserve"> 1,52] p &lt; 0,001. Avšak v mortalite z akejkoľvek príčiny nebol medzi liečbou </w:t>
      </w:r>
      <w:proofErr w:type="spellStart"/>
      <w:r w:rsidRPr="00157521">
        <w:rPr>
          <w:szCs w:val="22"/>
          <w:lang w:val="sk-SK"/>
        </w:rPr>
        <w:t>amlodipínom</w:t>
      </w:r>
      <w:proofErr w:type="spellEnd"/>
      <w:r w:rsidRPr="00157521">
        <w:rPr>
          <w:szCs w:val="22"/>
          <w:lang w:val="sk-SK"/>
        </w:rPr>
        <w:t xml:space="preserve"> a liečbou </w:t>
      </w:r>
      <w:proofErr w:type="spellStart"/>
      <w:r w:rsidRPr="00157521">
        <w:rPr>
          <w:szCs w:val="22"/>
          <w:lang w:val="sk-SK"/>
        </w:rPr>
        <w:t>chlórtalidónom</w:t>
      </w:r>
      <w:proofErr w:type="spellEnd"/>
      <w:r w:rsidRPr="00157521">
        <w:rPr>
          <w:szCs w:val="22"/>
          <w:lang w:val="sk-SK"/>
        </w:rPr>
        <w:t xml:space="preserve"> žiadny signifikantný rozdiel. RR 0,96 95 % IS [0,89 – 1,02] p = 0,20.</w:t>
      </w:r>
    </w:p>
    <w:p w14:paraId="264E35E7" w14:textId="77777777" w:rsidR="003D2AEB" w:rsidRPr="00157521" w:rsidRDefault="003D2AEB" w:rsidP="003D2AEB">
      <w:pPr>
        <w:tabs>
          <w:tab w:val="left" w:pos="864"/>
          <w:tab w:val="left" w:pos="1008"/>
        </w:tabs>
        <w:spacing w:line="240" w:lineRule="auto"/>
        <w:rPr>
          <w:iCs/>
          <w:szCs w:val="22"/>
          <w:lang w:val="sk-SK"/>
        </w:rPr>
      </w:pPr>
    </w:p>
    <w:p w14:paraId="264E35E8" w14:textId="77777777" w:rsidR="00AF2294" w:rsidRPr="00157521" w:rsidRDefault="00AF2294" w:rsidP="00AF2294">
      <w:pPr>
        <w:rPr>
          <w:szCs w:val="22"/>
          <w:u w:val="single"/>
          <w:lang w:val="sk-SK"/>
        </w:rPr>
      </w:pPr>
      <w:r w:rsidRPr="00157521">
        <w:rPr>
          <w:szCs w:val="22"/>
          <w:u w:val="single"/>
          <w:lang w:val="sk-SK"/>
        </w:rPr>
        <w:t>Pediatrická populácia</w:t>
      </w:r>
      <w:r w:rsidR="00643794">
        <w:rPr>
          <w:szCs w:val="22"/>
          <w:u w:val="single"/>
          <w:lang w:val="sk-SK"/>
        </w:rPr>
        <w:t xml:space="preserve"> (vo veku 6 rokov a starší)</w:t>
      </w:r>
    </w:p>
    <w:p w14:paraId="264E35E9" w14:textId="77777777" w:rsidR="00AF2294" w:rsidRPr="00157521" w:rsidRDefault="00AF2294" w:rsidP="00AF2294">
      <w:pPr>
        <w:rPr>
          <w:szCs w:val="22"/>
          <w:lang w:val="sk-SK"/>
        </w:rPr>
      </w:pPr>
      <w:r w:rsidRPr="00157521">
        <w:rPr>
          <w:szCs w:val="22"/>
          <w:lang w:val="sk-SK"/>
        </w:rPr>
        <w:t>V štúdii, ktorej sa zúčastnilo 268 detí vo veku 6 </w:t>
      </w:r>
      <w:r w:rsidRPr="00157521">
        <w:rPr>
          <w:szCs w:val="22"/>
          <w:lang w:val="sk-SK"/>
        </w:rPr>
        <w:noBreakHyphen/>
        <w:t xml:space="preserve"> 17 rokov s prevažne sekundárnou hypertenziou, porovnanie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v dávkach 2,5 mg a 5,0 mg s placebom preukázalo, že obe dávky znížili </w:t>
      </w:r>
      <w:proofErr w:type="spellStart"/>
      <w:r w:rsidRPr="00157521">
        <w:rPr>
          <w:szCs w:val="22"/>
          <w:lang w:val="sk-SK"/>
        </w:rPr>
        <w:t>systolický</w:t>
      </w:r>
      <w:proofErr w:type="spellEnd"/>
      <w:r w:rsidRPr="00157521">
        <w:rPr>
          <w:szCs w:val="22"/>
          <w:lang w:val="sk-SK"/>
        </w:rPr>
        <w:t xml:space="preserve"> tlak krvi oveľa významnejšie ako placebo. Rozdiel medzi oboma dávkami nebol štatisticky významný.</w:t>
      </w:r>
    </w:p>
    <w:p w14:paraId="264E35EA" w14:textId="77777777" w:rsidR="00AF2294" w:rsidRPr="00157521" w:rsidRDefault="00AF2294" w:rsidP="00AF2294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Dlhodobé účinky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na rast, pubertálny a všeobecný vývin neboli študované. Dlhodobá účinnosť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na liečbu v detstve za účelom zníženia kardiovaskulárnej morbidity a mortality v dospelosti nebola stanovená.</w:t>
      </w:r>
    </w:p>
    <w:p w14:paraId="264E35EB" w14:textId="77777777" w:rsidR="00AF2294" w:rsidRPr="00157521" w:rsidRDefault="00AF2294" w:rsidP="009512D0">
      <w:pPr>
        <w:spacing w:line="240" w:lineRule="auto"/>
        <w:rPr>
          <w:lang w:val="sk-SK"/>
        </w:rPr>
      </w:pPr>
    </w:p>
    <w:p w14:paraId="264E35EC" w14:textId="77777777" w:rsidR="00681759" w:rsidRPr="00157521" w:rsidRDefault="00681759" w:rsidP="00AF2294">
      <w:pPr>
        <w:spacing w:line="240" w:lineRule="auto"/>
        <w:rPr>
          <w:lang w:val="sk-SK"/>
        </w:rPr>
      </w:pPr>
      <w:r w:rsidRPr="00157521">
        <w:rPr>
          <w:b/>
          <w:lang w:val="sk-SK"/>
        </w:rPr>
        <w:t>5.2</w:t>
      </w:r>
      <w:r w:rsidRPr="00157521">
        <w:rPr>
          <w:b/>
          <w:lang w:val="sk-SK"/>
        </w:rPr>
        <w:tab/>
      </w:r>
      <w:proofErr w:type="spellStart"/>
      <w:r w:rsidR="00F02C9B" w:rsidRPr="00157521">
        <w:rPr>
          <w:b/>
          <w:lang w:val="sk-SK"/>
        </w:rPr>
        <w:t>Farmakokinetické</w:t>
      </w:r>
      <w:proofErr w:type="spellEnd"/>
      <w:r w:rsidR="00F02C9B" w:rsidRPr="00157521">
        <w:rPr>
          <w:b/>
          <w:lang w:val="sk-SK"/>
        </w:rPr>
        <w:t xml:space="preserve"> vlastnosti</w:t>
      </w:r>
    </w:p>
    <w:p w14:paraId="264E35ED" w14:textId="77777777" w:rsidR="00681759" w:rsidRPr="00157521" w:rsidRDefault="00681759" w:rsidP="009512D0">
      <w:pPr>
        <w:spacing w:line="240" w:lineRule="auto"/>
        <w:rPr>
          <w:b/>
          <w:lang w:val="sk-SK"/>
        </w:rPr>
      </w:pPr>
    </w:p>
    <w:p w14:paraId="264E35EE" w14:textId="77777777" w:rsidR="00681759" w:rsidRPr="00157521" w:rsidRDefault="00681759" w:rsidP="009512D0">
      <w:pPr>
        <w:spacing w:line="240" w:lineRule="auto"/>
        <w:rPr>
          <w:lang w:val="sk-SK"/>
        </w:rPr>
      </w:pPr>
      <w:proofErr w:type="spellStart"/>
      <w:r w:rsidRPr="00157521">
        <w:rPr>
          <w:u w:val="single"/>
          <w:lang w:val="sk-SK"/>
        </w:rPr>
        <w:t>Li</w:t>
      </w:r>
      <w:r w:rsidR="00F02C9B" w:rsidRPr="00157521">
        <w:rPr>
          <w:u w:val="single"/>
          <w:lang w:val="sk-SK"/>
        </w:rPr>
        <w:t>z</w:t>
      </w:r>
      <w:r w:rsidRPr="00157521">
        <w:rPr>
          <w:u w:val="single"/>
          <w:lang w:val="sk-SK"/>
        </w:rPr>
        <w:t>inopril</w:t>
      </w:r>
      <w:proofErr w:type="spellEnd"/>
    </w:p>
    <w:p w14:paraId="264E35EF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je perorálne účinný ACE inhibítor bez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sulfhydrylovej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skupiny.</w:t>
      </w:r>
    </w:p>
    <w:p w14:paraId="264E35F0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F1" w14:textId="77777777" w:rsidR="00AA3503" w:rsidRPr="000B69CF" w:rsidRDefault="00AA3503" w:rsidP="00AA3503">
      <w:pPr>
        <w:pStyle w:val="Style1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A85545">
        <w:rPr>
          <w:rFonts w:ascii="Times New Roman" w:hAnsi="Times New Roman"/>
          <w:i/>
          <w:sz w:val="22"/>
          <w:szCs w:val="22"/>
          <w:lang w:val="sk-SK"/>
        </w:rPr>
        <w:t>Absorpcia</w:t>
      </w:r>
    </w:p>
    <w:p w14:paraId="264E35F2" w14:textId="77777777" w:rsidR="00AA3503" w:rsidRPr="00157521" w:rsidRDefault="00AA3503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lang w:val="sk-SK"/>
        </w:rPr>
        <w:t xml:space="preserve">Po perorálnom podaní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57521">
        <w:rPr>
          <w:rFonts w:ascii="Times New Roman" w:hAnsi="Times New Roman"/>
          <w:sz w:val="22"/>
          <w:lang w:val="sk-SK"/>
        </w:rPr>
        <w:t xml:space="preserve">sa maximálne 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sérové </w:t>
      </w:r>
      <w:r w:rsidRPr="00157521">
        <w:rPr>
          <w:rFonts w:ascii="Times New Roman" w:hAnsi="Times New Roman"/>
          <w:sz w:val="22"/>
          <w:lang w:val="sk-SK"/>
        </w:rPr>
        <w:t xml:space="preserve">koncentrácie 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dosahujú približne </w:t>
      </w:r>
      <w:r w:rsidRPr="00157521">
        <w:rPr>
          <w:rFonts w:ascii="Times New Roman" w:hAnsi="Times New Roman"/>
          <w:sz w:val="22"/>
          <w:lang w:val="sk-SK"/>
        </w:rPr>
        <w:t>v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 priebehu 7 </w:t>
      </w:r>
      <w:r w:rsidRPr="00157521">
        <w:rPr>
          <w:rFonts w:ascii="Times New Roman" w:hAnsi="Times New Roman"/>
          <w:sz w:val="22"/>
          <w:lang w:val="sk-SK"/>
        </w:rPr>
        <w:t>hodín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, aj keď u pacientov s akútnym infarktom myokardu sa zaznamenal sklon k malému oneskoreniu dosiahnutia maximálnych sérových koncentrácií. Na základe získaného množstva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z moču sa usudzuje, že priemerná výška absorpcie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sa pohybuje okolo 25 % s variabilitou medzi pacientmi 6 – 60 % v rámci rozsahu dávok použitých v štúdii (5 – 80 mg). Absolútna</w:t>
      </w:r>
      <w:r w:rsidRPr="00157521">
        <w:rPr>
          <w:rFonts w:ascii="Times New Roman" w:hAnsi="Times New Roman"/>
          <w:sz w:val="22"/>
          <w:lang w:val="sk-SK"/>
        </w:rPr>
        <w:t xml:space="preserve"> biologická </w:t>
      </w:r>
      <w:r w:rsidRPr="00157521">
        <w:rPr>
          <w:rFonts w:ascii="Times New Roman" w:hAnsi="Times New Roman"/>
          <w:sz w:val="22"/>
          <w:lang w:val="sk-SK"/>
        </w:rPr>
        <w:lastRenderedPageBreak/>
        <w:t xml:space="preserve">dostupnosť 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sa znižuje približne o 16 % u pacientov so srdcovým zlyhaním. Absorpciu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neovplyvňuje prítomnosť jedla.</w:t>
      </w:r>
    </w:p>
    <w:p w14:paraId="264E35F3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F4" w14:textId="77777777" w:rsidR="00AA3503" w:rsidRPr="000B69CF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A85545">
        <w:rPr>
          <w:rFonts w:ascii="Times New Roman" w:hAnsi="Times New Roman"/>
          <w:i/>
          <w:sz w:val="22"/>
          <w:szCs w:val="22"/>
          <w:lang w:val="sk-SK"/>
        </w:rPr>
        <w:t>Distribúcia</w:t>
      </w:r>
    </w:p>
    <w:p w14:paraId="264E35F5" w14:textId="77777777" w:rsidR="00AA3503" w:rsidRPr="00157521" w:rsidRDefault="00AA3503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Nezdá sa, že by sa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viazal na </w:t>
      </w:r>
      <w:r w:rsidRPr="00157521">
        <w:rPr>
          <w:rFonts w:ascii="Times New Roman" w:hAnsi="Times New Roman"/>
          <w:sz w:val="22"/>
          <w:lang w:val="sk-SK"/>
        </w:rPr>
        <w:t xml:space="preserve">iné 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sérové proteíny, než sa viaže cirkulujúci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konvertujúci enzým (ACE). Štúdie na potkanoch ukazujú, že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slabo prechádza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hematoencefalickou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bariérou.</w:t>
      </w:r>
    </w:p>
    <w:p w14:paraId="264E35F6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264E35F7" w14:textId="77777777" w:rsidR="00AA3503" w:rsidRPr="000B69CF" w:rsidRDefault="00AA3503" w:rsidP="00AA3503">
      <w:pPr>
        <w:pStyle w:val="Style1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A85545">
        <w:rPr>
          <w:rFonts w:ascii="Times New Roman" w:hAnsi="Times New Roman"/>
          <w:i/>
          <w:sz w:val="22"/>
          <w:szCs w:val="22"/>
          <w:lang w:val="sk-SK"/>
        </w:rPr>
        <w:t>Eliminácia</w:t>
      </w:r>
    </w:p>
    <w:p w14:paraId="264E35F8" w14:textId="77777777" w:rsidR="00AA3503" w:rsidRPr="00157521" w:rsidRDefault="00AA3503" w:rsidP="003F7DD0">
      <w:pPr>
        <w:pStyle w:val="Style1"/>
        <w:rPr>
          <w:rFonts w:ascii="Times New Roman" w:hAnsi="Times New Roman"/>
          <w:sz w:val="22"/>
          <w:lang w:val="sk-SK"/>
        </w:rPr>
      </w:pP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nepodlieha metabolizmu</w:t>
      </w:r>
      <w:r w:rsidRPr="00157521">
        <w:rPr>
          <w:rFonts w:ascii="Times New Roman" w:hAnsi="Times New Roman"/>
          <w:sz w:val="22"/>
          <w:lang w:val="sk-SK"/>
        </w:rPr>
        <w:t xml:space="preserve"> a vylučuje sa 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kompletne </w:t>
      </w:r>
      <w:r w:rsidRPr="00157521">
        <w:rPr>
          <w:rFonts w:ascii="Times New Roman" w:hAnsi="Times New Roman"/>
          <w:sz w:val="22"/>
          <w:lang w:val="sk-SK"/>
        </w:rPr>
        <w:t xml:space="preserve">nezmenený 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do moču. Pri viacpočetnom dávkovaní má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efektívny</w:t>
      </w:r>
      <w:r w:rsidRPr="00157521">
        <w:rPr>
          <w:rFonts w:ascii="Times New Roman" w:hAnsi="Times New Roman"/>
          <w:sz w:val="22"/>
          <w:lang w:val="sk-SK"/>
        </w:rPr>
        <w:t xml:space="preserve"> polčas 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akumulácie </w:t>
      </w:r>
      <w:r w:rsidRPr="00157521">
        <w:rPr>
          <w:rFonts w:ascii="Times New Roman" w:hAnsi="Times New Roman"/>
          <w:sz w:val="22"/>
          <w:lang w:val="sk-SK"/>
        </w:rPr>
        <w:t xml:space="preserve">12,6 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hodiny.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u zdravých osôb je približne 50 ml/min. Klesajúce sérové koncentrácie vykazujú predĺženú terminálnu fázu, ktorá sa nezúčastňuje na akumulácii liečiva. Táto terminálna fáza pravdepodobne reprezentuje saturovanie väzby na ACE a nie</w:t>
      </w:r>
      <w:r w:rsidRPr="00157521">
        <w:rPr>
          <w:rFonts w:ascii="Times New Roman" w:hAnsi="Times New Roman"/>
          <w:sz w:val="22"/>
          <w:lang w:val="sk-SK"/>
        </w:rPr>
        <w:t xml:space="preserve"> je </w:t>
      </w:r>
      <w:r w:rsidRPr="00157521">
        <w:rPr>
          <w:rFonts w:ascii="Times New Roman" w:hAnsi="Times New Roman"/>
          <w:sz w:val="22"/>
          <w:szCs w:val="22"/>
          <w:lang w:val="sk-SK"/>
        </w:rPr>
        <w:t>proporcionálna k dávke</w:t>
      </w:r>
      <w:r w:rsidRPr="00157521">
        <w:rPr>
          <w:rFonts w:ascii="Times New Roman" w:hAnsi="Times New Roman"/>
          <w:sz w:val="22"/>
          <w:lang w:val="sk-SK"/>
        </w:rPr>
        <w:t>.</w:t>
      </w:r>
    </w:p>
    <w:p w14:paraId="264E35F9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lang w:val="sk-SK"/>
        </w:rPr>
      </w:pPr>
    </w:p>
    <w:p w14:paraId="264E35FA" w14:textId="77777777" w:rsidR="003E0A44" w:rsidRPr="00A85545" w:rsidRDefault="003E0A44" w:rsidP="00AA3503">
      <w:pPr>
        <w:pStyle w:val="Style1"/>
        <w:jc w:val="both"/>
        <w:rPr>
          <w:rFonts w:ascii="Times New Roman" w:hAnsi="Times New Roman"/>
          <w:i/>
          <w:sz w:val="22"/>
          <w:szCs w:val="22"/>
          <w:u w:val="single"/>
          <w:lang w:val="sk-SK"/>
        </w:rPr>
      </w:pPr>
      <w:proofErr w:type="spellStart"/>
      <w:r w:rsidRPr="00A85545">
        <w:rPr>
          <w:rFonts w:ascii="Times New Roman" w:hAnsi="Times New Roman"/>
          <w:i/>
          <w:sz w:val="22"/>
          <w:szCs w:val="22"/>
          <w:u w:val="single"/>
          <w:lang w:val="sk-SK"/>
        </w:rPr>
        <w:t>Farmakokinetické</w:t>
      </w:r>
      <w:proofErr w:type="spellEnd"/>
      <w:r w:rsidRPr="00A85545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charakteristiky v</w:t>
      </w:r>
      <w:r w:rsidR="00166D3F" w:rsidRPr="000B69CF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 osobitných </w:t>
      </w:r>
      <w:r w:rsidRPr="00A85545">
        <w:rPr>
          <w:rFonts w:ascii="Times New Roman" w:hAnsi="Times New Roman"/>
          <w:i/>
          <w:sz w:val="22"/>
          <w:szCs w:val="22"/>
          <w:u w:val="single"/>
          <w:lang w:val="sk-SK"/>
        </w:rPr>
        <w:t>populáciách</w:t>
      </w:r>
    </w:p>
    <w:p w14:paraId="264E35FB" w14:textId="77777777" w:rsidR="003E0A44" w:rsidRPr="00157521" w:rsidRDefault="003E0A44" w:rsidP="00AA3503">
      <w:pPr>
        <w:pStyle w:val="Style1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264E35FC" w14:textId="77777777" w:rsidR="00AA3503" w:rsidRPr="00157521" w:rsidRDefault="00496314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i/>
          <w:sz w:val="22"/>
          <w:szCs w:val="22"/>
          <w:lang w:val="sk-SK"/>
        </w:rPr>
        <w:t>Po</w:t>
      </w:r>
      <w:r>
        <w:rPr>
          <w:rFonts w:ascii="Times New Roman" w:hAnsi="Times New Roman"/>
          <w:i/>
          <w:sz w:val="22"/>
          <w:szCs w:val="22"/>
          <w:lang w:val="sk-SK"/>
        </w:rPr>
        <w:t>rucha funkcie</w:t>
      </w:r>
      <w:r w:rsidRPr="0015752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AA3503" w:rsidRPr="00157521">
        <w:rPr>
          <w:rFonts w:ascii="Times New Roman" w:hAnsi="Times New Roman"/>
          <w:i/>
          <w:sz w:val="22"/>
          <w:szCs w:val="22"/>
          <w:lang w:val="sk-SK"/>
        </w:rPr>
        <w:t>pečene</w:t>
      </w:r>
    </w:p>
    <w:p w14:paraId="264E35FD" w14:textId="77777777" w:rsidR="00AA3503" w:rsidRPr="00157521" w:rsidRDefault="00496314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3F7DD0">
        <w:rPr>
          <w:rFonts w:ascii="Times New Roman" w:hAnsi="Times New Roman"/>
          <w:sz w:val="22"/>
          <w:szCs w:val="22"/>
          <w:lang w:val="sk-SK"/>
        </w:rPr>
        <w:t xml:space="preserve">Porucha funkcie pečene </w:t>
      </w:r>
      <w:r w:rsidR="00AA3503" w:rsidRPr="006B22F1">
        <w:rPr>
          <w:rFonts w:ascii="Times New Roman" w:hAnsi="Times New Roman"/>
          <w:sz w:val="22"/>
          <w:szCs w:val="22"/>
          <w:lang w:val="sk-SK"/>
        </w:rPr>
        <w:t>u pacientov s cirhózou viedl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AA3503" w:rsidRPr="006B22F1">
        <w:rPr>
          <w:rFonts w:ascii="Times New Roman" w:hAnsi="Times New Roman"/>
          <w:sz w:val="22"/>
          <w:szCs w:val="22"/>
          <w:lang w:val="sk-SK"/>
        </w:rPr>
        <w:t xml:space="preserve"> v porovnaní so zdravými osobami k poklesu</w:t>
      </w:r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absorpcie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A85545">
        <w:rPr>
          <w:rFonts w:ascii="Times New Roman" w:hAnsi="Times New Roman"/>
          <w:sz w:val="22"/>
          <w:szCs w:val="22"/>
          <w:lang w:val="sk-SK"/>
        </w:rPr>
        <w:t>asi</w:t>
      </w:r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30 %, čo sa určilo na základe získania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z moču), ale nastal vzostup expozície (približne 50 %), čo bolo dôsledkom zníženého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>.</w:t>
      </w:r>
    </w:p>
    <w:p w14:paraId="264E35FE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5FF" w14:textId="77777777" w:rsidR="00AA3503" w:rsidRPr="00157521" w:rsidRDefault="00496314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i/>
          <w:sz w:val="22"/>
          <w:szCs w:val="22"/>
          <w:lang w:val="sk-SK"/>
        </w:rPr>
        <w:t>Po</w:t>
      </w:r>
      <w:r>
        <w:rPr>
          <w:rFonts w:ascii="Times New Roman" w:hAnsi="Times New Roman"/>
          <w:i/>
          <w:sz w:val="22"/>
          <w:szCs w:val="22"/>
          <w:lang w:val="sk-SK"/>
        </w:rPr>
        <w:t>rucha funkcie</w:t>
      </w:r>
      <w:r w:rsidR="00AA3503" w:rsidRPr="00157521">
        <w:rPr>
          <w:rFonts w:ascii="Times New Roman" w:hAnsi="Times New Roman"/>
          <w:i/>
          <w:sz w:val="22"/>
          <w:szCs w:val="22"/>
          <w:lang w:val="sk-SK"/>
        </w:rPr>
        <w:t xml:space="preserve"> obličiek</w:t>
      </w:r>
    </w:p>
    <w:p w14:paraId="264E3600" w14:textId="77777777" w:rsidR="00AA3503" w:rsidRPr="00157521" w:rsidRDefault="00496314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A50FC">
        <w:rPr>
          <w:rFonts w:ascii="Times New Roman" w:hAnsi="Times New Roman"/>
          <w:sz w:val="22"/>
          <w:szCs w:val="22"/>
          <w:lang w:val="sk-SK"/>
        </w:rPr>
        <w:t xml:space="preserve">Porucha funkcie </w:t>
      </w:r>
      <w:r>
        <w:rPr>
          <w:rFonts w:ascii="Times New Roman" w:hAnsi="Times New Roman"/>
          <w:sz w:val="22"/>
          <w:szCs w:val="22"/>
          <w:lang w:val="sk-SK"/>
        </w:rPr>
        <w:t xml:space="preserve">obličiek </w:t>
      </w:r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znižuje elimináciu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, ktorý sa vylučuje obličkami. Tento pokles sa však stáva klinicky významným len vtedy, keď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glomerulárna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filtrácia je nižšia ako 30 ml/min. Pri miern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až stredne ťažk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57521">
        <w:rPr>
          <w:rFonts w:ascii="Times New Roman" w:hAnsi="Times New Roman"/>
          <w:sz w:val="22"/>
          <w:szCs w:val="22"/>
          <w:lang w:val="sk-SK"/>
        </w:rPr>
        <w:t>po</w:t>
      </w:r>
      <w:r>
        <w:rPr>
          <w:rFonts w:ascii="Times New Roman" w:hAnsi="Times New Roman"/>
          <w:sz w:val="22"/>
          <w:szCs w:val="22"/>
          <w:lang w:val="sk-SK"/>
        </w:rPr>
        <w:t>ruche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A3503" w:rsidRPr="00157521">
        <w:rPr>
          <w:rFonts w:ascii="Times New Roman" w:hAnsi="Times New Roman"/>
          <w:sz w:val="22"/>
          <w:szCs w:val="22"/>
          <w:lang w:val="sk-SK"/>
        </w:rPr>
        <w:t>funkcie obličiek (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30 – 80 ml/min) je priemerná AUC zvýšená len o 13 %, ale pri ťažk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57521">
        <w:rPr>
          <w:rFonts w:ascii="Times New Roman" w:hAnsi="Times New Roman"/>
          <w:sz w:val="22"/>
          <w:szCs w:val="22"/>
          <w:lang w:val="sk-SK"/>
        </w:rPr>
        <w:t>po</w:t>
      </w:r>
      <w:r>
        <w:rPr>
          <w:rFonts w:ascii="Times New Roman" w:hAnsi="Times New Roman"/>
          <w:sz w:val="22"/>
          <w:szCs w:val="22"/>
          <w:lang w:val="sk-SK"/>
        </w:rPr>
        <w:t>ruche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A3503" w:rsidRPr="00157521">
        <w:rPr>
          <w:rFonts w:ascii="Times New Roman" w:hAnsi="Times New Roman"/>
          <w:sz w:val="22"/>
          <w:szCs w:val="22"/>
          <w:lang w:val="sk-SK"/>
        </w:rPr>
        <w:t>funkcie obličiek (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5 – 30 ml/min) bol vzostup priemerných AUC 4,5-násobný.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Lizinopril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možno odstrániť dialýzou. Počas 4 hodín hemodialýzy plazmatické hladiny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poklesli priemerne o 60 % pri </w:t>
      </w:r>
      <w:proofErr w:type="spellStart"/>
      <w:r w:rsidR="00AA3503" w:rsidRPr="00157521">
        <w:rPr>
          <w:rFonts w:ascii="Times New Roman" w:hAnsi="Times New Roman"/>
          <w:sz w:val="22"/>
          <w:szCs w:val="22"/>
          <w:lang w:val="sk-SK"/>
        </w:rPr>
        <w:t>klírense</w:t>
      </w:r>
      <w:proofErr w:type="spellEnd"/>
      <w:r w:rsidR="00AA3503" w:rsidRPr="00157521">
        <w:rPr>
          <w:rFonts w:ascii="Times New Roman" w:hAnsi="Times New Roman"/>
          <w:sz w:val="22"/>
          <w:szCs w:val="22"/>
          <w:lang w:val="sk-SK"/>
        </w:rPr>
        <w:t xml:space="preserve"> dialýzy medzi 40 a 55 ml/min.</w:t>
      </w:r>
    </w:p>
    <w:p w14:paraId="264E3601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602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i/>
          <w:sz w:val="22"/>
          <w:szCs w:val="22"/>
          <w:lang w:val="sk-SK"/>
        </w:rPr>
        <w:t>Srdcové zlyhanie</w:t>
      </w:r>
    </w:p>
    <w:p w14:paraId="264E3603" w14:textId="77777777" w:rsidR="00AA3503" w:rsidRPr="00157521" w:rsidRDefault="00AA3503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Pacienti so srdcovým zlyhaním majú vyššiu expozíciu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v porovnaní so zdravými osobami (vzostup AUC priemerne o 125 %), no na základe získania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lizinoprilu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z moču sa usudzuje, že absorpcia je znížená približne o 16 % v porovnaní so zdravými osobami.</w:t>
      </w:r>
    </w:p>
    <w:p w14:paraId="264E3604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4E3605" w14:textId="77777777" w:rsidR="003E0A44" w:rsidRPr="00157521" w:rsidRDefault="003E0A44" w:rsidP="003E0A44">
      <w:pPr>
        <w:rPr>
          <w:i/>
          <w:szCs w:val="22"/>
          <w:lang w:val="sk-SK"/>
        </w:rPr>
      </w:pPr>
      <w:r w:rsidRPr="00157521">
        <w:rPr>
          <w:i/>
          <w:szCs w:val="22"/>
          <w:lang w:val="sk-SK"/>
        </w:rPr>
        <w:t>Pediatrick</w:t>
      </w:r>
      <w:r w:rsidR="0084107D">
        <w:rPr>
          <w:i/>
          <w:szCs w:val="22"/>
          <w:lang w:val="sk-SK"/>
        </w:rPr>
        <w:t>á</w:t>
      </w:r>
      <w:r w:rsidRPr="00157521">
        <w:rPr>
          <w:i/>
          <w:szCs w:val="22"/>
          <w:lang w:val="sk-SK"/>
        </w:rPr>
        <w:t xml:space="preserve"> p</w:t>
      </w:r>
      <w:r w:rsidR="0084107D">
        <w:rPr>
          <w:i/>
          <w:szCs w:val="22"/>
          <w:lang w:val="sk-SK"/>
        </w:rPr>
        <w:t>opulácia</w:t>
      </w:r>
    </w:p>
    <w:p w14:paraId="264E3606" w14:textId="77777777" w:rsidR="003E0A44" w:rsidRPr="00157521" w:rsidRDefault="003E0A44" w:rsidP="003E0A44">
      <w:pPr>
        <w:rPr>
          <w:szCs w:val="22"/>
          <w:lang w:val="sk-SK"/>
        </w:rPr>
      </w:pPr>
      <w:proofErr w:type="spellStart"/>
      <w:r w:rsidRPr="00157521">
        <w:rPr>
          <w:szCs w:val="22"/>
          <w:lang w:val="sk-SK"/>
        </w:rPr>
        <w:t>Farmakokinetický</w:t>
      </w:r>
      <w:proofErr w:type="spellEnd"/>
      <w:r w:rsidRPr="00157521">
        <w:rPr>
          <w:szCs w:val="22"/>
          <w:lang w:val="sk-SK"/>
        </w:rPr>
        <w:t xml:space="preserve"> profil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 bol skúmaný u 29 pediatrických pacientov s hypertenziou vo veku 6 až 16 rokov, s GFR nad 30 ml/min/1,73 m</w:t>
      </w:r>
      <w:r w:rsidRPr="00157521">
        <w:rPr>
          <w:szCs w:val="22"/>
          <w:vertAlign w:val="superscript"/>
          <w:lang w:val="sk-SK"/>
        </w:rPr>
        <w:t>2</w:t>
      </w:r>
      <w:r w:rsidRPr="00157521">
        <w:rPr>
          <w:szCs w:val="22"/>
          <w:lang w:val="sk-SK"/>
        </w:rPr>
        <w:t xml:space="preserve">. Po dávkach 0,1 až 0,2 mg/kg, sa maximálne plazmatické koncentrácie </w:t>
      </w:r>
      <w:proofErr w:type="spellStart"/>
      <w:r w:rsidRPr="00157521">
        <w:rPr>
          <w:szCs w:val="22"/>
          <w:lang w:val="sk-SK"/>
        </w:rPr>
        <w:t>lizinoprilu</w:t>
      </w:r>
      <w:proofErr w:type="spellEnd"/>
      <w:r w:rsidRPr="00157521">
        <w:rPr>
          <w:szCs w:val="22"/>
          <w:lang w:val="sk-SK"/>
        </w:rPr>
        <w:t xml:space="preserve"> v rovnovážnom stave dosiahli v priebehu 6 hodín. Rozsah absorpcie na základe obsahu v moči bol približne 28 %. Tieto hodnoty boli podobné hodnotám získaným v minulosti u dospelých pacientov. </w:t>
      </w:r>
    </w:p>
    <w:p w14:paraId="264E3607" w14:textId="77777777" w:rsidR="003E0A44" w:rsidRPr="00157521" w:rsidRDefault="003E0A44" w:rsidP="003E0A44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Hodnoty AUC a </w:t>
      </w:r>
      <w:proofErr w:type="spellStart"/>
      <w:r w:rsidRPr="00157521">
        <w:rPr>
          <w:szCs w:val="22"/>
          <w:lang w:val="sk-SK"/>
        </w:rPr>
        <w:t>C</w:t>
      </w:r>
      <w:r w:rsidRPr="00157521">
        <w:rPr>
          <w:szCs w:val="22"/>
          <w:vertAlign w:val="subscript"/>
          <w:lang w:val="sk-SK"/>
        </w:rPr>
        <w:t>max</w:t>
      </w:r>
      <w:proofErr w:type="spellEnd"/>
      <w:r w:rsidRPr="00157521">
        <w:rPr>
          <w:szCs w:val="22"/>
          <w:vertAlign w:val="subscript"/>
          <w:lang w:val="sk-SK"/>
        </w:rPr>
        <w:t xml:space="preserve"> </w:t>
      </w:r>
      <w:r w:rsidRPr="00157521">
        <w:rPr>
          <w:szCs w:val="22"/>
          <w:lang w:val="sk-SK"/>
        </w:rPr>
        <w:t>u detí v tejto štúdii boli také isté ako hodnoty zistené u dospelých pacientov.</w:t>
      </w:r>
    </w:p>
    <w:p w14:paraId="264E3608" w14:textId="77777777" w:rsidR="003E0A44" w:rsidRPr="00157521" w:rsidRDefault="003E0A44" w:rsidP="00AA3503">
      <w:pPr>
        <w:pStyle w:val="Style1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264E3609" w14:textId="77777777" w:rsidR="00AA3503" w:rsidRPr="00157521" w:rsidRDefault="00AA3503" w:rsidP="00AA35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i/>
          <w:sz w:val="22"/>
          <w:szCs w:val="22"/>
          <w:lang w:val="sk-SK"/>
        </w:rPr>
        <w:t xml:space="preserve">Starší </w:t>
      </w:r>
      <w:r w:rsidR="00166D3F">
        <w:rPr>
          <w:rFonts w:ascii="Times New Roman" w:hAnsi="Times New Roman"/>
          <w:i/>
          <w:sz w:val="22"/>
          <w:szCs w:val="22"/>
          <w:lang w:val="sk-SK"/>
        </w:rPr>
        <w:t>ľudia</w:t>
      </w:r>
    </w:p>
    <w:p w14:paraId="264E360A" w14:textId="77777777" w:rsidR="00AA3503" w:rsidRPr="00157521" w:rsidRDefault="00AA3503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>Starší pacienti majú vyššie hladiny v krvi a vyššie hodnoty plochy pod krivkou plazmatických koncentrácií v čase (zvýšenie približne 60 %) v porovnaní s mladšími osobami.</w:t>
      </w:r>
    </w:p>
    <w:p w14:paraId="264E360B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0C" w14:textId="77777777" w:rsidR="00681759" w:rsidRPr="00157521" w:rsidRDefault="002001E7" w:rsidP="009512D0">
      <w:pPr>
        <w:spacing w:line="240" w:lineRule="auto"/>
        <w:rPr>
          <w:lang w:val="sk-SK"/>
        </w:rPr>
      </w:pPr>
      <w:proofErr w:type="spellStart"/>
      <w:r w:rsidRPr="00157521">
        <w:rPr>
          <w:u w:val="single"/>
          <w:lang w:val="sk-SK"/>
        </w:rPr>
        <w:t>Amlodipín</w:t>
      </w:r>
      <w:proofErr w:type="spellEnd"/>
    </w:p>
    <w:p w14:paraId="264E360D" w14:textId="77777777" w:rsidR="0059775D" w:rsidRDefault="0059775D" w:rsidP="00016747">
      <w:pPr>
        <w:rPr>
          <w:szCs w:val="22"/>
          <w:u w:val="single"/>
          <w:lang w:val="sk-SK"/>
        </w:rPr>
      </w:pPr>
    </w:p>
    <w:p w14:paraId="264E360E" w14:textId="77777777" w:rsidR="00016747" w:rsidRPr="00A85545" w:rsidRDefault="00016747" w:rsidP="00016747">
      <w:pPr>
        <w:rPr>
          <w:i/>
          <w:szCs w:val="22"/>
          <w:lang w:val="sk-SK"/>
        </w:rPr>
      </w:pPr>
      <w:r w:rsidRPr="00A85545">
        <w:rPr>
          <w:i/>
          <w:szCs w:val="22"/>
          <w:lang w:val="sk-SK"/>
        </w:rPr>
        <w:t>Absorpcia</w:t>
      </w:r>
      <w:r w:rsidR="00D85B91" w:rsidRPr="00A85545">
        <w:rPr>
          <w:i/>
          <w:szCs w:val="22"/>
          <w:lang w:val="sk-SK"/>
        </w:rPr>
        <w:t>, distribúcia a väzba na plazmatické proteíny</w:t>
      </w:r>
    </w:p>
    <w:p w14:paraId="264E360F" w14:textId="77777777" w:rsidR="00D85B91" w:rsidRDefault="00016747" w:rsidP="00D85B91">
      <w:pPr>
        <w:rPr>
          <w:szCs w:val="22"/>
          <w:lang w:val="sk-SK"/>
        </w:rPr>
      </w:pPr>
      <w:r w:rsidRPr="00157521">
        <w:rPr>
          <w:szCs w:val="22"/>
          <w:lang w:val="sk-SK"/>
        </w:rPr>
        <w:t>Po</w:t>
      </w:r>
      <w:r w:rsidRPr="00157521">
        <w:rPr>
          <w:lang w:val="sk-SK"/>
        </w:rPr>
        <w:t xml:space="preserve"> perorálnom podaní </w:t>
      </w:r>
      <w:r w:rsidRPr="00157521">
        <w:rPr>
          <w:szCs w:val="22"/>
          <w:lang w:val="sk-SK"/>
        </w:rPr>
        <w:t xml:space="preserve">terapeutických dávok sa </w:t>
      </w: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szCs w:val="22"/>
          <w:lang w:val="sk-SK"/>
        </w:rPr>
        <w:t xml:space="preserve"> dobre vstrebáva, pričom maximálne plazmatické koncentrácie</w:t>
      </w:r>
      <w:r w:rsidRPr="00157521">
        <w:rPr>
          <w:lang w:val="sk-SK"/>
        </w:rPr>
        <w:t xml:space="preserve"> sa </w:t>
      </w:r>
      <w:r w:rsidRPr="00157521">
        <w:rPr>
          <w:szCs w:val="22"/>
          <w:lang w:val="sk-SK"/>
        </w:rPr>
        <w:t>dosiahnu</w:t>
      </w:r>
      <w:r w:rsidRPr="00157521">
        <w:rPr>
          <w:lang w:val="sk-SK"/>
        </w:rPr>
        <w:t xml:space="preserve"> 6</w:t>
      </w:r>
      <w:r w:rsidRPr="00157521">
        <w:rPr>
          <w:szCs w:val="22"/>
          <w:lang w:val="sk-SK"/>
        </w:rPr>
        <w:t> – 12 </w:t>
      </w:r>
      <w:r w:rsidRPr="00157521">
        <w:rPr>
          <w:lang w:val="sk-SK"/>
        </w:rPr>
        <w:t xml:space="preserve">hodín po </w:t>
      </w:r>
      <w:r w:rsidRPr="00157521">
        <w:rPr>
          <w:szCs w:val="22"/>
          <w:lang w:val="sk-SK"/>
        </w:rPr>
        <w:t>užití dávky. Odhaduje sa, že absolútna biologická</w:t>
      </w:r>
      <w:r w:rsidRPr="00157521">
        <w:rPr>
          <w:lang w:val="sk-SK"/>
        </w:rPr>
        <w:t xml:space="preserve"> dostupnosť </w:t>
      </w:r>
      <w:r w:rsidRPr="00157521">
        <w:rPr>
          <w:szCs w:val="22"/>
          <w:lang w:val="sk-SK"/>
        </w:rPr>
        <w:t>je v rozpätí 64 – 80 %.</w:t>
      </w:r>
      <w:r w:rsidR="00D85B91" w:rsidRPr="00D85B91">
        <w:rPr>
          <w:szCs w:val="22"/>
          <w:lang w:val="sk-SK"/>
        </w:rPr>
        <w:t xml:space="preserve"> </w:t>
      </w:r>
      <w:r w:rsidR="00D85B91" w:rsidRPr="00157521">
        <w:rPr>
          <w:szCs w:val="22"/>
          <w:lang w:val="sk-SK"/>
        </w:rPr>
        <w:t xml:space="preserve">Distribučný objem je približne 21 l/kg. </w:t>
      </w:r>
      <w:r w:rsidR="003B2C16">
        <w:rPr>
          <w:szCs w:val="22"/>
          <w:lang w:val="sk-SK"/>
        </w:rPr>
        <w:t>Š</w:t>
      </w:r>
      <w:r w:rsidR="00D85B91" w:rsidRPr="00157521">
        <w:rPr>
          <w:szCs w:val="22"/>
          <w:lang w:val="sk-SK"/>
        </w:rPr>
        <w:t>túdi</w:t>
      </w:r>
      <w:r w:rsidR="003B2C16">
        <w:rPr>
          <w:szCs w:val="22"/>
          <w:lang w:val="sk-SK"/>
        </w:rPr>
        <w:t>e</w:t>
      </w:r>
      <w:r w:rsidR="00D85B91" w:rsidRPr="00157521">
        <w:rPr>
          <w:szCs w:val="22"/>
          <w:lang w:val="sk-SK"/>
        </w:rPr>
        <w:t xml:space="preserve"> </w:t>
      </w:r>
      <w:r w:rsidR="00D85B91" w:rsidRPr="00157521">
        <w:rPr>
          <w:i/>
          <w:szCs w:val="22"/>
          <w:lang w:val="sk-SK"/>
        </w:rPr>
        <w:t>in vitro</w:t>
      </w:r>
      <w:r w:rsidR="00D85B91" w:rsidRPr="00157521">
        <w:rPr>
          <w:szCs w:val="22"/>
          <w:lang w:val="sk-SK"/>
        </w:rPr>
        <w:t xml:space="preserve"> </w:t>
      </w:r>
      <w:r w:rsidR="003B2C16">
        <w:rPr>
          <w:szCs w:val="22"/>
          <w:lang w:val="sk-SK"/>
        </w:rPr>
        <w:lastRenderedPageBreak/>
        <w:t>pre</w:t>
      </w:r>
      <w:r w:rsidR="00D85B91" w:rsidRPr="00157521">
        <w:rPr>
          <w:szCs w:val="22"/>
          <w:lang w:val="sk-SK"/>
        </w:rPr>
        <w:t>uk</w:t>
      </w:r>
      <w:r w:rsidR="003B2C16">
        <w:rPr>
          <w:szCs w:val="22"/>
          <w:lang w:val="sk-SK"/>
        </w:rPr>
        <w:t>á</w:t>
      </w:r>
      <w:r w:rsidR="00D85B91" w:rsidRPr="00157521">
        <w:rPr>
          <w:szCs w:val="22"/>
          <w:lang w:val="sk-SK"/>
        </w:rPr>
        <w:t>z</w:t>
      </w:r>
      <w:r w:rsidR="003B2C16">
        <w:rPr>
          <w:szCs w:val="22"/>
          <w:lang w:val="sk-SK"/>
        </w:rPr>
        <w:t>ali</w:t>
      </w:r>
      <w:r w:rsidR="00D85B91" w:rsidRPr="00157521">
        <w:rPr>
          <w:szCs w:val="22"/>
          <w:lang w:val="sk-SK"/>
        </w:rPr>
        <w:t xml:space="preserve">, že </w:t>
      </w:r>
      <w:r w:rsidR="003B2C16">
        <w:rPr>
          <w:szCs w:val="22"/>
          <w:lang w:val="sk-SK"/>
        </w:rPr>
        <w:t xml:space="preserve">približne </w:t>
      </w:r>
      <w:r w:rsidR="003B2C16" w:rsidRPr="00157521">
        <w:rPr>
          <w:szCs w:val="22"/>
          <w:lang w:val="sk-SK"/>
        </w:rPr>
        <w:t>97,5 %</w:t>
      </w:r>
      <w:r w:rsidR="003B2C16">
        <w:rPr>
          <w:szCs w:val="22"/>
          <w:lang w:val="sk-SK"/>
        </w:rPr>
        <w:t xml:space="preserve"> </w:t>
      </w:r>
      <w:r w:rsidR="00D85B91" w:rsidRPr="00157521">
        <w:rPr>
          <w:szCs w:val="22"/>
          <w:lang w:val="sk-SK"/>
        </w:rPr>
        <w:t>cirkulujúc</w:t>
      </w:r>
      <w:r w:rsidR="003B2C16">
        <w:rPr>
          <w:szCs w:val="22"/>
          <w:lang w:val="sk-SK"/>
        </w:rPr>
        <w:t>eho</w:t>
      </w:r>
      <w:r w:rsidR="00D85B91" w:rsidRPr="00157521">
        <w:rPr>
          <w:szCs w:val="22"/>
          <w:lang w:val="sk-SK"/>
        </w:rPr>
        <w:t xml:space="preserve"> </w:t>
      </w:r>
      <w:proofErr w:type="spellStart"/>
      <w:r w:rsidR="00D85B91" w:rsidRPr="00157521">
        <w:rPr>
          <w:szCs w:val="22"/>
          <w:lang w:val="sk-SK"/>
        </w:rPr>
        <w:t>amlodipín</w:t>
      </w:r>
      <w:r w:rsidR="003B2C16">
        <w:rPr>
          <w:szCs w:val="22"/>
          <w:lang w:val="sk-SK"/>
        </w:rPr>
        <w:t>u</w:t>
      </w:r>
      <w:proofErr w:type="spellEnd"/>
      <w:r w:rsidR="00D85B91" w:rsidRPr="00157521">
        <w:rPr>
          <w:szCs w:val="22"/>
          <w:lang w:val="sk-SK"/>
        </w:rPr>
        <w:t xml:space="preserve"> </w:t>
      </w:r>
      <w:r w:rsidR="003B2C16">
        <w:rPr>
          <w:szCs w:val="22"/>
          <w:lang w:val="sk-SK"/>
        </w:rPr>
        <w:t>je</w:t>
      </w:r>
      <w:r w:rsidR="00D85B91" w:rsidRPr="00157521">
        <w:rPr>
          <w:szCs w:val="22"/>
          <w:lang w:val="sk-SK"/>
        </w:rPr>
        <w:t xml:space="preserve"> </w:t>
      </w:r>
      <w:r w:rsidR="003B2C16">
        <w:rPr>
          <w:szCs w:val="22"/>
          <w:lang w:val="sk-SK"/>
        </w:rPr>
        <w:t>na</w:t>
      </w:r>
      <w:r w:rsidR="00D85B91" w:rsidRPr="00157521">
        <w:rPr>
          <w:szCs w:val="22"/>
          <w:lang w:val="sk-SK"/>
        </w:rPr>
        <w:t>via</w:t>
      </w:r>
      <w:r w:rsidR="003B2C16">
        <w:rPr>
          <w:szCs w:val="22"/>
          <w:lang w:val="sk-SK"/>
        </w:rPr>
        <w:t>zaného</w:t>
      </w:r>
      <w:r w:rsidR="00D85B91" w:rsidRPr="00157521">
        <w:rPr>
          <w:szCs w:val="22"/>
          <w:lang w:val="sk-SK"/>
        </w:rPr>
        <w:t xml:space="preserve"> na plazmatické bielkoviny.</w:t>
      </w:r>
      <w:r w:rsidR="00D85B91">
        <w:rPr>
          <w:szCs w:val="22"/>
          <w:lang w:val="sk-SK"/>
        </w:rPr>
        <w:t xml:space="preserve"> Biologická dostupnosť </w:t>
      </w:r>
      <w:proofErr w:type="spellStart"/>
      <w:r w:rsidR="00D85B91">
        <w:rPr>
          <w:szCs w:val="22"/>
          <w:lang w:val="sk-SK"/>
        </w:rPr>
        <w:t>amlodipínu</w:t>
      </w:r>
      <w:proofErr w:type="spellEnd"/>
      <w:r w:rsidR="00D85B91">
        <w:rPr>
          <w:szCs w:val="22"/>
          <w:lang w:val="sk-SK"/>
        </w:rPr>
        <w:t xml:space="preserve"> nie je ovplyvnená príjmom </w:t>
      </w:r>
      <w:r w:rsidR="003B2C16">
        <w:rPr>
          <w:szCs w:val="22"/>
          <w:lang w:val="sk-SK"/>
        </w:rPr>
        <w:t>jedla</w:t>
      </w:r>
      <w:r w:rsidR="00D85B91">
        <w:rPr>
          <w:szCs w:val="22"/>
          <w:lang w:val="sk-SK"/>
        </w:rPr>
        <w:t>.</w:t>
      </w:r>
    </w:p>
    <w:p w14:paraId="264E3610" w14:textId="77777777" w:rsidR="00166D3F" w:rsidRDefault="00166D3F" w:rsidP="00D85B91">
      <w:pPr>
        <w:rPr>
          <w:szCs w:val="22"/>
          <w:lang w:val="sk-SK"/>
        </w:rPr>
      </w:pPr>
    </w:p>
    <w:p w14:paraId="264E3611" w14:textId="77777777" w:rsidR="00016747" w:rsidRPr="00A85545" w:rsidRDefault="00016747" w:rsidP="00016747">
      <w:pPr>
        <w:rPr>
          <w:b/>
          <w:i/>
          <w:szCs w:val="22"/>
          <w:lang w:val="sk-SK"/>
        </w:rPr>
      </w:pPr>
      <w:proofErr w:type="spellStart"/>
      <w:r w:rsidRPr="00A85545">
        <w:rPr>
          <w:i/>
          <w:szCs w:val="22"/>
          <w:lang w:val="sk-SK"/>
        </w:rPr>
        <w:t>Biotransformácia</w:t>
      </w:r>
      <w:proofErr w:type="spellEnd"/>
      <w:r w:rsidRPr="00A85545">
        <w:rPr>
          <w:i/>
          <w:szCs w:val="22"/>
          <w:lang w:val="sk-SK"/>
        </w:rPr>
        <w:t xml:space="preserve"> a eliminácia</w:t>
      </w:r>
    </w:p>
    <w:p w14:paraId="264E3612" w14:textId="77777777" w:rsidR="00016747" w:rsidRPr="00157521" w:rsidRDefault="00016747" w:rsidP="00016747">
      <w:pPr>
        <w:rPr>
          <w:szCs w:val="22"/>
          <w:lang w:val="sk-SK"/>
        </w:rPr>
      </w:pPr>
      <w:r w:rsidRPr="00157521">
        <w:rPr>
          <w:szCs w:val="22"/>
          <w:lang w:val="sk-SK"/>
        </w:rPr>
        <w:t>Koncový eliminačný plazmatický polčas je asi 35 </w:t>
      </w:r>
      <w:r w:rsidRPr="00157521">
        <w:rPr>
          <w:szCs w:val="22"/>
          <w:lang w:val="sk-SK"/>
        </w:rPr>
        <w:noBreakHyphen/>
        <w:t xml:space="preserve"> 50 hodín a umožňuje podávanie </w:t>
      </w:r>
      <w:proofErr w:type="spellStart"/>
      <w:r w:rsidRPr="00157521">
        <w:rPr>
          <w:lang w:val="sk-SK"/>
        </w:rPr>
        <w:t>amlodipínu</w:t>
      </w:r>
      <w:proofErr w:type="spellEnd"/>
      <w:r w:rsidRPr="00157521">
        <w:rPr>
          <w:lang w:val="sk-SK"/>
        </w:rPr>
        <w:t xml:space="preserve"> </w:t>
      </w:r>
      <w:r w:rsidRPr="00157521">
        <w:rPr>
          <w:szCs w:val="22"/>
          <w:lang w:val="sk-SK"/>
        </w:rPr>
        <w:t>v jednej dennej dávke</w:t>
      </w:r>
      <w:r w:rsidRPr="00157521">
        <w:rPr>
          <w:lang w:val="sk-SK"/>
        </w:rPr>
        <w:t xml:space="preserve">. </w:t>
      </w:r>
      <w:proofErr w:type="spellStart"/>
      <w:r w:rsidRPr="00157521">
        <w:rPr>
          <w:lang w:val="sk-SK"/>
        </w:rPr>
        <w:t>Amlodipín</w:t>
      </w:r>
      <w:proofErr w:type="spellEnd"/>
      <w:r w:rsidRPr="00157521">
        <w:rPr>
          <w:lang w:val="sk-SK"/>
        </w:rPr>
        <w:t xml:space="preserve"> sa </w:t>
      </w:r>
      <w:r w:rsidRPr="00157521">
        <w:rPr>
          <w:szCs w:val="22"/>
          <w:lang w:val="sk-SK"/>
        </w:rPr>
        <w:t>extenzívne</w:t>
      </w:r>
      <w:r w:rsidRPr="00157521">
        <w:rPr>
          <w:lang w:val="sk-SK"/>
        </w:rPr>
        <w:t xml:space="preserve"> metabolizuje v pečeni na </w:t>
      </w:r>
      <w:r w:rsidRPr="00157521">
        <w:rPr>
          <w:szCs w:val="22"/>
          <w:lang w:val="sk-SK"/>
        </w:rPr>
        <w:t>neúčinné</w:t>
      </w:r>
      <w:r w:rsidRPr="00157521">
        <w:rPr>
          <w:lang w:val="sk-SK"/>
        </w:rPr>
        <w:t xml:space="preserve"> </w:t>
      </w:r>
      <w:proofErr w:type="spellStart"/>
      <w:r w:rsidRPr="00157521">
        <w:rPr>
          <w:lang w:val="sk-SK"/>
        </w:rPr>
        <w:t>metabolity</w:t>
      </w:r>
      <w:proofErr w:type="spellEnd"/>
      <w:r w:rsidRPr="00157521">
        <w:rPr>
          <w:lang w:val="sk-SK"/>
        </w:rPr>
        <w:t>, pričom 10</w:t>
      </w:r>
      <w:r w:rsidRPr="00157521">
        <w:rPr>
          <w:szCs w:val="22"/>
          <w:lang w:val="sk-SK"/>
        </w:rPr>
        <w:t> % materskej látky a </w:t>
      </w:r>
      <w:r w:rsidRPr="00157521">
        <w:rPr>
          <w:lang w:val="sk-SK"/>
        </w:rPr>
        <w:t>60</w:t>
      </w:r>
      <w:r w:rsidRPr="00157521">
        <w:rPr>
          <w:szCs w:val="22"/>
          <w:lang w:val="sk-SK"/>
        </w:rPr>
        <w:t> </w:t>
      </w:r>
      <w:r w:rsidRPr="00157521">
        <w:rPr>
          <w:lang w:val="sk-SK"/>
        </w:rPr>
        <w:t xml:space="preserve">% </w:t>
      </w:r>
      <w:proofErr w:type="spellStart"/>
      <w:r w:rsidRPr="00157521">
        <w:rPr>
          <w:lang w:val="sk-SK"/>
        </w:rPr>
        <w:t>metabolitov</w:t>
      </w:r>
      <w:proofErr w:type="spellEnd"/>
      <w:r w:rsidRPr="00157521">
        <w:rPr>
          <w:lang w:val="sk-SK"/>
        </w:rPr>
        <w:t xml:space="preserve"> sa </w:t>
      </w:r>
      <w:r w:rsidRPr="00157521">
        <w:rPr>
          <w:szCs w:val="22"/>
          <w:lang w:val="sk-SK"/>
        </w:rPr>
        <w:t>vylučuje do moču.</w:t>
      </w:r>
    </w:p>
    <w:p w14:paraId="264E3613" w14:textId="77777777" w:rsidR="00016747" w:rsidRPr="00157521" w:rsidRDefault="00016747" w:rsidP="00016747">
      <w:pPr>
        <w:rPr>
          <w:szCs w:val="22"/>
          <w:lang w:val="sk-SK"/>
        </w:rPr>
      </w:pPr>
    </w:p>
    <w:p w14:paraId="264E3614" w14:textId="77777777" w:rsidR="00016747" w:rsidRPr="00A85545" w:rsidRDefault="00016747" w:rsidP="00016747">
      <w:pPr>
        <w:pStyle w:val="Style1"/>
        <w:jc w:val="both"/>
        <w:rPr>
          <w:rFonts w:ascii="Times New Roman" w:hAnsi="Times New Roman"/>
          <w:i/>
          <w:sz w:val="22"/>
          <w:szCs w:val="22"/>
          <w:u w:val="single"/>
          <w:lang w:val="sk-SK"/>
        </w:rPr>
      </w:pPr>
      <w:proofErr w:type="spellStart"/>
      <w:r w:rsidRPr="00A85545">
        <w:rPr>
          <w:rFonts w:ascii="Times New Roman" w:hAnsi="Times New Roman"/>
          <w:i/>
          <w:sz w:val="22"/>
          <w:szCs w:val="22"/>
          <w:u w:val="single"/>
          <w:lang w:val="sk-SK"/>
        </w:rPr>
        <w:t>Farmakokinetické</w:t>
      </w:r>
      <w:proofErr w:type="spellEnd"/>
      <w:r w:rsidRPr="00A85545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charakteristiky v</w:t>
      </w:r>
      <w:r w:rsidR="00166D3F" w:rsidRPr="000B69CF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 osobitných </w:t>
      </w:r>
      <w:r w:rsidRPr="00A85545">
        <w:rPr>
          <w:rFonts w:ascii="Times New Roman" w:hAnsi="Times New Roman"/>
          <w:i/>
          <w:sz w:val="22"/>
          <w:szCs w:val="22"/>
          <w:u w:val="single"/>
          <w:lang w:val="sk-SK"/>
        </w:rPr>
        <w:t>populáciách</w:t>
      </w:r>
    </w:p>
    <w:p w14:paraId="264E3615" w14:textId="77777777" w:rsidR="00016747" w:rsidRPr="00157521" w:rsidRDefault="00016747" w:rsidP="00016747">
      <w:pPr>
        <w:rPr>
          <w:i/>
          <w:szCs w:val="22"/>
          <w:lang w:val="sk-SK"/>
        </w:rPr>
      </w:pPr>
    </w:p>
    <w:p w14:paraId="264E3616" w14:textId="77777777" w:rsidR="00016747" w:rsidRPr="00157521" w:rsidRDefault="00F6031C" w:rsidP="00016747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P</w:t>
      </w:r>
      <w:r w:rsidR="00016747" w:rsidRPr="00157521">
        <w:rPr>
          <w:i/>
          <w:szCs w:val="22"/>
          <w:lang w:val="sk-SK"/>
        </w:rPr>
        <w:t>oruch</w:t>
      </w:r>
      <w:r>
        <w:rPr>
          <w:i/>
          <w:szCs w:val="22"/>
          <w:lang w:val="sk-SK"/>
        </w:rPr>
        <w:t>a</w:t>
      </w:r>
      <w:r w:rsidR="00166D3F">
        <w:rPr>
          <w:i/>
          <w:szCs w:val="22"/>
          <w:lang w:val="sk-SK"/>
        </w:rPr>
        <w:t xml:space="preserve"> </w:t>
      </w:r>
      <w:r w:rsidR="00016747" w:rsidRPr="00157521">
        <w:rPr>
          <w:i/>
          <w:szCs w:val="22"/>
          <w:lang w:val="sk-SK"/>
        </w:rPr>
        <w:t>funkcie pečene</w:t>
      </w:r>
    </w:p>
    <w:p w14:paraId="264E3617" w14:textId="77777777" w:rsidR="00016747" w:rsidRPr="00157521" w:rsidRDefault="00016747" w:rsidP="00016747">
      <w:pPr>
        <w:rPr>
          <w:lang w:val="sk-SK"/>
        </w:rPr>
      </w:pPr>
      <w:r w:rsidRPr="00157521">
        <w:rPr>
          <w:szCs w:val="22"/>
          <w:lang w:val="sk-SK"/>
        </w:rPr>
        <w:t xml:space="preserve">K dispozícii sú veľmi obmedzené údaje týkajúce sa podávania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u pacientov </w:t>
      </w:r>
      <w:r w:rsidRPr="00157521">
        <w:rPr>
          <w:lang w:val="sk-SK"/>
        </w:rPr>
        <w:t>s </w:t>
      </w:r>
      <w:r w:rsidRPr="00157521">
        <w:rPr>
          <w:szCs w:val="22"/>
          <w:lang w:val="sk-SK"/>
        </w:rPr>
        <w:t xml:space="preserve">poruchou funkcie pečene. Pacienti s pečeňovou nedostatočnosťou majú znížený </w:t>
      </w:r>
      <w:proofErr w:type="spellStart"/>
      <w:r w:rsidRPr="00157521">
        <w:rPr>
          <w:szCs w:val="22"/>
          <w:lang w:val="sk-SK"/>
        </w:rPr>
        <w:t>klírens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>, ktorý má za následok predĺženie biologického polčasu a zväčšenie plochy pod krivkou (</w:t>
      </w:r>
      <w:proofErr w:type="spellStart"/>
      <w:r w:rsidRPr="00157521">
        <w:rPr>
          <w:szCs w:val="22"/>
          <w:lang w:val="sk-SK"/>
        </w:rPr>
        <w:t>area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under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szCs w:val="22"/>
          <w:lang w:val="sk-SK"/>
        </w:rPr>
        <w:t>curve</w:t>
      </w:r>
      <w:proofErr w:type="spellEnd"/>
      <w:r w:rsidRPr="00157521">
        <w:rPr>
          <w:szCs w:val="22"/>
          <w:lang w:val="sk-SK"/>
        </w:rPr>
        <w:t>, AUC)</w:t>
      </w:r>
      <w:r w:rsidRPr="00157521">
        <w:rPr>
          <w:lang w:val="sk-SK"/>
        </w:rPr>
        <w:t xml:space="preserve"> približne </w:t>
      </w:r>
      <w:r w:rsidRPr="00157521">
        <w:rPr>
          <w:szCs w:val="22"/>
          <w:lang w:val="sk-SK"/>
        </w:rPr>
        <w:t>o 40 </w:t>
      </w:r>
      <w:r w:rsidRPr="00157521">
        <w:rPr>
          <w:szCs w:val="22"/>
          <w:lang w:val="sk-SK"/>
        </w:rPr>
        <w:noBreakHyphen/>
        <w:t> 60 %.</w:t>
      </w:r>
    </w:p>
    <w:p w14:paraId="264E3618" w14:textId="77777777" w:rsidR="00016747" w:rsidRPr="00157521" w:rsidRDefault="00016747" w:rsidP="00016747">
      <w:pPr>
        <w:rPr>
          <w:lang w:val="sk-SK"/>
        </w:rPr>
      </w:pPr>
    </w:p>
    <w:p w14:paraId="264E3619" w14:textId="77777777" w:rsidR="00016747" w:rsidRPr="00157521" w:rsidRDefault="00166D3F" w:rsidP="00016747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S</w:t>
      </w:r>
      <w:r w:rsidR="00016747" w:rsidRPr="00157521">
        <w:rPr>
          <w:i/>
          <w:lang w:val="sk-SK"/>
        </w:rPr>
        <w:t>tarší</w:t>
      </w:r>
      <w:r>
        <w:rPr>
          <w:i/>
          <w:lang w:val="sk-SK"/>
        </w:rPr>
        <w:t xml:space="preserve"> </w:t>
      </w:r>
      <w:r>
        <w:rPr>
          <w:i/>
          <w:szCs w:val="22"/>
          <w:lang w:val="sk-SK"/>
        </w:rPr>
        <w:t>ľudia</w:t>
      </w:r>
    </w:p>
    <w:p w14:paraId="264E361A" w14:textId="77777777" w:rsidR="00016747" w:rsidRPr="00157521" w:rsidRDefault="00016747" w:rsidP="00016747">
      <w:pPr>
        <w:rPr>
          <w:lang w:val="sk-SK"/>
        </w:rPr>
      </w:pPr>
      <w:r w:rsidRPr="00157521">
        <w:rPr>
          <w:szCs w:val="22"/>
          <w:lang w:val="sk-SK"/>
        </w:rPr>
        <w:t xml:space="preserve">Čas po dosiahnutie maximálnej plazmatickej koncentrácie </w:t>
      </w:r>
      <w:proofErr w:type="spellStart"/>
      <w:r w:rsidRPr="00157521">
        <w:rPr>
          <w:szCs w:val="22"/>
          <w:lang w:val="sk-SK"/>
        </w:rPr>
        <w:t>amlodipínu</w:t>
      </w:r>
      <w:proofErr w:type="spellEnd"/>
      <w:r w:rsidRPr="00157521">
        <w:rPr>
          <w:szCs w:val="22"/>
          <w:lang w:val="sk-SK"/>
        </w:rPr>
        <w:t xml:space="preserve"> u</w:t>
      </w:r>
      <w:r w:rsidRPr="00157521">
        <w:rPr>
          <w:lang w:val="sk-SK"/>
        </w:rPr>
        <w:t xml:space="preserve"> starších </w:t>
      </w:r>
      <w:r w:rsidRPr="00157521">
        <w:rPr>
          <w:szCs w:val="22"/>
          <w:lang w:val="sk-SK"/>
        </w:rPr>
        <w:t xml:space="preserve">i mladých </w:t>
      </w:r>
      <w:r w:rsidRPr="00157521">
        <w:rPr>
          <w:lang w:val="sk-SK"/>
        </w:rPr>
        <w:t xml:space="preserve">ľudí </w:t>
      </w:r>
      <w:r w:rsidRPr="00157521">
        <w:rPr>
          <w:szCs w:val="22"/>
          <w:lang w:val="sk-SK"/>
        </w:rPr>
        <w:t xml:space="preserve">je podobný. </w:t>
      </w:r>
      <w:proofErr w:type="spellStart"/>
      <w:r w:rsidRPr="00157521">
        <w:rPr>
          <w:szCs w:val="22"/>
          <w:lang w:val="sk-SK"/>
        </w:rPr>
        <w:t>Klírens</w:t>
      </w:r>
      <w:proofErr w:type="spellEnd"/>
      <w:r w:rsidRPr="00157521">
        <w:rPr>
          <w:szCs w:val="22"/>
          <w:lang w:val="sk-SK"/>
        </w:rPr>
        <w:t xml:space="preserve"> </w:t>
      </w:r>
      <w:proofErr w:type="spellStart"/>
      <w:r w:rsidRPr="00157521">
        <w:rPr>
          <w:lang w:val="sk-SK"/>
        </w:rPr>
        <w:t>amlodipínu</w:t>
      </w:r>
      <w:proofErr w:type="spellEnd"/>
      <w:r w:rsidRPr="00157521">
        <w:rPr>
          <w:lang w:val="sk-SK"/>
        </w:rPr>
        <w:t xml:space="preserve"> </w:t>
      </w:r>
      <w:r w:rsidRPr="00157521">
        <w:rPr>
          <w:szCs w:val="22"/>
          <w:lang w:val="sk-SK"/>
        </w:rPr>
        <w:t xml:space="preserve">má </w:t>
      </w:r>
      <w:r w:rsidRPr="00157521">
        <w:rPr>
          <w:lang w:val="sk-SK"/>
        </w:rPr>
        <w:t>tendenciu k</w:t>
      </w:r>
      <w:r w:rsidRPr="00157521">
        <w:rPr>
          <w:szCs w:val="22"/>
          <w:lang w:val="sk-SK"/>
        </w:rPr>
        <w:t> zníženiu, čo vedie k zväčšeniu plochy pod krivkou (</w:t>
      </w:r>
      <w:r w:rsidRPr="00157521">
        <w:rPr>
          <w:lang w:val="sk-SK"/>
        </w:rPr>
        <w:t>AUC</w:t>
      </w:r>
      <w:r w:rsidRPr="00157521">
        <w:rPr>
          <w:szCs w:val="22"/>
          <w:lang w:val="sk-SK"/>
        </w:rPr>
        <w:t>) a predĺženiu eliminačného</w:t>
      </w:r>
      <w:r w:rsidRPr="00157521">
        <w:rPr>
          <w:lang w:val="sk-SK"/>
        </w:rPr>
        <w:t xml:space="preserve"> polčasu </w:t>
      </w:r>
      <w:r w:rsidRPr="00157521">
        <w:rPr>
          <w:szCs w:val="22"/>
          <w:lang w:val="sk-SK"/>
        </w:rPr>
        <w:t>u </w:t>
      </w:r>
      <w:r w:rsidRPr="00157521">
        <w:rPr>
          <w:lang w:val="sk-SK"/>
        </w:rPr>
        <w:t xml:space="preserve">starších </w:t>
      </w:r>
      <w:r w:rsidRPr="00157521">
        <w:rPr>
          <w:szCs w:val="22"/>
          <w:lang w:val="sk-SK"/>
        </w:rPr>
        <w:t xml:space="preserve">pacientov. </w:t>
      </w:r>
    </w:p>
    <w:p w14:paraId="264E361B" w14:textId="77777777" w:rsidR="00016747" w:rsidRPr="00157521" w:rsidRDefault="00016747" w:rsidP="00016747">
      <w:pPr>
        <w:rPr>
          <w:szCs w:val="22"/>
          <w:lang w:val="sk-SK"/>
        </w:rPr>
      </w:pPr>
      <w:r w:rsidRPr="00157521">
        <w:rPr>
          <w:szCs w:val="22"/>
          <w:lang w:val="sk-SK"/>
        </w:rPr>
        <w:t>Zväčšenie plochy pod krivkou (AUC) a predĺženie eliminačného polčasu u pacientov s </w:t>
      </w:r>
      <w:proofErr w:type="spellStart"/>
      <w:r w:rsidRPr="00157521">
        <w:rPr>
          <w:szCs w:val="22"/>
          <w:lang w:val="sk-SK"/>
        </w:rPr>
        <w:t>kongestívnym</w:t>
      </w:r>
      <w:proofErr w:type="spellEnd"/>
      <w:r w:rsidRPr="00157521">
        <w:rPr>
          <w:szCs w:val="22"/>
          <w:lang w:val="sk-SK"/>
        </w:rPr>
        <w:t xml:space="preserve"> srdcovým zlyhaním bolo v rozsahu, aký sa očakával vzhľadom na vek skúmanej skupiny pacientov.</w:t>
      </w:r>
    </w:p>
    <w:p w14:paraId="264E361C" w14:textId="77777777" w:rsidR="00016747" w:rsidRPr="00157521" w:rsidRDefault="00016747" w:rsidP="00016747">
      <w:pPr>
        <w:rPr>
          <w:szCs w:val="22"/>
          <w:lang w:val="sk-SK"/>
        </w:rPr>
      </w:pPr>
    </w:p>
    <w:p w14:paraId="264E361D" w14:textId="77777777" w:rsidR="00016747" w:rsidRPr="00157521" w:rsidRDefault="0045736E" w:rsidP="00016747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 Pediatrická populácia</w:t>
      </w:r>
    </w:p>
    <w:p w14:paraId="264E361E" w14:textId="77777777" w:rsidR="00016747" w:rsidRPr="00157521" w:rsidRDefault="00016747" w:rsidP="00016747">
      <w:pPr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Populačná </w:t>
      </w:r>
      <w:proofErr w:type="spellStart"/>
      <w:r w:rsidRPr="00157521">
        <w:rPr>
          <w:szCs w:val="22"/>
          <w:lang w:val="sk-SK"/>
        </w:rPr>
        <w:t>farmakokinetická</w:t>
      </w:r>
      <w:proofErr w:type="spellEnd"/>
      <w:r w:rsidRPr="00157521">
        <w:rPr>
          <w:szCs w:val="22"/>
          <w:lang w:val="sk-SK"/>
        </w:rPr>
        <w:t xml:space="preserve"> (PK) štúdia bola vykonaná u 74 </w:t>
      </w:r>
      <w:proofErr w:type="spellStart"/>
      <w:r w:rsidRPr="00157521">
        <w:rPr>
          <w:szCs w:val="22"/>
          <w:lang w:val="sk-SK"/>
        </w:rPr>
        <w:t>hypertenzných</w:t>
      </w:r>
      <w:proofErr w:type="spellEnd"/>
      <w:r w:rsidRPr="00157521">
        <w:rPr>
          <w:szCs w:val="22"/>
          <w:lang w:val="sk-SK"/>
        </w:rPr>
        <w:t xml:space="preserve"> detí vo veku od 1 do 17 rokov (kde 34 pacientov bolo vo veku 6 až 12 rokov a 28 pacientov vo veku 13 až 17 rokov), ktoré užívali </w:t>
      </w: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szCs w:val="22"/>
          <w:lang w:val="sk-SK"/>
        </w:rPr>
        <w:t xml:space="preserve"> v dávkach 1,25 mg a 20 mg podávaných buď jedenkrát alebo dvakrát denne. Typický </w:t>
      </w:r>
      <w:proofErr w:type="spellStart"/>
      <w:r w:rsidRPr="00157521">
        <w:rPr>
          <w:szCs w:val="22"/>
          <w:lang w:val="sk-SK"/>
        </w:rPr>
        <w:t>klírens</w:t>
      </w:r>
      <w:proofErr w:type="spellEnd"/>
      <w:r w:rsidRPr="00157521">
        <w:rPr>
          <w:szCs w:val="22"/>
          <w:lang w:val="sk-SK"/>
        </w:rPr>
        <w:t xml:space="preserve"> po perorálnom podaní (Cl/F) bol u detí vo veku 6 až 12 rokov 22,5 l/h u chlapcov a 16,4 l/h u dievčat a u dospievajúcich vo veku 13 až 17 rokov bol 27,4 l/h u chlapcov a 21,3 l/h u dievčat. Medzi jednotlivcami bola pozorovaná veľká variabilita v expozícii. Údaje hlásené u detí mladších ako 6 rokov sú obmedzené.</w:t>
      </w:r>
    </w:p>
    <w:p w14:paraId="264E361F" w14:textId="77777777" w:rsidR="00016747" w:rsidRPr="00157521" w:rsidRDefault="00016747" w:rsidP="00016747">
      <w:pPr>
        <w:rPr>
          <w:szCs w:val="22"/>
          <w:lang w:val="sk-SK"/>
        </w:rPr>
      </w:pPr>
    </w:p>
    <w:p w14:paraId="264E3620" w14:textId="77777777" w:rsidR="00681759" w:rsidRPr="00157521" w:rsidRDefault="00F02C9B" w:rsidP="009512D0">
      <w:pPr>
        <w:spacing w:line="240" w:lineRule="auto"/>
        <w:rPr>
          <w:szCs w:val="22"/>
          <w:u w:val="single"/>
          <w:lang w:val="sk-SK"/>
        </w:rPr>
      </w:pPr>
      <w:r w:rsidRPr="00157521">
        <w:rPr>
          <w:szCs w:val="22"/>
          <w:u w:val="single"/>
          <w:lang w:val="sk-SK"/>
        </w:rPr>
        <w:t>Kombinácia fixných dávok</w:t>
      </w:r>
    </w:p>
    <w:p w14:paraId="264E3621" w14:textId="77777777" w:rsidR="001A6EF0" w:rsidRPr="00157521" w:rsidRDefault="00F02C9B" w:rsidP="001A6EF0">
      <w:pPr>
        <w:rPr>
          <w:lang w:val="sk-SK"/>
        </w:rPr>
      </w:pPr>
      <w:r w:rsidRPr="00157521">
        <w:rPr>
          <w:lang w:val="sk-SK"/>
        </w:rPr>
        <w:t xml:space="preserve">Neboli popísané </w:t>
      </w:r>
      <w:proofErr w:type="spellStart"/>
      <w:r w:rsidRPr="00157521">
        <w:rPr>
          <w:lang w:val="sk-SK"/>
        </w:rPr>
        <w:t>farmakokinetické</w:t>
      </w:r>
      <w:proofErr w:type="spellEnd"/>
      <w:r w:rsidRPr="00157521">
        <w:rPr>
          <w:lang w:val="sk-SK"/>
        </w:rPr>
        <w:t xml:space="preserve"> interakcie medzi liečivami </w:t>
      </w:r>
      <w:r w:rsidR="00915D85">
        <w:rPr>
          <w:szCs w:val="22"/>
          <w:lang w:val="sk-SK"/>
        </w:rPr>
        <w:t>DIRONORMU</w:t>
      </w:r>
      <w:r w:rsidR="00681759" w:rsidRPr="00157521">
        <w:rPr>
          <w:lang w:val="sk-SK"/>
        </w:rPr>
        <w:t xml:space="preserve">. </w:t>
      </w:r>
    </w:p>
    <w:p w14:paraId="264E3622" w14:textId="77777777" w:rsidR="00681759" w:rsidRPr="00157521" w:rsidRDefault="00F02C9B" w:rsidP="001A6EF0">
      <w:pPr>
        <w:rPr>
          <w:lang w:val="sk-SK"/>
        </w:rPr>
      </w:pPr>
      <w:proofErr w:type="spellStart"/>
      <w:r w:rsidRPr="00157521">
        <w:rPr>
          <w:lang w:val="sk-SK"/>
        </w:rPr>
        <w:t>Farmakokinetické</w:t>
      </w:r>
      <w:proofErr w:type="spellEnd"/>
      <w:r w:rsidRPr="00157521">
        <w:rPr>
          <w:lang w:val="sk-SK"/>
        </w:rPr>
        <w:t xml:space="preserve"> parametre (AUC, </w:t>
      </w:r>
      <w:proofErr w:type="spellStart"/>
      <w:r w:rsidRPr="00157521">
        <w:rPr>
          <w:lang w:val="sk-SK"/>
        </w:rPr>
        <w:t>C</w:t>
      </w:r>
      <w:r w:rsidRPr="00157521">
        <w:rPr>
          <w:vertAlign w:val="subscript"/>
          <w:lang w:val="sk-SK"/>
        </w:rPr>
        <w:t>max</w:t>
      </w:r>
      <w:proofErr w:type="spellEnd"/>
      <w:r w:rsidRPr="00157521">
        <w:rPr>
          <w:lang w:val="sk-SK"/>
        </w:rPr>
        <w:t xml:space="preserve">, </w:t>
      </w:r>
      <w:proofErr w:type="spellStart"/>
      <w:r w:rsidRPr="00157521">
        <w:rPr>
          <w:lang w:val="sk-SK"/>
        </w:rPr>
        <w:t>t</w:t>
      </w:r>
      <w:r w:rsidRPr="00157521">
        <w:rPr>
          <w:vertAlign w:val="subscript"/>
          <w:lang w:val="sk-SK"/>
        </w:rPr>
        <w:t>max</w:t>
      </w:r>
      <w:proofErr w:type="spellEnd"/>
      <w:r w:rsidRPr="00157521">
        <w:rPr>
          <w:lang w:val="sk-SK"/>
        </w:rPr>
        <w:t xml:space="preserve">, polčas) sa nelíšili od tých, ktoré boli pozorované po </w:t>
      </w:r>
      <w:r w:rsidRPr="00157521">
        <w:rPr>
          <w:szCs w:val="22"/>
          <w:lang w:val="sk-SK"/>
        </w:rPr>
        <w:t xml:space="preserve">oddelenom </w:t>
      </w:r>
      <w:r w:rsidRPr="00157521">
        <w:rPr>
          <w:lang w:val="sk-SK"/>
        </w:rPr>
        <w:t>podaní jednotlivých zložiek</w:t>
      </w:r>
      <w:r w:rsidR="00681759" w:rsidRPr="00157521">
        <w:rPr>
          <w:lang w:val="sk-SK"/>
        </w:rPr>
        <w:t>.</w:t>
      </w:r>
    </w:p>
    <w:p w14:paraId="264E3623" w14:textId="77777777" w:rsidR="00681759" w:rsidRPr="00157521" w:rsidRDefault="00681759" w:rsidP="009512D0">
      <w:pPr>
        <w:spacing w:line="240" w:lineRule="auto"/>
        <w:rPr>
          <w:szCs w:val="22"/>
          <w:lang w:val="sk-SK"/>
        </w:rPr>
      </w:pPr>
    </w:p>
    <w:p w14:paraId="264E3624" w14:textId="77777777" w:rsidR="00681759" w:rsidRPr="00157521" w:rsidRDefault="00F02C9B" w:rsidP="001A6EF0">
      <w:pPr>
        <w:rPr>
          <w:lang w:val="sk-SK"/>
        </w:rPr>
      </w:pPr>
      <w:proofErr w:type="spellStart"/>
      <w:r w:rsidRPr="00157521">
        <w:rPr>
          <w:lang w:val="sk-SK"/>
        </w:rPr>
        <w:t>Gastrointestinálna</w:t>
      </w:r>
      <w:proofErr w:type="spellEnd"/>
      <w:r w:rsidRPr="00157521">
        <w:rPr>
          <w:lang w:val="sk-SK"/>
        </w:rPr>
        <w:t xml:space="preserve"> absorpcia </w:t>
      </w:r>
      <w:r w:rsidR="00915D85">
        <w:rPr>
          <w:szCs w:val="22"/>
          <w:lang w:val="pl-PL"/>
        </w:rPr>
        <w:t>DIRONORMU</w:t>
      </w:r>
      <w:r w:rsidR="00681759" w:rsidRPr="00157521">
        <w:rPr>
          <w:lang w:val="pl-PL"/>
        </w:rPr>
        <w:t xml:space="preserve"> </w:t>
      </w:r>
      <w:r w:rsidRPr="00157521">
        <w:rPr>
          <w:lang w:val="sk-SK"/>
        </w:rPr>
        <w:t>nie je ovplyvnená jedlom</w:t>
      </w:r>
      <w:r w:rsidR="00681759" w:rsidRPr="00157521">
        <w:rPr>
          <w:lang w:val="sk-SK"/>
        </w:rPr>
        <w:t>.</w:t>
      </w:r>
    </w:p>
    <w:p w14:paraId="264E3625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26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5.3</w:t>
      </w:r>
      <w:r w:rsidRPr="00157521">
        <w:rPr>
          <w:b/>
          <w:lang w:val="sk-SK"/>
        </w:rPr>
        <w:tab/>
      </w:r>
      <w:r w:rsidR="00F02C9B" w:rsidRPr="00157521">
        <w:rPr>
          <w:b/>
          <w:lang w:val="sk-SK"/>
        </w:rPr>
        <w:t>Predklinické údaje o bezpečnosti</w:t>
      </w:r>
    </w:p>
    <w:p w14:paraId="264E3627" w14:textId="77777777" w:rsidR="00681759" w:rsidRDefault="00681759" w:rsidP="009512D0">
      <w:pPr>
        <w:spacing w:line="240" w:lineRule="auto"/>
        <w:rPr>
          <w:lang w:val="sk-SK"/>
        </w:rPr>
      </w:pPr>
    </w:p>
    <w:p w14:paraId="264E3628" w14:textId="77777777" w:rsidR="00693B31" w:rsidRPr="00AF5E2C" w:rsidRDefault="00693B31" w:rsidP="00693B31">
      <w:pPr>
        <w:rPr>
          <w:szCs w:val="22"/>
          <w:lang w:val="sk-SK"/>
        </w:rPr>
      </w:pPr>
      <w:r w:rsidRPr="00AF5E2C">
        <w:rPr>
          <w:szCs w:val="22"/>
          <w:lang w:val="sk-SK"/>
        </w:rPr>
        <w:t xml:space="preserve">S kombináciou </w:t>
      </w:r>
      <w:proofErr w:type="spellStart"/>
      <w:r w:rsidRPr="00AF5E2C">
        <w:rPr>
          <w:szCs w:val="22"/>
          <w:lang w:val="sk-SK"/>
        </w:rPr>
        <w:t>lizinopril-amlodipín</w:t>
      </w:r>
      <w:proofErr w:type="spellEnd"/>
      <w:r w:rsidRPr="00AF5E2C">
        <w:rPr>
          <w:szCs w:val="22"/>
          <w:lang w:val="sk-SK"/>
        </w:rPr>
        <w:t xml:space="preserve"> neboli vykonané predklinické štúdie.</w:t>
      </w:r>
    </w:p>
    <w:p w14:paraId="264E3629" w14:textId="77777777" w:rsidR="00693B31" w:rsidRPr="00157521" w:rsidRDefault="00693B31" w:rsidP="009512D0">
      <w:pPr>
        <w:spacing w:line="240" w:lineRule="auto"/>
        <w:rPr>
          <w:lang w:val="sk-SK"/>
        </w:rPr>
      </w:pPr>
    </w:p>
    <w:p w14:paraId="264E362A" w14:textId="77777777" w:rsidR="00681759" w:rsidRPr="00157521" w:rsidRDefault="00681759" w:rsidP="009512D0">
      <w:pPr>
        <w:pStyle w:val="Default"/>
        <w:rPr>
          <w:sz w:val="22"/>
          <w:u w:val="single"/>
          <w:lang w:val="sk-SK"/>
        </w:rPr>
      </w:pPr>
      <w:proofErr w:type="spellStart"/>
      <w:r w:rsidRPr="00157521">
        <w:rPr>
          <w:sz w:val="22"/>
          <w:u w:val="single"/>
          <w:lang w:val="sk-SK"/>
        </w:rPr>
        <w:t>Li</w:t>
      </w:r>
      <w:r w:rsidR="00F02C9B" w:rsidRPr="00157521">
        <w:rPr>
          <w:sz w:val="22"/>
          <w:u w:val="single"/>
          <w:lang w:val="sk-SK"/>
        </w:rPr>
        <w:t>z</w:t>
      </w:r>
      <w:r w:rsidRPr="00157521">
        <w:rPr>
          <w:sz w:val="22"/>
          <w:u w:val="single"/>
          <w:lang w:val="sk-SK"/>
        </w:rPr>
        <w:t>inopril</w:t>
      </w:r>
      <w:proofErr w:type="spellEnd"/>
    </w:p>
    <w:p w14:paraId="264E362B" w14:textId="77777777" w:rsidR="00693B31" w:rsidRDefault="00F02C9B" w:rsidP="003F7DD0">
      <w:pPr>
        <w:pStyle w:val="Style1"/>
        <w:rPr>
          <w:rFonts w:ascii="Times New Roman" w:hAnsi="Times New Roman"/>
          <w:sz w:val="22"/>
          <w:lang w:val="sk-SK"/>
        </w:rPr>
      </w:pPr>
      <w:r w:rsidRPr="00157521">
        <w:rPr>
          <w:rFonts w:ascii="Times New Roman" w:hAnsi="Times New Roman"/>
          <w:sz w:val="22"/>
          <w:lang w:val="sk-SK"/>
        </w:rPr>
        <w:t xml:space="preserve">Predklinické údaje </w:t>
      </w:r>
      <w:r w:rsidRPr="00157521">
        <w:rPr>
          <w:rFonts w:ascii="Times New Roman" w:hAnsi="Times New Roman"/>
          <w:bCs/>
          <w:sz w:val="22"/>
          <w:szCs w:val="22"/>
          <w:lang w:val="sk-SK"/>
        </w:rPr>
        <w:t>z</w:t>
      </w:r>
      <w:r w:rsidR="00EA2C59">
        <w:rPr>
          <w:rFonts w:ascii="Times New Roman" w:hAnsi="Times New Roman"/>
          <w:bCs/>
          <w:sz w:val="22"/>
          <w:szCs w:val="22"/>
          <w:lang w:val="sk-SK"/>
        </w:rPr>
        <w:t>ískané na základe</w:t>
      </w:r>
      <w:r w:rsidR="00EA2C59">
        <w:rPr>
          <w:rFonts w:ascii="Times New Roman" w:hAnsi="Times New Roman"/>
          <w:sz w:val="22"/>
          <w:lang w:val="sk-SK"/>
        </w:rPr>
        <w:t xml:space="preserve"> </w:t>
      </w:r>
      <w:r w:rsidR="00EA2C59">
        <w:rPr>
          <w:rFonts w:ascii="Times New Roman" w:hAnsi="Times New Roman"/>
          <w:bCs/>
          <w:sz w:val="22"/>
          <w:szCs w:val="22"/>
          <w:lang w:val="sk-SK"/>
        </w:rPr>
        <w:t>obvykl</w:t>
      </w:r>
      <w:r w:rsidR="00EA2C59" w:rsidRPr="00157521">
        <w:rPr>
          <w:rFonts w:ascii="Times New Roman" w:hAnsi="Times New Roman"/>
          <w:bCs/>
          <w:sz w:val="22"/>
          <w:szCs w:val="22"/>
          <w:lang w:val="sk-SK"/>
        </w:rPr>
        <w:t xml:space="preserve">ých </w:t>
      </w:r>
      <w:r w:rsidR="00EA2C59">
        <w:rPr>
          <w:rFonts w:ascii="Times New Roman" w:hAnsi="Times New Roman"/>
          <w:bCs/>
          <w:sz w:val="22"/>
          <w:szCs w:val="22"/>
          <w:lang w:val="sk-SK"/>
        </w:rPr>
        <w:t xml:space="preserve">farmakologických </w:t>
      </w:r>
      <w:r w:rsidR="00EA2C59" w:rsidRPr="00157521">
        <w:rPr>
          <w:rFonts w:ascii="Times New Roman" w:hAnsi="Times New Roman"/>
          <w:bCs/>
          <w:sz w:val="22"/>
          <w:szCs w:val="22"/>
          <w:lang w:val="sk-SK"/>
        </w:rPr>
        <w:t>štúdi</w:t>
      </w:r>
      <w:r w:rsidR="00EA2C59">
        <w:rPr>
          <w:rFonts w:ascii="Times New Roman" w:hAnsi="Times New Roman"/>
          <w:bCs/>
          <w:sz w:val="22"/>
          <w:szCs w:val="22"/>
          <w:lang w:val="sk-SK"/>
        </w:rPr>
        <w:t>í bezpečnosti</w:t>
      </w:r>
      <w:r w:rsidRPr="00157521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 w:rsidR="00EA2C59">
        <w:rPr>
          <w:rFonts w:ascii="Times New Roman" w:hAnsi="Times New Roman"/>
          <w:bCs/>
          <w:sz w:val="22"/>
          <w:szCs w:val="22"/>
          <w:lang w:val="sk-SK"/>
        </w:rPr>
        <w:t xml:space="preserve">toxicity po </w:t>
      </w:r>
      <w:r w:rsidR="00DB7F19" w:rsidRPr="00157521">
        <w:rPr>
          <w:rFonts w:ascii="Times New Roman" w:hAnsi="Times New Roman"/>
          <w:bCs/>
          <w:sz w:val="22"/>
          <w:szCs w:val="22"/>
          <w:lang w:val="sk-SK"/>
        </w:rPr>
        <w:t>opakovan</w:t>
      </w:r>
      <w:r w:rsidR="00DB7F19">
        <w:rPr>
          <w:rFonts w:ascii="Times New Roman" w:hAnsi="Times New Roman"/>
          <w:bCs/>
          <w:sz w:val="22"/>
          <w:szCs w:val="22"/>
          <w:lang w:val="sk-SK"/>
        </w:rPr>
        <w:t>om</w:t>
      </w:r>
      <w:r w:rsidR="00DB7F19" w:rsidRPr="00157521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DB7F19">
        <w:rPr>
          <w:rFonts w:ascii="Times New Roman" w:hAnsi="Times New Roman"/>
          <w:bCs/>
          <w:sz w:val="22"/>
          <w:szCs w:val="22"/>
          <w:lang w:val="sk-SK"/>
        </w:rPr>
        <w:t>po</w:t>
      </w:r>
      <w:r w:rsidR="00EA2C59" w:rsidRPr="00157521">
        <w:rPr>
          <w:rFonts w:ascii="Times New Roman" w:hAnsi="Times New Roman"/>
          <w:bCs/>
          <w:sz w:val="22"/>
          <w:szCs w:val="22"/>
          <w:lang w:val="sk-SK"/>
        </w:rPr>
        <w:t>dáv</w:t>
      </w:r>
      <w:r w:rsidR="00DB7F19">
        <w:rPr>
          <w:rFonts w:ascii="Times New Roman" w:hAnsi="Times New Roman"/>
          <w:bCs/>
          <w:sz w:val="22"/>
          <w:szCs w:val="22"/>
          <w:lang w:val="sk-SK"/>
        </w:rPr>
        <w:t>aní</w:t>
      </w:r>
      <w:r w:rsidRPr="00157521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157521">
        <w:rPr>
          <w:rFonts w:ascii="Times New Roman" w:hAnsi="Times New Roman"/>
          <w:sz w:val="22"/>
          <w:lang w:val="sk-SK"/>
        </w:rPr>
        <w:t>genotoxicity</w:t>
      </w:r>
      <w:proofErr w:type="spellEnd"/>
      <w:r w:rsidR="00DB7F19">
        <w:rPr>
          <w:rFonts w:ascii="Times New Roman" w:hAnsi="Times New Roman"/>
          <w:sz w:val="22"/>
          <w:lang w:val="sk-SK"/>
        </w:rPr>
        <w:t>,</w:t>
      </w:r>
      <w:r w:rsidRPr="00157521">
        <w:rPr>
          <w:rFonts w:ascii="Times New Roman" w:hAnsi="Times New Roman"/>
          <w:sz w:val="22"/>
          <w:lang w:val="sk-SK"/>
        </w:rPr>
        <w:t xml:space="preserve"> karcinogénneho potenciálu</w:t>
      </w:r>
      <w:r w:rsidR="00DB7F19">
        <w:rPr>
          <w:rFonts w:ascii="Times New Roman" w:hAnsi="Times New Roman"/>
          <w:sz w:val="22"/>
          <w:lang w:val="sk-SK"/>
        </w:rPr>
        <w:t>, reprodukčnej toxicity a vývinu</w:t>
      </w:r>
      <w:r w:rsidRPr="00157521">
        <w:rPr>
          <w:rFonts w:ascii="Times New Roman" w:hAnsi="Times New Roman"/>
          <w:sz w:val="22"/>
          <w:lang w:val="sk-SK"/>
        </w:rPr>
        <w:t xml:space="preserve"> neodhalili žiadne </w:t>
      </w:r>
      <w:r w:rsidR="00DB7F19">
        <w:rPr>
          <w:rFonts w:ascii="Times New Roman" w:hAnsi="Times New Roman"/>
          <w:bCs/>
          <w:sz w:val="22"/>
          <w:szCs w:val="22"/>
          <w:lang w:val="sk-SK"/>
        </w:rPr>
        <w:t>osobitné</w:t>
      </w:r>
      <w:r w:rsidR="00DB7F19" w:rsidRPr="00157521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DB7F19">
        <w:rPr>
          <w:rFonts w:ascii="Times New Roman" w:hAnsi="Times New Roman"/>
          <w:bCs/>
          <w:sz w:val="22"/>
          <w:szCs w:val="22"/>
          <w:lang w:val="sk-SK"/>
        </w:rPr>
        <w:t>riziko</w:t>
      </w:r>
      <w:r w:rsidR="00DB7F19" w:rsidRPr="00157521">
        <w:rPr>
          <w:rFonts w:ascii="Times New Roman" w:hAnsi="Times New Roman"/>
          <w:sz w:val="22"/>
          <w:lang w:val="sk-SK"/>
        </w:rPr>
        <w:t xml:space="preserve"> </w:t>
      </w:r>
      <w:r w:rsidRPr="00157521">
        <w:rPr>
          <w:rFonts w:ascii="Times New Roman" w:hAnsi="Times New Roman"/>
          <w:sz w:val="22"/>
          <w:lang w:val="sk-SK"/>
        </w:rPr>
        <w:t>pre ľudí.</w:t>
      </w:r>
    </w:p>
    <w:p w14:paraId="264E362C" w14:textId="77777777" w:rsidR="00AA3503" w:rsidRPr="00157521" w:rsidRDefault="00AA3503" w:rsidP="003F7DD0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157521">
        <w:rPr>
          <w:rFonts w:ascii="Times New Roman" w:hAnsi="Times New Roman"/>
          <w:sz w:val="22"/>
          <w:szCs w:val="22"/>
          <w:lang w:val="sk-SK"/>
        </w:rPr>
        <w:t xml:space="preserve">Ukázalo sa, že inhibítory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konvertujúceho enzýmu ako trieda majú nepriaznivé účinky na neskorý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fetálny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vývoj, čo vedie k smrti plodu</w:t>
      </w:r>
      <w:r w:rsidRPr="00157521">
        <w:rPr>
          <w:rFonts w:ascii="Times New Roman" w:hAnsi="Times New Roman"/>
          <w:sz w:val="22"/>
          <w:lang w:val="sk-SK"/>
        </w:rPr>
        <w:t xml:space="preserve"> a</w:t>
      </w:r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kongenitálnym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chybám, postihujúcim najmä lebku. Zaznamenali sa aj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fetotoxicita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, retardácia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intrauterinného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rastu a perzistujúci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arteriálny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duktus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. Predpokladá sa, že tieto vývojové anomálie sú sčasti dôsledkom priameho pôsobenia ACE inhibítorov na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fetálny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systém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renín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–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angiotenzín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a sčasti dôsledkom ischémie pochádzajúcej z hypotenzie u matky, z poklesov </w:t>
      </w:r>
      <w:proofErr w:type="spellStart"/>
      <w:r w:rsidRPr="00157521">
        <w:rPr>
          <w:rFonts w:ascii="Times New Roman" w:hAnsi="Times New Roman"/>
          <w:sz w:val="22"/>
          <w:szCs w:val="22"/>
          <w:lang w:val="sk-SK"/>
        </w:rPr>
        <w:t>fetoplacentárneho</w:t>
      </w:r>
      <w:proofErr w:type="spellEnd"/>
      <w:r w:rsidRPr="00157521">
        <w:rPr>
          <w:rFonts w:ascii="Times New Roman" w:hAnsi="Times New Roman"/>
          <w:sz w:val="22"/>
          <w:szCs w:val="22"/>
          <w:lang w:val="sk-SK"/>
        </w:rPr>
        <w:t xml:space="preserve"> krvného prietoku, zníženia dodávky kyslíka a výživných látok pre plod.</w:t>
      </w:r>
    </w:p>
    <w:p w14:paraId="264E362D" w14:textId="77777777" w:rsidR="00681759" w:rsidRPr="00157521" w:rsidRDefault="00F02C9B" w:rsidP="00F02C9B">
      <w:pPr>
        <w:pStyle w:val="Default"/>
        <w:tabs>
          <w:tab w:val="left" w:pos="1509"/>
        </w:tabs>
        <w:rPr>
          <w:sz w:val="22"/>
          <w:szCs w:val="22"/>
          <w:lang w:val="sk-SK"/>
        </w:rPr>
      </w:pPr>
      <w:r w:rsidRPr="00157521">
        <w:rPr>
          <w:sz w:val="22"/>
          <w:szCs w:val="22"/>
          <w:lang w:val="sk-SK"/>
        </w:rPr>
        <w:lastRenderedPageBreak/>
        <w:tab/>
      </w:r>
    </w:p>
    <w:p w14:paraId="264E362E" w14:textId="77777777" w:rsidR="00681759" w:rsidRPr="00157521" w:rsidRDefault="00681759" w:rsidP="009512D0">
      <w:pPr>
        <w:pStyle w:val="Default"/>
        <w:rPr>
          <w:sz w:val="22"/>
          <w:szCs w:val="22"/>
          <w:u w:val="single"/>
          <w:lang w:val="sk-SK"/>
        </w:rPr>
      </w:pPr>
      <w:proofErr w:type="spellStart"/>
      <w:r w:rsidRPr="00157521">
        <w:rPr>
          <w:sz w:val="22"/>
          <w:szCs w:val="22"/>
          <w:u w:val="single"/>
          <w:lang w:val="sk-SK"/>
        </w:rPr>
        <w:t>Amlodip</w:t>
      </w:r>
      <w:r w:rsidR="00F02C9B" w:rsidRPr="00157521">
        <w:rPr>
          <w:sz w:val="22"/>
          <w:szCs w:val="22"/>
          <w:u w:val="single"/>
          <w:lang w:val="sk-SK"/>
        </w:rPr>
        <w:t>ín</w:t>
      </w:r>
      <w:proofErr w:type="spellEnd"/>
    </w:p>
    <w:p w14:paraId="264E362F" w14:textId="77777777" w:rsidR="00D57B82" w:rsidRPr="003F7DD0" w:rsidRDefault="00D57B82" w:rsidP="00D57B82">
      <w:pPr>
        <w:suppressAutoHyphens/>
        <w:rPr>
          <w:i/>
          <w:spacing w:val="-3"/>
          <w:szCs w:val="22"/>
          <w:lang w:val="sk-SK"/>
        </w:rPr>
      </w:pPr>
      <w:r w:rsidRPr="003F7DD0">
        <w:rPr>
          <w:i/>
          <w:spacing w:val="-3"/>
          <w:szCs w:val="22"/>
          <w:lang w:val="sk-SK"/>
        </w:rPr>
        <w:t xml:space="preserve">Reprodukčná </w:t>
      </w:r>
      <w:proofErr w:type="spellStart"/>
      <w:r w:rsidRPr="003F7DD0">
        <w:rPr>
          <w:i/>
          <w:spacing w:val="-3"/>
          <w:szCs w:val="22"/>
          <w:lang w:val="sk-SK"/>
        </w:rPr>
        <w:t>toxikológia</w:t>
      </w:r>
      <w:proofErr w:type="spellEnd"/>
    </w:p>
    <w:p w14:paraId="264E3630" w14:textId="77777777" w:rsidR="00D57B82" w:rsidRPr="00157521" w:rsidRDefault="00D57B82" w:rsidP="00D57B82">
      <w:pPr>
        <w:suppressAutoHyphens/>
        <w:rPr>
          <w:spacing w:val="-3"/>
          <w:szCs w:val="22"/>
          <w:lang w:val="sk-SK"/>
        </w:rPr>
      </w:pPr>
      <w:r w:rsidRPr="00157521">
        <w:rPr>
          <w:spacing w:val="-3"/>
          <w:szCs w:val="22"/>
          <w:lang w:val="sk-SK"/>
        </w:rPr>
        <w:t>Reprodukčné štúdie u potkanov a myší preukázali oneskorený dátum pôrodu, dlhšie trvanie pôrodu a znížený počet prežívajúcich mláďat</w:t>
      </w:r>
      <w:r w:rsidRPr="00157521">
        <w:rPr>
          <w:spacing w:val="-3"/>
          <w:lang w:val="sk-SK"/>
        </w:rPr>
        <w:t xml:space="preserve"> pri dávkach </w:t>
      </w:r>
      <w:r w:rsidRPr="00157521">
        <w:rPr>
          <w:spacing w:val="-3"/>
          <w:szCs w:val="22"/>
          <w:lang w:val="sk-SK"/>
        </w:rPr>
        <w:t>približne 50</w:t>
      </w:r>
      <w:r w:rsidRPr="00157521">
        <w:rPr>
          <w:spacing w:val="-3"/>
          <w:szCs w:val="22"/>
          <w:lang w:val="sk-SK"/>
        </w:rPr>
        <w:noBreakHyphen/>
        <w:t>krát vyšších, ako je maximálna odporúčaná dávka pre ľudí vyjadrená v </w:t>
      </w:r>
      <w:r w:rsidRPr="00157521">
        <w:rPr>
          <w:spacing w:val="-3"/>
          <w:lang w:val="sk-SK"/>
        </w:rPr>
        <w:t>mg/kg</w:t>
      </w:r>
      <w:r w:rsidRPr="00157521">
        <w:rPr>
          <w:spacing w:val="-3"/>
          <w:szCs w:val="22"/>
          <w:lang w:val="sk-SK"/>
        </w:rPr>
        <w:t>.</w:t>
      </w:r>
    </w:p>
    <w:p w14:paraId="264E3631" w14:textId="77777777" w:rsidR="00D57B82" w:rsidRPr="00157521" w:rsidRDefault="00D57B82" w:rsidP="00D57B82">
      <w:pPr>
        <w:suppressAutoHyphens/>
        <w:rPr>
          <w:szCs w:val="22"/>
          <w:lang w:val="sk-SK"/>
        </w:rPr>
      </w:pPr>
    </w:p>
    <w:p w14:paraId="264E3632" w14:textId="77777777" w:rsidR="00D57B82" w:rsidRPr="003F7DD0" w:rsidRDefault="00D57B82" w:rsidP="00D57B82">
      <w:pPr>
        <w:suppressAutoHyphens/>
        <w:rPr>
          <w:szCs w:val="22"/>
          <w:lang w:val="sk-SK"/>
        </w:rPr>
      </w:pPr>
      <w:r w:rsidRPr="003F7DD0">
        <w:rPr>
          <w:bCs/>
          <w:i/>
          <w:iCs/>
          <w:szCs w:val="22"/>
          <w:lang w:val="sk-SK"/>
        </w:rPr>
        <w:t xml:space="preserve">Poškodenie </w:t>
      </w:r>
      <w:proofErr w:type="spellStart"/>
      <w:r w:rsidRPr="003F7DD0">
        <w:rPr>
          <w:bCs/>
          <w:i/>
          <w:iCs/>
          <w:szCs w:val="22"/>
          <w:lang w:val="sk-SK"/>
        </w:rPr>
        <w:t>fertility</w:t>
      </w:r>
      <w:proofErr w:type="spellEnd"/>
      <w:r w:rsidRPr="003F7DD0">
        <w:rPr>
          <w:szCs w:val="22"/>
          <w:lang w:val="sk-SK"/>
        </w:rPr>
        <w:t xml:space="preserve"> </w:t>
      </w:r>
    </w:p>
    <w:p w14:paraId="264E3633" w14:textId="77777777" w:rsidR="00D57B82" w:rsidRDefault="00D57B82" w:rsidP="00D57B82">
      <w:pPr>
        <w:suppressAutoHyphens/>
        <w:rPr>
          <w:lang w:val="sk-SK"/>
        </w:rPr>
      </w:pPr>
      <w:r w:rsidRPr="00157521">
        <w:rPr>
          <w:szCs w:val="22"/>
          <w:lang w:val="sk-SK"/>
        </w:rPr>
        <w:t xml:space="preserve">Nebol zaznamenaný žiaden účinok na </w:t>
      </w:r>
      <w:proofErr w:type="spellStart"/>
      <w:r w:rsidRPr="00157521">
        <w:rPr>
          <w:szCs w:val="22"/>
          <w:lang w:val="sk-SK"/>
        </w:rPr>
        <w:t>fertilitu</w:t>
      </w:r>
      <w:proofErr w:type="spellEnd"/>
      <w:r w:rsidRPr="00157521">
        <w:rPr>
          <w:lang w:val="sk-SK"/>
        </w:rPr>
        <w:t xml:space="preserve"> potkanov, ktoré boli </w:t>
      </w:r>
      <w:r w:rsidRPr="00157521">
        <w:rPr>
          <w:szCs w:val="22"/>
          <w:lang w:val="sk-SK"/>
        </w:rPr>
        <w:t xml:space="preserve">liečené </w:t>
      </w:r>
      <w:proofErr w:type="spellStart"/>
      <w:r w:rsidRPr="00157521">
        <w:rPr>
          <w:szCs w:val="22"/>
          <w:lang w:val="sk-SK"/>
        </w:rPr>
        <w:t>amlodipínom</w:t>
      </w:r>
      <w:proofErr w:type="spellEnd"/>
      <w:r w:rsidRPr="00157521">
        <w:rPr>
          <w:szCs w:val="22"/>
          <w:lang w:val="sk-SK"/>
        </w:rPr>
        <w:t xml:space="preserve"> (samce počas 64 dní a samice 14 dní pred párením) v dávkach až do 10 mg/kg/deň (8</w:t>
      </w:r>
      <w:r w:rsidRPr="00157521">
        <w:rPr>
          <w:szCs w:val="22"/>
          <w:lang w:val="sk-SK"/>
        </w:rPr>
        <w:noBreakHyphen/>
        <w:t>násobok* maximálnej odporúčanej</w:t>
      </w:r>
      <w:r w:rsidRPr="00157521">
        <w:rPr>
          <w:lang w:val="sk-SK"/>
        </w:rPr>
        <w:t xml:space="preserve"> dávky</w:t>
      </w:r>
      <w:r w:rsidRPr="00157521">
        <w:rPr>
          <w:szCs w:val="22"/>
          <w:lang w:val="sk-SK"/>
        </w:rPr>
        <w:t xml:space="preserve"> u ľudí rovnajúcej sa 10 mg po prepočítaní na mg/m</w:t>
      </w:r>
      <w:r w:rsidRPr="00157521">
        <w:rPr>
          <w:szCs w:val="22"/>
          <w:vertAlign w:val="superscript"/>
          <w:lang w:val="sk-SK"/>
        </w:rPr>
        <w:t>2</w:t>
      </w:r>
      <w:r w:rsidRPr="00157521">
        <w:rPr>
          <w:szCs w:val="22"/>
          <w:lang w:val="sk-SK"/>
        </w:rPr>
        <w:t xml:space="preserve"> povrchu). V inej štúdii s potkanmi, v ktorej boli samce potkanov liečené 30 dní </w:t>
      </w:r>
      <w:proofErr w:type="spellStart"/>
      <w:r w:rsidRPr="00157521">
        <w:rPr>
          <w:szCs w:val="22"/>
          <w:lang w:val="sk-SK"/>
        </w:rPr>
        <w:t>amlodipíniumbesilátom</w:t>
      </w:r>
      <w:proofErr w:type="spellEnd"/>
      <w:r w:rsidRPr="00157521">
        <w:rPr>
          <w:szCs w:val="22"/>
          <w:lang w:val="sk-SK"/>
        </w:rPr>
        <w:t xml:space="preserve"> v dávke porovnateľnej s dávkou u ľudí vyjadrenej v mg/kg, boli v plazme zistené poklesy hormónu stimulujúceho folikuly a </w:t>
      </w:r>
      <w:proofErr w:type="spellStart"/>
      <w:r w:rsidRPr="00157521">
        <w:rPr>
          <w:szCs w:val="22"/>
          <w:lang w:val="sk-SK"/>
        </w:rPr>
        <w:t>testosterónu</w:t>
      </w:r>
      <w:proofErr w:type="spellEnd"/>
      <w:r w:rsidRPr="00157521">
        <w:rPr>
          <w:szCs w:val="22"/>
          <w:lang w:val="sk-SK"/>
        </w:rPr>
        <w:t xml:space="preserve">, ako aj zníženie hustoty spermií a počtu zrelých </w:t>
      </w:r>
      <w:proofErr w:type="spellStart"/>
      <w:r w:rsidRPr="00157521">
        <w:rPr>
          <w:szCs w:val="22"/>
          <w:lang w:val="sk-SK"/>
        </w:rPr>
        <w:t>spermatoblastov</w:t>
      </w:r>
      <w:proofErr w:type="spellEnd"/>
      <w:r w:rsidRPr="00157521">
        <w:rPr>
          <w:szCs w:val="22"/>
          <w:lang w:val="sk-SK"/>
        </w:rPr>
        <w:t xml:space="preserve"> a </w:t>
      </w:r>
      <w:proofErr w:type="spellStart"/>
      <w:r w:rsidRPr="00157521">
        <w:rPr>
          <w:szCs w:val="22"/>
          <w:lang w:val="sk-SK"/>
        </w:rPr>
        <w:t>Sertoliho</w:t>
      </w:r>
      <w:proofErr w:type="spellEnd"/>
      <w:r w:rsidRPr="00157521">
        <w:rPr>
          <w:szCs w:val="22"/>
          <w:lang w:val="sk-SK"/>
        </w:rPr>
        <w:t xml:space="preserve"> podporných buniek</w:t>
      </w:r>
      <w:r w:rsidRPr="00157521">
        <w:rPr>
          <w:lang w:val="sk-SK"/>
        </w:rPr>
        <w:t>.</w:t>
      </w:r>
    </w:p>
    <w:p w14:paraId="264E3634" w14:textId="77777777" w:rsidR="006229EA" w:rsidRDefault="006229EA" w:rsidP="00D57B82">
      <w:pPr>
        <w:suppressAutoHyphens/>
        <w:rPr>
          <w:lang w:val="sk-SK"/>
        </w:rPr>
      </w:pPr>
    </w:p>
    <w:p w14:paraId="264E3635" w14:textId="77777777" w:rsidR="006229EA" w:rsidRPr="00693B31" w:rsidRDefault="006229EA" w:rsidP="006229EA">
      <w:pPr>
        <w:suppressAutoHyphens/>
        <w:rPr>
          <w:szCs w:val="22"/>
          <w:lang w:val="sk-SK"/>
        </w:rPr>
      </w:pPr>
      <w:proofErr w:type="spellStart"/>
      <w:r w:rsidRPr="003F7DD0">
        <w:rPr>
          <w:i/>
          <w:szCs w:val="22"/>
          <w:lang w:val="sk-SK"/>
        </w:rPr>
        <w:t>Karcinogenéza</w:t>
      </w:r>
      <w:proofErr w:type="spellEnd"/>
      <w:r w:rsidRPr="003F7DD0">
        <w:rPr>
          <w:i/>
          <w:szCs w:val="22"/>
          <w:lang w:val="sk-SK"/>
        </w:rPr>
        <w:t xml:space="preserve">, </w:t>
      </w:r>
      <w:proofErr w:type="spellStart"/>
      <w:r w:rsidRPr="00693B31">
        <w:rPr>
          <w:i/>
          <w:szCs w:val="22"/>
          <w:lang w:val="sk-SK"/>
        </w:rPr>
        <w:t>mutagenéza</w:t>
      </w:r>
      <w:proofErr w:type="spellEnd"/>
    </w:p>
    <w:p w14:paraId="264E3636" w14:textId="77777777" w:rsidR="006229EA" w:rsidRPr="00157521" w:rsidRDefault="006229EA" w:rsidP="006229EA">
      <w:pPr>
        <w:suppressAutoHyphens/>
        <w:rPr>
          <w:szCs w:val="22"/>
          <w:lang w:val="sk-SK"/>
        </w:rPr>
      </w:pPr>
      <w:r w:rsidRPr="00157521">
        <w:rPr>
          <w:szCs w:val="22"/>
          <w:lang w:val="sk-SK"/>
        </w:rPr>
        <w:t xml:space="preserve">U potkanov a myší užívajúcich </w:t>
      </w:r>
      <w:proofErr w:type="spellStart"/>
      <w:r w:rsidRPr="00157521">
        <w:rPr>
          <w:szCs w:val="22"/>
          <w:lang w:val="sk-SK"/>
        </w:rPr>
        <w:t>amlodipín</w:t>
      </w:r>
      <w:proofErr w:type="spellEnd"/>
      <w:r w:rsidRPr="00157521">
        <w:rPr>
          <w:szCs w:val="22"/>
          <w:lang w:val="sk-SK"/>
        </w:rPr>
        <w:t xml:space="preserve"> v potrave počas dvoch rokov v koncentráciách vypočítaných tak, aby sa zabezpečili denné dávky 0,5, 1,25 </w:t>
      </w:r>
      <w:r w:rsidR="00943F1F">
        <w:rPr>
          <w:szCs w:val="22"/>
          <w:lang w:val="sk-SK"/>
        </w:rPr>
        <w:t>a 2,5 mg/kg/deň, sa nepreukázala</w:t>
      </w:r>
      <w:r w:rsidRPr="00157521">
        <w:rPr>
          <w:szCs w:val="22"/>
          <w:lang w:val="sk-SK"/>
        </w:rPr>
        <w:t xml:space="preserve"> žiadne </w:t>
      </w:r>
      <w:r w:rsidR="00943F1F">
        <w:rPr>
          <w:szCs w:val="22"/>
          <w:lang w:val="sk-SK"/>
        </w:rPr>
        <w:t>dôkazy o</w:t>
      </w:r>
      <w:r w:rsidRPr="00157521">
        <w:rPr>
          <w:szCs w:val="22"/>
          <w:lang w:val="sk-SK"/>
        </w:rPr>
        <w:t xml:space="preserve"> karcinogenite</w:t>
      </w:r>
      <w:r w:rsidR="00943F1F">
        <w:rPr>
          <w:szCs w:val="22"/>
          <w:lang w:val="sk-SK"/>
        </w:rPr>
        <w:t xml:space="preserve">. Najvyššia dávka </w:t>
      </w:r>
      <w:r w:rsidRPr="00157521">
        <w:rPr>
          <w:szCs w:val="22"/>
          <w:lang w:val="sk-SK"/>
        </w:rPr>
        <w:t>(pre myši približne rovnaká a pre potkany rovnajúca sa dvojnásobnej*</w:t>
      </w:r>
      <w:r w:rsidRPr="00157521">
        <w:rPr>
          <w:lang w:val="sk-SK"/>
        </w:rPr>
        <w:t xml:space="preserve"> maximálnej </w:t>
      </w:r>
      <w:r w:rsidRPr="00157521">
        <w:rPr>
          <w:szCs w:val="22"/>
          <w:lang w:val="sk-SK"/>
        </w:rPr>
        <w:t>odporúčanej klinickej dávke 10 mg</w:t>
      </w:r>
      <w:r w:rsidR="00943F1F">
        <w:rPr>
          <w:szCs w:val="22"/>
          <w:lang w:val="sk-SK"/>
        </w:rPr>
        <w:t>/deň</w:t>
      </w:r>
      <w:r w:rsidRPr="00157521">
        <w:rPr>
          <w:szCs w:val="22"/>
          <w:lang w:val="sk-SK"/>
        </w:rPr>
        <w:t xml:space="preserve"> po prepočítaní na mg/m</w:t>
      </w:r>
      <w:r w:rsidRPr="00157521">
        <w:rPr>
          <w:szCs w:val="22"/>
          <w:vertAlign w:val="superscript"/>
          <w:lang w:val="sk-SK"/>
        </w:rPr>
        <w:t>2</w:t>
      </w:r>
      <w:r w:rsidRPr="00157521">
        <w:rPr>
          <w:lang w:val="sk-SK"/>
        </w:rPr>
        <w:t xml:space="preserve"> povrchu</w:t>
      </w:r>
      <w:r w:rsidRPr="00157521">
        <w:rPr>
          <w:szCs w:val="22"/>
          <w:lang w:val="sk-SK"/>
        </w:rPr>
        <w:t>)</w:t>
      </w:r>
      <w:r w:rsidRPr="00157521">
        <w:rPr>
          <w:lang w:val="sk-SK"/>
        </w:rPr>
        <w:t xml:space="preserve"> sa </w:t>
      </w:r>
      <w:r w:rsidRPr="00157521">
        <w:rPr>
          <w:szCs w:val="22"/>
          <w:lang w:val="sk-SK"/>
        </w:rPr>
        <w:t>blížila maximálnej tolerovanej dávke pre myši, ale nie pre potkany.</w:t>
      </w:r>
    </w:p>
    <w:p w14:paraId="264E3637" w14:textId="77777777" w:rsidR="006229EA" w:rsidRPr="000B69CF" w:rsidRDefault="006229EA" w:rsidP="00D57B82">
      <w:pPr>
        <w:suppressAutoHyphens/>
        <w:rPr>
          <w:i/>
          <w:szCs w:val="22"/>
          <w:u w:val="single"/>
          <w:lang w:val="sk-SK"/>
        </w:rPr>
      </w:pPr>
      <w:r w:rsidRPr="00157521">
        <w:rPr>
          <w:szCs w:val="22"/>
          <w:lang w:val="sk-SK"/>
        </w:rPr>
        <w:t xml:space="preserve">Štúdie </w:t>
      </w:r>
      <w:proofErr w:type="spellStart"/>
      <w:r w:rsidRPr="00157521">
        <w:rPr>
          <w:szCs w:val="22"/>
          <w:lang w:val="sk-SK"/>
        </w:rPr>
        <w:t>mutagenity</w:t>
      </w:r>
      <w:proofErr w:type="spellEnd"/>
      <w:r w:rsidRPr="00157521">
        <w:rPr>
          <w:szCs w:val="22"/>
          <w:lang w:val="sk-SK"/>
        </w:rPr>
        <w:t xml:space="preserve"> neodhalili </w:t>
      </w:r>
      <w:r w:rsidRPr="00157521">
        <w:rPr>
          <w:lang w:val="sk-SK"/>
        </w:rPr>
        <w:t xml:space="preserve">žiadne účinky </w:t>
      </w:r>
      <w:r w:rsidRPr="00157521">
        <w:rPr>
          <w:szCs w:val="22"/>
          <w:lang w:val="sk-SK"/>
        </w:rPr>
        <w:t>súvisiace s lie</w:t>
      </w:r>
      <w:r w:rsidR="00CF6CE4">
        <w:rPr>
          <w:szCs w:val="22"/>
          <w:lang w:val="sk-SK"/>
        </w:rPr>
        <w:t>čivom</w:t>
      </w:r>
      <w:r w:rsidRPr="00157521">
        <w:rPr>
          <w:szCs w:val="22"/>
          <w:lang w:val="sk-SK"/>
        </w:rPr>
        <w:t xml:space="preserve"> či už na génovej alebo </w:t>
      </w:r>
      <w:proofErr w:type="spellStart"/>
      <w:r w:rsidRPr="00157521">
        <w:rPr>
          <w:szCs w:val="22"/>
          <w:lang w:val="sk-SK"/>
        </w:rPr>
        <w:t>chromozomálnej</w:t>
      </w:r>
      <w:proofErr w:type="spellEnd"/>
      <w:r w:rsidRPr="00157521">
        <w:rPr>
          <w:szCs w:val="22"/>
          <w:lang w:val="sk-SK"/>
        </w:rPr>
        <w:t xml:space="preserve"> úrovni.</w:t>
      </w:r>
    </w:p>
    <w:p w14:paraId="264E3638" w14:textId="77777777" w:rsidR="00D57B82" w:rsidRPr="00157521" w:rsidRDefault="00D57B82" w:rsidP="00D57B82">
      <w:pPr>
        <w:suppressAutoHyphens/>
        <w:rPr>
          <w:lang w:val="sk-SK"/>
        </w:rPr>
      </w:pPr>
    </w:p>
    <w:p w14:paraId="264E3639" w14:textId="77777777" w:rsidR="00D57B82" w:rsidRPr="00157521" w:rsidRDefault="00D57B82" w:rsidP="00D57B82">
      <w:pPr>
        <w:suppressAutoHyphens/>
        <w:rPr>
          <w:szCs w:val="22"/>
          <w:lang w:val="sk-SK"/>
        </w:rPr>
      </w:pPr>
      <w:r w:rsidRPr="00157521">
        <w:rPr>
          <w:szCs w:val="22"/>
          <w:lang w:val="sk-SK"/>
        </w:rPr>
        <w:t>*Pri telesnej hmotnosti pacienta 50 kg.</w:t>
      </w:r>
    </w:p>
    <w:p w14:paraId="264E363A" w14:textId="77777777" w:rsidR="00681759" w:rsidRPr="00157521" w:rsidRDefault="00681759" w:rsidP="009512D0">
      <w:pPr>
        <w:spacing w:line="240" w:lineRule="auto"/>
        <w:rPr>
          <w:b/>
          <w:lang w:val="sk-SK"/>
        </w:rPr>
      </w:pPr>
    </w:p>
    <w:p w14:paraId="264E363B" w14:textId="77777777" w:rsidR="00681759" w:rsidRPr="00157521" w:rsidRDefault="00681759" w:rsidP="009512D0">
      <w:pPr>
        <w:spacing w:line="240" w:lineRule="auto"/>
        <w:rPr>
          <w:b/>
          <w:lang w:val="sk-SK"/>
        </w:rPr>
      </w:pPr>
    </w:p>
    <w:p w14:paraId="264E363C" w14:textId="77777777" w:rsidR="00681759" w:rsidRPr="00157521" w:rsidRDefault="00681759" w:rsidP="009512D0">
      <w:pPr>
        <w:spacing w:line="240" w:lineRule="auto"/>
        <w:ind w:left="567" w:hanging="567"/>
        <w:rPr>
          <w:b/>
          <w:lang w:val="sk-SK"/>
        </w:rPr>
      </w:pPr>
      <w:r w:rsidRPr="00157521">
        <w:rPr>
          <w:b/>
          <w:lang w:val="sk-SK"/>
        </w:rPr>
        <w:t>6.</w:t>
      </w:r>
      <w:r w:rsidRPr="00157521">
        <w:rPr>
          <w:b/>
          <w:lang w:val="sk-SK"/>
        </w:rPr>
        <w:tab/>
      </w:r>
      <w:r w:rsidR="00F02C9B" w:rsidRPr="00157521">
        <w:rPr>
          <w:b/>
          <w:lang w:val="sk-SK"/>
        </w:rPr>
        <w:t>FARMACEUTICKÉ INFORMÁCIE</w:t>
      </w:r>
    </w:p>
    <w:p w14:paraId="264E363D" w14:textId="77777777" w:rsidR="00681759" w:rsidRPr="00157521" w:rsidRDefault="00681759" w:rsidP="009512D0">
      <w:pPr>
        <w:spacing w:line="240" w:lineRule="auto"/>
        <w:rPr>
          <w:b/>
          <w:lang w:val="sk-SK"/>
        </w:rPr>
      </w:pPr>
    </w:p>
    <w:p w14:paraId="264E363E" w14:textId="77777777" w:rsidR="00681759" w:rsidRPr="00157521" w:rsidRDefault="00681759" w:rsidP="009512D0">
      <w:pPr>
        <w:spacing w:line="240" w:lineRule="auto"/>
        <w:ind w:left="567" w:hanging="567"/>
        <w:rPr>
          <w:b/>
          <w:lang w:val="sk-SK"/>
        </w:rPr>
      </w:pPr>
      <w:r w:rsidRPr="00157521">
        <w:rPr>
          <w:b/>
          <w:lang w:val="sk-SK"/>
        </w:rPr>
        <w:t>6.1</w:t>
      </w:r>
      <w:r w:rsidRPr="00157521">
        <w:rPr>
          <w:b/>
          <w:lang w:val="sk-SK"/>
        </w:rPr>
        <w:tab/>
      </w:r>
      <w:r w:rsidR="00F02C9B" w:rsidRPr="00157521">
        <w:rPr>
          <w:b/>
          <w:lang w:val="sk-SK"/>
        </w:rPr>
        <w:t>Zoznam pomocných látok</w:t>
      </w:r>
    </w:p>
    <w:p w14:paraId="264E363F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40" w14:textId="77777777" w:rsidR="00681759" w:rsidRPr="00157521" w:rsidRDefault="00166D3F" w:rsidP="009512D0">
      <w:pPr>
        <w:spacing w:line="240" w:lineRule="auto"/>
        <w:rPr>
          <w:lang w:val="sk-SK"/>
        </w:rPr>
      </w:pPr>
      <w:r>
        <w:rPr>
          <w:lang w:val="sk-SK"/>
        </w:rPr>
        <w:t>m</w:t>
      </w:r>
      <w:r w:rsidR="00F02C9B" w:rsidRPr="00157521">
        <w:rPr>
          <w:lang w:val="sk-SK"/>
        </w:rPr>
        <w:t>ikrokryštalická celulóza</w:t>
      </w:r>
      <w:r w:rsidR="00F02C9B" w:rsidRPr="00157521">
        <w:rPr>
          <w:szCs w:val="22"/>
          <w:lang w:val="sk-SK"/>
        </w:rPr>
        <w:t xml:space="preserve"> </w:t>
      </w:r>
    </w:p>
    <w:p w14:paraId="264E3641" w14:textId="77777777" w:rsidR="00681759" w:rsidRPr="00157521" w:rsidRDefault="00166D3F" w:rsidP="001A6EF0">
      <w:pPr>
        <w:rPr>
          <w:lang w:val="pl-PL"/>
        </w:rPr>
      </w:pPr>
      <w:r>
        <w:rPr>
          <w:szCs w:val="22"/>
          <w:lang w:val="pl-PL"/>
        </w:rPr>
        <w:t>s</w:t>
      </w:r>
      <w:r w:rsidR="00F37C85">
        <w:rPr>
          <w:szCs w:val="22"/>
          <w:lang w:val="pl-PL"/>
        </w:rPr>
        <w:t>odná soľ k</w:t>
      </w:r>
      <w:r w:rsidR="00CB0173" w:rsidRPr="00157521">
        <w:rPr>
          <w:szCs w:val="22"/>
          <w:lang w:val="pl-PL"/>
        </w:rPr>
        <w:t>arboxymetylškrob</w:t>
      </w:r>
      <w:r w:rsidR="00F37C85">
        <w:rPr>
          <w:szCs w:val="22"/>
          <w:lang w:val="pl-PL"/>
        </w:rPr>
        <w:t>u</w:t>
      </w:r>
      <w:r w:rsidR="00682922" w:rsidRPr="00157521">
        <w:rPr>
          <w:lang w:val="pl-PL"/>
        </w:rPr>
        <w:t xml:space="preserve"> </w:t>
      </w:r>
      <w:r w:rsidR="00681759" w:rsidRPr="00157521">
        <w:rPr>
          <w:lang w:val="pl-PL"/>
        </w:rPr>
        <w:t>(</w:t>
      </w:r>
      <w:r w:rsidR="00682922" w:rsidRPr="00157521">
        <w:rPr>
          <w:lang w:val="pl-PL"/>
        </w:rPr>
        <w:t>t</w:t>
      </w:r>
      <w:r w:rsidR="00681759" w:rsidRPr="00157521">
        <w:rPr>
          <w:lang w:val="pl-PL"/>
        </w:rPr>
        <w:t>yp A)</w:t>
      </w:r>
    </w:p>
    <w:p w14:paraId="264E3642" w14:textId="77777777" w:rsidR="00681759" w:rsidRPr="00157521" w:rsidRDefault="00166D3F" w:rsidP="009512D0">
      <w:pPr>
        <w:spacing w:line="240" w:lineRule="auto"/>
        <w:rPr>
          <w:lang w:val="sk-SK"/>
        </w:rPr>
      </w:pPr>
      <w:proofErr w:type="spellStart"/>
      <w:r>
        <w:rPr>
          <w:lang w:val="sk-SK"/>
        </w:rPr>
        <w:t>m</w:t>
      </w:r>
      <w:r w:rsidR="00681759" w:rsidRPr="00157521">
        <w:rPr>
          <w:lang w:val="sk-SK"/>
        </w:rPr>
        <w:t>agn</w:t>
      </w:r>
      <w:r w:rsidR="00682922" w:rsidRPr="00157521">
        <w:rPr>
          <w:lang w:val="sk-SK"/>
        </w:rPr>
        <w:t>éz</w:t>
      </w:r>
      <w:r w:rsidR="00681759" w:rsidRPr="00157521">
        <w:rPr>
          <w:lang w:val="sk-SK"/>
        </w:rPr>
        <w:t>iumstear</w:t>
      </w:r>
      <w:r w:rsidR="00682922" w:rsidRPr="00157521">
        <w:rPr>
          <w:lang w:val="sk-SK"/>
        </w:rPr>
        <w:t>á</w:t>
      </w:r>
      <w:r w:rsidR="00681759" w:rsidRPr="00157521">
        <w:rPr>
          <w:lang w:val="sk-SK"/>
        </w:rPr>
        <w:t>t</w:t>
      </w:r>
      <w:proofErr w:type="spellEnd"/>
      <w:r w:rsidR="00681759" w:rsidRPr="00157521">
        <w:rPr>
          <w:szCs w:val="22"/>
          <w:lang w:val="sk-SK"/>
        </w:rPr>
        <w:t xml:space="preserve"> </w:t>
      </w:r>
    </w:p>
    <w:p w14:paraId="264E3643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44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6.2</w:t>
      </w:r>
      <w:r w:rsidRPr="00157521">
        <w:rPr>
          <w:b/>
          <w:lang w:val="sk-SK"/>
        </w:rPr>
        <w:tab/>
        <w:t>In</w:t>
      </w:r>
      <w:r w:rsidR="00682922" w:rsidRPr="00157521">
        <w:rPr>
          <w:b/>
          <w:lang w:val="sk-SK"/>
        </w:rPr>
        <w:t>k</w:t>
      </w:r>
      <w:r w:rsidRPr="00157521">
        <w:rPr>
          <w:b/>
          <w:lang w:val="sk-SK"/>
        </w:rPr>
        <w:t>ompatibilit</w:t>
      </w:r>
      <w:r w:rsidR="00682922" w:rsidRPr="00157521">
        <w:rPr>
          <w:b/>
          <w:lang w:val="sk-SK"/>
        </w:rPr>
        <w:t>y</w:t>
      </w:r>
    </w:p>
    <w:p w14:paraId="264E3645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46" w14:textId="77777777" w:rsidR="00682922" w:rsidRPr="00157521" w:rsidRDefault="00682922" w:rsidP="00682922">
      <w:pPr>
        <w:outlineLvl w:val="0"/>
        <w:rPr>
          <w:lang w:val="sk-SK"/>
        </w:rPr>
      </w:pPr>
      <w:r w:rsidRPr="00157521">
        <w:rPr>
          <w:lang w:val="sk-SK"/>
        </w:rPr>
        <w:t>Neaplikovateľné.</w:t>
      </w:r>
    </w:p>
    <w:p w14:paraId="264E3647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48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6.3</w:t>
      </w:r>
      <w:r w:rsidRPr="00157521">
        <w:rPr>
          <w:b/>
          <w:lang w:val="sk-SK"/>
        </w:rPr>
        <w:tab/>
      </w:r>
      <w:r w:rsidR="00682922" w:rsidRPr="00157521">
        <w:rPr>
          <w:b/>
          <w:lang w:val="sk-SK"/>
        </w:rPr>
        <w:t>Čas použiteľnosti</w:t>
      </w:r>
    </w:p>
    <w:p w14:paraId="264E3649" w14:textId="77777777" w:rsidR="00211A31" w:rsidRPr="00157521" w:rsidRDefault="00211A31" w:rsidP="00211A31">
      <w:pPr>
        <w:spacing w:line="240" w:lineRule="auto"/>
        <w:rPr>
          <w:lang w:val="sk-SK"/>
        </w:rPr>
      </w:pPr>
    </w:p>
    <w:p w14:paraId="264E364A" w14:textId="77777777" w:rsidR="00693B31" w:rsidRPr="007A5044" w:rsidRDefault="00915D85" w:rsidP="00693B31">
      <w:pPr>
        <w:rPr>
          <w:i/>
          <w:lang w:val="pl-PL"/>
        </w:rPr>
      </w:pPr>
      <w:r>
        <w:rPr>
          <w:i/>
          <w:lang w:val="pl-PL"/>
        </w:rPr>
        <w:t>DIRONORM</w:t>
      </w:r>
      <w:r w:rsidR="00693B31" w:rsidRPr="003F7DD0">
        <w:rPr>
          <w:i/>
          <w:lang w:val="pl-PL"/>
        </w:rPr>
        <w:t xml:space="preserve"> </w:t>
      </w:r>
      <w:r w:rsidR="00E20150">
        <w:rPr>
          <w:i/>
          <w:lang w:val="pl-PL"/>
        </w:rPr>
        <w:t xml:space="preserve">tablety, </w:t>
      </w:r>
      <w:r w:rsidR="00693B31" w:rsidRPr="003F7DD0">
        <w:rPr>
          <w:i/>
          <w:lang w:val="pl-PL"/>
        </w:rPr>
        <w:t>10 mg/5 mg</w:t>
      </w:r>
      <w:r w:rsidR="00693B31" w:rsidRPr="007A5044">
        <w:rPr>
          <w:i/>
          <w:lang w:val="pl-PL"/>
        </w:rPr>
        <w:t>:</w:t>
      </w:r>
    </w:p>
    <w:p w14:paraId="264E364B" w14:textId="77777777" w:rsidR="00693B31" w:rsidRPr="007A0748" w:rsidRDefault="00693B31" w:rsidP="00693B31">
      <w:pPr>
        <w:ind w:left="540" w:hanging="540"/>
        <w:rPr>
          <w:lang w:val="pl-PL"/>
        </w:rPr>
      </w:pPr>
      <w:r w:rsidRPr="00D04A03">
        <w:rPr>
          <w:szCs w:val="22"/>
          <w:lang w:val="pl-PL"/>
        </w:rPr>
        <w:t>4</w:t>
      </w:r>
      <w:r w:rsidRPr="007A0748">
        <w:rPr>
          <w:lang w:val="pl-PL"/>
        </w:rPr>
        <w:t xml:space="preserve"> roky</w:t>
      </w:r>
    </w:p>
    <w:p w14:paraId="264E364C" w14:textId="77777777" w:rsidR="00693B31" w:rsidRPr="00496A47" w:rsidRDefault="00693B31" w:rsidP="00693B31">
      <w:pPr>
        <w:spacing w:line="240" w:lineRule="auto"/>
        <w:rPr>
          <w:lang w:val="sk-SK"/>
        </w:rPr>
      </w:pPr>
    </w:p>
    <w:p w14:paraId="264E364D" w14:textId="77777777" w:rsidR="00693B31" w:rsidRPr="007A5044" w:rsidRDefault="00915D85" w:rsidP="00693B31">
      <w:pPr>
        <w:rPr>
          <w:i/>
          <w:lang w:val="pl-PL"/>
        </w:rPr>
      </w:pPr>
      <w:r>
        <w:rPr>
          <w:i/>
          <w:lang w:val="pl-PL"/>
        </w:rPr>
        <w:t>DIRONORM</w:t>
      </w:r>
      <w:r w:rsidR="00693B31" w:rsidRPr="003F7DD0">
        <w:rPr>
          <w:i/>
          <w:lang w:val="pl-PL"/>
        </w:rPr>
        <w:t xml:space="preserve"> </w:t>
      </w:r>
      <w:r w:rsidR="00E20150">
        <w:rPr>
          <w:i/>
          <w:lang w:val="pl-PL"/>
        </w:rPr>
        <w:t>F</w:t>
      </w:r>
      <w:r>
        <w:rPr>
          <w:i/>
          <w:lang w:val="pl-PL"/>
        </w:rPr>
        <w:t>ORTE</w:t>
      </w:r>
      <w:r w:rsidR="00E20150">
        <w:rPr>
          <w:i/>
          <w:lang w:val="pl-PL"/>
        </w:rPr>
        <w:t xml:space="preserve"> </w:t>
      </w:r>
      <w:r w:rsidR="00693B31" w:rsidRPr="003F7DD0">
        <w:rPr>
          <w:i/>
          <w:lang w:val="pl-PL"/>
        </w:rPr>
        <w:t>20 mg/10 mg tablety</w:t>
      </w:r>
      <w:r w:rsidR="00693B31" w:rsidRPr="007A5044">
        <w:rPr>
          <w:i/>
          <w:lang w:val="pl-PL"/>
        </w:rPr>
        <w:t>:</w:t>
      </w:r>
    </w:p>
    <w:p w14:paraId="264E364E" w14:textId="77777777" w:rsidR="00693B31" w:rsidRPr="00157521" w:rsidRDefault="0083788E" w:rsidP="00693B31">
      <w:pPr>
        <w:ind w:left="540" w:hanging="540"/>
        <w:rPr>
          <w:lang w:val="pl-PL"/>
        </w:rPr>
      </w:pPr>
      <w:r>
        <w:rPr>
          <w:szCs w:val="22"/>
          <w:lang w:val="pl-PL"/>
        </w:rPr>
        <w:t>3</w:t>
      </w:r>
      <w:r w:rsidRPr="00157521">
        <w:rPr>
          <w:lang w:val="pl-PL"/>
        </w:rPr>
        <w:t xml:space="preserve"> </w:t>
      </w:r>
      <w:r w:rsidR="00693B31" w:rsidRPr="00157521">
        <w:rPr>
          <w:lang w:val="pl-PL"/>
        </w:rPr>
        <w:t>roky</w:t>
      </w:r>
    </w:p>
    <w:p w14:paraId="264E364F" w14:textId="77777777" w:rsidR="00693B31" w:rsidRDefault="00693B31" w:rsidP="00693B31">
      <w:pPr>
        <w:spacing w:line="240" w:lineRule="auto"/>
        <w:rPr>
          <w:lang w:val="pl-PL"/>
        </w:rPr>
      </w:pPr>
    </w:p>
    <w:p w14:paraId="264E3650" w14:textId="77777777" w:rsidR="00681759" w:rsidRPr="00157521" w:rsidRDefault="00681759" w:rsidP="009512D0">
      <w:pPr>
        <w:spacing w:line="240" w:lineRule="auto"/>
        <w:ind w:left="567" w:hanging="567"/>
        <w:rPr>
          <w:b/>
          <w:lang w:val="sk-SK"/>
        </w:rPr>
      </w:pPr>
      <w:r w:rsidRPr="00157521">
        <w:rPr>
          <w:b/>
          <w:lang w:val="sk-SK"/>
        </w:rPr>
        <w:t>6.4</w:t>
      </w:r>
      <w:r w:rsidRPr="00157521">
        <w:rPr>
          <w:b/>
          <w:lang w:val="sk-SK"/>
        </w:rPr>
        <w:tab/>
      </w:r>
      <w:r w:rsidR="00682922" w:rsidRPr="00157521">
        <w:rPr>
          <w:b/>
          <w:lang w:val="sk-SK"/>
        </w:rPr>
        <w:t>Špeciálne upozornenia na uchovávanie</w:t>
      </w:r>
    </w:p>
    <w:p w14:paraId="264E3651" w14:textId="77777777" w:rsidR="00681759" w:rsidRPr="00157521" w:rsidRDefault="00681759" w:rsidP="009512D0">
      <w:pPr>
        <w:spacing w:line="240" w:lineRule="auto"/>
        <w:rPr>
          <w:i/>
          <w:lang w:val="sk-SK"/>
        </w:rPr>
      </w:pPr>
    </w:p>
    <w:p w14:paraId="264E3652" w14:textId="77777777" w:rsidR="00681759" w:rsidRPr="00157521" w:rsidRDefault="00682922" w:rsidP="009512D0">
      <w:pPr>
        <w:pStyle w:val="CTD"/>
        <w:tabs>
          <w:tab w:val="left" w:pos="567"/>
        </w:tabs>
        <w:spacing w:line="240" w:lineRule="auto"/>
        <w:rPr>
          <w:sz w:val="22"/>
          <w:lang w:val="sk-SK"/>
        </w:rPr>
      </w:pPr>
      <w:r w:rsidRPr="00157521">
        <w:rPr>
          <w:sz w:val="22"/>
          <w:lang w:val="sk-SK"/>
        </w:rPr>
        <w:t xml:space="preserve">Uchovávajte pri teplote </w:t>
      </w:r>
      <w:r w:rsidR="00C75613" w:rsidRPr="00157521">
        <w:rPr>
          <w:sz w:val="22"/>
          <w:lang w:val="sk-SK"/>
        </w:rPr>
        <w:t>do</w:t>
      </w:r>
      <w:r w:rsidRPr="00157521">
        <w:rPr>
          <w:sz w:val="22"/>
          <w:lang w:val="sk-SK"/>
        </w:rPr>
        <w:t xml:space="preserve"> </w:t>
      </w:r>
      <w:r w:rsidR="00681759" w:rsidRPr="00157521">
        <w:rPr>
          <w:sz w:val="22"/>
          <w:lang w:val="sk-SK"/>
        </w:rPr>
        <w:t>25</w:t>
      </w:r>
      <w:r w:rsidR="00166D3F">
        <w:rPr>
          <w:sz w:val="22"/>
          <w:lang w:val="sk-SK"/>
        </w:rPr>
        <w:t> </w:t>
      </w:r>
      <w:r w:rsidR="00681759" w:rsidRPr="00157521">
        <w:rPr>
          <w:sz w:val="22"/>
          <w:lang w:val="sk-SK"/>
        </w:rPr>
        <w:t>°C</w:t>
      </w:r>
      <w:r w:rsidRPr="00157521">
        <w:rPr>
          <w:sz w:val="22"/>
          <w:lang w:val="sk-SK"/>
        </w:rPr>
        <w:t>.</w:t>
      </w:r>
    </w:p>
    <w:p w14:paraId="264E3653" w14:textId="77777777" w:rsidR="00681759" w:rsidRPr="00157521" w:rsidRDefault="00682922" w:rsidP="009512D0">
      <w:pPr>
        <w:pStyle w:val="CTD"/>
        <w:tabs>
          <w:tab w:val="left" w:pos="567"/>
        </w:tabs>
        <w:spacing w:line="240" w:lineRule="auto"/>
        <w:rPr>
          <w:sz w:val="22"/>
          <w:lang w:val="sk-SK"/>
        </w:rPr>
      </w:pPr>
      <w:r w:rsidRPr="00157521">
        <w:rPr>
          <w:sz w:val="22"/>
          <w:lang w:val="sk-SK"/>
        </w:rPr>
        <w:t>Uchovávajte v pôvodnom obale na ochranu pred svetlom a vlhko</w:t>
      </w:r>
      <w:r w:rsidR="00C75613" w:rsidRPr="00157521">
        <w:rPr>
          <w:sz w:val="22"/>
          <w:lang w:val="sk-SK"/>
        </w:rPr>
        <w:t>sťou</w:t>
      </w:r>
      <w:r w:rsidR="00681759" w:rsidRPr="00157521">
        <w:rPr>
          <w:sz w:val="22"/>
          <w:lang w:val="sk-SK"/>
        </w:rPr>
        <w:t>.</w:t>
      </w:r>
    </w:p>
    <w:p w14:paraId="264E3654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55" w14:textId="77777777" w:rsidR="00681759" w:rsidRPr="00157521" w:rsidRDefault="00682922" w:rsidP="009512D0">
      <w:pPr>
        <w:spacing w:line="240" w:lineRule="auto"/>
        <w:rPr>
          <w:lang w:val="sk-SK"/>
        </w:rPr>
      </w:pPr>
      <w:r w:rsidRPr="00157521">
        <w:rPr>
          <w:b/>
          <w:lang w:val="sk-SK"/>
        </w:rPr>
        <w:t>6.5</w:t>
      </w:r>
      <w:r w:rsidRPr="00157521">
        <w:rPr>
          <w:b/>
          <w:lang w:val="sk-SK"/>
        </w:rPr>
        <w:tab/>
        <w:t>Druh obalu a obsah balenia</w:t>
      </w:r>
    </w:p>
    <w:p w14:paraId="264E3656" w14:textId="77777777" w:rsidR="00682922" w:rsidRPr="00157521" w:rsidRDefault="00682922" w:rsidP="00ED2DA9">
      <w:pPr>
        <w:rPr>
          <w:u w:val="single"/>
          <w:lang w:val="sk-SK"/>
        </w:rPr>
      </w:pPr>
    </w:p>
    <w:p w14:paraId="264E3657" w14:textId="77777777" w:rsidR="00E20150" w:rsidRPr="00732909" w:rsidRDefault="00915D85" w:rsidP="00E20150">
      <w:pPr>
        <w:rPr>
          <w:i/>
          <w:u w:val="single"/>
          <w:lang w:val="pl-PL"/>
        </w:rPr>
      </w:pPr>
      <w:r>
        <w:rPr>
          <w:i/>
          <w:u w:val="single"/>
          <w:lang w:val="pl-PL"/>
        </w:rPr>
        <w:lastRenderedPageBreak/>
        <w:t>DIRONORM</w:t>
      </w:r>
      <w:r w:rsidR="00E20150" w:rsidRPr="00732909">
        <w:rPr>
          <w:i/>
          <w:u w:val="single"/>
          <w:lang w:val="pl-PL"/>
        </w:rPr>
        <w:t xml:space="preserve"> tablety, 10 mg/5 mg:</w:t>
      </w:r>
    </w:p>
    <w:p w14:paraId="264E3658" w14:textId="77777777" w:rsidR="00681759" w:rsidRPr="00157521" w:rsidRDefault="00681759" w:rsidP="001A6EF0">
      <w:pPr>
        <w:rPr>
          <w:lang w:val="pl-PL"/>
        </w:rPr>
      </w:pPr>
      <w:r w:rsidRPr="00157521">
        <w:rPr>
          <w:lang w:val="pl-PL"/>
        </w:rPr>
        <w:t>30</w:t>
      </w:r>
      <w:r w:rsidR="009A077D" w:rsidRPr="00157521">
        <w:rPr>
          <w:lang w:val="pl-PL"/>
        </w:rPr>
        <w:t xml:space="preserve"> </w:t>
      </w:r>
      <w:r w:rsidR="00682922" w:rsidRPr="00157521">
        <w:rPr>
          <w:lang w:val="pl-PL"/>
        </w:rPr>
        <w:t>aleb</w:t>
      </w:r>
      <w:r w:rsidR="009A077D" w:rsidRPr="00157521">
        <w:rPr>
          <w:lang w:val="pl-PL"/>
        </w:rPr>
        <w:t>o</w:t>
      </w:r>
      <w:r w:rsidR="00211A31" w:rsidRPr="00157521">
        <w:rPr>
          <w:lang w:val="pl-PL"/>
        </w:rPr>
        <w:t xml:space="preserve"> 90 tabl</w:t>
      </w:r>
      <w:r w:rsidR="00682922" w:rsidRPr="00157521">
        <w:rPr>
          <w:lang w:val="pl-PL"/>
        </w:rPr>
        <w:t>i</w:t>
      </w:r>
      <w:r w:rsidR="00211A31" w:rsidRPr="00157521">
        <w:rPr>
          <w:lang w:val="pl-PL"/>
        </w:rPr>
        <w:t>et</w:t>
      </w:r>
      <w:r w:rsidR="00682922" w:rsidRPr="00157521">
        <w:rPr>
          <w:lang w:val="pl-PL"/>
        </w:rPr>
        <w:t xml:space="preserve"> v</w:t>
      </w:r>
      <w:r w:rsidR="002C0FC7" w:rsidRPr="00157521">
        <w:rPr>
          <w:lang w:val="pl-PL"/>
        </w:rPr>
        <w:t> </w:t>
      </w:r>
      <w:r w:rsidR="00682922" w:rsidRPr="00157521">
        <w:rPr>
          <w:lang w:val="pl-PL"/>
        </w:rPr>
        <w:t>bielych</w:t>
      </w:r>
      <w:r w:rsidR="002C0FC7" w:rsidRPr="00157521">
        <w:rPr>
          <w:lang w:val="pl-PL"/>
        </w:rPr>
        <w:t xml:space="preserve"> </w:t>
      </w:r>
      <w:r w:rsidR="00682922" w:rsidRPr="00157521">
        <w:rPr>
          <w:lang w:val="pl-PL"/>
        </w:rPr>
        <w:t>PVC/PE/PVDC/</w:t>
      </w:r>
      <w:r w:rsidR="002B7044">
        <w:rPr>
          <w:lang w:val="pl-PL"/>
        </w:rPr>
        <w:t>hliníkových</w:t>
      </w:r>
      <w:r w:rsidR="002B7044" w:rsidRPr="00157521">
        <w:rPr>
          <w:lang w:val="pl-PL"/>
        </w:rPr>
        <w:t xml:space="preserve"> </w:t>
      </w:r>
      <w:r w:rsidR="00682922" w:rsidRPr="00157521">
        <w:rPr>
          <w:lang w:val="pl-PL"/>
        </w:rPr>
        <w:t>blistroch</w:t>
      </w:r>
      <w:r w:rsidR="00693B31">
        <w:rPr>
          <w:lang w:val="pl-PL"/>
        </w:rPr>
        <w:t xml:space="preserve"> v škatuli</w:t>
      </w:r>
      <w:r w:rsidR="00B73B6C" w:rsidRPr="00157521">
        <w:rPr>
          <w:lang w:val="pl-PL"/>
        </w:rPr>
        <w:t>.</w:t>
      </w:r>
    </w:p>
    <w:p w14:paraId="264E3659" w14:textId="77777777" w:rsidR="00693B31" w:rsidRDefault="00693B31" w:rsidP="009512D0">
      <w:pPr>
        <w:spacing w:line="240" w:lineRule="auto"/>
        <w:rPr>
          <w:lang w:val="sk-SK"/>
        </w:rPr>
      </w:pPr>
    </w:p>
    <w:p w14:paraId="264E365A" w14:textId="77777777" w:rsidR="00693B31" w:rsidRPr="00732909" w:rsidRDefault="00915D85" w:rsidP="00693B31">
      <w:pPr>
        <w:rPr>
          <w:i/>
          <w:u w:val="single"/>
          <w:lang w:val="pl-PL"/>
        </w:rPr>
      </w:pPr>
      <w:r>
        <w:rPr>
          <w:i/>
          <w:u w:val="single"/>
          <w:lang w:val="pl-PL"/>
        </w:rPr>
        <w:t>DIRONORM</w:t>
      </w:r>
      <w:r w:rsidR="00E20150" w:rsidRPr="00732909">
        <w:rPr>
          <w:i/>
          <w:u w:val="single"/>
          <w:lang w:val="pl-PL"/>
        </w:rPr>
        <w:t xml:space="preserve"> F</w:t>
      </w:r>
      <w:r>
        <w:rPr>
          <w:i/>
          <w:u w:val="single"/>
          <w:lang w:val="pl-PL"/>
        </w:rPr>
        <w:t>ORTE</w:t>
      </w:r>
      <w:r w:rsidR="00E20150" w:rsidRPr="00732909">
        <w:rPr>
          <w:i/>
          <w:u w:val="single"/>
          <w:lang w:val="pl-PL"/>
        </w:rPr>
        <w:t xml:space="preserve"> 20 mg/10 mg tablety</w:t>
      </w:r>
      <w:r w:rsidR="00693B31" w:rsidRPr="00732909">
        <w:rPr>
          <w:i/>
          <w:u w:val="single"/>
          <w:lang w:val="pl-PL"/>
        </w:rPr>
        <w:t>:</w:t>
      </w:r>
    </w:p>
    <w:p w14:paraId="264E365B" w14:textId="77777777" w:rsidR="00693B31" w:rsidRPr="00157521" w:rsidRDefault="00693B31" w:rsidP="00693B31">
      <w:pPr>
        <w:rPr>
          <w:lang w:val="pl-PL"/>
        </w:rPr>
      </w:pPr>
      <w:r w:rsidRPr="00157521">
        <w:rPr>
          <w:lang w:val="pl-PL"/>
        </w:rPr>
        <w:t>30 alebo 90 tabliet v bielych PVC/PE/PVDC/</w:t>
      </w:r>
      <w:r w:rsidR="002B7044">
        <w:rPr>
          <w:lang w:val="pl-PL"/>
        </w:rPr>
        <w:t>hliníkových</w:t>
      </w:r>
      <w:r w:rsidRPr="00157521">
        <w:rPr>
          <w:lang w:val="pl-PL"/>
        </w:rPr>
        <w:t xml:space="preserve"> blistroch</w:t>
      </w:r>
      <w:r>
        <w:rPr>
          <w:lang w:val="pl-PL"/>
        </w:rPr>
        <w:t xml:space="preserve"> v škatuli</w:t>
      </w:r>
      <w:r w:rsidRPr="00157521">
        <w:rPr>
          <w:lang w:val="pl-PL"/>
        </w:rPr>
        <w:t>.</w:t>
      </w:r>
    </w:p>
    <w:p w14:paraId="264E365C" w14:textId="77777777" w:rsidR="00CF6CE4" w:rsidRDefault="00CF6CE4" w:rsidP="009512D0">
      <w:pPr>
        <w:spacing w:line="240" w:lineRule="auto"/>
        <w:rPr>
          <w:lang w:val="sk-SK"/>
        </w:rPr>
      </w:pPr>
    </w:p>
    <w:p w14:paraId="264E365D" w14:textId="77777777" w:rsidR="00681759" w:rsidRPr="003F7DD0" w:rsidRDefault="002B7044" w:rsidP="009512D0">
      <w:pPr>
        <w:spacing w:line="240" w:lineRule="auto"/>
        <w:rPr>
          <w:lang w:val="sk-SK"/>
        </w:rPr>
      </w:pPr>
      <w:r w:rsidRPr="003F7DD0">
        <w:rPr>
          <w:lang w:val="sk-SK"/>
        </w:rPr>
        <w:t>Na trh nemusia byť uvedené</w:t>
      </w:r>
      <w:r w:rsidRPr="003F7DD0">
        <w:rPr>
          <w:noProof/>
          <w:szCs w:val="22"/>
          <w:lang w:val="sk-SK"/>
        </w:rPr>
        <w:t xml:space="preserve"> </w:t>
      </w:r>
      <w:r w:rsidRPr="003F7DD0">
        <w:rPr>
          <w:szCs w:val="22"/>
          <w:lang w:val="sk-SK"/>
        </w:rPr>
        <w:t>všetky veľkosti balenia</w:t>
      </w:r>
      <w:r w:rsidR="00682922" w:rsidRPr="003F7DD0">
        <w:rPr>
          <w:lang w:val="sk-SK"/>
        </w:rPr>
        <w:t>.</w:t>
      </w:r>
      <w:r w:rsidR="008B5F08" w:rsidRPr="003F7DD0">
        <w:rPr>
          <w:lang w:val="sk-SK"/>
        </w:rPr>
        <w:t xml:space="preserve"> </w:t>
      </w:r>
    </w:p>
    <w:p w14:paraId="264E365E" w14:textId="77777777" w:rsidR="00211A31" w:rsidRPr="003F7DD0" w:rsidRDefault="00211A31" w:rsidP="009512D0">
      <w:pPr>
        <w:spacing w:line="240" w:lineRule="auto"/>
        <w:rPr>
          <w:lang w:val="sk-SK"/>
        </w:rPr>
      </w:pPr>
    </w:p>
    <w:p w14:paraId="264E365F" w14:textId="77777777" w:rsidR="00681759" w:rsidRPr="00157521" w:rsidRDefault="00681759" w:rsidP="009512D0">
      <w:pPr>
        <w:spacing w:line="240" w:lineRule="auto"/>
        <w:ind w:left="567" w:hanging="567"/>
        <w:outlineLvl w:val="0"/>
        <w:rPr>
          <w:lang w:val="sk-SK"/>
        </w:rPr>
      </w:pPr>
      <w:r w:rsidRPr="00157521">
        <w:rPr>
          <w:b/>
          <w:lang w:val="sk-SK"/>
        </w:rPr>
        <w:t>6.6</w:t>
      </w:r>
      <w:r w:rsidRPr="00157521">
        <w:rPr>
          <w:b/>
          <w:lang w:val="sk-SK"/>
        </w:rPr>
        <w:tab/>
      </w:r>
      <w:r w:rsidR="00682922" w:rsidRPr="00157521">
        <w:rPr>
          <w:b/>
          <w:lang w:val="sk-SK"/>
        </w:rPr>
        <w:t>Špeciálne opatrenia na likvidáciu</w:t>
      </w:r>
    </w:p>
    <w:p w14:paraId="264E3660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61" w14:textId="77777777" w:rsidR="00681759" w:rsidRPr="00157521" w:rsidRDefault="00682922" w:rsidP="009512D0">
      <w:pPr>
        <w:spacing w:line="240" w:lineRule="auto"/>
        <w:rPr>
          <w:lang w:val="sk-SK"/>
        </w:rPr>
      </w:pPr>
      <w:r w:rsidRPr="00157521">
        <w:rPr>
          <w:lang w:val="sk-SK"/>
        </w:rPr>
        <w:t>Žiadne zvláštne požiadavky</w:t>
      </w:r>
      <w:r w:rsidR="007E1B49">
        <w:rPr>
          <w:lang w:val="sk-SK"/>
        </w:rPr>
        <w:t xml:space="preserve"> na likvidáciu</w:t>
      </w:r>
      <w:r w:rsidR="00681759" w:rsidRPr="00157521">
        <w:rPr>
          <w:lang w:val="sk-SK"/>
        </w:rPr>
        <w:t>.</w:t>
      </w:r>
    </w:p>
    <w:p w14:paraId="264E3662" w14:textId="77777777" w:rsidR="00C64D0D" w:rsidRDefault="00C64D0D" w:rsidP="009512D0">
      <w:pPr>
        <w:spacing w:line="240" w:lineRule="auto"/>
        <w:rPr>
          <w:lang w:val="sk-SK"/>
        </w:rPr>
      </w:pPr>
    </w:p>
    <w:p w14:paraId="264E3663" w14:textId="77777777" w:rsidR="00681759" w:rsidRPr="00157521" w:rsidRDefault="00E50944" w:rsidP="009512D0">
      <w:pPr>
        <w:spacing w:line="240" w:lineRule="auto"/>
        <w:rPr>
          <w:lang w:val="sk-SK"/>
        </w:rPr>
      </w:pPr>
      <w:r>
        <w:rPr>
          <w:lang w:val="sk-SK"/>
        </w:rPr>
        <w:t>Všetok n</w:t>
      </w:r>
      <w:r w:rsidRPr="00157521">
        <w:rPr>
          <w:lang w:val="sk-SK"/>
        </w:rPr>
        <w:t xml:space="preserve">epoužitý </w:t>
      </w:r>
      <w:r w:rsidR="00177B92" w:rsidRPr="00157521">
        <w:rPr>
          <w:lang w:val="sk-SK"/>
        </w:rPr>
        <w:t xml:space="preserve">liek </w:t>
      </w:r>
      <w:r>
        <w:rPr>
          <w:lang w:val="sk-SK"/>
        </w:rPr>
        <w:t>alebo odpad vzniknutý z lieku sa má zlikvidovať v súlade s národnými požiadavkami.</w:t>
      </w:r>
    </w:p>
    <w:p w14:paraId="264E3664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65" w14:textId="77777777" w:rsidR="00D8540D" w:rsidRPr="00157521" w:rsidRDefault="00D8540D" w:rsidP="009512D0">
      <w:pPr>
        <w:spacing w:line="240" w:lineRule="auto"/>
        <w:rPr>
          <w:lang w:val="sk-SK"/>
        </w:rPr>
      </w:pPr>
    </w:p>
    <w:p w14:paraId="264E3666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7.</w:t>
      </w:r>
      <w:r w:rsidRPr="00157521">
        <w:rPr>
          <w:b/>
          <w:lang w:val="sk-SK"/>
        </w:rPr>
        <w:tab/>
      </w:r>
      <w:r w:rsidR="00682922" w:rsidRPr="00157521">
        <w:rPr>
          <w:b/>
          <w:lang w:val="sk-SK"/>
        </w:rPr>
        <w:t>DRŽITEĽ ROZHODNUTIA O REGISTRÁCII</w:t>
      </w:r>
    </w:p>
    <w:p w14:paraId="264E3667" w14:textId="77777777" w:rsidR="00681759" w:rsidRPr="00157521" w:rsidRDefault="00681759" w:rsidP="009512D0">
      <w:pPr>
        <w:spacing w:line="240" w:lineRule="auto"/>
        <w:rPr>
          <w:lang w:val="sk-SK"/>
        </w:rPr>
      </w:pPr>
    </w:p>
    <w:p w14:paraId="264E3668" w14:textId="77777777" w:rsidR="00443801" w:rsidRPr="00157521" w:rsidRDefault="00443801" w:rsidP="00443801">
      <w:pPr>
        <w:rPr>
          <w:lang w:val="sk-SK"/>
        </w:rPr>
      </w:pPr>
      <w:bookmarkStart w:id="1" w:name="OLE_LINK1"/>
      <w:r w:rsidRPr="00157521">
        <w:rPr>
          <w:lang w:val="sk-SK"/>
        </w:rPr>
        <w:t xml:space="preserve">Gedeon Richter </w:t>
      </w:r>
      <w:proofErr w:type="spellStart"/>
      <w:r w:rsidRPr="00157521">
        <w:rPr>
          <w:lang w:val="sk-SK"/>
        </w:rPr>
        <w:t>Plc</w:t>
      </w:r>
      <w:proofErr w:type="spellEnd"/>
      <w:r w:rsidRPr="00157521">
        <w:rPr>
          <w:lang w:val="sk-SK"/>
        </w:rPr>
        <w:t>.</w:t>
      </w:r>
    </w:p>
    <w:p w14:paraId="264E3669" w14:textId="77777777" w:rsidR="00443801" w:rsidRPr="00157521" w:rsidRDefault="00443801" w:rsidP="00443801">
      <w:pPr>
        <w:rPr>
          <w:lang w:val="sk-SK"/>
        </w:rPr>
      </w:pPr>
      <w:proofErr w:type="spellStart"/>
      <w:r w:rsidRPr="00157521">
        <w:rPr>
          <w:lang w:val="sk-SK"/>
        </w:rPr>
        <w:t>Gyömrői</w:t>
      </w:r>
      <w:proofErr w:type="spellEnd"/>
      <w:r w:rsidRPr="00157521">
        <w:rPr>
          <w:lang w:val="sk-SK"/>
        </w:rPr>
        <w:t xml:space="preserve"> </w:t>
      </w:r>
      <w:proofErr w:type="spellStart"/>
      <w:r w:rsidRPr="00157521">
        <w:rPr>
          <w:lang w:val="sk-SK"/>
        </w:rPr>
        <w:t>út</w:t>
      </w:r>
      <w:proofErr w:type="spellEnd"/>
      <w:r w:rsidRPr="00157521">
        <w:rPr>
          <w:lang w:val="sk-SK"/>
        </w:rPr>
        <w:t xml:space="preserve"> 19-21</w:t>
      </w:r>
    </w:p>
    <w:bookmarkEnd w:id="1"/>
    <w:p w14:paraId="264E366A" w14:textId="77777777" w:rsidR="00932AF4" w:rsidRPr="00157521" w:rsidRDefault="00932AF4" w:rsidP="00932AF4">
      <w:pPr>
        <w:rPr>
          <w:lang w:val="sk-SK"/>
        </w:rPr>
      </w:pPr>
      <w:r w:rsidRPr="00157521">
        <w:rPr>
          <w:lang w:val="sk-SK"/>
        </w:rPr>
        <w:t>1103 Budapešť</w:t>
      </w:r>
    </w:p>
    <w:p w14:paraId="264E366B" w14:textId="77777777" w:rsidR="00682922" w:rsidRPr="00157521" w:rsidRDefault="00682922" w:rsidP="00682922">
      <w:pPr>
        <w:rPr>
          <w:lang w:val="sk-SK"/>
        </w:rPr>
      </w:pPr>
      <w:r w:rsidRPr="00157521">
        <w:rPr>
          <w:lang w:val="sk-SK"/>
        </w:rPr>
        <w:t>Maďarsko</w:t>
      </w:r>
    </w:p>
    <w:p w14:paraId="264E366C" w14:textId="77777777" w:rsidR="00A97A45" w:rsidRPr="00157521" w:rsidRDefault="00A97A45" w:rsidP="00A97A45">
      <w:pPr>
        <w:spacing w:line="240" w:lineRule="auto"/>
        <w:rPr>
          <w:lang w:val="sk-SK"/>
        </w:rPr>
      </w:pPr>
    </w:p>
    <w:p w14:paraId="264E366D" w14:textId="77777777" w:rsidR="00A97A45" w:rsidRPr="00157521" w:rsidRDefault="00A97A45" w:rsidP="00A97A45">
      <w:pPr>
        <w:spacing w:line="240" w:lineRule="auto"/>
        <w:rPr>
          <w:lang w:val="sk-SK"/>
        </w:rPr>
      </w:pPr>
    </w:p>
    <w:p w14:paraId="264E366E" w14:textId="77777777" w:rsidR="00681759" w:rsidRPr="00157521" w:rsidRDefault="00681759" w:rsidP="009512D0">
      <w:pPr>
        <w:spacing w:line="240" w:lineRule="auto"/>
        <w:ind w:left="567" w:hanging="567"/>
        <w:rPr>
          <w:b/>
          <w:lang w:val="sk-SK"/>
        </w:rPr>
      </w:pPr>
      <w:r w:rsidRPr="00157521">
        <w:rPr>
          <w:b/>
          <w:lang w:val="sk-SK"/>
        </w:rPr>
        <w:t>8.</w:t>
      </w:r>
      <w:r w:rsidRPr="00157521">
        <w:rPr>
          <w:b/>
          <w:lang w:val="sk-SK"/>
        </w:rPr>
        <w:tab/>
      </w:r>
      <w:r w:rsidR="00682922" w:rsidRPr="00157521">
        <w:rPr>
          <w:b/>
          <w:caps/>
          <w:lang w:val="sk-SK"/>
        </w:rPr>
        <w:t>Registračné čísl</w:t>
      </w:r>
      <w:r w:rsidR="0052130B">
        <w:rPr>
          <w:b/>
          <w:caps/>
          <w:lang w:val="sk-SK"/>
        </w:rPr>
        <w:t>A</w:t>
      </w:r>
      <w:r w:rsidRPr="00157521">
        <w:rPr>
          <w:b/>
          <w:lang w:val="sk-SK"/>
        </w:rPr>
        <w:t xml:space="preserve"> </w:t>
      </w:r>
    </w:p>
    <w:p w14:paraId="264E366F" w14:textId="77777777" w:rsidR="00681759" w:rsidRPr="00157521" w:rsidRDefault="00681759" w:rsidP="009512D0">
      <w:pPr>
        <w:spacing w:line="240" w:lineRule="auto"/>
        <w:rPr>
          <w:i/>
          <w:lang w:val="sk-SK"/>
        </w:rPr>
      </w:pPr>
    </w:p>
    <w:p w14:paraId="264E3670" w14:textId="77777777" w:rsidR="00682922" w:rsidRPr="003F7DD0" w:rsidRDefault="00915D85" w:rsidP="00D8540D">
      <w:pPr>
        <w:rPr>
          <w:lang w:val="sk-SK"/>
        </w:rPr>
      </w:pPr>
      <w:r>
        <w:rPr>
          <w:i/>
          <w:lang w:val="pl-PL"/>
        </w:rPr>
        <w:t>DIRONORM</w:t>
      </w:r>
      <w:r w:rsidR="007E1B49" w:rsidRPr="003F7DD0">
        <w:rPr>
          <w:i/>
          <w:lang w:val="pl-PL"/>
        </w:rPr>
        <w:t xml:space="preserve"> </w:t>
      </w:r>
      <w:r w:rsidR="006B6650" w:rsidRPr="00CA50FC">
        <w:rPr>
          <w:i/>
          <w:lang w:val="pl-PL"/>
        </w:rPr>
        <w:t>tablety</w:t>
      </w:r>
      <w:r w:rsidR="006B6650">
        <w:rPr>
          <w:i/>
          <w:lang w:val="pl-PL"/>
        </w:rPr>
        <w:t xml:space="preserve">, </w:t>
      </w:r>
      <w:r w:rsidR="007E1B49" w:rsidRPr="003F7DD0">
        <w:rPr>
          <w:i/>
          <w:lang w:val="pl-PL"/>
        </w:rPr>
        <w:t>10 mg/5 mg</w:t>
      </w:r>
      <w:r w:rsidR="007E1B49" w:rsidRPr="006B22F1">
        <w:rPr>
          <w:lang w:val="pl-PL"/>
        </w:rPr>
        <w:t xml:space="preserve">: </w:t>
      </w:r>
      <w:r w:rsidR="002001E7" w:rsidRPr="006B22F1">
        <w:rPr>
          <w:caps/>
          <w:lang w:val="sk-SK"/>
        </w:rPr>
        <w:t>58/</w:t>
      </w:r>
      <w:r w:rsidR="006100B7" w:rsidRPr="006B22F1">
        <w:rPr>
          <w:caps/>
          <w:lang w:val="sk-SK"/>
        </w:rPr>
        <w:t>0431/08</w:t>
      </w:r>
      <w:r w:rsidR="002001E7" w:rsidRPr="003F7DD0">
        <w:rPr>
          <w:caps/>
          <w:lang w:val="sk-SK"/>
        </w:rPr>
        <w:t>-</w:t>
      </w:r>
      <w:r w:rsidR="002001E7" w:rsidRPr="003F7DD0">
        <w:rPr>
          <w:lang w:val="sk-SK"/>
        </w:rPr>
        <w:t>S</w:t>
      </w:r>
    </w:p>
    <w:p w14:paraId="264E3671" w14:textId="77777777" w:rsidR="007E1B49" w:rsidRPr="006B22F1" w:rsidRDefault="00915D85" w:rsidP="007E1B49">
      <w:pPr>
        <w:rPr>
          <w:lang w:val="pl-PL"/>
        </w:rPr>
      </w:pPr>
      <w:r>
        <w:rPr>
          <w:i/>
          <w:lang w:val="pl-PL"/>
        </w:rPr>
        <w:t>DIRONORM</w:t>
      </w:r>
      <w:r w:rsidR="007E1B49" w:rsidRPr="003F7DD0">
        <w:rPr>
          <w:i/>
          <w:lang w:val="pl-PL"/>
        </w:rPr>
        <w:t xml:space="preserve"> </w:t>
      </w:r>
      <w:r w:rsidR="006B6650">
        <w:rPr>
          <w:i/>
          <w:lang w:val="pl-PL"/>
        </w:rPr>
        <w:t>F</w:t>
      </w:r>
      <w:r>
        <w:rPr>
          <w:i/>
          <w:lang w:val="pl-PL"/>
        </w:rPr>
        <w:t>ORTE</w:t>
      </w:r>
      <w:r w:rsidR="006B6650">
        <w:rPr>
          <w:i/>
          <w:lang w:val="pl-PL"/>
        </w:rPr>
        <w:t xml:space="preserve"> </w:t>
      </w:r>
      <w:r w:rsidR="007E1B49" w:rsidRPr="003F7DD0">
        <w:rPr>
          <w:i/>
          <w:lang w:val="pl-PL"/>
        </w:rPr>
        <w:t>20 mg/10 mg tablety</w:t>
      </w:r>
      <w:r w:rsidR="007E1B49" w:rsidRPr="006B22F1">
        <w:rPr>
          <w:lang w:val="pl-PL"/>
        </w:rPr>
        <w:t>:</w:t>
      </w:r>
      <w:r w:rsidR="00973723" w:rsidRPr="006B22F1">
        <w:rPr>
          <w:lang w:val="pl-PL"/>
        </w:rPr>
        <w:t xml:space="preserve"> 58/0536/09-S</w:t>
      </w:r>
    </w:p>
    <w:p w14:paraId="264E3672" w14:textId="77777777" w:rsidR="00681759" w:rsidRDefault="00681759" w:rsidP="009512D0">
      <w:pPr>
        <w:spacing w:line="240" w:lineRule="auto"/>
        <w:rPr>
          <w:lang w:val="sk-SK"/>
        </w:rPr>
      </w:pPr>
    </w:p>
    <w:p w14:paraId="264E3673" w14:textId="77777777" w:rsidR="007D54A6" w:rsidRPr="00157521" w:rsidRDefault="007D54A6" w:rsidP="009512D0">
      <w:pPr>
        <w:spacing w:line="240" w:lineRule="auto"/>
        <w:rPr>
          <w:lang w:val="sk-SK"/>
        </w:rPr>
      </w:pPr>
    </w:p>
    <w:p w14:paraId="264E3674" w14:textId="77777777" w:rsidR="00681759" w:rsidRPr="00157521" w:rsidRDefault="00681759" w:rsidP="009512D0">
      <w:pPr>
        <w:spacing w:line="240" w:lineRule="auto"/>
        <w:ind w:left="567" w:hanging="567"/>
        <w:rPr>
          <w:lang w:val="sk-SK"/>
        </w:rPr>
      </w:pPr>
      <w:r w:rsidRPr="00157521">
        <w:rPr>
          <w:b/>
          <w:lang w:val="sk-SK"/>
        </w:rPr>
        <w:t>9.</w:t>
      </w:r>
      <w:r w:rsidRPr="00157521">
        <w:rPr>
          <w:b/>
          <w:lang w:val="sk-SK"/>
        </w:rPr>
        <w:tab/>
      </w:r>
      <w:r w:rsidR="00682922" w:rsidRPr="00157521">
        <w:rPr>
          <w:b/>
          <w:caps/>
          <w:lang w:val="sk-SK"/>
        </w:rPr>
        <w:t xml:space="preserve">Dátum </w:t>
      </w:r>
      <w:r w:rsidR="00E50944">
        <w:rPr>
          <w:b/>
          <w:caps/>
          <w:lang w:val="sk-SK"/>
        </w:rPr>
        <w:t xml:space="preserve">PRVEJ </w:t>
      </w:r>
      <w:r w:rsidR="00682922" w:rsidRPr="00157521">
        <w:rPr>
          <w:b/>
          <w:caps/>
          <w:lang w:val="sk-SK"/>
        </w:rPr>
        <w:t>registrácie/PREDĹŽENIA REGISTRÁCIE</w:t>
      </w:r>
    </w:p>
    <w:p w14:paraId="264E3675" w14:textId="77777777" w:rsidR="00B156C1" w:rsidRDefault="00B156C1" w:rsidP="00932AF4">
      <w:pPr>
        <w:rPr>
          <w:i/>
          <w:lang w:val="pl-PL"/>
        </w:rPr>
      </w:pPr>
    </w:p>
    <w:p w14:paraId="264E3676" w14:textId="77777777" w:rsidR="00B156C1" w:rsidRPr="0011544C" w:rsidRDefault="00915D85" w:rsidP="00932AF4">
      <w:pPr>
        <w:rPr>
          <w:i/>
          <w:lang w:val="en-US"/>
        </w:rPr>
      </w:pPr>
      <w:r>
        <w:rPr>
          <w:i/>
          <w:lang w:val="pl-PL"/>
        </w:rPr>
        <w:t>DIRONORM</w:t>
      </w:r>
      <w:r w:rsidR="00B156C1" w:rsidRPr="00CA50FC">
        <w:rPr>
          <w:i/>
          <w:lang w:val="pl-PL"/>
        </w:rPr>
        <w:t xml:space="preserve"> tablety</w:t>
      </w:r>
      <w:r w:rsidR="00B156C1">
        <w:rPr>
          <w:i/>
          <w:lang w:val="pl-PL"/>
        </w:rPr>
        <w:t xml:space="preserve">, </w:t>
      </w:r>
      <w:r w:rsidR="00B156C1" w:rsidRPr="00CA50FC">
        <w:rPr>
          <w:i/>
          <w:lang w:val="pl-PL"/>
        </w:rPr>
        <w:t>10 mg/5 mg</w:t>
      </w:r>
      <w:r w:rsidR="00973723" w:rsidRPr="003F7DD0">
        <w:rPr>
          <w:i/>
          <w:lang w:val="pl-PL"/>
        </w:rPr>
        <w:t>:</w:t>
      </w:r>
      <w:r w:rsidR="00973723" w:rsidRPr="0011544C">
        <w:rPr>
          <w:i/>
          <w:lang w:val="en-US"/>
        </w:rPr>
        <w:t xml:space="preserve"> </w:t>
      </w:r>
    </w:p>
    <w:p w14:paraId="264E3677" w14:textId="77777777" w:rsidR="00932AF4" w:rsidRPr="0011544C" w:rsidRDefault="00B156C1" w:rsidP="00932AF4">
      <w:pPr>
        <w:rPr>
          <w:lang w:val="en-US"/>
        </w:rPr>
      </w:pPr>
      <w:r w:rsidRPr="0011544C">
        <w:rPr>
          <w:noProof/>
          <w:lang w:val="en-US"/>
        </w:rPr>
        <w:t>Dátum prvej registrácie</w:t>
      </w:r>
      <w:r w:rsidRPr="0011544C">
        <w:rPr>
          <w:lang w:val="en-US"/>
        </w:rPr>
        <w:t xml:space="preserve">: </w:t>
      </w:r>
      <w:r w:rsidR="00027028" w:rsidRPr="0011544C">
        <w:rPr>
          <w:lang w:val="en-US"/>
        </w:rPr>
        <w:t>28.</w:t>
      </w:r>
      <w:r w:rsidR="00913A08" w:rsidRPr="0011544C">
        <w:rPr>
          <w:lang w:val="en-US"/>
        </w:rPr>
        <w:t xml:space="preserve"> </w:t>
      </w:r>
      <w:proofErr w:type="gramStart"/>
      <w:r w:rsidR="00913A08" w:rsidRPr="0011544C">
        <w:rPr>
          <w:lang w:val="en-US"/>
        </w:rPr>
        <w:t>august</w:t>
      </w:r>
      <w:proofErr w:type="gramEnd"/>
      <w:r w:rsidR="00913A08" w:rsidRPr="0011544C">
        <w:rPr>
          <w:lang w:val="en-US"/>
        </w:rPr>
        <w:t xml:space="preserve"> </w:t>
      </w:r>
      <w:r w:rsidR="00975C1D" w:rsidRPr="0011544C">
        <w:rPr>
          <w:lang w:val="en-US"/>
        </w:rPr>
        <w:t>2008</w:t>
      </w:r>
    </w:p>
    <w:p w14:paraId="264E3678" w14:textId="77777777" w:rsidR="00B156C1" w:rsidRPr="0011544C" w:rsidRDefault="0052130B" w:rsidP="009512D0">
      <w:pPr>
        <w:spacing w:line="240" w:lineRule="auto"/>
        <w:rPr>
          <w:lang w:val="en-US"/>
        </w:rPr>
      </w:pPr>
      <w:r w:rsidRPr="0011544C">
        <w:rPr>
          <w:noProof/>
          <w:lang w:val="en-US"/>
        </w:rPr>
        <w:t>Dátum predĺženia registrácie: 20. január 2015</w:t>
      </w:r>
    </w:p>
    <w:p w14:paraId="264E3679" w14:textId="77777777" w:rsidR="0052130B" w:rsidRDefault="0052130B" w:rsidP="009512D0">
      <w:pPr>
        <w:spacing w:line="240" w:lineRule="auto"/>
        <w:rPr>
          <w:i/>
          <w:lang w:val="pl-PL"/>
        </w:rPr>
      </w:pPr>
    </w:p>
    <w:p w14:paraId="264E367A" w14:textId="77777777" w:rsidR="00B156C1" w:rsidRDefault="00915D85" w:rsidP="009512D0">
      <w:pPr>
        <w:spacing w:line="240" w:lineRule="auto"/>
        <w:rPr>
          <w:lang w:val="sk-SK"/>
        </w:rPr>
      </w:pPr>
      <w:r>
        <w:rPr>
          <w:i/>
          <w:lang w:val="pl-PL"/>
        </w:rPr>
        <w:t>DIRONORM</w:t>
      </w:r>
      <w:r w:rsidR="00B156C1" w:rsidRPr="00CA50FC">
        <w:rPr>
          <w:i/>
          <w:lang w:val="pl-PL"/>
        </w:rPr>
        <w:t xml:space="preserve"> </w:t>
      </w:r>
      <w:r w:rsidR="00B156C1">
        <w:rPr>
          <w:i/>
          <w:lang w:val="pl-PL"/>
        </w:rPr>
        <w:t>F</w:t>
      </w:r>
      <w:r>
        <w:rPr>
          <w:i/>
          <w:lang w:val="pl-PL"/>
        </w:rPr>
        <w:t>ORTE</w:t>
      </w:r>
      <w:r w:rsidR="00B156C1">
        <w:rPr>
          <w:i/>
          <w:lang w:val="pl-PL"/>
        </w:rPr>
        <w:t xml:space="preserve"> </w:t>
      </w:r>
      <w:r w:rsidR="00B156C1" w:rsidRPr="00CA50FC">
        <w:rPr>
          <w:i/>
          <w:lang w:val="pl-PL"/>
        </w:rPr>
        <w:t>20 mg/10 mg tablety</w:t>
      </w:r>
      <w:r w:rsidR="00973723" w:rsidRPr="003F7DD0">
        <w:rPr>
          <w:i/>
          <w:lang w:val="pl-PL"/>
        </w:rPr>
        <w:t>:</w:t>
      </w:r>
      <w:r w:rsidR="00973723" w:rsidRPr="006B22F1">
        <w:rPr>
          <w:lang w:val="sk-SK"/>
        </w:rPr>
        <w:t xml:space="preserve"> </w:t>
      </w:r>
    </w:p>
    <w:p w14:paraId="264E367B" w14:textId="77777777" w:rsidR="00681759" w:rsidRDefault="00B156C1" w:rsidP="009512D0">
      <w:pPr>
        <w:spacing w:line="240" w:lineRule="auto"/>
        <w:rPr>
          <w:lang w:val="sk-SK"/>
        </w:rPr>
      </w:pPr>
      <w:r w:rsidRPr="003B45BA">
        <w:rPr>
          <w:noProof/>
          <w:lang w:val="pl-PL"/>
        </w:rPr>
        <w:t>Dátum prvej registrácie</w:t>
      </w:r>
      <w:r>
        <w:rPr>
          <w:lang w:val="sk-SK"/>
        </w:rPr>
        <w:t xml:space="preserve"> </w:t>
      </w:r>
      <w:r w:rsidR="00973723">
        <w:rPr>
          <w:lang w:val="sk-SK"/>
        </w:rPr>
        <w:t>18.</w:t>
      </w:r>
      <w:r w:rsidR="00913A08">
        <w:rPr>
          <w:lang w:val="sk-SK"/>
        </w:rPr>
        <w:t xml:space="preserve"> september </w:t>
      </w:r>
      <w:r w:rsidR="00973723">
        <w:rPr>
          <w:lang w:val="sk-SK"/>
        </w:rPr>
        <w:t>2009</w:t>
      </w:r>
    </w:p>
    <w:p w14:paraId="264E367C" w14:textId="77777777" w:rsidR="0052130B" w:rsidRPr="0011544C" w:rsidRDefault="0052130B" w:rsidP="0052130B">
      <w:pPr>
        <w:spacing w:line="240" w:lineRule="auto"/>
        <w:rPr>
          <w:lang w:val="sk-SK"/>
        </w:rPr>
      </w:pPr>
      <w:r w:rsidRPr="0011544C">
        <w:rPr>
          <w:noProof/>
          <w:lang w:val="sk-SK"/>
        </w:rPr>
        <w:t>Dátum predĺženia registrácie: 20. január 2015</w:t>
      </w:r>
    </w:p>
    <w:p w14:paraId="264E367D" w14:textId="77777777" w:rsidR="0052130B" w:rsidRPr="0011544C" w:rsidRDefault="0052130B" w:rsidP="009512D0">
      <w:pPr>
        <w:spacing w:line="240" w:lineRule="auto"/>
        <w:rPr>
          <w:lang w:val="sk-SK"/>
        </w:rPr>
      </w:pPr>
    </w:p>
    <w:p w14:paraId="264E367E" w14:textId="77777777" w:rsidR="00973723" w:rsidRPr="00157521" w:rsidRDefault="00973723" w:rsidP="009512D0">
      <w:pPr>
        <w:spacing w:line="240" w:lineRule="auto"/>
        <w:rPr>
          <w:lang w:val="sk-SK"/>
        </w:rPr>
      </w:pPr>
    </w:p>
    <w:p w14:paraId="264E367F" w14:textId="77777777" w:rsidR="00681759" w:rsidRPr="00157521" w:rsidRDefault="00681759" w:rsidP="009512D0">
      <w:pPr>
        <w:spacing w:line="240" w:lineRule="auto"/>
        <w:ind w:left="567" w:hanging="567"/>
        <w:rPr>
          <w:b/>
          <w:lang w:val="sk-SK"/>
        </w:rPr>
      </w:pPr>
      <w:r w:rsidRPr="00157521">
        <w:rPr>
          <w:b/>
          <w:lang w:val="sk-SK"/>
        </w:rPr>
        <w:t>10.</w:t>
      </w:r>
      <w:r w:rsidRPr="00157521">
        <w:rPr>
          <w:b/>
          <w:lang w:val="sk-SK"/>
        </w:rPr>
        <w:tab/>
      </w:r>
      <w:r w:rsidR="00682922" w:rsidRPr="00157521">
        <w:rPr>
          <w:b/>
          <w:caps/>
          <w:lang w:val="sk-SK"/>
        </w:rPr>
        <w:t>Dátum revízie textu</w:t>
      </w:r>
    </w:p>
    <w:p w14:paraId="264E3680" w14:textId="77777777" w:rsidR="0074736D" w:rsidRDefault="0074736D" w:rsidP="003F7DD0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264E3681" w14:textId="77777777" w:rsidR="00681759" w:rsidRPr="00436853" w:rsidRDefault="00B02D2E" w:rsidP="003F7DD0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  <w:r>
        <w:rPr>
          <w:lang w:val="sk-SK"/>
        </w:rPr>
        <w:t>10/2019</w:t>
      </w:r>
    </w:p>
    <w:sectPr w:rsidR="00681759" w:rsidRPr="00436853" w:rsidSect="00732909">
      <w:headerReference w:type="default" r:id="rId18"/>
      <w:footerReference w:type="default" r:id="rId19"/>
      <w:footerReference w:type="first" r:id="rId20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6ECB1" w14:textId="77777777" w:rsidR="00F95951" w:rsidRDefault="00F95951">
      <w:r>
        <w:separator/>
      </w:r>
    </w:p>
  </w:endnote>
  <w:endnote w:type="continuationSeparator" w:id="0">
    <w:p w14:paraId="752469EF" w14:textId="77777777" w:rsidR="00F95951" w:rsidRDefault="00F95951">
      <w:r>
        <w:continuationSeparator/>
      </w:r>
    </w:p>
  </w:endnote>
  <w:endnote w:type="continuationNotice" w:id="1">
    <w:p w14:paraId="6C69E22F" w14:textId="77777777" w:rsidR="00F95951" w:rsidRDefault="00F959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368C" w14:textId="77777777" w:rsidR="007A1449" w:rsidRPr="00732909" w:rsidRDefault="007A1449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732909">
      <w:rPr>
        <w:rStyle w:val="slostrany"/>
        <w:rFonts w:ascii="Times New Roman" w:hAnsi="Times New Roman"/>
        <w:sz w:val="18"/>
        <w:szCs w:val="18"/>
      </w:rPr>
      <w:fldChar w:fldCharType="begin"/>
    </w:r>
    <w:r w:rsidRPr="0073290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32909">
      <w:rPr>
        <w:rStyle w:val="slostrany"/>
        <w:rFonts w:ascii="Times New Roman" w:hAnsi="Times New Roman"/>
        <w:sz w:val="18"/>
        <w:szCs w:val="18"/>
      </w:rPr>
      <w:fldChar w:fldCharType="separate"/>
    </w:r>
    <w:r w:rsidR="008E45E5">
      <w:rPr>
        <w:rStyle w:val="slostrany"/>
        <w:rFonts w:ascii="Times New Roman" w:hAnsi="Times New Roman"/>
        <w:noProof/>
        <w:sz w:val="18"/>
        <w:szCs w:val="18"/>
      </w:rPr>
      <w:t>1</w:t>
    </w:r>
    <w:r w:rsidRPr="00732909">
      <w:rPr>
        <w:rStyle w:val="slostrany"/>
        <w:rFonts w:ascii="Times New Roman" w:hAnsi="Times New Roman"/>
        <w:sz w:val="18"/>
        <w:szCs w:val="18"/>
      </w:rPr>
      <w:fldChar w:fldCharType="end"/>
    </w:r>
  </w:p>
  <w:p w14:paraId="264E368D" w14:textId="77777777" w:rsidR="007A1449" w:rsidRDefault="007A1449">
    <w:pPr>
      <w:pStyle w:val="Pta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368E" w14:textId="77777777" w:rsidR="007A1449" w:rsidRDefault="007A144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C5EC0" w14:textId="77777777" w:rsidR="00F95951" w:rsidRDefault="00F95951">
      <w:r>
        <w:separator/>
      </w:r>
    </w:p>
  </w:footnote>
  <w:footnote w:type="continuationSeparator" w:id="0">
    <w:p w14:paraId="762BD7E7" w14:textId="77777777" w:rsidR="00F95951" w:rsidRDefault="00F95951">
      <w:r>
        <w:continuationSeparator/>
      </w:r>
    </w:p>
  </w:footnote>
  <w:footnote w:type="continuationNotice" w:id="1">
    <w:p w14:paraId="19102D6F" w14:textId="77777777" w:rsidR="00F95951" w:rsidRDefault="00F959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3688" w14:textId="77777777" w:rsidR="007A1449" w:rsidRPr="00732909" w:rsidRDefault="007A1449" w:rsidP="002E4F3E">
    <w:pPr>
      <w:pStyle w:val="Hlavika"/>
      <w:rPr>
        <w:rFonts w:ascii="Times New Roman" w:hAnsi="Times New Roman"/>
        <w:sz w:val="18"/>
        <w:szCs w:val="18"/>
        <w:lang w:val="sk-SK"/>
      </w:rPr>
    </w:pPr>
    <w:r w:rsidRPr="00732909">
      <w:rPr>
        <w:rFonts w:ascii="Times New Roman" w:hAnsi="Times New Roman"/>
        <w:sz w:val="18"/>
        <w:szCs w:val="18"/>
        <w:lang w:val="sk-SK"/>
      </w:rPr>
      <w:t xml:space="preserve">Príloha </w:t>
    </w:r>
    <w:r w:rsidRPr="00732909">
      <w:rPr>
        <w:rFonts w:ascii="Times New Roman" w:hAnsi="Times New Roman" w:hint="eastAsia"/>
        <w:sz w:val="18"/>
        <w:szCs w:val="18"/>
        <w:lang w:val="sk-SK"/>
      </w:rPr>
      <w:t>č</w:t>
    </w:r>
    <w:r w:rsidRPr="00732909">
      <w:rPr>
        <w:rFonts w:ascii="Times New Roman" w:hAnsi="Times New Roman"/>
        <w:sz w:val="18"/>
        <w:szCs w:val="18"/>
        <w:lang w:val="sk-SK"/>
      </w:rPr>
      <w:t xml:space="preserve">. 1 k notifikácii o zmene, ev. </w:t>
    </w:r>
    <w:r w:rsidRPr="00732909">
      <w:rPr>
        <w:rFonts w:ascii="Times New Roman" w:hAnsi="Times New Roman" w:hint="eastAsia"/>
        <w:sz w:val="18"/>
        <w:szCs w:val="18"/>
        <w:lang w:val="sk-SK"/>
      </w:rPr>
      <w:t>č</w:t>
    </w:r>
    <w:r w:rsidRPr="00732909">
      <w:rPr>
        <w:rFonts w:ascii="Times New Roman" w:hAnsi="Times New Roman"/>
        <w:sz w:val="18"/>
        <w:szCs w:val="18"/>
        <w:lang w:val="sk-SK"/>
      </w:rPr>
      <w:t>.: 2017/04706-Z1B, 2018/00445-Z1B, 2019/00608-Z1B</w:t>
    </w:r>
  </w:p>
  <w:p w14:paraId="264E3689" w14:textId="77777777" w:rsidR="007A1449" w:rsidRPr="00732909" w:rsidRDefault="007A1449" w:rsidP="002E4F3E">
    <w:pPr>
      <w:pStyle w:val="Hlavika"/>
      <w:rPr>
        <w:rFonts w:ascii="Times New Roman" w:hAnsi="Times New Roman"/>
        <w:sz w:val="18"/>
        <w:szCs w:val="18"/>
        <w:lang w:val="sk-SK"/>
      </w:rPr>
    </w:pPr>
    <w:r w:rsidRPr="00732909">
      <w:rPr>
        <w:rFonts w:ascii="Times New Roman" w:hAnsi="Times New Roman"/>
        <w:sz w:val="18"/>
        <w:szCs w:val="18"/>
        <w:lang w:val="sk-SK"/>
      </w:rPr>
      <w:t xml:space="preserve">Schválený text k rozhodnutiu o zmene, ev. </w:t>
    </w:r>
    <w:r w:rsidRPr="00732909">
      <w:rPr>
        <w:rFonts w:ascii="Times New Roman" w:hAnsi="Times New Roman" w:hint="eastAsia"/>
        <w:sz w:val="18"/>
        <w:szCs w:val="18"/>
        <w:lang w:val="sk-SK"/>
      </w:rPr>
      <w:t>č</w:t>
    </w:r>
    <w:r w:rsidRPr="00732909">
      <w:rPr>
        <w:rFonts w:ascii="Times New Roman" w:hAnsi="Times New Roman"/>
        <w:sz w:val="18"/>
        <w:szCs w:val="18"/>
        <w:lang w:val="sk-SK"/>
      </w:rPr>
      <w:t>.: 2018/04981-ZME</w:t>
    </w:r>
  </w:p>
  <w:p w14:paraId="264E368A" w14:textId="77777777" w:rsidR="007A1449" w:rsidRPr="00732909" w:rsidRDefault="007A1449" w:rsidP="002E4F3E">
    <w:pPr>
      <w:pStyle w:val="Hlavika"/>
      <w:rPr>
        <w:rFonts w:ascii="Times New Roman" w:hAnsi="Times New Roman"/>
        <w:sz w:val="18"/>
        <w:szCs w:val="18"/>
        <w:lang w:val="sk-SK"/>
      </w:rPr>
    </w:pPr>
  </w:p>
  <w:p w14:paraId="264E368B" w14:textId="77777777" w:rsidR="007A1449" w:rsidRPr="00732909" w:rsidRDefault="007A1449" w:rsidP="002E4F3E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F6C5EDE"/>
    <w:multiLevelType w:val="hybridMultilevel"/>
    <w:tmpl w:val="4F967C4E"/>
    <w:lvl w:ilvl="0" w:tplc="121AAD0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3104C"/>
    <w:multiLevelType w:val="hybridMultilevel"/>
    <w:tmpl w:val="76C4CF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B886F85"/>
    <w:multiLevelType w:val="hybridMultilevel"/>
    <w:tmpl w:val="2A7A10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95097"/>
    <w:multiLevelType w:val="hybridMultilevel"/>
    <w:tmpl w:val="FB488D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3652F75"/>
    <w:multiLevelType w:val="hybridMultilevel"/>
    <w:tmpl w:val="96AA8F66"/>
    <w:lvl w:ilvl="0" w:tplc="040E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AFD08A0"/>
    <w:multiLevelType w:val="hybridMultilevel"/>
    <w:tmpl w:val="49A471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27828"/>
    <w:multiLevelType w:val="hybridMultilevel"/>
    <w:tmpl w:val="B7D4C7F6"/>
    <w:lvl w:ilvl="0" w:tplc="C50AA0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D4E3B"/>
    <w:multiLevelType w:val="hybridMultilevel"/>
    <w:tmpl w:val="88825422"/>
    <w:lvl w:ilvl="0" w:tplc="121AAD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DA8367C"/>
    <w:multiLevelType w:val="hybridMultilevel"/>
    <w:tmpl w:val="8736C2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B351D97"/>
    <w:multiLevelType w:val="hybridMultilevel"/>
    <w:tmpl w:val="DB66678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 w15:restartNumberingAfterBreak="0">
    <w:nsid w:val="6C1D5EE6"/>
    <w:multiLevelType w:val="hybridMultilevel"/>
    <w:tmpl w:val="9932AF70"/>
    <w:lvl w:ilvl="0" w:tplc="040E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6" w15:restartNumberingAfterBreak="0">
    <w:nsid w:val="71551D59"/>
    <w:multiLevelType w:val="hybridMultilevel"/>
    <w:tmpl w:val="134CC3E8"/>
    <w:lvl w:ilvl="0" w:tplc="121AAD0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9" w15:restartNumberingAfterBreak="0">
    <w:nsid w:val="72933D8C"/>
    <w:multiLevelType w:val="multilevel"/>
    <w:tmpl w:val="B7D4C7F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905E96"/>
    <w:multiLevelType w:val="hybridMultilevel"/>
    <w:tmpl w:val="E43687C8"/>
    <w:lvl w:ilvl="0" w:tplc="121AAD02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A342F3"/>
    <w:multiLevelType w:val="hybridMultilevel"/>
    <w:tmpl w:val="2DC2B8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C06096"/>
    <w:multiLevelType w:val="hybridMultilevel"/>
    <w:tmpl w:val="47F845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777865"/>
    <w:multiLevelType w:val="hybridMultilevel"/>
    <w:tmpl w:val="273ED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D795D13"/>
    <w:multiLevelType w:val="hybridMultilevel"/>
    <w:tmpl w:val="A132749C"/>
    <w:lvl w:ilvl="0" w:tplc="AE56BC0C">
      <w:start w:val="2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5"/>
  </w:num>
  <w:num w:numId="4">
    <w:abstractNumId w:val="43"/>
  </w:num>
  <w:num w:numId="5">
    <w:abstractNumId w:val="14"/>
  </w:num>
  <w:num w:numId="6">
    <w:abstractNumId w:val="29"/>
  </w:num>
  <w:num w:numId="7">
    <w:abstractNumId w:val="25"/>
  </w:num>
  <w:num w:numId="8">
    <w:abstractNumId w:val="10"/>
  </w:num>
  <w:num w:numId="9">
    <w:abstractNumId w:val="39"/>
  </w:num>
  <w:num w:numId="10">
    <w:abstractNumId w:val="41"/>
  </w:num>
  <w:num w:numId="11">
    <w:abstractNumId w:val="20"/>
  </w:num>
  <w:num w:numId="12">
    <w:abstractNumId w:val="16"/>
  </w:num>
  <w:num w:numId="13">
    <w:abstractNumId w:val="2"/>
  </w:num>
  <w:num w:numId="14">
    <w:abstractNumId w:val="38"/>
  </w:num>
  <w:num w:numId="15">
    <w:abstractNumId w:val="23"/>
  </w:num>
  <w:num w:numId="16">
    <w:abstractNumId w:val="47"/>
  </w:num>
  <w:num w:numId="17">
    <w:abstractNumId w:val="11"/>
  </w:num>
  <w:num w:numId="18">
    <w:abstractNumId w:val="1"/>
  </w:num>
  <w:num w:numId="19">
    <w:abstractNumId w:val="21"/>
  </w:num>
  <w:num w:numId="20">
    <w:abstractNumId w:val="3"/>
  </w:num>
  <w:num w:numId="21">
    <w:abstractNumId w:val="8"/>
  </w:num>
  <w:num w:numId="22">
    <w:abstractNumId w:val="32"/>
  </w:num>
  <w:num w:numId="23">
    <w:abstractNumId w:val="37"/>
  </w:num>
  <w:num w:numId="24">
    <w:abstractNumId w:val="31"/>
  </w:num>
  <w:num w:numId="25">
    <w:abstractNumId w:val="15"/>
  </w:num>
  <w:num w:numId="26">
    <w:abstractNumId w:val="13"/>
  </w:num>
  <w:num w:numId="27">
    <w:abstractNumId w:val="24"/>
  </w:num>
  <w:num w:numId="28">
    <w:abstractNumId w:val="30"/>
  </w:num>
  <w:num w:numId="29">
    <w:abstractNumId w:val="17"/>
  </w:num>
  <w:num w:numId="30">
    <w:abstractNumId w:val="12"/>
  </w:num>
  <w:num w:numId="31">
    <w:abstractNumId w:val="35"/>
  </w:num>
  <w:num w:numId="32">
    <w:abstractNumId w:val="36"/>
  </w:num>
  <w:num w:numId="33">
    <w:abstractNumId w:val="34"/>
  </w:num>
  <w:num w:numId="34">
    <w:abstractNumId w:val="18"/>
  </w:num>
  <w:num w:numId="35">
    <w:abstractNumId w:val="4"/>
  </w:num>
  <w:num w:numId="36">
    <w:abstractNumId w:val="48"/>
  </w:num>
  <w:num w:numId="37">
    <w:abstractNumId w:val="22"/>
  </w:num>
  <w:num w:numId="38">
    <w:abstractNumId w:val="44"/>
  </w:num>
  <w:num w:numId="39">
    <w:abstractNumId w:val="28"/>
  </w:num>
  <w:num w:numId="40">
    <w:abstractNumId w:val="33"/>
  </w:num>
  <w:num w:numId="41">
    <w:abstractNumId w:val="51"/>
  </w:num>
  <w:num w:numId="42">
    <w:abstractNumId w:val="26"/>
  </w:num>
  <w:num w:numId="43">
    <w:abstractNumId w:val="54"/>
  </w:num>
  <w:num w:numId="44">
    <w:abstractNumId w:val="52"/>
  </w:num>
  <w:num w:numId="45">
    <w:abstractNumId w:val="9"/>
  </w:num>
  <w:num w:numId="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7">
    <w:abstractNumId w:val="53"/>
  </w:num>
  <w:num w:numId="48">
    <w:abstractNumId w:val="19"/>
  </w:num>
  <w:num w:numId="49">
    <w:abstractNumId w:val="7"/>
  </w:num>
  <w:num w:numId="50">
    <w:abstractNumId w:val="40"/>
  </w:num>
  <w:num w:numId="51">
    <w:abstractNumId w:val="6"/>
  </w:num>
  <w:num w:numId="52">
    <w:abstractNumId w:val="27"/>
  </w:num>
  <w:num w:numId="53">
    <w:abstractNumId w:val="49"/>
  </w:num>
  <w:num w:numId="54">
    <w:abstractNumId w:val="42"/>
  </w:num>
  <w:num w:numId="55">
    <w:abstractNumId w:val="50"/>
  </w:num>
  <w:num w:numId="56">
    <w:abstractNumId w:val="46"/>
  </w:num>
  <w:num w:numId="57">
    <w:abstractNumId w:val="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hu-HU" w:vendorID="7" w:dllVersion="522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E2F49"/>
    <w:rsid w:val="00002299"/>
    <w:rsid w:val="000068EC"/>
    <w:rsid w:val="00007F54"/>
    <w:rsid w:val="00014B19"/>
    <w:rsid w:val="00015997"/>
    <w:rsid w:val="00016747"/>
    <w:rsid w:val="000208D9"/>
    <w:rsid w:val="00027028"/>
    <w:rsid w:val="00034AA1"/>
    <w:rsid w:val="0003604E"/>
    <w:rsid w:val="00037078"/>
    <w:rsid w:val="000476E1"/>
    <w:rsid w:val="00050C58"/>
    <w:rsid w:val="00055614"/>
    <w:rsid w:val="000575DE"/>
    <w:rsid w:val="000629D9"/>
    <w:rsid w:val="00063988"/>
    <w:rsid w:val="00063B68"/>
    <w:rsid w:val="0006406F"/>
    <w:rsid w:val="00064C5D"/>
    <w:rsid w:val="000657FD"/>
    <w:rsid w:val="000673B4"/>
    <w:rsid w:val="00074CC5"/>
    <w:rsid w:val="000754E4"/>
    <w:rsid w:val="000773AE"/>
    <w:rsid w:val="0008796F"/>
    <w:rsid w:val="00090D1F"/>
    <w:rsid w:val="0009157A"/>
    <w:rsid w:val="00093098"/>
    <w:rsid w:val="0009522C"/>
    <w:rsid w:val="000A2717"/>
    <w:rsid w:val="000A6BEE"/>
    <w:rsid w:val="000A6CBF"/>
    <w:rsid w:val="000A7AA9"/>
    <w:rsid w:val="000B69CF"/>
    <w:rsid w:val="000C036F"/>
    <w:rsid w:val="000C0967"/>
    <w:rsid w:val="000C1062"/>
    <w:rsid w:val="000C4A23"/>
    <w:rsid w:val="000D0D73"/>
    <w:rsid w:val="000D3222"/>
    <w:rsid w:val="000D5FF0"/>
    <w:rsid w:val="000E218E"/>
    <w:rsid w:val="000E22FB"/>
    <w:rsid w:val="000E6A87"/>
    <w:rsid w:val="000F51B1"/>
    <w:rsid w:val="00104F5B"/>
    <w:rsid w:val="00106324"/>
    <w:rsid w:val="00111713"/>
    <w:rsid w:val="0011544C"/>
    <w:rsid w:val="001173A3"/>
    <w:rsid w:val="001209D0"/>
    <w:rsid w:val="00125674"/>
    <w:rsid w:val="00132A1D"/>
    <w:rsid w:val="00143A89"/>
    <w:rsid w:val="00150CFE"/>
    <w:rsid w:val="00150D42"/>
    <w:rsid w:val="00153D80"/>
    <w:rsid w:val="00155433"/>
    <w:rsid w:val="0015681E"/>
    <w:rsid w:val="00157521"/>
    <w:rsid w:val="00166D3F"/>
    <w:rsid w:val="00166D73"/>
    <w:rsid w:val="001676C4"/>
    <w:rsid w:val="0017235F"/>
    <w:rsid w:val="00177B92"/>
    <w:rsid w:val="0018464D"/>
    <w:rsid w:val="00192557"/>
    <w:rsid w:val="001930F4"/>
    <w:rsid w:val="001A06C1"/>
    <w:rsid w:val="001A13F0"/>
    <w:rsid w:val="001A2152"/>
    <w:rsid w:val="001A3CC3"/>
    <w:rsid w:val="001A62F2"/>
    <w:rsid w:val="001A6EF0"/>
    <w:rsid w:val="001A7EFE"/>
    <w:rsid w:val="001B0E74"/>
    <w:rsid w:val="001B16F1"/>
    <w:rsid w:val="001B2713"/>
    <w:rsid w:val="001B3793"/>
    <w:rsid w:val="001B52C4"/>
    <w:rsid w:val="001B6659"/>
    <w:rsid w:val="001B6D84"/>
    <w:rsid w:val="001C01D1"/>
    <w:rsid w:val="001D7195"/>
    <w:rsid w:val="001D79F2"/>
    <w:rsid w:val="001E2F49"/>
    <w:rsid w:val="001F73FD"/>
    <w:rsid w:val="002001E7"/>
    <w:rsid w:val="0020078F"/>
    <w:rsid w:val="00201B0B"/>
    <w:rsid w:val="00207913"/>
    <w:rsid w:val="00211A31"/>
    <w:rsid w:val="00215AA6"/>
    <w:rsid w:val="00215EAC"/>
    <w:rsid w:val="00215F83"/>
    <w:rsid w:val="002206AA"/>
    <w:rsid w:val="002250BE"/>
    <w:rsid w:val="002257A8"/>
    <w:rsid w:val="002264B4"/>
    <w:rsid w:val="002319B2"/>
    <w:rsid w:val="00233747"/>
    <w:rsid w:val="002365F9"/>
    <w:rsid w:val="00243767"/>
    <w:rsid w:val="002456EA"/>
    <w:rsid w:val="00245A2F"/>
    <w:rsid w:val="00245B56"/>
    <w:rsid w:val="00247A92"/>
    <w:rsid w:val="00254DAD"/>
    <w:rsid w:val="00260420"/>
    <w:rsid w:val="002626B2"/>
    <w:rsid w:val="0027526C"/>
    <w:rsid w:val="002837DC"/>
    <w:rsid w:val="00284944"/>
    <w:rsid w:val="0028699C"/>
    <w:rsid w:val="00287E7A"/>
    <w:rsid w:val="00294082"/>
    <w:rsid w:val="00296CB7"/>
    <w:rsid w:val="002978D0"/>
    <w:rsid w:val="002A2AC6"/>
    <w:rsid w:val="002A486B"/>
    <w:rsid w:val="002A534B"/>
    <w:rsid w:val="002A79D1"/>
    <w:rsid w:val="002B2C20"/>
    <w:rsid w:val="002B302E"/>
    <w:rsid w:val="002B33D7"/>
    <w:rsid w:val="002B3C7D"/>
    <w:rsid w:val="002B7044"/>
    <w:rsid w:val="002C098A"/>
    <w:rsid w:val="002C0FC7"/>
    <w:rsid w:val="002C258B"/>
    <w:rsid w:val="002C580C"/>
    <w:rsid w:val="002C6BE1"/>
    <w:rsid w:val="002C7166"/>
    <w:rsid w:val="002D0C45"/>
    <w:rsid w:val="002D4842"/>
    <w:rsid w:val="002D6CFD"/>
    <w:rsid w:val="002E1DAD"/>
    <w:rsid w:val="002E2CC1"/>
    <w:rsid w:val="002E4F3E"/>
    <w:rsid w:val="002E5A34"/>
    <w:rsid w:val="002F144A"/>
    <w:rsid w:val="002F220C"/>
    <w:rsid w:val="002F5487"/>
    <w:rsid w:val="002F65C9"/>
    <w:rsid w:val="002F6B9D"/>
    <w:rsid w:val="002F72C4"/>
    <w:rsid w:val="00300AC6"/>
    <w:rsid w:val="00302B09"/>
    <w:rsid w:val="00302D90"/>
    <w:rsid w:val="00311CA1"/>
    <w:rsid w:val="0031520D"/>
    <w:rsid w:val="00315481"/>
    <w:rsid w:val="0032067B"/>
    <w:rsid w:val="00323CF7"/>
    <w:rsid w:val="00324B1F"/>
    <w:rsid w:val="00326E38"/>
    <w:rsid w:val="003312D7"/>
    <w:rsid w:val="003319CA"/>
    <w:rsid w:val="00331AF9"/>
    <w:rsid w:val="0033233A"/>
    <w:rsid w:val="0033575F"/>
    <w:rsid w:val="00336D5E"/>
    <w:rsid w:val="00337AB2"/>
    <w:rsid w:val="00340224"/>
    <w:rsid w:val="00340431"/>
    <w:rsid w:val="00340544"/>
    <w:rsid w:val="00346735"/>
    <w:rsid w:val="00353A24"/>
    <w:rsid w:val="00356E7F"/>
    <w:rsid w:val="0036312F"/>
    <w:rsid w:val="0036698F"/>
    <w:rsid w:val="003672BF"/>
    <w:rsid w:val="00374247"/>
    <w:rsid w:val="0038325A"/>
    <w:rsid w:val="003868B7"/>
    <w:rsid w:val="00386B3E"/>
    <w:rsid w:val="00395258"/>
    <w:rsid w:val="0039539B"/>
    <w:rsid w:val="00397F55"/>
    <w:rsid w:val="003A3B78"/>
    <w:rsid w:val="003A5154"/>
    <w:rsid w:val="003B2C16"/>
    <w:rsid w:val="003B45BA"/>
    <w:rsid w:val="003B5722"/>
    <w:rsid w:val="003C1A6D"/>
    <w:rsid w:val="003C7836"/>
    <w:rsid w:val="003D05CF"/>
    <w:rsid w:val="003D13EE"/>
    <w:rsid w:val="003D1DF1"/>
    <w:rsid w:val="003D2AEB"/>
    <w:rsid w:val="003D51F0"/>
    <w:rsid w:val="003D62D7"/>
    <w:rsid w:val="003D7069"/>
    <w:rsid w:val="003E0A44"/>
    <w:rsid w:val="003E1FD4"/>
    <w:rsid w:val="003E35B7"/>
    <w:rsid w:val="003E3EA2"/>
    <w:rsid w:val="003E5235"/>
    <w:rsid w:val="003E72CE"/>
    <w:rsid w:val="003F5127"/>
    <w:rsid w:val="003F7DD0"/>
    <w:rsid w:val="00403838"/>
    <w:rsid w:val="00411A94"/>
    <w:rsid w:val="00411C98"/>
    <w:rsid w:val="00412812"/>
    <w:rsid w:val="0041363F"/>
    <w:rsid w:val="00414D7C"/>
    <w:rsid w:val="0041696C"/>
    <w:rsid w:val="00420ACE"/>
    <w:rsid w:val="0042609B"/>
    <w:rsid w:val="00430161"/>
    <w:rsid w:val="00430ED3"/>
    <w:rsid w:val="00434F04"/>
    <w:rsid w:val="00436853"/>
    <w:rsid w:val="00437EF0"/>
    <w:rsid w:val="004413CA"/>
    <w:rsid w:val="00443801"/>
    <w:rsid w:val="00452F92"/>
    <w:rsid w:val="00453F6C"/>
    <w:rsid w:val="0045736E"/>
    <w:rsid w:val="004609BB"/>
    <w:rsid w:val="00460DA4"/>
    <w:rsid w:val="00464FD6"/>
    <w:rsid w:val="00467E0A"/>
    <w:rsid w:val="00470B44"/>
    <w:rsid w:val="004711C1"/>
    <w:rsid w:val="00472A6D"/>
    <w:rsid w:val="00472FF0"/>
    <w:rsid w:val="0047688E"/>
    <w:rsid w:val="004774B6"/>
    <w:rsid w:val="00480271"/>
    <w:rsid w:val="0048477A"/>
    <w:rsid w:val="00486BDA"/>
    <w:rsid w:val="00487353"/>
    <w:rsid w:val="00490E24"/>
    <w:rsid w:val="00494F85"/>
    <w:rsid w:val="00495C68"/>
    <w:rsid w:val="004962F3"/>
    <w:rsid w:val="00496314"/>
    <w:rsid w:val="00496A47"/>
    <w:rsid w:val="00496CD3"/>
    <w:rsid w:val="004A1708"/>
    <w:rsid w:val="004A1F66"/>
    <w:rsid w:val="004A79F9"/>
    <w:rsid w:val="004C050C"/>
    <w:rsid w:val="004D2A52"/>
    <w:rsid w:val="004D4B8F"/>
    <w:rsid w:val="004E1643"/>
    <w:rsid w:val="004E232E"/>
    <w:rsid w:val="004E3EEA"/>
    <w:rsid w:val="004E6745"/>
    <w:rsid w:val="004F2652"/>
    <w:rsid w:val="00505D01"/>
    <w:rsid w:val="00515842"/>
    <w:rsid w:val="00515CBD"/>
    <w:rsid w:val="0052130B"/>
    <w:rsid w:val="00531448"/>
    <w:rsid w:val="005323F0"/>
    <w:rsid w:val="00536175"/>
    <w:rsid w:val="00537153"/>
    <w:rsid w:val="00540627"/>
    <w:rsid w:val="00540B04"/>
    <w:rsid w:val="005444BE"/>
    <w:rsid w:val="00552023"/>
    <w:rsid w:val="00560E47"/>
    <w:rsid w:val="005628EC"/>
    <w:rsid w:val="00563623"/>
    <w:rsid w:val="0057433A"/>
    <w:rsid w:val="00592F31"/>
    <w:rsid w:val="0059775D"/>
    <w:rsid w:val="005A09C4"/>
    <w:rsid w:val="005A1A4E"/>
    <w:rsid w:val="005A54B5"/>
    <w:rsid w:val="005B28E2"/>
    <w:rsid w:val="005B4EF5"/>
    <w:rsid w:val="005B6139"/>
    <w:rsid w:val="005C2ABB"/>
    <w:rsid w:val="005C71D3"/>
    <w:rsid w:val="005D0661"/>
    <w:rsid w:val="005D5915"/>
    <w:rsid w:val="005D6E94"/>
    <w:rsid w:val="005D7F44"/>
    <w:rsid w:val="005E4FA3"/>
    <w:rsid w:val="005E5396"/>
    <w:rsid w:val="005E546F"/>
    <w:rsid w:val="005E6332"/>
    <w:rsid w:val="005E666C"/>
    <w:rsid w:val="005E6D23"/>
    <w:rsid w:val="005E79FE"/>
    <w:rsid w:val="005F12E4"/>
    <w:rsid w:val="005F3556"/>
    <w:rsid w:val="005F577F"/>
    <w:rsid w:val="005F7961"/>
    <w:rsid w:val="006026E3"/>
    <w:rsid w:val="00607209"/>
    <w:rsid w:val="006100B7"/>
    <w:rsid w:val="006178BB"/>
    <w:rsid w:val="0062115C"/>
    <w:rsid w:val="00621C7C"/>
    <w:rsid w:val="006229B3"/>
    <w:rsid w:val="006229EA"/>
    <w:rsid w:val="00622D26"/>
    <w:rsid w:val="0062376C"/>
    <w:rsid w:val="00623E87"/>
    <w:rsid w:val="00625AF4"/>
    <w:rsid w:val="00630318"/>
    <w:rsid w:val="00642B85"/>
    <w:rsid w:val="00643794"/>
    <w:rsid w:val="00647277"/>
    <w:rsid w:val="00650B47"/>
    <w:rsid w:val="00656108"/>
    <w:rsid w:val="006563A0"/>
    <w:rsid w:val="006620B9"/>
    <w:rsid w:val="00662D78"/>
    <w:rsid w:val="00665517"/>
    <w:rsid w:val="006677A3"/>
    <w:rsid w:val="00670CE0"/>
    <w:rsid w:val="00681759"/>
    <w:rsid w:val="00681D15"/>
    <w:rsid w:val="00682922"/>
    <w:rsid w:val="0068341B"/>
    <w:rsid w:val="00684A16"/>
    <w:rsid w:val="00686A52"/>
    <w:rsid w:val="006876B0"/>
    <w:rsid w:val="00692754"/>
    <w:rsid w:val="006930A5"/>
    <w:rsid w:val="006933CF"/>
    <w:rsid w:val="00693B31"/>
    <w:rsid w:val="006979F3"/>
    <w:rsid w:val="006A2880"/>
    <w:rsid w:val="006A30E0"/>
    <w:rsid w:val="006A3745"/>
    <w:rsid w:val="006B22F1"/>
    <w:rsid w:val="006B5411"/>
    <w:rsid w:val="006B541A"/>
    <w:rsid w:val="006B6650"/>
    <w:rsid w:val="006C0579"/>
    <w:rsid w:val="006C05FE"/>
    <w:rsid w:val="006C4926"/>
    <w:rsid w:val="006C5DE4"/>
    <w:rsid w:val="006C5FA9"/>
    <w:rsid w:val="006D13F0"/>
    <w:rsid w:val="006D257B"/>
    <w:rsid w:val="006D4C15"/>
    <w:rsid w:val="006D6E13"/>
    <w:rsid w:val="006E06EC"/>
    <w:rsid w:val="006E32D1"/>
    <w:rsid w:val="006E7208"/>
    <w:rsid w:val="006E7654"/>
    <w:rsid w:val="006E7A9B"/>
    <w:rsid w:val="006F0542"/>
    <w:rsid w:val="006F65EC"/>
    <w:rsid w:val="006F7007"/>
    <w:rsid w:val="00702118"/>
    <w:rsid w:val="00703A00"/>
    <w:rsid w:val="007058AA"/>
    <w:rsid w:val="0070742D"/>
    <w:rsid w:val="007133A7"/>
    <w:rsid w:val="00713D5C"/>
    <w:rsid w:val="0072298A"/>
    <w:rsid w:val="00723964"/>
    <w:rsid w:val="0073223D"/>
    <w:rsid w:val="0073246F"/>
    <w:rsid w:val="00732909"/>
    <w:rsid w:val="0074420E"/>
    <w:rsid w:val="00744724"/>
    <w:rsid w:val="0074736D"/>
    <w:rsid w:val="00751DAE"/>
    <w:rsid w:val="00752916"/>
    <w:rsid w:val="00752AA1"/>
    <w:rsid w:val="007608F3"/>
    <w:rsid w:val="00760E3C"/>
    <w:rsid w:val="00760EDC"/>
    <w:rsid w:val="00761C75"/>
    <w:rsid w:val="0076319F"/>
    <w:rsid w:val="00767F19"/>
    <w:rsid w:val="007714ED"/>
    <w:rsid w:val="0077720C"/>
    <w:rsid w:val="00782335"/>
    <w:rsid w:val="00785D06"/>
    <w:rsid w:val="00786CF4"/>
    <w:rsid w:val="0079034C"/>
    <w:rsid w:val="00790714"/>
    <w:rsid w:val="00790F89"/>
    <w:rsid w:val="00791339"/>
    <w:rsid w:val="007A0748"/>
    <w:rsid w:val="007A1449"/>
    <w:rsid w:val="007A2790"/>
    <w:rsid w:val="007A2BFE"/>
    <w:rsid w:val="007A5044"/>
    <w:rsid w:val="007B179F"/>
    <w:rsid w:val="007B30A9"/>
    <w:rsid w:val="007B38B6"/>
    <w:rsid w:val="007B4180"/>
    <w:rsid w:val="007B461B"/>
    <w:rsid w:val="007B6857"/>
    <w:rsid w:val="007C0B46"/>
    <w:rsid w:val="007C0EF8"/>
    <w:rsid w:val="007C113E"/>
    <w:rsid w:val="007C293E"/>
    <w:rsid w:val="007C34DD"/>
    <w:rsid w:val="007C547D"/>
    <w:rsid w:val="007C71D5"/>
    <w:rsid w:val="007D3029"/>
    <w:rsid w:val="007D54A6"/>
    <w:rsid w:val="007D6D82"/>
    <w:rsid w:val="007D7222"/>
    <w:rsid w:val="007E0BAF"/>
    <w:rsid w:val="007E10B9"/>
    <w:rsid w:val="007E1B49"/>
    <w:rsid w:val="007E7255"/>
    <w:rsid w:val="007F10E6"/>
    <w:rsid w:val="007F242F"/>
    <w:rsid w:val="007F2B62"/>
    <w:rsid w:val="007F3C2B"/>
    <w:rsid w:val="007F7A07"/>
    <w:rsid w:val="007F7B6E"/>
    <w:rsid w:val="00802965"/>
    <w:rsid w:val="00821B4D"/>
    <w:rsid w:val="00830B75"/>
    <w:rsid w:val="00830C89"/>
    <w:rsid w:val="008342BB"/>
    <w:rsid w:val="008371F9"/>
    <w:rsid w:val="0083788E"/>
    <w:rsid w:val="0084107D"/>
    <w:rsid w:val="00842066"/>
    <w:rsid w:val="00844DD3"/>
    <w:rsid w:val="00847304"/>
    <w:rsid w:val="00857929"/>
    <w:rsid w:val="008605A5"/>
    <w:rsid w:val="008638A1"/>
    <w:rsid w:val="00870878"/>
    <w:rsid w:val="00883706"/>
    <w:rsid w:val="0088482E"/>
    <w:rsid w:val="008861FF"/>
    <w:rsid w:val="00887AA4"/>
    <w:rsid w:val="0089259F"/>
    <w:rsid w:val="00892F32"/>
    <w:rsid w:val="008A2E18"/>
    <w:rsid w:val="008A32DE"/>
    <w:rsid w:val="008A44A0"/>
    <w:rsid w:val="008A66DC"/>
    <w:rsid w:val="008B1402"/>
    <w:rsid w:val="008B25FF"/>
    <w:rsid w:val="008B4BD4"/>
    <w:rsid w:val="008B5F08"/>
    <w:rsid w:val="008C0A38"/>
    <w:rsid w:val="008C30C0"/>
    <w:rsid w:val="008C37A1"/>
    <w:rsid w:val="008C3C05"/>
    <w:rsid w:val="008C5403"/>
    <w:rsid w:val="008D206F"/>
    <w:rsid w:val="008D317B"/>
    <w:rsid w:val="008D3FFC"/>
    <w:rsid w:val="008D42FF"/>
    <w:rsid w:val="008D7799"/>
    <w:rsid w:val="008D7FE9"/>
    <w:rsid w:val="008E0AF1"/>
    <w:rsid w:val="008E1CB2"/>
    <w:rsid w:val="008E45E5"/>
    <w:rsid w:val="008F220B"/>
    <w:rsid w:val="008F3A44"/>
    <w:rsid w:val="009070B9"/>
    <w:rsid w:val="0091260D"/>
    <w:rsid w:val="0091320A"/>
    <w:rsid w:val="00913A08"/>
    <w:rsid w:val="009142CF"/>
    <w:rsid w:val="00914B84"/>
    <w:rsid w:val="00915D85"/>
    <w:rsid w:val="00917ED1"/>
    <w:rsid w:val="0092026D"/>
    <w:rsid w:val="00920805"/>
    <w:rsid w:val="00922942"/>
    <w:rsid w:val="0092336C"/>
    <w:rsid w:val="009237AD"/>
    <w:rsid w:val="0092487D"/>
    <w:rsid w:val="00925C82"/>
    <w:rsid w:val="00932AF4"/>
    <w:rsid w:val="009411AD"/>
    <w:rsid w:val="00943F1F"/>
    <w:rsid w:val="00946962"/>
    <w:rsid w:val="009479DA"/>
    <w:rsid w:val="009512D0"/>
    <w:rsid w:val="00952643"/>
    <w:rsid w:val="00957FF1"/>
    <w:rsid w:val="00960B46"/>
    <w:rsid w:val="009620A9"/>
    <w:rsid w:val="009642CC"/>
    <w:rsid w:val="00965A10"/>
    <w:rsid w:val="00967144"/>
    <w:rsid w:val="00971182"/>
    <w:rsid w:val="0097162C"/>
    <w:rsid w:val="00972163"/>
    <w:rsid w:val="00973723"/>
    <w:rsid w:val="00975C1D"/>
    <w:rsid w:val="00982B94"/>
    <w:rsid w:val="00985448"/>
    <w:rsid w:val="00985929"/>
    <w:rsid w:val="00985FA3"/>
    <w:rsid w:val="009918C5"/>
    <w:rsid w:val="00996517"/>
    <w:rsid w:val="009A077D"/>
    <w:rsid w:val="009A6ED3"/>
    <w:rsid w:val="009B5717"/>
    <w:rsid w:val="009B5801"/>
    <w:rsid w:val="009B6506"/>
    <w:rsid w:val="009C2C76"/>
    <w:rsid w:val="009C3C1B"/>
    <w:rsid w:val="009C475A"/>
    <w:rsid w:val="009C5668"/>
    <w:rsid w:val="009C63E0"/>
    <w:rsid w:val="009D3200"/>
    <w:rsid w:val="009D6F6D"/>
    <w:rsid w:val="009D6FCB"/>
    <w:rsid w:val="009E04CC"/>
    <w:rsid w:val="009E1914"/>
    <w:rsid w:val="009E2DE1"/>
    <w:rsid w:val="009E7154"/>
    <w:rsid w:val="00A02C19"/>
    <w:rsid w:val="00A04955"/>
    <w:rsid w:val="00A069FE"/>
    <w:rsid w:val="00A06B8E"/>
    <w:rsid w:val="00A106C6"/>
    <w:rsid w:val="00A17377"/>
    <w:rsid w:val="00A21EBF"/>
    <w:rsid w:val="00A253DC"/>
    <w:rsid w:val="00A41405"/>
    <w:rsid w:val="00A41889"/>
    <w:rsid w:val="00A46BBA"/>
    <w:rsid w:val="00A5116C"/>
    <w:rsid w:val="00A51BB1"/>
    <w:rsid w:val="00A54143"/>
    <w:rsid w:val="00A55A3B"/>
    <w:rsid w:val="00A71261"/>
    <w:rsid w:val="00A71DC8"/>
    <w:rsid w:val="00A76285"/>
    <w:rsid w:val="00A820FC"/>
    <w:rsid w:val="00A830FE"/>
    <w:rsid w:val="00A8338F"/>
    <w:rsid w:val="00A8374C"/>
    <w:rsid w:val="00A84CF4"/>
    <w:rsid w:val="00A85545"/>
    <w:rsid w:val="00A86D94"/>
    <w:rsid w:val="00A87DD7"/>
    <w:rsid w:val="00A925F4"/>
    <w:rsid w:val="00A93E88"/>
    <w:rsid w:val="00A97A45"/>
    <w:rsid w:val="00A97EBD"/>
    <w:rsid w:val="00AA0896"/>
    <w:rsid w:val="00AA3503"/>
    <w:rsid w:val="00AB2C09"/>
    <w:rsid w:val="00AC0FB7"/>
    <w:rsid w:val="00AC73B1"/>
    <w:rsid w:val="00AD2E18"/>
    <w:rsid w:val="00AD63DB"/>
    <w:rsid w:val="00AE1580"/>
    <w:rsid w:val="00AE1855"/>
    <w:rsid w:val="00AE1E2B"/>
    <w:rsid w:val="00AE5D56"/>
    <w:rsid w:val="00AF1DFA"/>
    <w:rsid w:val="00AF2294"/>
    <w:rsid w:val="00AF38D9"/>
    <w:rsid w:val="00AF78A1"/>
    <w:rsid w:val="00B007D2"/>
    <w:rsid w:val="00B00991"/>
    <w:rsid w:val="00B02316"/>
    <w:rsid w:val="00B02580"/>
    <w:rsid w:val="00B02D2E"/>
    <w:rsid w:val="00B04AC0"/>
    <w:rsid w:val="00B12A37"/>
    <w:rsid w:val="00B156C1"/>
    <w:rsid w:val="00B1662D"/>
    <w:rsid w:val="00B17704"/>
    <w:rsid w:val="00B32848"/>
    <w:rsid w:val="00B33157"/>
    <w:rsid w:val="00B3471E"/>
    <w:rsid w:val="00B3561D"/>
    <w:rsid w:val="00B35FB3"/>
    <w:rsid w:val="00B41BB2"/>
    <w:rsid w:val="00B41F4D"/>
    <w:rsid w:val="00B44E72"/>
    <w:rsid w:val="00B451CA"/>
    <w:rsid w:val="00B46C05"/>
    <w:rsid w:val="00B511E1"/>
    <w:rsid w:val="00B55DDD"/>
    <w:rsid w:val="00B60562"/>
    <w:rsid w:val="00B613B7"/>
    <w:rsid w:val="00B70823"/>
    <w:rsid w:val="00B72811"/>
    <w:rsid w:val="00B73B6C"/>
    <w:rsid w:val="00B813F3"/>
    <w:rsid w:val="00B84634"/>
    <w:rsid w:val="00B872C5"/>
    <w:rsid w:val="00B913D2"/>
    <w:rsid w:val="00B9297B"/>
    <w:rsid w:val="00B936DA"/>
    <w:rsid w:val="00B9794B"/>
    <w:rsid w:val="00BA0DD9"/>
    <w:rsid w:val="00BA6E92"/>
    <w:rsid w:val="00BB01D4"/>
    <w:rsid w:val="00BB3846"/>
    <w:rsid w:val="00BB3D20"/>
    <w:rsid w:val="00BB505E"/>
    <w:rsid w:val="00BC0C60"/>
    <w:rsid w:val="00BC72BC"/>
    <w:rsid w:val="00BD352D"/>
    <w:rsid w:val="00BD74B2"/>
    <w:rsid w:val="00BD79DA"/>
    <w:rsid w:val="00BE03AB"/>
    <w:rsid w:val="00BE227A"/>
    <w:rsid w:val="00BE7FD0"/>
    <w:rsid w:val="00BF49A6"/>
    <w:rsid w:val="00C017F1"/>
    <w:rsid w:val="00C03BC1"/>
    <w:rsid w:val="00C05FFE"/>
    <w:rsid w:val="00C06650"/>
    <w:rsid w:val="00C11082"/>
    <w:rsid w:val="00C15206"/>
    <w:rsid w:val="00C161A5"/>
    <w:rsid w:val="00C21039"/>
    <w:rsid w:val="00C236FC"/>
    <w:rsid w:val="00C26443"/>
    <w:rsid w:val="00C26AF3"/>
    <w:rsid w:val="00C30367"/>
    <w:rsid w:val="00C33A93"/>
    <w:rsid w:val="00C351C7"/>
    <w:rsid w:val="00C4035C"/>
    <w:rsid w:val="00C4188F"/>
    <w:rsid w:val="00C41908"/>
    <w:rsid w:val="00C42618"/>
    <w:rsid w:val="00C4280E"/>
    <w:rsid w:val="00C43BEB"/>
    <w:rsid w:val="00C44F63"/>
    <w:rsid w:val="00C45105"/>
    <w:rsid w:val="00C45548"/>
    <w:rsid w:val="00C52B69"/>
    <w:rsid w:val="00C53143"/>
    <w:rsid w:val="00C630C1"/>
    <w:rsid w:val="00C63298"/>
    <w:rsid w:val="00C636C8"/>
    <w:rsid w:val="00C64519"/>
    <w:rsid w:val="00C64D0D"/>
    <w:rsid w:val="00C6681F"/>
    <w:rsid w:val="00C66A5E"/>
    <w:rsid w:val="00C66EDE"/>
    <w:rsid w:val="00C678E5"/>
    <w:rsid w:val="00C71D0E"/>
    <w:rsid w:val="00C72C32"/>
    <w:rsid w:val="00C748FE"/>
    <w:rsid w:val="00C75613"/>
    <w:rsid w:val="00C77C4B"/>
    <w:rsid w:val="00C85E42"/>
    <w:rsid w:val="00C96C33"/>
    <w:rsid w:val="00C97DCA"/>
    <w:rsid w:val="00CA06E5"/>
    <w:rsid w:val="00CA1526"/>
    <w:rsid w:val="00CA231A"/>
    <w:rsid w:val="00CA7305"/>
    <w:rsid w:val="00CA7BD8"/>
    <w:rsid w:val="00CB0173"/>
    <w:rsid w:val="00CB179C"/>
    <w:rsid w:val="00CB5704"/>
    <w:rsid w:val="00CB57B8"/>
    <w:rsid w:val="00CB6D9F"/>
    <w:rsid w:val="00CC2400"/>
    <w:rsid w:val="00CC518A"/>
    <w:rsid w:val="00CC52F7"/>
    <w:rsid w:val="00CD0A80"/>
    <w:rsid w:val="00CD26BE"/>
    <w:rsid w:val="00CE0CD4"/>
    <w:rsid w:val="00CE2183"/>
    <w:rsid w:val="00CF3182"/>
    <w:rsid w:val="00CF683C"/>
    <w:rsid w:val="00CF6CE4"/>
    <w:rsid w:val="00D03723"/>
    <w:rsid w:val="00D04A03"/>
    <w:rsid w:val="00D06A18"/>
    <w:rsid w:val="00D128F3"/>
    <w:rsid w:val="00D135F5"/>
    <w:rsid w:val="00D137A9"/>
    <w:rsid w:val="00D14EE6"/>
    <w:rsid w:val="00D15079"/>
    <w:rsid w:val="00D26846"/>
    <w:rsid w:val="00D27328"/>
    <w:rsid w:val="00D31E71"/>
    <w:rsid w:val="00D35537"/>
    <w:rsid w:val="00D36906"/>
    <w:rsid w:val="00D37495"/>
    <w:rsid w:val="00D41F7B"/>
    <w:rsid w:val="00D54299"/>
    <w:rsid w:val="00D57B82"/>
    <w:rsid w:val="00D60BB8"/>
    <w:rsid w:val="00D60CE3"/>
    <w:rsid w:val="00D620AB"/>
    <w:rsid w:val="00D6294A"/>
    <w:rsid w:val="00D63214"/>
    <w:rsid w:val="00D700D8"/>
    <w:rsid w:val="00D7105F"/>
    <w:rsid w:val="00D751F6"/>
    <w:rsid w:val="00D77C49"/>
    <w:rsid w:val="00D818F5"/>
    <w:rsid w:val="00D82CE6"/>
    <w:rsid w:val="00D8540D"/>
    <w:rsid w:val="00D85B91"/>
    <w:rsid w:val="00D85D63"/>
    <w:rsid w:val="00D874BA"/>
    <w:rsid w:val="00D9062A"/>
    <w:rsid w:val="00D90F53"/>
    <w:rsid w:val="00D92878"/>
    <w:rsid w:val="00DA5ED4"/>
    <w:rsid w:val="00DA6073"/>
    <w:rsid w:val="00DB4FB8"/>
    <w:rsid w:val="00DB5B82"/>
    <w:rsid w:val="00DB6F09"/>
    <w:rsid w:val="00DB7F19"/>
    <w:rsid w:val="00DC2D84"/>
    <w:rsid w:val="00DC6BB7"/>
    <w:rsid w:val="00DD4E23"/>
    <w:rsid w:val="00DE7EBC"/>
    <w:rsid w:val="00DF1E36"/>
    <w:rsid w:val="00E01ECD"/>
    <w:rsid w:val="00E045B7"/>
    <w:rsid w:val="00E058F2"/>
    <w:rsid w:val="00E05CC1"/>
    <w:rsid w:val="00E07786"/>
    <w:rsid w:val="00E07F47"/>
    <w:rsid w:val="00E14A3A"/>
    <w:rsid w:val="00E167A6"/>
    <w:rsid w:val="00E200FA"/>
    <w:rsid w:val="00E20150"/>
    <w:rsid w:val="00E25512"/>
    <w:rsid w:val="00E2644B"/>
    <w:rsid w:val="00E27869"/>
    <w:rsid w:val="00E42F99"/>
    <w:rsid w:val="00E432D2"/>
    <w:rsid w:val="00E43805"/>
    <w:rsid w:val="00E47582"/>
    <w:rsid w:val="00E50944"/>
    <w:rsid w:val="00E556AB"/>
    <w:rsid w:val="00E561FF"/>
    <w:rsid w:val="00E62057"/>
    <w:rsid w:val="00E62179"/>
    <w:rsid w:val="00E6233A"/>
    <w:rsid w:val="00E71183"/>
    <w:rsid w:val="00E725E5"/>
    <w:rsid w:val="00E762C7"/>
    <w:rsid w:val="00E76722"/>
    <w:rsid w:val="00E80354"/>
    <w:rsid w:val="00E91A5B"/>
    <w:rsid w:val="00E943C6"/>
    <w:rsid w:val="00E94495"/>
    <w:rsid w:val="00E948D3"/>
    <w:rsid w:val="00EA2662"/>
    <w:rsid w:val="00EA2C59"/>
    <w:rsid w:val="00EA6B54"/>
    <w:rsid w:val="00EA7AF7"/>
    <w:rsid w:val="00EB0D42"/>
    <w:rsid w:val="00EB45AA"/>
    <w:rsid w:val="00EB6D61"/>
    <w:rsid w:val="00EB74E9"/>
    <w:rsid w:val="00EB7F1C"/>
    <w:rsid w:val="00EC28B8"/>
    <w:rsid w:val="00EC609A"/>
    <w:rsid w:val="00ED08FE"/>
    <w:rsid w:val="00ED2423"/>
    <w:rsid w:val="00ED2915"/>
    <w:rsid w:val="00ED2DA9"/>
    <w:rsid w:val="00ED3301"/>
    <w:rsid w:val="00ED433F"/>
    <w:rsid w:val="00ED6DF6"/>
    <w:rsid w:val="00ED7E82"/>
    <w:rsid w:val="00EE7EF8"/>
    <w:rsid w:val="00EF0BEB"/>
    <w:rsid w:val="00EF31D2"/>
    <w:rsid w:val="00EF6DF8"/>
    <w:rsid w:val="00EF7D90"/>
    <w:rsid w:val="00F0112F"/>
    <w:rsid w:val="00F02C9B"/>
    <w:rsid w:val="00F05C04"/>
    <w:rsid w:val="00F06ABD"/>
    <w:rsid w:val="00F1132C"/>
    <w:rsid w:val="00F23521"/>
    <w:rsid w:val="00F253EF"/>
    <w:rsid w:val="00F32272"/>
    <w:rsid w:val="00F37C85"/>
    <w:rsid w:val="00F403A2"/>
    <w:rsid w:val="00F46A3F"/>
    <w:rsid w:val="00F51F17"/>
    <w:rsid w:val="00F53C84"/>
    <w:rsid w:val="00F57CCC"/>
    <w:rsid w:val="00F60074"/>
    <w:rsid w:val="00F6031C"/>
    <w:rsid w:val="00F71222"/>
    <w:rsid w:val="00F72D3A"/>
    <w:rsid w:val="00F73543"/>
    <w:rsid w:val="00F76954"/>
    <w:rsid w:val="00F77902"/>
    <w:rsid w:val="00F90DD0"/>
    <w:rsid w:val="00F91DCE"/>
    <w:rsid w:val="00F92D37"/>
    <w:rsid w:val="00F9405A"/>
    <w:rsid w:val="00F94402"/>
    <w:rsid w:val="00F951A8"/>
    <w:rsid w:val="00F952C2"/>
    <w:rsid w:val="00F952D5"/>
    <w:rsid w:val="00F95951"/>
    <w:rsid w:val="00F966A4"/>
    <w:rsid w:val="00F97B95"/>
    <w:rsid w:val="00FA003C"/>
    <w:rsid w:val="00FA725B"/>
    <w:rsid w:val="00FB31D9"/>
    <w:rsid w:val="00FB3C65"/>
    <w:rsid w:val="00FB52B5"/>
    <w:rsid w:val="00FC5207"/>
    <w:rsid w:val="00FD6F04"/>
    <w:rsid w:val="00FD7E53"/>
    <w:rsid w:val="00FE0871"/>
    <w:rsid w:val="00FE6288"/>
    <w:rsid w:val="00FF469F"/>
    <w:rsid w:val="00FF4886"/>
    <w:rsid w:val="00FF5C03"/>
    <w:rsid w:val="00FF5DC0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E3299"/>
  <w15:docId w15:val="{3E81FC1A-0D3A-43F1-95C1-915C82FD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05F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rsid w:val="006C05F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6C05F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6C05F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C05FE"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6C05F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hu-HU" w:eastAsia="hu-HU"/>
    </w:rPr>
  </w:style>
  <w:style w:type="paragraph" w:customStyle="1" w:styleId="CTD">
    <w:name w:val="CTD"/>
    <w:basedOn w:val="Normlny"/>
    <w:pPr>
      <w:tabs>
        <w:tab w:val="clear" w:pos="567"/>
      </w:tabs>
      <w:spacing w:line="360" w:lineRule="atLeast"/>
      <w:jc w:val="both"/>
    </w:pPr>
    <w:rPr>
      <w:sz w:val="24"/>
      <w:szCs w:val="24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6C05FE"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pPr>
      <w:tabs>
        <w:tab w:val="clear" w:pos="567"/>
      </w:tabs>
      <w:spacing w:after="120" w:line="240" w:lineRule="auto"/>
      <w:ind w:left="720"/>
    </w:pPr>
    <w:rPr>
      <w:lang w:eastAsia="en-GB"/>
    </w:rPr>
  </w:style>
  <w:style w:type="paragraph" w:styleId="Predmetkomentra">
    <w:name w:val="annotation subject"/>
    <w:basedOn w:val="Textkomentra"/>
    <w:next w:val="Textkomentra"/>
    <w:semiHidden/>
    <w:rsid w:val="006C05FE"/>
    <w:rPr>
      <w:b/>
      <w:bCs/>
    </w:rPr>
  </w:style>
  <w:style w:type="paragraph" w:customStyle="1" w:styleId="BalloonText3">
    <w:name w:val="Balloon Text3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table" w:styleId="Mriekatabuky">
    <w:name w:val="Table Grid"/>
    <w:basedOn w:val="Normlnatabuka"/>
    <w:rsid w:val="00C9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ny"/>
    <w:rsid w:val="00656108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0"/>
      <w:lang w:val="en-US"/>
    </w:rPr>
  </w:style>
  <w:style w:type="paragraph" w:customStyle="1" w:styleId="BalloonText4">
    <w:name w:val="Balloon Text4"/>
    <w:basedOn w:val="Normlny"/>
    <w:semiHidden/>
    <w:rsid w:val="006C05FE"/>
    <w:pPr>
      <w:tabs>
        <w:tab w:val="clear" w:pos="567"/>
      </w:tabs>
      <w:spacing w:line="240" w:lineRule="auto"/>
      <w:ind w:left="567" w:hanging="567"/>
    </w:pPr>
    <w:rPr>
      <w:rFonts w:ascii="Tahoma" w:hAnsi="Tahoma" w:cs="Tahoma"/>
      <w:sz w:val="16"/>
      <w:szCs w:val="16"/>
      <w:lang w:val="sk-SK" w:eastAsia="sk-SK"/>
    </w:rPr>
  </w:style>
  <w:style w:type="paragraph" w:styleId="Revzia">
    <w:name w:val="Revision"/>
    <w:hidden/>
    <w:uiPriority w:val="99"/>
    <w:semiHidden/>
    <w:rsid w:val="007D54A6"/>
    <w:rPr>
      <w:sz w:val="22"/>
      <w:lang w:val="en-GB" w:eastAsia="en-US"/>
    </w:rPr>
  </w:style>
  <w:style w:type="character" w:customStyle="1" w:styleId="hps">
    <w:name w:val="hps"/>
    <w:basedOn w:val="Predvolenpsmoodseku"/>
    <w:rsid w:val="0073223D"/>
  </w:style>
  <w:style w:type="character" w:customStyle="1" w:styleId="atn">
    <w:name w:val="atn"/>
    <w:basedOn w:val="Predvolenpsmoodseku"/>
    <w:rsid w:val="00F06ABD"/>
  </w:style>
  <w:style w:type="character" w:customStyle="1" w:styleId="TextkomentraChar">
    <w:name w:val="Text komentára Char"/>
    <w:link w:val="Textkomentra"/>
    <w:rsid w:val="007D6D82"/>
    <w:rPr>
      <w:lang w:val="en-GB" w:eastAsia="en-US"/>
    </w:rPr>
  </w:style>
  <w:style w:type="character" w:customStyle="1" w:styleId="apple-style-span">
    <w:name w:val="apple-style-span"/>
    <w:basedOn w:val="Predvolenpsmoodseku"/>
    <w:rsid w:val="0084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://www.whocc.no/atcddd/indexdatabase/index.php?query=C09B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85585-9761-4C97-815F-542D64103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7BE97B-248C-4E8D-810A-2A01101C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B1E41-7D46-459A-BF89-3039DE07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E4A140-BF93-4BE1-8BD2-8472D9135B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76D5F7-4A37-414E-A0F2-1B3E766461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7142622-E3FA-4B83-88EB-90F60DE65B3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1D3FF00-DEAD-4216-B1CB-099CCA5BE9B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19CA831-3071-41B9-9386-DFD6819EB60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FD94468-0A7C-478B-9E64-2F24910D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9744</Words>
  <Characters>55543</Characters>
  <Application>Microsoft Office Word</Application>
  <DocSecurity>0</DocSecurity>
  <Lines>462</Lines>
  <Paragraphs>130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SUMMARY OF PRODUCT CHARACTERISTICS</vt:lpstr>
      <vt:lpstr>SUMMARY OF PRODUCT CHARACTERISTICS</vt:lpstr>
      <vt:lpstr>SUMMARY OF PRODUCT CHARACTERISTICS</vt:lpstr>
    </vt:vector>
  </TitlesOfParts>
  <Company>EMEA</Company>
  <LinksUpToDate>false</LinksUpToDate>
  <CharactersWithSpaces>65157</CharactersWithSpaces>
  <SharedDoc>false</SharedDoc>
  <HLinks>
    <vt:vector size="12" baseType="variant">
      <vt:variant>
        <vt:i4>3407980</vt:i4>
      </vt:variant>
      <vt:variant>
        <vt:i4>3</vt:i4>
      </vt:variant>
      <vt:variant>
        <vt:i4>0</vt:i4>
      </vt:variant>
      <vt:variant>
        <vt:i4>5</vt:i4>
      </vt:variant>
      <vt:variant>
        <vt:lpwstr>http://www.whocc.no/atcddd/indexdatabase/index.php?query=C09BB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>Product Information-EMEA/CHMP/388375/2008</dc:subject>
  <dc:creator>Maria</dc:creator>
  <cp:lastModifiedBy>Grančaiová, Zuzana</cp:lastModifiedBy>
  <cp:revision>3</cp:revision>
  <cp:lastPrinted>2020-01-10T07:21:00Z</cp:lastPrinted>
  <dcterms:created xsi:type="dcterms:W3CDTF">2020-01-10T07:23:00Z</dcterms:created>
  <dcterms:modified xsi:type="dcterms:W3CDTF">2020-01-10T07:24:00Z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Product Information-EMEA/CHMP/388375/2008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Lisonorm - CHMP Opinion PI</vt:lpwstr>
  </property>
  <property fmtid="{D5CDD505-2E9C-101B-9397-08002B2CF9AE}" pid="9" name="DM_Owner">
    <vt:lpwstr>Bleyloeb Jutta</vt:lpwstr>
  </property>
  <property fmtid="{D5CDD505-2E9C-101B-9397-08002B2CF9AE}" pid="10" name="DM_Creation_Date">
    <vt:lpwstr>24/07/2008 18:30:07</vt:lpwstr>
  </property>
  <property fmtid="{D5CDD505-2E9C-101B-9397-08002B2CF9AE}" pid="11" name="DM_Creator_Name">
    <vt:lpwstr>Bleyloeb Jutta</vt:lpwstr>
  </property>
  <property fmtid="{D5CDD505-2E9C-101B-9397-08002B2CF9AE}" pid="12" name="DM_Modifer_Name">
    <vt:lpwstr>zzmmdwf</vt:lpwstr>
  </property>
  <property fmtid="{D5CDD505-2E9C-101B-9397-08002B2CF9AE}" pid="13" name="DM_Modified_Date">
    <vt:lpwstr>24/07/2008 18:30:08</vt:lpwstr>
  </property>
  <property fmtid="{D5CDD505-2E9C-101B-9397-08002B2CF9AE}" pid="14" name="DM_Type">
    <vt:lpwstr>emea_product_document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EMEA/CHMP/388375/2008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388375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CHMP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Product Information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DM_emea_module">
    <vt:lpwstr/>
  </property>
  <property fmtid="{D5CDD505-2E9C-101B-9397-08002B2CF9AE}" pid="39" name="DM_emea_procedure_ref">
    <vt:lpwstr>EMEA/H/REF/981</vt:lpwstr>
  </property>
  <property fmtid="{D5CDD505-2E9C-101B-9397-08002B2CF9AE}" pid="40" name="DM_emea_domain">
    <vt:lpwstr>H</vt:lpwstr>
  </property>
  <property fmtid="{D5CDD505-2E9C-101B-9397-08002B2CF9AE}" pid="41" name="DM_emea_procedure">
    <vt:lpwstr>REF</vt:lpwstr>
  </property>
  <property fmtid="{D5CDD505-2E9C-101B-9397-08002B2CF9AE}" pid="42" name="DM_emea_procedure_type">
    <vt:lpwstr/>
  </property>
  <property fmtid="{D5CDD505-2E9C-101B-9397-08002B2CF9AE}" pid="43" name="DM_emea_procedure_number">
    <vt:lpwstr/>
  </property>
  <property fmtid="{D5CDD505-2E9C-101B-9397-08002B2CF9AE}" pid="44" name="DM_emea_product_number">
    <vt:lpwstr>981</vt:lpwstr>
  </property>
  <property fmtid="{D5CDD505-2E9C-101B-9397-08002B2CF9AE}" pid="45" name="DM_emea_product_substance">
    <vt:lpwstr>Lisonorm</vt:lpwstr>
  </property>
  <property fmtid="{D5CDD505-2E9C-101B-9397-08002B2CF9AE}" pid="46" name="DM_emea_par_dist">
    <vt:lpwstr/>
  </property>
</Properties>
</file>