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C19EB" w14:textId="77777777" w:rsidR="00FB7F16" w:rsidRPr="005E3E65" w:rsidRDefault="00FB7F16" w:rsidP="005E3E65">
      <w:pPr>
        <w:pStyle w:val="Nadpis1"/>
        <w:widowControl/>
        <w:jc w:val="both"/>
        <w:rPr>
          <w:b/>
          <w:i w:val="0"/>
          <w:sz w:val="22"/>
          <w:szCs w:val="22"/>
        </w:rPr>
      </w:pPr>
    </w:p>
    <w:p w14:paraId="14DB14FB" w14:textId="77777777" w:rsidR="000C1755" w:rsidRPr="005E3E65" w:rsidRDefault="000C1755" w:rsidP="005E3E65">
      <w:pPr>
        <w:pStyle w:val="Nadpis1"/>
        <w:widowControl/>
        <w:jc w:val="center"/>
        <w:rPr>
          <w:b/>
          <w:i w:val="0"/>
          <w:sz w:val="22"/>
          <w:szCs w:val="22"/>
        </w:rPr>
      </w:pPr>
      <w:r w:rsidRPr="005E3E65">
        <w:rPr>
          <w:b/>
          <w:i w:val="0"/>
          <w:sz w:val="22"/>
          <w:szCs w:val="22"/>
        </w:rPr>
        <w:t>SÚHRN CHARAKTERISTICKÝCH VLASTNOSTÍ LIEKU</w:t>
      </w:r>
    </w:p>
    <w:p w14:paraId="33C09509" w14:textId="77777777" w:rsidR="000C1755" w:rsidRPr="005E3E65" w:rsidRDefault="000C1755" w:rsidP="005E3E65">
      <w:pPr>
        <w:jc w:val="both"/>
        <w:rPr>
          <w:b/>
          <w:sz w:val="22"/>
          <w:szCs w:val="22"/>
        </w:rPr>
      </w:pPr>
    </w:p>
    <w:p w14:paraId="7E22486B" w14:textId="77777777" w:rsidR="000C1755" w:rsidRPr="005E3E65" w:rsidRDefault="000C1755" w:rsidP="005E3E65">
      <w:pPr>
        <w:numPr>
          <w:ilvl w:val="0"/>
          <w:numId w:val="18"/>
        </w:numPr>
        <w:tabs>
          <w:tab w:val="clear" w:pos="360"/>
          <w:tab w:val="num" w:pos="567"/>
        </w:tabs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NÁZOV LIEKU</w:t>
      </w:r>
    </w:p>
    <w:p w14:paraId="04411C06" w14:textId="77777777" w:rsidR="005E3E65" w:rsidRDefault="005E3E65" w:rsidP="005E3E65">
      <w:pPr>
        <w:pStyle w:val="Nadpis7"/>
        <w:widowControl/>
        <w:ind w:left="0"/>
        <w:rPr>
          <w:sz w:val="22"/>
          <w:szCs w:val="22"/>
        </w:rPr>
      </w:pPr>
    </w:p>
    <w:p w14:paraId="50DCBC10" w14:textId="77777777" w:rsidR="000C1755" w:rsidRPr="005E3E65" w:rsidRDefault="00081842" w:rsidP="005E3E65">
      <w:pPr>
        <w:pStyle w:val="Nadpis7"/>
        <w:widowControl/>
        <w:ind w:left="0"/>
        <w:rPr>
          <w:b w:val="0"/>
          <w:sz w:val="22"/>
          <w:szCs w:val="22"/>
        </w:rPr>
      </w:pPr>
      <w:r w:rsidRPr="001A7105">
        <w:rPr>
          <w:b w:val="0"/>
          <w:sz w:val="22"/>
          <w:szCs w:val="22"/>
        </w:rPr>
        <w:t xml:space="preserve">Metronidazole </w:t>
      </w:r>
      <w:r w:rsidR="000C1755" w:rsidRPr="005E3E65">
        <w:rPr>
          <w:b w:val="0"/>
          <w:sz w:val="22"/>
          <w:szCs w:val="22"/>
        </w:rPr>
        <w:t>0.5%</w:t>
      </w:r>
      <w:r w:rsidR="0016314B" w:rsidRPr="005E3E65">
        <w:rPr>
          <w:b w:val="0"/>
          <w:sz w:val="22"/>
          <w:szCs w:val="22"/>
        </w:rPr>
        <w:t xml:space="preserve"> </w:t>
      </w:r>
      <w:r w:rsidR="000C1755" w:rsidRPr="005E3E65">
        <w:rPr>
          <w:b w:val="0"/>
          <w:sz w:val="22"/>
          <w:szCs w:val="22"/>
        </w:rPr>
        <w:t>-</w:t>
      </w:r>
      <w:r w:rsidR="0016314B" w:rsidRPr="005E3E65">
        <w:rPr>
          <w:b w:val="0"/>
          <w:sz w:val="22"/>
          <w:szCs w:val="22"/>
        </w:rPr>
        <w:t xml:space="preserve"> </w:t>
      </w:r>
      <w:r w:rsidRPr="001A7105">
        <w:rPr>
          <w:b w:val="0"/>
          <w:sz w:val="22"/>
          <w:szCs w:val="22"/>
        </w:rPr>
        <w:t>Polpharma</w:t>
      </w:r>
    </w:p>
    <w:p w14:paraId="3F27A042" w14:textId="77777777" w:rsidR="000C1755" w:rsidRPr="005E3E65" w:rsidRDefault="000C1755" w:rsidP="005E3E65">
      <w:pPr>
        <w:rPr>
          <w:sz w:val="22"/>
          <w:szCs w:val="22"/>
        </w:rPr>
      </w:pPr>
    </w:p>
    <w:p w14:paraId="6E3BD3C6" w14:textId="77777777" w:rsidR="00880A9D" w:rsidRPr="005E3E65" w:rsidRDefault="00880A9D" w:rsidP="005E3E65">
      <w:pPr>
        <w:rPr>
          <w:sz w:val="22"/>
          <w:szCs w:val="22"/>
        </w:rPr>
      </w:pPr>
    </w:p>
    <w:p w14:paraId="08383DEE" w14:textId="77777777" w:rsidR="000C1755" w:rsidRPr="005E3E65" w:rsidRDefault="000C1755" w:rsidP="005E3E65">
      <w:pPr>
        <w:numPr>
          <w:ilvl w:val="0"/>
          <w:numId w:val="18"/>
        </w:numPr>
        <w:tabs>
          <w:tab w:val="clear" w:pos="360"/>
          <w:tab w:val="num" w:pos="567"/>
        </w:tabs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KVALITATÍVNE A KVANTITATÍVNE ZLOŽENIE LIEKU</w:t>
      </w:r>
    </w:p>
    <w:p w14:paraId="70AC959F" w14:textId="77777777" w:rsidR="005E3E65" w:rsidRDefault="005E3E65" w:rsidP="005E3E65">
      <w:pPr>
        <w:pStyle w:val="Nadpis8"/>
        <w:widowControl/>
        <w:ind w:left="0"/>
        <w:rPr>
          <w:sz w:val="22"/>
          <w:szCs w:val="22"/>
        </w:rPr>
      </w:pPr>
    </w:p>
    <w:p w14:paraId="27F4DD83" w14:textId="77777777" w:rsidR="000C1755" w:rsidRPr="005E3E65" w:rsidRDefault="000C1755" w:rsidP="005E3E65">
      <w:pPr>
        <w:pStyle w:val="Nadpis8"/>
        <w:widowControl/>
        <w:ind w:left="0"/>
        <w:rPr>
          <w:sz w:val="22"/>
          <w:szCs w:val="22"/>
        </w:rPr>
      </w:pPr>
      <w:r w:rsidRPr="005E3E65">
        <w:rPr>
          <w:sz w:val="22"/>
          <w:szCs w:val="22"/>
        </w:rPr>
        <w:t>Liečivo: metronidazolum 500 mg v 100 ml roztoku</w:t>
      </w:r>
    </w:p>
    <w:p w14:paraId="77E2C207" w14:textId="77777777" w:rsidR="00B62F32" w:rsidRDefault="00B62F32" w:rsidP="005E3E65">
      <w:pPr>
        <w:widowControl/>
        <w:rPr>
          <w:sz w:val="22"/>
          <w:szCs w:val="22"/>
          <w:u w:val="single"/>
        </w:rPr>
      </w:pPr>
    </w:p>
    <w:p w14:paraId="513A85C5" w14:textId="77777777" w:rsidR="006829DF" w:rsidRPr="005F095C" w:rsidRDefault="005E1B89" w:rsidP="005E3E65">
      <w:pPr>
        <w:widowControl/>
        <w:rPr>
          <w:sz w:val="22"/>
          <w:szCs w:val="22"/>
          <w:u w:val="single"/>
        </w:rPr>
      </w:pPr>
      <w:r w:rsidRPr="005F095C">
        <w:rPr>
          <w:sz w:val="22"/>
          <w:szCs w:val="22"/>
          <w:u w:val="single"/>
        </w:rPr>
        <w:t>Pomocná látka so známym účinkom</w:t>
      </w:r>
      <w:r w:rsidRPr="005F095C">
        <w:rPr>
          <w:sz w:val="22"/>
          <w:szCs w:val="22"/>
        </w:rPr>
        <w:t xml:space="preserve">: sodík. </w:t>
      </w:r>
      <w:r w:rsidR="002E1CC2">
        <w:rPr>
          <w:sz w:val="22"/>
          <w:szCs w:val="22"/>
        </w:rPr>
        <w:t xml:space="preserve">Jeden </w:t>
      </w:r>
      <w:r w:rsidR="006829DF" w:rsidRPr="005F095C">
        <w:rPr>
          <w:sz w:val="22"/>
          <w:szCs w:val="22"/>
        </w:rPr>
        <w:t xml:space="preserve"> ml obsahuje 3,09 mg sodíka.</w:t>
      </w:r>
    </w:p>
    <w:p w14:paraId="4D2AC0E4" w14:textId="77777777" w:rsidR="00880A9D" w:rsidRPr="005F095C" w:rsidRDefault="00880A9D" w:rsidP="005E3E65">
      <w:pPr>
        <w:widowControl/>
        <w:rPr>
          <w:sz w:val="22"/>
          <w:szCs w:val="22"/>
        </w:rPr>
      </w:pPr>
    </w:p>
    <w:p w14:paraId="7C36BB00" w14:textId="77777777" w:rsidR="00B37987" w:rsidRPr="005F095C" w:rsidRDefault="00B37987" w:rsidP="005E3E65">
      <w:pPr>
        <w:widowControl/>
        <w:rPr>
          <w:sz w:val="22"/>
          <w:szCs w:val="22"/>
        </w:rPr>
      </w:pPr>
      <w:r w:rsidRPr="005F095C">
        <w:rPr>
          <w:sz w:val="22"/>
          <w:szCs w:val="22"/>
        </w:rPr>
        <w:t>Úplný zoznam pomocných látok, pozri časť 6.1.</w:t>
      </w:r>
    </w:p>
    <w:p w14:paraId="5AB0D67A" w14:textId="77777777" w:rsidR="00B62F32" w:rsidRPr="005F095C" w:rsidRDefault="00B62F32" w:rsidP="005E3E65">
      <w:pPr>
        <w:widowControl/>
        <w:rPr>
          <w:sz w:val="22"/>
          <w:szCs w:val="22"/>
        </w:rPr>
      </w:pPr>
    </w:p>
    <w:p w14:paraId="4D20DA50" w14:textId="77777777" w:rsidR="00EA0101" w:rsidRPr="005F095C" w:rsidRDefault="00EA0101" w:rsidP="005E3E65">
      <w:pPr>
        <w:widowControl/>
        <w:rPr>
          <w:sz w:val="22"/>
          <w:szCs w:val="22"/>
        </w:rPr>
      </w:pPr>
    </w:p>
    <w:p w14:paraId="006420A8" w14:textId="77777777" w:rsidR="000C1755" w:rsidRPr="005F095C" w:rsidRDefault="000C1755" w:rsidP="005E3E65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b/>
          <w:sz w:val="22"/>
          <w:szCs w:val="22"/>
        </w:rPr>
      </w:pPr>
      <w:r w:rsidRPr="005F095C">
        <w:rPr>
          <w:b/>
          <w:sz w:val="22"/>
          <w:szCs w:val="22"/>
        </w:rPr>
        <w:t>LIEKOVÁ FORMA</w:t>
      </w:r>
    </w:p>
    <w:p w14:paraId="1C458E99" w14:textId="77777777" w:rsidR="005E3E65" w:rsidRDefault="005E3E65" w:rsidP="005E3E65">
      <w:pPr>
        <w:widowControl/>
        <w:rPr>
          <w:sz w:val="22"/>
          <w:szCs w:val="22"/>
        </w:rPr>
      </w:pPr>
    </w:p>
    <w:p w14:paraId="337C3496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Infúzny roztok.</w:t>
      </w:r>
    </w:p>
    <w:p w14:paraId="3EFA3EC7" w14:textId="77777777" w:rsidR="000C1755" w:rsidRPr="005E3E65" w:rsidRDefault="000C1755" w:rsidP="005E3E65">
      <w:pPr>
        <w:rPr>
          <w:sz w:val="22"/>
          <w:szCs w:val="22"/>
        </w:rPr>
      </w:pPr>
    </w:p>
    <w:p w14:paraId="21471B6E" w14:textId="77777777" w:rsidR="00880A9D" w:rsidRPr="005E3E65" w:rsidRDefault="00880A9D" w:rsidP="005E3E65">
      <w:pPr>
        <w:rPr>
          <w:sz w:val="22"/>
          <w:szCs w:val="22"/>
        </w:rPr>
      </w:pPr>
    </w:p>
    <w:p w14:paraId="3FF41B36" w14:textId="77777777" w:rsidR="00880A9D" w:rsidRDefault="000C1755" w:rsidP="005E3E65">
      <w:pPr>
        <w:numPr>
          <w:ilvl w:val="0"/>
          <w:numId w:val="18"/>
        </w:numPr>
        <w:tabs>
          <w:tab w:val="clear" w:pos="360"/>
          <w:tab w:val="num" w:pos="567"/>
        </w:tabs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KLINICKÉ ÚDAJE</w:t>
      </w:r>
    </w:p>
    <w:p w14:paraId="12C4AEB4" w14:textId="77777777" w:rsidR="005E3E65" w:rsidRPr="005E3E65" w:rsidRDefault="005E3E65" w:rsidP="005E3E65">
      <w:pPr>
        <w:rPr>
          <w:b/>
          <w:sz w:val="22"/>
          <w:szCs w:val="22"/>
        </w:rPr>
      </w:pPr>
    </w:p>
    <w:p w14:paraId="1E6ED8D4" w14:textId="77777777" w:rsidR="000C1755" w:rsidRPr="005E3E65" w:rsidRDefault="000C1755" w:rsidP="005E3E65">
      <w:pPr>
        <w:numPr>
          <w:ilvl w:val="1"/>
          <w:numId w:val="18"/>
        </w:numPr>
        <w:tabs>
          <w:tab w:val="num" w:pos="567"/>
        </w:tabs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Terapeutické indikácie</w:t>
      </w:r>
    </w:p>
    <w:p w14:paraId="1D8101A7" w14:textId="77777777" w:rsidR="005E3E65" w:rsidRDefault="005E3E65" w:rsidP="005E3E65">
      <w:pPr>
        <w:widowControl/>
        <w:tabs>
          <w:tab w:val="left" w:pos="417"/>
        </w:tabs>
        <w:rPr>
          <w:b/>
          <w:i/>
          <w:sz w:val="22"/>
          <w:szCs w:val="22"/>
          <w:u w:val="single"/>
        </w:rPr>
      </w:pPr>
    </w:p>
    <w:p w14:paraId="792925D4" w14:textId="77777777" w:rsidR="000C1755" w:rsidRPr="005E3E65" w:rsidRDefault="000C1755" w:rsidP="005E3E65">
      <w:pPr>
        <w:widowControl/>
        <w:tabs>
          <w:tab w:val="left" w:pos="417"/>
        </w:tabs>
        <w:rPr>
          <w:b/>
          <w:i/>
          <w:sz w:val="22"/>
          <w:szCs w:val="22"/>
          <w:u w:val="single"/>
        </w:rPr>
      </w:pPr>
      <w:r w:rsidRPr="005E3E65">
        <w:rPr>
          <w:b/>
          <w:i/>
          <w:sz w:val="22"/>
          <w:szCs w:val="22"/>
          <w:u w:val="single"/>
        </w:rPr>
        <w:t>Liečba anaeróbnych infekcií</w:t>
      </w:r>
      <w:r w:rsidRPr="005E3E65">
        <w:rPr>
          <w:b/>
          <w:sz w:val="22"/>
          <w:szCs w:val="22"/>
          <w:u w:val="single"/>
        </w:rPr>
        <w:t xml:space="preserve"> </w:t>
      </w:r>
    </w:p>
    <w:p w14:paraId="3A9D1EC4" w14:textId="77777777" w:rsidR="000C1755" w:rsidRPr="005E3E65" w:rsidRDefault="00081842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Metronidazole </w:t>
      </w:r>
      <w:r w:rsidR="000C1755" w:rsidRPr="005E3E65">
        <w:rPr>
          <w:sz w:val="22"/>
          <w:szCs w:val="22"/>
        </w:rPr>
        <w:t>0.5%</w:t>
      </w:r>
      <w:r w:rsidR="0016314B" w:rsidRPr="005E3E65">
        <w:rPr>
          <w:sz w:val="22"/>
          <w:szCs w:val="22"/>
        </w:rPr>
        <w:t xml:space="preserve"> </w:t>
      </w:r>
      <w:r w:rsidR="000C1755" w:rsidRPr="005E3E65">
        <w:rPr>
          <w:sz w:val="22"/>
          <w:szCs w:val="22"/>
        </w:rPr>
        <w:t>-</w:t>
      </w:r>
      <w:r w:rsidR="0016314B" w:rsidRPr="005E3E65">
        <w:rPr>
          <w:sz w:val="22"/>
          <w:szCs w:val="22"/>
        </w:rPr>
        <w:t xml:space="preserve"> </w:t>
      </w:r>
      <w:r w:rsidRPr="005E3E65">
        <w:rPr>
          <w:sz w:val="22"/>
          <w:szCs w:val="22"/>
        </w:rPr>
        <w:t xml:space="preserve">Polpharma </w:t>
      </w:r>
      <w:r w:rsidR="000C1755" w:rsidRPr="005E3E65">
        <w:rPr>
          <w:sz w:val="22"/>
          <w:szCs w:val="22"/>
        </w:rPr>
        <w:t>infúzny roztok je indikovaný</w:t>
      </w:r>
      <w:r w:rsidR="005E3E65">
        <w:rPr>
          <w:sz w:val="22"/>
          <w:szCs w:val="22"/>
        </w:rPr>
        <w:t xml:space="preserve"> u dospelých a detí</w:t>
      </w:r>
      <w:r w:rsidR="000C1755" w:rsidRPr="005E3E65">
        <w:rPr>
          <w:sz w:val="22"/>
          <w:szCs w:val="22"/>
        </w:rPr>
        <w:t xml:space="preserve"> pri liečbe závažných infekcii vyvolaných citlivými anaeróbnymi baktériami. </w:t>
      </w:r>
    </w:p>
    <w:p w14:paraId="38B21CA5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Pri zmiešanej aeróbnej a anaeróbnej infekcii treba v kombinácii s infúznym roztokom </w:t>
      </w:r>
      <w:r w:rsidR="00081842" w:rsidRPr="005E3E65">
        <w:rPr>
          <w:sz w:val="22"/>
          <w:szCs w:val="22"/>
        </w:rPr>
        <w:t xml:space="preserve">Metronidazole </w:t>
      </w:r>
      <w:r w:rsidRPr="005E3E65">
        <w:rPr>
          <w:sz w:val="22"/>
          <w:szCs w:val="22"/>
        </w:rPr>
        <w:t>0.5%</w:t>
      </w:r>
      <w:r w:rsidR="0016314B" w:rsidRPr="005E3E65">
        <w:rPr>
          <w:sz w:val="22"/>
          <w:szCs w:val="22"/>
        </w:rPr>
        <w:t xml:space="preserve"> - </w:t>
      </w:r>
      <w:r w:rsidR="00081842" w:rsidRPr="005E3E65">
        <w:rPr>
          <w:sz w:val="22"/>
          <w:szCs w:val="22"/>
        </w:rPr>
        <w:t xml:space="preserve">Polpharma </w:t>
      </w:r>
      <w:r w:rsidRPr="005E3E65">
        <w:rPr>
          <w:sz w:val="22"/>
          <w:szCs w:val="22"/>
        </w:rPr>
        <w:t>použiť antibiotiká vhodné na liečbu aeróbnej infekcie.</w:t>
      </w:r>
    </w:p>
    <w:p w14:paraId="2401BECF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 xml:space="preserve">Metronidazol je účinný pri infekciách spôsobených druhom </w:t>
      </w:r>
      <w:r w:rsidRPr="005E3E65">
        <w:rPr>
          <w:i/>
          <w:iCs/>
          <w:sz w:val="22"/>
          <w:szCs w:val="22"/>
        </w:rPr>
        <w:t>Bacteroides fragilis</w:t>
      </w:r>
      <w:r w:rsidRPr="005E3E65">
        <w:rPr>
          <w:sz w:val="22"/>
          <w:szCs w:val="22"/>
        </w:rPr>
        <w:t xml:space="preserve"> rezistentným na klindamycín, chloramfenikol a penicilín.</w:t>
      </w:r>
    </w:p>
    <w:p w14:paraId="7201CF02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b/>
          <w:bCs/>
          <w:i/>
          <w:iCs/>
          <w:sz w:val="22"/>
          <w:szCs w:val="22"/>
        </w:rPr>
        <w:t>Infekcie dutiny brušnej</w:t>
      </w:r>
      <w:r w:rsidRPr="005E3E65">
        <w:rPr>
          <w:sz w:val="22"/>
          <w:szCs w:val="22"/>
        </w:rPr>
        <w:t xml:space="preserve"> - vrátane peritonitídy, vnútrobrušných a pečeňových abscesov vyvolaných </w:t>
      </w:r>
      <w:r w:rsidRPr="005E3E65">
        <w:rPr>
          <w:i/>
          <w:iCs/>
          <w:sz w:val="22"/>
          <w:szCs w:val="22"/>
        </w:rPr>
        <w:t>Bacteroides sp</w:t>
      </w:r>
      <w:r w:rsidRPr="005E3E65">
        <w:rPr>
          <w:sz w:val="22"/>
          <w:szCs w:val="22"/>
        </w:rPr>
        <w:t xml:space="preserve">. (vrátane </w:t>
      </w:r>
      <w:r w:rsidRPr="005E3E65">
        <w:rPr>
          <w:i/>
          <w:iCs/>
          <w:sz w:val="22"/>
          <w:szCs w:val="22"/>
        </w:rPr>
        <w:t>B. fragilis</w:t>
      </w:r>
      <w:r w:rsidRPr="005E3E65">
        <w:rPr>
          <w:sz w:val="22"/>
          <w:szCs w:val="22"/>
        </w:rPr>
        <w:t xml:space="preserve">), </w:t>
      </w:r>
      <w:r w:rsidRPr="005E3E65">
        <w:rPr>
          <w:i/>
          <w:iCs/>
          <w:sz w:val="22"/>
          <w:szCs w:val="22"/>
        </w:rPr>
        <w:t>Clostridium sp</w:t>
      </w:r>
      <w:r w:rsidRPr="005E3E65">
        <w:rPr>
          <w:sz w:val="22"/>
          <w:szCs w:val="22"/>
        </w:rPr>
        <w:t xml:space="preserve">., </w:t>
      </w:r>
      <w:r w:rsidRPr="005E3E65">
        <w:rPr>
          <w:i/>
          <w:iCs/>
          <w:sz w:val="22"/>
          <w:szCs w:val="22"/>
        </w:rPr>
        <w:t>Eubacterium sp</w:t>
      </w:r>
      <w:r w:rsidRPr="005E3E65">
        <w:rPr>
          <w:sz w:val="22"/>
          <w:szCs w:val="22"/>
        </w:rPr>
        <w:t xml:space="preserve">., </w:t>
      </w:r>
      <w:r w:rsidRPr="005E3E65">
        <w:rPr>
          <w:i/>
          <w:iCs/>
          <w:sz w:val="22"/>
          <w:szCs w:val="22"/>
        </w:rPr>
        <w:t>Peptococcus</w:t>
      </w:r>
      <w:r w:rsidRPr="005E3E65">
        <w:rPr>
          <w:sz w:val="22"/>
          <w:szCs w:val="22"/>
        </w:rPr>
        <w:t xml:space="preserve"> </w:t>
      </w:r>
      <w:r w:rsidRPr="005E3E65">
        <w:rPr>
          <w:i/>
          <w:iCs/>
          <w:sz w:val="22"/>
          <w:szCs w:val="22"/>
        </w:rPr>
        <w:t>sp</w:t>
      </w:r>
      <w:r w:rsidRPr="005E3E65">
        <w:rPr>
          <w:sz w:val="22"/>
          <w:szCs w:val="22"/>
        </w:rPr>
        <w:t xml:space="preserve">. a </w:t>
      </w:r>
      <w:r w:rsidRPr="005E3E65">
        <w:rPr>
          <w:i/>
          <w:iCs/>
          <w:sz w:val="22"/>
          <w:szCs w:val="22"/>
        </w:rPr>
        <w:t>Peptostreptococcus sp</w:t>
      </w:r>
      <w:r w:rsidRPr="005E3E65">
        <w:rPr>
          <w:sz w:val="22"/>
          <w:szCs w:val="22"/>
        </w:rPr>
        <w:t>.</w:t>
      </w:r>
    </w:p>
    <w:p w14:paraId="4A6F6853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b/>
          <w:bCs/>
          <w:i/>
          <w:iCs/>
          <w:sz w:val="22"/>
          <w:szCs w:val="22"/>
        </w:rPr>
        <w:t>Infekcie kože a kožných adnexov</w:t>
      </w:r>
      <w:r w:rsidRPr="005E3E65">
        <w:rPr>
          <w:sz w:val="22"/>
          <w:szCs w:val="22"/>
        </w:rPr>
        <w:t xml:space="preserve"> vyvolaných </w:t>
      </w:r>
      <w:r w:rsidRPr="005E3E65">
        <w:rPr>
          <w:i/>
          <w:iCs/>
          <w:sz w:val="22"/>
          <w:szCs w:val="22"/>
        </w:rPr>
        <w:t>Bacteroides sp</w:t>
      </w:r>
      <w:r w:rsidRPr="005E3E65">
        <w:rPr>
          <w:sz w:val="22"/>
          <w:szCs w:val="22"/>
        </w:rPr>
        <w:t xml:space="preserve">. (vrátane </w:t>
      </w:r>
      <w:r w:rsidRPr="005E3E65">
        <w:rPr>
          <w:i/>
          <w:iCs/>
          <w:sz w:val="22"/>
          <w:szCs w:val="22"/>
        </w:rPr>
        <w:t>B. fragilis</w:t>
      </w:r>
      <w:r w:rsidRPr="005E3E65">
        <w:rPr>
          <w:sz w:val="22"/>
          <w:szCs w:val="22"/>
        </w:rPr>
        <w:t xml:space="preserve">), </w:t>
      </w:r>
      <w:r w:rsidRPr="005E3E65">
        <w:rPr>
          <w:i/>
          <w:iCs/>
          <w:sz w:val="22"/>
          <w:szCs w:val="22"/>
        </w:rPr>
        <w:t>Clostridium</w:t>
      </w:r>
      <w:r w:rsidRPr="005E3E65">
        <w:rPr>
          <w:sz w:val="22"/>
          <w:szCs w:val="22"/>
        </w:rPr>
        <w:t xml:space="preserve"> </w:t>
      </w:r>
      <w:r w:rsidRPr="005E3E65">
        <w:rPr>
          <w:i/>
          <w:iCs/>
          <w:sz w:val="22"/>
          <w:szCs w:val="22"/>
        </w:rPr>
        <w:t>sp</w:t>
      </w:r>
      <w:r w:rsidRPr="005E3E65">
        <w:rPr>
          <w:sz w:val="22"/>
          <w:szCs w:val="22"/>
        </w:rPr>
        <w:t xml:space="preserve">., </w:t>
      </w:r>
      <w:r w:rsidRPr="005E3E65">
        <w:rPr>
          <w:i/>
          <w:iCs/>
          <w:sz w:val="22"/>
          <w:szCs w:val="22"/>
        </w:rPr>
        <w:t>Peptococcus sp</w:t>
      </w:r>
      <w:r w:rsidRPr="005E3E65">
        <w:rPr>
          <w:sz w:val="22"/>
          <w:szCs w:val="22"/>
        </w:rPr>
        <w:t xml:space="preserve">., </w:t>
      </w:r>
      <w:r w:rsidRPr="005E3E65">
        <w:rPr>
          <w:i/>
          <w:iCs/>
          <w:sz w:val="22"/>
          <w:szCs w:val="22"/>
        </w:rPr>
        <w:t>Peptostreptococcus sp</w:t>
      </w:r>
      <w:r w:rsidRPr="005E3E65">
        <w:rPr>
          <w:sz w:val="22"/>
          <w:szCs w:val="22"/>
        </w:rPr>
        <w:t xml:space="preserve">. a </w:t>
      </w:r>
      <w:r w:rsidRPr="005E3E65">
        <w:rPr>
          <w:i/>
          <w:iCs/>
          <w:sz w:val="22"/>
          <w:szCs w:val="22"/>
        </w:rPr>
        <w:t>Fusobacterium sp</w:t>
      </w:r>
      <w:r w:rsidRPr="005E3E65">
        <w:rPr>
          <w:sz w:val="22"/>
          <w:szCs w:val="22"/>
        </w:rPr>
        <w:t>.</w:t>
      </w:r>
    </w:p>
    <w:p w14:paraId="2F0227DF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b/>
          <w:bCs/>
          <w:i/>
          <w:iCs/>
          <w:sz w:val="22"/>
          <w:szCs w:val="22"/>
        </w:rPr>
        <w:t>Gynekologické infekcie</w:t>
      </w:r>
      <w:r w:rsidRPr="005E3E65">
        <w:rPr>
          <w:sz w:val="22"/>
          <w:szCs w:val="22"/>
        </w:rPr>
        <w:t xml:space="preserve"> - vrátané endometritídy, endomyometritídy, tubo-ovariálneho abscesu, vyvolané </w:t>
      </w:r>
      <w:r w:rsidRPr="005E3E65">
        <w:rPr>
          <w:i/>
          <w:iCs/>
          <w:sz w:val="22"/>
          <w:szCs w:val="22"/>
        </w:rPr>
        <w:t>Bacteroides sp</w:t>
      </w:r>
      <w:r w:rsidRPr="005E3E65">
        <w:rPr>
          <w:sz w:val="22"/>
          <w:szCs w:val="22"/>
        </w:rPr>
        <w:t xml:space="preserve">. (vrátane </w:t>
      </w:r>
      <w:r w:rsidRPr="005E3E65">
        <w:rPr>
          <w:i/>
          <w:iCs/>
          <w:sz w:val="22"/>
          <w:szCs w:val="22"/>
        </w:rPr>
        <w:t>B. fragilis</w:t>
      </w:r>
      <w:r w:rsidRPr="005E3E65">
        <w:rPr>
          <w:sz w:val="22"/>
          <w:szCs w:val="22"/>
        </w:rPr>
        <w:t xml:space="preserve">), </w:t>
      </w:r>
      <w:r w:rsidRPr="005E3E65">
        <w:rPr>
          <w:i/>
          <w:iCs/>
          <w:sz w:val="22"/>
          <w:szCs w:val="22"/>
        </w:rPr>
        <w:t>Clostridium sp</w:t>
      </w:r>
      <w:r w:rsidRPr="005E3E65">
        <w:rPr>
          <w:sz w:val="22"/>
          <w:szCs w:val="22"/>
        </w:rPr>
        <w:t xml:space="preserve">., </w:t>
      </w:r>
      <w:r w:rsidRPr="005E3E65">
        <w:rPr>
          <w:i/>
          <w:iCs/>
          <w:sz w:val="22"/>
          <w:szCs w:val="22"/>
        </w:rPr>
        <w:t>Peptococcus sp</w:t>
      </w:r>
      <w:r w:rsidRPr="005E3E65">
        <w:rPr>
          <w:sz w:val="22"/>
          <w:szCs w:val="22"/>
        </w:rPr>
        <w:t>. a </w:t>
      </w:r>
      <w:r w:rsidRPr="005E3E65">
        <w:rPr>
          <w:i/>
          <w:iCs/>
          <w:sz w:val="22"/>
          <w:szCs w:val="22"/>
        </w:rPr>
        <w:t>Peptostreptococcus sp</w:t>
      </w:r>
      <w:r w:rsidRPr="005E3E65">
        <w:rPr>
          <w:sz w:val="22"/>
          <w:szCs w:val="22"/>
        </w:rPr>
        <w:t>.</w:t>
      </w:r>
    </w:p>
    <w:p w14:paraId="00C06930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b/>
          <w:bCs/>
          <w:i/>
          <w:iCs/>
          <w:sz w:val="22"/>
          <w:szCs w:val="22"/>
        </w:rPr>
        <w:t>Bakteriálna septikémia</w:t>
      </w:r>
      <w:r w:rsidRPr="005E3E65">
        <w:rPr>
          <w:sz w:val="22"/>
          <w:szCs w:val="22"/>
        </w:rPr>
        <w:t xml:space="preserve"> vyvolaná </w:t>
      </w:r>
      <w:r w:rsidRPr="005E3E65">
        <w:rPr>
          <w:i/>
          <w:iCs/>
          <w:sz w:val="22"/>
          <w:szCs w:val="22"/>
        </w:rPr>
        <w:t>Bacteroides sp</w:t>
      </w:r>
      <w:r w:rsidRPr="005E3E65">
        <w:rPr>
          <w:sz w:val="22"/>
          <w:szCs w:val="22"/>
        </w:rPr>
        <w:t xml:space="preserve">. (vrátane </w:t>
      </w:r>
      <w:r w:rsidRPr="005E3E65">
        <w:rPr>
          <w:i/>
          <w:iCs/>
          <w:sz w:val="22"/>
          <w:szCs w:val="22"/>
        </w:rPr>
        <w:t>B. fragilis</w:t>
      </w:r>
      <w:r w:rsidRPr="005E3E65">
        <w:rPr>
          <w:sz w:val="22"/>
          <w:szCs w:val="22"/>
        </w:rPr>
        <w:t xml:space="preserve">) a </w:t>
      </w:r>
      <w:r w:rsidRPr="005E3E65">
        <w:rPr>
          <w:i/>
          <w:iCs/>
          <w:sz w:val="22"/>
          <w:szCs w:val="22"/>
        </w:rPr>
        <w:t>Clostridium sp</w:t>
      </w:r>
      <w:r w:rsidRPr="005E3E65">
        <w:rPr>
          <w:sz w:val="22"/>
          <w:szCs w:val="22"/>
        </w:rPr>
        <w:t>.</w:t>
      </w:r>
    </w:p>
    <w:p w14:paraId="708FFB60" w14:textId="77777777" w:rsidR="000C1755" w:rsidRPr="005E3E65" w:rsidRDefault="000C1755" w:rsidP="005E3E65">
      <w:pPr>
        <w:widowControl/>
        <w:tabs>
          <w:tab w:val="left" w:pos="360"/>
        </w:tabs>
        <w:rPr>
          <w:sz w:val="22"/>
          <w:szCs w:val="22"/>
        </w:rPr>
      </w:pPr>
      <w:r w:rsidRPr="005E3E65">
        <w:rPr>
          <w:b/>
          <w:bCs/>
          <w:i/>
          <w:iCs/>
          <w:sz w:val="22"/>
          <w:szCs w:val="22"/>
        </w:rPr>
        <w:t>Infekcie kostí a kĺbov</w:t>
      </w:r>
      <w:r w:rsidRPr="005E3E65">
        <w:rPr>
          <w:b/>
          <w:bCs/>
          <w:sz w:val="22"/>
          <w:szCs w:val="22"/>
        </w:rPr>
        <w:t xml:space="preserve"> </w:t>
      </w:r>
      <w:r w:rsidRPr="005E3E65">
        <w:rPr>
          <w:sz w:val="22"/>
          <w:szCs w:val="22"/>
        </w:rPr>
        <w:t xml:space="preserve">vyvolaných </w:t>
      </w:r>
      <w:r w:rsidRPr="005E3E65">
        <w:rPr>
          <w:i/>
          <w:iCs/>
          <w:sz w:val="22"/>
          <w:szCs w:val="22"/>
        </w:rPr>
        <w:t>Bacteroides sp</w:t>
      </w:r>
      <w:r w:rsidRPr="005E3E65">
        <w:rPr>
          <w:sz w:val="22"/>
          <w:szCs w:val="22"/>
        </w:rPr>
        <w:t xml:space="preserve">. (vrátane </w:t>
      </w:r>
      <w:r w:rsidRPr="005E3E65">
        <w:rPr>
          <w:i/>
          <w:iCs/>
          <w:sz w:val="22"/>
          <w:szCs w:val="22"/>
        </w:rPr>
        <w:t>B. fragilis</w:t>
      </w:r>
      <w:r w:rsidRPr="005E3E65">
        <w:rPr>
          <w:sz w:val="22"/>
          <w:szCs w:val="22"/>
        </w:rPr>
        <w:t>), ako prídavná terapia.</w:t>
      </w:r>
    </w:p>
    <w:p w14:paraId="5EAB80C5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b/>
          <w:bCs/>
          <w:i/>
          <w:iCs/>
          <w:sz w:val="22"/>
          <w:szCs w:val="22"/>
        </w:rPr>
        <w:t>Infekcie CNS</w:t>
      </w:r>
      <w:r w:rsidRPr="005E3E65">
        <w:rPr>
          <w:sz w:val="22"/>
          <w:szCs w:val="22"/>
        </w:rPr>
        <w:t xml:space="preserve">, napr. pri cerebrospinálnej meningitíde a mozgovom abscese vyvolané </w:t>
      </w:r>
      <w:r w:rsidRPr="005E3E65">
        <w:rPr>
          <w:i/>
          <w:iCs/>
          <w:sz w:val="22"/>
          <w:szCs w:val="22"/>
        </w:rPr>
        <w:t>Bacteroides sp</w:t>
      </w:r>
      <w:r w:rsidRPr="005E3E65">
        <w:rPr>
          <w:sz w:val="22"/>
          <w:szCs w:val="22"/>
        </w:rPr>
        <w:t xml:space="preserve">. (vrátane </w:t>
      </w:r>
      <w:r w:rsidRPr="005E3E65">
        <w:rPr>
          <w:i/>
          <w:iCs/>
          <w:sz w:val="22"/>
          <w:szCs w:val="22"/>
        </w:rPr>
        <w:t>B. fragilis</w:t>
      </w:r>
      <w:r w:rsidRPr="005E3E65">
        <w:rPr>
          <w:sz w:val="22"/>
          <w:szCs w:val="22"/>
        </w:rPr>
        <w:t>).</w:t>
      </w:r>
    </w:p>
    <w:p w14:paraId="7477E459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b/>
          <w:bCs/>
          <w:i/>
          <w:iCs/>
          <w:sz w:val="22"/>
          <w:szCs w:val="22"/>
        </w:rPr>
        <w:t>Infekcie dolných ciest dýchacích</w:t>
      </w:r>
      <w:r w:rsidRPr="005E3E65">
        <w:rPr>
          <w:sz w:val="22"/>
          <w:szCs w:val="22"/>
        </w:rPr>
        <w:t xml:space="preserve">, vrátane pneumónie, empyému a abscesu pľúc, vyvolaných </w:t>
      </w:r>
      <w:r w:rsidRPr="005E3E65">
        <w:rPr>
          <w:i/>
          <w:iCs/>
          <w:sz w:val="22"/>
          <w:szCs w:val="22"/>
        </w:rPr>
        <w:t>Bacteroides sp</w:t>
      </w:r>
      <w:r w:rsidRPr="005E3E65">
        <w:rPr>
          <w:sz w:val="22"/>
          <w:szCs w:val="22"/>
        </w:rPr>
        <w:t xml:space="preserve">. (vrátane </w:t>
      </w:r>
      <w:r w:rsidRPr="005E3E65">
        <w:rPr>
          <w:i/>
          <w:iCs/>
          <w:sz w:val="22"/>
          <w:szCs w:val="22"/>
        </w:rPr>
        <w:t>B. fragilis</w:t>
      </w:r>
      <w:r w:rsidRPr="005E3E65">
        <w:rPr>
          <w:sz w:val="22"/>
          <w:szCs w:val="22"/>
        </w:rPr>
        <w:t xml:space="preserve">). </w:t>
      </w:r>
    </w:p>
    <w:p w14:paraId="368021EB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b/>
          <w:bCs/>
          <w:i/>
          <w:iCs/>
          <w:sz w:val="22"/>
          <w:szCs w:val="22"/>
        </w:rPr>
        <w:t>Endokarditída</w:t>
      </w:r>
      <w:r w:rsidRPr="005E3E65">
        <w:rPr>
          <w:sz w:val="22"/>
          <w:szCs w:val="22"/>
        </w:rPr>
        <w:t xml:space="preserve"> vyvolaná </w:t>
      </w:r>
      <w:r w:rsidRPr="005E3E65">
        <w:rPr>
          <w:i/>
          <w:iCs/>
          <w:sz w:val="22"/>
          <w:szCs w:val="22"/>
        </w:rPr>
        <w:t>Bacteroides sp</w:t>
      </w:r>
      <w:r w:rsidRPr="005E3E65">
        <w:rPr>
          <w:sz w:val="22"/>
          <w:szCs w:val="22"/>
        </w:rPr>
        <w:t xml:space="preserve">. (vrátane </w:t>
      </w:r>
      <w:r w:rsidRPr="005E3E65">
        <w:rPr>
          <w:i/>
          <w:iCs/>
          <w:sz w:val="22"/>
          <w:szCs w:val="22"/>
        </w:rPr>
        <w:t>B. fragilis</w:t>
      </w:r>
      <w:r w:rsidRPr="005E3E65">
        <w:rPr>
          <w:sz w:val="22"/>
          <w:szCs w:val="22"/>
        </w:rPr>
        <w:t>).</w:t>
      </w:r>
    </w:p>
    <w:p w14:paraId="6CA20A50" w14:textId="77777777" w:rsidR="000C1755" w:rsidRPr="005E3E65" w:rsidRDefault="000C1755" w:rsidP="005E3E65">
      <w:pPr>
        <w:widowControl/>
        <w:rPr>
          <w:sz w:val="22"/>
          <w:szCs w:val="22"/>
        </w:rPr>
      </w:pPr>
    </w:p>
    <w:p w14:paraId="1F728604" w14:textId="77777777" w:rsidR="000C1755" w:rsidRPr="005E3E65" w:rsidRDefault="000C1755" w:rsidP="00081842">
      <w:pPr>
        <w:keepNext/>
        <w:widowControl/>
        <w:tabs>
          <w:tab w:val="left" w:pos="417"/>
        </w:tabs>
        <w:rPr>
          <w:b/>
          <w:i/>
          <w:sz w:val="22"/>
          <w:szCs w:val="22"/>
          <w:u w:val="single"/>
        </w:rPr>
      </w:pPr>
      <w:r w:rsidRPr="005E3E65">
        <w:rPr>
          <w:b/>
          <w:i/>
          <w:sz w:val="22"/>
          <w:szCs w:val="22"/>
          <w:u w:val="single"/>
        </w:rPr>
        <w:lastRenderedPageBreak/>
        <w:t>Profylaxia:</w:t>
      </w:r>
    </w:p>
    <w:p w14:paraId="078C111D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Predoperačné, intraoperačné a pooperačné profylaktické podávanie infúzneho roztoku </w:t>
      </w:r>
      <w:r w:rsidR="00081842" w:rsidRPr="005E3E65">
        <w:rPr>
          <w:sz w:val="22"/>
          <w:szCs w:val="22"/>
        </w:rPr>
        <w:t xml:space="preserve">Metronidazole </w:t>
      </w:r>
      <w:r w:rsidRPr="005E3E65">
        <w:rPr>
          <w:sz w:val="22"/>
          <w:szCs w:val="22"/>
        </w:rPr>
        <w:t>0.5%</w:t>
      </w:r>
      <w:r w:rsidR="0016314B" w:rsidRPr="005E3E65">
        <w:rPr>
          <w:sz w:val="22"/>
          <w:szCs w:val="22"/>
        </w:rPr>
        <w:t xml:space="preserve"> - </w:t>
      </w:r>
      <w:r w:rsidR="00081842" w:rsidRPr="005E3E65">
        <w:rPr>
          <w:sz w:val="22"/>
          <w:szCs w:val="22"/>
        </w:rPr>
        <w:t xml:space="preserve">Polpharma </w:t>
      </w:r>
      <w:r w:rsidRPr="005E3E65">
        <w:rPr>
          <w:sz w:val="22"/>
          <w:szCs w:val="22"/>
        </w:rPr>
        <w:t>môže znížiť incidenciu pooperačných infekcií vyvolaných anaeróbmi, predovšetkým počas gastrointestinálnych alebo gynekologických operácií.</w:t>
      </w:r>
    </w:p>
    <w:p w14:paraId="237927DB" w14:textId="77777777" w:rsidR="000C1755" w:rsidRDefault="000C1755" w:rsidP="005E3E65">
      <w:pPr>
        <w:autoSpaceDE w:val="0"/>
        <w:autoSpaceDN w:val="0"/>
        <w:adjustRightInd w:val="0"/>
        <w:ind w:left="10"/>
        <w:rPr>
          <w:sz w:val="22"/>
          <w:szCs w:val="22"/>
        </w:rPr>
      </w:pPr>
    </w:p>
    <w:p w14:paraId="79FAB760" w14:textId="77777777" w:rsidR="005E3E65" w:rsidRDefault="005E3E65" w:rsidP="005E3E65">
      <w:pPr>
        <w:autoSpaceDE w:val="0"/>
        <w:autoSpaceDN w:val="0"/>
        <w:adjustRightInd w:val="0"/>
        <w:ind w:left="10"/>
        <w:rPr>
          <w:sz w:val="22"/>
          <w:szCs w:val="22"/>
        </w:rPr>
      </w:pPr>
      <w:r>
        <w:rPr>
          <w:sz w:val="22"/>
          <w:szCs w:val="22"/>
        </w:rPr>
        <w:t>Potrebné je vziať do úvahy oficiálne odporúčania o vhodnom používaní antibakteriálnych liečiv.</w:t>
      </w:r>
    </w:p>
    <w:p w14:paraId="2259CE45" w14:textId="77777777" w:rsidR="00B62F32" w:rsidRPr="005E3E65" w:rsidRDefault="00B62F32" w:rsidP="005E3E65">
      <w:pPr>
        <w:autoSpaceDE w:val="0"/>
        <w:autoSpaceDN w:val="0"/>
        <w:adjustRightInd w:val="0"/>
        <w:ind w:left="10"/>
        <w:rPr>
          <w:b/>
          <w:sz w:val="22"/>
          <w:szCs w:val="22"/>
        </w:rPr>
      </w:pPr>
    </w:p>
    <w:p w14:paraId="6A4AF239" w14:textId="77777777" w:rsidR="000C1755" w:rsidRPr="005E3E65" w:rsidRDefault="000C1755" w:rsidP="005E3E65">
      <w:pPr>
        <w:numPr>
          <w:ilvl w:val="1"/>
          <w:numId w:val="18"/>
        </w:numPr>
        <w:tabs>
          <w:tab w:val="num" w:pos="567"/>
        </w:tabs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Dávkovanie a spôsob podávania</w:t>
      </w:r>
    </w:p>
    <w:p w14:paraId="583B67A5" w14:textId="77777777" w:rsidR="005E3E65" w:rsidRDefault="005E3E65" w:rsidP="005E3E65">
      <w:pPr>
        <w:widowControl/>
        <w:rPr>
          <w:sz w:val="22"/>
          <w:szCs w:val="22"/>
        </w:rPr>
      </w:pPr>
    </w:p>
    <w:p w14:paraId="7A041734" w14:textId="77777777" w:rsidR="000C1755" w:rsidRPr="005E3E65" w:rsidRDefault="00081842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Metronidazole </w:t>
      </w:r>
      <w:r w:rsidR="000C1755" w:rsidRPr="005E3E65">
        <w:rPr>
          <w:sz w:val="22"/>
          <w:szCs w:val="22"/>
        </w:rPr>
        <w:t>0.5%</w:t>
      </w:r>
      <w:r w:rsidR="0016314B" w:rsidRPr="005E3E65">
        <w:rPr>
          <w:sz w:val="22"/>
          <w:szCs w:val="22"/>
        </w:rPr>
        <w:t xml:space="preserve"> - </w:t>
      </w:r>
      <w:r w:rsidRPr="005E3E65">
        <w:rPr>
          <w:sz w:val="22"/>
          <w:szCs w:val="22"/>
        </w:rPr>
        <w:t xml:space="preserve">Polpharma </w:t>
      </w:r>
      <w:r w:rsidR="000C1755" w:rsidRPr="005E3E65">
        <w:rPr>
          <w:sz w:val="22"/>
          <w:szCs w:val="22"/>
        </w:rPr>
        <w:t>sa podáva iba formou pomalej intravenóznej infúzie. Prípravok je určený pre hospitalizovaných pacientov.</w:t>
      </w:r>
    </w:p>
    <w:p w14:paraId="09FB262C" w14:textId="77777777" w:rsidR="000C1755" w:rsidRPr="005E3E65" w:rsidRDefault="000C1755" w:rsidP="005E3E65">
      <w:pPr>
        <w:autoSpaceDE w:val="0"/>
        <w:autoSpaceDN w:val="0"/>
        <w:adjustRightInd w:val="0"/>
        <w:ind w:left="15"/>
        <w:rPr>
          <w:sz w:val="22"/>
          <w:szCs w:val="22"/>
        </w:rPr>
      </w:pPr>
      <w:r w:rsidRPr="005E3E65">
        <w:rPr>
          <w:sz w:val="22"/>
          <w:szCs w:val="22"/>
        </w:rPr>
        <w:t>Tento spôsob podania je zvlášť' účinný pri vážnych stavoch u chirurgických pacientov, ktorým sa podáva:</w:t>
      </w:r>
    </w:p>
    <w:p w14:paraId="02F41844" w14:textId="77777777" w:rsidR="000C1755" w:rsidRPr="005E3E65" w:rsidRDefault="000C1755" w:rsidP="001A7105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E3E65">
        <w:rPr>
          <w:sz w:val="22"/>
          <w:szCs w:val="22"/>
        </w:rPr>
        <w:t>pred operáciou pri známkach septického stavu spôsobeného anaeróbmi</w:t>
      </w:r>
    </w:p>
    <w:p w14:paraId="6953979B" w14:textId="77777777" w:rsidR="000C1755" w:rsidRPr="005E3E65" w:rsidRDefault="000C1755" w:rsidP="001A7105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E3E65">
        <w:rPr>
          <w:sz w:val="22"/>
          <w:szCs w:val="22"/>
        </w:rPr>
        <w:t>v priebehu operácie, pri ktorej je možná kontaminácia anaeróbmi z gastrointestinálneho traktu, ženského genitálu alebo orofaryngu.</w:t>
      </w:r>
    </w:p>
    <w:p w14:paraId="46EC0A46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</w:p>
    <w:p w14:paraId="6852FEA9" w14:textId="77777777" w:rsidR="006700C5" w:rsidRDefault="006700C5" w:rsidP="006700C5">
      <w:pPr>
        <w:widowControl/>
        <w:rPr>
          <w:b/>
          <w:i/>
          <w:sz w:val="22"/>
          <w:szCs w:val="22"/>
          <w:u w:val="single"/>
        </w:rPr>
      </w:pPr>
      <w:r w:rsidRPr="00633101">
        <w:rPr>
          <w:b/>
          <w:i/>
          <w:sz w:val="22"/>
          <w:szCs w:val="22"/>
          <w:u w:val="single"/>
        </w:rPr>
        <w:t>Anaeróbne infekcie</w:t>
      </w:r>
    </w:p>
    <w:p w14:paraId="5300946D" w14:textId="77777777" w:rsidR="006700C5" w:rsidRDefault="006700C5" w:rsidP="006700C5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>Deti mladšie ako 8 týždňov</w:t>
      </w:r>
      <w:r w:rsidR="000342A7">
        <w:rPr>
          <w:i/>
          <w:sz w:val="22"/>
          <w:szCs w:val="22"/>
        </w:rPr>
        <w:t>:</w:t>
      </w:r>
    </w:p>
    <w:p w14:paraId="584AFD2D" w14:textId="77777777" w:rsidR="006700C5" w:rsidRPr="00EA2B13" w:rsidRDefault="006700C5" w:rsidP="006700C5">
      <w:pPr>
        <w:widowControl/>
        <w:rPr>
          <w:sz w:val="22"/>
          <w:szCs w:val="22"/>
        </w:rPr>
      </w:pPr>
      <w:r w:rsidRPr="00EA2B13">
        <w:rPr>
          <w:sz w:val="22"/>
          <w:szCs w:val="22"/>
        </w:rPr>
        <w:t>15 mg/kg ako jednorazová denná dávka alebo rozdele</w:t>
      </w:r>
      <w:r>
        <w:rPr>
          <w:sz w:val="22"/>
          <w:szCs w:val="22"/>
        </w:rPr>
        <w:t>ná</w:t>
      </w:r>
      <w:r w:rsidRPr="00EA2B13">
        <w:rPr>
          <w:sz w:val="22"/>
          <w:szCs w:val="22"/>
        </w:rPr>
        <w:t xml:space="preserve"> na 7,5 mg/kg každých 12 hodín.</w:t>
      </w:r>
    </w:p>
    <w:p w14:paraId="4FDF908C" w14:textId="77777777" w:rsidR="006700C5" w:rsidRPr="00EA2B13" w:rsidRDefault="006700C5" w:rsidP="009079E8">
      <w:pPr>
        <w:widowControl/>
        <w:rPr>
          <w:sz w:val="22"/>
          <w:szCs w:val="22"/>
        </w:rPr>
      </w:pPr>
      <w:r w:rsidRPr="00EA2B13">
        <w:rPr>
          <w:sz w:val="22"/>
          <w:szCs w:val="22"/>
        </w:rPr>
        <w:t xml:space="preserve">U novorodencov s gestáciou menej ako 40 týždňov sa počas prvého týždňa života môže </w:t>
      </w:r>
      <w:r>
        <w:rPr>
          <w:sz w:val="22"/>
          <w:szCs w:val="22"/>
        </w:rPr>
        <w:t>objaviť akumulácia metronidazolu,</w:t>
      </w:r>
      <w:r w:rsidRPr="00EA2B13">
        <w:rPr>
          <w:sz w:val="22"/>
          <w:szCs w:val="22"/>
        </w:rPr>
        <w:t xml:space="preserve"> preto</w:t>
      </w:r>
      <w:r>
        <w:rPr>
          <w:sz w:val="22"/>
          <w:szCs w:val="22"/>
        </w:rPr>
        <w:t xml:space="preserve"> </w:t>
      </w:r>
      <w:r w:rsidR="004F13EA" w:rsidRPr="00EA2B13">
        <w:rPr>
          <w:sz w:val="22"/>
          <w:szCs w:val="22"/>
        </w:rPr>
        <w:t xml:space="preserve">je potrebné kontrolovať </w:t>
      </w:r>
      <w:r w:rsidRPr="00EA2B13">
        <w:rPr>
          <w:sz w:val="22"/>
          <w:szCs w:val="22"/>
        </w:rPr>
        <w:t>koncentrácie metronidazolu v sére počas prvých dní liečby.</w:t>
      </w:r>
    </w:p>
    <w:p w14:paraId="4EB92599" w14:textId="77777777" w:rsidR="006700C5" w:rsidRDefault="006700C5" w:rsidP="006700C5">
      <w:pPr>
        <w:widowControl/>
        <w:rPr>
          <w:i/>
          <w:sz w:val="22"/>
          <w:szCs w:val="22"/>
        </w:rPr>
      </w:pPr>
    </w:p>
    <w:p w14:paraId="2FE43726" w14:textId="77777777" w:rsidR="006700C5" w:rsidRDefault="006700C5" w:rsidP="009079E8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>Deti staršie ako 8 týždňov a mladšie ako 12 rokov</w:t>
      </w:r>
      <w:r w:rsidR="000342A7">
        <w:rPr>
          <w:i/>
          <w:sz w:val="22"/>
          <w:szCs w:val="22"/>
        </w:rPr>
        <w:t>:</w:t>
      </w:r>
    </w:p>
    <w:p w14:paraId="61247B1A" w14:textId="77777777" w:rsidR="006700C5" w:rsidRDefault="006700C5" w:rsidP="006700C5">
      <w:pPr>
        <w:widowControl/>
        <w:rPr>
          <w:sz w:val="22"/>
          <w:szCs w:val="22"/>
        </w:rPr>
      </w:pPr>
      <w:r w:rsidRPr="00EA2B13">
        <w:rPr>
          <w:sz w:val="22"/>
          <w:szCs w:val="22"/>
        </w:rPr>
        <w:t xml:space="preserve">Obvyklá denná dávka je 20-30 mg/kg/deň podávaná ako jednorazová dávka alebo rozdelená na 7,5 mg/kg </w:t>
      </w:r>
      <w:r w:rsidRPr="005F095C">
        <w:rPr>
          <w:sz w:val="22"/>
          <w:szCs w:val="22"/>
        </w:rPr>
        <w:t xml:space="preserve">každých 8 hodín. </w:t>
      </w:r>
      <w:r w:rsidR="00B37987" w:rsidRPr="005F095C">
        <w:rPr>
          <w:sz w:val="22"/>
          <w:szCs w:val="22"/>
        </w:rPr>
        <w:t>Denná dávka sa môže zvýšiť do 40 mg/kg</w:t>
      </w:r>
      <w:r w:rsidRPr="005F095C">
        <w:rPr>
          <w:sz w:val="22"/>
          <w:szCs w:val="22"/>
        </w:rPr>
        <w:t>, v závislosti od závažnosti infekcie. Dĺžka liečby je obvykle 7 dní.</w:t>
      </w:r>
    </w:p>
    <w:p w14:paraId="4F938D87" w14:textId="77777777" w:rsidR="006700C5" w:rsidRDefault="006700C5" w:rsidP="005E3E65">
      <w:pPr>
        <w:pStyle w:val="Nadpis9"/>
        <w:keepNext w:val="0"/>
        <w:rPr>
          <w:rFonts w:ascii="Times New Roman" w:hAnsi="Times New Roman" w:cs="Times New Roman"/>
          <w:szCs w:val="22"/>
          <w:u w:val="single"/>
        </w:rPr>
      </w:pPr>
    </w:p>
    <w:p w14:paraId="6AA96243" w14:textId="77777777" w:rsidR="000C1755" w:rsidRPr="005F095C" w:rsidRDefault="000C1755" w:rsidP="005E3E65">
      <w:pPr>
        <w:pStyle w:val="Nadpis9"/>
        <w:keepNext w:val="0"/>
        <w:rPr>
          <w:rFonts w:ascii="Times New Roman" w:hAnsi="Times New Roman" w:cs="Times New Roman"/>
          <w:szCs w:val="22"/>
        </w:rPr>
      </w:pPr>
      <w:r w:rsidRPr="005F095C">
        <w:rPr>
          <w:rFonts w:ascii="Times New Roman" w:hAnsi="Times New Roman" w:cs="Times New Roman"/>
          <w:szCs w:val="22"/>
        </w:rPr>
        <w:t>Dospelí a deti staršie ako 12 rokov</w:t>
      </w:r>
      <w:r w:rsidR="000342A7" w:rsidRPr="005F095C">
        <w:rPr>
          <w:rFonts w:ascii="Times New Roman" w:hAnsi="Times New Roman" w:cs="Times New Roman"/>
          <w:szCs w:val="22"/>
        </w:rPr>
        <w:t>:</w:t>
      </w:r>
    </w:p>
    <w:p w14:paraId="7F2B8598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100 ml 0.5% roztoku metronidazolu (500 mg metronidazolu) vo forme intravenóznej infúzie, každých 8 hodín, rýchlosťou 5 ml/min.</w:t>
      </w:r>
    </w:p>
    <w:p w14:paraId="43B10F94" w14:textId="77777777" w:rsidR="000C1755" w:rsidRPr="005E3E65" w:rsidRDefault="000C1755" w:rsidP="005E3E65">
      <w:pPr>
        <w:autoSpaceDE w:val="0"/>
        <w:autoSpaceDN w:val="0"/>
        <w:adjustRightInd w:val="0"/>
        <w:ind w:left="20"/>
        <w:rPr>
          <w:sz w:val="22"/>
          <w:szCs w:val="22"/>
        </w:rPr>
      </w:pPr>
      <w:r w:rsidRPr="005E3E65">
        <w:rPr>
          <w:sz w:val="22"/>
          <w:szCs w:val="22"/>
        </w:rPr>
        <w:t>Maximálna intravenózna denná dávka metronidazolu pre dospelých je 4 g. Liek sa najčastejšie podáva 7 dní, aj keď niektoré prípady (oblasti nedostupné drenáži, nová kontaminácia) si vyžadujú dlhšiu liečbu.</w:t>
      </w:r>
    </w:p>
    <w:p w14:paraId="7AAF883D" w14:textId="77777777" w:rsidR="00C629C8" w:rsidRDefault="00C629C8" w:rsidP="00C629C8">
      <w:pPr>
        <w:widowControl/>
        <w:rPr>
          <w:sz w:val="22"/>
          <w:szCs w:val="22"/>
        </w:rPr>
      </w:pPr>
    </w:p>
    <w:p w14:paraId="3B0A8672" w14:textId="77777777" w:rsidR="00C629C8" w:rsidRPr="001D191D" w:rsidRDefault="00C629C8" w:rsidP="00C629C8">
      <w:pPr>
        <w:widowControl/>
        <w:rPr>
          <w:b/>
          <w:i/>
          <w:sz w:val="22"/>
          <w:szCs w:val="22"/>
        </w:rPr>
      </w:pPr>
      <w:r w:rsidRPr="001D191D">
        <w:rPr>
          <w:b/>
          <w:i/>
          <w:sz w:val="22"/>
          <w:szCs w:val="22"/>
        </w:rPr>
        <w:t>Bakteriálna vaginóza:</w:t>
      </w:r>
    </w:p>
    <w:p w14:paraId="1DD487AD" w14:textId="77777777" w:rsidR="006700C5" w:rsidRDefault="006700C5" w:rsidP="00C629C8">
      <w:pPr>
        <w:widowControl/>
        <w:rPr>
          <w:sz w:val="22"/>
          <w:szCs w:val="22"/>
        </w:rPr>
      </w:pPr>
      <w:r w:rsidRPr="00F26C1E">
        <w:rPr>
          <w:i/>
          <w:sz w:val="22"/>
          <w:szCs w:val="22"/>
        </w:rPr>
        <w:t>Dospievajúci</w:t>
      </w:r>
      <w:r w:rsidR="00D866C3">
        <w:rPr>
          <w:i/>
          <w:sz w:val="22"/>
          <w:szCs w:val="22"/>
        </w:rPr>
        <w:t xml:space="preserve"> (12-17 rokov)</w:t>
      </w:r>
      <w:r w:rsidRPr="00F26C1E"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7D65BD87" w14:textId="77777777" w:rsidR="00C629C8" w:rsidRDefault="00D866C3" w:rsidP="00C629C8">
      <w:pPr>
        <w:widowControl/>
        <w:rPr>
          <w:sz w:val="22"/>
          <w:szCs w:val="22"/>
        </w:rPr>
      </w:pPr>
      <w:r>
        <w:rPr>
          <w:sz w:val="22"/>
          <w:szCs w:val="22"/>
        </w:rPr>
        <w:t>5</w:t>
      </w:r>
      <w:r w:rsidR="00C629C8">
        <w:rPr>
          <w:sz w:val="22"/>
          <w:szCs w:val="22"/>
        </w:rPr>
        <w:t>00 mg dvakrát denne počas 5-7 dní alebo 2000 mg ako jednorazová dávka.</w:t>
      </w:r>
    </w:p>
    <w:p w14:paraId="4324E166" w14:textId="77777777" w:rsidR="007C2A7E" w:rsidRDefault="007C2A7E" w:rsidP="007C2A7E">
      <w:pPr>
        <w:rPr>
          <w:sz w:val="22"/>
          <w:szCs w:val="22"/>
        </w:rPr>
      </w:pPr>
      <w:r>
        <w:rPr>
          <w:i/>
          <w:sz w:val="22"/>
          <w:szCs w:val="22"/>
        </w:rPr>
        <w:t>Dospelí</w:t>
      </w:r>
      <w:r w:rsidRPr="00F26C1E"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78E7DB8B" w14:textId="77777777" w:rsidR="00C629C8" w:rsidRDefault="007C2A7E" w:rsidP="007C2A7E">
      <w:pPr>
        <w:widowControl/>
        <w:rPr>
          <w:sz w:val="22"/>
          <w:szCs w:val="22"/>
        </w:rPr>
      </w:pPr>
      <w:r>
        <w:rPr>
          <w:sz w:val="22"/>
          <w:szCs w:val="22"/>
        </w:rPr>
        <w:t>500 mg dvakrát denne počas 7 dní alebo 2000 mg ako jednorazová dávka</w:t>
      </w:r>
    </w:p>
    <w:p w14:paraId="71DE6D5D" w14:textId="77777777" w:rsidR="007C2A7E" w:rsidRDefault="007C2A7E" w:rsidP="007C2A7E">
      <w:pPr>
        <w:widowControl/>
        <w:rPr>
          <w:sz w:val="22"/>
          <w:szCs w:val="22"/>
        </w:rPr>
      </w:pPr>
    </w:p>
    <w:p w14:paraId="7D166B03" w14:textId="77777777" w:rsidR="00C629C8" w:rsidRPr="001D191D" w:rsidRDefault="00C629C8" w:rsidP="00C629C8">
      <w:pPr>
        <w:widowControl/>
        <w:rPr>
          <w:b/>
          <w:i/>
          <w:sz w:val="22"/>
          <w:szCs w:val="22"/>
        </w:rPr>
      </w:pPr>
      <w:r w:rsidRPr="001D191D">
        <w:rPr>
          <w:b/>
          <w:i/>
          <w:sz w:val="22"/>
          <w:szCs w:val="22"/>
        </w:rPr>
        <w:t>Profylaxia proti pooperačným infekciám spôsobených anaeróbnymi baktériami:</w:t>
      </w:r>
    </w:p>
    <w:p w14:paraId="60145763" w14:textId="77777777" w:rsidR="00C629C8" w:rsidRPr="00D45254" w:rsidRDefault="00C629C8" w:rsidP="00C629C8">
      <w:pPr>
        <w:widowControl/>
        <w:rPr>
          <w:i/>
          <w:sz w:val="22"/>
          <w:szCs w:val="22"/>
        </w:rPr>
      </w:pPr>
      <w:r w:rsidRPr="00D45254">
        <w:rPr>
          <w:i/>
          <w:sz w:val="22"/>
          <w:szCs w:val="22"/>
        </w:rPr>
        <w:t>Novorodenci s gestáciou menej ako 40 týždňo</w:t>
      </w:r>
      <w:r w:rsidR="0063439B">
        <w:rPr>
          <w:i/>
          <w:sz w:val="22"/>
          <w:szCs w:val="22"/>
        </w:rPr>
        <w:t>v</w:t>
      </w:r>
      <w:r w:rsidR="00D866C3">
        <w:rPr>
          <w:i/>
          <w:sz w:val="22"/>
          <w:szCs w:val="22"/>
        </w:rPr>
        <w:t>:</w:t>
      </w:r>
    </w:p>
    <w:p w14:paraId="07695034" w14:textId="77777777" w:rsidR="00C629C8" w:rsidRDefault="00C629C8" w:rsidP="00C629C8">
      <w:pPr>
        <w:widowControl/>
        <w:rPr>
          <w:sz w:val="22"/>
          <w:szCs w:val="22"/>
        </w:rPr>
      </w:pPr>
      <w:r>
        <w:rPr>
          <w:sz w:val="22"/>
          <w:szCs w:val="22"/>
        </w:rPr>
        <w:t>10 mg/kg telesnej hmotnosti ako jednorazová dávka pred operáciou.</w:t>
      </w:r>
    </w:p>
    <w:p w14:paraId="6E368932" w14:textId="77777777" w:rsidR="00C629C8" w:rsidRDefault="00C629C8" w:rsidP="00C629C8">
      <w:pPr>
        <w:widowControl/>
        <w:rPr>
          <w:sz w:val="22"/>
          <w:szCs w:val="22"/>
        </w:rPr>
      </w:pPr>
    </w:p>
    <w:p w14:paraId="3D3A26BF" w14:textId="77777777" w:rsidR="00C629C8" w:rsidRPr="001D191D" w:rsidRDefault="00C629C8" w:rsidP="00C629C8">
      <w:pPr>
        <w:widowControl/>
        <w:rPr>
          <w:i/>
          <w:sz w:val="22"/>
          <w:szCs w:val="22"/>
        </w:rPr>
      </w:pPr>
      <w:r w:rsidRPr="001D191D">
        <w:rPr>
          <w:i/>
          <w:sz w:val="22"/>
          <w:szCs w:val="22"/>
        </w:rPr>
        <w:t>Deti mladšie ako 12 rokov</w:t>
      </w:r>
      <w:r w:rsidR="000342A7">
        <w:rPr>
          <w:i/>
          <w:sz w:val="22"/>
          <w:szCs w:val="22"/>
        </w:rPr>
        <w:t>:</w:t>
      </w:r>
    </w:p>
    <w:p w14:paraId="7AED304B" w14:textId="77777777" w:rsidR="00C629C8" w:rsidRDefault="00C629C8" w:rsidP="00C629C8">
      <w:pPr>
        <w:widowControl/>
        <w:rPr>
          <w:sz w:val="22"/>
          <w:szCs w:val="22"/>
        </w:rPr>
      </w:pPr>
      <w:r>
        <w:rPr>
          <w:sz w:val="22"/>
          <w:szCs w:val="22"/>
        </w:rPr>
        <w:t>20-30 mg/kg ako jednorazová dávka podaná 1-2 hodiny pred chirurgickým zákrokom.</w:t>
      </w:r>
    </w:p>
    <w:p w14:paraId="7862B550" w14:textId="77777777" w:rsidR="00C629C8" w:rsidRDefault="00C629C8" w:rsidP="00C629C8">
      <w:pPr>
        <w:widowControl/>
        <w:rPr>
          <w:sz w:val="22"/>
          <w:szCs w:val="22"/>
        </w:rPr>
      </w:pPr>
    </w:p>
    <w:p w14:paraId="7DD2B8DE" w14:textId="77777777" w:rsidR="00D45254" w:rsidRPr="005F095C" w:rsidRDefault="00D45254" w:rsidP="00D45254">
      <w:pPr>
        <w:pStyle w:val="Zkladntext"/>
        <w:widowControl/>
        <w:rPr>
          <w:i/>
          <w:sz w:val="22"/>
          <w:szCs w:val="22"/>
        </w:rPr>
      </w:pPr>
      <w:r w:rsidRPr="005F095C">
        <w:rPr>
          <w:i/>
          <w:sz w:val="22"/>
          <w:szCs w:val="22"/>
        </w:rPr>
        <w:t>Dospelí a deti staršie ako 12 rokov</w:t>
      </w:r>
      <w:r w:rsidR="000342A7" w:rsidRPr="005F095C">
        <w:rPr>
          <w:i/>
          <w:sz w:val="22"/>
          <w:szCs w:val="22"/>
        </w:rPr>
        <w:t>:</w:t>
      </w:r>
    </w:p>
    <w:p w14:paraId="180B11C4" w14:textId="77777777" w:rsidR="00D45254" w:rsidRPr="005E3E65" w:rsidRDefault="00D45254" w:rsidP="00D45254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>100 ml 0.5% roztoku metronidazolu (500 mg metronidazolu) intravenózne v pomalej kvapkovej infúzii bezprostredne pred operáciou (podľa dĺžky jej trvania). Ďalej sa rovnaké dávky 0.5% roztoku metronidazolu môžu opakovať každých 8 hodín.</w:t>
      </w:r>
    </w:p>
    <w:p w14:paraId="7BB53C14" w14:textId="77777777" w:rsidR="00D45254" w:rsidRDefault="00D45254" w:rsidP="00C629C8">
      <w:pPr>
        <w:widowControl/>
        <w:rPr>
          <w:sz w:val="22"/>
          <w:szCs w:val="22"/>
        </w:rPr>
      </w:pPr>
    </w:p>
    <w:p w14:paraId="72CECE16" w14:textId="77777777" w:rsidR="007C2A7E" w:rsidRPr="00202C49" w:rsidRDefault="007C2A7E" w:rsidP="007C2A7E">
      <w:pPr>
        <w:rPr>
          <w:b/>
          <w:i/>
          <w:sz w:val="22"/>
          <w:szCs w:val="22"/>
        </w:rPr>
      </w:pPr>
      <w:r w:rsidRPr="00202C49">
        <w:rPr>
          <w:b/>
          <w:i/>
          <w:sz w:val="22"/>
          <w:szCs w:val="22"/>
        </w:rPr>
        <w:t>Urogenitálna trichomoniáza</w:t>
      </w:r>
    </w:p>
    <w:p w14:paraId="02C527E5" w14:textId="77777777" w:rsidR="007C2A7E" w:rsidRPr="00DC521F" w:rsidRDefault="007C2A7E" w:rsidP="007C2A7E">
      <w:pPr>
        <w:rPr>
          <w:i/>
          <w:sz w:val="22"/>
          <w:szCs w:val="22"/>
        </w:rPr>
      </w:pPr>
      <w:r w:rsidRPr="00DC521F">
        <w:rPr>
          <w:i/>
          <w:sz w:val="22"/>
          <w:szCs w:val="22"/>
        </w:rPr>
        <w:t>Deti mladšie ako 10 rokov:</w:t>
      </w:r>
    </w:p>
    <w:p w14:paraId="60982015" w14:textId="77777777" w:rsidR="007C2A7E" w:rsidRDefault="007C2A7E" w:rsidP="007C2A7E">
      <w:pPr>
        <w:rPr>
          <w:sz w:val="22"/>
          <w:szCs w:val="22"/>
        </w:rPr>
      </w:pPr>
      <w:r>
        <w:rPr>
          <w:sz w:val="22"/>
          <w:szCs w:val="22"/>
        </w:rPr>
        <w:t>40 mg/kg perorálne ako jednorazová dávka alebo 15-30 mg/kg/deň rozdelených do 2-3 dávok počas 7 dní; celková denná dávka nesmie prekročiť 2000 mg</w:t>
      </w:r>
    </w:p>
    <w:p w14:paraId="47139FB2" w14:textId="77777777" w:rsidR="007C2A7E" w:rsidRPr="00DC521F" w:rsidRDefault="007C2A7E" w:rsidP="007C2A7E">
      <w:pPr>
        <w:rPr>
          <w:i/>
          <w:sz w:val="22"/>
          <w:szCs w:val="22"/>
        </w:rPr>
      </w:pPr>
      <w:r w:rsidRPr="00DC521F">
        <w:rPr>
          <w:i/>
          <w:sz w:val="22"/>
          <w:szCs w:val="22"/>
        </w:rPr>
        <w:t>Dospelí a</w:t>
      </w:r>
      <w:r>
        <w:rPr>
          <w:i/>
          <w:sz w:val="22"/>
          <w:szCs w:val="22"/>
        </w:rPr>
        <w:t> </w:t>
      </w:r>
      <w:r w:rsidRPr="00C45107">
        <w:rPr>
          <w:i/>
          <w:sz w:val="22"/>
          <w:szCs w:val="22"/>
        </w:rPr>
        <w:t>dospievajúci</w:t>
      </w:r>
      <w:r>
        <w:rPr>
          <w:i/>
          <w:sz w:val="22"/>
          <w:szCs w:val="22"/>
        </w:rPr>
        <w:t xml:space="preserve"> ( od 10 rokov):</w:t>
      </w:r>
    </w:p>
    <w:p w14:paraId="56E246E1" w14:textId="77777777" w:rsidR="007C2A7E" w:rsidRDefault="007C2A7E" w:rsidP="007C2A7E">
      <w:pPr>
        <w:rPr>
          <w:sz w:val="22"/>
          <w:szCs w:val="22"/>
        </w:rPr>
      </w:pPr>
      <w:r>
        <w:rPr>
          <w:sz w:val="22"/>
          <w:szCs w:val="22"/>
        </w:rPr>
        <w:t xml:space="preserve">2000 mg ako jednorazová dávka alebo 250 mg </w:t>
      </w:r>
      <w:r w:rsidRPr="00A91F55">
        <w:rPr>
          <w:sz w:val="22"/>
          <w:szCs w:val="22"/>
        </w:rPr>
        <w:t>trikrát</w:t>
      </w:r>
      <w:r>
        <w:rPr>
          <w:sz w:val="22"/>
          <w:szCs w:val="22"/>
        </w:rPr>
        <w:t xml:space="preserve"> denne počas 7 dní, alebo  500 mg dvakrát denne počas 5-7 dní.</w:t>
      </w:r>
    </w:p>
    <w:p w14:paraId="41C61010" w14:textId="77777777" w:rsidR="007C2A7E" w:rsidRDefault="007C2A7E" w:rsidP="007C2A7E">
      <w:pPr>
        <w:rPr>
          <w:sz w:val="22"/>
          <w:szCs w:val="22"/>
        </w:rPr>
      </w:pPr>
    </w:p>
    <w:p w14:paraId="666305FC" w14:textId="77777777" w:rsidR="007C2A7E" w:rsidRDefault="007C2A7E" w:rsidP="007C2A7E">
      <w:pPr>
        <w:rPr>
          <w:sz w:val="22"/>
          <w:szCs w:val="22"/>
        </w:rPr>
      </w:pPr>
      <w:r>
        <w:rPr>
          <w:sz w:val="22"/>
          <w:szCs w:val="22"/>
        </w:rPr>
        <w:t>Kde je  pravdepodobnosť šírenia infekcie, u dospelých sa odporúča súbežne liečiť rovnakou dávkou aj partnera/partnerku.</w:t>
      </w:r>
    </w:p>
    <w:p w14:paraId="7FE97C05" w14:textId="77777777" w:rsidR="00C629C8" w:rsidRDefault="00C629C8" w:rsidP="00C629C8">
      <w:pPr>
        <w:widowControl/>
        <w:rPr>
          <w:sz w:val="22"/>
          <w:szCs w:val="22"/>
        </w:rPr>
      </w:pPr>
    </w:p>
    <w:p w14:paraId="3B47C61A" w14:textId="77777777" w:rsidR="00C629C8" w:rsidRDefault="00C629C8" w:rsidP="00C629C8">
      <w:pPr>
        <w:widowControl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Giardiáza:</w:t>
      </w:r>
    </w:p>
    <w:p w14:paraId="4B8797B4" w14:textId="77777777" w:rsidR="00C629C8" w:rsidRDefault="00C629C8" w:rsidP="00C629C8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 od 1 do 3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500 mg raz denne počas 3 dní</w:t>
      </w:r>
    </w:p>
    <w:p w14:paraId="2BD3C070" w14:textId="77777777" w:rsidR="00C629C8" w:rsidRDefault="00C629C8" w:rsidP="00C629C8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</w:t>
      </w:r>
      <w:r>
        <w:rPr>
          <w:i/>
          <w:sz w:val="22"/>
          <w:szCs w:val="22"/>
        </w:rPr>
        <w:t xml:space="preserve"> od 3 do 7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600 až 800 mg raz denne počas 3 dní</w:t>
      </w:r>
    </w:p>
    <w:p w14:paraId="758A5FAD" w14:textId="77777777" w:rsidR="00C629C8" w:rsidRDefault="00C629C8" w:rsidP="00C629C8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</w:t>
      </w:r>
      <w:r>
        <w:rPr>
          <w:i/>
          <w:sz w:val="22"/>
          <w:szCs w:val="22"/>
        </w:rPr>
        <w:t xml:space="preserve"> od 7 do 10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1000 mg raz denne počas 3 dní</w:t>
      </w:r>
    </w:p>
    <w:p w14:paraId="58856BA1" w14:textId="77777777" w:rsidR="00C629C8" w:rsidRDefault="00C629C8" w:rsidP="00C629C8">
      <w:pPr>
        <w:widowControl/>
        <w:rPr>
          <w:sz w:val="22"/>
          <w:szCs w:val="22"/>
        </w:rPr>
      </w:pPr>
      <w:r>
        <w:rPr>
          <w:i/>
          <w:sz w:val="22"/>
          <w:szCs w:val="22"/>
        </w:rPr>
        <w:t>Starší ako 10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2000 mg raz denne počas 3 dní alebo 400 mg trikrát denne počas 5 dní, alebo 500 mg dvakrát denne počas 7 až 10 dní.</w:t>
      </w:r>
    </w:p>
    <w:p w14:paraId="117EDC07" w14:textId="77777777" w:rsidR="00C629C8" w:rsidRDefault="00C629C8" w:rsidP="00C629C8">
      <w:pPr>
        <w:widowControl/>
        <w:rPr>
          <w:sz w:val="22"/>
          <w:szCs w:val="22"/>
        </w:rPr>
      </w:pPr>
    </w:p>
    <w:p w14:paraId="4ACBB888" w14:textId="77777777" w:rsidR="00C629C8" w:rsidRDefault="00C629C8" w:rsidP="00C629C8">
      <w:pPr>
        <w:widowControl/>
        <w:rPr>
          <w:sz w:val="22"/>
          <w:szCs w:val="22"/>
        </w:rPr>
      </w:pPr>
      <w:r>
        <w:rPr>
          <w:sz w:val="22"/>
          <w:szCs w:val="22"/>
        </w:rPr>
        <w:t>Alternatívne, vyjadrené v mg na kg telesnej hmotnosti:</w:t>
      </w:r>
    </w:p>
    <w:p w14:paraId="047317E5" w14:textId="77777777" w:rsidR="00C629C8" w:rsidRDefault="00C629C8" w:rsidP="00C629C8">
      <w:pPr>
        <w:widowControl/>
        <w:rPr>
          <w:sz w:val="22"/>
          <w:szCs w:val="22"/>
        </w:rPr>
      </w:pPr>
      <w:r>
        <w:rPr>
          <w:sz w:val="22"/>
          <w:szCs w:val="22"/>
        </w:rPr>
        <w:t>15 - 40 mg/kg/deň rozdelených do 2 až 3 dávok.</w:t>
      </w:r>
    </w:p>
    <w:p w14:paraId="4E68618A" w14:textId="77777777" w:rsidR="00C629C8" w:rsidRDefault="00C629C8" w:rsidP="00C629C8">
      <w:pPr>
        <w:widowControl/>
        <w:rPr>
          <w:sz w:val="22"/>
          <w:szCs w:val="22"/>
        </w:rPr>
      </w:pPr>
    </w:p>
    <w:p w14:paraId="1572D190" w14:textId="77777777" w:rsidR="00C629C8" w:rsidRPr="00F577BA" w:rsidRDefault="00C629C8" w:rsidP="00C629C8">
      <w:pPr>
        <w:widowControl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Amébiáza:</w:t>
      </w:r>
    </w:p>
    <w:p w14:paraId="70DE4066" w14:textId="77777777" w:rsidR="00C629C8" w:rsidRDefault="00C629C8" w:rsidP="00C629C8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 od 1 do 3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100 až 200 mg trikrát denne počas 5-10 dní</w:t>
      </w:r>
    </w:p>
    <w:p w14:paraId="19598703" w14:textId="77777777" w:rsidR="00C629C8" w:rsidRDefault="00C629C8" w:rsidP="00C629C8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</w:t>
      </w:r>
      <w:r>
        <w:rPr>
          <w:i/>
          <w:sz w:val="22"/>
          <w:szCs w:val="22"/>
        </w:rPr>
        <w:t xml:space="preserve"> od 3 do 7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100 až 200 mg štyrikrát denne počas 5-10 dní</w:t>
      </w:r>
    </w:p>
    <w:p w14:paraId="1A9D3E9B" w14:textId="77777777" w:rsidR="00C629C8" w:rsidRDefault="00C629C8" w:rsidP="00C629C8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</w:t>
      </w:r>
      <w:r>
        <w:rPr>
          <w:i/>
          <w:sz w:val="22"/>
          <w:szCs w:val="22"/>
        </w:rPr>
        <w:t xml:space="preserve"> od 7 do 10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200 až 400 mg trikrát denne počas 5-10 dní</w:t>
      </w:r>
    </w:p>
    <w:p w14:paraId="1D7782D9" w14:textId="77777777" w:rsidR="00C629C8" w:rsidRDefault="00C629C8" w:rsidP="00C629C8">
      <w:pPr>
        <w:widowControl/>
        <w:rPr>
          <w:sz w:val="22"/>
          <w:szCs w:val="22"/>
        </w:rPr>
      </w:pPr>
      <w:r>
        <w:rPr>
          <w:i/>
          <w:sz w:val="22"/>
          <w:szCs w:val="22"/>
        </w:rPr>
        <w:t>Starší ako 10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400 až 800 mg trikrát denne počas 5-10 dní</w:t>
      </w:r>
    </w:p>
    <w:p w14:paraId="0CE37DB3" w14:textId="77777777" w:rsidR="00C629C8" w:rsidRDefault="00C629C8" w:rsidP="00C629C8">
      <w:pPr>
        <w:widowControl/>
        <w:rPr>
          <w:sz w:val="22"/>
          <w:szCs w:val="22"/>
        </w:rPr>
      </w:pPr>
    </w:p>
    <w:p w14:paraId="0E59FEB8" w14:textId="77777777" w:rsidR="00C629C8" w:rsidRDefault="00C629C8" w:rsidP="00C629C8">
      <w:pPr>
        <w:widowControl/>
        <w:rPr>
          <w:sz w:val="22"/>
          <w:szCs w:val="22"/>
        </w:rPr>
      </w:pPr>
      <w:r>
        <w:rPr>
          <w:sz w:val="22"/>
          <w:szCs w:val="22"/>
        </w:rPr>
        <w:t>Alternatívne, dávka vyjadren</w:t>
      </w:r>
      <w:r w:rsidR="00C201F0">
        <w:rPr>
          <w:sz w:val="22"/>
          <w:szCs w:val="22"/>
        </w:rPr>
        <w:t>á</w:t>
      </w:r>
      <w:r>
        <w:rPr>
          <w:sz w:val="22"/>
          <w:szCs w:val="22"/>
        </w:rPr>
        <w:t xml:space="preserve"> v mg na kg telesnej hmotnosti:</w:t>
      </w:r>
    </w:p>
    <w:p w14:paraId="2D8D7F49" w14:textId="77777777" w:rsidR="00C629C8" w:rsidRDefault="00C629C8" w:rsidP="00C629C8">
      <w:pPr>
        <w:widowControl/>
        <w:rPr>
          <w:sz w:val="22"/>
          <w:szCs w:val="22"/>
        </w:rPr>
      </w:pPr>
      <w:r>
        <w:rPr>
          <w:sz w:val="22"/>
          <w:szCs w:val="22"/>
        </w:rPr>
        <w:t>35 až 50 mg/kg/deň rozdelených do 3 dávok</w:t>
      </w:r>
      <w:r w:rsidR="005A02C0">
        <w:rPr>
          <w:sz w:val="22"/>
          <w:szCs w:val="22"/>
        </w:rPr>
        <w:t>,</w:t>
      </w:r>
      <w:r>
        <w:rPr>
          <w:sz w:val="22"/>
          <w:szCs w:val="22"/>
        </w:rPr>
        <w:t xml:space="preserve"> počas 5 až 10 dní, celková</w:t>
      </w:r>
      <w:r w:rsidR="003E11B8">
        <w:rPr>
          <w:sz w:val="22"/>
          <w:szCs w:val="22"/>
        </w:rPr>
        <w:t xml:space="preserve"> dávka nesmie prekročiť 2400 </w:t>
      </w:r>
      <w:r>
        <w:rPr>
          <w:sz w:val="22"/>
          <w:szCs w:val="22"/>
        </w:rPr>
        <w:t>mg/deň.</w:t>
      </w:r>
    </w:p>
    <w:p w14:paraId="2858CDF7" w14:textId="77777777" w:rsidR="00C629C8" w:rsidRDefault="00C629C8" w:rsidP="00C629C8">
      <w:pPr>
        <w:widowControl/>
        <w:rPr>
          <w:sz w:val="22"/>
          <w:szCs w:val="22"/>
        </w:rPr>
      </w:pPr>
    </w:p>
    <w:p w14:paraId="71E24A47" w14:textId="77777777" w:rsidR="00C629C8" w:rsidRPr="00B6087B" w:rsidRDefault="00C629C8" w:rsidP="00C629C8">
      <w:pPr>
        <w:widowControl/>
        <w:rPr>
          <w:b/>
          <w:i/>
          <w:sz w:val="22"/>
          <w:szCs w:val="22"/>
        </w:rPr>
      </w:pPr>
      <w:r w:rsidRPr="00B6087B">
        <w:rPr>
          <w:b/>
          <w:i/>
          <w:sz w:val="22"/>
          <w:szCs w:val="22"/>
        </w:rPr>
        <w:t>Eradikácia Helicobacter pylori u detí:</w:t>
      </w:r>
    </w:p>
    <w:p w14:paraId="114885EC" w14:textId="77777777" w:rsidR="007C2A7E" w:rsidRPr="005E3E65" w:rsidRDefault="00C629C8" w:rsidP="005E3E65">
      <w:pPr>
        <w:widowControl/>
        <w:rPr>
          <w:sz w:val="22"/>
          <w:szCs w:val="22"/>
        </w:rPr>
      </w:pPr>
      <w:r>
        <w:rPr>
          <w:sz w:val="22"/>
          <w:szCs w:val="22"/>
        </w:rPr>
        <w:t>Ako súčasť kombinovanej liečby, 20 mg/kg/deň, dávka nesmie prekročiť 500 mg dvakrát denne počas 7</w:t>
      </w:r>
      <w:r w:rsidR="000342A7">
        <w:rPr>
          <w:sz w:val="22"/>
          <w:szCs w:val="22"/>
        </w:rPr>
        <w:noBreakHyphen/>
      </w:r>
      <w:r>
        <w:rPr>
          <w:sz w:val="22"/>
          <w:szCs w:val="22"/>
        </w:rPr>
        <w:t>14 dní. Pred začiatkom liečby treba prekonzultovať oficiálne postupy a odporúčania.</w:t>
      </w:r>
      <w:r w:rsidR="00B73DD6">
        <w:rPr>
          <w:sz w:val="22"/>
          <w:szCs w:val="22"/>
        </w:rPr>
        <w:t xml:space="preserve"> </w:t>
      </w:r>
      <w:r w:rsidR="007C2A7E">
        <w:rPr>
          <w:sz w:val="22"/>
          <w:szCs w:val="22"/>
        </w:rPr>
        <w:t xml:space="preserve">Rýchlosť infúzie by mala byť 5 ml za minútu. Intravenózne podávanie sa má prerušiť hneď, ako bude možná </w:t>
      </w:r>
      <w:r w:rsidR="00BF7CAE">
        <w:rPr>
          <w:sz w:val="22"/>
          <w:szCs w:val="22"/>
        </w:rPr>
        <w:t>substitučná</w:t>
      </w:r>
      <w:r w:rsidR="000B2166">
        <w:rPr>
          <w:sz w:val="22"/>
          <w:szCs w:val="22"/>
        </w:rPr>
        <w:t xml:space="preserve"> a</w:t>
      </w:r>
      <w:r w:rsidR="007C2A7E">
        <w:rPr>
          <w:sz w:val="22"/>
          <w:szCs w:val="22"/>
        </w:rPr>
        <w:t>lebo perorálna liečba</w:t>
      </w:r>
      <w:r w:rsidR="007C2A7E" w:rsidRPr="007C2A7E">
        <w:rPr>
          <w:sz w:val="22"/>
          <w:szCs w:val="22"/>
        </w:rPr>
        <w:t xml:space="preserve"> (u dospelých 400 mg dvakrát denne - u detí 7,5 mg / kg telesnej hmotnosti na liečbu a 3,7 až 7,5 mg / kg telesnej hmotnosti na prevenciu.)</w:t>
      </w:r>
      <w:r w:rsidR="007C2A7E">
        <w:rPr>
          <w:sz w:val="22"/>
          <w:szCs w:val="22"/>
        </w:rPr>
        <w:t xml:space="preserve"> V prípade detí s hmotnosťou nižšou</w:t>
      </w:r>
      <w:r w:rsidR="007C2A7E" w:rsidRPr="007C2A7E">
        <w:rPr>
          <w:sz w:val="22"/>
          <w:szCs w:val="22"/>
        </w:rPr>
        <w:t xml:space="preserve"> ako </w:t>
      </w:r>
      <w:r w:rsidR="007C2A7E">
        <w:rPr>
          <w:sz w:val="22"/>
          <w:szCs w:val="22"/>
        </w:rPr>
        <w:t xml:space="preserve">je obvyklá hmotnosť v ich </w:t>
      </w:r>
      <w:r w:rsidR="007C2A7E" w:rsidRPr="007C2A7E">
        <w:rPr>
          <w:sz w:val="22"/>
          <w:szCs w:val="22"/>
        </w:rPr>
        <w:t>vek</w:t>
      </w:r>
      <w:r w:rsidR="007C2A7E">
        <w:rPr>
          <w:sz w:val="22"/>
          <w:szCs w:val="22"/>
        </w:rPr>
        <w:t>u alebo u dojčia</w:t>
      </w:r>
      <w:r w:rsidR="002B6E38">
        <w:rPr>
          <w:sz w:val="22"/>
          <w:szCs w:val="22"/>
        </w:rPr>
        <w:t>t</w:t>
      </w:r>
      <w:r w:rsidR="007C2A7E" w:rsidRPr="007C2A7E">
        <w:rPr>
          <w:sz w:val="22"/>
          <w:szCs w:val="22"/>
        </w:rPr>
        <w:t xml:space="preserve"> s hmotnosťou nižšou ako 10 kg, </w:t>
      </w:r>
      <w:r w:rsidR="007C2A7E">
        <w:rPr>
          <w:sz w:val="22"/>
          <w:szCs w:val="22"/>
        </w:rPr>
        <w:t>sa má dávka metronidazolu proporcionálne</w:t>
      </w:r>
      <w:r w:rsidR="007C2A7E" w:rsidRPr="007C2A7E">
        <w:rPr>
          <w:sz w:val="22"/>
          <w:szCs w:val="22"/>
        </w:rPr>
        <w:t xml:space="preserve"> znížiť.</w:t>
      </w:r>
    </w:p>
    <w:p w14:paraId="26467997" w14:textId="77777777" w:rsidR="000C1755" w:rsidRPr="005E3E65" w:rsidRDefault="000C1755" w:rsidP="005E3E65">
      <w:pPr>
        <w:widowControl/>
        <w:rPr>
          <w:sz w:val="22"/>
          <w:szCs w:val="22"/>
        </w:rPr>
      </w:pPr>
    </w:p>
    <w:p w14:paraId="13B4952A" w14:textId="77777777" w:rsidR="000C1755" w:rsidRPr="005E3E65" w:rsidRDefault="000C1755" w:rsidP="005E3E65">
      <w:pPr>
        <w:pStyle w:val="Zkladntext"/>
        <w:widowControl/>
        <w:rPr>
          <w:b/>
          <w:i/>
          <w:sz w:val="22"/>
          <w:szCs w:val="22"/>
        </w:rPr>
      </w:pPr>
      <w:r w:rsidRPr="005E3E65">
        <w:rPr>
          <w:b/>
          <w:i/>
          <w:sz w:val="22"/>
          <w:szCs w:val="22"/>
        </w:rPr>
        <w:t>Podávanie u pacientov s pečeňovým zlyhaním:</w:t>
      </w:r>
    </w:p>
    <w:p w14:paraId="11CB15FF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>U pacientov so závažným pečeňovým zlyhaním sa dávka a frekvencia podávania musia upraviť.</w:t>
      </w:r>
    </w:p>
    <w:p w14:paraId="371791C8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>V sére sa musí sledovať hladina metronidazolu.</w:t>
      </w:r>
    </w:p>
    <w:p w14:paraId="1E407DB3" w14:textId="77777777" w:rsidR="007C2A7E" w:rsidRDefault="007C2A7E" w:rsidP="005E3E65">
      <w:pPr>
        <w:pStyle w:val="Zkladntext"/>
        <w:widowControl/>
        <w:rPr>
          <w:sz w:val="22"/>
          <w:szCs w:val="22"/>
        </w:rPr>
      </w:pPr>
    </w:p>
    <w:p w14:paraId="2B22FFEA" w14:textId="77777777" w:rsidR="000C1755" w:rsidRDefault="00C214CF" w:rsidP="005E3E65">
      <w:pPr>
        <w:pStyle w:val="Zkladntext"/>
        <w:widowControl/>
        <w:rPr>
          <w:sz w:val="22"/>
          <w:szCs w:val="22"/>
        </w:rPr>
      </w:pPr>
      <w:r w:rsidRPr="004A7238">
        <w:rPr>
          <w:sz w:val="22"/>
          <w:szCs w:val="22"/>
        </w:rPr>
        <w:t>Starší</w:t>
      </w:r>
      <w:r w:rsidR="007C2A7E" w:rsidRPr="004A7238">
        <w:rPr>
          <w:sz w:val="22"/>
          <w:szCs w:val="22"/>
        </w:rPr>
        <w:t xml:space="preserve"> pacienti: odporúča sa opatrnosť</w:t>
      </w:r>
      <w:r w:rsidR="00A873FF">
        <w:rPr>
          <w:sz w:val="22"/>
          <w:szCs w:val="22"/>
        </w:rPr>
        <w:t>, zvlášť pri vysokých dávkach. O úprave dávkovania nie sú k dispozícii informácie.</w:t>
      </w:r>
    </w:p>
    <w:p w14:paraId="78C07D36" w14:textId="77777777" w:rsidR="007C2A7E" w:rsidRPr="005E3E65" w:rsidRDefault="007C2A7E" w:rsidP="005E3E65">
      <w:pPr>
        <w:pStyle w:val="Zkladntext"/>
        <w:widowControl/>
        <w:rPr>
          <w:sz w:val="22"/>
          <w:szCs w:val="22"/>
        </w:rPr>
      </w:pPr>
    </w:p>
    <w:p w14:paraId="0B906C38" w14:textId="77777777" w:rsidR="000C1755" w:rsidRPr="005E3E65" w:rsidRDefault="000C1755" w:rsidP="005E3E65">
      <w:pPr>
        <w:pStyle w:val="Zkladntext"/>
        <w:widowControl/>
        <w:rPr>
          <w:b/>
          <w:i/>
          <w:sz w:val="22"/>
          <w:szCs w:val="22"/>
        </w:rPr>
      </w:pPr>
      <w:r w:rsidRPr="005E3E65">
        <w:rPr>
          <w:b/>
          <w:i/>
          <w:sz w:val="22"/>
          <w:szCs w:val="22"/>
        </w:rPr>
        <w:t xml:space="preserve">Spôsob podania: </w:t>
      </w:r>
    </w:p>
    <w:p w14:paraId="3E944D87" w14:textId="77777777" w:rsidR="000C1755" w:rsidRPr="005E3E65" w:rsidRDefault="00081842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Metronidazole </w:t>
      </w:r>
      <w:r w:rsidR="00C670D8" w:rsidRPr="005E3E65">
        <w:rPr>
          <w:sz w:val="22"/>
          <w:szCs w:val="22"/>
        </w:rPr>
        <w:t>0.</w:t>
      </w:r>
      <w:r w:rsidR="000C1755" w:rsidRPr="005E3E65">
        <w:rPr>
          <w:sz w:val="22"/>
          <w:szCs w:val="22"/>
        </w:rPr>
        <w:t>5%</w:t>
      </w:r>
      <w:r w:rsidR="0016314B" w:rsidRPr="005E3E65">
        <w:rPr>
          <w:sz w:val="22"/>
          <w:szCs w:val="22"/>
        </w:rPr>
        <w:t xml:space="preserve"> - </w:t>
      </w:r>
      <w:r w:rsidRPr="005E3E65">
        <w:rPr>
          <w:sz w:val="22"/>
          <w:szCs w:val="22"/>
        </w:rPr>
        <w:t>Polpharma</w:t>
      </w:r>
      <w:r w:rsidR="000C1755" w:rsidRPr="005E3E65">
        <w:rPr>
          <w:sz w:val="22"/>
          <w:szCs w:val="22"/>
        </w:rPr>
        <w:t>, v 100 ml polyetylénových vakoch je pripravený na priame použitie.</w:t>
      </w:r>
    </w:p>
    <w:p w14:paraId="5A6EFBD3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lastRenderedPageBreak/>
        <w:t xml:space="preserve">Vak sa po kontrole na tesnosť </w:t>
      </w:r>
      <w:r w:rsidR="002878AA" w:rsidRPr="005E3E65">
        <w:rPr>
          <w:sz w:val="22"/>
          <w:szCs w:val="22"/>
        </w:rPr>
        <w:t>po odlepení ochrannej fólie</w:t>
      </w:r>
      <w:r w:rsidR="008217E6" w:rsidRPr="005E3E65">
        <w:rPr>
          <w:sz w:val="22"/>
          <w:szCs w:val="22"/>
        </w:rPr>
        <w:t xml:space="preserve"> </w:t>
      </w:r>
      <w:r w:rsidRPr="005E3E65">
        <w:rPr>
          <w:sz w:val="22"/>
          <w:szCs w:val="22"/>
        </w:rPr>
        <w:t>musí spojiť s infúznou súpravou dvojcestnou ihlou.</w:t>
      </w:r>
    </w:p>
    <w:p w14:paraId="6EBFA7F0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>Zvyšný roztok po infúzii sa nesmie znova použiť.</w:t>
      </w:r>
    </w:p>
    <w:p w14:paraId="499A9DAB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>Prípravok sa nesmie použiť, ak sa objavia viditeľné zmeny v roztoku.</w:t>
      </w:r>
    </w:p>
    <w:p w14:paraId="4B9F9026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</w:p>
    <w:p w14:paraId="4369D247" w14:textId="77777777" w:rsidR="000C1755" w:rsidRPr="005E3E65" w:rsidRDefault="000C1755" w:rsidP="00C629C8">
      <w:pPr>
        <w:numPr>
          <w:ilvl w:val="1"/>
          <w:numId w:val="18"/>
        </w:numPr>
        <w:tabs>
          <w:tab w:val="num" w:pos="567"/>
        </w:tabs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Kontraindikácie</w:t>
      </w:r>
    </w:p>
    <w:p w14:paraId="4DB4CAC7" w14:textId="77777777" w:rsidR="005F095C" w:rsidRDefault="005F095C" w:rsidP="005E3E65">
      <w:pPr>
        <w:pStyle w:val="Zkladntext3"/>
        <w:widowControl/>
        <w:tabs>
          <w:tab w:val="left" w:pos="417"/>
        </w:tabs>
        <w:autoSpaceDE/>
        <w:autoSpaceDN/>
        <w:adjustRightInd/>
        <w:spacing w:before="0" w:line="240" w:lineRule="auto"/>
        <w:jc w:val="left"/>
        <w:rPr>
          <w:rFonts w:ascii="Times New Roman" w:hAnsi="Times New Roman"/>
        </w:rPr>
      </w:pPr>
    </w:p>
    <w:p w14:paraId="2BD41E18" w14:textId="77777777" w:rsidR="000C1755" w:rsidRPr="005E3E65" w:rsidRDefault="000C1755" w:rsidP="005E3E65">
      <w:pPr>
        <w:pStyle w:val="Zkladntext3"/>
        <w:widowControl/>
        <w:tabs>
          <w:tab w:val="left" w:pos="417"/>
        </w:tabs>
        <w:autoSpaceDE/>
        <w:autoSpaceDN/>
        <w:adjustRightInd/>
        <w:spacing w:before="0" w:line="240" w:lineRule="auto"/>
        <w:jc w:val="left"/>
        <w:rPr>
          <w:rFonts w:ascii="Times New Roman" w:hAnsi="Times New Roman"/>
        </w:rPr>
      </w:pPr>
      <w:r w:rsidRPr="005E3E65">
        <w:rPr>
          <w:rFonts w:ascii="Times New Roman" w:hAnsi="Times New Roman"/>
        </w:rPr>
        <w:t>Známa precitlivenosť na metronidazol</w:t>
      </w:r>
      <w:r w:rsidR="001F50FC">
        <w:rPr>
          <w:rFonts w:ascii="Times New Roman" w:hAnsi="Times New Roman"/>
        </w:rPr>
        <w:t>, na</w:t>
      </w:r>
      <w:r w:rsidRPr="005E3E65">
        <w:rPr>
          <w:rFonts w:ascii="Times New Roman" w:hAnsi="Times New Roman"/>
        </w:rPr>
        <w:t xml:space="preserve"> ostatné nitroimidazolové deriváty</w:t>
      </w:r>
      <w:r w:rsidR="001F50FC">
        <w:rPr>
          <w:rFonts w:ascii="Times New Roman" w:hAnsi="Times New Roman"/>
        </w:rPr>
        <w:t>, alebo na ktorúkoľvek z pomocných látok uvedených v časti 6.1</w:t>
      </w:r>
      <w:r w:rsidRPr="005E3E65">
        <w:rPr>
          <w:rFonts w:ascii="Times New Roman" w:hAnsi="Times New Roman"/>
        </w:rPr>
        <w:t>.</w:t>
      </w:r>
    </w:p>
    <w:p w14:paraId="0393447B" w14:textId="77777777" w:rsidR="000C1755" w:rsidRPr="005E3E65" w:rsidRDefault="000C1755" w:rsidP="005E3E65">
      <w:pPr>
        <w:widowControl/>
        <w:tabs>
          <w:tab w:val="left" w:pos="426"/>
        </w:tabs>
        <w:rPr>
          <w:sz w:val="22"/>
          <w:szCs w:val="22"/>
        </w:rPr>
      </w:pPr>
      <w:r w:rsidRPr="005E3E65">
        <w:rPr>
          <w:sz w:val="22"/>
          <w:szCs w:val="22"/>
        </w:rPr>
        <w:t>Prvý trimester gravidity, obdobie laktácie, a </w:t>
      </w:r>
      <w:r w:rsidR="00C306E8">
        <w:rPr>
          <w:sz w:val="22"/>
          <w:szCs w:val="22"/>
        </w:rPr>
        <w:t xml:space="preserve"> u pacientov s aktívnym alebo chronickým závažným ochorením centrálneho alebo periférneho nervového systému</w:t>
      </w:r>
      <w:r w:rsidRPr="005E3E65">
        <w:rPr>
          <w:sz w:val="22"/>
          <w:szCs w:val="22"/>
        </w:rPr>
        <w:t>.</w:t>
      </w:r>
    </w:p>
    <w:p w14:paraId="43B6DA48" w14:textId="77777777" w:rsidR="00F16008" w:rsidRPr="005E3E65" w:rsidRDefault="00F16008" w:rsidP="005E3E65">
      <w:pPr>
        <w:widowControl/>
        <w:tabs>
          <w:tab w:val="left" w:pos="426"/>
        </w:tabs>
        <w:rPr>
          <w:sz w:val="22"/>
          <w:szCs w:val="22"/>
        </w:rPr>
      </w:pPr>
    </w:p>
    <w:p w14:paraId="58E0CD74" w14:textId="77777777" w:rsidR="000C1755" w:rsidRPr="005E3E65" w:rsidRDefault="000C1755" w:rsidP="00C629C8">
      <w:pPr>
        <w:numPr>
          <w:ilvl w:val="1"/>
          <w:numId w:val="18"/>
        </w:numPr>
        <w:tabs>
          <w:tab w:val="num" w:pos="567"/>
        </w:tabs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Špeciálne upozornenia</w:t>
      </w:r>
    </w:p>
    <w:p w14:paraId="4336B80D" w14:textId="77777777" w:rsidR="005F095C" w:rsidRDefault="005F095C" w:rsidP="005E3E65">
      <w:pPr>
        <w:widowControl/>
        <w:tabs>
          <w:tab w:val="left" w:pos="567"/>
        </w:tabs>
        <w:rPr>
          <w:sz w:val="22"/>
          <w:szCs w:val="22"/>
        </w:rPr>
      </w:pPr>
    </w:p>
    <w:p w14:paraId="253FAD8E" w14:textId="77777777" w:rsidR="000C1755" w:rsidRPr="005E3E65" w:rsidRDefault="000C1755" w:rsidP="005E3E65">
      <w:pPr>
        <w:widowControl/>
        <w:tabs>
          <w:tab w:val="left" w:pos="567"/>
        </w:tabs>
        <w:rPr>
          <w:sz w:val="22"/>
          <w:szCs w:val="22"/>
        </w:rPr>
      </w:pPr>
      <w:r w:rsidRPr="00C7418E">
        <w:rPr>
          <w:sz w:val="22"/>
          <w:szCs w:val="22"/>
        </w:rPr>
        <w:t>Ak je liek podávaný dlhšie než 10 dní</w:t>
      </w:r>
      <w:r w:rsidRPr="005E3E65">
        <w:rPr>
          <w:sz w:val="22"/>
          <w:szCs w:val="22"/>
        </w:rPr>
        <w:t xml:space="preserve">, odporúča sa pravidelná klinická a biochemická kontrola. </w:t>
      </w:r>
    </w:p>
    <w:p w14:paraId="16F1EA78" w14:textId="77777777" w:rsidR="000C1755" w:rsidRPr="005E3E65" w:rsidRDefault="000C1755" w:rsidP="005E3E65">
      <w:pPr>
        <w:widowControl/>
        <w:tabs>
          <w:tab w:val="left" w:pos="567"/>
        </w:tabs>
        <w:rPr>
          <w:sz w:val="22"/>
          <w:szCs w:val="22"/>
        </w:rPr>
      </w:pPr>
      <w:r w:rsidRPr="005E3E65">
        <w:rPr>
          <w:sz w:val="22"/>
          <w:szCs w:val="22"/>
        </w:rPr>
        <w:t xml:space="preserve">Ak lekár odporučí podávanie prípravku po dobu dlhšiu, ako je odporučená, musí sa zvážiť pomer prospešnosti liečby k riziku možného výskytu periférnej neuropatie. </w:t>
      </w:r>
    </w:p>
    <w:p w14:paraId="59BCB4D1" w14:textId="77777777" w:rsidR="00A873FF" w:rsidRPr="004A7238" w:rsidRDefault="00A873FF" w:rsidP="005E3E65">
      <w:pPr>
        <w:widowControl/>
        <w:tabs>
          <w:tab w:val="left" w:pos="567"/>
        </w:tabs>
        <w:rPr>
          <w:sz w:val="22"/>
          <w:szCs w:val="22"/>
        </w:rPr>
      </w:pPr>
      <w:r w:rsidRPr="004A7238">
        <w:rPr>
          <w:sz w:val="22"/>
          <w:szCs w:val="22"/>
        </w:rPr>
        <w:t>U pacientov s renálnym zlyhaním ostáva polčas eliminácie metronidazolu nezmenený. Z tohto dôvodu nie je potrebná úprava dávkovania.</w:t>
      </w:r>
      <w:r w:rsidR="00A23366" w:rsidRPr="004A7238">
        <w:rPr>
          <w:sz w:val="22"/>
          <w:szCs w:val="22"/>
        </w:rPr>
        <w:t xml:space="preserve"> U týchto pacientov sa však zachovávajú metabolity metronidazolu. Klinický význam tohto zistenia je však v súčasnosti neznámy.</w:t>
      </w:r>
    </w:p>
    <w:p w14:paraId="37718ABF" w14:textId="77777777" w:rsidR="00C75CFA" w:rsidRPr="005E3E65" w:rsidRDefault="00C75CFA" w:rsidP="00C75CFA">
      <w:pPr>
        <w:widowControl/>
        <w:tabs>
          <w:tab w:val="left" w:pos="567"/>
        </w:tabs>
        <w:rPr>
          <w:sz w:val="22"/>
          <w:szCs w:val="22"/>
        </w:rPr>
      </w:pPr>
      <w:r w:rsidRPr="009324AB">
        <w:rPr>
          <w:sz w:val="22"/>
          <w:szCs w:val="22"/>
        </w:rPr>
        <w:t>U pacientov, ktorí podstupujú hemodialýzu, sa metronidazol a jeho metabolity efektívne odstránia po osemhodinovej dialýze. Preto je potrebné metronidazol podať opätovne hneď po hemodialýze</w:t>
      </w:r>
      <w:r w:rsidR="00FB0C34">
        <w:rPr>
          <w:sz w:val="22"/>
          <w:szCs w:val="22"/>
        </w:rPr>
        <w:t>.</w:t>
      </w:r>
    </w:p>
    <w:p w14:paraId="19E48C8B" w14:textId="77777777" w:rsidR="00C75CFA" w:rsidRPr="005E3E65" w:rsidRDefault="00510E0C" w:rsidP="005E3E65">
      <w:pPr>
        <w:widowControl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Peritoneálna dialýza</w:t>
      </w:r>
    </w:p>
    <w:p w14:paraId="6FF06B16" w14:textId="77777777" w:rsidR="00CB6884" w:rsidRPr="005F095C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 xml:space="preserve">Liek sa musí opatrne podávať </w:t>
      </w:r>
      <w:r w:rsidRPr="00C7418E">
        <w:rPr>
          <w:sz w:val="22"/>
          <w:szCs w:val="22"/>
        </w:rPr>
        <w:t>u pacientov so závažným hepatálnym ochorením</w:t>
      </w:r>
      <w:r w:rsidRPr="005E3E65">
        <w:rPr>
          <w:sz w:val="22"/>
          <w:szCs w:val="22"/>
        </w:rPr>
        <w:t xml:space="preserve">. U týchto pacientov sa metronidazol metabolizuje pomaly, výsledkom čoho je akumulácia lieku a jeho metabolitov v plazme. V týchto prípadoch treba podávať s opatrnosťou aj dávky nižšie, ako sa zvyčajne </w:t>
      </w:r>
      <w:r w:rsidRPr="005F095C">
        <w:rPr>
          <w:sz w:val="22"/>
          <w:szCs w:val="22"/>
        </w:rPr>
        <w:t>odporúčajú.</w:t>
      </w:r>
      <w:r w:rsidR="00B73DD6">
        <w:rPr>
          <w:sz w:val="22"/>
          <w:szCs w:val="22"/>
        </w:rPr>
        <w:t xml:space="preserve"> </w:t>
      </w:r>
      <w:r w:rsidR="00CB6884">
        <w:rPr>
          <w:sz w:val="22"/>
          <w:szCs w:val="22"/>
        </w:rPr>
        <w:t>V</w:t>
      </w:r>
      <w:r w:rsidR="00CB6884" w:rsidRPr="00CB6884">
        <w:rPr>
          <w:sz w:val="22"/>
          <w:szCs w:val="22"/>
        </w:rPr>
        <w:t>ysoké koncentrácie metronidazolu v plazme môžu prispieť k</w:t>
      </w:r>
      <w:r w:rsidR="00CB6884">
        <w:rPr>
          <w:sz w:val="22"/>
          <w:szCs w:val="22"/>
        </w:rPr>
        <w:t xml:space="preserve"> symptómom encefalopatie. </w:t>
      </w:r>
    </w:p>
    <w:p w14:paraId="75492CD7" w14:textId="77777777" w:rsidR="001F50FC" w:rsidRPr="005F095C" w:rsidRDefault="001F50FC" w:rsidP="002F14E2">
      <w:pPr>
        <w:tabs>
          <w:tab w:val="left" w:pos="0"/>
        </w:tabs>
        <w:autoSpaceDE w:val="0"/>
        <w:autoSpaceDN w:val="0"/>
        <w:adjustRightInd w:val="0"/>
        <w:rPr>
          <w:sz w:val="22"/>
          <w:szCs w:val="22"/>
          <w:lang w:val="es-ES_tradnl"/>
        </w:rPr>
      </w:pPr>
      <w:r w:rsidRPr="005F095C">
        <w:rPr>
          <w:sz w:val="22"/>
          <w:szCs w:val="22"/>
          <w:lang w:val="es-ES_tradnl"/>
        </w:rPr>
        <w:t>Metronidazol sa preto musí podávať s opatrn</w:t>
      </w:r>
      <w:r w:rsidR="005E1B89" w:rsidRPr="005F095C">
        <w:rPr>
          <w:sz w:val="22"/>
          <w:szCs w:val="22"/>
          <w:lang w:val="es-ES_tradnl"/>
        </w:rPr>
        <w:t>osoťu u pacientov s hepatálnou e</w:t>
      </w:r>
      <w:r w:rsidRPr="005F095C">
        <w:rPr>
          <w:sz w:val="22"/>
          <w:szCs w:val="22"/>
          <w:lang w:val="es-ES_tradnl"/>
        </w:rPr>
        <w:t>ncefalopatiou.</w:t>
      </w:r>
      <w:r w:rsidR="00E029D2" w:rsidRPr="00E029D2">
        <w:rPr>
          <w:sz w:val="22"/>
          <w:szCs w:val="22"/>
        </w:rPr>
        <w:t xml:space="preserve"> </w:t>
      </w:r>
      <w:r w:rsidR="00E029D2" w:rsidRPr="00CB6884">
        <w:rPr>
          <w:sz w:val="22"/>
          <w:szCs w:val="22"/>
        </w:rPr>
        <w:t>Denná dávka sa má znížiť na jednu tretinu a môže sa podávať raz denne.</w:t>
      </w:r>
    </w:p>
    <w:p w14:paraId="134A2C12" w14:textId="77777777" w:rsidR="00834018" w:rsidRPr="004A7238" w:rsidRDefault="00834018" w:rsidP="00834018">
      <w:pPr>
        <w:pStyle w:val="Default"/>
        <w:spacing w:after="140"/>
        <w:rPr>
          <w:rFonts w:ascii="Times New Roman" w:hAnsi="Times New Roman" w:cs="Times New Roman"/>
          <w:color w:val="auto"/>
          <w:sz w:val="22"/>
          <w:szCs w:val="22"/>
          <w:lang w:val="sk-SK" w:eastAsia="en-US"/>
        </w:rPr>
      </w:pPr>
      <w:r w:rsidRPr="004A7238">
        <w:rPr>
          <w:rFonts w:ascii="Times New Roman" w:hAnsi="Times New Roman" w:cs="Times New Roman"/>
          <w:color w:val="auto"/>
          <w:sz w:val="22"/>
          <w:szCs w:val="22"/>
          <w:lang w:val="sk-SK" w:eastAsia="en-US"/>
        </w:rPr>
        <w:t xml:space="preserve">Pri liekoch obsahujúcich metronidazol na systémové použitie boli hlásené prípady ťažkej hepatálnej toxicity/akútneho zlyhania pečene vrátane prípadov so smrteľnými následkami s veľmi rýchlym nástupom po začatí liečby u pacientov so syndrómom Cockayne. U tejto skupiny osôb sa má preto metronidazol použiť po starostlivom posúdení prínosov a rizík a iba v prípade, ak nie je dostupná alternatívna liečba. Pred začiatkom liečby, počas nej a po jej skončení sa musia vykonať pečeňové testy až kým nebude funkcia pečene v normálnom rozsahu alebo kým nebudú dosiahnuté východiskové hodnoty. Ak budú počas liečby pečeňové testy výrazne zvýšené, je potrebné liečbu ukončiť. </w:t>
      </w:r>
    </w:p>
    <w:p w14:paraId="1F895AAD" w14:textId="77777777" w:rsidR="002F14E2" w:rsidRDefault="00834018" w:rsidP="00834018">
      <w:pPr>
        <w:autoSpaceDE w:val="0"/>
        <w:autoSpaceDN w:val="0"/>
        <w:adjustRightInd w:val="0"/>
        <w:rPr>
          <w:sz w:val="22"/>
          <w:szCs w:val="22"/>
        </w:rPr>
      </w:pPr>
      <w:r w:rsidRPr="004A7238">
        <w:rPr>
          <w:sz w:val="22"/>
          <w:szCs w:val="22"/>
        </w:rPr>
        <w:t>Pacienti so syndrómom Cockayne musia byť upozornení na to, že akékoľvek príznaky možného poškodenia pečene musia nahlásiť svojmu lekárovi a musia prestať metronidazol užívať</w:t>
      </w:r>
      <w:r w:rsidR="006E3498">
        <w:rPr>
          <w:sz w:val="22"/>
          <w:szCs w:val="22"/>
        </w:rPr>
        <w:t>.</w:t>
      </w:r>
    </w:p>
    <w:p w14:paraId="736851CC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 xml:space="preserve">Podávanie roztokov, ktoré obsahujú sodíkové ióny, môže vyústiť do retencie sodíka. </w:t>
      </w:r>
    </w:p>
    <w:p w14:paraId="0416ECBC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 xml:space="preserve">Metronidazol sa musí podávať s opatrnosťou u pacientov súčasne dostávajúcich </w:t>
      </w:r>
      <w:r w:rsidRPr="004A7238">
        <w:rPr>
          <w:sz w:val="22"/>
          <w:szCs w:val="22"/>
        </w:rPr>
        <w:t>kortikosteroidy</w:t>
      </w:r>
      <w:r w:rsidRPr="005E3E65">
        <w:rPr>
          <w:sz w:val="22"/>
          <w:szCs w:val="22"/>
        </w:rPr>
        <w:t xml:space="preserve"> a u pacientov s predispozíciou k opuchom.</w:t>
      </w:r>
    </w:p>
    <w:p w14:paraId="7E8491E1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 xml:space="preserve">Počas terapie infúznym roztokom metronidazolu </w:t>
      </w:r>
      <w:r w:rsidRPr="004A7238">
        <w:rPr>
          <w:sz w:val="22"/>
          <w:szCs w:val="22"/>
        </w:rPr>
        <w:t>sa môže výraznejšie prejaviť známa alebo nerozpoznaná kandidóza. V týchto prípadoch sa vyžaduje zodpovedajúca liečba.</w:t>
      </w:r>
    </w:p>
    <w:p w14:paraId="3EDD5DAC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4A7238">
        <w:rPr>
          <w:sz w:val="22"/>
          <w:szCs w:val="22"/>
        </w:rPr>
        <w:t>Pacientom s potvrdenou krvnou dyskráziou</w:t>
      </w:r>
      <w:r w:rsidRPr="005E3E65">
        <w:rPr>
          <w:sz w:val="22"/>
          <w:szCs w:val="22"/>
        </w:rPr>
        <w:t xml:space="preserve"> alebo týmto stavom v anamnéze treba podávať metronidazol s opatrnosťou. Počas aplikácie prípravku sa pozorovala mierna </w:t>
      </w:r>
      <w:r w:rsidRPr="004A7238">
        <w:rPr>
          <w:sz w:val="22"/>
          <w:szCs w:val="22"/>
        </w:rPr>
        <w:t>leukopénia. Pred liečbou a po nej sa odporúča stanoviť počet leukocytov a diferenciálny krvný obraz.</w:t>
      </w:r>
    </w:p>
    <w:p w14:paraId="4D5F6FEB" w14:textId="77777777" w:rsidR="003E11B8" w:rsidRPr="005F095C" w:rsidRDefault="003E11B8" w:rsidP="003E11B8">
      <w:pPr>
        <w:rPr>
          <w:sz w:val="22"/>
          <w:szCs w:val="22"/>
        </w:rPr>
      </w:pPr>
      <w:r w:rsidRPr="005F095C">
        <w:rPr>
          <w:sz w:val="22"/>
          <w:szCs w:val="22"/>
        </w:rPr>
        <w:t xml:space="preserve">Aj po vyliečení </w:t>
      </w:r>
      <w:r w:rsidRPr="005F095C">
        <w:rPr>
          <w:i/>
          <w:iCs/>
          <w:sz w:val="22"/>
          <w:szCs w:val="22"/>
        </w:rPr>
        <w:t>Trichomonas vaginalis</w:t>
      </w:r>
      <w:r w:rsidRPr="005F095C">
        <w:rPr>
          <w:sz w:val="22"/>
          <w:szCs w:val="22"/>
        </w:rPr>
        <w:t xml:space="preserve"> môže pr</w:t>
      </w:r>
      <w:r w:rsidR="00B027B0" w:rsidRPr="005F095C">
        <w:rPr>
          <w:sz w:val="22"/>
          <w:szCs w:val="22"/>
        </w:rPr>
        <w:t>etrvávať gonokoková infekcia.</w:t>
      </w:r>
    </w:p>
    <w:p w14:paraId="61555B71" w14:textId="77777777" w:rsidR="003E11B8" w:rsidRPr="005F095C" w:rsidRDefault="003E11B8" w:rsidP="003E11B8">
      <w:pPr>
        <w:rPr>
          <w:sz w:val="22"/>
          <w:szCs w:val="22"/>
        </w:rPr>
      </w:pPr>
    </w:p>
    <w:p w14:paraId="22A1EC6C" w14:textId="77777777" w:rsidR="001F50FC" w:rsidRPr="005F095C" w:rsidRDefault="001F50FC" w:rsidP="001F50FC">
      <w:pPr>
        <w:rPr>
          <w:sz w:val="22"/>
          <w:szCs w:val="22"/>
        </w:rPr>
      </w:pPr>
      <w:r w:rsidRPr="005F095C">
        <w:rPr>
          <w:sz w:val="22"/>
          <w:szCs w:val="22"/>
        </w:rPr>
        <w:t>Metronidazol nemá priamy účinok proti aeróbnym alebo fakultatívne anaeróbnym baktériám.</w:t>
      </w:r>
    </w:p>
    <w:p w14:paraId="38F7B411" w14:textId="77777777" w:rsidR="003E11B8" w:rsidRPr="0032396D" w:rsidRDefault="003E11B8" w:rsidP="003E11B8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11C3B8EF" w14:textId="77777777" w:rsidR="001F50FC" w:rsidRPr="0032396D" w:rsidRDefault="001F50FC" w:rsidP="001F50FC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396D">
        <w:rPr>
          <w:rFonts w:ascii="Times New Roman" w:hAnsi="Times New Roman" w:cs="Times New Roman"/>
          <w:sz w:val="22"/>
          <w:szCs w:val="22"/>
          <w:lang w:val="sk-SK"/>
        </w:rPr>
        <w:lastRenderedPageBreak/>
        <w:t>Metronidazol sa musí podávať s opatrnosťou u pacientov s aktívnym alebo chronickým závažným ochorením per</w:t>
      </w:r>
      <w:r w:rsidR="006E3498" w:rsidRPr="0032396D">
        <w:rPr>
          <w:rFonts w:ascii="Times New Roman" w:hAnsi="Times New Roman" w:cs="Times New Roman"/>
          <w:sz w:val="22"/>
          <w:szCs w:val="22"/>
          <w:lang w:val="sk-SK"/>
        </w:rPr>
        <w:t>i</w:t>
      </w:r>
      <w:r w:rsidRPr="0032396D">
        <w:rPr>
          <w:rFonts w:ascii="Times New Roman" w:hAnsi="Times New Roman" w:cs="Times New Roman"/>
          <w:sz w:val="22"/>
          <w:szCs w:val="22"/>
          <w:lang w:val="sk-SK"/>
        </w:rPr>
        <w:t>férneho alebo centrálneho nervového systemu kvôli riziku neurologického zhoršenia.</w:t>
      </w:r>
    </w:p>
    <w:p w14:paraId="1C9A6A9D" w14:textId="77777777" w:rsidR="009079E8" w:rsidRPr="0032396D" w:rsidRDefault="009079E8" w:rsidP="003E11B8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6AF8CEF1" w14:textId="77777777" w:rsidR="001F50FC" w:rsidRPr="0032396D" w:rsidRDefault="001F50FC" w:rsidP="001F50FC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396D">
        <w:rPr>
          <w:rFonts w:ascii="Times New Roman" w:hAnsi="Times New Roman" w:cs="Times New Roman"/>
          <w:sz w:val="22"/>
          <w:szCs w:val="22"/>
          <w:lang w:val="sk-SK"/>
        </w:rPr>
        <w:t>Pacientov treba upozorniť, že metronidazol môže spôsobiť stmavnutie moču.</w:t>
      </w:r>
    </w:p>
    <w:p w14:paraId="6627DF72" w14:textId="77777777" w:rsidR="003E11B8" w:rsidRPr="005F095C" w:rsidRDefault="003E11B8" w:rsidP="003E11B8">
      <w:pPr>
        <w:rPr>
          <w:sz w:val="22"/>
          <w:szCs w:val="22"/>
        </w:rPr>
      </w:pPr>
    </w:p>
    <w:p w14:paraId="22B407D6" w14:textId="77777777" w:rsidR="001F50FC" w:rsidRPr="005F095C" w:rsidRDefault="001F50FC" w:rsidP="001F50FC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5F095C">
        <w:rPr>
          <w:rFonts w:ascii="Times New Roman" w:hAnsi="Times New Roman" w:cs="Times New Roman"/>
          <w:sz w:val="22"/>
          <w:szCs w:val="22"/>
          <w:lang w:val="sk-SK"/>
        </w:rPr>
        <w:t>Kvôli nedostatočným dôkazom o riziku mutagenity u ľudí (pozri časť 5.3)</w:t>
      </w:r>
      <w:r w:rsidR="006E3498">
        <w:rPr>
          <w:rFonts w:ascii="Times New Roman" w:hAnsi="Times New Roman" w:cs="Times New Roman"/>
          <w:sz w:val="22"/>
          <w:szCs w:val="22"/>
          <w:lang w:val="sk-SK"/>
        </w:rPr>
        <w:t xml:space="preserve"> treba</w:t>
      </w:r>
      <w:r w:rsidRPr="005F095C">
        <w:rPr>
          <w:rFonts w:ascii="Times New Roman" w:hAnsi="Times New Roman" w:cs="Times New Roman"/>
          <w:sz w:val="22"/>
          <w:szCs w:val="22"/>
          <w:lang w:val="sk-SK"/>
        </w:rPr>
        <w:t xml:space="preserve"> používanie metronidazolu</w:t>
      </w:r>
      <w:r w:rsidR="006E3498">
        <w:rPr>
          <w:rFonts w:ascii="Times New Roman" w:hAnsi="Times New Roman" w:cs="Times New Roman"/>
          <w:sz w:val="22"/>
          <w:szCs w:val="22"/>
          <w:lang w:val="sk-SK"/>
        </w:rPr>
        <w:t xml:space="preserve"> po</w:t>
      </w:r>
      <w:r w:rsidRPr="005F095C">
        <w:rPr>
          <w:rFonts w:ascii="Times New Roman" w:hAnsi="Times New Roman" w:cs="Times New Roman"/>
          <w:sz w:val="22"/>
          <w:szCs w:val="22"/>
          <w:lang w:val="sk-SK"/>
        </w:rPr>
        <w:t xml:space="preserve"> dlhšiu dobu, ako je obvyklé, starostlivo zvážiť.</w:t>
      </w:r>
    </w:p>
    <w:p w14:paraId="6F9D5409" w14:textId="77777777" w:rsidR="003E11B8" w:rsidRPr="005F095C" w:rsidRDefault="003E11B8" w:rsidP="003E11B8">
      <w:pPr>
        <w:rPr>
          <w:sz w:val="22"/>
          <w:szCs w:val="22"/>
        </w:rPr>
      </w:pPr>
    </w:p>
    <w:p w14:paraId="01ADDF6D" w14:textId="77777777" w:rsidR="001F50FC" w:rsidRPr="005F095C" w:rsidRDefault="001F50FC" w:rsidP="001F50FC">
      <w:pPr>
        <w:rPr>
          <w:color w:val="000000"/>
          <w:sz w:val="22"/>
          <w:szCs w:val="22"/>
        </w:rPr>
      </w:pPr>
      <w:r w:rsidRPr="005F095C">
        <w:rPr>
          <w:color w:val="000000"/>
          <w:sz w:val="22"/>
          <w:szCs w:val="22"/>
        </w:rPr>
        <w:t xml:space="preserve">Prípady závažných bulóznych kožných reakcií, niekedy fatálnych, ako je Stevensov-Johnsonov syndróm alebo toxická epidermálna nekrolýza sa hlásili pri metronidazole (pozri časť 4.8). Väčšina prípadov </w:t>
      </w:r>
      <w:r w:rsidR="005E1B89" w:rsidRPr="005F095C">
        <w:rPr>
          <w:color w:val="000000"/>
          <w:sz w:val="22"/>
          <w:szCs w:val="22"/>
        </w:rPr>
        <w:t xml:space="preserve">SJS </w:t>
      </w:r>
      <w:r w:rsidRPr="005F095C">
        <w:rPr>
          <w:color w:val="000000"/>
          <w:sz w:val="22"/>
          <w:szCs w:val="22"/>
        </w:rPr>
        <w:t xml:space="preserve">sa hlásila v priebehu 7 týždňov od začiatku liečby metronidazolom. Pacientov je potrebné poučiť o príznakoch a symptómoch a že majú </w:t>
      </w:r>
      <w:r w:rsidR="00B674E8">
        <w:rPr>
          <w:color w:val="000000"/>
          <w:sz w:val="22"/>
          <w:szCs w:val="22"/>
        </w:rPr>
        <w:t xml:space="preserve">byť </w:t>
      </w:r>
      <w:r w:rsidRPr="005F095C">
        <w:rPr>
          <w:color w:val="000000"/>
          <w:sz w:val="22"/>
          <w:szCs w:val="22"/>
        </w:rPr>
        <w:t>starostlivo sledova</w:t>
      </w:r>
      <w:r w:rsidR="00B674E8">
        <w:rPr>
          <w:color w:val="000000"/>
          <w:sz w:val="22"/>
          <w:szCs w:val="22"/>
        </w:rPr>
        <w:t>n</w:t>
      </w:r>
      <w:r w:rsidR="006E3498">
        <w:rPr>
          <w:color w:val="000000"/>
          <w:sz w:val="22"/>
          <w:szCs w:val="22"/>
        </w:rPr>
        <w:t>í</w:t>
      </w:r>
      <w:r w:rsidR="00B674E8">
        <w:rPr>
          <w:color w:val="000000"/>
          <w:sz w:val="22"/>
          <w:szCs w:val="22"/>
        </w:rPr>
        <w:t xml:space="preserve"> kvôli </w:t>
      </w:r>
      <w:r w:rsidRPr="005F095C">
        <w:rPr>
          <w:color w:val="000000"/>
          <w:sz w:val="22"/>
          <w:szCs w:val="22"/>
        </w:rPr>
        <w:t xml:space="preserve"> kožn</w:t>
      </w:r>
      <w:r w:rsidR="00B674E8">
        <w:rPr>
          <w:color w:val="000000"/>
          <w:sz w:val="22"/>
          <w:szCs w:val="22"/>
        </w:rPr>
        <w:t>ým</w:t>
      </w:r>
      <w:r w:rsidRPr="005F095C">
        <w:rPr>
          <w:color w:val="000000"/>
          <w:sz w:val="22"/>
          <w:szCs w:val="22"/>
        </w:rPr>
        <w:t xml:space="preserve"> reakci</w:t>
      </w:r>
      <w:r w:rsidR="00B674E8">
        <w:rPr>
          <w:color w:val="000000"/>
          <w:sz w:val="22"/>
          <w:szCs w:val="22"/>
        </w:rPr>
        <w:t>ám</w:t>
      </w:r>
      <w:r w:rsidRPr="005F095C">
        <w:rPr>
          <w:color w:val="000000"/>
          <w:sz w:val="22"/>
          <w:szCs w:val="22"/>
        </w:rPr>
        <w:t>. Ak sa objavia symptómy SJS alebo TEN (symptómy podobné ako pri chrípke, s progresiou kožnej vyrážky, často s pľuzgiermi alebo léziami na slizniciach), liečbu treba ukončiť (pozri časť 4.8</w:t>
      </w:r>
      <w:r w:rsidR="005E1B89" w:rsidRPr="005F095C">
        <w:rPr>
          <w:color w:val="000000"/>
          <w:sz w:val="22"/>
          <w:szCs w:val="22"/>
        </w:rPr>
        <w:t xml:space="preserve"> Nežiaduce účinky</w:t>
      </w:r>
      <w:r w:rsidRPr="005F095C">
        <w:rPr>
          <w:color w:val="000000"/>
          <w:sz w:val="22"/>
          <w:szCs w:val="22"/>
        </w:rPr>
        <w:t>).</w:t>
      </w:r>
    </w:p>
    <w:p w14:paraId="0660F958" w14:textId="77777777" w:rsidR="00B907ED" w:rsidRPr="005F095C" w:rsidRDefault="00B907ED" w:rsidP="00B907ED">
      <w:pPr>
        <w:tabs>
          <w:tab w:val="left" w:pos="0"/>
        </w:tabs>
        <w:ind w:right="-1"/>
        <w:rPr>
          <w:sz w:val="22"/>
          <w:szCs w:val="22"/>
        </w:rPr>
      </w:pPr>
    </w:p>
    <w:p w14:paraId="514A66E8" w14:textId="77777777" w:rsidR="001F50FC" w:rsidRPr="005F095C" w:rsidRDefault="001F50FC" w:rsidP="001F50FC">
      <w:pPr>
        <w:tabs>
          <w:tab w:val="left" w:pos="708"/>
        </w:tabs>
        <w:ind w:right="-1"/>
        <w:rPr>
          <w:sz w:val="22"/>
          <w:szCs w:val="22"/>
        </w:rPr>
      </w:pPr>
      <w:r w:rsidRPr="005F095C">
        <w:rPr>
          <w:sz w:val="22"/>
          <w:szCs w:val="22"/>
        </w:rPr>
        <w:t>Testy na aspartátaminotransferázu môžu poskytovať falošne nízke hodnoty u pacientov užívajúcich metronidazol, v závislosti od použitej metódy.</w:t>
      </w:r>
    </w:p>
    <w:p w14:paraId="2E5ABD1F" w14:textId="77777777" w:rsidR="00B907ED" w:rsidRPr="005F095C" w:rsidRDefault="00B907ED" w:rsidP="003E11B8">
      <w:pPr>
        <w:rPr>
          <w:sz w:val="22"/>
          <w:szCs w:val="22"/>
        </w:rPr>
      </w:pPr>
    </w:p>
    <w:p w14:paraId="6A161990" w14:textId="77777777" w:rsidR="001F50FC" w:rsidRPr="005F095C" w:rsidRDefault="001F50FC" w:rsidP="001F50FC">
      <w:pPr>
        <w:pStyle w:val="Textkomentra"/>
        <w:rPr>
          <w:color w:val="000000"/>
          <w:sz w:val="22"/>
          <w:szCs w:val="22"/>
          <w:lang w:val="sk-SK"/>
        </w:rPr>
      </w:pPr>
      <w:r w:rsidRPr="005F095C">
        <w:rPr>
          <w:color w:val="000000"/>
          <w:sz w:val="22"/>
          <w:szCs w:val="22"/>
          <w:lang w:val="sk-SK"/>
        </w:rPr>
        <w:t>Pacientov treba poučiť, aby počas liečby metronidazolom a ešte najmenej 48 hodín po jej skončení nepili alkohol kvôli možnej disulfiramovej reakcii (antabusový efekt).</w:t>
      </w:r>
    </w:p>
    <w:p w14:paraId="6CDF9834" w14:textId="77777777" w:rsidR="00880A9D" w:rsidRPr="005F095C" w:rsidRDefault="00880A9D" w:rsidP="005E3E65">
      <w:pPr>
        <w:rPr>
          <w:b/>
          <w:sz w:val="22"/>
          <w:szCs w:val="22"/>
        </w:rPr>
      </w:pPr>
    </w:p>
    <w:p w14:paraId="58DEFC80" w14:textId="77777777" w:rsidR="001F50FC" w:rsidRPr="005F095C" w:rsidRDefault="001F50FC" w:rsidP="005E3E65">
      <w:pPr>
        <w:rPr>
          <w:sz w:val="22"/>
          <w:szCs w:val="22"/>
          <w:lang w:eastAsia="pl-PL"/>
        </w:rPr>
      </w:pPr>
      <w:r w:rsidRPr="005F095C">
        <w:rPr>
          <w:sz w:val="22"/>
          <w:szCs w:val="22"/>
          <w:lang w:eastAsia="pl-PL"/>
        </w:rPr>
        <w:t xml:space="preserve">Tento liek obsahuje 0,13 mmol/ml (3,09 mg/ml) sodíka. </w:t>
      </w:r>
      <w:r w:rsidRPr="005F095C">
        <w:rPr>
          <w:sz w:val="22"/>
          <w:szCs w:val="22"/>
        </w:rPr>
        <w:t>Má sa to vziať do úvahy u pacientov na diéte s kontrolovaným obsahom sodíka</w:t>
      </w:r>
      <w:r w:rsidRPr="005F095C">
        <w:rPr>
          <w:sz w:val="22"/>
          <w:szCs w:val="22"/>
          <w:lang w:eastAsia="pl-PL"/>
        </w:rPr>
        <w:t xml:space="preserve"> </w:t>
      </w:r>
    </w:p>
    <w:p w14:paraId="7D898CD8" w14:textId="77777777" w:rsidR="005F4187" w:rsidRPr="00B027B0" w:rsidRDefault="005F4187" w:rsidP="005E3E65">
      <w:pPr>
        <w:rPr>
          <w:b/>
          <w:sz w:val="22"/>
          <w:szCs w:val="22"/>
        </w:rPr>
      </w:pPr>
    </w:p>
    <w:p w14:paraId="20ED2C36" w14:textId="77777777" w:rsidR="000C1755" w:rsidRPr="005E3E65" w:rsidRDefault="004E719C" w:rsidP="00C629C8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4.5</w:t>
      </w:r>
      <w:r w:rsidRPr="005E3E65">
        <w:rPr>
          <w:b/>
          <w:sz w:val="22"/>
          <w:szCs w:val="22"/>
        </w:rPr>
        <w:tab/>
      </w:r>
      <w:r w:rsidR="000C1755" w:rsidRPr="005E3E65">
        <w:rPr>
          <w:b/>
          <w:sz w:val="22"/>
          <w:szCs w:val="22"/>
        </w:rPr>
        <w:t>Liekové a iné interakcie</w:t>
      </w:r>
    </w:p>
    <w:p w14:paraId="45C5E344" w14:textId="77777777" w:rsidR="001F50FC" w:rsidRPr="0032396D" w:rsidRDefault="001F50FC" w:rsidP="005E3E65">
      <w:pPr>
        <w:widowControl/>
        <w:tabs>
          <w:tab w:val="left" w:pos="284"/>
        </w:tabs>
        <w:rPr>
          <w:sz w:val="22"/>
          <w:szCs w:val="22"/>
        </w:rPr>
      </w:pPr>
    </w:p>
    <w:p w14:paraId="53AC84C3" w14:textId="77777777" w:rsidR="001F50FC" w:rsidRPr="005F095C" w:rsidRDefault="001F50FC" w:rsidP="005E3E65">
      <w:pPr>
        <w:widowControl/>
        <w:tabs>
          <w:tab w:val="left" w:pos="284"/>
        </w:tabs>
        <w:rPr>
          <w:sz w:val="22"/>
          <w:szCs w:val="22"/>
        </w:rPr>
      </w:pPr>
      <w:r w:rsidRPr="005F095C">
        <w:rPr>
          <w:sz w:val="22"/>
          <w:szCs w:val="22"/>
        </w:rPr>
        <w:t>Určitá potenciácia antikoagulačn</w:t>
      </w:r>
      <w:r w:rsidR="006829CE">
        <w:rPr>
          <w:sz w:val="22"/>
          <w:szCs w:val="22"/>
        </w:rPr>
        <w:t>ého</w:t>
      </w:r>
      <w:r w:rsidRPr="005F095C">
        <w:rPr>
          <w:sz w:val="22"/>
          <w:szCs w:val="22"/>
        </w:rPr>
        <w:t xml:space="preserve"> </w:t>
      </w:r>
      <w:r w:rsidR="006829CE">
        <w:rPr>
          <w:sz w:val="22"/>
          <w:szCs w:val="22"/>
        </w:rPr>
        <w:t>účinku</w:t>
      </w:r>
      <w:r w:rsidRPr="005F095C">
        <w:rPr>
          <w:sz w:val="22"/>
          <w:szCs w:val="22"/>
        </w:rPr>
        <w:t xml:space="preserve"> </w:t>
      </w:r>
      <w:r w:rsidR="006829CE">
        <w:rPr>
          <w:sz w:val="22"/>
          <w:szCs w:val="22"/>
        </w:rPr>
        <w:t>bola</w:t>
      </w:r>
      <w:r w:rsidRPr="005F095C">
        <w:rPr>
          <w:sz w:val="22"/>
          <w:szCs w:val="22"/>
        </w:rPr>
        <w:t xml:space="preserve"> hlás</w:t>
      </w:r>
      <w:r w:rsidR="006829CE">
        <w:rPr>
          <w:sz w:val="22"/>
          <w:szCs w:val="22"/>
        </w:rPr>
        <w:t>ená</w:t>
      </w:r>
      <w:r w:rsidRPr="005F095C">
        <w:rPr>
          <w:sz w:val="22"/>
          <w:szCs w:val="22"/>
        </w:rPr>
        <w:t>, ak sa metronidazol užíval spolu s perorálnymi antikoagul</w:t>
      </w:r>
      <w:r w:rsidR="006829CE">
        <w:rPr>
          <w:sz w:val="22"/>
          <w:szCs w:val="22"/>
        </w:rPr>
        <w:t>ancia</w:t>
      </w:r>
      <w:r w:rsidRPr="005F095C">
        <w:rPr>
          <w:sz w:val="22"/>
          <w:szCs w:val="22"/>
        </w:rPr>
        <w:t xml:space="preserve">mi warfarínového typu. Môže byť potrebné znížiť dávku </w:t>
      </w:r>
      <w:r w:rsidR="006829CE">
        <w:rPr>
          <w:sz w:val="22"/>
          <w:szCs w:val="22"/>
        </w:rPr>
        <w:t>antikoagulancia</w:t>
      </w:r>
      <w:r w:rsidR="00157404">
        <w:rPr>
          <w:sz w:val="22"/>
          <w:szCs w:val="22"/>
        </w:rPr>
        <w:t>  a</w:t>
      </w:r>
      <w:r w:rsidRPr="005F095C">
        <w:rPr>
          <w:sz w:val="22"/>
          <w:szCs w:val="22"/>
        </w:rPr>
        <w:t xml:space="preserve"> </w:t>
      </w:r>
      <w:r w:rsidR="00157404">
        <w:rPr>
          <w:sz w:val="22"/>
          <w:szCs w:val="22"/>
        </w:rPr>
        <w:t>m</w:t>
      </w:r>
      <w:r w:rsidRPr="005F095C">
        <w:rPr>
          <w:sz w:val="22"/>
          <w:szCs w:val="22"/>
        </w:rPr>
        <w:t>á sa sledovať protrombínový čas. Nie je známa interakcia s heparínom.</w:t>
      </w:r>
    </w:p>
    <w:p w14:paraId="1C6E1D9C" w14:textId="77777777" w:rsidR="00FC7923" w:rsidRPr="0032396D" w:rsidRDefault="00FC7923" w:rsidP="00FC792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4772AB4F" w14:textId="77777777" w:rsidR="00FC7923" w:rsidRPr="0032396D" w:rsidRDefault="000C1755" w:rsidP="00FC792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Pri súčasnom podaní metronidazolu a liekov, ktoré indukujú pečeňové mikrozomálne enzýmy, ako sú fenytoín alebo fenobarbital, sa urýchli </w:t>
      </w:r>
      <w:r w:rsidR="001F50FC"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metabolizmus </w:t>
      </w:r>
      <w:r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metronidazolu, </w:t>
      </w:r>
      <w:r w:rsidR="00157404"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so </w:t>
      </w:r>
      <w:r w:rsidR="001F50FC"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znížením polčasu približne </w:t>
      </w:r>
      <w:r w:rsidR="00CB6884" w:rsidRPr="0032396D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="001F50FC"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 3 hodiny</w:t>
      </w:r>
      <w:r w:rsidRPr="0032396D">
        <w:rPr>
          <w:rFonts w:ascii="Times New Roman" w:hAnsi="Times New Roman" w:cs="Times New Roman"/>
          <w:sz w:val="22"/>
          <w:szCs w:val="22"/>
          <w:lang w:val="sk-SK"/>
        </w:rPr>
        <w:t>. Metronidazol znižuje klírens fenytoínu a zvyšuje jeho sérovú koncentráciu.</w:t>
      </w:r>
      <w:r w:rsidR="00FC7923"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1522D409" w14:textId="77777777" w:rsidR="000C1755" w:rsidRPr="005E3E65" w:rsidRDefault="000C1755" w:rsidP="005E3E65">
      <w:pPr>
        <w:pStyle w:val="Zkladntext3"/>
        <w:widowControl/>
        <w:tabs>
          <w:tab w:val="left" w:pos="284"/>
        </w:tabs>
        <w:autoSpaceDE/>
        <w:autoSpaceDN/>
        <w:adjustRightInd/>
        <w:spacing w:before="0" w:line="240" w:lineRule="auto"/>
        <w:jc w:val="left"/>
        <w:rPr>
          <w:rFonts w:ascii="Times New Roman" w:hAnsi="Times New Roman"/>
        </w:rPr>
      </w:pPr>
      <w:r w:rsidRPr="005F095C">
        <w:rPr>
          <w:rFonts w:ascii="Times New Roman" w:hAnsi="Times New Roman"/>
        </w:rPr>
        <w:t>Súčasné podávanie liekov, ktoré utlmujú aktivitu pečeňových mikrozomálnych enzýmov, ako je</w:t>
      </w:r>
      <w:r w:rsidRPr="005E3E65">
        <w:rPr>
          <w:rFonts w:ascii="Times New Roman" w:hAnsi="Times New Roman"/>
        </w:rPr>
        <w:t xml:space="preserve"> cimetidín, môže predĺžiť biologický polčas a znížiť plazmatický klírens metronidazolu.</w:t>
      </w:r>
    </w:p>
    <w:p w14:paraId="742D2B0B" w14:textId="77777777" w:rsidR="00476878" w:rsidRDefault="00476878" w:rsidP="00476878">
      <w:pPr>
        <w:widowControl/>
        <w:tabs>
          <w:tab w:val="left" w:pos="284"/>
        </w:tabs>
        <w:rPr>
          <w:sz w:val="22"/>
          <w:szCs w:val="22"/>
          <w:highlight w:val="yellow"/>
        </w:rPr>
      </w:pPr>
    </w:p>
    <w:p w14:paraId="03D933AB" w14:textId="77777777" w:rsidR="000C1755" w:rsidRPr="005E3E65" w:rsidRDefault="000C1755" w:rsidP="005E3E65">
      <w:pPr>
        <w:widowControl/>
        <w:tabs>
          <w:tab w:val="left" w:pos="284"/>
        </w:tabs>
        <w:rPr>
          <w:sz w:val="22"/>
          <w:szCs w:val="22"/>
        </w:rPr>
      </w:pPr>
      <w:r w:rsidRPr="005E3E65">
        <w:rPr>
          <w:sz w:val="22"/>
          <w:szCs w:val="22"/>
        </w:rPr>
        <w:t>U alkoholikov, ktorí užívali súčasne metronidazol a disulfiram, boli hlásené psychotické reakcie. Metronidazol sa môže podávať dva týždne po ukončení podávania disulfiramu.</w:t>
      </w:r>
    </w:p>
    <w:p w14:paraId="3E9FE589" w14:textId="77777777" w:rsidR="00FC7923" w:rsidRPr="005F095C" w:rsidRDefault="00FC7923" w:rsidP="005E3E65">
      <w:pPr>
        <w:widowControl/>
        <w:tabs>
          <w:tab w:val="left" w:pos="284"/>
        </w:tabs>
        <w:rPr>
          <w:sz w:val="22"/>
          <w:szCs w:val="22"/>
        </w:rPr>
      </w:pPr>
    </w:p>
    <w:p w14:paraId="17359E60" w14:textId="77777777" w:rsidR="00FC7923" w:rsidRPr="00C40194" w:rsidRDefault="000C1755" w:rsidP="00FC7923">
      <w:pPr>
        <w:pStyle w:val="Default"/>
        <w:rPr>
          <w:rFonts w:ascii="Times New Roman" w:hAnsi="Times New Roman" w:cs="Times New Roman"/>
          <w:sz w:val="22"/>
          <w:szCs w:val="22"/>
          <w:highlight w:val="yellow"/>
          <w:lang w:val="sk-SK"/>
        </w:rPr>
      </w:pPr>
      <w:r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Metronidazol potláča alkoholdehydrogenázu a ostatné enzýmy zodpovedné za oxidačný proces alkoholu. Počas liečby metronidazolom je zakázané požívať alkoholické nápoje, </w:t>
      </w:r>
      <w:r w:rsidR="00DB7804"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pretože </w:t>
      </w:r>
      <w:r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sa môžu vyskytnúť abdominálne kŕče, nevoľnosť, vracanie, bolesti hlavy a návaly horúčavy. </w:t>
      </w:r>
    </w:p>
    <w:p w14:paraId="7F098809" w14:textId="77777777" w:rsidR="00077324" w:rsidRPr="0032396D" w:rsidRDefault="00077324" w:rsidP="00FC792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2BB4C632" w14:textId="77777777" w:rsidR="00FC7923" w:rsidRPr="001F4649" w:rsidRDefault="00E50341" w:rsidP="00FC792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2396D">
        <w:rPr>
          <w:rFonts w:ascii="Times New Roman" w:hAnsi="Times New Roman" w:cs="Times New Roman"/>
          <w:sz w:val="22"/>
          <w:szCs w:val="22"/>
          <w:lang w:val="sk-SK"/>
        </w:rPr>
        <w:t xml:space="preserve">Retencia lítia sprevádzaná možným renálnym poškodením sa hlásila u pacientov liečených súbežne  lítiom a metronidazolom. Liečbu lítiom je potrebné znížiť alebo ukončiť pred podaním metronidazolu. </w:t>
      </w:r>
      <w:r w:rsidRPr="001F4649">
        <w:rPr>
          <w:rFonts w:ascii="Times New Roman" w:hAnsi="Times New Roman" w:cs="Times New Roman"/>
          <w:sz w:val="22"/>
          <w:szCs w:val="22"/>
          <w:lang w:val="sk-SK"/>
        </w:rPr>
        <w:t>Plazmatické koncentrácie lítia, kreatinínu a elektrolytov je potrebné monitor</w:t>
      </w:r>
      <w:r w:rsidR="005E1B89" w:rsidRPr="001F4649">
        <w:rPr>
          <w:rFonts w:ascii="Times New Roman" w:hAnsi="Times New Roman" w:cs="Times New Roman"/>
          <w:sz w:val="22"/>
          <w:szCs w:val="22"/>
          <w:lang w:val="sk-SK"/>
        </w:rPr>
        <w:t>ovať u pacientov liečených lítio</w:t>
      </w:r>
      <w:r w:rsidRPr="001F4649">
        <w:rPr>
          <w:rFonts w:ascii="Times New Roman" w:hAnsi="Times New Roman" w:cs="Times New Roman"/>
          <w:sz w:val="22"/>
          <w:szCs w:val="22"/>
          <w:lang w:val="sk-SK"/>
        </w:rPr>
        <w:t>m,</w:t>
      </w:r>
      <w:r w:rsidR="005E1B89" w:rsidRPr="001F464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57404" w:rsidRPr="001F4649">
        <w:rPr>
          <w:rFonts w:ascii="Times New Roman" w:hAnsi="Times New Roman" w:cs="Times New Roman"/>
          <w:sz w:val="22"/>
          <w:szCs w:val="22"/>
          <w:lang w:val="sk-SK"/>
        </w:rPr>
        <w:t>kým</w:t>
      </w:r>
      <w:r w:rsidR="005E1B89" w:rsidRPr="001F4649">
        <w:rPr>
          <w:rFonts w:ascii="Times New Roman" w:hAnsi="Times New Roman" w:cs="Times New Roman"/>
          <w:sz w:val="22"/>
          <w:szCs w:val="22"/>
          <w:lang w:val="sk-SK"/>
        </w:rPr>
        <w:t xml:space="preserve"> dostávajú metronidazol</w:t>
      </w:r>
      <w:r w:rsidRPr="001F4649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12428A1" w14:textId="77777777" w:rsidR="00FC7923" w:rsidRPr="001F4649" w:rsidRDefault="00FC7923" w:rsidP="00FC792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733798BA" w14:textId="77777777" w:rsidR="00FC7923" w:rsidRPr="001F4649" w:rsidRDefault="00E50341" w:rsidP="00FC792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1F4649">
        <w:rPr>
          <w:rFonts w:ascii="Times New Roman" w:hAnsi="Times New Roman" w:cs="Times New Roman"/>
          <w:sz w:val="22"/>
          <w:szCs w:val="22"/>
          <w:lang w:val="sk-SK"/>
        </w:rPr>
        <w:t>Metronidazol znižuje klíre</w:t>
      </w:r>
      <w:r w:rsidR="005E1B89" w:rsidRPr="001F4649">
        <w:rPr>
          <w:rFonts w:ascii="Times New Roman" w:hAnsi="Times New Roman" w:cs="Times New Roman"/>
          <w:sz w:val="22"/>
          <w:szCs w:val="22"/>
          <w:lang w:val="sk-SK"/>
        </w:rPr>
        <w:t>ns</w:t>
      </w:r>
      <w:r w:rsidRPr="001F4649">
        <w:rPr>
          <w:rFonts w:ascii="Times New Roman" w:hAnsi="Times New Roman" w:cs="Times New Roman"/>
          <w:sz w:val="22"/>
          <w:szCs w:val="22"/>
          <w:lang w:val="sk-SK"/>
        </w:rPr>
        <w:t xml:space="preserve"> 5-fluorouracilu</w:t>
      </w:r>
      <w:r w:rsidR="00B748EF" w:rsidRPr="001F4649">
        <w:rPr>
          <w:rFonts w:ascii="Times New Roman" w:hAnsi="Times New Roman" w:cs="Times New Roman"/>
          <w:sz w:val="22"/>
          <w:szCs w:val="22"/>
          <w:lang w:val="sk-SK"/>
        </w:rPr>
        <w:t xml:space="preserve">, a to </w:t>
      </w:r>
      <w:r w:rsidR="00157404" w:rsidRPr="001F4649">
        <w:rPr>
          <w:rFonts w:ascii="Times New Roman" w:hAnsi="Times New Roman" w:cs="Times New Roman"/>
          <w:sz w:val="22"/>
          <w:szCs w:val="22"/>
          <w:lang w:val="sk-SK"/>
        </w:rPr>
        <w:t xml:space="preserve">môže </w:t>
      </w:r>
      <w:r w:rsidRPr="001F4649">
        <w:rPr>
          <w:rFonts w:ascii="Times New Roman" w:hAnsi="Times New Roman" w:cs="Times New Roman"/>
          <w:sz w:val="22"/>
          <w:szCs w:val="22"/>
          <w:lang w:val="sk-SK"/>
        </w:rPr>
        <w:t>viesť k zvýšenej toxicite 5-fluorouracilu.</w:t>
      </w:r>
    </w:p>
    <w:p w14:paraId="36EB1B85" w14:textId="77777777" w:rsidR="00A02155" w:rsidRPr="001F4649" w:rsidRDefault="00A02155" w:rsidP="00FC7923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748B9235" w14:textId="77777777" w:rsidR="00CB6884" w:rsidRPr="00C2513E" w:rsidRDefault="00CB6884" w:rsidP="00CB6884">
      <w:pPr>
        <w:rPr>
          <w:sz w:val="22"/>
          <w:szCs w:val="22"/>
        </w:rPr>
      </w:pPr>
      <w:r w:rsidRPr="00C2513E">
        <w:rPr>
          <w:sz w:val="22"/>
          <w:szCs w:val="22"/>
        </w:rPr>
        <w:t xml:space="preserve">Pacienti užívajúci cyklosporín sú vystavení riziku zvýšenej sérovej hladiny cyklosporínu. Ak je potrebné </w:t>
      </w:r>
      <w:r w:rsidRPr="00C2513E">
        <w:rPr>
          <w:sz w:val="22"/>
          <w:szCs w:val="22"/>
        </w:rPr>
        <w:lastRenderedPageBreak/>
        <w:t>podávať ich súbežne, odporúča sa dôkladne sledovať sérové hladiny cyklosporínu a kreatinínu.</w:t>
      </w:r>
    </w:p>
    <w:p w14:paraId="2974F3BE" w14:textId="77777777" w:rsidR="00A02155" w:rsidRPr="001F4649" w:rsidRDefault="00A02155" w:rsidP="00B73DD6">
      <w:pPr>
        <w:pStyle w:val="Default"/>
        <w:rPr>
          <w:lang w:val="sk-SK"/>
        </w:rPr>
      </w:pPr>
    </w:p>
    <w:p w14:paraId="06B77680" w14:textId="77777777" w:rsidR="00E50341" w:rsidRPr="005F095C" w:rsidRDefault="00E50341" w:rsidP="00FC7923">
      <w:pPr>
        <w:widowControl/>
        <w:tabs>
          <w:tab w:val="left" w:pos="426"/>
        </w:tabs>
        <w:rPr>
          <w:color w:val="000000"/>
          <w:sz w:val="22"/>
          <w:szCs w:val="22"/>
        </w:rPr>
      </w:pPr>
      <w:r w:rsidRPr="005F095C">
        <w:rPr>
          <w:color w:val="000000"/>
          <w:sz w:val="22"/>
          <w:szCs w:val="22"/>
        </w:rPr>
        <w:t xml:space="preserve">Plazmatické hladiny busulfanu môžu byť metronidazolom zvýšené, čo môže viesť k závažnej toxicite busulfanu. </w:t>
      </w:r>
    </w:p>
    <w:p w14:paraId="4749C200" w14:textId="77777777" w:rsidR="000C1755" w:rsidRPr="005E3E65" w:rsidRDefault="000C1755" w:rsidP="005E3E65">
      <w:pPr>
        <w:widowControl/>
        <w:tabs>
          <w:tab w:val="left" w:pos="426"/>
        </w:tabs>
        <w:rPr>
          <w:sz w:val="22"/>
          <w:szCs w:val="22"/>
        </w:rPr>
      </w:pPr>
    </w:p>
    <w:p w14:paraId="73A447FF" w14:textId="77777777" w:rsidR="000C1755" w:rsidRPr="005E3E65" w:rsidRDefault="000C1755" w:rsidP="005E3E65">
      <w:pPr>
        <w:pStyle w:val="BodyText21"/>
        <w:widowControl/>
        <w:rPr>
          <w:b/>
          <w:sz w:val="22"/>
          <w:szCs w:val="22"/>
        </w:rPr>
      </w:pPr>
    </w:p>
    <w:p w14:paraId="006B0537" w14:textId="77777777" w:rsidR="00880A9D" w:rsidRDefault="00D62A6A" w:rsidP="005E3E65">
      <w:pPr>
        <w:rPr>
          <w:sz w:val="22"/>
          <w:szCs w:val="22"/>
        </w:rPr>
      </w:pPr>
      <w:r>
        <w:rPr>
          <w:sz w:val="22"/>
          <w:szCs w:val="22"/>
        </w:rPr>
        <w:t>Metronidazol Polpharma sa nesmie za žiadnych okolností miešať s liekmi obsahujúcimi iné liečivá okrem:</w:t>
      </w:r>
      <w:r w:rsidR="00B73D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amikacínium sulfát, ampicilín sodná soľ, karbenicilín sodná soľ, cefazolín sodná soľ, cefotaxím sodná soľ, cefuroxím sodná soľ, cefalotín sodná soľ, chloramfenikol sukcinát sodná soľ, klindamycíniumfosfát, </w:t>
      </w:r>
      <w:r w:rsidR="006E4E79">
        <w:rPr>
          <w:sz w:val="22"/>
          <w:szCs w:val="22"/>
        </w:rPr>
        <w:t xml:space="preserve">gentamycíniumsulfát, hydrokortizónsukcinát sodná soľ, </w:t>
      </w:r>
      <w:r w:rsidR="006F1640" w:rsidRPr="002F73F6">
        <w:rPr>
          <w:bCs/>
          <w:sz w:val="22"/>
          <w:szCs w:val="22"/>
        </w:rPr>
        <w:t>latamoxef</w:t>
      </w:r>
      <w:r w:rsidR="006F1640" w:rsidRPr="001F4649">
        <w:rPr>
          <w:bCs/>
          <w:sz w:val="22"/>
          <w:szCs w:val="22"/>
        </w:rPr>
        <w:t xml:space="preserve"> disodný,</w:t>
      </w:r>
      <w:r w:rsidR="00B73DD6">
        <w:rPr>
          <w:b/>
          <w:bCs/>
          <w:color w:val="1F497D"/>
        </w:rPr>
        <w:t xml:space="preserve"> </w:t>
      </w:r>
      <w:r w:rsidR="006E4E79">
        <w:rPr>
          <w:sz w:val="22"/>
          <w:szCs w:val="22"/>
        </w:rPr>
        <w:t xml:space="preserve">netilmicíniumsulfát, </w:t>
      </w:r>
      <w:r w:rsidR="006402A6">
        <w:rPr>
          <w:sz w:val="22"/>
          <w:szCs w:val="22"/>
        </w:rPr>
        <w:t>t</w:t>
      </w:r>
      <w:r w:rsidR="006E4E79">
        <w:rPr>
          <w:sz w:val="22"/>
          <w:szCs w:val="22"/>
        </w:rPr>
        <w:t>obramycíniumsulfát</w:t>
      </w:r>
      <w:r w:rsidR="00B73DD6">
        <w:rPr>
          <w:sz w:val="22"/>
          <w:szCs w:val="22"/>
        </w:rPr>
        <w:t>.</w:t>
      </w:r>
    </w:p>
    <w:p w14:paraId="24B3C0F6" w14:textId="77777777" w:rsidR="006402A6" w:rsidRDefault="006402A6" w:rsidP="005E3E65">
      <w:pPr>
        <w:rPr>
          <w:sz w:val="22"/>
          <w:szCs w:val="22"/>
        </w:rPr>
      </w:pPr>
      <w:r>
        <w:rPr>
          <w:sz w:val="22"/>
          <w:szCs w:val="22"/>
        </w:rPr>
        <w:t>Ampicilín sodná soľ, cefalotín sodná soľ, hydrokortizónsukcinát sodná soľ sa majú</w:t>
      </w:r>
      <w:r w:rsidR="00B73DD6">
        <w:rPr>
          <w:sz w:val="22"/>
          <w:szCs w:val="22"/>
        </w:rPr>
        <w:t xml:space="preserve"> </w:t>
      </w:r>
      <w:r>
        <w:rPr>
          <w:sz w:val="22"/>
          <w:szCs w:val="22"/>
        </w:rPr>
        <w:t>pridávať s opatrnosťou do lieku Metronidazol</w:t>
      </w:r>
      <w:r w:rsidR="00BC5A6C">
        <w:rPr>
          <w:sz w:val="22"/>
          <w:szCs w:val="22"/>
        </w:rPr>
        <w:t>e 0.5 %</w:t>
      </w:r>
      <w:r>
        <w:rPr>
          <w:sz w:val="22"/>
          <w:szCs w:val="22"/>
        </w:rPr>
        <w:t xml:space="preserve"> </w:t>
      </w:r>
      <w:r w:rsidR="00BC5A6C">
        <w:rPr>
          <w:sz w:val="22"/>
          <w:szCs w:val="22"/>
        </w:rPr>
        <w:t xml:space="preserve">- </w:t>
      </w:r>
      <w:r>
        <w:rPr>
          <w:sz w:val="22"/>
          <w:szCs w:val="22"/>
        </w:rPr>
        <w:t>Polpharma.</w:t>
      </w:r>
    </w:p>
    <w:p w14:paraId="1EFE56C4" w14:textId="77777777" w:rsidR="006402A6" w:rsidRDefault="006402A6" w:rsidP="005E3E65">
      <w:pPr>
        <w:rPr>
          <w:sz w:val="22"/>
          <w:szCs w:val="22"/>
        </w:rPr>
      </w:pPr>
      <w:r>
        <w:rPr>
          <w:sz w:val="22"/>
          <w:szCs w:val="22"/>
        </w:rPr>
        <w:t>Roztoky nasledujúcich liečiv sú inkompatibilné s roztokom Metronidazol</w:t>
      </w:r>
      <w:r w:rsidR="00BC5A6C">
        <w:rPr>
          <w:sz w:val="22"/>
          <w:szCs w:val="22"/>
        </w:rPr>
        <w:t>e 0.5 %</w:t>
      </w:r>
      <w:r>
        <w:rPr>
          <w:sz w:val="22"/>
          <w:szCs w:val="22"/>
        </w:rPr>
        <w:t xml:space="preserve"> </w:t>
      </w:r>
      <w:r w:rsidR="00BC5A6C">
        <w:rPr>
          <w:sz w:val="22"/>
          <w:szCs w:val="22"/>
        </w:rPr>
        <w:t xml:space="preserve">- </w:t>
      </w:r>
      <w:r>
        <w:rPr>
          <w:sz w:val="22"/>
          <w:szCs w:val="22"/>
        </w:rPr>
        <w:t>Polpharma:</w:t>
      </w:r>
      <w:r w:rsidR="00C835F2">
        <w:rPr>
          <w:sz w:val="22"/>
          <w:szCs w:val="22"/>
        </w:rPr>
        <w:t xml:space="preserve"> cefamandolíniumnafát, cefoxitín sodná soľ, </w:t>
      </w:r>
      <w:r>
        <w:rPr>
          <w:sz w:val="22"/>
          <w:szCs w:val="22"/>
        </w:rPr>
        <w:t xml:space="preserve"> </w:t>
      </w:r>
      <w:r w:rsidR="00C835F2">
        <w:rPr>
          <w:sz w:val="22"/>
          <w:szCs w:val="22"/>
        </w:rPr>
        <w:t>10</w:t>
      </w:r>
      <w:r w:rsidR="00921A01" w:rsidRPr="0032396D">
        <w:rPr>
          <w:sz w:val="22"/>
          <w:szCs w:val="22"/>
        </w:rPr>
        <w:t>%</w:t>
      </w:r>
      <w:r w:rsidR="00921A01">
        <w:rPr>
          <w:sz w:val="22"/>
          <w:szCs w:val="22"/>
        </w:rPr>
        <w:t xml:space="preserve"> roztok glukózy s mliečnanom sodným, benzylpenicilín draselná soľ.</w:t>
      </w:r>
    </w:p>
    <w:p w14:paraId="1E53616D" w14:textId="77777777" w:rsidR="00BC5A6C" w:rsidRPr="00921A01" w:rsidRDefault="00BC5A6C" w:rsidP="005E3E65">
      <w:pPr>
        <w:rPr>
          <w:sz w:val="22"/>
          <w:szCs w:val="22"/>
        </w:rPr>
      </w:pPr>
    </w:p>
    <w:p w14:paraId="7FCD67FA" w14:textId="77777777" w:rsidR="000C1755" w:rsidRPr="005E3E65" w:rsidRDefault="004E719C" w:rsidP="00C629C8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4.6</w:t>
      </w:r>
      <w:r w:rsidRPr="005E3E65">
        <w:rPr>
          <w:b/>
          <w:sz w:val="22"/>
          <w:szCs w:val="22"/>
        </w:rPr>
        <w:tab/>
      </w:r>
      <w:r w:rsidR="00E50341">
        <w:rPr>
          <w:b/>
          <w:sz w:val="22"/>
          <w:szCs w:val="22"/>
        </w:rPr>
        <w:t>Fertilita, gravidita a laktácia</w:t>
      </w:r>
    </w:p>
    <w:p w14:paraId="061ACE0F" w14:textId="77777777" w:rsidR="00E50341" w:rsidRDefault="00E50341" w:rsidP="005E3E65">
      <w:pPr>
        <w:widowControl/>
        <w:rPr>
          <w:sz w:val="22"/>
          <w:szCs w:val="22"/>
          <w:u w:val="single"/>
        </w:rPr>
      </w:pPr>
    </w:p>
    <w:p w14:paraId="4D5FC46E" w14:textId="77777777" w:rsidR="000C1755" w:rsidRPr="005E3E65" w:rsidRDefault="00E50341" w:rsidP="005E3E65">
      <w:pPr>
        <w:widowControl/>
        <w:rPr>
          <w:sz w:val="22"/>
          <w:szCs w:val="22"/>
        </w:rPr>
      </w:pPr>
      <w:r>
        <w:rPr>
          <w:sz w:val="22"/>
          <w:szCs w:val="22"/>
          <w:u w:val="single"/>
        </w:rPr>
        <w:t>Gravidita</w:t>
      </w:r>
    </w:p>
    <w:p w14:paraId="6DFF8587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Metronidazol preniká cez placentárnu bariéru.</w:t>
      </w:r>
    </w:p>
    <w:p w14:paraId="7EB27683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Neboli vykonané kontrolované klinické štúdie u </w:t>
      </w:r>
      <w:r w:rsidR="00BF0B1E">
        <w:rPr>
          <w:sz w:val="22"/>
          <w:szCs w:val="22"/>
        </w:rPr>
        <w:t>gravidných</w:t>
      </w:r>
      <w:r w:rsidR="00BF0B1E" w:rsidRPr="005E3E65">
        <w:rPr>
          <w:sz w:val="22"/>
          <w:szCs w:val="22"/>
        </w:rPr>
        <w:t xml:space="preserve"> </w:t>
      </w:r>
      <w:r w:rsidRPr="005E3E65">
        <w:rPr>
          <w:sz w:val="22"/>
          <w:szCs w:val="22"/>
        </w:rPr>
        <w:t xml:space="preserve">žien, preto je podanie metronidazolu u žien v prvom trimestri </w:t>
      </w:r>
      <w:r w:rsidR="00BF0B1E">
        <w:rPr>
          <w:sz w:val="22"/>
          <w:szCs w:val="22"/>
        </w:rPr>
        <w:t>gravidity</w:t>
      </w:r>
      <w:r w:rsidR="00BF0B1E" w:rsidRPr="005E3E65">
        <w:rPr>
          <w:sz w:val="22"/>
          <w:szCs w:val="22"/>
        </w:rPr>
        <w:t xml:space="preserve"> </w:t>
      </w:r>
      <w:r w:rsidRPr="005E3E65">
        <w:rPr>
          <w:sz w:val="22"/>
          <w:szCs w:val="22"/>
        </w:rPr>
        <w:t xml:space="preserve">kontraindikované. </w:t>
      </w:r>
    </w:p>
    <w:p w14:paraId="1F798424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Počas </w:t>
      </w:r>
      <w:r w:rsidR="00BF0B1E">
        <w:rPr>
          <w:sz w:val="22"/>
          <w:szCs w:val="22"/>
        </w:rPr>
        <w:t>gravidity</w:t>
      </w:r>
      <w:r w:rsidR="00BF0B1E" w:rsidRPr="005E3E65">
        <w:rPr>
          <w:sz w:val="22"/>
          <w:szCs w:val="22"/>
        </w:rPr>
        <w:t xml:space="preserve"> </w:t>
      </w:r>
      <w:r w:rsidRPr="005E3E65">
        <w:rPr>
          <w:sz w:val="22"/>
          <w:szCs w:val="22"/>
        </w:rPr>
        <w:t xml:space="preserve">sa môže liek podať len v prípade, ak </w:t>
      </w:r>
      <w:r w:rsidR="00BF0B1E">
        <w:rPr>
          <w:sz w:val="22"/>
          <w:szCs w:val="22"/>
        </w:rPr>
        <w:t>prínos</w:t>
      </w:r>
      <w:r w:rsidR="00BF0B1E" w:rsidRPr="005E3E65">
        <w:rPr>
          <w:sz w:val="22"/>
          <w:szCs w:val="22"/>
        </w:rPr>
        <w:t xml:space="preserve"> </w:t>
      </w:r>
      <w:r w:rsidRPr="005E3E65">
        <w:rPr>
          <w:sz w:val="22"/>
          <w:szCs w:val="22"/>
        </w:rPr>
        <w:t>lieku u matky prevýši riziko poškodenia plodu.</w:t>
      </w:r>
    </w:p>
    <w:p w14:paraId="13CF18FF" w14:textId="77777777" w:rsidR="000C1755" w:rsidRPr="005E3E65" w:rsidRDefault="000C1755" w:rsidP="005E3E65">
      <w:pPr>
        <w:widowControl/>
        <w:rPr>
          <w:sz w:val="22"/>
          <w:szCs w:val="22"/>
        </w:rPr>
      </w:pPr>
    </w:p>
    <w:p w14:paraId="0AFE9FCB" w14:textId="77777777" w:rsidR="000C1755" w:rsidRPr="005E3E65" w:rsidRDefault="00B96D50" w:rsidP="005E3E65">
      <w:pPr>
        <w:widowControl/>
        <w:rPr>
          <w:sz w:val="22"/>
          <w:szCs w:val="22"/>
        </w:rPr>
      </w:pPr>
      <w:r>
        <w:rPr>
          <w:sz w:val="22"/>
          <w:szCs w:val="22"/>
          <w:u w:val="single"/>
        </w:rPr>
        <w:t>Dojčenie</w:t>
      </w:r>
    </w:p>
    <w:p w14:paraId="6544E837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Metronidazol preniká do materského mlieka a dosahuje koncentrácie podobné sérovým, preto sa počas dojčenia nesmie podávať. Ale ak je to nevyhnutné </w:t>
      </w:r>
      <w:r w:rsidR="00BF0B1E">
        <w:rPr>
          <w:sz w:val="22"/>
          <w:szCs w:val="22"/>
        </w:rPr>
        <w:t>,</w:t>
      </w:r>
      <w:r w:rsidRPr="005E3E65">
        <w:rPr>
          <w:sz w:val="22"/>
          <w:szCs w:val="22"/>
        </w:rPr>
        <w:t>musí sa zvážiť prerušenie dojčenia.</w:t>
      </w:r>
    </w:p>
    <w:p w14:paraId="1F8D6C09" w14:textId="77777777" w:rsidR="000C1755" w:rsidRDefault="000C1755" w:rsidP="005E3E65">
      <w:pPr>
        <w:widowControl/>
        <w:rPr>
          <w:sz w:val="22"/>
          <w:szCs w:val="22"/>
        </w:rPr>
      </w:pPr>
    </w:p>
    <w:p w14:paraId="0F7657E2" w14:textId="77777777" w:rsidR="00CB6884" w:rsidRPr="002116DA" w:rsidRDefault="00CB6884" w:rsidP="00CB6884">
      <w:pPr>
        <w:rPr>
          <w:u w:val="single"/>
        </w:rPr>
      </w:pPr>
      <w:r w:rsidRPr="002116DA">
        <w:rPr>
          <w:sz w:val="22"/>
          <w:szCs w:val="22"/>
          <w:u w:val="single"/>
        </w:rPr>
        <w:t>Fertilita</w:t>
      </w:r>
    </w:p>
    <w:p w14:paraId="4A163EEF" w14:textId="77777777" w:rsidR="00CB6884" w:rsidRPr="00AE08E2" w:rsidRDefault="00CB6884" w:rsidP="00CB6884">
      <w:pPr>
        <w:rPr>
          <w:i/>
        </w:rPr>
      </w:pPr>
      <w:r w:rsidRPr="005227FC">
        <w:rPr>
          <w:sz w:val="22"/>
          <w:szCs w:val="22"/>
        </w:rPr>
        <w:t>Štúdie na zvieratách naznačujú možnosť negatívneho vplyvu metronidazolu na mužský reprodukčný systém pri podávaní vysokých dávok, výrazne prevyšujúcich maximálnu odporúčanú dávku u ľudí.</w:t>
      </w:r>
    </w:p>
    <w:p w14:paraId="52793BC0" w14:textId="77777777" w:rsidR="00CB6884" w:rsidRDefault="00CB6884" w:rsidP="005E3E65">
      <w:pPr>
        <w:widowControl/>
        <w:rPr>
          <w:sz w:val="22"/>
          <w:szCs w:val="22"/>
        </w:rPr>
      </w:pPr>
    </w:p>
    <w:p w14:paraId="0FF6284B" w14:textId="77777777" w:rsidR="00CB6884" w:rsidRPr="005E3E65" w:rsidRDefault="00CB6884" w:rsidP="005E3E65">
      <w:pPr>
        <w:widowControl/>
        <w:rPr>
          <w:sz w:val="22"/>
          <w:szCs w:val="22"/>
        </w:rPr>
      </w:pPr>
    </w:p>
    <w:p w14:paraId="71747C2A" w14:textId="77777777" w:rsidR="000C1755" w:rsidRPr="005F095C" w:rsidRDefault="004E719C" w:rsidP="00C629C8">
      <w:pPr>
        <w:ind w:left="567" w:hanging="567"/>
        <w:rPr>
          <w:b/>
          <w:sz w:val="22"/>
          <w:szCs w:val="22"/>
        </w:rPr>
      </w:pPr>
      <w:r w:rsidRPr="005F095C">
        <w:rPr>
          <w:b/>
          <w:sz w:val="22"/>
          <w:szCs w:val="22"/>
        </w:rPr>
        <w:t>4.7</w:t>
      </w:r>
      <w:r w:rsidRPr="005F095C">
        <w:rPr>
          <w:b/>
          <w:sz w:val="22"/>
          <w:szCs w:val="22"/>
        </w:rPr>
        <w:tab/>
      </w:r>
      <w:r w:rsidR="000C1755" w:rsidRPr="005F095C">
        <w:rPr>
          <w:b/>
          <w:sz w:val="22"/>
          <w:szCs w:val="22"/>
        </w:rPr>
        <w:t>Ovplyvnenie schopnosti viesť motorové vozidlo a obsluhovať stroje</w:t>
      </w:r>
    </w:p>
    <w:p w14:paraId="1CCC5CEF" w14:textId="77777777" w:rsidR="00E50341" w:rsidRPr="0032396D" w:rsidRDefault="00E50341" w:rsidP="005E3E65">
      <w:pPr>
        <w:widowControl/>
        <w:rPr>
          <w:color w:val="FF0000"/>
          <w:sz w:val="22"/>
          <w:szCs w:val="22"/>
        </w:rPr>
      </w:pPr>
    </w:p>
    <w:p w14:paraId="6715F219" w14:textId="77777777" w:rsidR="00E50341" w:rsidRPr="005F095C" w:rsidRDefault="00E50341" w:rsidP="00E50341">
      <w:pPr>
        <w:rPr>
          <w:sz w:val="22"/>
          <w:szCs w:val="22"/>
        </w:rPr>
      </w:pPr>
      <w:r w:rsidRPr="005F095C">
        <w:rPr>
          <w:sz w:val="22"/>
          <w:szCs w:val="22"/>
        </w:rPr>
        <w:t>Je potrebné pacientov upozorniť na možné riziko ospalosti, závrat</w:t>
      </w:r>
      <w:r w:rsidR="005E1B89" w:rsidRPr="005F095C">
        <w:rPr>
          <w:sz w:val="22"/>
          <w:szCs w:val="22"/>
        </w:rPr>
        <w:t>u</w:t>
      </w:r>
      <w:r w:rsidR="006E3498">
        <w:rPr>
          <w:sz w:val="22"/>
          <w:szCs w:val="22"/>
        </w:rPr>
        <w:t>,</w:t>
      </w:r>
      <w:r w:rsidRPr="005F095C">
        <w:rPr>
          <w:sz w:val="22"/>
          <w:szCs w:val="22"/>
        </w:rPr>
        <w:t xml:space="preserve"> zmätenosti, halucinácií, kŕčov alebo dočasných porúch zraku a odporučiť im, aby neviedli vozidlá a neobsluhovali stroje, ak sa objavia tieto príznaky. </w:t>
      </w:r>
    </w:p>
    <w:p w14:paraId="4FF5888A" w14:textId="77777777" w:rsidR="000C1755" w:rsidRPr="005F095C" w:rsidRDefault="000C1755" w:rsidP="005E3E65">
      <w:pPr>
        <w:pStyle w:val="Zkladntext"/>
        <w:widowControl/>
        <w:rPr>
          <w:sz w:val="22"/>
          <w:szCs w:val="22"/>
        </w:rPr>
      </w:pPr>
    </w:p>
    <w:p w14:paraId="1983FFB6" w14:textId="77777777" w:rsidR="000C1755" w:rsidRPr="005F095C" w:rsidRDefault="004E719C" w:rsidP="00C629C8">
      <w:pPr>
        <w:ind w:left="567" w:hanging="567"/>
        <w:rPr>
          <w:b/>
          <w:sz w:val="22"/>
          <w:szCs w:val="22"/>
        </w:rPr>
      </w:pPr>
      <w:r w:rsidRPr="005F095C">
        <w:rPr>
          <w:b/>
          <w:sz w:val="22"/>
          <w:szCs w:val="22"/>
        </w:rPr>
        <w:t>4.8</w:t>
      </w:r>
      <w:r w:rsidRPr="005F095C">
        <w:rPr>
          <w:b/>
          <w:sz w:val="22"/>
          <w:szCs w:val="22"/>
        </w:rPr>
        <w:tab/>
      </w:r>
      <w:r w:rsidR="000C1755" w:rsidRPr="005F095C">
        <w:rPr>
          <w:b/>
          <w:sz w:val="22"/>
          <w:szCs w:val="22"/>
        </w:rPr>
        <w:t>Nežiaduce účinky</w:t>
      </w:r>
    </w:p>
    <w:p w14:paraId="77F599F8" w14:textId="77777777" w:rsidR="00A02155" w:rsidRPr="005F095C" w:rsidRDefault="00A02155" w:rsidP="00A02155">
      <w:pPr>
        <w:pStyle w:val="Zkladntext3"/>
        <w:spacing w:before="0" w:line="240" w:lineRule="auto"/>
        <w:rPr>
          <w:rFonts w:ascii="Times New Roman" w:hAnsi="Times New Roman"/>
        </w:rPr>
      </w:pPr>
    </w:p>
    <w:p w14:paraId="2420A96B" w14:textId="77777777" w:rsidR="00A02155" w:rsidRPr="005F095C" w:rsidRDefault="00A02155" w:rsidP="00A02155">
      <w:pPr>
        <w:pStyle w:val="Zkladntext3"/>
        <w:spacing w:before="0" w:line="240" w:lineRule="auto"/>
        <w:rPr>
          <w:rFonts w:ascii="Times New Roman" w:hAnsi="Times New Roman"/>
        </w:rPr>
      </w:pPr>
      <w:r w:rsidRPr="005F095C">
        <w:rPr>
          <w:rFonts w:ascii="Times New Roman" w:hAnsi="Times New Roman"/>
        </w:rPr>
        <w:t>Frekvencia, druh a závažnosť nežiaducich reakcií sú u detí podobné ako u dospelých.</w:t>
      </w:r>
    </w:p>
    <w:p w14:paraId="14103E1F" w14:textId="77777777" w:rsidR="00D7602B" w:rsidRPr="005F095C" w:rsidRDefault="00D7602B" w:rsidP="00A02155">
      <w:pPr>
        <w:rPr>
          <w:sz w:val="22"/>
          <w:szCs w:val="22"/>
          <w:u w:val="single"/>
        </w:rPr>
      </w:pPr>
    </w:p>
    <w:p w14:paraId="4E2BF358" w14:textId="77777777" w:rsidR="00E50341" w:rsidRPr="005F095C" w:rsidRDefault="00E50341" w:rsidP="00E50341">
      <w:pPr>
        <w:rPr>
          <w:sz w:val="22"/>
          <w:szCs w:val="22"/>
        </w:rPr>
      </w:pPr>
      <w:r w:rsidRPr="005F095C">
        <w:rPr>
          <w:sz w:val="22"/>
          <w:szCs w:val="22"/>
        </w:rPr>
        <w:t xml:space="preserve">Frekvencia nižšie uvedených nežiaducich účinkov je definovaná podľa nasledovnej konvencie: veľmi časté (≥ 1/10); časté (≥ 1/100 </w:t>
      </w:r>
      <w:r w:rsidR="00210EE5">
        <w:rPr>
          <w:sz w:val="22"/>
          <w:szCs w:val="22"/>
        </w:rPr>
        <w:t>až</w:t>
      </w:r>
      <w:r w:rsidRPr="005F095C">
        <w:rPr>
          <w:sz w:val="22"/>
          <w:szCs w:val="22"/>
        </w:rPr>
        <w:t xml:space="preserve"> &lt; 1/10); menej časté (≥ 1/1,000 </w:t>
      </w:r>
      <w:r w:rsidR="00210EE5">
        <w:rPr>
          <w:sz w:val="22"/>
          <w:szCs w:val="22"/>
        </w:rPr>
        <w:t>až</w:t>
      </w:r>
      <w:r w:rsidRPr="005F095C">
        <w:rPr>
          <w:sz w:val="22"/>
          <w:szCs w:val="22"/>
        </w:rPr>
        <w:t xml:space="preserve"> &lt; 1/100); zriedkavé (≥</w:t>
      </w:r>
    </w:p>
    <w:p w14:paraId="072346C5" w14:textId="77777777" w:rsidR="00E50341" w:rsidRPr="005F095C" w:rsidRDefault="00E50341" w:rsidP="00E50341">
      <w:pPr>
        <w:rPr>
          <w:sz w:val="22"/>
          <w:szCs w:val="22"/>
        </w:rPr>
      </w:pPr>
      <w:r w:rsidRPr="005F095C">
        <w:rPr>
          <w:sz w:val="22"/>
          <w:szCs w:val="22"/>
        </w:rPr>
        <w:t xml:space="preserve">1/10,000 </w:t>
      </w:r>
      <w:r w:rsidR="00210EE5">
        <w:rPr>
          <w:sz w:val="22"/>
          <w:szCs w:val="22"/>
        </w:rPr>
        <w:t>až</w:t>
      </w:r>
      <w:r w:rsidRPr="005F095C">
        <w:rPr>
          <w:sz w:val="22"/>
          <w:szCs w:val="22"/>
        </w:rPr>
        <w:t xml:space="preserve"> &lt; 1/1,000); veľmi zriedkavé (&lt; 1/10,000), neznáme (nemožno odhadnúť z dostupných údajov).</w:t>
      </w:r>
    </w:p>
    <w:p w14:paraId="6F5EB833" w14:textId="77777777" w:rsidR="00A02155" w:rsidRPr="005F095C" w:rsidRDefault="00A02155" w:rsidP="00A02155">
      <w:pPr>
        <w:rPr>
          <w:sz w:val="22"/>
          <w:szCs w:val="22"/>
        </w:rPr>
      </w:pPr>
    </w:p>
    <w:p w14:paraId="1FCD650E" w14:textId="77777777" w:rsidR="00E50341" w:rsidRPr="005F095C" w:rsidRDefault="00E50341" w:rsidP="00E50341">
      <w:pPr>
        <w:rPr>
          <w:sz w:val="22"/>
          <w:szCs w:val="22"/>
        </w:rPr>
      </w:pPr>
      <w:r w:rsidRPr="005F095C">
        <w:rPr>
          <w:sz w:val="22"/>
          <w:szCs w:val="22"/>
        </w:rPr>
        <w:t xml:space="preserve">Závažné nežiaduce reakcie sa vyskytujú zriedkavo pri </w:t>
      </w:r>
      <w:r w:rsidR="005E1B89" w:rsidRPr="005F095C">
        <w:rPr>
          <w:sz w:val="22"/>
          <w:szCs w:val="22"/>
        </w:rPr>
        <w:t xml:space="preserve">štandardných </w:t>
      </w:r>
      <w:r w:rsidRPr="005F095C">
        <w:rPr>
          <w:sz w:val="22"/>
          <w:szCs w:val="22"/>
        </w:rPr>
        <w:t xml:space="preserve">odporúčaných postupoch. Lekári, </w:t>
      </w:r>
      <w:r w:rsidRPr="005F095C">
        <w:rPr>
          <w:sz w:val="22"/>
          <w:szCs w:val="22"/>
        </w:rPr>
        <w:lastRenderedPageBreak/>
        <w:t xml:space="preserve">ktorí zvažujú kontinuálnu liečbu chronických stavov na dlhšie obdobie, ako je odporúčané, musia zvážiť terapeutický benefit proti riziku periférnej neuropatie. </w:t>
      </w:r>
    </w:p>
    <w:p w14:paraId="25AA8C8D" w14:textId="77777777" w:rsidR="00A02155" w:rsidRPr="005F095C" w:rsidRDefault="00A02155" w:rsidP="00A02155">
      <w:pPr>
        <w:rPr>
          <w:sz w:val="22"/>
          <w:szCs w:val="22"/>
        </w:rPr>
      </w:pPr>
    </w:p>
    <w:p w14:paraId="1ADEB51F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krvi a lymfatického systému:</w:t>
      </w:r>
    </w:p>
    <w:p w14:paraId="6CD72D11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Veľmi zriedkavé: agranulocytóza, neutropénia, trombocytopénia, pancytopénia</w:t>
      </w:r>
    </w:p>
    <w:p w14:paraId="15E8D7F8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Neznáme: leukopénia</w:t>
      </w:r>
    </w:p>
    <w:p w14:paraId="20B20310" w14:textId="77777777" w:rsidR="00A02155" w:rsidRPr="005F095C" w:rsidRDefault="00A02155" w:rsidP="00A02155">
      <w:pPr>
        <w:rPr>
          <w:sz w:val="22"/>
          <w:szCs w:val="22"/>
        </w:rPr>
      </w:pPr>
    </w:p>
    <w:p w14:paraId="682C389A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imunitného systému:</w:t>
      </w:r>
    </w:p>
    <w:p w14:paraId="03846A34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Zriedkavé: anafylaxia</w:t>
      </w:r>
    </w:p>
    <w:p w14:paraId="09EB02D8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Neznáme: angioedém, žihľavka, horúčka</w:t>
      </w:r>
    </w:p>
    <w:p w14:paraId="17D8C38E" w14:textId="77777777" w:rsidR="00A02155" w:rsidRPr="005F095C" w:rsidRDefault="00A02155" w:rsidP="00A02155">
      <w:pPr>
        <w:rPr>
          <w:sz w:val="22"/>
          <w:szCs w:val="22"/>
        </w:rPr>
      </w:pPr>
    </w:p>
    <w:p w14:paraId="71D2E311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metabolizmu a výživy:</w:t>
      </w:r>
    </w:p>
    <w:p w14:paraId="425E0421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Neznáme: anorexia</w:t>
      </w:r>
    </w:p>
    <w:p w14:paraId="2BD130B1" w14:textId="77777777" w:rsidR="00A02155" w:rsidRPr="005F095C" w:rsidRDefault="00A02155" w:rsidP="00A02155">
      <w:pPr>
        <w:rPr>
          <w:sz w:val="22"/>
          <w:szCs w:val="22"/>
        </w:rPr>
      </w:pPr>
    </w:p>
    <w:p w14:paraId="1345D3D0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Psychické poruchy:</w:t>
      </w:r>
    </w:p>
    <w:p w14:paraId="78DBA069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Veľmi zriedkavé: psychotické stavy vrátane zmätenosti a halucinácií</w:t>
      </w:r>
    </w:p>
    <w:p w14:paraId="1CA5D1C9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Neznáme: depresívna nálada</w:t>
      </w:r>
    </w:p>
    <w:p w14:paraId="206DC664" w14:textId="77777777" w:rsidR="00A02155" w:rsidRPr="005F095C" w:rsidRDefault="00A02155" w:rsidP="00A02155">
      <w:pPr>
        <w:rPr>
          <w:sz w:val="22"/>
          <w:szCs w:val="22"/>
        </w:rPr>
      </w:pPr>
    </w:p>
    <w:p w14:paraId="2E60B0E9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nervového systému:</w:t>
      </w:r>
    </w:p>
    <w:p w14:paraId="4E6FB887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Veľmi zriedkavé:</w:t>
      </w:r>
    </w:p>
    <w:p w14:paraId="2F0703BD" w14:textId="77777777" w:rsidR="002C4EE0" w:rsidRPr="005F095C" w:rsidRDefault="002C4EE0" w:rsidP="005F095C">
      <w:pPr>
        <w:widowControl/>
        <w:numPr>
          <w:ilvl w:val="0"/>
          <w:numId w:val="28"/>
        </w:numPr>
        <w:ind w:left="567" w:hanging="567"/>
        <w:rPr>
          <w:sz w:val="22"/>
          <w:szCs w:val="22"/>
        </w:rPr>
      </w:pPr>
      <w:r w:rsidRPr="005F095C">
        <w:rPr>
          <w:sz w:val="22"/>
          <w:szCs w:val="22"/>
        </w:rPr>
        <w:t xml:space="preserve">encefalopatia (napr. zmätenosť, </w:t>
      </w:r>
      <w:r w:rsidR="005E1B89" w:rsidRPr="005F095C">
        <w:rPr>
          <w:sz w:val="22"/>
          <w:szCs w:val="22"/>
        </w:rPr>
        <w:t xml:space="preserve">horúčka, </w:t>
      </w:r>
      <w:r w:rsidRPr="005F095C">
        <w:rPr>
          <w:sz w:val="22"/>
          <w:szCs w:val="22"/>
        </w:rPr>
        <w:t xml:space="preserve">bolesť hlavy, halucinácie, paralýza, citlivosť na svetlo, poruchy zraku a pohybu, stuhnutosť šije) a subakútny cerebelárny syndróm (napr. ataxia, dysartria, porucha chôdze, nystagmus a tremor), ktorý môže </w:t>
      </w:r>
      <w:r w:rsidR="006E3498">
        <w:rPr>
          <w:sz w:val="22"/>
          <w:szCs w:val="22"/>
        </w:rPr>
        <w:t>odoznieť po vysadení lieku</w:t>
      </w:r>
      <w:r w:rsidRPr="005F095C">
        <w:rPr>
          <w:sz w:val="22"/>
          <w:szCs w:val="22"/>
        </w:rPr>
        <w:t>.</w:t>
      </w:r>
    </w:p>
    <w:p w14:paraId="3B272454" w14:textId="77777777" w:rsidR="002C4EE0" w:rsidRPr="005F095C" w:rsidRDefault="002C4EE0" w:rsidP="005F095C">
      <w:pPr>
        <w:widowControl/>
        <w:numPr>
          <w:ilvl w:val="0"/>
          <w:numId w:val="28"/>
        </w:numPr>
        <w:ind w:left="567" w:hanging="567"/>
        <w:rPr>
          <w:sz w:val="22"/>
          <w:szCs w:val="22"/>
        </w:rPr>
      </w:pPr>
      <w:r w:rsidRPr="005F095C">
        <w:rPr>
          <w:sz w:val="22"/>
          <w:szCs w:val="22"/>
        </w:rPr>
        <w:t>ospalosť, závraty, kŕče, bolesť hlavy</w:t>
      </w:r>
    </w:p>
    <w:p w14:paraId="67A98CF8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Neznáme:</w:t>
      </w:r>
    </w:p>
    <w:p w14:paraId="6E91F9DB" w14:textId="77777777" w:rsidR="002C4EE0" w:rsidRPr="005F095C" w:rsidRDefault="002C4EE0" w:rsidP="005F095C">
      <w:pPr>
        <w:widowControl/>
        <w:numPr>
          <w:ilvl w:val="0"/>
          <w:numId w:val="28"/>
        </w:numPr>
        <w:ind w:left="567" w:hanging="567"/>
        <w:rPr>
          <w:sz w:val="22"/>
          <w:szCs w:val="22"/>
        </w:rPr>
      </w:pPr>
      <w:r w:rsidRPr="005F095C">
        <w:rPr>
          <w:sz w:val="22"/>
          <w:szCs w:val="22"/>
        </w:rPr>
        <w:t xml:space="preserve">Počas intenzívnej a/alebo dlhšie trvajúcej liečby metronidazolom </w:t>
      </w:r>
      <w:r w:rsidR="007157F4">
        <w:rPr>
          <w:sz w:val="22"/>
          <w:szCs w:val="22"/>
        </w:rPr>
        <w:t>boli</w:t>
      </w:r>
      <w:r w:rsidRPr="005F095C">
        <w:rPr>
          <w:sz w:val="22"/>
          <w:szCs w:val="22"/>
        </w:rPr>
        <w:t xml:space="preserve"> hlás</w:t>
      </w:r>
      <w:r w:rsidR="007157F4">
        <w:rPr>
          <w:sz w:val="22"/>
          <w:szCs w:val="22"/>
        </w:rPr>
        <w:t>ené</w:t>
      </w:r>
      <w:r w:rsidRPr="005F095C">
        <w:rPr>
          <w:sz w:val="22"/>
          <w:szCs w:val="22"/>
        </w:rPr>
        <w:t xml:space="preserve"> periférna senzorická neuropatia alebo prechodné epileptiformné záchvaty. Vo väčšine prípadov neuropatia vymizla po skončení liečby alebo po znížení dávky.</w:t>
      </w:r>
    </w:p>
    <w:p w14:paraId="712B38BF" w14:textId="77777777" w:rsidR="002C4EE0" w:rsidRPr="005F095C" w:rsidRDefault="002C4EE0" w:rsidP="005F095C">
      <w:pPr>
        <w:widowControl/>
        <w:numPr>
          <w:ilvl w:val="0"/>
          <w:numId w:val="28"/>
        </w:numPr>
        <w:ind w:left="567" w:hanging="567"/>
        <w:rPr>
          <w:sz w:val="22"/>
          <w:szCs w:val="22"/>
        </w:rPr>
      </w:pPr>
      <w:r w:rsidRPr="005F095C">
        <w:rPr>
          <w:sz w:val="22"/>
          <w:szCs w:val="22"/>
        </w:rPr>
        <w:t>aseptická meningitída</w:t>
      </w:r>
    </w:p>
    <w:p w14:paraId="222CF0B3" w14:textId="77777777" w:rsidR="00A02155" w:rsidRPr="005F095C" w:rsidRDefault="00A02155" w:rsidP="00A02155">
      <w:pPr>
        <w:rPr>
          <w:sz w:val="22"/>
          <w:szCs w:val="22"/>
        </w:rPr>
      </w:pPr>
    </w:p>
    <w:p w14:paraId="311AB980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oka:</w:t>
      </w:r>
    </w:p>
    <w:p w14:paraId="694B3F5C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 xml:space="preserve">Veľmi zriedkavé: poruchy videnia ako diplopia a myopia, ktoré </w:t>
      </w:r>
      <w:r w:rsidR="007157F4">
        <w:rPr>
          <w:sz w:val="22"/>
          <w:szCs w:val="22"/>
        </w:rPr>
        <w:t xml:space="preserve">sú </w:t>
      </w:r>
      <w:r w:rsidRPr="005F095C">
        <w:rPr>
          <w:sz w:val="22"/>
          <w:szCs w:val="22"/>
        </w:rPr>
        <w:t>vo väčšine prípadov prechodné.</w:t>
      </w:r>
    </w:p>
    <w:p w14:paraId="06CAA0CA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Neznáme: optická neuropatia/neuritída.</w:t>
      </w:r>
    </w:p>
    <w:p w14:paraId="26871C3B" w14:textId="77777777" w:rsidR="00A02155" w:rsidRPr="005F095C" w:rsidRDefault="00A02155" w:rsidP="00A02155">
      <w:pPr>
        <w:rPr>
          <w:sz w:val="22"/>
          <w:szCs w:val="22"/>
        </w:rPr>
      </w:pPr>
    </w:p>
    <w:p w14:paraId="2852DBC7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gastrointestinálneho traktu:</w:t>
      </w:r>
    </w:p>
    <w:p w14:paraId="0DC61AB1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Neznáme: poruchy chuti, orálna mukozitída, povlak na jazyku, nauzea, vracanie, gastrointestinálne problémy ako epigastrická bolesť a hnačka.</w:t>
      </w:r>
    </w:p>
    <w:p w14:paraId="03FAB107" w14:textId="77777777" w:rsidR="00A02155" w:rsidRPr="005F095C" w:rsidRDefault="00A02155" w:rsidP="00A02155">
      <w:pPr>
        <w:rPr>
          <w:sz w:val="22"/>
          <w:szCs w:val="22"/>
        </w:rPr>
      </w:pPr>
    </w:p>
    <w:p w14:paraId="4365F9EA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pečene a žlčových ciest</w:t>
      </w:r>
    </w:p>
    <w:p w14:paraId="3A314B78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Veľmi zriedkavé:</w:t>
      </w:r>
    </w:p>
    <w:p w14:paraId="1028FCAF" w14:textId="77777777" w:rsidR="002C4EE0" w:rsidRPr="005F095C" w:rsidRDefault="002C4EE0" w:rsidP="005F095C">
      <w:pPr>
        <w:widowControl/>
        <w:numPr>
          <w:ilvl w:val="0"/>
          <w:numId w:val="29"/>
        </w:numPr>
        <w:ind w:left="567" w:hanging="567"/>
        <w:rPr>
          <w:sz w:val="22"/>
          <w:szCs w:val="22"/>
        </w:rPr>
      </w:pPr>
      <w:r w:rsidRPr="005F095C">
        <w:rPr>
          <w:sz w:val="22"/>
          <w:szCs w:val="22"/>
        </w:rPr>
        <w:t>zvýšené pečeňové enzýmy (AST, ALT, alkalická fosfatáza), cholestatická alebo zmiešaná hepatitída a hepatoceluláne poškodenie pečene, žltačka a pankreatitída, ktoré sú reverzibilné po vysadení lieku.</w:t>
      </w:r>
    </w:p>
    <w:p w14:paraId="0F7280FF" w14:textId="77777777" w:rsidR="002C4EE0" w:rsidRPr="005F095C" w:rsidRDefault="002C4EE0" w:rsidP="005F095C">
      <w:pPr>
        <w:widowControl/>
        <w:numPr>
          <w:ilvl w:val="0"/>
          <w:numId w:val="29"/>
        </w:numPr>
        <w:ind w:left="567" w:hanging="567"/>
        <w:rPr>
          <w:sz w:val="22"/>
          <w:szCs w:val="22"/>
        </w:rPr>
      </w:pPr>
      <w:r w:rsidRPr="005F095C">
        <w:rPr>
          <w:sz w:val="22"/>
          <w:szCs w:val="22"/>
        </w:rPr>
        <w:t xml:space="preserve">prípady zlyhania pečene, ktoré vyžadovali transplantáciu pečene </w:t>
      </w:r>
      <w:r w:rsidR="007157F4">
        <w:rPr>
          <w:sz w:val="22"/>
          <w:szCs w:val="22"/>
        </w:rPr>
        <w:t>boli</w:t>
      </w:r>
      <w:r w:rsidRPr="005F095C">
        <w:rPr>
          <w:sz w:val="22"/>
          <w:szCs w:val="22"/>
        </w:rPr>
        <w:t xml:space="preserve"> hlás</w:t>
      </w:r>
      <w:r w:rsidR="007157F4">
        <w:rPr>
          <w:sz w:val="22"/>
          <w:szCs w:val="22"/>
        </w:rPr>
        <w:t>ené</w:t>
      </w:r>
      <w:r w:rsidRPr="005F095C">
        <w:rPr>
          <w:sz w:val="22"/>
          <w:szCs w:val="22"/>
        </w:rPr>
        <w:t xml:space="preserve"> u pacientov liečených metronidazolom v kombinácii s inými antibiotikami.</w:t>
      </w:r>
    </w:p>
    <w:p w14:paraId="36CB6BB0" w14:textId="77777777" w:rsidR="00A02155" w:rsidRPr="005F095C" w:rsidRDefault="00A02155" w:rsidP="00A02155">
      <w:pPr>
        <w:rPr>
          <w:sz w:val="22"/>
          <w:szCs w:val="22"/>
        </w:rPr>
      </w:pPr>
    </w:p>
    <w:p w14:paraId="34EF097E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kože a podkožn</w:t>
      </w:r>
      <w:r w:rsidR="00D32461">
        <w:rPr>
          <w:sz w:val="22"/>
          <w:szCs w:val="22"/>
        </w:rPr>
        <w:t>ého</w:t>
      </w:r>
      <w:r w:rsidRPr="005F095C">
        <w:rPr>
          <w:sz w:val="22"/>
          <w:szCs w:val="22"/>
        </w:rPr>
        <w:t xml:space="preserve"> tkan</w:t>
      </w:r>
      <w:r w:rsidR="00D32461">
        <w:rPr>
          <w:sz w:val="22"/>
          <w:szCs w:val="22"/>
        </w:rPr>
        <w:t>iva</w:t>
      </w:r>
      <w:r w:rsidRPr="005F095C">
        <w:rPr>
          <w:sz w:val="22"/>
          <w:szCs w:val="22"/>
        </w:rPr>
        <w:t>:</w:t>
      </w:r>
    </w:p>
    <w:p w14:paraId="514BF659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Veľmi zriedkavé: kožné vyrážky, pustulárne erupcie, pruritus, začervenanie</w:t>
      </w:r>
    </w:p>
    <w:p w14:paraId="6A368A6C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Neznáme: erythema multiforme, Stevensov-Johnsonov syndróm alebo toxická epidermálna nekrolýza</w:t>
      </w:r>
      <w:r w:rsidR="00210EE5">
        <w:rPr>
          <w:sz w:val="22"/>
          <w:szCs w:val="22"/>
        </w:rPr>
        <w:t>, fixný výsyp po lieku</w:t>
      </w:r>
      <w:r w:rsidRPr="005F095C">
        <w:rPr>
          <w:sz w:val="22"/>
          <w:szCs w:val="22"/>
        </w:rPr>
        <w:t>.</w:t>
      </w:r>
    </w:p>
    <w:p w14:paraId="4969461F" w14:textId="77777777" w:rsidR="00A02155" w:rsidRPr="005F095C" w:rsidRDefault="00A02155" w:rsidP="00A02155">
      <w:pPr>
        <w:rPr>
          <w:sz w:val="22"/>
          <w:szCs w:val="22"/>
        </w:rPr>
      </w:pPr>
    </w:p>
    <w:p w14:paraId="66B3FAE3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lastRenderedPageBreak/>
        <w:t>Poruchy kostrovej a svalovej sústavy a spojivového tkaniva:</w:t>
      </w:r>
    </w:p>
    <w:p w14:paraId="21ACB853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Veľmi zriedkavé: myalgia, artralgia</w:t>
      </w:r>
    </w:p>
    <w:p w14:paraId="7A28042B" w14:textId="77777777" w:rsidR="00A02155" w:rsidRPr="005F095C" w:rsidRDefault="00A02155" w:rsidP="00A02155">
      <w:pPr>
        <w:rPr>
          <w:sz w:val="22"/>
          <w:szCs w:val="22"/>
        </w:rPr>
      </w:pPr>
    </w:p>
    <w:p w14:paraId="6C34D26A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obličiek a močových ciest:</w:t>
      </w:r>
    </w:p>
    <w:p w14:paraId="417922D2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Veľmi zriedkavé: stmavnutie moču (kvôli metabolitom metronidazolu)</w:t>
      </w:r>
    </w:p>
    <w:p w14:paraId="5F39A4EF" w14:textId="77777777" w:rsidR="00A02155" w:rsidRPr="005F095C" w:rsidRDefault="00A02155" w:rsidP="00A02155">
      <w:pPr>
        <w:rPr>
          <w:sz w:val="22"/>
          <w:szCs w:val="22"/>
        </w:rPr>
      </w:pPr>
    </w:p>
    <w:p w14:paraId="41794C13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Poruchy reprodukčného systému a prsníkov:</w:t>
      </w:r>
    </w:p>
    <w:p w14:paraId="65685A47" w14:textId="77777777" w:rsidR="002C4EE0" w:rsidRPr="005F095C" w:rsidRDefault="002C4EE0" w:rsidP="002C4EE0">
      <w:pPr>
        <w:rPr>
          <w:sz w:val="22"/>
          <w:szCs w:val="22"/>
        </w:rPr>
      </w:pPr>
      <w:r w:rsidRPr="005F095C">
        <w:rPr>
          <w:sz w:val="22"/>
          <w:szCs w:val="22"/>
        </w:rPr>
        <w:t>Neznáme: vaginálna bolesť, kvasinková infekcia</w:t>
      </w:r>
    </w:p>
    <w:p w14:paraId="6F5C4CC7" w14:textId="77777777" w:rsidR="00A02155" w:rsidRPr="005F095C" w:rsidRDefault="00A02155" w:rsidP="00A02155">
      <w:pPr>
        <w:rPr>
          <w:sz w:val="22"/>
          <w:szCs w:val="22"/>
        </w:rPr>
      </w:pPr>
    </w:p>
    <w:p w14:paraId="42FA5937" w14:textId="77777777" w:rsidR="00D7602B" w:rsidRPr="005F095C" w:rsidRDefault="002C4EE0" w:rsidP="00D7602B">
      <w:pPr>
        <w:autoSpaceDE w:val="0"/>
        <w:autoSpaceDN w:val="0"/>
        <w:adjustRightInd w:val="0"/>
        <w:rPr>
          <w:sz w:val="22"/>
          <w:szCs w:val="22"/>
          <w:highlight w:val="yellow"/>
        </w:rPr>
      </w:pPr>
      <w:r w:rsidRPr="005F095C">
        <w:rPr>
          <w:sz w:val="22"/>
          <w:szCs w:val="22"/>
        </w:rPr>
        <w:t>Celkové reakcie a reakcie v mieste podania:</w:t>
      </w:r>
      <w:r w:rsidR="005F095C" w:rsidRPr="005F095C">
        <w:rPr>
          <w:sz w:val="22"/>
          <w:szCs w:val="22"/>
        </w:rPr>
        <w:t xml:space="preserve"> </w:t>
      </w:r>
      <w:r w:rsidR="00D7602B" w:rsidRPr="005F095C">
        <w:rPr>
          <w:sz w:val="22"/>
          <w:szCs w:val="22"/>
        </w:rPr>
        <w:t>tromboflebitída po intravenóznej infúzii. Túto reakciu možno</w:t>
      </w:r>
      <w:r w:rsidR="00D7602B" w:rsidRPr="00DD1202">
        <w:rPr>
          <w:sz w:val="22"/>
          <w:szCs w:val="22"/>
        </w:rPr>
        <w:t xml:space="preserve"> minimalizovať predchádzaním dlhodobého používania dočasne zavedených intravenóznych katétrov. </w:t>
      </w:r>
    </w:p>
    <w:p w14:paraId="193D749D" w14:textId="77777777" w:rsidR="00D7602B" w:rsidRDefault="00D7602B" w:rsidP="00A02155">
      <w:pPr>
        <w:rPr>
          <w:sz w:val="22"/>
          <w:szCs w:val="22"/>
        </w:rPr>
      </w:pPr>
    </w:p>
    <w:p w14:paraId="65AF7882" w14:textId="77777777" w:rsidR="002C4EE0" w:rsidRPr="00F2138D" w:rsidRDefault="002C4EE0" w:rsidP="002C4EE0">
      <w:pPr>
        <w:tabs>
          <w:tab w:val="left" w:pos="1418"/>
        </w:tabs>
        <w:jc w:val="both"/>
        <w:rPr>
          <w:sz w:val="22"/>
          <w:szCs w:val="22"/>
          <w:u w:val="single"/>
        </w:rPr>
      </w:pPr>
      <w:r w:rsidRPr="00F2138D">
        <w:rPr>
          <w:sz w:val="22"/>
          <w:szCs w:val="22"/>
          <w:u w:val="single"/>
        </w:rPr>
        <w:t>Hlásenie podozrení na nežiaduce reakcie</w:t>
      </w:r>
    </w:p>
    <w:p w14:paraId="17AF0C63" w14:textId="77777777" w:rsidR="002C4EE0" w:rsidRPr="00F2138D" w:rsidRDefault="002C4EE0" w:rsidP="002C4EE0">
      <w:pPr>
        <w:tabs>
          <w:tab w:val="left" w:pos="1418"/>
        </w:tabs>
        <w:jc w:val="both"/>
        <w:rPr>
          <w:sz w:val="22"/>
          <w:szCs w:val="22"/>
        </w:rPr>
      </w:pPr>
      <w:r w:rsidRPr="00F2138D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834018">
        <w:rPr>
          <w:sz w:val="22"/>
          <w:szCs w:val="22"/>
        </w:rPr>
        <w:t>na</w:t>
      </w:r>
      <w:r w:rsidRPr="00F2138D">
        <w:rPr>
          <w:sz w:val="22"/>
          <w:szCs w:val="22"/>
        </w:rPr>
        <w:t xml:space="preserve"> </w:t>
      </w:r>
      <w:r w:rsidRPr="00F2138D">
        <w:rPr>
          <w:sz w:val="22"/>
          <w:szCs w:val="22"/>
          <w:highlight w:val="lightGray"/>
        </w:rPr>
        <w:t xml:space="preserve">národné </w:t>
      </w:r>
      <w:r w:rsidR="0012066C">
        <w:rPr>
          <w:sz w:val="22"/>
          <w:szCs w:val="22"/>
          <w:highlight w:val="lightGray"/>
        </w:rPr>
        <w:t>centrum</w:t>
      </w:r>
      <w:r w:rsidRPr="00F2138D">
        <w:rPr>
          <w:sz w:val="22"/>
          <w:szCs w:val="22"/>
          <w:highlight w:val="lightGray"/>
        </w:rPr>
        <w:t xml:space="preserve"> hlásenia uvedené v </w:t>
      </w:r>
      <w:hyperlink r:id="rId10" w:history="1">
        <w:r w:rsidRPr="00F2138D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F2138D">
        <w:rPr>
          <w:sz w:val="22"/>
          <w:szCs w:val="22"/>
        </w:rPr>
        <w:t>.</w:t>
      </w:r>
    </w:p>
    <w:p w14:paraId="317B00CA" w14:textId="77777777" w:rsidR="00A02155" w:rsidRDefault="00A02155" w:rsidP="009079E8">
      <w:pPr>
        <w:rPr>
          <w:b/>
          <w:sz w:val="22"/>
          <w:szCs w:val="22"/>
        </w:rPr>
      </w:pPr>
    </w:p>
    <w:p w14:paraId="56DA2285" w14:textId="77777777" w:rsidR="000C1755" w:rsidRPr="005E3E65" w:rsidRDefault="004E719C" w:rsidP="00C629C8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4.9</w:t>
      </w:r>
      <w:r w:rsidRPr="005E3E65">
        <w:rPr>
          <w:b/>
          <w:sz w:val="22"/>
          <w:szCs w:val="22"/>
        </w:rPr>
        <w:tab/>
      </w:r>
      <w:r w:rsidR="000C1755" w:rsidRPr="005E3E65">
        <w:rPr>
          <w:b/>
          <w:sz w:val="22"/>
          <w:szCs w:val="22"/>
        </w:rPr>
        <w:t>Predávkovanie</w:t>
      </w:r>
    </w:p>
    <w:p w14:paraId="096B19B1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>Pri dodržaní predpísaného dávkovania neboli hlásené prípady predávkovania. Špecifické antidotum nie je známe, preto sa pri náhodnom predávkovaní odporúča symptomatická liečba.</w:t>
      </w:r>
    </w:p>
    <w:p w14:paraId="6CC558D1" w14:textId="77777777" w:rsidR="00B027B0" w:rsidRDefault="00B027B0" w:rsidP="00AC6303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</w:p>
    <w:p w14:paraId="69ED28A2" w14:textId="77777777" w:rsidR="00B027B0" w:rsidRDefault="00B027B0" w:rsidP="00AC6303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</w:p>
    <w:p w14:paraId="4A3CBF78" w14:textId="77777777" w:rsidR="000C1755" w:rsidRPr="005E3E65" w:rsidRDefault="000C1755" w:rsidP="00AC6303">
      <w:pPr>
        <w:autoSpaceDE w:val="0"/>
        <w:autoSpaceDN w:val="0"/>
        <w:adjustRightInd w:val="0"/>
        <w:ind w:left="567" w:hanging="567"/>
        <w:rPr>
          <w:b/>
          <w:bCs/>
          <w:sz w:val="22"/>
          <w:szCs w:val="22"/>
        </w:rPr>
      </w:pPr>
      <w:r w:rsidRPr="005E3E65">
        <w:rPr>
          <w:b/>
          <w:bCs/>
          <w:sz w:val="22"/>
          <w:szCs w:val="22"/>
        </w:rPr>
        <w:t>5.</w:t>
      </w:r>
      <w:r w:rsidR="00AC6303">
        <w:rPr>
          <w:b/>
          <w:bCs/>
          <w:sz w:val="22"/>
          <w:szCs w:val="22"/>
        </w:rPr>
        <w:tab/>
      </w:r>
      <w:r w:rsidRPr="005E3E65">
        <w:rPr>
          <w:b/>
          <w:bCs/>
          <w:sz w:val="22"/>
          <w:szCs w:val="22"/>
        </w:rPr>
        <w:t>FARMAKOLOGICKÉ VLASTNOSTI</w:t>
      </w:r>
    </w:p>
    <w:p w14:paraId="178A38A9" w14:textId="77777777" w:rsidR="000C1755" w:rsidRPr="005E3E65" w:rsidRDefault="000C1755" w:rsidP="005E3E65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CAC6B9C" w14:textId="77777777" w:rsidR="000C1755" w:rsidRPr="005E3E65" w:rsidRDefault="000C1755" w:rsidP="00AC6303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E3E65">
        <w:rPr>
          <w:b/>
          <w:sz w:val="22"/>
          <w:szCs w:val="22"/>
        </w:rPr>
        <w:t>5.1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Farmakodynamické vlastnosti</w:t>
      </w:r>
    </w:p>
    <w:p w14:paraId="6DA90CB2" w14:textId="77777777" w:rsidR="00A02155" w:rsidRDefault="00A02155" w:rsidP="005E3E65">
      <w:pPr>
        <w:autoSpaceDE w:val="0"/>
        <w:autoSpaceDN w:val="0"/>
        <w:adjustRightInd w:val="0"/>
        <w:rPr>
          <w:iCs/>
          <w:sz w:val="22"/>
          <w:szCs w:val="22"/>
        </w:rPr>
      </w:pPr>
    </w:p>
    <w:p w14:paraId="0958FE61" w14:textId="77777777" w:rsidR="006E3498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A02155">
        <w:rPr>
          <w:iCs/>
          <w:sz w:val="22"/>
          <w:szCs w:val="22"/>
        </w:rPr>
        <w:t>Farmakoterapeutická</w:t>
      </w:r>
      <w:r w:rsidRPr="009079E8">
        <w:rPr>
          <w:sz w:val="22"/>
          <w:szCs w:val="22"/>
        </w:rPr>
        <w:t xml:space="preserve"> </w:t>
      </w:r>
      <w:r w:rsidRPr="00A02155">
        <w:rPr>
          <w:iCs/>
          <w:sz w:val="22"/>
          <w:szCs w:val="22"/>
        </w:rPr>
        <w:t>skupina:</w:t>
      </w:r>
      <w:r w:rsidR="00A02155">
        <w:rPr>
          <w:sz w:val="22"/>
          <w:szCs w:val="22"/>
        </w:rPr>
        <w:t xml:space="preserve"> </w:t>
      </w:r>
      <w:r w:rsidR="00683DA0">
        <w:rPr>
          <w:sz w:val="22"/>
          <w:szCs w:val="22"/>
        </w:rPr>
        <w:t>antibiotiká na systémové použitie</w:t>
      </w:r>
      <w:r w:rsidR="00683DA0" w:rsidRPr="009079E8">
        <w:rPr>
          <w:sz w:val="22"/>
          <w:szCs w:val="22"/>
        </w:rPr>
        <w:t>,</w:t>
      </w:r>
      <w:r w:rsidR="00683DA0">
        <w:rPr>
          <w:sz w:val="22"/>
          <w:szCs w:val="22"/>
        </w:rPr>
        <w:t xml:space="preserve"> imidazolové deriváty</w:t>
      </w:r>
    </w:p>
    <w:p w14:paraId="36239080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A02155">
        <w:rPr>
          <w:iCs/>
          <w:sz w:val="22"/>
          <w:szCs w:val="22"/>
        </w:rPr>
        <w:t>ATC</w:t>
      </w:r>
      <w:r w:rsidRPr="009079E8">
        <w:rPr>
          <w:sz w:val="22"/>
          <w:szCs w:val="22"/>
        </w:rPr>
        <w:t xml:space="preserve"> </w:t>
      </w:r>
      <w:r w:rsidRPr="00A02155">
        <w:rPr>
          <w:iCs/>
          <w:sz w:val="22"/>
          <w:szCs w:val="22"/>
        </w:rPr>
        <w:t>kód:</w:t>
      </w:r>
      <w:r w:rsidRPr="005E3E65">
        <w:rPr>
          <w:sz w:val="22"/>
          <w:szCs w:val="22"/>
        </w:rPr>
        <w:t xml:space="preserve"> J01XD01 </w:t>
      </w:r>
    </w:p>
    <w:p w14:paraId="0D6B605C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</w:p>
    <w:p w14:paraId="6B5C6570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 xml:space="preserve">Liečivom v lieku </w:t>
      </w:r>
      <w:r w:rsidR="00081842" w:rsidRPr="005E3E65">
        <w:rPr>
          <w:sz w:val="22"/>
          <w:szCs w:val="22"/>
        </w:rPr>
        <w:t xml:space="preserve">Metronidazole </w:t>
      </w:r>
      <w:r w:rsidR="00C670D8" w:rsidRPr="005E3E65">
        <w:rPr>
          <w:sz w:val="22"/>
          <w:szCs w:val="22"/>
        </w:rPr>
        <w:t>0.</w:t>
      </w:r>
      <w:r w:rsidRPr="005E3E65">
        <w:rPr>
          <w:sz w:val="22"/>
          <w:szCs w:val="22"/>
        </w:rPr>
        <w:t>5%</w:t>
      </w:r>
      <w:r w:rsidR="0016314B" w:rsidRPr="005E3E65">
        <w:rPr>
          <w:sz w:val="22"/>
          <w:szCs w:val="22"/>
        </w:rPr>
        <w:t xml:space="preserve"> - </w:t>
      </w:r>
      <w:r w:rsidR="00081842" w:rsidRPr="005E3E65">
        <w:rPr>
          <w:sz w:val="22"/>
          <w:szCs w:val="22"/>
        </w:rPr>
        <w:t xml:space="preserve">Polpharma </w:t>
      </w:r>
      <w:r w:rsidRPr="005E3E65">
        <w:rPr>
          <w:sz w:val="22"/>
          <w:szCs w:val="22"/>
        </w:rPr>
        <w:t xml:space="preserve">je metronidazol, ktorý sa už dlhú dobu používa na liečbu predovšetkým urogenitálnej trichomoniázy, u ktorej bola zistená účinnosť voči klinicky významnému širokému spektru anaeróbov. Metronidazol vykazuje baktericídny účinok voči obligátnym anaeróbom, pre ktoré je minimálna inhibičná koncentrácia </w:t>
      </w:r>
      <w:r w:rsidRPr="005E3E65">
        <w:rPr>
          <w:i/>
          <w:iCs/>
          <w:sz w:val="22"/>
          <w:szCs w:val="22"/>
        </w:rPr>
        <w:t>in vitro</w:t>
      </w:r>
      <w:r w:rsidRPr="005E3E65">
        <w:rPr>
          <w:sz w:val="22"/>
          <w:szCs w:val="22"/>
        </w:rPr>
        <w:t xml:space="preserve"> prakticky identická s minimálnou baktericídnou koncentráciou. MIC 90 pre tieto kmene je 0,125-6,25 μg/ml. Aeróby, fakultatívne anaeróby, huby a vírusy nie sú citlivé na metronidazol.</w:t>
      </w:r>
    </w:p>
    <w:p w14:paraId="52AC667C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</w:p>
    <w:p w14:paraId="3AE472FF" w14:textId="77777777" w:rsidR="000C1755" w:rsidRPr="005E3E65" w:rsidRDefault="000C1755" w:rsidP="005E3E65">
      <w:pPr>
        <w:pStyle w:val="Nadpis1"/>
        <w:widowControl/>
        <w:rPr>
          <w:sz w:val="22"/>
          <w:szCs w:val="22"/>
        </w:rPr>
      </w:pPr>
      <w:r w:rsidRPr="005E3E65">
        <w:rPr>
          <w:sz w:val="22"/>
          <w:szCs w:val="22"/>
        </w:rPr>
        <w:t>Mechanizmus účinku.</w:t>
      </w:r>
    </w:p>
    <w:p w14:paraId="691C7335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 xml:space="preserve">Metronidazol ľahko prestupuje do jednobunkových mikroorganizmov, protozoí a baktérií a nepreniká do buniek cicavcov. </w:t>
      </w:r>
    </w:p>
    <w:p w14:paraId="037C988A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>Nitro-skupina metronidazolu podlieha redukcii proteínom transportujúcim elektróny, feroxidínom. Tento proteín je prítomný len v anaeróbnych mikroorganizmoch a u baktérii s nízkou potrebou kyslíka. Redukovaný metronidazol inhibuje syntézu bakteriálnej DNA a to vedie k narušeniu dvojzávitnicovitej štruktúry DNA a následne k zániku bunky.</w:t>
      </w:r>
    </w:p>
    <w:p w14:paraId="5DF4A944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>Antibakteriálna aktivita je baktericídneho typu.</w:t>
      </w:r>
    </w:p>
    <w:p w14:paraId="0E0E8C51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>Metronidazol disponuje protizápalovou aktivitou využiteľnou v niektorých špecifických formách Crohnovej choroby.</w:t>
      </w:r>
    </w:p>
    <w:p w14:paraId="5F29C781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>Mechanizmus účinku v tejto zvláštnej patológii nie</w:t>
      </w:r>
      <w:r w:rsidR="00BC5A6C">
        <w:rPr>
          <w:sz w:val="22"/>
          <w:szCs w:val="22"/>
        </w:rPr>
        <w:t xml:space="preserve"> </w:t>
      </w:r>
      <w:r w:rsidRPr="005E3E65">
        <w:rPr>
          <w:sz w:val="22"/>
          <w:szCs w:val="22"/>
        </w:rPr>
        <w:t>je známy, aj keď účinok bunkovo riadenej imunity a priamy účinok na tkanivové hladiny sa zdá byť jasný.</w:t>
      </w:r>
    </w:p>
    <w:p w14:paraId="60D79606" w14:textId="77777777" w:rsidR="000C1755" w:rsidRPr="005E3E65" w:rsidRDefault="000C1755" w:rsidP="005E3E65">
      <w:pPr>
        <w:rPr>
          <w:b/>
          <w:sz w:val="22"/>
          <w:szCs w:val="22"/>
        </w:rPr>
      </w:pPr>
    </w:p>
    <w:p w14:paraId="49A34F2D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5.2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Farmakokinetické vlastnosti</w:t>
      </w:r>
    </w:p>
    <w:p w14:paraId="192159E0" w14:textId="77777777" w:rsidR="00A02155" w:rsidRDefault="00A02155" w:rsidP="005E3E65">
      <w:pPr>
        <w:autoSpaceDE w:val="0"/>
        <w:autoSpaceDN w:val="0"/>
        <w:adjustRightInd w:val="0"/>
        <w:rPr>
          <w:sz w:val="22"/>
          <w:szCs w:val="22"/>
        </w:rPr>
      </w:pPr>
    </w:p>
    <w:p w14:paraId="2F81A8C3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lastRenderedPageBreak/>
        <w:t xml:space="preserve">Nasledujúce </w:t>
      </w:r>
      <w:r w:rsidRPr="005E3E65">
        <w:rPr>
          <w:sz w:val="22"/>
          <w:szCs w:val="22"/>
          <w:u w:val="single"/>
        </w:rPr>
        <w:t>farmakokinetické</w:t>
      </w:r>
      <w:r w:rsidRPr="005E3E65">
        <w:rPr>
          <w:sz w:val="22"/>
          <w:szCs w:val="22"/>
        </w:rPr>
        <w:t xml:space="preserve"> údaje boli pripravené na základe literárneho prehľadu. </w:t>
      </w:r>
    </w:p>
    <w:p w14:paraId="1C341822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>Farmakokinetika metronidazolu je po perorálnom i intravenóznom podaní veľmi podobná, s priemerným biologickým polčasom 8 hodín.</w:t>
      </w:r>
    </w:p>
    <w:p w14:paraId="158E9B48" w14:textId="77777777" w:rsidR="005F095C" w:rsidRDefault="005F095C" w:rsidP="005E3E65">
      <w:pPr>
        <w:pStyle w:val="Zkladntext"/>
        <w:widowControl/>
        <w:rPr>
          <w:bCs/>
          <w:sz w:val="22"/>
          <w:szCs w:val="22"/>
          <w:u w:val="single"/>
        </w:rPr>
      </w:pPr>
    </w:p>
    <w:p w14:paraId="1AE7E536" w14:textId="77777777" w:rsidR="000C1755" w:rsidRPr="005E3E65" w:rsidRDefault="000C1755" w:rsidP="005E3E65">
      <w:pPr>
        <w:pStyle w:val="Zkladntext"/>
        <w:widowControl/>
        <w:rPr>
          <w:bCs/>
          <w:sz w:val="22"/>
          <w:szCs w:val="22"/>
          <w:u w:val="single"/>
        </w:rPr>
      </w:pPr>
      <w:r w:rsidRPr="005E3E65">
        <w:rPr>
          <w:bCs/>
          <w:sz w:val="22"/>
          <w:szCs w:val="22"/>
          <w:u w:val="single"/>
        </w:rPr>
        <w:t>Absorbcia</w:t>
      </w:r>
    </w:p>
    <w:p w14:paraId="4D510A1B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U dospelých pacientov po intravenóznej kvapkovej infúzii metronidazolu trvajúcej približne jednu hodinu (po úvodnej dávke 15 mg/kg a ďalších dávkach 7,5 mg/kg podávaných každých 6 hodín), je maximálna koncentrácia lieku vo vyrovnanom stave 26 </w:t>
      </w:r>
      <w:r w:rsidRPr="005E3E65">
        <w:rPr>
          <w:sz w:val="22"/>
          <w:szCs w:val="22"/>
        </w:rPr>
        <w:fldChar w:fldCharType="begin"/>
      </w:r>
      <w:r w:rsidRPr="005E3E65">
        <w:rPr>
          <w:sz w:val="22"/>
          <w:szCs w:val="22"/>
        </w:rPr>
        <w:instrText>SYMBOL 109 \f "Symbol" \s 12</w:instrText>
      </w:r>
      <w:r w:rsidRPr="005E3E65">
        <w:rPr>
          <w:sz w:val="22"/>
          <w:szCs w:val="22"/>
        </w:rPr>
        <w:fldChar w:fldCharType="separate"/>
      </w:r>
      <w:r w:rsidRPr="005E3E65">
        <w:rPr>
          <w:sz w:val="22"/>
          <w:szCs w:val="22"/>
        </w:rPr>
        <w:t>m</w:t>
      </w:r>
      <w:r w:rsidRPr="005E3E65">
        <w:rPr>
          <w:sz w:val="22"/>
          <w:szCs w:val="22"/>
        </w:rPr>
        <w:fldChar w:fldCharType="end"/>
      </w:r>
      <w:r w:rsidRPr="005E3E65">
        <w:rPr>
          <w:sz w:val="22"/>
          <w:szCs w:val="22"/>
        </w:rPr>
        <w:t xml:space="preserve">g/ml zatiaľ čo najnižšia koncentrácia je 10 </w:t>
      </w:r>
      <w:r w:rsidRPr="005E3E65">
        <w:rPr>
          <w:sz w:val="22"/>
          <w:szCs w:val="22"/>
        </w:rPr>
        <w:fldChar w:fldCharType="begin"/>
      </w:r>
      <w:r w:rsidRPr="005E3E65">
        <w:rPr>
          <w:sz w:val="22"/>
          <w:szCs w:val="22"/>
        </w:rPr>
        <w:instrText>SYMBOL 109 \f "Symbol" \s 12</w:instrText>
      </w:r>
      <w:r w:rsidRPr="005E3E65">
        <w:rPr>
          <w:sz w:val="22"/>
          <w:szCs w:val="22"/>
        </w:rPr>
        <w:fldChar w:fldCharType="separate"/>
      </w:r>
      <w:r w:rsidRPr="005E3E65">
        <w:rPr>
          <w:sz w:val="22"/>
          <w:szCs w:val="22"/>
        </w:rPr>
        <w:t>m</w:t>
      </w:r>
      <w:r w:rsidRPr="005E3E65">
        <w:rPr>
          <w:sz w:val="22"/>
          <w:szCs w:val="22"/>
        </w:rPr>
        <w:fldChar w:fldCharType="end"/>
      </w:r>
      <w:r w:rsidRPr="005E3E65">
        <w:rPr>
          <w:sz w:val="22"/>
          <w:szCs w:val="22"/>
        </w:rPr>
        <w:t>g/ml.</w:t>
      </w:r>
    </w:p>
    <w:p w14:paraId="38FD7E35" w14:textId="77777777" w:rsidR="005F095C" w:rsidRDefault="005F095C" w:rsidP="005E3E65">
      <w:pPr>
        <w:widowControl/>
        <w:rPr>
          <w:bCs/>
          <w:sz w:val="22"/>
          <w:szCs w:val="22"/>
          <w:u w:val="single"/>
        </w:rPr>
      </w:pPr>
    </w:p>
    <w:p w14:paraId="6FDF8D45" w14:textId="77777777" w:rsidR="000C1755" w:rsidRPr="005E3E65" w:rsidRDefault="000C1755" w:rsidP="005E3E65">
      <w:pPr>
        <w:widowControl/>
        <w:rPr>
          <w:bCs/>
          <w:sz w:val="22"/>
          <w:szCs w:val="22"/>
          <w:u w:val="single"/>
        </w:rPr>
      </w:pPr>
      <w:r w:rsidRPr="005E3E65">
        <w:rPr>
          <w:bCs/>
          <w:sz w:val="22"/>
          <w:szCs w:val="22"/>
          <w:u w:val="single"/>
        </w:rPr>
        <w:t>Distribúcia</w:t>
      </w:r>
    </w:p>
    <w:p w14:paraId="6E3B7DFC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Metronidazol preniká do mozgovomiešneho moku, materského mlieka a dosahuje terapeutické koncentrácie vo väčšine tekutín v organizme (sliny, žlč, moč, pleurálna tekutina, peritoneálna tekutina, vaginálny sekrét, obsah abscesov). Menej ako 20% lieku sa viaže na plazmatické proteíny.</w:t>
      </w:r>
    </w:p>
    <w:p w14:paraId="7B5D185E" w14:textId="77777777" w:rsidR="005F095C" w:rsidRDefault="005F095C" w:rsidP="005E3E65">
      <w:pPr>
        <w:widowControl/>
        <w:rPr>
          <w:bCs/>
          <w:sz w:val="22"/>
          <w:szCs w:val="22"/>
          <w:u w:val="single"/>
        </w:rPr>
      </w:pPr>
    </w:p>
    <w:p w14:paraId="3D7CB6AD" w14:textId="77777777" w:rsidR="000C1755" w:rsidRPr="005E3E65" w:rsidRDefault="000C1755" w:rsidP="005E3E65">
      <w:pPr>
        <w:widowControl/>
        <w:rPr>
          <w:bCs/>
          <w:sz w:val="22"/>
          <w:szCs w:val="22"/>
          <w:u w:val="single"/>
        </w:rPr>
      </w:pPr>
      <w:r w:rsidRPr="005E3E65">
        <w:rPr>
          <w:bCs/>
          <w:sz w:val="22"/>
          <w:szCs w:val="22"/>
          <w:u w:val="single"/>
        </w:rPr>
        <w:t>Biotransformácia</w:t>
      </w:r>
    </w:p>
    <w:p w14:paraId="7478CD4E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Približne 30-60% metronidazolu sa po intravenóznom podaní metabolizuje hydroxyláciou, oxidáciou a konjugáciou s kyselinou glukurónovou. </w:t>
      </w:r>
    </w:p>
    <w:p w14:paraId="59692DF5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Hlavný metabolit metronidazolu (2-hydroxymetronidazol) vykazuje takisto antibakteriálny a antiprotozoálny účinok. </w:t>
      </w:r>
    </w:p>
    <w:p w14:paraId="3314FD53" w14:textId="77777777" w:rsidR="005F095C" w:rsidRDefault="005F095C" w:rsidP="005E3E65">
      <w:pPr>
        <w:widowControl/>
        <w:rPr>
          <w:bCs/>
          <w:sz w:val="22"/>
          <w:szCs w:val="22"/>
          <w:u w:val="single"/>
        </w:rPr>
      </w:pPr>
    </w:p>
    <w:p w14:paraId="47473384" w14:textId="77777777" w:rsidR="000C1755" w:rsidRPr="005E3E65" w:rsidRDefault="000C1755" w:rsidP="005E3E65">
      <w:pPr>
        <w:widowControl/>
        <w:rPr>
          <w:bCs/>
          <w:sz w:val="22"/>
          <w:szCs w:val="22"/>
          <w:u w:val="single"/>
        </w:rPr>
      </w:pPr>
      <w:r w:rsidRPr="005E3E65">
        <w:rPr>
          <w:bCs/>
          <w:sz w:val="22"/>
          <w:szCs w:val="22"/>
          <w:u w:val="single"/>
        </w:rPr>
        <w:t>Eliminácia</w:t>
      </w:r>
    </w:p>
    <w:p w14:paraId="11902B0B" w14:textId="77777777" w:rsidR="000C1755" w:rsidRPr="005E3E65" w:rsidRDefault="000C1755" w:rsidP="005E3E65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>Liek sa vylučuje najmä močom (60-80%), čiastočne žlčou v nezmenenej forme alebo vo forme mikrobiologicky aktívnych metabolitov. Pri zníženej funkcii obličiek sa zvyšuje biologický polčas metabolitov. Hladinu metronidazolu možno významne znížiť hemodialýzou.</w:t>
      </w:r>
    </w:p>
    <w:p w14:paraId="62D00189" w14:textId="77777777" w:rsidR="000C1755" w:rsidRPr="005E3E65" w:rsidRDefault="000C1755" w:rsidP="005E3E65">
      <w:pPr>
        <w:rPr>
          <w:b/>
          <w:sz w:val="22"/>
          <w:szCs w:val="22"/>
        </w:rPr>
      </w:pPr>
    </w:p>
    <w:p w14:paraId="60D7DBFB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5.3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Predklinické údaje o bezpečnosti</w:t>
      </w:r>
    </w:p>
    <w:p w14:paraId="541F05A6" w14:textId="77777777" w:rsidR="00A02155" w:rsidRDefault="00A02155" w:rsidP="005E3E65">
      <w:pPr>
        <w:widowControl/>
        <w:rPr>
          <w:sz w:val="22"/>
          <w:szCs w:val="22"/>
        </w:rPr>
      </w:pPr>
    </w:p>
    <w:p w14:paraId="45288680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Metronidazol bol z toxikologického hľadiska intenzívne študovaný na rôznych druhoch laboratórnych zvierat. </w:t>
      </w:r>
    </w:p>
    <w:p w14:paraId="3EBCA422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Jeho akútna toxicita je nízka (LD</w:t>
      </w:r>
      <w:r w:rsidRPr="005E3E65">
        <w:rPr>
          <w:sz w:val="22"/>
          <w:szCs w:val="22"/>
          <w:vertAlign w:val="subscript"/>
        </w:rPr>
        <w:t>50</w:t>
      </w:r>
      <w:r w:rsidRPr="005E3E65">
        <w:rPr>
          <w:sz w:val="22"/>
          <w:szCs w:val="22"/>
        </w:rPr>
        <w:t xml:space="preserve"> po intravenóznom podaní myšiam je 1169-1260 mg/kg a u potkanov 1574-1575 mg/kg), rovnako tak ako chronická toxicita, ktorá bola sledovaná na myšiach, potkanoch, psoch a opiciach. Najvyššia dávka metronidazolu podaná intravenózne: 250 mg/kg nebola toxická pre potkanov.</w:t>
      </w:r>
    </w:p>
    <w:p w14:paraId="65F178B4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>Teratogénny účinok nebol dokázaný na žiadnom zo sledovaných druhov zvierat.</w:t>
      </w:r>
    </w:p>
    <w:p w14:paraId="7BB06EBF" w14:textId="77777777" w:rsidR="000C1755" w:rsidRPr="005E3E65" w:rsidRDefault="000C1755" w:rsidP="005E3E65">
      <w:pPr>
        <w:autoSpaceDE w:val="0"/>
        <w:autoSpaceDN w:val="0"/>
        <w:adjustRightInd w:val="0"/>
        <w:rPr>
          <w:sz w:val="22"/>
          <w:szCs w:val="22"/>
        </w:rPr>
      </w:pPr>
      <w:r w:rsidRPr="005E3E65">
        <w:rPr>
          <w:sz w:val="22"/>
          <w:szCs w:val="22"/>
        </w:rPr>
        <w:t>Mutagénny účinok metronidazolu na baktérie, ktorý súvisí s jeho baktericídnym účinkom, nebol dokázaný u cicavcov. Pri zvláštnych laboratórnych podmienkach bol u zvierat pozorovaný karcinogénny účinok.</w:t>
      </w:r>
    </w:p>
    <w:p w14:paraId="3A95A207" w14:textId="77777777" w:rsidR="000C1755" w:rsidRPr="005E3E65" w:rsidRDefault="000C1755" w:rsidP="005E3E65">
      <w:pPr>
        <w:rPr>
          <w:b/>
          <w:sz w:val="22"/>
          <w:szCs w:val="22"/>
        </w:rPr>
      </w:pPr>
    </w:p>
    <w:p w14:paraId="1975BE23" w14:textId="77777777" w:rsidR="000C1755" w:rsidRPr="005E3E65" w:rsidRDefault="000C1755" w:rsidP="005E3E65">
      <w:pPr>
        <w:rPr>
          <w:b/>
          <w:sz w:val="22"/>
          <w:szCs w:val="22"/>
        </w:rPr>
      </w:pPr>
    </w:p>
    <w:p w14:paraId="550C0527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6.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FARMACEUTICKÉ ÚDAJE</w:t>
      </w:r>
    </w:p>
    <w:p w14:paraId="492E8B19" w14:textId="77777777" w:rsidR="00A02155" w:rsidRDefault="00A02155" w:rsidP="00AC6303">
      <w:pPr>
        <w:ind w:left="567" w:hanging="567"/>
        <w:rPr>
          <w:b/>
          <w:sz w:val="22"/>
          <w:szCs w:val="22"/>
        </w:rPr>
      </w:pPr>
    </w:p>
    <w:p w14:paraId="199B276F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6.1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 xml:space="preserve">Zoznam pomocných látok </w:t>
      </w:r>
    </w:p>
    <w:p w14:paraId="70448FA2" w14:textId="77777777" w:rsidR="00A02155" w:rsidRDefault="00A02155" w:rsidP="005E3E65">
      <w:pPr>
        <w:autoSpaceDE w:val="0"/>
        <w:autoSpaceDN w:val="0"/>
        <w:adjustRightInd w:val="0"/>
        <w:rPr>
          <w:sz w:val="22"/>
          <w:szCs w:val="22"/>
        </w:rPr>
      </w:pPr>
    </w:p>
    <w:p w14:paraId="1147308B" w14:textId="77777777" w:rsidR="00A02155" w:rsidRDefault="00A02155" w:rsidP="005E3E6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chlorid sodný</w:t>
      </w:r>
      <w:r w:rsidRPr="005E3E65" w:rsidDel="00A02155">
        <w:rPr>
          <w:sz w:val="22"/>
          <w:szCs w:val="22"/>
        </w:rPr>
        <w:t xml:space="preserve"> </w:t>
      </w:r>
    </w:p>
    <w:p w14:paraId="731DED2E" w14:textId="77777777" w:rsidR="00A02155" w:rsidRDefault="00A02155" w:rsidP="005E3E6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monohydrát kyseliny citrónovej</w:t>
      </w:r>
      <w:r w:rsidRPr="005E3E65" w:rsidDel="00A02155">
        <w:rPr>
          <w:sz w:val="22"/>
          <w:szCs w:val="22"/>
        </w:rPr>
        <w:t xml:space="preserve"> </w:t>
      </w:r>
    </w:p>
    <w:p w14:paraId="5E20EFC0" w14:textId="77777777" w:rsidR="00A02155" w:rsidRDefault="00A02155" w:rsidP="005E3E6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dodekahydrát hydrogenfosforečnanu sodného</w:t>
      </w:r>
      <w:r w:rsidRPr="005E3E65" w:rsidDel="00A02155">
        <w:rPr>
          <w:sz w:val="22"/>
          <w:szCs w:val="22"/>
        </w:rPr>
        <w:t xml:space="preserve"> </w:t>
      </w:r>
    </w:p>
    <w:p w14:paraId="309A8446" w14:textId="77777777" w:rsidR="000C1755" w:rsidRPr="005E3E65" w:rsidRDefault="00A02155" w:rsidP="005E3E65">
      <w:pPr>
        <w:autoSpaceDE w:val="0"/>
        <w:autoSpaceDN w:val="0"/>
        <w:adjustRightInd w:val="0"/>
        <w:rPr>
          <w:i/>
          <w:sz w:val="22"/>
          <w:szCs w:val="22"/>
        </w:rPr>
      </w:pPr>
      <w:r>
        <w:rPr>
          <w:sz w:val="22"/>
          <w:szCs w:val="22"/>
        </w:rPr>
        <w:t>voda na injekciu</w:t>
      </w:r>
    </w:p>
    <w:p w14:paraId="32D13E02" w14:textId="77777777" w:rsidR="000C1755" w:rsidRPr="005E3E65" w:rsidRDefault="000C1755" w:rsidP="005E3E65">
      <w:pPr>
        <w:widowControl/>
        <w:rPr>
          <w:sz w:val="22"/>
          <w:szCs w:val="22"/>
        </w:rPr>
      </w:pPr>
    </w:p>
    <w:p w14:paraId="20449EA2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6.2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Inkompatibility</w:t>
      </w:r>
    </w:p>
    <w:p w14:paraId="03866068" w14:textId="77777777" w:rsidR="00A02155" w:rsidRDefault="00A02155" w:rsidP="005E3E65">
      <w:pPr>
        <w:widowControl/>
        <w:rPr>
          <w:sz w:val="22"/>
          <w:szCs w:val="22"/>
        </w:rPr>
      </w:pPr>
    </w:p>
    <w:p w14:paraId="552D280F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Prípravok sa nesmie miešať s inými liekmi.</w:t>
      </w:r>
    </w:p>
    <w:p w14:paraId="40669CB8" w14:textId="77777777" w:rsidR="000C1755" w:rsidRPr="005E3E65" w:rsidRDefault="000C1755" w:rsidP="005E3E65">
      <w:pPr>
        <w:rPr>
          <w:b/>
          <w:sz w:val="22"/>
          <w:szCs w:val="22"/>
        </w:rPr>
      </w:pPr>
    </w:p>
    <w:p w14:paraId="3B970D72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lastRenderedPageBreak/>
        <w:t>6.3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Čas použiteľnosti</w:t>
      </w:r>
    </w:p>
    <w:p w14:paraId="2CEB96A5" w14:textId="77777777" w:rsidR="00A02155" w:rsidRDefault="00A02155" w:rsidP="005E3E65">
      <w:pPr>
        <w:widowControl/>
        <w:rPr>
          <w:sz w:val="22"/>
          <w:szCs w:val="22"/>
        </w:rPr>
      </w:pPr>
    </w:p>
    <w:p w14:paraId="64FF15AD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Polyetylénové vaky 500 mg/100 ml </w:t>
      </w:r>
      <w:r w:rsidRPr="005F095C">
        <w:rPr>
          <w:sz w:val="22"/>
          <w:szCs w:val="22"/>
        </w:rPr>
        <w:t xml:space="preserve">– </w:t>
      </w:r>
      <w:r w:rsidR="002C4EE0" w:rsidRPr="005F095C">
        <w:rPr>
          <w:sz w:val="22"/>
          <w:szCs w:val="22"/>
        </w:rPr>
        <w:t xml:space="preserve">2 roky </w:t>
      </w:r>
    </w:p>
    <w:p w14:paraId="28EF709B" w14:textId="77777777" w:rsidR="000C1755" w:rsidRPr="005E3E65" w:rsidRDefault="000C1755" w:rsidP="005E3E65">
      <w:pPr>
        <w:rPr>
          <w:b/>
          <w:sz w:val="22"/>
          <w:szCs w:val="22"/>
        </w:rPr>
      </w:pPr>
    </w:p>
    <w:p w14:paraId="04BFAD39" w14:textId="77777777" w:rsidR="000C1755" w:rsidRPr="005E3E65" w:rsidRDefault="000C1755" w:rsidP="00AC6303">
      <w:pPr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6.4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Upozornenia na podmienky a spôsob skladovania</w:t>
      </w:r>
    </w:p>
    <w:p w14:paraId="48651F0D" w14:textId="77777777" w:rsidR="00A02155" w:rsidRDefault="00A02155" w:rsidP="005E3E65">
      <w:pPr>
        <w:widowControl/>
        <w:rPr>
          <w:sz w:val="22"/>
          <w:szCs w:val="22"/>
        </w:rPr>
      </w:pPr>
    </w:p>
    <w:p w14:paraId="6A650A2A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Uchovávajte pri teplote do 25°C, chráňte pred svetlom. </w:t>
      </w:r>
    </w:p>
    <w:p w14:paraId="4143E24C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Prípravok v polyetylénových vakoch sa musí chrániť pred chemicky aktívnymi a intenzívne voňajúcimi výparmi a plynmi. </w:t>
      </w:r>
    </w:p>
    <w:p w14:paraId="644D4CCF" w14:textId="77777777" w:rsidR="000C1755" w:rsidRPr="005E3E65" w:rsidRDefault="000C1755" w:rsidP="005E3E65">
      <w:pPr>
        <w:widowControl/>
        <w:rPr>
          <w:sz w:val="22"/>
          <w:szCs w:val="22"/>
        </w:rPr>
      </w:pPr>
    </w:p>
    <w:p w14:paraId="04887AD1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6.5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Vlastnosti a zloženie obalu, veľkosť balenia</w:t>
      </w:r>
    </w:p>
    <w:p w14:paraId="02DC60B2" w14:textId="77777777" w:rsidR="00A02155" w:rsidRDefault="00A02155" w:rsidP="005E3E65">
      <w:pPr>
        <w:widowControl/>
        <w:rPr>
          <w:sz w:val="22"/>
          <w:szCs w:val="22"/>
        </w:rPr>
      </w:pPr>
    </w:p>
    <w:p w14:paraId="5B764C0D" w14:textId="6E68A75A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Polyetylénové vaky</w:t>
      </w:r>
      <w:r w:rsidR="008217E6" w:rsidRPr="005E3E65">
        <w:rPr>
          <w:sz w:val="22"/>
          <w:szCs w:val="22"/>
        </w:rPr>
        <w:t xml:space="preserve"> s Insocap adaptérom</w:t>
      </w:r>
      <w:r w:rsidRPr="005E3E65">
        <w:rPr>
          <w:sz w:val="22"/>
          <w:szCs w:val="22"/>
        </w:rPr>
        <w:t xml:space="preserve">: </w:t>
      </w:r>
      <w:r w:rsidRPr="005E3E65">
        <w:rPr>
          <w:sz w:val="22"/>
          <w:szCs w:val="22"/>
        </w:rPr>
        <w:tab/>
      </w:r>
      <w:r w:rsidRPr="005E3E65">
        <w:rPr>
          <w:sz w:val="22"/>
          <w:szCs w:val="22"/>
        </w:rPr>
        <w:tab/>
        <w:t>1 x 100 ml</w:t>
      </w:r>
      <w:r w:rsidR="0032396D">
        <w:rPr>
          <w:sz w:val="22"/>
          <w:szCs w:val="22"/>
        </w:rPr>
        <w:t>, 40 x 100 ml</w:t>
      </w:r>
    </w:p>
    <w:p w14:paraId="64508230" w14:textId="77777777" w:rsidR="000C1755" w:rsidRPr="005E3E65" w:rsidRDefault="000C1755" w:rsidP="005E3E65">
      <w:pPr>
        <w:widowControl/>
        <w:rPr>
          <w:sz w:val="22"/>
          <w:szCs w:val="22"/>
        </w:rPr>
      </w:pPr>
    </w:p>
    <w:p w14:paraId="7F9F58C1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6.6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Upozornenia na spôsob zaobchádzania s liekom</w:t>
      </w:r>
    </w:p>
    <w:p w14:paraId="1F1CE4D8" w14:textId="77777777" w:rsidR="00A02155" w:rsidRDefault="00A02155" w:rsidP="005E3E65">
      <w:pPr>
        <w:widowControl/>
        <w:rPr>
          <w:sz w:val="22"/>
          <w:szCs w:val="22"/>
        </w:rPr>
      </w:pPr>
    </w:p>
    <w:p w14:paraId="3283E858" w14:textId="77777777" w:rsidR="000C1755" w:rsidRPr="005E3E65" w:rsidRDefault="00C670D8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 xml:space="preserve">Liek </w:t>
      </w:r>
      <w:r w:rsidR="00081842" w:rsidRPr="005E3E65">
        <w:rPr>
          <w:sz w:val="22"/>
          <w:szCs w:val="22"/>
        </w:rPr>
        <w:t xml:space="preserve">Metronidazole </w:t>
      </w:r>
      <w:r w:rsidRPr="005E3E65">
        <w:rPr>
          <w:sz w:val="22"/>
          <w:szCs w:val="22"/>
        </w:rPr>
        <w:t>0.</w:t>
      </w:r>
      <w:r w:rsidR="000C1755" w:rsidRPr="005E3E65">
        <w:rPr>
          <w:sz w:val="22"/>
          <w:szCs w:val="22"/>
        </w:rPr>
        <w:t>5%</w:t>
      </w:r>
      <w:r w:rsidR="0016314B" w:rsidRPr="005E3E65">
        <w:rPr>
          <w:sz w:val="22"/>
          <w:szCs w:val="22"/>
        </w:rPr>
        <w:t xml:space="preserve"> - </w:t>
      </w:r>
      <w:r w:rsidR="00081842" w:rsidRPr="005E3E65">
        <w:rPr>
          <w:sz w:val="22"/>
          <w:szCs w:val="22"/>
        </w:rPr>
        <w:t>Polpharma</w:t>
      </w:r>
      <w:r w:rsidR="000C1755" w:rsidRPr="005E3E65">
        <w:rPr>
          <w:sz w:val="22"/>
          <w:szCs w:val="22"/>
        </w:rPr>
        <w:t xml:space="preserve">, v 100 ml polyetylénových vakoch je pripravený na priame použitie. Nádoba po kontrole tesnosti </w:t>
      </w:r>
      <w:r w:rsidR="008217E6" w:rsidRPr="005E3E65">
        <w:rPr>
          <w:sz w:val="22"/>
          <w:szCs w:val="22"/>
        </w:rPr>
        <w:t xml:space="preserve">a </w:t>
      </w:r>
      <w:r w:rsidR="002878AA" w:rsidRPr="005E3E65">
        <w:rPr>
          <w:sz w:val="22"/>
          <w:szCs w:val="22"/>
        </w:rPr>
        <w:t xml:space="preserve">po odlepení ochrannej fólie </w:t>
      </w:r>
      <w:r w:rsidR="000C1755" w:rsidRPr="005E3E65">
        <w:rPr>
          <w:sz w:val="22"/>
          <w:szCs w:val="22"/>
        </w:rPr>
        <w:t>sa musí spojiť s infúznou súpravou s dvojcestnou ihlou.</w:t>
      </w:r>
    </w:p>
    <w:p w14:paraId="09754273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Zvyšný roztok sa nesmie znova použiť.</w:t>
      </w:r>
    </w:p>
    <w:p w14:paraId="7282FE61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Prípravok sa nesmie použiť v prípade viditeľných zmien roztoku. Vak je určený iba na jednu aplikáciu. Roztok, ktorý nebol spotrebovaný, nesmie byť skladovaný, ani opätovne použitý.</w:t>
      </w:r>
    </w:p>
    <w:p w14:paraId="2665CFD1" w14:textId="77777777" w:rsidR="00F16008" w:rsidRPr="005E3E65" w:rsidRDefault="00F16008" w:rsidP="005E3E65">
      <w:pPr>
        <w:widowControl/>
        <w:rPr>
          <w:sz w:val="22"/>
          <w:szCs w:val="22"/>
        </w:rPr>
      </w:pPr>
    </w:p>
    <w:p w14:paraId="2AE25314" w14:textId="77777777" w:rsidR="00F16008" w:rsidRPr="005E3E65" w:rsidRDefault="00F16008" w:rsidP="005E3E65">
      <w:pPr>
        <w:widowControl/>
        <w:rPr>
          <w:sz w:val="22"/>
          <w:szCs w:val="22"/>
        </w:rPr>
      </w:pPr>
    </w:p>
    <w:p w14:paraId="4799EB0D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7.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DRŽITEĽ ROZHODNUTIA O REGISTRÁCII</w:t>
      </w:r>
    </w:p>
    <w:p w14:paraId="76DB21D1" w14:textId="77777777" w:rsidR="00A02155" w:rsidRDefault="00A02155" w:rsidP="005E3E65">
      <w:pPr>
        <w:widowControl/>
        <w:rPr>
          <w:sz w:val="22"/>
          <w:szCs w:val="22"/>
        </w:rPr>
      </w:pPr>
    </w:p>
    <w:p w14:paraId="4FAD55CC" w14:textId="77777777" w:rsidR="000C1755" w:rsidRPr="005E3E65" w:rsidRDefault="0016314B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Pharmaceuticals Works POLPHARMA</w:t>
      </w:r>
      <w:r w:rsidR="000C1755" w:rsidRPr="005E3E65">
        <w:rPr>
          <w:sz w:val="22"/>
          <w:szCs w:val="22"/>
        </w:rPr>
        <w:t xml:space="preserve"> S.A.</w:t>
      </w:r>
    </w:p>
    <w:p w14:paraId="47C14B26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19 Pelpli</w:t>
      </w:r>
      <w:r w:rsidR="00443194" w:rsidRPr="005E3E65">
        <w:rPr>
          <w:sz w:val="22"/>
          <w:szCs w:val="22"/>
        </w:rPr>
        <w:t>ń</w:t>
      </w:r>
      <w:r w:rsidRPr="005E3E65">
        <w:rPr>
          <w:sz w:val="22"/>
          <w:szCs w:val="22"/>
        </w:rPr>
        <w:t>ska Str</w:t>
      </w:r>
      <w:r w:rsidR="00DC1A5C">
        <w:rPr>
          <w:sz w:val="22"/>
          <w:szCs w:val="22"/>
        </w:rPr>
        <w:t>.</w:t>
      </w:r>
      <w:r w:rsidRPr="005E3E65">
        <w:rPr>
          <w:sz w:val="22"/>
          <w:szCs w:val="22"/>
        </w:rPr>
        <w:t>, 83-200 Starogard Gda</w:t>
      </w:r>
      <w:r w:rsidR="00443194" w:rsidRPr="005E3E65">
        <w:rPr>
          <w:sz w:val="22"/>
          <w:szCs w:val="22"/>
        </w:rPr>
        <w:t>ń</w:t>
      </w:r>
      <w:r w:rsidRPr="005E3E65">
        <w:rPr>
          <w:sz w:val="22"/>
          <w:szCs w:val="22"/>
        </w:rPr>
        <w:t>ski, Poľsko</w:t>
      </w:r>
    </w:p>
    <w:p w14:paraId="5D6CDB0D" w14:textId="77777777" w:rsidR="000C1755" w:rsidRPr="005E3E65" w:rsidRDefault="000C1755" w:rsidP="005E3E65">
      <w:pPr>
        <w:rPr>
          <w:b/>
          <w:sz w:val="22"/>
          <w:szCs w:val="22"/>
        </w:rPr>
      </w:pPr>
    </w:p>
    <w:p w14:paraId="341C714B" w14:textId="77777777" w:rsidR="000C1755" w:rsidRPr="005E3E65" w:rsidRDefault="000C1755" w:rsidP="005E3E65">
      <w:pPr>
        <w:rPr>
          <w:b/>
          <w:sz w:val="22"/>
          <w:szCs w:val="22"/>
        </w:rPr>
      </w:pPr>
    </w:p>
    <w:p w14:paraId="42330F7B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8.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REGISTRAČNÉ ČÍSLO</w:t>
      </w:r>
    </w:p>
    <w:p w14:paraId="3BE5B53B" w14:textId="77777777" w:rsidR="00A02155" w:rsidRDefault="00A02155" w:rsidP="005E3E65">
      <w:pPr>
        <w:widowControl/>
        <w:rPr>
          <w:sz w:val="22"/>
          <w:szCs w:val="22"/>
        </w:rPr>
      </w:pPr>
    </w:p>
    <w:p w14:paraId="76666036" w14:textId="77777777" w:rsidR="000C1755" w:rsidRPr="005E3E65" w:rsidRDefault="000C1755" w:rsidP="005E3E65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42/0109/86-C/S</w:t>
      </w:r>
    </w:p>
    <w:p w14:paraId="5085F845" w14:textId="77777777" w:rsidR="000C1755" w:rsidRPr="005E3E65" w:rsidRDefault="000C1755" w:rsidP="005E3E65">
      <w:pPr>
        <w:widowControl/>
        <w:rPr>
          <w:sz w:val="22"/>
          <w:szCs w:val="22"/>
        </w:rPr>
      </w:pPr>
    </w:p>
    <w:p w14:paraId="3E924443" w14:textId="77777777" w:rsidR="000C1755" w:rsidRPr="005E3E65" w:rsidRDefault="000C1755" w:rsidP="005E3E65">
      <w:pPr>
        <w:widowControl/>
        <w:rPr>
          <w:sz w:val="22"/>
          <w:szCs w:val="22"/>
        </w:rPr>
      </w:pPr>
    </w:p>
    <w:p w14:paraId="0C5185FA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9.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DÁTUM PREDĹŽENIA REGISTRÁCIE</w:t>
      </w:r>
    </w:p>
    <w:p w14:paraId="2E8D6DCF" w14:textId="77777777" w:rsidR="00A02155" w:rsidRDefault="00A02155" w:rsidP="005E3E65">
      <w:pPr>
        <w:pStyle w:val="Zkladntext3"/>
        <w:widowControl/>
        <w:autoSpaceDE/>
        <w:autoSpaceDN/>
        <w:adjustRightInd/>
        <w:spacing w:before="0" w:line="240" w:lineRule="auto"/>
        <w:jc w:val="left"/>
        <w:rPr>
          <w:rFonts w:ascii="Times New Roman" w:hAnsi="Times New Roman"/>
        </w:rPr>
      </w:pPr>
    </w:p>
    <w:p w14:paraId="02BA7B90" w14:textId="77777777" w:rsidR="00B7398B" w:rsidRPr="00B7398B" w:rsidRDefault="00B7398B" w:rsidP="005E3E65">
      <w:pPr>
        <w:pStyle w:val="Zkladntext3"/>
        <w:widowControl/>
        <w:autoSpaceDE/>
        <w:autoSpaceDN/>
        <w:adjustRightInd/>
        <w:spacing w:before="0" w:line="240" w:lineRule="auto"/>
        <w:jc w:val="left"/>
        <w:rPr>
          <w:rFonts w:ascii="Times New Roman" w:hAnsi="Times New Roman"/>
        </w:rPr>
      </w:pPr>
      <w:r w:rsidRPr="00B7398B">
        <w:rPr>
          <w:rFonts w:ascii="Times New Roman" w:hAnsi="Times New Roman"/>
        </w:rPr>
        <w:t xml:space="preserve">Dátum prvej registrácie: </w:t>
      </w:r>
      <w:r w:rsidR="006F0C09">
        <w:rPr>
          <w:rFonts w:ascii="Times New Roman" w:hAnsi="Times New Roman"/>
        </w:rPr>
        <w:t>20. Februára 1986</w:t>
      </w:r>
    </w:p>
    <w:p w14:paraId="4723033A" w14:textId="77777777" w:rsidR="000C1755" w:rsidRDefault="00B7398B" w:rsidP="005E3E65">
      <w:pPr>
        <w:pStyle w:val="Zkladntext3"/>
        <w:widowControl/>
        <w:autoSpaceDE/>
        <w:autoSpaceDN/>
        <w:adjustRightInd/>
        <w:spacing w:before="0" w:line="240" w:lineRule="auto"/>
        <w:jc w:val="left"/>
        <w:rPr>
          <w:rFonts w:ascii="Times New Roman" w:hAnsi="Times New Roman"/>
        </w:rPr>
      </w:pPr>
      <w:r w:rsidRPr="00B7398B">
        <w:rPr>
          <w:rFonts w:ascii="Times New Roman" w:hAnsi="Times New Roman"/>
        </w:rPr>
        <w:t>Dátum predĺženia registrácie</w:t>
      </w:r>
      <w:r w:rsidR="000C1755" w:rsidRPr="005E3E65">
        <w:rPr>
          <w:rFonts w:ascii="Times New Roman" w:hAnsi="Times New Roman"/>
        </w:rPr>
        <w:t xml:space="preserve">: </w:t>
      </w:r>
      <w:r w:rsidR="00F616E5" w:rsidRPr="005E3E65">
        <w:rPr>
          <w:rFonts w:ascii="Times New Roman" w:hAnsi="Times New Roman"/>
        </w:rPr>
        <w:t>30.</w:t>
      </w:r>
      <w:r w:rsidR="006F0C09">
        <w:rPr>
          <w:rFonts w:ascii="Times New Roman" w:hAnsi="Times New Roman"/>
        </w:rPr>
        <w:t xml:space="preserve">Júna </w:t>
      </w:r>
      <w:r w:rsidR="00F616E5" w:rsidRPr="005E3E65">
        <w:rPr>
          <w:rFonts w:ascii="Times New Roman" w:hAnsi="Times New Roman"/>
        </w:rPr>
        <w:t>2008</w:t>
      </w:r>
    </w:p>
    <w:p w14:paraId="253F9F97" w14:textId="77777777" w:rsidR="000C1755" w:rsidRPr="005E3E65" w:rsidRDefault="000C1755" w:rsidP="005E3E65">
      <w:pPr>
        <w:widowControl/>
        <w:rPr>
          <w:sz w:val="22"/>
          <w:szCs w:val="22"/>
        </w:rPr>
      </w:pPr>
    </w:p>
    <w:p w14:paraId="14DA3455" w14:textId="77777777" w:rsidR="000C1755" w:rsidRPr="005E3E65" w:rsidRDefault="000C1755" w:rsidP="005E3E65">
      <w:pPr>
        <w:rPr>
          <w:sz w:val="22"/>
          <w:szCs w:val="22"/>
        </w:rPr>
      </w:pPr>
    </w:p>
    <w:p w14:paraId="12165781" w14:textId="77777777" w:rsidR="000C1755" w:rsidRPr="005E3E65" w:rsidRDefault="000C1755" w:rsidP="00AC6303">
      <w:pPr>
        <w:ind w:left="567" w:hanging="567"/>
        <w:rPr>
          <w:b/>
          <w:sz w:val="22"/>
          <w:szCs w:val="22"/>
        </w:rPr>
      </w:pPr>
      <w:r w:rsidRPr="005E3E65">
        <w:rPr>
          <w:b/>
          <w:sz w:val="22"/>
          <w:szCs w:val="22"/>
        </w:rPr>
        <w:t>10.</w:t>
      </w:r>
      <w:r w:rsidR="00AC6303">
        <w:rPr>
          <w:b/>
          <w:sz w:val="22"/>
          <w:szCs w:val="22"/>
        </w:rPr>
        <w:tab/>
      </w:r>
      <w:r w:rsidRPr="005E3E65">
        <w:rPr>
          <w:b/>
          <w:sz w:val="22"/>
          <w:szCs w:val="22"/>
        </w:rPr>
        <w:t>DÁTUM POSLEDNEJ REVÍZIE TEXTU</w:t>
      </w:r>
    </w:p>
    <w:p w14:paraId="7E27B34C" w14:textId="77777777" w:rsidR="009A714E" w:rsidRDefault="009A714E" w:rsidP="005E3E65">
      <w:pPr>
        <w:jc w:val="both"/>
        <w:rPr>
          <w:sz w:val="22"/>
          <w:szCs w:val="22"/>
        </w:rPr>
      </w:pPr>
    </w:p>
    <w:p w14:paraId="541656BB" w14:textId="6DD82BC8" w:rsidR="000C1755" w:rsidRPr="005E3E65" w:rsidRDefault="009F72D7" w:rsidP="005E3E65">
      <w:pPr>
        <w:jc w:val="both"/>
        <w:rPr>
          <w:sz w:val="22"/>
          <w:szCs w:val="22"/>
        </w:rPr>
      </w:pPr>
      <w:r>
        <w:rPr>
          <w:sz w:val="22"/>
          <w:szCs w:val="22"/>
        </w:rPr>
        <w:t>Január 2020</w:t>
      </w:r>
    </w:p>
    <w:sectPr w:rsidR="000C1755" w:rsidRPr="005E3E65" w:rsidSect="00CA26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FC98A" w14:textId="77777777" w:rsidR="009920B1" w:rsidRDefault="009920B1">
      <w:r>
        <w:separator/>
      </w:r>
    </w:p>
  </w:endnote>
  <w:endnote w:type="continuationSeparator" w:id="0">
    <w:p w14:paraId="3CD3D8C5" w14:textId="77777777" w:rsidR="009920B1" w:rsidRDefault="0099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3F861" w14:textId="77777777" w:rsidR="009F72D7" w:rsidRDefault="009F72D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974229"/>
      <w:docPartObj>
        <w:docPartGallery w:val="Page Numbers (Bottom of Page)"/>
        <w:docPartUnique/>
      </w:docPartObj>
    </w:sdtPr>
    <w:sdtEndPr/>
    <w:sdtContent>
      <w:p w14:paraId="3D718C3F" w14:textId="4550BB4E" w:rsidR="009F72D7" w:rsidRDefault="009F72D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69C">
          <w:rPr>
            <w:noProof/>
          </w:rPr>
          <w:t>1</w:t>
        </w:r>
        <w:r>
          <w:fldChar w:fldCharType="end"/>
        </w:r>
      </w:p>
    </w:sdtContent>
  </w:sdt>
  <w:p w14:paraId="11BD38A1" w14:textId="77777777" w:rsidR="009F72D7" w:rsidRDefault="009F72D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29CCF" w14:textId="77777777" w:rsidR="009F72D7" w:rsidRDefault="009F72D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759DB" w14:textId="77777777" w:rsidR="009920B1" w:rsidRDefault="009920B1">
      <w:r>
        <w:separator/>
      </w:r>
    </w:p>
  </w:footnote>
  <w:footnote w:type="continuationSeparator" w:id="0">
    <w:p w14:paraId="564B35CB" w14:textId="77777777" w:rsidR="009920B1" w:rsidRDefault="00992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CB5C" w14:textId="77777777" w:rsidR="009F72D7" w:rsidRDefault="009F72D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74E95" w14:textId="35E4BA2F" w:rsidR="009F72D7" w:rsidRPr="00CA269C" w:rsidRDefault="009F72D7">
    <w:pPr>
      <w:pStyle w:val="Hlavika"/>
      <w:rPr>
        <w:sz w:val="18"/>
        <w:szCs w:val="18"/>
      </w:rPr>
    </w:pPr>
    <w:r w:rsidRPr="00CA269C">
      <w:rPr>
        <w:sz w:val="18"/>
        <w:szCs w:val="18"/>
      </w:rPr>
      <w:t>Príloha č.</w:t>
    </w:r>
    <w:r w:rsidR="00686637" w:rsidRPr="00CA269C">
      <w:rPr>
        <w:sz w:val="18"/>
        <w:szCs w:val="18"/>
        <w:lang w:val="sk-SK"/>
      </w:rPr>
      <w:t>2</w:t>
    </w:r>
    <w:r w:rsidRPr="00CA269C">
      <w:rPr>
        <w:sz w:val="18"/>
        <w:szCs w:val="18"/>
      </w:rPr>
      <w:t xml:space="preserve"> k notifikácii o zmene, ev. č.: </w:t>
    </w:r>
    <w:r w:rsidRPr="00CA269C">
      <w:rPr>
        <w:sz w:val="18"/>
        <w:szCs w:val="18"/>
        <w:lang w:val="sk-SK"/>
      </w:rPr>
      <w:t>2019/05313-Z1B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852F0" w14:textId="424106DB" w:rsidR="00880A9D" w:rsidRDefault="00107E76">
    <w:pPr>
      <w:pStyle w:val="Hlavika"/>
    </w:pPr>
    <w:r>
      <w:t xml:space="preserve">Príloha č.1 k notifikácii o zmene, ev. č.: </w:t>
    </w:r>
    <w:r w:rsidR="009F72D7">
      <w:rPr>
        <w:lang w:val="sk-SK"/>
      </w:rPr>
      <w:t>2019/05313-Z1B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20921"/>
    <w:multiLevelType w:val="singleLevel"/>
    <w:tmpl w:val="852A1AA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 w15:restartNumberingAfterBreak="0">
    <w:nsid w:val="0D261FCC"/>
    <w:multiLevelType w:val="hybridMultilevel"/>
    <w:tmpl w:val="22BC0BB6"/>
    <w:lvl w:ilvl="0" w:tplc="D3AE3F3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367772"/>
    <w:multiLevelType w:val="singleLevel"/>
    <w:tmpl w:val="AC32A70A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0D397D54"/>
    <w:multiLevelType w:val="singleLevel"/>
    <w:tmpl w:val="A45041B6"/>
    <w:lvl w:ilvl="0">
      <w:start w:val="2"/>
      <w:numFmt w:val="decimal"/>
      <w:lvlText w:val="4.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5" w15:restartNumberingAfterBreak="0">
    <w:nsid w:val="132C3E6F"/>
    <w:multiLevelType w:val="singleLevel"/>
    <w:tmpl w:val="CB18D10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6" w15:restartNumberingAfterBreak="0">
    <w:nsid w:val="143B4437"/>
    <w:multiLevelType w:val="singleLevel"/>
    <w:tmpl w:val="852A1AA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7" w15:restartNumberingAfterBreak="0">
    <w:nsid w:val="16724679"/>
    <w:multiLevelType w:val="singleLevel"/>
    <w:tmpl w:val="A774BB30"/>
    <w:lvl w:ilvl="0">
      <w:start w:val="2"/>
      <w:numFmt w:val="decimal"/>
      <w:lvlText w:val="5.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8" w15:restartNumberingAfterBreak="0">
    <w:nsid w:val="180B20B0"/>
    <w:multiLevelType w:val="singleLevel"/>
    <w:tmpl w:val="4F6C530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B942337"/>
    <w:multiLevelType w:val="singleLevel"/>
    <w:tmpl w:val="6966DBAA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0" w15:restartNumberingAfterBreak="0">
    <w:nsid w:val="1E862C87"/>
    <w:multiLevelType w:val="singleLevel"/>
    <w:tmpl w:val="CE32EADA"/>
    <w:lvl w:ilvl="0">
      <w:start w:val="3"/>
      <w:numFmt w:val="decimal"/>
      <w:lvlText w:val="4.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11" w15:restartNumberingAfterBreak="0">
    <w:nsid w:val="2504396E"/>
    <w:multiLevelType w:val="singleLevel"/>
    <w:tmpl w:val="F18E77C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2" w15:restartNumberingAfterBreak="0">
    <w:nsid w:val="27D00F18"/>
    <w:multiLevelType w:val="hybridMultilevel"/>
    <w:tmpl w:val="8578C732"/>
    <w:lvl w:ilvl="0" w:tplc="D3AE3F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20F54"/>
    <w:multiLevelType w:val="singleLevel"/>
    <w:tmpl w:val="841C9724"/>
    <w:lvl w:ilvl="0">
      <w:start w:val="5"/>
      <w:numFmt w:val="decimal"/>
      <w:lvlText w:val="4.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14" w15:restartNumberingAfterBreak="0">
    <w:nsid w:val="2EB92611"/>
    <w:multiLevelType w:val="singleLevel"/>
    <w:tmpl w:val="32F06A3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5" w15:restartNumberingAfterBreak="0">
    <w:nsid w:val="362737E2"/>
    <w:multiLevelType w:val="hybridMultilevel"/>
    <w:tmpl w:val="1B6C439A"/>
    <w:lvl w:ilvl="0" w:tplc="2EC20DAE">
      <w:numFmt w:val="bullet"/>
      <w:lvlText w:val="-"/>
      <w:lvlJc w:val="left"/>
      <w:pPr>
        <w:ind w:left="245" w:hanging="2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6" w15:restartNumberingAfterBreak="0">
    <w:nsid w:val="3A133113"/>
    <w:multiLevelType w:val="singleLevel"/>
    <w:tmpl w:val="C48A5990"/>
    <w:lvl w:ilvl="0">
      <w:start w:val="4"/>
      <w:numFmt w:val="decimal"/>
      <w:lvlText w:val="4.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17" w15:restartNumberingAfterBreak="0">
    <w:nsid w:val="3F0A14EA"/>
    <w:multiLevelType w:val="singleLevel"/>
    <w:tmpl w:val="AC32A70A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8" w15:restartNumberingAfterBreak="0">
    <w:nsid w:val="4B14102D"/>
    <w:multiLevelType w:val="multilevel"/>
    <w:tmpl w:val="774AE1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6C3304"/>
    <w:multiLevelType w:val="multilevel"/>
    <w:tmpl w:val="B204F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1A7614"/>
    <w:multiLevelType w:val="singleLevel"/>
    <w:tmpl w:val="7076F944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21" w15:restartNumberingAfterBreak="0">
    <w:nsid w:val="54940AC7"/>
    <w:multiLevelType w:val="hybridMultilevel"/>
    <w:tmpl w:val="4176B8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52BD8"/>
    <w:multiLevelType w:val="hybridMultilevel"/>
    <w:tmpl w:val="0CC645C0"/>
    <w:lvl w:ilvl="0" w:tplc="02E6B01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60CE1"/>
    <w:multiLevelType w:val="singleLevel"/>
    <w:tmpl w:val="98F0CE1C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24" w15:restartNumberingAfterBreak="0">
    <w:nsid w:val="5FCD7685"/>
    <w:multiLevelType w:val="hybridMultilevel"/>
    <w:tmpl w:val="2FBA53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D77D0"/>
    <w:multiLevelType w:val="singleLevel"/>
    <w:tmpl w:val="62CC8C1A"/>
    <w:lvl w:ilvl="0">
      <w:start w:val="1"/>
      <w:numFmt w:val="decimal"/>
      <w:lvlText w:val="5.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26" w15:restartNumberingAfterBreak="0">
    <w:nsid w:val="655B20B8"/>
    <w:multiLevelType w:val="singleLevel"/>
    <w:tmpl w:val="E51605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27" w15:restartNumberingAfterBreak="0">
    <w:nsid w:val="68247287"/>
    <w:multiLevelType w:val="singleLevel"/>
    <w:tmpl w:val="852A1AA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8" w15:restartNumberingAfterBreak="0">
    <w:nsid w:val="6DB62E7B"/>
    <w:multiLevelType w:val="singleLevel"/>
    <w:tmpl w:val="DCECD4BE"/>
    <w:lvl w:ilvl="0">
      <w:start w:val="1"/>
      <w:numFmt w:val="decimal"/>
      <w:lvlText w:val="4.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29" w15:restartNumberingAfterBreak="0">
    <w:nsid w:val="7ECF125C"/>
    <w:multiLevelType w:val="singleLevel"/>
    <w:tmpl w:val="E980745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4"/>
      </w:rPr>
    </w:lvl>
  </w:abstractNum>
  <w:num w:numId="1">
    <w:abstractNumId w:val="29"/>
  </w:num>
  <w:num w:numId="2">
    <w:abstractNumId w:val="5"/>
  </w:num>
  <w:num w:numId="3">
    <w:abstractNumId w:val="11"/>
  </w:num>
  <w:num w:numId="4">
    <w:abstractNumId w:val="14"/>
  </w:num>
  <w:num w:numId="5">
    <w:abstractNumId w:val="28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417"/>
        <w:lvlJc w:val="left"/>
        <w:pPr>
          <w:ind w:left="474" w:hanging="417"/>
        </w:pPr>
        <w:rPr>
          <w:rFonts w:ascii="Symbol" w:hAnsi="Symbol" w:hint="default"/>
          <w:sz w:val="18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8">
    <w:abstractNumId w:val="4"/>
  </w:num>
  <w:num w:numId="9">
    <w:abstractNumId w:val="10"/>
  </w:num>
  <w:num w:numId="10">
    <w:abstractNumId w:val="16"/>
  </w:num>
  <w:num w:numId="11">
    <w:abstractNumId w:val="13"/>
  </w:num>
  <w:num w:numId="12">
    <w:abstractNumId w:val="23"/>
  </w:num>
  <w:num w:numId="13">
    <w:abstractNumId w:val="25"/>
  </w:num>
  <w:num w:numId="14">
    <w:abstractNumId w:val="7"/>
  </w:num>
  <w:num w:numId="15">
    <w:abstractNumId w:val="26"/>
  </w:num>
  <w:num w:numId="16">
    <w:abstractNumId w:val="9"/>
  </w:num>
  <w:num w:numId="17">
    <w:abstractNumId w:val="20"/>
  </w:num>
  <w:num w:numId="18">
    <w:abstractNumId w:val="19"/>
  </w:num>
  <w:num w:numId="19">
    <w:abstractNumId w:val="6"/>
  </w:num>
  <w:num w:numId="20">
    <w:abstractNumId w:val="8"/>
  </w:num>
  <w:num w:numId="21">
    <w:abstractNumId w:val="18"/>
  </w:num>
  <w:num w:numId="22">
    <w:abstractNumId w:val="17"/>
  </w:num>
  <w:num w:numId="23">
    <w:abstractNumId w:val="3"/>
  </w:num>
  <w:num w:numId="24">
    <w:abstractNumId w:val="27"/>
  </w:num>
  <w:num w:numId="25">
    <w:abstractNumId w:val="1"/>
  </w:num>
  <w:num w:numId="26">
    <w:abstractNumId w:val="22"/>
  </w:num>
  <w:num w:numId="27">
    <w:abstractNumId w:val="2"/>
  </w:num>
  <w:num w:numId="28">
    <w:abstractNumId w:val="21"/>
  </w:num>
  <w:num w:numId="29">
    <w:abstractNumId w:val="24"/>
  </w:num>
  <w:num w:numId="30">
    <w:abstractNumId w:val="1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57"/>
    <w:rsid w:val="0001181E"/>
    <w:rsid w:val="0002129C"/>
    <w:rsid w:val="00027FC0"/>
    <w:rsid w:val="000342A7"/>
    <w:rsid w:val="0003590A"/>
    <w:rsid w:val="00043307"/>
    <w:rsid w:val="00051B8E"/>
    <w:rsid w:val="00061D06"/>
    <w:rsid w:val="00064515"/>
    <w:rsid w:val="00077324"/>
    <w:rsid w:val="00081842"/>
    <w:rsid w:val="000A5622"/>
    <w:rsid w:val="000B2166"/>
    <w:rsid w:val="000C1755"/>
    <w:rsid w:val="000C2109"/>
    <w:rsid w:val="000E15E2"/>
    <w:rsid w:val="000F1F3C"/>
    <w:rsid w:val="00107C6E"/>
    <w:rsid w:val="00107E76"/>
    <w:rsid w:val="0012066C"/>
    <w:rsid w:val="00130D82"/>
    <w:rsid w:val="00151F85"/>
    <w:rsid w:val="00155286"/>
    <w:rsid w:val="00157404"/>
    <w:rsid w:val="0016314B"/>
    <w:rsid w:val="001652C6"/>
    <w:rsid w:val="0018786D"/>
    <w:rsid w:val="001A7105"/>
    <w:rsid w:val="001B20CC"/>
    <w:rsid w:val="001C12D7"/>
    <w:rsid w:val="001E07A1"/>
    <w:rsid w:val="001F4649"/>
    <w:rsid w:val="001F50FC"/>
    <w:rsid w:val="00210EE5"/>
    <w:rsid w:val="00212ACD"/>
    <w:rsid w:val="0021689F"/>
    <w:rsid w:val="00217391"/>
    <w:rsid w:val="00247C6E"/>
    <w:rsid w:val="00270B6C"/>
    <w:rsid w:val="002878AA"/>
    <w:rsid w:val="002B15D2"/>
    <w:rsid w:val="002B6E38"/>
    <w:rsid w:val="002C4EE0"/>
    <w:rsid w:val="002E1CC2"/>
    <w:rsid w:val="002F05C0"/>
    <w:rsid w:val="002F14E2"/>
    <w:rsid w:val="002F2025"/>
    <w:rsid w:val="002F73F6"/>
    <w:rsid w:val="00305E9E"/>
    <w:rsid w:val="00312218"/>
    <w:rsid w:val="00315FA4"/>
    <w:rsid w:val="003224D0"/>
    <w:rsid w:val="0032396D"/>
    <w:rsid w:val="0033322D"/>
    <w:rsid w:val="00362A3E"/>
    <w:rsid w:val="003B41B1"/>
    <w:rsid w:val="003E11B8"/>
    <w:rsid w:val="00417124"/>
    <w:rsid w:val="00443194"/>
    <w:rsid w:val="004547C1"/>
    <w:rsid w:val="00476878"/>
    <w:rsid w:val="004A7238"/>
    <w:rsid w:val="004B3B4D"/>
    <w:rsid w:val="004B61CB"/>
    <w:rsid w:val="004E3D42"/>
    <w:rsid w:val="004E719C"/>
    <w:rsid w:val="004F02B1"/>
    <w:rsid w:val="004F13EA"/>
    <w:rsid w:val="004F2153"/>
    <w:rsid w:val="004F28CE"/>
    <w:rsid w:val="00504E87"/>
    <w:rsid w:val="00510E0C"/>
    <w:rsid w:val="0051615F"/>
    <w:rsid w:val="00522EB9"/>
    <w:rsid w:val="005540C1"/>
    <w:rsid w:val="005A02C0"/>
    <w:rsid w:val="005C1E89"/>
    <w:rsid w:val="005D11EC"/>
    <w:rsid w:val="005D422B"/>
    <w:rsid w:val="005E1B89"/>
    <w:rsid w:val="005E302D"/>
    <w:rsid w:val="005E3E65"/>
    <w:rsid w:val="005F095C"/>
    <w:rsid w:val="005F4187"/>
    <w:rsid w:val="006077AD"/>
    <w:rsid w:val="0062244E"/>
    <w:rsid w:val="00630A8C"/>
    <w:rsid w:val="0063439B"/>
    <w:rsid w:val="006402A6"/>
    <w:rsid w:val="006700C5"/>
    <w:rsid w:val="006829CE"/>
    <w:rsid w:val="006829DF"/>
    <w:rsid w:val="00683DA0"/>
    <w:rsid w:val="00686637"/>
    <w:rsid w:val="006A4D09"/>
    <w:rsid w:val="006D1C4A"/>
    <w:rsid w:val="006D2F0E"/>
    <w:rsid w:val="006E2C6F"/>
    <w:rsid w:val="006E3498"/>
    <w:rsid w:val="006E4E79"/>
    <w:rsid w:val="006F0C09"/>
    <w:rsid w:val="006F1640"/>
    <w:rsid w:val="006F72FD"/>
    <w:rsid w:val="0070661E"/>
    <w:rsid w:val="007157F4"/>
    <w:rsid w:val="00723E8D"/>
    <w:rsid w:val="0073093F"/>
    <w:rsid w:val="007463ED"/>
    <w:rsid w:val="007468D1"/>
    <w:rsid w:val="007751D5"/>
    <w:rsid w:val="00790420"/>
    <w:rsid w:val="007C0A57"/>
    <w:rsid w:val="007C2A7E"/>
    <w:rsid w:val="007D2215"/>
    <w:rsid w:val="00801198"/>
    <w:rsid w:val="00803DE5"/>
    <w:rsid w:val="0082128F"/>
    <w:rsid w:val="008217E6"/>
    <w:rsid w:val="00834018"/>
    <w:rsid w:val="00854811"/>
    <w:rsid w:val="00880A9D"/>
    <w:rsid w:val="00890397"/>
    <w:rsid w:val="008A5040"/>
    <w:rsid w:val="008E0250"/>
    <w:rsid w:val="008F240E"/>
    <w:rsid w:val="009079E8"/>
    <w:rsid w:val="00921A01"/>
    <w:rsid w:val="00944F77"/>
    <w:rsid w:val="0095217C"/>
    <w:rsid w:val="00952981"/>
    <w:rsid w:val="00967160"/>
    <w:rsid w:val="00991938"/>
    <w:rsid w:val="009920B1"/>
    <w:rsid w:val="009A28F8"/>
    <w:rsid w:val="009A39F1"/>
    <w:rsid w:val="009A714E"/>
    <w:rsid w:val="009B5A05"/>
    <w:rsid w:val="009C4C2B"/>
    <w:rsid w:val="009E48A5"/>
    <w:rsid w:val="009F4056"/>
    <w:rsid w:val="009F72D7"/>
    <w:rsid w:val="00A02155"/>
    <w:rsid w:val="00A166E4"/>
    <w:rsid w:val="00A23366"/>
    <w:rsid w:val="00A44438"/>
    <w:rsid w:val="00A6541D"/>
    <w:rsid w:val="00A81719"/>
    <w:rsid w:val="00A826AE"/>
    <w:rsid w:val="00A873FF"/>
    <w:rsid w:val="00AB18A7"/>
    <w:rsid w:val="00AB523E"/>
    <w:rsid w:val="00AC6303"/>
    <w:rsid w:val="00AD489E"/>
    <w:rsid w:val="00AF5EE1"/>
    <w:rsid w:val="00B027B0"/>
    <w:rsid w:val="00B0284A"/>
    <w:rsid w:val="00B04311"/>
    <w:rsid w:val="00B118FC"/>
    <w:rsid w:val="00B320EB"/>
    <w:rsid w:val="00B37987"/>
    <w:rsid w:val="00B54211"/>
    <w:rsid w:val="00B62F32"/>
    <w:rsid w:val="00B674E8"/>
    <w:rsid w:val="00B7398B"/>
    <w:rsid w:val="00B73DD6"/>
    <w:rsid w:val="00B748EF"/>
    <w:rsid w:val="00B81F16"/>
    <w:rsid w:val="00B907ED"/>
    <w:rsid w:val="00B96D50"/>
    <w:rsid w:val="00BB1F9E"/>
    <w:rsid w:val="00BC5A6C"/>
    <w:rsid w:val="00BD5163"/>
    <w:rsid w:val="00BD6324"/>
    <w:rsid w:val="00BE779C"/>
    <w:rsid w:val="00BF0B1E"/>
    <w:rsid w:val="00BF32CE"/>
    <w:rsid w:val="00BF7CAE"/>
    <w:rsid w:val="00C201F0"/>
    <w:rsid w:val="00C214CF"/>
    <w:rsid w:val="00C306E8"/>
    <w:rsid w:val="00C40194"/>
    <w:rsid w:val="00C629C8"/>
    <w:rsid w:val="00C64E29"/>
    <w:rsid w:val="00C670D8"/>
    <w:rsid w:val="00C7418E"/>
    <w:rsid w:val="00C75CFA"/>
    <w:rsid w:val="00C81209"/>
    <w:rsid w:val="00C835F2"/>
    <w:rsid w:val="00CA269C"/>
    <w:rsid w:val="00CA5FBB"/>
    <w:rsid w:val="00CB6884"/>
    <w:rsid w:val="00CD70D6"/>
    <w:rsid w:val="00CD7D6B"/>
    <w:rsid w:val="00CE357C"/>
    <w:rsid w:val="00D32461"/>
    <w:rsid w:val="00D37861"/>
    <w:rsid w:val="00D40444"/>
    <w:rsid w:val="00D45254"/>
    <w:rsid w:val="00D62A6A"/>
    <w:rsid w:val="00D634D3"/>
    <w:rsid w:val="00D7602B"/>
    <w:rsid w:val="00D866C3"/>
    <w:rsid w:val="00DA2F4A"/>
    <w:rsid w:val="00DA47D2"/>
    <w:rsid w:val="00DA74F6"/>
    <w:rsid w:val="00DB7804"/>
    <w:rsid w:val="00DC06F8"/>
    <w:rsid w:val="00DC1A5C"/>
    <w:rsid w:val="00DD2669"/>
    <w:rsid w:val="00DE6137"/>
    <w:rsid w:val="00E00529"/>
    <w:rsid w:val="00E029D2"/>
    <w:rsid w:val="00E424B9"/>
    <w:rsid w:val="00E50341"/>
    <w:rsid w:val="00E60B16"/>
    <w:rsid w:val="00E6696D"/>
    <w:rsid w:val="00E73E8B"/>
    <w:rsid w:val="00EA0101"/>
    <w:rsid w:val="00EC6739"/>
    <w:rsid w:val="00EF2EAE"/>
    <w:rsid w:val="00F06390"/>
    <w:rsid w:val="00F0700C"/>
    <w:rsid w:val="00F16008"/>
    <w:rsid w:val="00F616E5"/>
    <w:rsid w:val="00F633BD"/>
    <w:rsid w:val="00F7735E"/>
    <w:rsid w:val="00FA7BCE"/>
    <w:rsid w:val="00FB0C34"/>
    <w:rsid w:val="00FB7F16"/>
    <w:rsid w:val="00FC3ED4"/>
    <w:rsid w:val="00FC48D9"/>
    <w:rsid w:val="00FC7923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6691C"/>
  <w15:chartTrackingRefBased/>
  <w15:docId w15:val="{BA6B1331-76F1-492B-BA30-80962596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lang w:val="sk-SK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i/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 w:val="28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sz w:val="22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y"/>
    <w:next w:val="Normlny"/>
    <w:qFormat/>
    <w:pPr>
      <w:keepNext/>
      <w:ind w:left="284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left="284"/>
      <w:outlineLvl w:val="7"/>
    </w:pPr>
    <w:rPr>
      <w:sz w:val="24"/>
    </w:rPr>
  </w:style>
  <w:style w:type="paragraph" w:styleId="Nadpis9">
    <w:name w:val="heading 9"/>
    <w:basedOn w:val="Normlny"/>
    <w:next w:val="Normlny"/>
    <w:qFormat/>
    <w:pPr>
      <w:keepNext/>
      <w:widowControl/>
      <w:outlineLvl w:val="8"/>
    </w:pPr>
    <w:rPr>
      <w:rFonts w:ascii="Arial" w:hAnsi="Arial" w:cs="Arial"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Pr>
      <w:sz w:val="24"/>
    </w:rPr>
  </w:style>
  <w:style w:type="paragraph" w:customStyle="1" w:styleId="BodyText21">
    <w:name w:val="Body Text 21"/>
    <w:basedOn w:val="Normlny"/>
    <w:rPr>
      <w:i/>
      <w:sz w:val="24"/>
    </w:rPr>
  </w:style>
  <w:style w:type="paragraph" w:styleId="Zarkazkladnhotextu">
    <w:name w:val="Body Text Indent"/>
    <w:basedOn w:val="Normlny"/>
    <w:pPr>
      <w:ind w:left="426"/>
    </w:pPr>
    <w:rPr>
      <w:sz w:val="24"/>
    </w:rPr>
  </w:style>
  <w:style w:type="paragraph" w:customStyle="1" w:styleId="BodyTextIndent21">
    <w:name w:val="Body Text Indent 21"/>
    <w:basedOn w:val="Normlny"/>
    <w:pPr>
      <w:ind w:left="5954" w:hanging="3074"/>
    </w:pPr>
    <w:rPr>
      <w:b/>
      <w:sz w:val="24"/>
    </w:rPr>
  </w:style>
  <w:style w:type="paragraph" w:styleId="Zarkazkladnhotextu2">
    <w:name w:val="Body Text Indent 2"/>
    <w:basedOn w:val="Normlny"/>
    <w:pPr>
      <w:widowControl/>
      <w:ind w:left="708"/>
    </w:pPr>
    <w:rPr>
      <w:rFonts w:ascii="Arial" w:hAnsi="Arial"/>
      <w:sz w:val="24"/>
    </w:rPr>
  </w:style>
  <w:style w:type="paragraph" w:styleId="Zarkazkladnhotextu3">
    <w:name w:val="Body Text Indent 3"/>
    <w:basedOn w:val="Normlny"/>
    <w:pPr>
      <w:widowControl/>
      <w:ind w:left="709"/>
    </w:pPr>
    <w:rPr>
      <w:rFonts w:ascii="Arial" w:hAnsi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703"/>
        <w:tab w:val="right" w:pos="9406"/>
      </w:tabs>
    </w:pPr>
    <w:rPr>
      <w:lang w:val="x-none"/>
    </w:rPr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pPr>
      <w:widowControl/>
    </w:pPr>
    <w:rPr>
      <w:rFonts w:ascii="Arial" w:hAnsi="Arial" w:cs="Arial"/>
      <w:sz w:val="22"/>
    </w:rPr>
  </w:style>
  <w:style w:type="paragraph" w:styleId="Zkladntext3">
    <w:name w:val="Body Text 3"/>
    <w:basedOn w:val="Normlny"/>
    <w:link w:val="Zkladntext3Char"/>
    <w:pPr>
      <w:autoSpaceDE w:val="0"/>
      <w:autoSpaceDN w:val="0"/>
      <w:adjustRightInd w:val="0"/>
      <w:spacing w:before="120" w:line="10" w:lineRule="atLeast"/>
      <w:jc w:val="both"/>
    </w:pPr>
    <w:rPr>
      <w:rFonts w:ascii="Arial" w:hAnsi="Arial"/>
      <w:sz w:val="22"/>
      <w:szCs w:val="22"/>
    </w:rPr>
  </w:style>
  <w:style w:type="paragraph" w:styleId="Textbubliny">
    <w:name w:val="Balloon Text"/>
    <w:basedOn w:val="Normlny"/>
    <w:link w:val="TextbublinyChar"/>
    <w:rsid w:val="008217E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217E6"/>
    <w:rPr>
      <w:rFonts w:ascii="Tahoma" w:hAnsi="Tahoma" w:cs="Tahoma"/>
      <w:sz w:val="16"/>
      <w:szCs w:val="16"/>
      <w:lang w:val="sk-SK" w:eastAsia="en-US"/>
    </w:rPr>
  </w:style>
  <w:style w:type="character" w:customStyle="1" w:styleId="HlavikaChar">
    <w:name w:val="Hlavička Char"/>
    <w:link w:val="Hlavika"/>
    <w:uiPriority w:val="99"/>
    <w:rsid w:val="00880A9D"/>
    <w:rPr>
      <w:lang w:eastAsia="en-US"/>
    </w:rPr>
  </w:style>
  <w:style w:type="character" w:customStyle="1" w:styleId="ZkladntextChar">
    <w:name w:val="Základný text Char"/>
    <w:link w:val="Zkladntext"/>
    <w:rsid w:val="00D45254"/>
    <w:rPr>
      <w:sz w:val="24"/>
      <w:lang w:val="sk-SK" w:eastAsia="en-US"/>
    </w:rPr>
  </w:style>
  <w:style w:type="paragraph" w:customStyle="1" w:styleId="Default">
    <w:name w:val="Default"/>
    <w:rsid w:val="003E11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rsid w:val="003E11B8"/>
    <w:pPr>
      <w:widowControl/>
    </w:pPr>
    <w:rPr>
      <w:lang w:val="pl-PL" w:eastAsia="pl-P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E11B8"/>
  </w:style>
  <w:style w:type="paragraph" w:styleId="Normlnywebov">
    <w:name w:val="Normal (Web)"/>
    <w:basedOn w:val="Normlny"/>
    <w:uiPriority w:val="99"/>
    <w:rsid w:val="00A02155"/>
    <w:pPr>
      <w:widowControl/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Hypertextovprepojenie">
    <w:name w:val="Hyperlink"/>
    <w:uiPriority w:val="99"/>
    <w:rsid w:val="00A02155"/>
    <w:rPr>
      <w:color w:val="0000FF"/>
      <w:u w:val="single"/>
    </w:rPr>
  </w:style>
  <w:style w:type="character" w:customStyle="1" w:styleId="apple-converted-space">
    <w:name w:val="apple-converted-space"/>
    <w:rsid w:val="00A02155"/>
  </w:style>
  <w:style w:type="character" w:customStyle="1" w:styleId="Zkladntext3Char">
    <w:name w:val="Základný text 3 Char"/>
    <w:link w:val="Zkladntext3"/>
    <w:rsid w:val="00D7602B"/>
    <w:rPr>
      <w:rFonts w:ascii="Arial" w:hAnsi="Arial" w:cs="Arial"/>
      <w:sz w:val="22"/>
      <w:szCs w:val="22"/>
      <w:lang w:val="sk-SK" w:eastAsia="en-US"/>
    </w:rPr>
  </w:style>
  <w:style w:type="character" w:customStyle="1" w:styleId="hps">
    <w:name w:val="hps"/>
    <w:rsid w:val="007751D5"/>
  </w:style>
  <w:style w:type="character" w:styleId="Odkaznakomentr">
    <w:name w:val="annotation reference"/>
    <w:rsid w:val="001F50F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1F50FC"/>
    <w:pPr>
      <w:widowControl w:val="0"/>
    </w:pPr>
    <w:rPr>
      <w:b/>
      <w:bCs/>
      <w:lang w:val="x-none" w:eastAsia="en-US"/>
    </w:rPr>
  </w:style>
  <w:style w:type="character" w:customStyle="1" w:styleId="PredmetkomentraChar">
    <w:name w:val="Predmet komentára Char"/>
    <w:link w:val="Predmetkomentra"/>
    <w:rsid w:val="001F50FC"/>
    <w:rPr>
      <w:b/>
      <w:bCs/>
      <w:lang w:eastAsia="en-US"/>
    </w:rPr>
  </w:style>
  <w:style w:type="paragraph" w:styleId="Revzia">
    <w:name w:val="Revision"/>
    <w:hidden/>
    <w:uiPriority w:val="99"/>
    <w:semiHidden/>
    <w:rsid w:val="004F28CE"/>
    <w:rPr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rsid w:val="009F72D7"/>
    <w:rPr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de_x0020_name xmlns="82db5bd2-3f09-4eff-b4f8-de6a53cd5a02">Metronidazole 0,5% Polpharma</Trade_x0020_name>
    <Procedure_number xmlns="82db5bd2-3f09-4eff-b4f8-de6a53cd5a02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71E3A-40B0-4821-BEA0-E33BE1DC2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57061-7EA8-401D-82B9-82610CAC7D61}">
  <ds:schemaRefs>
    <ds:schemaRef ds:uri="http://schemas.microsoft.com/office/2006/metadata/properties"/>
    <ds:schemaRef ds:uri="http://schemas.microsoft.com/office/infopath/2007/PartnerControls"/>
    <ds:schemaRef ds:uri="82db5bd2-3f09-4eff-b4f8-de6a53cd5a02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9F1EC11E-9145-4B6C-B6A0-C926681230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3657</Words>
  <Characters>20850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Súhrn údajov o prípravku</vt:lpstr>
      <vt:lpstr>Súhrn údajov o prípravku</vt:lpstr>
    </vt:vector>
  </TitlesOfParts>
  <Company/>
  <LinksUpToDate>false</LinksUpToDate>
  <CharactersWithSpaces>24459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subject/>
  <dc:creator>Edward Kosiorek, Director</dc:creator>
  <cp:keywords/>
  <cp:lastModifiedBy>Repiščáková, Janka</cp:lastModifiedBy>
  <cp:revision>5</cp:revision>
  <cp:lastPrinted>2014-10-01T06:59:00Z</cp:lastPrinted>
  <dcterms:created xsi:type="dcterms:W3CDTF">2020-01-15T06:10:00Z</dcterms:created>
  <dcterms:modified xsi:type="dcterms:W3CDTF">2020-01-15T07:33:00Z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</Properties>
</file>