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6E8AB" w14:textId="77777777" w:rsidR="009A5771" w:rsidRPr="004E1637" w:rsidRDefault="00BE76D5" w:rsidP="009A5771">
      <w:pPr>
        <w:pStyle w:val="CM1"/>
        <w:jc w:val="center"/>
        <w:rPr>
          <w:b/>
          <w:bCs/>
          <w:color w:val="000000"/>
          <w:sz w:val="22"/>
          <w:szCs w:val="22"/>
        </w:rPr>
      </w:pPr>
      <w:r w:rsidRPr="004E1637">
        <w:rPr>
          <w:b/>
          <w:bCs/>
          <w:color w:val="000000"/>
          <w:sz w:val="22"/>
          <w:szCs w:val="22"/>
        </w:rPr>
        <w:t xml:space="preserve">SÚHRN CHARAKTERISTICKÝCH VLASTNOSTÍ LIEKU </w:t>
      </w:r>
    </w:p>
    <w:p w14:paraId="4298A2B7" w14:textId="77777777" w:rsidR="009A5771" w:rsidRPr="004E1637" w:rsidRDefault="009A5771" w:rsidP="009A5771">
      <w:pPr>
        <w:pStyle w:val="CM1"/>
        <w:rPr>
          <w:b/>
          <w:bCs/>
          <w:color w:val="000000"/>
          <w:sz w:val="22"/>
          <w:szCs w:val="22"/>
        </w:rPr>
      </w:pPr>
    </w:p>
    <w:p w14:paraId="74A721F7" w14:textId="77777777" w:rsidR="00BE76D5" w:rsidRPr="004E1637" w:rsidRDefault="00BE76D5" w:rsidP="00997BC9">
      <w:pPr>
        <w:pStyle w:val="CM1"/>
        <w:numPr>
          <w:ilvl w:val="0"/>
          <w:numId w:val="2"/>
        </w:numPr>
        <w:ind w:left="567" w:hanging="567"/>
        <w:rPr>
          <w:b/>
          <w:color w:val="000000"/>
          <w:sz w:val="22"/>
          <w:szCs w:val="22"/>
        </w:rPr>
      </w:pPr>
      <w:r w:rsidRPr="004E1637">
        <w:rPr>
          <w:b/>
          <w:bCs/>
          <w:color w:val="000000"/>
          <w:sz w:val="22"/>
          <w:szCs w:val="22"/>
        </w:rPr>
        <w:t xml:space="preserve">NÁZOV LIEKU </w:t>
      </w:r>
    </w:p>
    <w:p w14:paraId="4ACEF89E" w14:textId="77777777" w:rsidR="009A5771" w:rsidRPr="004E1637" w:rsidRDefault="009A5771" w:rsidP="009A5771">
      <w:pPr>
        <w:pStyle w:val="CM101"/>
        <w:ind w:right="3447"/>
        <w:rPr>
          <w:color w:val="000000"/>
          <w:sz w:val="22"/>
          <w:szCs w:val="22"/>
        </w:rPr>
      </w:pPr>
    </w:p>
    <w:p w14:paraId="6A8110B3" w14:textId="1850544E" w:rsidR="00D12D25" w:rsidRDefault="00D12D25" w:rsidP="00D12D25">
      <w:pPr>
        <w:pStyle w:val="CM101"/>
        <w:ind w:right="3447"/>
        <w:rPr>
          <w:color w:val="000000"/>
          <w:sz w:val="22"/>
          <w:szCs w:val="22"/>
        </w:rPr>
      </w:pPr>
      <w:r>
        <w:rPr>
          <w:color w:val="000000"/>
          <w:sz w:val="22"/>
          <w:szCs w:val="22"/>
        </w:rPr>
        <w:t>Dasat</w:t>
      </w:r>
      <w:r w:rsidR="00A935A3">
        <w:rPr>
          <w:color w:val="000000"/>
          <w:sz w:val="22"/>
          <w:szCs w:val="22"/>
        </w:rPr>
        <w:t>i</w:t>
      </w:r>
      <w:r>
        <w:rPr>
          <w:color w:val="000000"/>
          <w:sz w:val="22"/>
          <w:szCs w:val="22"/>
        </w:rPr>
        <w:t>nib Vivanta Generics 20 mg</w:t>
      </w:r>
    </w:p>
    <w:p w14:paraId="746A913E" w14:textId="77777777" w:rsidR="00D12D25" w:rsidRPr="00A26E10" w:rsidRDefault="00D12D25" w:rsidP="00D12D25">
      <w:pPr>
        <w:pStyle w:val="CM101"/>
        <w:ind w:right="3447"/>
        <w:rPr>
          <w:color w:val="000000"/>
          <w:sz w:val="22"/>
          <w:szCs w:val="22"/>
          <w:highlight w:val="lightGray"/>
        </w:rPr>
      </w:pPr>
      <w:r w:rsidRPr="00A26E10">
        <w:rPr>
          <w:color w:val="000000"/>
          <w:sz w:val="22"/>
          <w:szCs w:val="22"/>
          <w:highlight w:val="lightGray"/>
        </w:rPr>
        <w:t xml:space="preserve">Dasatinib </w:t>
      </w:r>
      <w:r>
        <w:rPr>
          <w:color w:val="000000"/>
          <w:sz w:val="22"/>
          <w:szCs w:val="22"/>
          <w:highlight w:val="lightGray"/>
        </w:rPr>
        <w:t>Vivanta Generics</w:t>
      </w:r>
      <w:r w:rsidRPr="00A26E10">
        <w:rPr>
          <w:color w:val="000000"/>
          <w:sz w:val="22"/>
          <w:szCs w:val="22"/>
          <w:highlight w:val="lightGray"/>
        </w:rPr>
        <w:t xml:space="preserve"> 50 mg</w:t>
      </w:r>
    </w:p>
    <w:p w14:paraId="3752FF25" w14:textId="77777777" w:rsidR="00D12D25" w:rsidRPr="00A26E10" w:rsidRDefault="00D12D25" w:rsidP="00D12D25">
      <w:pPr>
        <w:pStyle w:val="CM101"/>
        <w:ind w:right="3447"/>
        <w:rPr>
          <w:color w:val="000000"/>
          <w:sz w:val="22"/>
          <w:szCs w:val="22"/>
          <w:highlight w:val="lightGray"/>
        </w:rPr>
      </w:pPr>
      <w:r w:rsidRPr="00A26E10">
        <w:rPr>
          <w:color w:val="000000"/>
          <w:sz w:val="22"/>
          <w:szCs w:val="22"/>
          <w:highlight w:val="lightGray"/>
        </w:rPr>
        <w:t xml:space="preserve">Dasatinib </w:t>
      </w:r>
      <w:r>
        <w:rPr>
          <w:color w:val="000000"/>
          <w:sz w:val="22"/>
          <w:szCs w:val="22"/>
          <w:highlight w:val="lightGray"/>
        </w:rPr>
        <w:t>Vivanta Generics</w:t>
      </w:r>
      <w:r w:rsidRPr="00A26E10">
        <w:rPr>
          <w:color w:val="000000"/>
          <w:sz w:val="22"/>
          <w:szCs w:val="22"/>
          <w:highlight w:val="lightGray"/>
        </w:rPr>
        <w:t xml:space="preserve"> 70 mg</w:t>
      </w:r>
    </w:p>
    <w:p w14:paraId="0612FF98" w14:textId="77777777" w:rsidR="00D12D25" w:rsidRPr="00A26E10" w:rsidRDefault="00D12D25" w:rsidP="00D12D25">
      <w:pPr>
        <w:pStyle w:val="Default"/>
        <w:rPr>
          <w:sz w:val="22"/>
          <w:szCs w:val="22"/>
          <w:highlight w:val="lightGray"/>
        </w:rPr>
      </w:pPr>
      <w:r w:rsidRPr="00A26E10">
        <w:rPr>
          <w:sz w:val="22"/>
          <w:szCs w:val="22"/>
          <w:highlight w:val="lightGray"/>
        </w:rPr>
        <w:t xml:space="preserve">Dasatinib </w:t>
      </w:r>
      <w:r>
        <w:rPr>
          <w:sz w:val="22"/>
          <w:szCs w:val="22"/>
          <w:highlight w:val="lightGray"/>
        </w:rPr>
        <w:t>Vivanta</w:t>
      </w:r>
      <w:r w:rsidRPr="00A26E10">
        <w:rPr>
          <w:sz w:val="22"/>
          <w:szCs w:val="22"/>
          <w:highlight w:val="lightGray"/>
        </w:rPr>
        <w:t xml:space="preserve"> </w:t>
      </w:r>
      <w:r>
        <w:rPr>
          <w:sz w:val="22"/>
          <w:szCs w:val="22"/>
          <w:highlight w:val="lightGray"/>
        </w:rPr>
        <w:t xml:space="preserve">Generics </w:t>
      </w:r>
      <w:r w:rsidRPr="00A26E10">
        <w:rPr>
          <w:sz w:val="22"/>
          <w:szCs w:val="22"/>
          <w:highlight w:val="lightGray"/>
        </w:rPr>
        <w:t>80 mg</w:t>
      </w:r>
    </w:p>
    <w:p w14:paraId="21E412D5" w14:textId="77777777" w:rsidR="00D12D25" w:rsidRDefault="00D12D25" w:rsidP="00D12D25">
      <w:pPr>
        <w:pStyle w:val="CM101"/>
        <w:ind w:right="3447"/>
        <w:rPr>
          <w:color w:val="000000"/>
          <w:sz w:val="22"/>
          <w:szCs w:val="22"/>
        </w:rPr>
      </w:pPr>
      <w:r w:rsidRPr="00A26E10">
        <w:rPr>
          <w:color w:val="000000"/>
          <w:sz w:val="22"/>
          <w:szCs w:val="22"/>
          <w:highlight w:val="lightGray"/>
        </w:rPr>
        <w:t xml:space="preserve">Dasatinib </w:t>
      </w:r>
      <w:r>
        <w:rPr>
          <w:color w:val="000000"/>
          <w:sz w:val="22"/>
          <w:szCs w:val="22"/>
          <w:highlight w:val="lightGray"/>
        </w:rPr>
        <w:t>Vivanta Generics</w:t>
      </w:r>
      <w:r w:rsidRPr="00A26E10">
        <w:rPr>
          <w:color w:val="000000"/>
          <w:sz w:val="22"/>
          <w:szCs w:val="22"/>
          <w:highlight w:val="lightGray"/>
        </w:rPr>
        <w:t xml:space="preserve"> 100 mg</w:t>
      </w:r>
    </w:p>
    <w:p w14:paraId="17F2E4B4" w14:textId="66CBF074" w:rsidR="00A26E10" w:rsidRPr="00606594" w:rsidRDefault="00A26E10" w:rsidP="00606594">
      <w:pPr>
        <w:pStyle w:val="Default"/>
        <w:rPr>
          <w:sz w:val="22"/>
          <w:szCs w:val="22"/>
          <w:highlight w:val="lightGray"/>
        </w:rPr>
      </w:pPr>
      <w:r w:rsidRPr="00606594">
        <w:rPr>
          <w:sz w:val="22"/>
          <w:szCs w:val="22"/>
          <w:highlight w:val="lightGray"/>
        </w:rPr>
        <w:t xml:space="preserve">Dasatinib </w:t>
      </w:r>
      <w:r w:rsidR="0000668D" w:rsidRPr="00606594">
        <w:rPr>
          <w:sz w:val="22"/>
          <w:szCs w:val="22"/>
          <w:highlight w:val="lightGray"/>
        </w:rPr>
        <w:t>Vivanta</w:t>
      </w:r>
      <w:r w:rsidR="00822E40" w:rsidRPr="00606594">
        <w:rPr>
          <w:sz w:val="22"/>
          <w:szCs w:val="22"/>
          <w:highlight w:val="lightGray"/>
        </w:rPr>
        <w:t xml:space="preserve"> Generics</w:t>
      </w:r>
      <w:r w:rsidRPr="00606594">
        <w:rPr>
          <w:sz w:val="22"/>
          <w:szCs w:val="22"/>
          <w:highlight w:val="lightGray"/>
        </w:rPr>
        <w:t xml:space="preserve"> 140 mg</w:t>
      </w:r>
    </w:p>
    <w:p w14:paraId="1A56E47A" w14:textId="77777777" w:rsidR="009A5771" w:rsidRPr="004E1637" w:rsidRDefault="009A5771" w:rsidP="009A5771">
      <w:pPr>
        <w:pStyle w:val="CM101"/>
        <w:ind w:right="3447"/>
        <w:rPr>
          <w:color w:val="000000"/>
          <w:sz w:val="22"/>
          <w:szCs w:val="22"/>
        </w:rPr>
      </w:pPr>
    </w:p>
    <w:p w14:paraId="1287DF9C" w14:textId="621455A7" w:rsidR="00BE76D5" w:rsidRPr="004E1637" w:rsidRDefault="00F92ED6" w:rsidP="009A5771">
      <w:pPr>
        <w:pStyle w:val="CM101"/>
        <w:ind w:right="3447"/>
        <w:rPr>
          <w:color w:val="000000"/>
          <w:sz w:val="22"/>
          <w:szCs w:val="22"/>
        </w:rPr>
      </w:pPr>
      <w:r>
        <w:rPr>
          <w:color w:val="000000"/>
          <w:sz w:val="22"/>
          <w:szCs w:val="22"/>
        </w:rPr>
        <w:t>f</w:t>
      </w:r>
      <w:r w:rsidR="009A5771" w:rsidRPr="004E1637">
        <w:rPr>
          <w:color w:val="000000"/>
          <w:sz w:val="22"/>
          <w:szCs w:val="22"/>
        </w:rPr>
        <w:t xml:space="preserve">ilmom </w:t>
      </w:r>
      <w:r w:rsidR="00BE76D5" w:rsidRPr="004E1637">
        <w:rPr>
          <w:color w:val="000000"/>
          <w:sz w:val="22"/>
          <w:szCs w:val="22"/>
        </w:rPr>
        <w:t xml:space="preserve">obalené tablety </w:t>
      </w:r>
    </w:p>
    <w:p w14:paraId="019A1B7F" w14:textId="77777777" w:rsidR="00BE76D5" w:rsidRPr="004E1637" w:rsidRDefault="00BE76D5">
      <w:pPr>
        <w:pStyle w:val="Default"/>
        <w:rPr>
          <w:color w:val="auto"/>
          <w:sz w:val="22"/>
          <w:szCs w:val="22"/>
        </w:rPr>
      </w:pPr>
    </w:p>
    <w:p w14:paraId="101D96FB" w14:textId="77777777" w:rsidR="009A5771" w:rsidRPr="004E1637" w:rsidRDefault="009A5771">
      <w:pPr>
        <w:pStyle w:val="Default"/>
        <w:rPr>
          <w:color w:val="auto"/>
          <w:sz w:val="22"/>
          <w:szCs w:val="22"/>
        </w:rPr>
      </w:pPr>
    </w:p>
    <w:p w14:paraId="5A35C55E" w14:textId="77777777" w:rsidR="00BE76D5" w:rsidRPr="004E1637" w:rsidRDefault="00BE76D5" w:rsidP="00BE76D5">
      <w:pPr>
        <w:pStyle w:val="CM100"/>
        <w:tabs>
          <w:tab w:val="left" w:pos="567"/>
        </w:tabs>
        <w:rPr>
          <w:sz w:val="22"/>
          <w:szCs w:val="22"/>
        </w:rPr>
      </w:pPr>
      <w:r w:rsidRPr="004E1637">
        <w:rPr>
          <w:b/>
          <w:bCs/>
          <w:sz w:val="22"/>
          <w:szCs w:val="22"/>
        </w:rPr>
        <w:t xml:space="preserve">2. </w:t>
      </w:r>
      <w:r w:rsidR="009A5771" w:rsidRPr="004E1637">
        <w:rPr>
          <w:b/>
          <w:bCs/>
          <w:sz w:val="22"/>
          <w:szCs w:val="22"/>
        </w:rPr>
        <w:tab/>
      </w:r>
      <w:r w:rsidRPr="004E1637">
        <w:rPr>
          <w:b/>
          <w:bCs/>
          <w:sz w:val="22"/>
          <w:szCs w:val="22"/>
        </w:rPr>
        <w:t xml:space="preserve">KVALITATÍVNE A KVANTITATÍVNE ZLOŽENIE </w:t>
      </w:r>
    </w:p>
    <w:p w14:paraId="5BE1969A" w14:textId="77777777" w:rsidR="00BE76D5" w:rsidRPr="004E1637" w:rsidRDefault="00BE76D5" w:rsidP="00BE76D5">
      <w:pPr>
        <w:pStyle w:val="CM101"/>
        <w:rPr>
          <w:color w:val="000000"/>
          <w:sz w:val="22"/>
          <w:szCs w:val="22"/>
          <w:u w:val="single"/>
        </w:rPr>
      </w:pPr>
    </w:p>
    <w:p w14:paraId="1514F413" w14:textId="20C07244" w:rsidR="00D12D25" w:rsidRPr="004E1637" w:rsidRDefault="00D12D25" w:rsidP="00D12D25">
      <w:pPr>
        <w:pStyle w:val="CM101"/>
        <w:rPr>
          <w:color w:val="000000"/>
          <w:sz w:val="22"/>
          <w:szCs w:val="22"/>
          <w:u w:val="single"/>
        </w:rPr>
      </w:pPr>
      <w:r w:rsidRPr="004E1637">
        <w:rPr>
          <w:color w:val="000000"/>
          <w:sz w:val="22"/>
          <w:szCs w:val="22"/>
          <w:u w:val="single"/>
        </w:rPr>
        <w:t xml:space="preserve">Dasatinib </w:t>
      </w:r>
      <w:r w:rsidRPr="00875F05">
        <w:rPr>
          <w:color w:val="000000"/>
          <w:sz w:val="22"/>
          <w:szCs w:val="22"/>
          <w:u w:val="single"/>
        </w:rPr>
        <w:t xml:space="preserve">Vivanta </w:t>
      </w:r>
      <w:r w:rsidR="00566343" w:rsidRPr="00875F05">
        <w:rPr>
          <w:color w:val="000000"/>
          <w:sz w:val="22"/>
          <w:szCs w:val="22"/>
          <w:u w:val="single"/>
        </w:rPr>
        <w:t>Generi</w:t>
      </w:r>
      <w:r w:rsidR="00875F05" w:rsidRPr="00875F05">
        <w:rPr>
          <w:color w:val="000000"/>
          <w:sz w:val="22"/>
          <w:szCs w:val="22"/>
          <w:u w:val="single"/>
        </w:rPr>
        <w:t>c</w:t>
      </w:r>
      <w:r w:rsidR="00566343" w:rsidRPr="00875F05">
        <w:rPr>
          <w:color w:val="000000"/>
          <w:sz w:val="22"/>
          <w:szCs w:val="22"/>
          <w:u w:val="single"/>
        </w:rPr>
        <w:t xml:space="preserve">s </w:t>
      </w:r>
      <w:r w:rsidRPr="00875F05">
        <w:rPr>
          <w:color w:val="000000"/>
          <w:sz w:val="22"/>
          <w:szCs w:val="22"/>
          <w:u w:val="single"/>
        </w:rPr>
        <w:t>20</w:t>
      </w:r>
      <w:r w:rsidRPr="004E1637">
        <w:rPr>
          <w:color w:val="000000"/>
          <w:sz w:val="22"/>
          <w:szCs w:val="22"/>
          <w:u w:val="single"/>
        </w:rPr>
        <w:t xml:space="preserve"> mg</w:t>
      </w:r>
      <w:r>
        <w:rPr>
          <w:color w:val="000000"/>
          <w:sz w:val="22"/>
          <w:szCs w:val="22"/>
          <w:u w:val="single"/>
        </w:rPr>
        <w:t xml:space="preserve"> filmom obalené tablety</w:t>
      </w:r>
    </w:p>
    <w:p w14:paraId="5FE43938" w14:textId="79744EAA" w:rsidR="00D12D25" w:rsidRDefault="00D12D25" w:rsidP="00D12D25">
      <w:pPr>
        <w:pStyle w:val="CM100"/>
        <w:rPr>
          <w:sz w:val="22"/>
          <w:szCs w:val="22"/>
        </w:rPr>
      </w:pPr>
      <w:r w:rsidRPr="004E1637">
        <w:rPr>
          <w:sz w:val="22"/>
          <w:szCs w:val="22"/>
        </w:rPr>
        <w:t>Každá filmom obalená tableta obsahuje</w:t>
      </w:r>
      <w:r>
        <w:rPr>
          <w:sz w:val="22"/>
          <w:szCs w:val="22"/>
        </w:rPr>
        <w:t xml:space="preserve"> </w:t>
      </w:r>
      <w:r w:rsidR="00946C18">
        <w:rPr>
          <w:sz w:val="22"/>
          <w:szCs w:val="22"/>
        </w:rPr>
        <w:t xml:space="preserve">bezvodý </w:t>
      </w:r>
      <w:r>
        <w:rPr>
          <w:sz w:val="22"/>
          <w:szCs w:val="22"/>
        </w:rPr>
        <w:t>dasatinib, čo zodpovedá 20 mg dasatinibu.</w:t>
      </w:r>
    </w:p>
    <w:p w14:paraId="5173FBA6" w14:textId="77777777" w:rsidR="00D12D25" w:rsidRDefault="00D12D25" w:rsidP="00D12D25">
      <w:pPr>
        <w:pStyle w:val="CM100"/>
        <w:rPr>
          <w:sz w:val="22"/>
          <w:szCs w:val="22"/>
        </w:rPr>
      </w:pPr>
    </w:p>
    <w:p w14:paraId="6989F521" w14:textId="77777777" w:rsidR="00D12D25" w:rsidRDefault="00D12D25" w:rsidP="00D12D25">
      <w:pPr>
        <w:pStyle w:val="CM100"/>
        <w:rPr>
          <w:i/>
          <w:iCs/>
          <w:sz w:val="22"/>
          <w:szCs w:val="22"/>
          <w:u w:val="single"/>
        </w:rPr>
      </w:pPr>
      <w:r>
        <w:rPr>
          <w:i/>
          <w:iCs/>
          <w:sz w:val="22"/>
          <w:szCs w:val="22"/>
          <w:u w:val="single"/>
        </w:rPr>
        <w:t>Pomocná látka so známym účinkom</w:t>
      </w:r>
    </w:p>
    <w:p w14:paraId="6C8DED6B" w14:textId="77777777" w:rsidR="00D12D25" w:rsidRPr="004E1637" w:rsidRDefault="00D12D25" w:rsidP="00D12D25">
      <w:pPr>
        <w:pStyle w:val="CM100"/>
        <w:rPr>
          <w:sz w:val="22"/>
          <w:szCs w:val="22"/>
        </w:rPr>
      </w:pPr>
      <w:r>
        <w:rPr>
          <w:sz w:val="22"/>
          <w:szCs w:val="22"/>
        </w:rPr>
        <w:t>Každá filmom obalená tableta obsahuje 27 mg monohydrátu laktózy a približne 0,0161 mg sodíka.</w:t>
      </w:r>
      <w:r w:rsidRPr="004E1637">
        <w:rPr>
          <w:sz w:val="22"/>
          <w:szCs w:val="22"/>
        </w:rPr>
        <w:t xml:space="preserve"> </w:t>
      </w:r>
    </w:p>
    <w:p w14:paraId="1BDA1A6F" w14:textId="77777777" w:rsidR="00D12D25" w:rsidRDefault="00D12D25" w:rsidP="00D12D25">
      <w:pPr>
        <w:pStyle w:val="CM101"/>
        <w:rPr>
          <w:color w:val="000000"/>
          <w:sz w:val="22"/>
          <w:szCs w:val="22"/>
          <w:u w:val="single"/>
        </w:rPr>
      </w:pPr>
    </w:p>
    <w:p w14:paraId="1934D1D8" w14:textId="11EC61F7" w:rsidR="00D12D25" w:rsidRPr="00E06BCB" w:rsidRDefault="00D12D25" w:rsidP="00D12D25">
      <w:pPr>
        <w:pStyle w:val="CM101"/>
        <w:rPr>
          <w:color w:val="000000"/>
          <w:sz w:val="22"/>
          <w:szCs w:val="22"/>
          <w:highlight w:val="lightGray"/>
          <w:u w:val="single"/>
        </w:rPr>
      </w:pPr>
      <w:r w:rsidRPr="00E06BCB">
        <w:rPr>
          <w:color w:val="000000"/>
          <w:sz w:val="22"/>
          <w:szCs w:val="22"/>
          <w:highlight w:val="lightGray"/>
          <w:u w:val="single"/>
        </w:rPr>
        <w:t xml:space="preserve">Dasatinib </w:t>
      </w:r>
      <w:r>
        <w:rPr>
          <w:color w:val="000000"/>
          <w:sz w:val="22"/>
          <w:szCs w:val="22"/>
          <w:highlight w:val="lightGray"/>
          <w:u w:val="single"/>
        </w:rPr>
        <w:t>Vivanta</w:t>
      </w:r>
      <w:r w:rsidRPr="00E06BCB">
        <w:rPr>
          <w:color w:val="000000"/>
          <w:sz w:val="22"/>
          <w:szCs w:val="22"/>
          <w:highlight w:val="lightGray"/>
          <w:u w:val="single"/>
        </w:rPr>
        <w:t xml:space="preserve"> </w:t>
      </w:r>
      <w:r w:rsidR="00566343" w:rsidRPr="00F95FB3">
        <w:rPr>
          <w:color w:val="000000"/>
          <w:sz w:val="22"/>
          <w:szCs w:val="22"/>
          <w:highlight w:val="lightGray"/>
          <w:u w:val="single"/>
        </w:rPr>
        <w:t>Generi</w:t>
      </w:r>
      <w:r w:rsidR="00875F05" w:rsidRPr="00F95FB3">
        <w:rPr>
          <w:color w:val="000000"/>
          <w:sz w:val="22"/>
          <w:szCs w:val="22"/>
          <w:highlight w:val="lightGray"/>
          <w:u w:val="single"/>
        </w:rPr>
        <w:t>c</w:t>
      </w:r>
      <w:r w:rsidR="00566343" w:rsidRPr="00F95FB3">
        <w:rPr>
          <w:color w:val="000000"/>
          <w:sz w:val="22"/>
          <w:szCs w:val="22"/>
          <w:highlight w:val="lightGray"/>
          <w:u w:val="single"/>
        </w:rPr>
        <w:t>s</w:t>
      </w:r>
      <w:r w:rsidR="00566343" w:rsidRPr="00E06BCB">
        <w:rPr>
          <w:color w:val="000000"/>
          <w:sz w:val="22"/>
          <w:szCs w:val="22"/>
          <w:highlight w:val="lightGray"/>
          <w:u w:val="single"/>
        </w:rPr>
        <w:t xml:space="preserve"> </w:t>
      </w:r>
      <w:r w:rsidRPr="00E06BCB">
        <w:rPr>
          <w:color w:val="000000"/>
          <w:sz w:val="22"/>
          <w:szCs w:val="22"/>
          <w:highlight w:val="lightGray"/>
          <w:u w:val="single"/>
        </w:rPr>
        <w:t>50 mg filmom obalené tablety</w:t>
      </w:r>
    </w:p>
    <w:p w14:paraId="1A6303D1" w14:textId="7DFABDAD" w:rsidR="00D12D25" w:rsidRPr="00E06BCB" w:rsidRDefault="00D12D25" w:rsidP="00D12D25">
      <w:pPr>
        <w:pStyle w:val="CM100"/>
        <w:rPr>
          <w:sz w:val="22"/>
          <w:szCs w:val="22"/>
          <w:highlight w:val="lightGray"/>
        </w:rPr>
      </w:pPr>
      <w:r w:rsidRPr="00E06BCB">
        <w:rPr>
          <w:sz w:val="22"/>
          <w:szCs w:val="22"/>
          <w:highlight w:val="lightGray"/>
        </w:rPr>
        <w:t>Každá filmom obalená tableta obsahuje</w:t>
      </w:r>
      <w:r w:rsidR="00946C18">
        <w:rPr>
          <w:sz w:val="22"/>
          <w:szCs w:val="22"/>
          <w:highlight w:val="lightGray"/>
        </w:rPr>
        <w:t xml:space="preserve"> bezvodý</w:t>
      </w:r>
      <w:r w:rsidRPr="00E06BCB">
        <w:rPr>
          <w:sz w:val="22"/>
          <w:szCs w:val="22"/>
          <w:highlight w:val="lightGray"/>
        </w:rPr>
        <w:t xml:space="preserve"> dasatinib, čo zodpovedá 50 mg dasatinibu.</w:t>
      </w:r>
    </w:p>
    <w:p w14:paraId="6396332E" w14:textId="77777777" w:rsidR="00D12D25" w:rsidRPr="00E06BCB" w:rsidRDefault="00D12D25" w:rsidP="00D12D25">
      <w:pPr>
        <w:pStyle w:val="CM100"/>
        <w:rPr>
          <w:sz w:val="22"/>
          <w:szCs w:val="22"/>
          <w:highlight w:val="lightGray"/>
        </w:rPr>
      </w:pPr>
    </w:p>
    <w:p w14:paraId="143645C7" w14:textId="77777777" w:rsidR="00D12D25" w:rsidRPr="00E06BCB" w:rsidRDefault="00D12D25" w:rsidP="00D12D25">
      <w:pPr>
        <w:pStyle w:val="CM100"/>
        <w:rPr>
          <w:i/>
          <w:iCs/>
          <w:sz w:val="22"/>
          <w:szCs w:val="22"/>
          <w:highlight w:val="lightGray"/>
          <w:u w:val="single"/>
        </w:rPr>
      </w:pPr>
      <w:r w:rsidRPr="00E06BCB">
        <w:rPr>
          <w:i/>
          <w:iCs/>
          <w:sz w:val="22"/>
          <w:szCs w:val="22"/>
          <w:highlight w:val="lightGray"/>
          <w:u w:val="single"/>
        </w:rPr>
        <w:t>Pomocná látka so známym účinkom</w:t>
      </w:r>
    </w:p>
    <w:p w14:paraId="011FA383" w14:textId="77777777" w:rsidR="00D12D25" w:rsidRPr="00E06BCB" w:rsidRDefault="00D12D25" w:rsidP="00D12D25">
      <w:pPr>
        <w:pStyle w:val="CM100"/>
        <w:rPr>
          <w:sz w:val="22"/>
          <w:szCs w:val="22"/>
          <w:highlight w:val="lightGray"/>
        </w:rPr>
      </w:pPr>
      <w:r w:rsidRPr="00E06BCB">
        <w:rPr>
          <w:sz w:val="22"/>
          <w:szCs w:val="22"/>
          <w:highlight w:val="lightGray"/>
        </w:rPr>
        <w:t xml:space="preserve">Každá filmom obalená tableta obsahuje 67,5 mg monohydrátu laktózy a približne 0,0403 mg sodíka. </w:t>
      </w:r>
    </w:p>
    <w:p w14:paraId="35D07F41" w14:textId="77777777" w:rsidR="00D12D25" w:rsidRPr="00E06BCB" w:rsidRDefault="00D12D25" w:rsidP="00D12D25">
      <w:pPr>
        <w:pStyle w:val="CM101"/>
        <w:rPr>
          <w:color w:val="000000"/>
          <w:sz w:val="22"/>
          <w:szCs w:val="22"/>
          <w:highlight w:val="lightGray"/>
          <w:u w:val="single"/>
        </w:rPr>
      </w:pPr>
    </w:p>
    <w:p w14:paraId="1AAEAFF7" w14:textId="3476EA3E" w:rsidR="00D12D25" w:rsidRPr="00E06BCB" w:rsidRDefault="00D12D25" w:rsidP="00D12D25">
      <w:pPr>
        <w:pStyle w:val="CM101"/>
        <w:rPr>
          <w:color w:val="000000"/>
          <w:sz w:val="22"/>
          <w:szCs w:val="22"/>
          <w:highlight w:val="lightGray"/>
          <w:u w:val="single"/>
        </w:rPr>
      </w:pPr>
      <w:r w:rsidRPr="00E06BCB">
        <w:rPr>
          <w:color w:val="000000"/>
          <w:sz w:val="22"/>
          <w:szCs w:val="22"/>
          <w:highlight w:val="lightGray"/>
          <w:u w:val="single"/>
        </w:rPr>
        <w:t xml:space="preserve">Dasatinib </w:t>
      </w:r>
      <w:r>
        <w:rPr>
          <w:color w:val="000000"/>
          <w:sz w:val="22"/>
          <w:szCs w:val="22"/>
          <w:highlight w:val="lightGray"/>
          <w:u w:val="single"/>
        </w:rPr>
        <w:t>Vivanta</w:t>
      </w:r>
      <w:r w:rsidRPr="00E06BCB">
        <w:rPr>
          <w:color w:val="000000"/>
          <w:sz w:val="22"/>
          <w:szCs w:val="22"/>
          <w:highlight w:val="lightGray"/>
          <w:u w:val="single"/>
        </w:rPr>
        <w:t xml:space="preserve"> </w:t>
      </w:r>
      <w:r w:rsidR="00566343" w:rsidRPr="00F95FB3">
        <w:rPr>
          <w:color w:val="000000"/>
          <w:sz w:val="22"/>
          <w:szCs w:val="22"/>
          <w:highlight w:val="lightGray"/>
          <w:u w:val="single"/>
        </w:rPr>
        <w:t>Generi</w:t>
      </w:r>
      <w:r w:rsidR="00875F05" w:rsidRPr="00F95FB3">
        <w:rPr>
          <w:color w:val="000000"/>
          <w:sz w:val="22"/>
          <w:szCs w:val="22"/>
          <w:highlight w:val="lightGray"/>
          <w:u w:val="single"/>
        </w:rPr>
        <w:t>c</w:t>
      </w:r>
      <w:r w:rsidR="00566343" w:rsidRPr="00F95FB3">
        <w:rPr>
          <w:color w:val="000000"/>
          <w:sz w:val="22"/>
          <w:szCs w:val="22"/>
          <w:highlight w:val="lightGray"/>
          <w:u w:val="single"/>
        </w:rPr>
        <w:t>s</w:t>
      </w:r>
      <w:r w:rsidR="00566343" w:rsidRPr="00E06BCB">
        <w:rPr>
          <w:color w:val="000000"/>
          <w:sz w:val="22"/>
          <w:szCs w:val="22"/>
          <w:highlight w:val="lightGray"/>
          <w:u w:val="single"/>
        </w:rPr>
        <w:t xml:space="preserve"> </w:t>
      </w:r>
      <w:r w:rsidRPr="00E06BCB">
        <w:rPr>
          <w:color w:val="000000"/>
          <w:sz w:val="22"/>
          <w:szCs w:val="22"/>
          <w:highlight w:val="lightGray"/>
          <w:u w:val="single"/>
        </w:rPr>
        <w:t>70 mg filmom obalené tablety</w:t>
      </w:r>
    </w:p>
    <w:p w14:paraId="3AA16362" w14:textId="174B81AC" w:rsidR="00D12D25" w:rsidRPr="00E06BCB" w:rsidRDefault="00D12D25" w:rsidP="00D12D25">
      <w:pPr>
        <w:pStyle w:val="CM100"/>
        <w:rPr>
          <w:sz w:val="22"/>
          <w:szCs w:val="22"/>
          <w:highlight w:val="lightGray"/>
        </w:rPr>
      </w:pPr>
      <w:r w:rsidRPr="00E06BCB">
        <w:rPr>
          <w:sz w:val="22"/>
          <w:szCs w:val="22"/>
          <w:highlight w:val="lightGray"/>
        </w:rPr>
        <w:t xml:space="preserve">Každá filmom obalená tableta obsahuje </w:t>
      </w:r>
      <w:r w:rsidR="00946C18">
        <w:rPr>
          <w:sz w:val="22"/>
          <w:szCs w:val="22"/>
          <w:highlight w:val="lightGray"/>
        </w:rPr>
        <w:t xml:space="preserve">bezvodý </w:t>
      </w:r>
      <w:r w:rsidRPr="00E06BCB">
        <w:rPr>
          <w:sz w:val="22"/>
          <w:szCs w:val="22"/>
          <w:highlight w:val="lightGray"/>
        </w:rPr>
        <w:t>dasatinib, čo zodpovedá 70 mg dasatinibu.</w:t>
      </w:r>
    </w:p>
    <w:p w14:paraId="5C6E7979" w14:textId="77777777" w:rsidR="00D12D25" w:rsidRPr="00E06BCB" w:rsidRDefault="00D12D25" w:rsidP="00D12D25">
      <w:pPr>
        <w:pStyle w:val="CM100"/>
        <w:rPr>
          <w:sz w:val="22"/>
          <w:szCs w:val="22"/>
          <w:highlight w:val="lightGray"/>
        </w:rPr>
      </w:pPr>
    </w:p>
    <w:p w14:paraId="1536ECC1" w14:textId="77777777" w:rsidR="00D12D25" w:rsidRPr="00E06BCB" w:rsidRDefault="00D12D25" w:rsidP="00D12D25">
      <w:pPr>
        <w:pStyle w:val="CM100"/>
        <w:rPr>
          <w:i/>
          <w:iCs/>
          <w:sz w:val="22"/>
          <w:szCs w:val="22"/>
          <w:highlight w:val="lightGray"/>
          <w:u w:val="single"/>
        </w:rPr>
      </w:pPr>
      <w:r w:rsidRPr="00E06BCB">
        <w:rPr>
          <w:i/>
          <w:iCs/>
          <w:sz w:val="22"/>
          <w:szCs w:val="22"/>
          <w:highlight w:val="lightGray"/>
          <w:u w:val="single"/>
        </w:rPr>
        <w:t>Pomocná látka so známym účinkom</w:t>
      </w:r>
    </w:p>
    <w:p w14:paraId="77255AC3" w14:textId="77777777" w:rsidR="00D12D25" w:rsidRPr="00E06BCB" w:rsidRDefault="00D12D25" w:rsidP="00D12D25">
      <w:pPr>
        <w:pStyle w:val="CM100"/>
        <w:rPr>
          <w:sz w:val="22"/>
          <w:szCs w:val="22"/>
          <w:highlight w:val="lightGray"/>
        </w:rPr>
      </w:pPr>
      <w:r w:rsidRPr="00E06BCB">
        <w:rPr>
          <w:sz w:val="22"/>
          <w:szCs w:val="22"/>
          <w:highlight w:val="lightGray"/>
        </w:rPr>
        <w:t xml:space="preserve">Každá filmom obalená tableta obsahuje 94,5 mg monohydrátu laktózy a približne 0,0564 mg sodíka. </w:t>
      </w:r>
    </w:p>
    <w:p w14:paraId="6F17E2F3" w14:textId="77777777" w:rsidR="00D12D25" w:rsidRPr="00E06BCB" w:rsidRDefault="00D12D25" w:rsidP="00D12D25">
      <w:pPr>
        <w:pStyle w:val="CM101"/>
        <w:rPr>
          <w:color w:val="000000"/>
          <w:sz w:val="22"/>
          <w:szCs w:val="22"/>
          <w:highlight w:val="lightGray"/>
          <w:u w:val="single"/>
        </w:rPr>
      </w:pPr>
    </w:p>
    <w:p w14:paraId="026A64B7" w14:textId="51051820" w:rsidR="00D12D25" w:rsidRPr="00E06BCB" w:rsidRDefault="00D12D25" w:rsidP="00D12D25">
      <w:pPr>
        <w:pStyle w:val="CM101"/>
        <w:rPr>
          <w:color w:val="000000"/>
          <w:sz w:val="22"/>
          <w:szCs w:val="22"/>
          <w:highlight w:val="lightGray"/>
          <w:u w:val="single"/>
        </w:rPr>
      </w:pPr>
      <w:r w:rsidRPr="00E06BCB">
        <w:rPr>
          <w:color w:val="000000"/>
          <w:sz w:val="22"/>
          <w:szCs w:val="22"/>
          <w:highlight w:val="lightGray"/>
          <w:u w:val="single"/>
        </w:rPr>
        <w:t xml:space="preserve">Dasatinib </w:t>
      </w:r>
      <w:r>
        <w:rPr>
          <w:color w:val="000000"/>
          <w:sz w:val="22"/>
          <w:szCs w:val="22"/>
          <w:highlight w:val="lightGray"/>
          <w:u w:val="single"/>
        </w:rPr>
        <w:t>Vivanta</w:t>
      </w:r>
      <w:r w:rsidRPr="00E06BCB">
        <w:rPr>
          <w:color w:val="000000"/>
          <w:sz w:val="22"/>
          <w:szCs w:val="22"/>
          <w:highlight w:val="lightGray"/>
          <w:u w:val="single"/>
        </w:rPr>
        <w:t xml:space="preserve"> </w:t>
      </w:r>
      <w:r w:rsidR="00566343" w:rsidRPr="00F95FB3">
        <w:rPr>
          <w:color w:val="000000"/>
          <w:sz w:val="22"/>
          <w:szCs w:val="22"/>
          <w:highlight w:val="lightGray"/>
          <w:u w:val="single"/>
        </w:rPr>
        <w:t>Generi</w:t>
      </w:r>
      <w:r w:rsidR="00875F05" w:rsidRPr="00F95FB3">
        <w:rPr>
          <w:color w:val="000000"/>
          <w:sz w:val="22"/>
          <w:szCs w:val="22"/>
          <w:highlight w:val="lightGray"/>
          <w:u w:val="single"/>
        </w:rPr>
        <w:t>c</w:t>
      </w:r>
      <w:r w:rsidR="00566343" w:rsidRPr="00F95FB3">
        <w:rPr>
          <w:color w:val="000000"/>
          <w:sz w:val="22"/>
          <w:szCs w:val="22"/>
          <w:highlight w:val="lightGray"/>
          <w:u w:val="single"/>
        </w:rPr>
        <w:t>s</w:t>
      </w:r>
      <w:r w:rsidR="00566343" w:rsidRPr="00E06BCB">
        <w:rPr>
          <w:color w:val="000000"/>
          <w:sz w:val="22"/>
          <w:szCs w:val="22"/>
          <w:highlight w:val="lightGray"/>
          <w:u w:val="single"/>
        </w:rPr>
        <w:t xml:space="preserve"> </w:t>
      </w:r>
      <w:r w:rsidRPr="00E06BCB">
        <w:rPr>
          <w:color w:val="000000"/>
          <w:sz w:val="22"/>
          <w:szCs w:val="22"/>
          <w:highlight w:val="lightGray"/>
          <w:u w:val="single"/>
        </w:rPr>
        <w:t>80 mg filmom obalené tablety</w:t>
      </w:r>
    </w:p>
    <w:p w14:paraId="46A66B44" w14:textId="46BA65A5" w:rsidR="00D12D25" w:rsidRPr="00E06BCB" w:rsidRDefault="00D12D25" w:rsidP="00D12D25">
      <w:pPr>
        <w:pStyle w:val="CM100"/>
        <w:rPr>
          <w:sz w:val="22"/>
          <w:szCs w:val="22"/>
          <w:highlight w:val="lightGray"/>
        </w:rPr>
      </w:pPr>
      <w:r w:rsidRPr="00E06BCB">
        <w:rPr>
          <w:sz w:val="22"/>
          <w:szCs w:val="22"/>
          <w:highlight w:val="lightGray"/>
        </w:rPr>
        <w:t xml:space="preserve">Každá filmom obalená tableta obsahuje </w:t>
      </w:r>
      <w:r w:rsidR="00946C18">
        <w:rPr>
          <w:sz w:val="22"/>
          <w:szCs w:val="22"/>
          <w:highlight w:val="lightGray"/>
        </w:rPr>
        <w:t xml:space="preserve">bezvodý </w:t>
      </w:r>
      <w:r w:rsidRPr="00E06BCB">
        <w:rPr>
          <w:sz w:val="22"/>
          <w:szCs w:val="22"/>
          <w:highlight w:val="lightGray"/>
        </w:rPr>
        <w:t>dasatinib, čo zodpovedá 80 mg dasatinibu.</w:t>
      </w:r>
    </w:p>
    <w:p w14:paraId="796DDEAD" w14:textId="77777777" w:rsidR="00D12D25" w:rsidRPr="00E06BCB" w:rsidRDefault="00D12D25" w:rsidP="00D12D25">
      <w:pPr>
        <w:pStyle w:val="CM100"/>
        <w:rPr>
          <w:sz w:val="22"/>
          <w:szCs w:val="22"/>
          <w:highlight w:val="lightGray"/>
        </w:rPr>
      </w:pPr>
    </w:p>
    <w:p w14:paraId="070494ED" w14:textId="77777777" w:rsidR="00D12D25" w:rsidRPr="00E06BCB" w:rsidRDefault="00D12D25" w:rsidP="00D12D25">
      <w:pPr>
        <w:pStyle w:val="CM100"/>
        <w:rPr>
          <w:i/>
          <w:iCs/>
          <w:sz w:val="22"/>
          <w:szCs w:val="22"/>
          <w:highlight w:val="lightGray"/>
          <w:u w:val="single"/>
        </w:rPr>
      </w:pPr>
      <w:r w:rsidRPr="00E06BCB">
        <w:rPr>
          <w:i/>
          <w:iCs/>
          <w:sz w:val="22"/>
          <w:szCs w:val="22"/>
          <w:highlight w:val="lightGray"/>
          <w:u w:val="single"/>
        </w:rPr>
        <w:t>Pomocná látka so známym účinkom</w:t>
      </w:r>
    </w:p>
    <w:p w14:paraId="55D20829" w14:textId="77777777" w:rsidR="00D12D25" w:rsidRPr="00E06BCB" w:rsidRDefault="00D12D25" w:rsidP="00D12D25">
      <w:pPr>
        <w:pStyle w:val="CM100"/>
        <w:rPr>
          <w:sz w:val="22"/>
          <w:szCs w:val="22"/>
          <w:highlight w:val="lightGray"/>
        </w:rPr>
      </w:pPr>
      <w:r w:rsidRPr="00E06BCB">
        <w:rPr>
          <w:sz w:val="22"/>
          <w:szCs w:val="22"/>
          <w:highlight w:val="lightGray"/>
        </w:rPr>
        <w:t xml:space="preserve">Každá filmom obalená tableta obsahuje 108 mg monohydrátu laktózy a približne 0,0645 mg sodíka. </w:t>
      </w:r>
    </w:p>
    <w:p w14:paraId="758FF258" w14:textId="77777777" w:rsidR="00D12D25" w:rsidRPr="00E06BCB" w:rsidRDefault="00D12D25" w:rsidP="00D12D25">
      <w:pPr>
        <w:pStyle w:val="CM101"/>
        <w:rPr>
          <w:color w:val="000000"/>
          <w:sz w:val="22"/>
          <w:szCs w:val="22"/>
          <w:highlight w:val="lightGray"/>
          <w:u w:val="single"/>
        </w:rPr>
      </w:pPr>
    </w:p>
    <w:p w14:paraId="2E5117ED" w14:textId="4B7B6807" w:rsidR="00D12D25" w:rsidRPr="00E06BCB" w:rsidRDefault="00D12D25" w:rsidP="00D12D25">
      <w:pPr>
        <w:pStyle w:val="CM101"/>
        <w:rPr>
          <w:color w:val="000000"/>
          <w:sz w:val="22"/>
          <w:szCs w:val="22"/>
          <w:highlight w:val="lightGray"/>
          <w:u w:val="single"/>
        </w:rPr>
      </w:pPr>
      <w:r w:rsidRPr="00E06BCB">
        <w:rPr>
          <w:color w:val="000000"/>
          <w:sz w:val="22"/>
          <w:szCs w:val="22"/>
          <w:highlight w:val="lightGray"/>
          <w:u w:val="single"/>
        </w:rPr>
        <w:t xml:space="preserve">Dasatinib </w:t>
      </w:r>
      <w:r>
        <w:rPr>
          <w:color w:val="000000"/>
          <w:sz w:val="22"/>
          <w:szCs w:val="22"/>
          <w:highlight w:val="lightGray"/>
          <w:u w:val="single"/>
        </w:rPr>
        <w:t>Vivanta</w:t>
      </w:r>
      <w:r w:rsidRPr="00E06BCB">
        <w:rPr>
          <w:color w:val="000000"/>
          <w:sz w:val="22"/>
          <w:szCs w:val="22"/>
          <w:highlight w:val="lightGray"/>
          <w:u w:val="single"/>
        </w:rPr>
        <w:t xml:space="preserve"> </w:t>
      </w:r>
      <w:r w:rsidR="00566343" w:rsidRPr="00F95FB3">
        <w:rPr>
          <w:color w:val="000000"/>
          <w:sz w:val="22"/>
          <w:szCs w:val="22"/>
          <w:highlight w:val="lightGray"/>
          <w:u w:val="single"/>
        </w:rPr>
        <w:t>Generi</w:t>
      </w:r>
      <w:r w:rsidR="00875F05" w:rsidRPr="00F95FB3">
        <w:rPr>
          <w:color w:val="000000"/>
          <w:sz w:val="22"/>
          <w:szCs w:val="22"/>
          <w:highlight w:val="lightGray"/>
          <w:u w:val="single"/>
        </w:rPr>
        <w:t>c</w:t>
      </w:r>
      <w:r w:rsidR="00566343" w:rsidRPr="00F95FB3">
        <w:rPr>
          <w:color w:val="000000"/>
          <w:sz w:val="22"/>
          <w:szCs w:val="22"/>
          <w:highlight w:val="lightGray"/>
          <w:u w:val="single"/>
        </w:rPr>
        <w:t>s</w:t>
      </w:r>
      <w:r w:rsidR="00566343" w:rsidRPr="00E06BCB">
        <w:rPr>
          <w:color w:val="000000"/>
          <w:sz w:val="22"/>
          <w:szCs w:val="22"/>
          <w:highlight w:val="lightGray"/>
          <w:u w:val="single"/>
        </w:rPr>
        <w:t xml:space="preserve"> </w:t>
      </w:r>
      <w:r w:rsidRPr="00E06BCB">
        <w:rPr>
          <w:color w:val="000000"/>
          <w:sz w:val="22"/>
          <w:szCs w:val="22"/>
          <w:highlight w:val="lightGray"/>
          <w:u w:val="single"/>
        </w:rPr>
        <w:t>100 mg filmom obalené tablety</w:t>
      </w:r>
    </w:p>
    <w:p w14:paraId="780F9F9C" w14:textId="77DA53B0" w:rsidR="00D12D25" w:rsidRPr="00E06BCB" w:rsidRDefault="00D12D25" w:rsidP="00D12D25">
      <w:pPr>
        <w:pStyle w:val="CM100"/>
        <w:rPr>
          <w:sz w:val="22"/>
          <w:szCs w:val="22"/>
          <w:highlight w:val="lightGray"/>
        </w:rPr>
      </w:pPr>
      <w:r w:rsidRPr="00E06BCB">
        <w:rPr>
          <w:sz w:val="22"/>
          <w:szCs w:val="22"/>
          <w:highlight w:val="lightGray"/>
        </w:rPr>
        <w:t xml:space="preserve">Každá filmom obalená tableta obsahuje </w:t>
      </w:r>
      <w:r w:rsidR="00946C18">
        <w:rPr>
          <w:sz w:val="22"/>
          <w:szCs w:val="22"/>
          <w:highlight w:val="lightGray"/>
        </w:rPr>
        <w:t xml:space="preserve">bezvodý </w:t>
      </w:r>
      <w:r w:rsidRPr="00E06BCB">
        <w:rPr>
          <w:sz w:val="22"/>
          <w:szCs w:val="22"/>
          <w:highlight w:val="lightGray"/>
        </w:rPr>
        <w:t>dasatinib, čo zodpovedá 100 mg dasatinibu.</w:t>
      </w:r>
    </w:p>
    <w:p w14:paraId="0A6B0C93" w14:textId="77777777" w:rsidR="00D12D25" w:rsidRPr="00E06BCB" w:rsidRDefault="00D12D25" w:rsidP="00D12D25">
      <w:pPr>
        <w:pStyle w:val="CM100"/>
        <w:rPr>
          <w:sz w:val="22"/>
          <w:szCs w:val="22"/>
          <w:highlight w:val="lightGray"/>
        </w:rPr>
      </w:pPr>
    </w:p>
    <w:p w14:paraId="47CE2244" w14:textId="77777777" w:rsidR="00D12D25" w:rsidRPr="00E06BCB" w:rsidRDefault="00D12D25" w:rsidP="00D12D25">
      <w:pPr>
        <w:pStyle w:val="CM100"/>
        <w:rPr>
          <w:i/>
          <w:iCs/>
          <w:sz w:val="22"/>
          <w:szCs w:val="22"/>
          <w:highlight w:val="lightGray"/>
          <w:u w:val="single"/>
        </w:rPr>
      </w:pPr>
      <w:r w:rsidRPr="00E06BCB">
        <w:rPr>
          <w:i/>
          <w:iCs/>
          <w:sz w:val="22"/>
          <w:szCs w:val="22"/>
          <w:highlight w:val="lightGray"/>
          <w:u w:val="single"/>
        </w:rPr>
        <w:t>Pomocná látka so známym účinkom</w:t>
      </w:r>
    </w:p>
    <w:p w14:paraId="4A0573C1" w14:textId="77777777" w:rsidR="00D12D25" w:rsidRPr="00E06BCB" w:rsidRDefault="00D12D25" w:rsidP="00D12D25">
      <w:pPr>
        <w:pStyle w:val="CM100"/>
        <w:rPr>
          <w:sz w:val="22"/>
          <w:szCs w:val="22"/>
          <w:highlight w:val="lightGray"/>
        </w:rPr>
      </w:pPr>
      <w:r w:rsidRPr="00E06BCB">
        <w:rPr>
          <w:sz w:val="22"/>
          <w:szCs w:val="22"/>
          <w:highlight w:val="lightGray"/>
        </w:rPr>
        <w:t xml:space="preserve">Každá filmom obalená tableta obsahuje 135 mg monohydrátu laktózy a približne 0,0806 mg sodíka. </w:t>
      </w:r>
    </w:p>
    <w:p w14:paraId="5A9A1915" w14:textId="77777777" w:rsidR="00D12D25" w:rsidRDefault="00D12D25" w:rsidP="00E06BCB">
      <w:pPr>
        <w:pStyle w:val="CM101"/>
        <w:rPr>
          <w:color w:val="000000"/>
          <w:sz w:val="22"/>
          <w:szCs w:val="22"/>
          <w:u w:val="single"/>
        </w:rPr>
      </w:pPr>
    </w:p>
    <w:p w14:paraId="1522A78F" w14:textId="7EE96379" w:rsidR="00E06BCB" w:rsidRPr="00F95FB3" w:rsidRDefault="00E06BCB" w:rsidP="00606594">
      <w:pPr>
        <w:pStyle w:val="CM100"/>
        <w:rPr>
          <w:sz w:val="22"/>
          <w:szCs w:val="22"/>
          <w:highlight w:val="lightGray"/>
          <w:u w:val="single"/>
        </w:rPr>
      </w:pPr>
      <w:r w:rsidRPr="00F95FB3">
        <w:rPr>
          <w:sz w:val="22"/>
          <w:szCs w:val="22"/>
          <w:highlight w:val="lightGray"/>
          <w:u w:val="single"/>
        </w:rPr>
        <w:t xml:space="preserve">Dasatinib </w:t>
      </w:r>
      <w:r w:rsidR="0000668D" w:rsidRPr="00F95FB3">
        <w:rPr>
          <w:sz w:val="22"/>
          <w:szCs w:val="22"/>
          <w:highlight w:val="lightGray"/>
          <w:u w:val="single"/>
        </w:rPr>
        <w:t>Vivanta</w:t>
      </w:r>
      <w:r w:rsidR="00696DD7" w:rsidRPr="00F95FB3">
        <w:rPr>
          <w:sz w:val="22"/>
          <w:szCs w:val="22"/>
          <w:highlight w:val="lightGray"/>
          <w:u w:val="single"/>
        </w:rPr>
        <w:t xml:space="preserve"> Generics</w:t>
      </w:r>
      <w:r w:rsidRPr="00F95FB3">
        <w:rPr>
          <w:sz w:val="22"/>
          <w:szCs w:val="22"/>
          <w:highlight w:val="lightGray"/>
          <w:u w:val="single"/>
        </w:rPr>
        <w:t xml:space="preserve"> 140 mg filmom obalené tablety</w:t>
      </w:r>
    </w:p>
    <w:p w14:paraId="6D82CAED" w14:textId="0DC98498" w:rsidR="00E06BCB" w:rsidRPr="00606594" w:rsidRDefault="00E06BCB" w:rsidP="00E06BCB">
      <w:pPr>
        <w:pStyle w:val="CM100"/>
        <w:rPr>
          <w:sz w:val="22"/>
          <w:szCs w:val="22"/>
          <w:highlight w:val="lightGray"/>
        </w:rPr>
      </w:pPr>
      <w:r w:rsidRPr="00606594">
        <w:rPr>
          <w:sz w:val="22"/>
          <w:szCs w:val="22"/>
          <w:highlight w:val="lightGray"/>
        </w:rPr>
        <w:t xml:space="preserve">Každá filmom obalená tableta obsahuje </w:t>
      </w:r>
      <w:r w:rsidR="00946C18">
        <w:rPr>
          <w:sz w:val="22"/>
          <w:szCs w:val="22"/>
          <w:highlight w:val="lightGray"/>
        </w:rPr>
        <w:t xml:space="preserve">bezvodý </w:t>
      </w:r>
      <w:r w:rsidRPr="00606594">
        <w:rPr>
          <w:sz w:val="22"/>
          <w:szCs w:val="22"/>
          <w:highlight w:val="lightGray"/>
        </w:rPr>
        <w:t>dasatinib, čo zodpovedá 140 mg dasatinibu.</w:t>
      </w:r>
    </w:p>
    <w:p w14:paraId="4DAFC5DB" w14:textId="77777777" w:rsidR="00E06BCB" w:rsidRPr="00606594" w:rsidRDefault="00E06BCB" w:rsidP="00E06BCB">
      <w:pPr>
        <w:pStyle w:val="CM100"/>
        <w:rPr>
          <w:sz w:val="22"/>
          <w:szCs w:val="22"/>
          <w:highlight w:val="lightGray"/>
        </w:rPr>
      </w:pPr>
    </w:p>
    <w:p w14:paraId="6B4641CA" w14:textId="77777777" w:rsidR="00E06BCB" w:rsidRPr="00F95FB3" w:rsidRDefault="00E06BCB" w:rsidP="00E06BCB">
      <w:pPr>
        <w:pStyle w:val="CM100"/>
        <w:rPr>
          <w:i/>
          <w:iCs/>
          <w:sz w:val="22"/>
          <w:szCs w:val="22"/>
          <w:highlight w:val="lightGray"/>
          <w:u w:val="single"/>
        </w:rPr>
      </w:pPr>
      <w:r w:rsidRPr="00F95FB3">
        <w:rPr>
          <w:i/>
          <w:iCs/>
          <w:sz w:val="22"/>
          <w:szCs w:val="22"/>
          <w:highlight w:val="lightGray"/>
          <w:u w:val="single"/>
        </w:rPr>
        <w:t>Pomocná látka so známym účinkom</w:t>
      </w:r>
    </w:p>
    <w:p w14:paraId="0156DD6B" w14:textId="714D0C37" w:rsidR="00E06BCB" w:rsidRPr="00606594" w:rsidRDefault="00E06BCB" w:rsidP="00E06BCB">
      <w:pPr>
        <w:pStyle w:val="CM100"/>
        <w:rPr>
          <w:sz w:val="22"/>
          <w:szCs w:val="22"/>
          <w:highlight w:val="lightGray"/>
        </w:rPr>
      </w:pPr>
      <w:r w:rsidRPr="00606594">
        <w:rPr>
          <w:sz w:val="22"/>
          <w:szCs w:val="22"/>
          <w:highlight w:val="lightGray"/>
        </w:rPr>
        <w:t xml:space="preserve">Každá filmom obalená tableta obsahuje 189 mg monohydrátu laktózy a približne 0,1129 mg sodíka. </w:t>
      </w:r>
    </w:p>
    <w:p w14:paraId="7C790F3C" w14:textId="77777777" w:rsidR="00E06BCB" w:rsidRDefault="00E06BCB" w:rsidP="00E06BCB">
      <w:pPr>
        <w:pStyle w:val="CM101"/>
        <w:rPr>
          <w:color w:val="000000"/>
          <w:sz w:val="22"/>
          <w:szCs w:val="22"/>
          <w:u w:val="single"/>
        </w:rPr>
      </w:pPr>
    </w:p>
    <w:p w14:paraId="56A6F6A9" w14:textId="77777777" w:rsidR="00BE76D5" w:rsidRPr="004E1637" w:rsidRDefault="00BE76D5" w:rsidP="00BE76D5">
      <w:pPr>
        <w:pStyle w:val="CM101"/>
        <w:rPr>
          <w:sz w:val="22"/>
          <w:szCs w:val="22"/>
        </w:rPr>
      </w:pPr>
    </w:p>
    <w:p w14:paraId="5E518E4E" w14:textId="77777777" w:rsidR="00BE76D5" w:rsidRPr="004E1637" w:rsidRDefault="00BE76D5" w:rsidP="00BE76D5">
      <w:pPr>
        <w:pStyle w:val="CM101"/>
        <w:rPr>
          <w:sz w:val="22"/>
          <w:szCs w:val="22"/>
        </w:rPr>
      </w:pPr>
      <w:r w:rsidRPr="004E1637">
        <w:rPr>
          <w:sz w:val="22"/>
          <w:szCs w:val="22"/>
        </w:rPr>
        <w:lastRenderedPageBreak/>
        <w:t xml:space="preserve">Úplný zoznam pomocných látok, pozri časť 6.1. </w:t>
      </w:r>
    </w:p>
    <w:p w14:paraId="79CD292A" w14:textId="77777777" w:rsidR="00BE76D5" w:rsidRPr="004E1637" w:rsidRDefault="00BE76D5" w:rsidP="00BE76D5">
      <w:pPr>
        <w:pStyle w:val="CM100"/>
        <w:rPr>
          <w:b/>
          <w:bCs/>
          <w:sz w:val="22"/>
          <w:szCs w:val="22"/>
        </w:rPr>
      </w:pPr>
    </w:p>
    <w:p w14:paraId="4EB12080" w14:textId="77777777" w:rsidR="009F4035" w:rsidRPr="004E1637" w:rsidRDefault="009F4035" w:rsidP="009F4035">
      <w:pPr>
        <w:pStyle w:val="Default"/>
      </w:pPr>
    </w:p>
    <w:p w14:paraId="7C38AC3B" w14:textId="77777777" w:rsidR="00BE76D5" w:rsidRPr="004E1637" w:rsidRDefault="00BE76D5" w:rsidP="00BE76D5">
      <w:pPr>
        <w:pStyle w:val="CM100"/>
        <w:tabs>
          <w:tab w:val="left" w:pos="567"/>
        </w:tabs>
        <w:ind w:left="567" w:hanging="567"/>
        <w:rPr>
          <w:sz w:val="22"/>
          <w:szCs w:val="22"/>
        </w:rPr>
      </w:pPr>
      <w:r w:rsidRPr="004E1637">
        <w:rPr>
          <w:b/>
          <w:bCs/>
          <w:sz w:val="22"/>
          <w:szCs w:val="22"/>
        </w:rPr>
        <w:t xml:space="preserve">3. </w:t>
      </w:r>
      <w:r w:rsidRPr="004E1637">
        <w:rPr>
          <w:b/>
          <w:bCs/>
          <w:sz w:val="22"/>
          <w:szCs w:val="22"/>
        </w:rPr>
        <w:tab/>
        <w:t xml:space="preserve">LIEKOVÁ FORMA </w:t>
      </w:r>
    </w:p>
    <w:p w14:paraId="25345C8E" w14:textId="77777777" w:rsidR="00BE76D5" w:rsidRPr="004E1637" w:rsidRDefault="00BE76D5" w:rsidP="00BE76D5">
      <w:pPr>
        <w:pStyle w:val="CM2"/>
        <w:spacing w:line="240" w:lineRule="auto"/>
        <w:rPr>
          <w:sz w:val="22"/>
          <w:szCs w:val="22"/>
        </w:rPr>
      </w:pPr>
    </w:p>
    <w:p w14:paraId="64CF76A5" w14:textId="77777777" w:rsidR="00BE76D5" w:rsidRPr="004E1637" w:rsidRDefault="00BE76D5" w:rsidP="00BE76D5">
      <w:pPr>
        <w:pStyle w:val="CM2"/>
        <w:spacing w:line="240" w:lineRule="auto"/>
        <w:rPr>
          <w:sz w:val="22"/>
          <w:szCs w:val="22"/>
        </w:rPr>
      </w:pPr>
      <w:r w:rsidRPr="004E1637">
        <w:rPr>
          <w:sz w:val="22"/>
          <w:szCs w:val="22"/>
        </w:rPr>
        <w:t xml:space="preserve">Filmom obalená tableta (tableta). </w:t>
      </w:r>
    </w:p>
    <w:p w14:paraId="19FAFFB3" w14:textId="12783241" w:rsidR="00E71F22" w:rsidRDefault="00E71F22" w:rsidP="00E71F22">
      <w:pPr>
        <w:pStyle w:val="Default"/>
      </w:pPr>
    </w:p>
    <w:p w14:paraId="50A2E5E8" w14:textId="4016D378" w:rsidR="00D12D25" w:rsidRPr="00E06BCB" w:rsidRDefault="00D12D25" w:rsidP="00D12D25">
      <w:pPr>
        <w:pStyle w:val="CM101"/>
        <w:rPr>
          <w:color w:val="000000"/>
          <w:sz w:val="22"/>
          <w:szCs w:val="22"/>
          <w:u w:val="single"/>
        </w:rPr>
      </w:pPr>
      <w:r w:rsidRPr="00E06BCB">
        <w:rPr>
          <w:color w:val="000000"/>
          <w:sz w:val="22"/>
          <w:szCs w:val="22"/>
          <w:u w:val="single"/>
        </w:rPr>
        <w:t xml:space="preserve">Dasatinib </w:t>
      </w:r>
      <w:r>
        <w:rPr>
          <w:color w:val="000000"/>
          <w:sz w:val="22"/>
          <w:szCs w:val="22"/>
          <w:u w:val="single"/>
        </w:rPr>
        <w:t>Vivanta</w:t>
      </w:r>
      <w:r w:rsidRPr="00E06BCB">
        <w:rPr>
          <w:color w:val="000000"/>
          <w:sz w:val="22"/>
          <w:szCs w:val="22"/>
          <w:u w:val="single"/>
        </w:rPr>
        <w:t xml:space="preserve"> </w:t>
      </w:r>
      <w:r w:rsidR="008E6E92">
        <w:rPr>
          <w:color w:val="000000"/>
          <w:sz w:val="22"/>
          <w:szCs w:val="22"/>
          <w:u w:val="single"/>
        </w:rPr>
        <w:t>Generi</w:t>
      </w:r>
      <w:r w:rsidR="00875F05">
        <w:rPr>
          <w:color w:val="000000"/>
          <w:sz w:val="22"/>
          <w:szCs w:val="22"/>
          <w:u w:val="single"/>
        </w:rPr>
        <w:t>c</w:t>
      </w:r>
      <w:r w:rsidR="008E6E92">
        <w:rPr>
          <w:color w:val="000000"/>
          <w:sz w:val="22"/>
          <w:szCs w:val="22"/>
          <w:u w:val="single"/>
        </w:rPr>
        <w:t xml:space="preserve">s </w:t>
      </w:r>
      <w:r w:rsidRPr="00E06BCB">
        <w:rPr>
          <w:color w:val="000000"/>
          <w:sz w:val="22"/>
          <w:szCs w:val="22"/>
          <w:u w:val="single"/>
        </w:rPr>
        <w:t>20 mg filmom obalené tablety</w:t>
      </w:r>
    </w:p>
    <w:p w14:paraId="145AE8E6" w14:textId="77777777" w:rsidR="00D12D25" w:rsidRPr="00E06BCB" w:rsidRDefault="00D12D25" w:rsidP="00D12D25">
      <w:pPr>
        <w:pStyle w:val="Default"/>
        <w:rPr>
          <w:sz w:val="22"/>
          <w:szCs w:val="22"/>
        </w:rPr>
      </w:pPr>
      <w:r w:rsidRPr="00E06BCB">
        <w:rPr>
          <w:sz w:val="22"/>
          <w:szCs w:val="22"/>
        </w:rPr>
        <w:t>Biele až takmer biele, okrúhle, bikonvexné, filmom obalené tablety s označením DAS na jednej strane a 20 na druhej strane, rozmer približne 5,6 mm.</w:t>
      </w:r>
    </w:p>
    <w:p w14:paraId="7EA57D71" w14:textId="77777777" w:rsidR="00D12D25" w:rsidRPr="00E06BCB" w:rsidRDefault="00D12D25" w:rsidP="00D12D25">
      <w:pPr>
        <w:pStyle w:val="Default"/>
        <w:rPr>
          <w:sz w:val="22"/>
          <w:szCs w:val="22"/>
        </w:rPr>
      </w:pPr>
    </w:p>
    <w:p w14:paraId="2DCA599A" w14:textId="46BB7A43" w:rsidR="00D12D25" w:rsidRPr="00E06BCB" w:rsidRDefault="00D12D25" w:rsidP="00D12D25">
      <w:pPr>
        <w:pStyle w:val="CM101"/>
        <w:rPr>
          <w:color w:val="000000"/>
          <w:sz w:val="22"/>
          <w:szCs w:val="22"/>
          <w:highlight w:val="lightGray"/>
          <w:u w:val="single"/>
        </w:rPr>
      </w:pPr>
      <w:bookmarkStart w:id="0" w:name="_Hlk17970082"/>
      <w:r w:rsidRPr="00E06BCB">
        <w:rPr>
          <w:color w:val="000000"/>
          <w:sz w:val="22"/>
          <w:szCs w:val="22"/>
          <w:highlight w:val="lightGray"/>
          <w:u w:val="single"/>
        </w:rPr>
        <w:t xml:space="preserve">Dasatinib </w:t>
      </w:r>
      <w:r>
        <w:rPr>
          <w:color w:val="000000"/>
          <w:sz w:val="22"/>
          <w:szCs w:val="22"/>
          <w:highlight w:val="lightGray"/>
          <w:u w:val="single"/>
        </w:rPr>
        <w:t>Vivanta</w:t>
      </w:r>
      <w:r w:rsidR="008E6E92">
        <w:rPr>
          <w:color w:val="000000"/>
          <w:sz w:val="22"/>
          <w:szCs w:val="22"/>
          <w:highlight w:val="lightGray"/>
          <w:u w:val="single"/>
        </w:rPr>
        <w:t xml:space="preserve"> Generi</w:t>
      </w:r>
      <w:r w:rsidR="00875F05">
        <w:rPr>
          <w:color w:val="000000"/>
          <w:sz w:val="22"/>
          <w:szCs w:val="22"/>
          <w:highlight w:val="lightGray"/>
          <w:u w:val="single"/>
        </w:rPr>
        <w:t>c</w:t>
      </w:r>
      <w:r w:rsidR="008E6E92">
        <w:rPr>
          <w:color w:val="000000"/>
          <w:sz w:val="22"/>
          <w:szCs w:val="22"/>
          <w:highlight w:val="lightGray"/>
          <w:u w:val="single"/>
        </w:rPr>
        <w:t>s</w:t>
      </w:r>
      <w:r w:rsidRPr="00E06BCB">
        <w:rPr>
          <w:color w:val="000000"/>
          <w:sz w:val="22"/>
          <w:szCs w:val="22"/>
          <w:highlight w:val="lightGray"/>
          <w:u w:val="single"/>
        </w:rPr>
        <w:t xml:space="preserve"> 50 mg filmom obalené tablety</w:t>
      </w:r>
    </w:p>
    <w:p w14:paraId="46DC4508" w14:textId="77777777" w:rsidR="00D12D25" w:rsidRPr="00E06BCB" w:rsidRDefault="00D12D25" w:rsidP="00D12D25">
      <w:pPr>
        <w:pStyle w:val="Default"/>
        <w:rPr>
          <w:sz w:val="22"/>
          <w:szCs w:val="22"/>
          <w:highlight w:val="lightGray"/>
        </w:rPr>
      </w:pPr>
      <w:r w:rsidRPr="00E06BCB">
        <w:rPr>
          <w:sz w:val="22"/>
          <w:szCs w:val="22"/>
          <w:highlight w:val="lightGray"/>
        </w:rPr>
        <w:t xml:space="preserve">Biele až takmer biele, </w:t>
      </w:r>
      <w:r>
        <w:rPr>
          <w:sz w:val="22"/>
          <w:szCs w:val="22"/>
          <w:highlight w:val="lightGray"/>
        </w:rPr>
        <w:t>oválne</w:t>
      </w:r>
      <w:r w:rsidRPr="00E06BCB">
        <w:rPr>
          <w:sz w:val="22"/>
          <w:szCs w:val="22"/>
          <w:highlight w:val="lightGray"/>
        </w:rPr>
        <w:t>, bikonvexné, filmom obalené tablety s označením DAS na jednej strane a 50 na druhej strane, rozmer približne 10,9 x 5,8 mm.</w:t>
      </w:r>
    </w:p>
    <w:bookmarkEnd w:id="0"/>
    <w:p w14:paraId="0B5126D1" w14:textId="77777777" w:rsidR="00D12D25" w:rsidRPr="00E06BCB" w:rsidRDefault="00D12D25" w:rsidP="00D12D25">
      <w:pPr>
        <w:pStyle w:val="Default"/>
        <w:rPr>
          <w:color w:val="auto"/>
          <w:sz w:val="22"/>
          <w:szCs w:val="22"/>
          <w:highlight w:val="lightGray"/>
        </w:rPr>
      </w:pPr>
    </w:p>
    <w:p w14:paraId="434ACA69" w14:textId="214E23C0" w:rsidR="00D12D25" w:rsidRPr="00E06BCB" w:rsidRDefault="00D12D25" w:rsidP="00D12D25">
      <w:pPr>
        <w:pStyle w:val="CM101"/>
        <w:rPr>
          <w:color w:val="000000"/>
          <w:sz w:val="22"/>
          <w:szCs w:val="22"/>
          <w:highlight w:val="lightGray"/>
          <w:u w:val="single"/>
        </w:rPr>
      </w:pPr>
      <w:r w:rsidRPr="00E06BCB">
        <w:rPr>
          <w:color w:val="000000"/>
          <w:sz w:val="22"/>
          <w:szCs w:val="22"/>
          <w:highlight w:val="lightGray"/>
          <w:u w:val="single"/>
        </w:rPr>
        <w:t xml:space="preserve">Dasatinib </w:t>
      </w:r>
      <w:r>
        <w:rPr>
          <w:color w:val="000000"/>
          <w:sz w:val="22"/>
          <w:szCs w:val="22"/>
          <w:highlight w:val="lightGray"/>
          <w:u w:val="single"/>
        </w:rPr>
        <w:t>Vivanta</w:t>
      </w:r>
      <w:r w:rsidRPr="00E06BCB">
        <w:rPr>
          <w:color w:val="000000"/>
          <w:sz w:val="22"/>
          <w:szCs w:val="22"/>
          <w:highlight w:val="lightGray"/>
          <w:u w:val="single"/>
        </w:rPr>
        <w:t xml:space="preserve"> </w:t>
      </w:r>
      <w:r w:rsidR="008E6E92">
        <w:rPr>
          <w:color w:val="000000"/>
          <w:sz w:val="22"/>
          <w:szCs w:val="22"/>
          <w:highlight w:val="lightGray"/>
          <w:u w:val="single"/>
        </w:rPr>
        <w:t>Generi</w:t>
      </w:r>
      <w:r w:rsidR="00875F05">
        <w:rPr>
          <w:color w:val="000000"/>
          <w:sz w:val="22"/>
          <w:szCs w:val="22"/>
          <w:highlight w:val="lightGray"/>
          <w:u w:val="single"/>
        </w:rPr>
        <w:t>c</w:t>
      </w:r>
      <w:r w:rsidR="008E6E92">
        <w:rPr>
          <w:color w:val="000000"/>
          <w:sz w:val="22"/>
          <w:szCs w:val="22"/>
          <w:highlight w:val="lightGray"/>
          <w:u w:val="single"/>
        </w:rPr>
        <w:t xml:space="preserve">s </w:t>
      </w:r>
      <w:r w:rsidRPr="00E06BCB">
        <w:rPr>
          <w:color w:val="000000"/>
          <w:sz w:val="22"/>
          <w:szCs w:val="22"/>
          <w:highlight w:val="lightGray"/>
          <w:u w:val="single"/>
        </w:rPr>
        <w:t>70 mg filmom obalené tablety</w:t>
      </w:r>
    </w:p>
    <w:p w14:paraId="2743F79C" w14:textId="77777777" w:rsidR="00D12D25" w:rsidRDefault="00D12D25" w:rsidP="00D12D25">
      <w:pPr>
        <w:pStyle w:val="CM101"/>
        <w:rPr>
          <w:sz w:val="22"/>
          <w:szCs w:val="22"/>
        </w:rPr>
      </w:pPr>
      <w:r w:rsidRPr="00E06BCB">
        <w:rPr>
          <w:sz w:val="22"/>
          <w:szCs w:val="22"/>
          <w:highlight w:val="lightGray"/>
        </w:rPr>
        <w:t>Biele až takmer biele, okrúhle, bikonvexné, filmom obalené tablety s označením DAS na jednej strane a 70 druhej strane, rozmer približne 8,8 mm.</w:t>
      </w:r>
    </w:p>
    <w:p w14:paraId="757EF0DD" w14:textId="77777777" w:rsidR="00D12D25" w:rsidRDefault="00D12D25" w:rsidP="00D12D25">
      <w:pPr>
        <w:pStyle w:val="CM101"/>
        <w:rPr>
          <w:sz w:val="22"/>
          <w:szCs w:val="22"/>
        </w:rPr>
      </w:pPr>
    </w:p>
    <w:p w14:paraId="21EB3C48" w14:textId="4DBE3432" w:rsidR="00D12D25" w:rsidRPr="00E71F22" w:rsidRDefault="00D12D25" w:rsidP="00D12D25">
      <w:pPr>
        <w:pStyle w:val="CM101"/>
        <w:rPr>
          <w:sz w:val="22"/>
          <w:szCs w:val="22"/>
          <w:highlight w:val="lightGray"/>
          <w:u w:val="single"/>
        </w:rPr>
      </w:pPr>
      <w:r w:rsidRPr="00E71F22">
        <w:rPr>
          <w:sz w:val="22"/>
          <w:szCs w:val="22"/>
          <w:highlight w:val="lightGray"/>
          <w:u w:val="single"/>
        </w:rPr>
        <w:t xml:space="preserve">Dasatinib </w:t>
      </w:r>
      <w:r>
        <w:rPr>
          <w:sz w:val="22"/>
          <w:szCs w:val="22"/>
          <w:highlight w:val="lightGray"/>
          <w:u w:val="single"/>
        </w:rPr>
        <w:t>Vivanta</w:t>
      </w:r>
      <w:r w:rsidRPr="00E71F22">
        <w:rPr>
          <w:sz w:val="22"/>
          <w:szCs w:val="22"/>
          <w:highlight w:val="lightGray"/>
          <w:u w:val="single"/>
        </w:rPr>
        <w:t xml:space="preserve"> </w:t>
      </w:r>
      <w:r w:rsidR="008E6E92">
        <w:rPr>
          <w:sz w:val="22"/>
          <w:szCs w:val="22"/>
          <w:highlight w:val="lightGray"/>
          <w:u w:val="single"/>
        </w:rPr>
        <w:t>Generi</w:t>
      </w:r>
      <w:r w:rsidR="00875F05">
        <w:rPr>
          <w:sz w:val="22"/>
          <w:szCs w:val="22"/>
          <w:highlight w:val="lightGray"/>
          <w:u w:val="single"/>
        </w:rPr>
        <w:t>c</w:t>
      </w:r>
      <w:r w:rsidR="008E6E92">
        <w:rPr>
          <w:sz w:val="22"/>
          <w:szCs w:val="22"/>
          <w:highlight w:val="lightGray"/>
          <w:u w:val="single"/>
        </w:rPr>
        <w:t xml:space="preserve">s </w:t>
      </w:r>
      <w:r w:rsidRPr="00E71F22">
        <w:rPr>
          <w:sz w:val="22"/>
          <w:szCs w:val="22"/>
          <w:highlight w:val="lightGray"/>
          <w:u w:val="single"/>
        </w:rPr>
        <w:t>80 mg filmom obalené tablety</w:t>
      </w:r>
    </w:p>
    <w:p w14:paraId="58746282" w14:textId="77777777" w:rsidR="00D12D25" w:rsidRDefault="00D12D25" w:rsidP="00D12D25">
      <w:pPr>
        <w:pStyle w:val="CM101"/>
        <w:rPr>
          <w:sz w:val="22"/>
          <w:szCs w:val="22"/>
        </w:rPr>
      </w:pPr>
      <w:r w:rsidRPr="00E71F22">
        <w:rPr>
          <w:sz w:val="22"/>
          <w:szCs w:val="22"/>
          <w:highlight w:val="lightGray"/>
        </w:rPr>
        <w:t>Biele až takmer biele, trojuholníkové, bikonvexné, filmom obalené tablety s označením DAS na jednej strane a 80 na druhej strane, rozmer približne 10,4 x 10,</w:t>
      </w:r>
      <w:r>
        <w:rPr>
          <w:sz w:val="22"/>
          <w:szCs w:val="22"/>
          <w:highlight w:val="lightGray"/>
        </w:rPr>
        <w:t>1</w:t>
      </w:r>
      <w:r w:rsidRPr="00E71F22">
        <w:rPr>
          <w:sz w:val="22"/>
          <w:szCs w:val="22"/>
          <w:highlight w:val="lightGray"/>
        </w:rPr>
        <w:t xml:space="preserve"> mm.</w:t>
      </w:r>
    </w:p>
    <w:p w14:paraId="03F3F297" w14:textId="77777777" w:rsidR="00D12D25" w:rsidRDefault="00D12D25" w:rsidP="00D12D25">
      <w:pPr>
        <w:pStyle w:val="Default"/>
      </w:pPr>
    </w:p>
    <w:p w14:paraId="40AE4AC5" w14:textId="14E54BE4" w:rsidR="00D12D25" w:rsidRPr="00E06BCB" w:rsidRDefault="00D12D25" w:rsidP="00D12D25">
      <w:pPr>
        <w:pStyle w:val="CM101"/>
        <w:rPr>
          <w:color w:val="000000"/>
          <w:sz w:val="22"/>
          <w:szCs w:val="22"/>
          <w:highlight w:val="lightGray"/>
          <w:u w:val="single"/>
        </w:rPr>
      </w:pPr>
      <w:r w:rsidRPr="00E06BCB">
        <w:rPr>
          <w:color w:val="000000"/>
          <w:sz w:val="22"/>
          <w:szCs w:val="22"/>
          <w:highlight w:val="lightGray"/>
          <w:u w:val="single"/>
        </w:rPr>
        <w:t xml:space="preserve">Dasatinib </w:t>
      </w:r>
      <w:r>
        <w:rPr>
          <w:color w:val="000000"/>
          <w:sz w:val="22"/>
          <w:szCs w:val="22"/>
          <w:highlight w:val="lightGray"/>
          <w:u w:val="single"/>
        </w:rPr>
        <w:t>Vivanta</w:t>
      </w:r>
      <w:r w:rsidR="008E6E92">
        <w:rPr>
          <w:color w:val="000000"/>
          <w:sz w:val="22"/>
          <w:szCs w:val="22"/>
          <w:highlight w:val="lightGray"/>
          <w:u w:val="single"/>
        </w:rPr>
        <w:t xml:space="preserve"> Generi</w:t>
      </w:r>
      <w:r w:rsidR="00875F05">
        <w:rPr>
          <w:color w:val="000000"/>
          <w:sz w:val="22"/>
          <w:szCs w:val="22"/>
          <w:highlight w:val="lightGray"/>
          <w:u w:val="single"/>
        </w:rPr>
        <w:t>c</w:t>
      </w:r>
      <w:r w:rsidR="008E6E92">
        <w:rPr>
          <w:color w:val="000000"/>
          <w:sz w:val="22"/>
          <w:szCs w:val="22"/>
          <w:highlight w:val="lightGray"/>
          <w:u w:val="single"/>
        </w:rPr>
        <w:t>s</w:t>
      </w:r>
      <w:r w:rsidRPr="00E06BCB">
        <w:rPr>
          <w:color w:val="000000"/>
          <w:sz w:val="22"/>
          <w:szCs w:val="22"/>
          <w:highlight w:val="lightGray"/>
          <w:u w:val="single"/>
        </w:rPr>
        <w:t xml:space="preserve"> </w:t>
      </w:r>
      <w:r>
        <w:rPr>
          <w:color w:val="000000"/>
          <w:sz w:val="22"/>
          <w:szCs w:val="22"/>
          <w:highlight w:val="lightGray"/>
          <w:u w:val="single"/>
        </w:rPr>
        <w:t>10</w:t>
      </w:r>
      <w:r w:rsidRPr="00E06BCB">
        <w:rPr>
          <w:color w:val="000000"/>
          <w:sz w:val="22"/>
          <w:szCs w:val="22"/>
          <w:highlight w:val="lightGray"/>
          <w:u w:val="single"/>
        </w:rPr>
        <w:t>0 mg filmom obalené tablety</w:t>
      </w:r>
    </w:p>
    <w:p w14:paraId="79773F14" w14:textId="77777777" w:rsidR="00D12D25" w:rsidRPr="008C229A" w:rsidRDefault="00D12D25" w:rsidP="00D12D25">
      <w:pPr>
        <w:pStyle w:val="Default"/>
        <w:rPr>
          <w:sz w:val="22"/>
          <w:szCs w:val="22"/>
          <w:highlight w:val="lightGray"/>
        </w:rPr>
      </w:pPr>
      <w:r w:rsidRPr="00E06BCB">
        <w:rPr>
          <w:sz w:val="22"/>
          <w:szCs w:val="22"/>
          <w:highlight w:val="lightGray"/>
        </w:rPr>
        <w:t xml:space="preserve">Biele až takmer biele, </w:t>
      </w:r>
      <w:r>
        <w:rPr>
          <w:sz w:val="22"/>
          <w:szCs w:val="22"/>
          <w:highlight w:val="lightGray"/>
        </w:rPr>
        <w:t>oválne</w:t>
      </w:r>
      <w:r w:rsidRPr="00E06BCB">
        <w:rPr>
          <w:sz w:val="22"/>
          <w:szCs w:val="22"/>
          <w:highlight w:val="lightGray"/>
        </w:rPr>
        <w:t>, bikonvexné, filmom obalené tablety s označením DAS na jednej strane a </w:t>
      </w:r>
      <w:r>
        <w:rPr>
          <w:sz w:val="22"/>
          <w:szCs w:val="22"/>
          <w:highlight w:val="lightGray"/>
        </w:rPr>
        <w:t>100</w:t>
      </w:r>
      <w:r w:rsidRPr="00E06BCB">
        <w:rPr>
          <w:sz w:val="22"/>
          <w:szCs w:val="22"/>
          <w:highlight w:val="lightGray"/>
        </w:rPr>
        <w:t xml:space="preserve"> na druhej strane, rozmer približne 1</w:t>
      </w:r>
      <w:r>
        <w:rPr>
          <w:sz w:val="22"/>
          <w:szCs w:val="22"/>
          <w:highlight w:val="lightGray"/>
        </w:rPr>
        <w:t>4</w:t>
      </w:r>
      <w:r w:rsidRPr="00E06BCB">
        <w:rPr>
          <w:sz w:val="22"/>
          <w:szCs w:val="22"/>
          <w:highlight w:val="lightGray"/>
        </w:rPr>
        <w:t xml:space="preserve">,9 x </w:t>
      </w:r>
      <w:r>
        <w:rPr>
          <w:sz w:val="22"/>
          <w:szCs w:val="22"/>
          <w:highlight w:val="lightGray"/>
        </w:rPr>
        <w:t>7,2</w:t>
      </w:r>
      <w:r w:rsidRPr="00E06BCB">
        <w:rPr>
          <w:sz w:val="22"/>
          <w:szCs w:val="22"/>
          <w:highlight w:val="lightGray"/>
        </w:rPr>
        <w:t xml:space="preserve"> mm.</w:t>
      </w:r>
    </w:p>
    <w:p w14:paraId="282C9027" w14:textId="77777777" w:rsidR="00D12D25" w:rsidRPr="00E71F22" w:rsidRDefault="00D12D25" w:rsidP="00E71F22">
      <w:pPr>
        <w:pStyle w:val="Default"/>
      </w:pPr>
    </w:p>
    <w:p w14:paraId="637DAB4E" w14:textId="172C177B" w:rsidR="00CD4C52" w:rsidRPr="00F95FB3" w:rsidRDefault="00CD4C52" w:rsidP="00CD4C52">
      <w:pPr>
        <w:pStyle w:val="CM101"/>
        <w:rPr>
          <w:sz w:val="22"/>
          <w:szCs w:val="22"/>
          <w:highlight w:val="lightGray"/>
          <w:u w:val="single"/>
        </w:rPr>
      </w:pPr>
      <w:r w:rsidRPr="00F95FB3">
        <w:rPr>
          <w:sz w:val="22"/>
          <w:szCs w:val="22"/>
          <w:highlight w:val="lightGray"/>
          <w:u w:val="single"/>
        </w:rPr>
        <w:t xml:space="preserve">Dasatinib </w:t>
      </w:r>
      <w:r w:rsidR="0000668D" w:rsidRPr="00F95FB3">
        <w:rPr>
          <w:sz w:val="22"/>
          <w:szCs w:val="22"/>
          <w:highlight w:val="lightGray"/>
          <w:u w:val="single"/>
        </w:rPr>
        <w:t>Vivanta</w:t>
      </w:r>
      <w:r w:rsidR="00696DD7" w:rsidRPr="00F95FB3">
        <w:rPr>
          <w:sz w:val="22"/>
          <w:szCs w:val="22"/>
          <w:highlight w:val="lightGray"/>
          <w:u w:val="single"/>
        </w:rPr>
        <w:t xml:space="preserve"> Generics</w:t>
      </w:r>
      <w:r w:rsidRPr="00F95FB3">
        <w:rPr>
          <w:sz w:val="22"/>
          <w:szCs w:val="22"/>
          <w:highlight w:val="lightGray"/>
          <w:u w:val="single"/>
        </w:rPr>
        <w:t xml:space="preserve"> 1</w:t>
      </w:r>
      <w:r w:rsidR="00E71F22" w:rsidRPr="00F95FB3">
        <w:rPr>
          <w:sz w:val="22"/>
          <w:szCs w:val="22"/>
          <w:highlight w:val="lightGray"/>
          <w:u w:val="single"/>
        </w:rPr>
        <w:t>4</w:t>
      </w:r>
      <w:r w:rsidRPr="00F95FB3">
        <w:rPr>
          <w:sz w:val="22"/>
          <w:szCs w:val="22"/>
          <w:highlight w:val="lightGray"/>
          <w:u w:val="single"/>
        </w:rPr>
        <w:t>0 mg</w:t>
      </w:r>
      <w:r w:rsidR="00F92ED6" w:rsidRPr="00F95FB3">
        <w:rPr>
          <w:sz w:val="22"/>
          <w:szCs w:val="22"/>
          <w:highlight w:val="lightGray"/>
          <w:u w:val="single"/>
        </w:rPr>
        <w:t xml:space="preserve"> filmom obalené tablety</w:t>
      </w:r>
    </w:p>
    <w:p w14:paraId="085D813A" w14:textId="445655F0" w:rsidR="00E71F22" w:rsidRPr="00606594" w:rsidRDefault="00E71F22" w:rsidP="00E71F22">
      <w:pPr>
        <w:pStyle w:val="CM101"/>
        <w:rPr>
          <w:sz w:val="22"/>
          <w:szCs w:val="22"/>
          <w:highlight w:val="lightGray"/>
        </w:rPr>
      </w:pPr>
      <w:r w:rsidRPr="00606594">
        <w:rPr>
          <w:sz w:val="22"/>
          <w:szCs w:val="22"/>
          <w:highlight w:val="lightGray"/>
        </w:rPr>
        <w:t>Biele až takmer biele, okrúhle, bikonvexné, filmom obalené tablety s označením DAS na jednej strane a 140 druhej strane, rozmer približne 11,2 mm.</w:t>
      </w:r>
    </w:p>
    <w:p w14:paraId="130D61E2" w14:textId="77777777" w:rsidR="00CD4C52" w:rsidRPr="004E1637" w:rsidRDefault="00CD4C52" w:rsidP="00BE76D5">
      <w:pPr>
        <w:pStyle w:val="Default"/>
        <w:rPr>
          <w:color w:val="auto"/>
          <w:sz w:val="22"/>
          <w:szCs w:val="22"/>
        </w:rPr>
      </w:pPr>
    </w:p>
    <w:p w14:paraId="0370D207" w14:textId="77777777" w:rsidR="00CD4C52" w:rsidRPr="004E1637" w:rsidRDefault="00CD4C52" w:rsidP="00BE76D5">
      <w:pPr>
        <w:pStyle w:val="Default"/>
        <w:rPr>
          <w:color w:val="auto"/>
          <w:sz w:val="22"/>
          <w:szCs w:val="22"/>
        </w:rPr>
      </w:pPr>
    </w:p>
    <w:p w14:paraId="1A360F7E" w14:textId="77777777" w:rsidR="00BE76D5" w:rsidRPr="004E1637" w:rsidRDefault="00BE76D5" w:rsidP="00CD4C52">
      <w:pPr>
        <w:pStyle w:val="CM100"/>
        <w:ind w:left="567" w:hanging="567"/>
        <w:rPr>
          <w:b/>
          <w:bCs/>
          <w:sz w:val="22"/>
          <w:szCs w:val="22"/>
        </w:rPr>
      </w:pPr>
      <w:r w:rsidRPr="004E1637">
        <w:rPr>
          <w:b/>
          <w:bCs/>
          <w:sz w:val="22"/>
          <w:szCs w:val="22"/>
        </w:rPr>
        <w:t xml:space="preserve">4. </w:t>
      </w:r>
      <w:r w:rsidR="00CD4C52" w:rsidRPr="004E1637">
        <w:rPr>
          <w:b/>
          <w:bCs/>
          <w:sz w:val="22"/>
          <w:szCs w:val="22"/>
        </w:rPr>
        <w:tab/>
      </w:r>
      <w:r w:rsidRPr="004E1637">
        <w:rPr>
          <w:b/>
          <w:bCs/>
          <w:sz w:val="22"/>
          <w:szCs w:val="22"/>
        </w:rPr>
        <w:t xml:space="preserve">KLINICKÉ ÚDAJE </w:t>
      </w:r>
    </w:p>
    <w:p w14:paraId="26FD0A0D" w14:textId="77777777" w:rsidR="00CD4C52" w:rsidRPr="004E1637" w:rsidRDefault="00CD4C52" w:rsidP="00CD4C52">
      <w:pPr>
        <w:pStyle w:val="Default"/>
      </w:pPr>
    </w:p>
    <w:p w14:paraId="54774DD1" w14:textId="77777777" w:rsidR="00CD4C52" w:rsidRPr="004E1637" w:rsidRDefault="00BE76D5" w:rsidP="00CD4C52">
      <w:pPr>
        <w:pStyle w:val="CM100"/>
        <w:ind w:left="567" w:hanging="567"/>
        <w:rPr>
          <w:b/>
          <w:bCs/>
          <w:sz w:val="22"/>
          <w:szCs w:val="22"/>
        </w:rPr>
      </w:pPr>
      <w:r w:rsidRPr="004E1637">
        <w:rPr>
          <w:b/>
          <w:bCs/>
          <w:sz w:val="22"/>
          <w:szCs w:val="22"/>
        </w:rPr>
        <w:t xml:space="preserve">4.1 </w:t>
      </w:r>
      <w:r w:rsidR="00CD4C52" w:rsidRPr="004E1637">
        <w:rPr>
          <w:b/>
          <w:bCs/>
          <w:sz w:val="22"/>
          <w:szCs w:val="22"/>
        </w:rPr>
        <w:tab/>
      </w:r>
      <w:r w:rsidRPr="004E1637">
        <w:rPr>
          <w:b/>
          <w:bCs/>
          <w:sz w:val="22"/>
          <w:szCs w:val="22"/>
        </w:rPr>
        <w:t>Terapeutické indikácie</w:t>
      </w:r>
    </w:p>
    <w:p w14:paraId="7FF1347F" w14:textId="77777777" w:rsidR="00BE76D5" w:rsidRPr="004E1637" w:rsidRDefault="00BE76D5" w:rsidP="00CD4C52">
      <w:pPr>
        <w:pStyle w:val="CM100"/>
        <w:ind w:left="567" w:hanging="567"/>
        <w:rPr>
          <w:sz w:val="22"/>
          <w:szCs w:val="22"/>
        </w:rPr>
      </w:pPr>
      <w:r w:rsidRPr="004E1637">
        <w:rPr>
          <w:b/>
          <w:bCs/>
          <w:sz w:val="22"/>
          <w:szCs w:val="22"/>
        </w:rPr>
        <w:t xml:space="preserve"> </w:t>
      </w:r>
    </w:p>
    <w:p w14:paraId="6377E9B7" w14:textId="3BDEE243" w:rsidR="00BE76D5" w:rsidRPr="004E1637" w:rsidRDefault="00CD4C52" w:rsidP="00BE76D5">
      <w:pPr>
        <w:pStyle w:val="CM2"/>
        <w:spacing w:line="240" w:lineRule="auto"/>
        <w:rPr>
          <w:sz w:val="22"/>
          <w:szCs w:val="22"/>
        </w:rPr>
      </w:pPr>
      <w:r w:rsidRPr="004E1637">
        <w:rPr>
          <w:sz w:val="22"/>
          <w:szCs w:val="22"/>
        </w:rPr>
        <w:t xml:space="preserve">Dasatinib </w:t>
      </w:r>
      <w:r w:rsidR="00BE76D5" w:rsidRPr="004E1637">
        <w:rPr>
          <w:sz w:val="22"/>
          <w:szCs w:val="22"/>
        </w:rPr>
        <w:t xml:space="preserve">je indikovaný na liečbu </w:t>
      </w:r>
      <w:r w:rsidR="00BE76D5" w:rsidRPr="00E71F22">
        <w:rPr>
          <w:b/>
          <w:bCs/>
          <w:sz w:val="22"/>
          <w:szCs w:val="22"/>
        </w:rPr>
        <w:t>dospelých</w:t>
      </w:r>
      <w:r w:rsidR="00BE76D5" w:rsidRPr="004E1637">
        <w:rPr>
          <w:sz w:val="22"/>
          <w:szCs w:val="22"/>
        </w:rPr>
        <w:t xml:space="preserve"> pacientov s: </w:t>
      </w:r>
    </w:p>
    <w:p w14:paraId="646EDA33" w14:textId="52FC190B" w:rsidR="00537322" w:rsidRPr="004E1637" w:rsidRDefault="00BE76D5" w:rsidP="00997BC9">
      <w:pPr>
        <w:pStyle w:val="Default"/>
        <w:numPr>
          <w:ilvl w:val="0"/>
          <w:numId w:val="3"/>
        </w:numPr>
        <w:ind w:left="567" w:hanging="567"/>
        <w:rPr>
          <w:color w:val="auto"/>
          <w:sz w:val="22"/>
          <w:szCs w:val="22"/>
        </w:rPr>
      </w:pPr>
      <w:r w:rsidRPr="004E1637">
        <w:rPr>
          <w:color w:val="auto"/>
          <w:sz w:val="22"/>
          <w:szCs w:val="22"/>
        </w:rPr>
        <w:t>akútnou lymfoblastovou leukémiou (ALL) s</w:t>
      </w:r>
      <w:r w:rsidR="00573376">
        <w:rPr>
          <w:color w:val="auto"/>
          <w:sz w:val="22"/>
          <w:szCs w:val="22"/>
        </w:rPr>
        <w:t> pozitívnym chromozómom Philadelphia</w:t>
      </w:r>
      <w:r w:rsidRPr="004E1637">
        <w:rPr>
          <w:color w:val="auto"/>
          <w:sz w:val="22"/>
          <w:szCs w:val="22"/>
        </w:rPr>
        <w:t xml:space="preserve"> </w:t>
      </w:r>
      <w:r w:rsidR="00573376">
        <w:rPr>
          <w:color w:val="auto"/>
          <w:sz w:val="22"/>
          <w:szCs w:val="22"/>
        </w:rPr>
        <w:t>(</w:t>
      </w:r>
      <w:r w:rsidRPr="004E1637">
        <w:rPr>
          <w:color w:val="auto"/>
          <w:sz w:val="22"/>
          <w:szCs w:val="22"/>
        </w:rPr>
        <w:t>Ph+</w:t>
      </w:r>
      <w:r w:rsidR="00573376">
        <w:rPr>
          <w:color w:val="auto"/>
          <w:sz w:val="22"/>
          <w:szCs w:val="22"/>
        </w:rPr>
        <w:t>)</w:t>
      </w:r>
      <w:r w:rsidR="00875F05">
        <w:rPr>
          <w:color w:val="auto"/>
          <w:sz w:val="22"/>
          <w:szCs w:val="22"/>
        </w:rPr>
        <w:t xml:space="preserve"> </w:t>
      </w:r>
      <w:r w:rsidR="00875F05" w:rsidRPr="004E1637">
        <w:rPr>
          <w:color w:val="auto"/>
          <w:sz w:val="22"/>
          <w:szCs w:val="22"/>
        </w:rPr>
        <w:t>s rezistenciou alebo intoleranciou na predošlú liečbu</w:t>
      </w:r>
      <w:r w:rsidRPr="004E1637">
        <w:rPr>
          <w:color w:val="auto"/>
          <w:sz w:val="22"/>
          <w:szCs w:val="22"/>
        </w:rPr>
        <w:t xml:space="preserve">. </w:t>
      </w:r>
    </w:p>
    <w:p w14:paraId="0BB5D0E4" w14:textId="77777777" w:rsidR="00537322" w:rsidRPr="004E1637" w:rsidRDefault="00537322" w:rsidP="00537322">
      <w:pPr>
        <w:pStyle w:val="Default"/>
        <w:rPr>
          <w:color w:val="auto"/>
          <w:sz w:val="22"/>
          <w:szCs w:val="22"/>
        </w:rPr>
      </w:pPr>
    </w:p>
    <w:p w14:paraId="591B5FB1" w14:textId="7FA7A8A8" w:rsidR="00BE76D5" w:rsidRPr="004E1637" w:rsidRDefault="00537322" w:rsidP="00537322">
      <w:pPr>
        <w:pStyle w:val="Default"/>
        <w:rPr>
          <w:color w:val="auto"/>
          <w:sz w:val="22"/>
          <w:szCs w:val="22"/>
        </w:rPr>
      </w:pPr>
      <w:r w:rsidRPr="004E1637">
        <w:rPr>
          <w:color w:val="auto"/>
          <w:sz w:val="22"/>
          <w:szCs w:val="22"/>
        </w:rPr>
        <w:t>Dasatinib</w:t>
      </w:r>
      <w:r w:rsidR="00E71F22">
        <w:rPr>
          <w:color w:val="auto"/>
          <w:sz w:val="22"/>
          <w:szCs w:val="22"/>
        </w:rPr>
        <w:t xml:space="preserve"> </w:t>
      </w:r>
      <w:r w:rsidR="00BE76D5" w:rsidRPr="004E1637">
        <w:rPr>
          <w:color w:val="auto"/>
          <w:sz w:val="22"/>
          <w:szCs w:val="22"/>
        </w:rPr>
        <w:t xml:space="preserve">je indikovaný na liečbu </w:t>
      </w:r>
      <w:r w:rsidR="00BE76D5" w:rsidRPr="00E71F22">
        <w:rPr>
          <w:b/>
          <w:bCs/>
          <w:color w:val="auto"/>
          <w:sz w:val="22"/>
          <w:szCs w:val="22"/>
        </w:rPr>
        <w:t>pediatrických</w:t>
      </w:r>
      <w:r w:rsidR="00BE76D5" w:rsidRPr="004E1637">
        <w:rPr>
          <w:color w:val="auto"/>
          <w:sz w:val="22"/>
          <w:szCs w:val="22"/>
        </w:rPr>
        <w:t xml:space="preserve"> pacientov s: </w:t>
      </w:r>
    </w:p>
    <w:p w14:paraId="0A32F13B" w14:textId="5BEEEB24" w:rsidR="00BE76D5" w:rsidRPr="004E1637" w:rsidRDefault="00D22C9B" w:rsidP="00997BC9">
      <w:pPr>
        <w:pStyle w:val="Default"/>
        <w:numPr>
          <w:ilvl w:val="0"/>
          <w:numId w:val="3"/>
        </w:numPr>
        <w:ind w:left="567" w:hanging="567"/>
        <w:rPr>
          <w:color w:val="auto"/>
          <w:sz w:val="22"/>
          <w:szCs w:val="22"/>
        </w:rPr>
      </w:pPr>
      <w:r>
        <w:rPr>
          <w:color w:val="auto"/>
          <w:sz w:val="22"/>
          <w:szCs w:val="22"/>
        </w:rPr>
        <w:t>novo</w:t>
      </w:r>
      <w:r w:rsidR="004F37A9">
        <w:rPr>
          <w:color w:val="auto"/>
          <w:sz w:val="22"/>
          <w:szCs w:val="22"/>
        </w:rPr>
        <w:t>diagnostikovaným</w:t>
      </w:r>
      <w:r w:rsidR="00E71F22">
        <w:rPr>
          <w:color w:val="auto"/>
          <w:sz w:val="22"/>
          <w:szCs w:val="22"/>
        </w:rPr>
        <w:t xml:space="preserve"> Ph+ ALL v </w:t>
      </w:r>
      <w:r w:rsidR="00E71F22" w:rsidRPr="00A60B21">
        <w:rPr>
          <w:color w:val="auto"/>
          <w:sz w:val="22"/>
          <w:szCs w:val="22"/>
        </w:rPr>
        <w:t>kombinácii s chemoterapiou.</w:t>
      </w:r>
      <w:r w:rsidR="00BE76D5" w:rsidRPr="004E1637">
        <w:rPr>
          <w:color w:val="auto"/>
          <w:sz w:val="22"/>
          <w:szCs w:val="22"/>
        </w:rPr>
        <w:t xml:space="preserve"> </w:t>
      </w:r>
    </w:p>
    <w:p w14:paraId="5F5D156F" w14:textId="77777777" w:rsidR="00BE76D5" w:rsidRPr="004E1637" w:rsidRDefault="00BE76D5" w:rsidP="00BE76D5">
      <w:pPr>
        <w:pStyle w:val="Default"/>
        <w:rPr>
          <w:color w:val="auto"/>
          <w:sz w:val="22"/>
          <w:szCs w:val="22"/>
        </w:rPr>
      </w:pPr>
    </w:p>
    <w:p w14:paraId="110C3B96" w14:textId="77777777" w:rsidR="00BE76D5" w:rsidRPr="004E1637" w:rsidRDefault="00BE76D5" w:rsidP="00537322">
      <w:pPr>
        <w:pStyle w:val="CM100"/>
        <w:ind w:left="567" w:hanging="567"/>
        <w:rPr>
          <w:b/>
          <w:bCs/>
          <w:sz w:val="22"/>
          <w:szCs w:val="22"/>
        </w:rPr>
      </w:pPr>
      <w:r w:rsidRPr="004E1637">
        <w:rPr>
          <w:b/>
          <w:bCs/>
          <w:sz w:val="22"/>
          <w:szCs w:val="22"/>
        </w:rPr>
        <w:t xml:space="preserve">4.2 </w:t>
      </w:r>
      <w:r w:rsidR="00537322" w:rsidRPr="004E1637">
        <w:rPr>
          <w:b/>
          <w:bCs/>
          <w:sz w:val="22"/>
          <w:szCs w:val="22"/>
        </w:rPr>
        <w:tab/>
      </w:r>
      <w:r w:rsidRPr="004E1637">
        <w:rPr>
          <w:b/>
          <w:bCs/>
          <w:sz w:val="22"/>
          <w:szCs w:val="22"/>
        </w:rPr>
        <w:t xml:space="preserve">Dávkovanie a spôsob podávania </w:t>
      </w:r>
    </w:p>
    <w:p w14:paraId="1D56B16D" w14:textId="77777777" w:rsidR="00537322" w:rsidRPr="004E1637" w:rsidRDefault="00537322" w:rsidP="00537322">
      <w:pPr>
        <w:pStyle w:val="Default"/>
      </w:pPr>
    </w:p>
    <w:p w14:paraId="21E16476" w14:textId="77777777" w:rsidR="00BE76D5" w:rsidRPr="004E1637" w:rsidRDefault="00BE76D5" w:rsidP="00BE76D5">
      <w:pPr>
        <w:pStyle w:val="CM100"/>
        <w:rPr>
          <w:sz w:val="22"/>
          <w:szCs w:val="22"/>
        </w:rPr>
      </w:pPr>
      <w:r w:rsidRPr="004E1637">
        <w:rPr>
          <w:sz w:val="22"/>
          <w:szCs w:val="22"/>
        </w:rPr>
        <w:t xml:space="preserve">Liečbu má začať lekár, ktorý má skúsenosti v diagnostikovaní a liečbe pacientov s leukémiou. </w:t>
      </w:r>
    </w:p>
    <w:p w14:paraId="5ED7CFBE" w14:textId="77777777" w:rsidR="00537322" w:rsidRPr="004E1637" w:rsidRDefault="00537322" w:rsidP="00BE76D5">
      <w:pPr>
        <w:pStyle w:val="CM2"/>
        <w:spacing w:line="240" w:lineRule="auto"/>
        <w:rPr>
          <w:sz w:val="22"/>
          <w:szCs w:val="22"/>
          <w:u w:val="single"/>
        </w:rPr>
      </w:pPr>
    </w:p>
    <w:p w14:paraId="184993CD" w14:textId="77777777" w:rsidR="00BE76D5" w:rsidRPr="004E1637" w:rsidRDefault="00BE76D5" w:rsidP="00BE76D5">
      <w:pPr>
        <w:pStyle w:val="CM2"/>
        <w:spacing w:line="240" w:lineRule="auto"/>
        <w:rPr>
          <w:sz w:val="22"/>
          <w:szCs w:val="22"/>
        </w:rPr>
      </w:pPr>
      <w:r w:rsidRPr="004E1637">
        <w:rPr>
          <w:sz w:val="22"/>
          <w:szCs w:val="22"/>
          <w:u w:val="single"/>
        </w:rPr>
        <w:t>Dávkovanie</w:t>
      </w:r>
      <w:r w:rsidRPr="00C11B8A">
        <w:rPr>
          <w:sz w:val="22"/>
          <w:szCs w:val="22"/>
        </w:rPr>
        <w:t xml:space="preserve"> </w:t>
      </w:r>
    </w:p>
    <w:p w14:paraId="59B7E8E7" w14:textId="77777777" w:rsidR="00537322" w:rsidRPr="004E1637" w:rsidRDefault="00537322" w:rsidP="00BE76D5">
      <w:pPr>
        <w:pStyle w:val="CM2"/>
        <w:spacing w:line="240" w:lineRule="auto"/>
        <w:rPr>
          <w:i/>
          <w:iCs/>
          <w:sz w:val="22"/>
          <w:szCs w:val="22"/>
          <w:u w:val="single"/>
        </w:rPr>
      </w:pPr>
    </w:p>
    <w:p w14:paraId="7F6EC00E" w14:textId="77777777" w:rsidR="00BE76D5" w:rsidRPr="004E1637" w:rsidRDefault="00BE76D5" w:rsidP="00BE76D5">
      <w:pPr>
        <w:pStyle w:val="CM2"/>
        <w:spacing w:line="240" w:lineRule="auto"/>
        <w:rPr>
          <w:sz w:val="22"/>
          <w:szCs w:val="22"/>
        </w:rPr>
      </w:pPr>
      <w:r w:rsidRPr="004E1637">
        <w:rPr>
          <w:i/>
          <w:iCs/>
          <w:sz w:val="22"/>
          <w:szCs w:val="22"/>
          <w:u w:val="single"/>
        </w:rPr>
        <w:t>Dospelí pacienti</w:t>
      </w:r>
      <w:r w:rsidRPr="00C11B8A">
        <w:rPr>
          <w:i/>
          <w:iCs/>
          <w:sz w:val="22"/>
          <w:szCs w:val="22"/>
        </w:rPr>
        <w:t xml:space="preserve"> </w:t>
      </w:r>
    </w:p>
    <w:p w14:paraId="0B438AF2" w14:textId="095D7B30" w:rsidR="00BE76D5" w:rsidRPr="004E1637" w:rsidRDefault="00BE76D5" w:rsidP="00BE76D5">
      <w:pPr>
        <w:pStyle w:val="CM100"/>
        <w:rPr>
          <w:sz w:val="22"/>
          <w:szCs w:val="22"/>
        </w:rPr>
      </w:pPr>
      <w:r w:rsidRPr="004E1637">
        <w:rPr>
          <w:sz w:val="22"/>
          <w:szCs w:val="22"/>
        </w:rPr>
        <w:t xml:space="preserve">Odporúčaná začiatočná dávka </w:t>
      </w:r>
      <w:r w:rsidR="00E068C0">
        <w:rPr>
          <w:sz w:val="22"/>
          <w:szCs w:val="22"/>
        </w:rPr>
        <w:t>pri</w:t>
      </w:r>
      <w:r w:rsidRPr="004E1637">
        <w:rPr>
          <w:sz w:val="22"/>
          <w:szCs w:val="22"/>
        </w:rPr>
        <w:t xml:space="preserve"> Ph+ ALL je 140</w:t>
      </w:r>
      <w:r w:rsidR="00537322" w:rsidRPr="004E1637">
        <w:rPr>
          <w:sz w:val="22"/>
          <w:szCs w:val="22"/>
        </w:rPr>
        <w:t xml:space="preserve"> mg jedenkrát denne (pozri časť</w:t>
      </w:r>
      <w:r w:rsidRPr="004E1637">
        <w:rPr>
          <w:sz w:val="22"/>
          <w:szCs w:val="22"/>
        </w:rPr>
        <w:t xml:space="preserve"> 4.4). </w:t>
      </w:r>
    </w:p>
    <w:p w14:paraId="39361B57" w14:textId="77777777" w:rsidR="00537322" w:rsidRPr="004E1637" w:rsidRDefault="00537322" w:rsidP="00BE76D5">
      <w:pPr>
        <w:pStyle w:val="CM2"/>
        <w:spacing w:line="240" w:lineRule="auto"/>
        <w:rPr>
          <w:i/>
          <w:iCs/>
          <w:sz w:val="22"/>
          <w:szCs w:val="22"/>
          <w:u w:val="single"/>
        </w:rPr>
      </w:pPr>
    </w:p>
    <w:p w14:paraId="6BC39FA3" w14:textId="738CC51E" w:rsidR="00BE76D5" w:rsidRPr="004E1637" w:rsidRDefault="00BE76D5" w:rsidP="00BE76D5">
      <w:pPr>
        <w:pStyle w:val="CM2"/>
        <w:spacing w:line="240" w:lineRule="auto"/>
        <w:rPr>
          <w:sz w:val="22"/>
          <w:szCs w:val="22"/>
        </w:rPr>
      </w:pPr>
      <w:r w:rsidRPr="004E1637">
        <w:rPr>
          <w:i/>
          <w:iCs/>
          <w:sz w:val="22"/>
          <w:szCs w:val="22"/>
          <w:u w:val="single"/>
        </w:rPr>
        <w:t>Pediatrická populácia (</w:t>
      </w:r>
      <w:r w:rsidR="00E71F22">
        <w:rPr>
          <w:i/>
          <w:iCs/>
          <w:sz w:val="22"/>
          <w:szCs w:val="22"/>
          <w:u w:val="single"/>
        </w:rPr>
        <w:t>Ph+ ALL</w:t>
      </w:r>
      <w:r w:rsidRPr="004E1637">
        <w:rPr>
          <w:i/>
          <w:iCs/>
          <w:sz w:val="22"/>
          <w:szCs w:val="22"/>
          <w:u w:val="single"/>
        </w:rPr>
        <w:t xml:space="preserve">) </w:t>
      </w:r>
    </w:p>
    <w:p w14:paraId="4AD0118C" w14:textId="140F8F62" w:rsidR="00570ED6" w:rsidRPr="004E1637" w:rsidRDefault="00537322" w:rsidP="00570ED6">
      <w:pPr>
        <w:pStyle w:val="CM100"/>
        <w:rPr>
          <w:sz w:val="22"/>
          <w:szCs w:val="22"/>
        </w:rPr>
      </w:pPr>
      <w:r w:rsidRPr="004E1637">
        <w:rPr>
          <w:sz w:val="22"/>
          <w:szCs w:val="22"/>
        </w:rPr>
        <w:t>Dávkovanie u detí</w:t>
      </w:r>
      <w:r w:rsidR="00BE76D5" w:rsidRPr="004E1637">
        <w:rPr>
          <w:sz w:val="22"/>
          <w:szCs w:val="22"/>
        </w:rPr>
        <w:t xml:space="preserve"> a dospievajúcich je na základe telesnej hmotnosti (pozri tabuľku 1). Dasatinib sa podáva perorálne jedenkrát denne buď vo forme filmom obalených tabliet alebo prášku na perorálnu </w:t>
      </w:r>
      <w:r w:rsidR="00BE76D5" w:rsidRPr="004E1637">
        <w:rPr>
          <w:sz w:val="22"/>
          <w:szCs w:val="22"/>
        </w:rPr>
        <w:lastRenderedPageBreak/>
        <w:t>suspenziu</w:t>
      </w:r>
      <w:r w:rsidRPr="004E1637">
        <w:rPr>
          <w:sz w:val="22"/>
          <w:szCs w:val="22"/>
        </w:rPr>
        <w:t>.</w:t>
      </w:r>
      <w:r w:rsidR="00BE76D5" w:rsidRPr="004E1637">
        <w:rPr>
          <w:sz w:val="22"/>
          <w:szCs w:val="22"/>
        </w:rPr>
        <w:t xml:space="preserve"> Dávka sa má na základe zmien v telesnej hmotnosti prepočítať každé 3 mesiace alebo, ak je to potrebné, častejšie. Tableta sa neodporúča pre pacientov vážiacich menej ako 10 kg; u týchto pacientov sa má použiť prášok na perorálnu suspenziu. Zvýšenie alebo zníženie dávky sa odporúča na základe individuálnej reakcie pacienta a znášanlivosti. U detí vo veku do 1 roka nie sú žiadne skúsenosti s liečbou </w:t>
      </w:r>
      <w:r w:rsidR="00E71F22">
        <w:rPr>
          <w:sz w:val="22"/>
          <w:szCs w:val="22"/>
        </w:rPr>
        <w:t>d</w:t>
      </w:r>
      <w:r w:rsidRPr="004E1637">
        <w:rPr>
          <w:sz w:val="22"/>
          <w:szCs w:val="22"/>
        </w:rPr>
        <w:t>asatinibom</w:t>
      </w:r>
      <w:r w:rsidR="00E71F22">
        <w:rPr>
          <w:sz w:val="22"/>
          <w:szCs w:val="22"/>
        </w:rPr>
        <w:t>.</w:t>
      </w:r>
      <w:r w:rsidR="00BE76D5" w:rsidRPr="004E1637">
        <w:rPr>
          <w:sz w:val="22"/>
          <w:szCs w:val="22"/>
        </w:rPr>
        <w:t xml:space="preserve"> </w:t>
      </w:r>
    </w:p>
    <w:p w14:paraId="2B3DFFE7" w14:textId="77777777" w:rsidR="00570ED6" w:rsidRPr="004E1637" w:rsidRDefault="00570ED6" w:rsidP="00570ED6">
      <w:pPr>
        <w:pStyle w:val="CM100"/>
        <w:rPr>
          <w:sz w:val="22"/>
          <w:szCs w:val="22"/>
        </w:rPr>
      </w:pPr>
    </w:p>
    <w:p w14:paraId="048F04CF" w14:textId="71191C60" w:rsidR="00BE76D5" w:rsidRPr="004E1637" w:rsidRDefault="00CC20BD" w:rsidP="00570ED6">
      <w:pPr>
        <w:pStyle w:val="CM100"/>
        <w:rPr>
          <w:sz w:val="22"/>
          <w:szCs w:val="22"/>
        </w:rPr>
      </w:pPr>
      <w:r>
        <w:rPr>
          <w:sz w:val="22"/>
          <w:szCs w:val="22"/>
        </w:rPr>
        <w:t>F</w:t>
      </w:r>
      <w:r w:rsidR="00BE76D5" w:rsidRPr="004E1637">
        <w:rPr>
          <w:sz w:val="22"/>
          <w:szCs w:val="22"/>
        </w:rPr>
        <w:t>ilmom obalené tablety a prášok na perorálnu suspenziu</w:t>
      </w:r>
      <w:r>
        <w:rPr>
          <w:sz w:val="22"/>
          <w:szCs w:val="22"/>
        </w:rPr>
        <w:t xml:space="preserve"> s obsahom dasatinibu</w:t>
      </w:r>
      <w:r w:rsidR="00BE76D5" w:rsidRPr="004E1637">
        <w:rPr>
          <w:sz w:val="22"/>
          <w:szCs w:val="22"/>
        </w:rPr>
        <w:t xml:space="preserve"> nie sú bioekvivalentné. Pacienti, ktorí sú schopní tablety prehĺtať a</w:t>
      </w:r>
      <w:r w:rsidR="00537322" w:rsidRPr="004E1637">
        <w:rPr>
          <w:sz w:val="22"/>
          <w:szCs w:val="22"/>
        </w:rPr>
        <w:t xml:space="preserve"> želajú si </w:t>
      </w:r>
      <w:r w:rsidR="00E808A9">
        <w:rPr>
          <w:sz w:val="22"/>
          <w:szCs w:val="22"/>
        </w:rPr>
        <w:t>zmenu</w:t>
      </w:r>
      <w:r w:rsidR="00537322" w:rsidRPr="004E1637">
        <w:rPr>
          <w:sz w:val="22"/>
          <w:szCs w:val="22"/>
        </w:rPr>
        <w:t xml:space="preserve"> liečby z</w:t>
      </w:r>
      <w:r w:rsidR="00BE76D5" w:rsidRPr="004E1637">
        <w:rPr>
          <w:sz w:val="22"/>
          <w:szCs w:val="22"/>
        </w:rPr>
        <w:t xml:space="preserve"> prášku na perorálnu suspenziu na tablety</w:t>
      </w:r>
      <w:r>
        <w:rPr>
          <w:sz w:val="22"/>
          <w:szCs w:val="22"/>
        </w:rPr>
        <w:t xml:space="preserve"> s obsahom dasatinibu</w:t>
      </w:r>
      <w:r w:rsidR="00BE76D5" w:rsidRPr="004E1637">
        <w:rPr>
          <w:sz w:val="22"/>
          <w:szCs w:val="22"/>
        </w:rPr>
        <w:t xml:space="preserve"> alebo pacienti, ktorí nie sú schopní tablety prehĺtať a želajú si </w:t>
      </w:r>
      <w:r w:rsidR="00C10BD3">
        <w:rPr>
          <w:sz w:val="22"/>
          <w:szCs w:val="22"/>
        </w:rPr>
        <w:t>zmenu</w:t>
      </w:r>
      <w:r w:rsidR="00BE76D5" w:rsidRPr="004E1637">
        <w:rPr>
          <w:sz w:val="22"/>
          <w:szCs w:val="22"/>
        </w:rPr>
        <w:t xml:space="preserve"> liečby z tabliet na perorálnu suspenziu, tak môžu spraviť pod podmienkou, že sa dodržia odporúčania správneho dávkovania pre liekovú formu. </w:t>
      </w:r>
    </w:p>
    <w:p w14:paraId="7DB81C0A" w14:textId="77777777" w:rsidR="00537322" w:rsidRPr="004E1637" w:rsidRDefault="00537322" w:rsidP="00BE76D5">
      <w:pPr>
        <w:pStyle w:val="CM100"/>
        <w:rPr>
          <w:sz w:val="22"/>
          <w:szCs w:val="22"/>
        </w:rPr>
      </w:pPr>
    </w:p>
    <w:p w14:paraId="1B18973B" w14:textId="45462970" w:rsidR="00BE76D5" w:rsidRPr="004E1637" w:rsidRDefault="00BE76D5" w:rsidP="00BE76D5">
      <w:pPr>
        <w:pStyle w:val="CM100"/>
        <w:rPr>
          <w:sz w:val="22"/>
          <w:szCs w:val="22"/>
        </w:rPr>
      </w:pPr>
      <w:r w:rsidRPr="004E1637">
        <w:rPr>
          <w:sz w:val="22"/>
          <w:szCs w:val="22"/>
        </w:rPr>
        <w:t xml:space="preserve">Odporúčané začiatočné denné dávkovanie tabliet </w:t>
      </w:r>
      <w:r w:rsidR="00D61F65">
        <w:rPr>
          <w:sz w:val="22"/>
          <w:szCs w:val="22"/>
        </w:rPr>
        <w:t>d</w:t>
      </w:r>
      <w:r w:rsidR="00537322" w:rsidRPr="004E1637">
        <w:rPr>
          <w:sz w:val="22"/>
          <w:szCs w:val="22"/>
        </w:rPr>
        <w:t xml:space="preserve">asatinibu </w:t>
      </w:r>
      <w:r w:rsidRPr="004E1637">
        <w:rPr>
          <w:sz w:val="22"/>
          <w:szCs w:val="22"/>
        </w:rPr>
        <w:t xml:space="preserve">pre pediatrických pacientov je uvedené v tabuľke 1. </w:t>
      </w:r>
    </w:p>
    <w:p w14:paraId="196E85FB" w14:textId="77777777" w:rsidR="00537322" w:rsidRPr="004E1637" w:rsidRDefault="00537322" w:rsidP="00537322">
      <w:pPr>
        <w:pStyle w:val="Default"/>
      </w:pPr>
    </w:p>
    <w:p w14:paraId="4016B5F7" w14:textId="7A73157E" w:rsidR="00BE76D5" w:rsidRPr="004E1637" w:rsidRDefault="00BE76D5" w:rsidP="00537322">
      <w:pPr>
        <w:pStyle w:val="Default"/>
        <w:rPr>
          <w:color w:val="auto"/>
          <w:sz w:val="22"/>
          <w:szCs w:val="22"/>
        </w:rPr>
      </w:pPr>
      <w:r w:rsidRPr="004E1637">
        <w:rPr>
          <w:b/>
          <w:bCs/>
          <w:color w:val="auto"/>
          <w:sz w:val="22"/>
          <w:szCs w:val="22"/>
        </w:rPr>
        <w:t xml:space="preserve">Tabuľka 1: Dávkovanie tabliet </w:t>
      </w:r>
      <w:r w:rsidR="00D61F65">
        <w:rPr>
          <w:b/>
          <w:bCs/>
          <w:color w:val="auto"/>
          <w:sz w:val="22"/>
          <w:szCs w:val="22"/>
        </w:rPr>
        <w:t>d</w:t>
      </w:r>
      <w:r w:rsidR="00537322" w:rsidRPr="004E1637">
        <w:rPr>
          <w:b/>
          <w:bCs/>
          <w:color w:val="auto"/>
          <w:sz w:val="22"/>
          <w:szCs w:val="22"/>
        </w:rPr>
        <w:t xml:space="preserve">asatinibu </w:t>
      </w:r>
      <w:r w:rsidRPr="004E1637">
        <w:rPr>
          <w:b/>
          <w:bCs/>
          <w:color w:val="auto"/>
          <w:sz w:val="22"/>
          <w:szCs w:val="22"/>
        </w:rPr>
        <w:t xml:space="preserve">pre pediatrických pacientov s </w:t>
      </w:r>
      <w:r w:rsidR="00D61F65">
        <w:rPr>
          <w:b/>
          <w:bCs/>
          <w:color w:val="auto"/>
          <w:sz w:val="22"/>
          <w:szCs w:val="22"/>
        </w:rPr>
        <w:t>Ph+ ALL</w:t>
      </w:r>
      <w:r w:rsidRPr="004E1637">
        <w:rPr>
          <w:b/>
          <w:bCs/>
          <w:color w:val="auto"/>
          <w:sz w:val="22"/>
          <w:szCs w:val="22"/>
        </w:rPr>
        <w:t xml:space="preserve"> </w:t>
      </w:r>
    </w:p>
    <w:p w14:paraId="424F9F05" w14:textId="77777777" w:rsidR="00537322" w:rsidRPr="004E1637" w:rsidRDefault="00537322" w:rsidP="00537322">
      <w:pPr>
        <w:spacing w:after="0" w:line="240" w:lineRule="auto"/>
        <w:rPr>
          <w:rFonts w:ascii="Times New Roman" w:hAnsi="Times New Roman"/>
          <w:b/>
          <w:bCs/>
          <w:u w:val="single"/>
        </w:rPr>
      </w:pPr>
    </w:p>
    <w:tbl>
      <w:tblPr>
        <w:tblW w:w="0" w:type="auto"/>
        <w:tblBorders>
          <w:top w:val="single" w:sz="4" w:space="0" w:color="auto"/>
          <w:bottom w:val="single" w:sz="4" w:space="0" w:color="auto"/>
        </w:tblBorders>
        <w:tblLook w:val="04A0" w:firstRow="1" w:lastRow="0" w:firstColumn="1" w:lastColumn="0" w:noHBand="0" w:noVBand="1"/>
      </w:tblPr>
      <w:tblGrid>
        <w:gridCol w:w="4540"/>
        <w:gridCol w:w="4531"/>
      </w:tblGrid>
      <w:tr w:rsidR="00537322" w:rsidRPr="004E1637" w14:paraId="73BD45AA" w14:textId="77777777" w:rsidTr="00D61F65">
        <w:tc>
          <w:tcPr>
            <w:tcW w:w="4643" w:type="dxa"/>
            <w:tcBorders>
              <w:top w:val="single" w:sz="4" w:space="0" w:color="auto"/>
              <w:bottom w:val="single" w:sz="4" w:space="0" w:color="auto"/>
            </w:tcBorders>
          </w:tcPr>
          <w:p w14:paraId="039457F0" w14:textId="77777777" w:rsidR="00537322" w:rsidRPr="004E1637" w:rsidRDefault="00537322" w:rsidP="00537322">
            <w:pPr>
              <w:spacing w:after="0" w:line="240" w:lineRule="auto"/>
              <w:jc w:val="center"/>
              <w:rPr>
                <w:rFonts w:ascii="Times New Roman" w:hAnsi="Times New Roman"/>
                <w:b/>
                <w:bCs/>
                <w:u w:val="single"/>
              </w:rPr>
            </w:pPr>
            <w:r w:rsidRPr="004E1637">
              <w:rPr>
                <w:rFonts w:ascii="Times New Roman" w:hAnsi="Times New Roman"/>
                <w:b/>
                <w:bCs/>
              </w:rPr>
              <w:t>Telesná hmot</w:t>
            </w:r>
            <w:r w:rsidR="009F4035" w:rsidRPr="004E1637">
              <w:rPr>
                <w:rFonts w:ascii="Times New Roman" w:hAnsi="Times New Roman"/>
                <w:b/>
                <w:bCs/>
              </w:rPr>
              <w:t>n</w:t>
            </w:r>
            <w:r w:rsidRPr="004E1637">
              <w:rPr>
                <w:rFonts w:ascii="Times New Roman" w:hAnsi="Times New Roman"/>
                <w:b/>
                <w:bCs/>
              </w:rPr>
              <w:t>osť (kg)</w:t>
            </w:r>
            <w:r w:rsidRPr="004E1637">
              <w:rPr>
                <w:rFonts w:ascii="Times New Roman" w:hAnsi="Times New Roman"/>
                <w:b/>
                <w:bCs/>
                <w:vertAlign w:val="superscript"/>
              </w:rPr>
              <w:t>a</w:t>
            </w:r>
          </w:p>
        </w:tc>
        <w:tc>
          <w:tcPr>
            <w:tcW w:w="4644" w:type="dxa"/>
            <w:tcBorders>
              <w:top w:val="single" w:sz="4" w:space="0" w:color="auto"/>
              <w:bottom w:val="single" w:sz="4" w:space="0" w:color="auto"/>
            </w:tcBorders>
          </w:tcPr>
          <w:p w14:paraId="6CFE52D9" w14:textId="77777777" w:rsidR="00537322" w:rsidRPr="004E1637" w:rsidRDefault="00537322" w:rsidP="00537322">
            <w:pPr>
              <w:spacing w:after="0" w:line="240" w:lineRule="auto"/>
              <w:jc w:val="center"/>
              <w:rPr>
                <w:rFonts w:ascii="Times New Roman" w:hAnsi="Times New Roman"/>
                <w:b/>
                <w:bCs/>
              </w:rPr>
            </w:pPr>
            <w:r w:rsidRPr="004E1637">
              <w:rPr>
                <w:rFonts w:ascii="Times New Roman" w:hAnsi="Times New Roman"/>
                <w:b/>
                <w:bCs/>
              </w:rPr>
              <w:t>Denná dávka (mg)</w:t>
            </w:r>
          </w:p>
        </w:tc>
      </w:tr>
      <w:tr w:rsidR="00537322" w:rsidRPr="004E1637" w14:paraId="4F565915" w14:textId="77777777" w:rsidTr="00D61F65">
        <w:tc>
          <w:tcPr>
            <w:tcW w:w="4643" w:type="dxa"/>
            <w:tcBorders>
              <w:top w:val="single" w:sz="4" w:space="0" w:color="auto"/>
            </w:tcBorders>
          </w:tcPr>
          <w:p w14:paraId="3F268E42"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10 až menej ako 20 kg</w:t>
            </w:r>
          </w:p>
        </w:tc>
        <w:tc>
          <w:tcPr>
            <w:tcW w:w="4644" w:type="dxa"/>
            <w:tcBorders>
              <w:top w:val="single" w:sz="4" w:space="0" w:color="auto"/>
            </w:tcBorders>
          </w:tcPr>
          <w:p w14:paraId="452C4B6C"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40 mg</w:t>
            </w:r>
          </w:p>
        </w:tc>
      </w:tr>
      <w:tr w:rsidR="00537322" w:rsidRPr="004E1637" w14:paraId="037F9A01" w14:textId="77777777" w:rsidTr="00D61F65">
        <w:tc>
          <w:tcPr>
            <w:tcW w:w="4643" w:type="dxa"/>
          </w:tcPr>
          <w:p w14:paraId="3EA45538"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20 až menej ako 30 kg</w:t>
            </w:r>
          </w:p>
        </w:tc>
        <w:tc>
          <w:tcPr>
            <w:tcW w:w="4644" w:type="dxa"/>
          </w:tcPr>
          <w:p w14:paraId="41660FF9"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60 mg</w:t>
            </w:r>
          </w:p>
        </w:tc>
      </w:tr>
      <w:tr w:rsidR="00537322" w:rsidRPr="004E1637" w14:paraId="3F14E52A" w14:textId="77777777" w:rsidTr="00D61F65">
        <w:tc>
          <w:tcPr>
            <w:tcW w:w="4643" w:type="dxa"/>
          </w:tcPr>
          <w:p w14:paraId="5143C3F9"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30 až menej ako 45 kg</w:t>
            </w:r>
          </w:p>
        </w:tc>
        <w:tc>
          <w:tcPr>
            <w:tcW w:w="4644" w:type="dxa"/>
          </w:tcPr>
          <w:p w14:paraId="2FC1F65C"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70 mg</w:t>
            </w:r>
          </w:p>
        </w:tc>
      </w:tr>
      <w:tr w:rsidR="00537322" w:rsidRPr="004E1637" w14:paraId="54021DDF" w14:textId="77777777" w:rsidTr="00D61F65">
        <w:tc>
          <w:tcPr>
            <w:tcW w:w="4643" w:type="dxa"/>
          </w:tcPr>
          <w:p w14:paraId="1FA84983"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Minimálne 45 kg</w:t>
            </w:r>
          </w:p>
        </w:tc>
        <w:tc>
          <w:tcPr>
            <w:tcW w:w="4644" w:type="dxa"/>
          </w:tcPr>
          <w:p w14:paraId="1618E47C" w14:textId="77777777" w:rsidR="00537322" w:rsidRPr="004E1637" w:rsidRDefault="00537322" w:rsidP="00537322">
            <w:pPr>
              <w:spacing w:after="0" w:line="240" w:lineRule="auto"/>
              <w:jc w:val="center"/>
              <w:rPr>
                <w:rFonts w:ascii="Times New Roman" w:hAnsi="Times New Roman"/>
              </w:rPr>
            </w:pPr>
            <w:r w:rsidRPr="004E1637">
              <w:rPr>
                <w:rFonts w:ascii="Times New Roman" w:hAnsi="Times New Roman"/>
              </w:rPr>
              <w:t>100 mg</w:t>
            </w:r>
          </w:p>
        </w:tc>
      </w:tr>
    </w:tbl>
    <w:p w14:paraId="7040D005" w14:textId="77777777" w:rsidR="00BE76D5" w:rsidRPr="004F37A9" w:rsidRDefault="00F22DFA" w:rsidP="007B3195">
      <w:pPr>
        <w:pStyle w:val="CM100"/>
        <w:tabs>
          <w:tab w:val="left" w:pos="142"/>
          <w:tab w:val="left" w:pos="426"/>
        </w:tabs>
        <w:rPr>
          <w:sz w:val="18"/>
          <w:szCs w:val="18"/>
        </w:rPr>
      </w:pPr>
      <w:r w:rsidRPr="004F37A9">
        <w:rPr>
          <w:sz w:val="18"/>
          <w:szCs w:val="18"/>
          <w:vertAlign w:val="superscript"/>
        </w:rPr>
        <w:t>a</w:t>
      </w:r>
      <w:r w:rsidR="007B3195" w:rsidRPr="004F37A9">
        <w:rPr>
          <w:sz w:val="18"/>
          <w:szCs w:val="18"/>
          <w:vertAlign w:val="superscript"/>
        </w:rPr>
        <w:tab/>
      </w:r>
      <w:r w:rsidR="00BE76D5" w:rsidRPr="004F37A9">
        <w:rPr>
          <w:sz w:val="18"/>
          <w:szCs w:val="18"/>
        </w:rPr>
        <w:t xml:space="preserve">Tableta sa neodporúča pre pacientov vážiacich menej ako 10 kg; u týchto pacientov sa má použiť prášok na perorálnu suspenziu. </w:t>
      </w:r>
    </w:p>
    <w:p w14:paraId="0179521F" w14:textId="77777777" w:rsidR="00F22DFA" w:rsidRPr="004E1637" w:rsidRDefault="00F22DFA" w:rsidP="00BE76D5">
      <w:pPr>
        <w:pStyle w:val="CM2"/>
        <w:spacing w:line="240" w:lineRule="auto"/>
        <w:rPr>
          <w:i/>
          <w:iCs/>
          <w:sz w:val="22"/>
          <w:szCs w:val="22"/>
          <w:u w:val="single"/>
        </w:rPr>
      </w:pPr>
    </w:p>
    <w:p w14:paraId="26501DF2" w14:textId="77777777" w:rsidR="00BE76D5" w:rsidRPr="004E1637" w:rsidRDefault="00BE76D5" w:rsidP="00BE76D5">
      <w:pPr>
        <w:pStyle w:val="CM2"/>
        <w:spacing w:line="240" w:lineRule="auto"/>
        <w:rPr>
          <w:sz w:val="22"/>
          <w:szCs w:val="22"/>
        </w:rPr>
      </w:pPr>
      <w:r w:rsidRPr="004E1637">
        <w:rPr>
          <w:i/>
          <w:iCs/>
          <w:sz w:val="22"/>
          <w:szCs w:val="22"/>
          <w:u w:val="single"/>
        </w:rPr>
        <w:t>Trvanie liečby</w:t>
      </w:r>
      <w:r w:rsidRPr="00C11B8A">
        <w:rPr>
          <w:i/>
          <w:iCs/>
          <w:sz w:val="22"/>
          <w:szCs w:val="22"/>
        </w:rPr>
        <w:t xml:space="preserve"> </w:t>
      </w:r>
    </w:p>
    <w:p w14:paraId="6A99869C" w14:textId="6A65CA03" w:rsidR="00BE76D5" w:rsidRPr="004E1637" w:rsidRDefault="00BE76D5" w:rsidP="00BE76D5">
      <w:pPr>
        <w:pStyle w:val="CM100"/>
        <w:rPr>
          <w:sz w:val="22"/>
          <w:szCs w:val="22"/>
        </w:rPr>
      </w:pPr>
      <w:r w:rsidRPr="004E1637">
        <w:rPr>
          <w:sz w:val="22"/>
          <w:szCs w:val="22"/>
        </w:rPr>
        <w:t>V klinických štúdiách s</w:t>
      </w:r>
      <w:r w:rsidR="004F37A9">
        <w:rPr>
          <w:sz w:val="22"/>
          <w:szCs w:val="22"/>
        </w:rPr>
        <w:t> </w:t>
      </w:r>
      <w:r w:rsidRPr="004E1637">
        <w:rPr>
          <w:sz w:val="22"/>
          <w:szCs w:val="22"/>
        </w:rPr>
        <w:t>dospelými</w:t>
      </w:r>
      <w:r w:rsidR="004F37A9">
        <w:rPr>
          <w:sz w:val="22"/>
          <w:szCs w:val="22"/>
        </w:rPr>
        <w:t xml:space="preserve"> s Ph+ ALL </w:t>
      </w:r>
      <w:r w:rsidRPr="004E1637">
        <w:rPr>
          <w:sz w:val="22"/>
          <w:szCs w:val="22"/>
        </w:rPr>
        <w:t xml:space="preserve">sa v liečbe </w:t>
      </w:r>
      <w:r w:rsidR="00B60EC9" w:rsidRPr="004E1637">
        <w:rPr>
          <w:sz w:val="22"/>
          <w:szCs w:val="22"/>
        </w:rPr>
        <w:t xml:space="preserve">s dasatinibom </w:t>
      </w:r>
      <w:r w:rsidRPr="004E1637">
        <w:rPr>
          <w:sz w:val="22"/>
          <w:szCs w:val="22"/>
        </w:rPr>
        <w:t>pokračovalo</w:t>
      </w:r>
      <w:r w:rsidR="00B60EC9" w:rsidRPr="004E1637">
        <w:rPr>
          <w:sz w:val="22"/>
          <w:szCs w:val="22"/>
        </w:rPr>
        <w:t xml:space="preserve"> </w:t>
      </w:r>
      <w:r w:rsidRPr="004E1637">
        <w:rPr>
          <w:sz w:val="22"/>
          <w:szCs w:val="22"/>
        </w:rPr>
        <w:t>až do progresie ochorenia alebo až dovtedy, kým</w:t>
      </w:r>
      <w:r w:rsidR="000F7AB1">
        <w:rPr>
          <w:sz w:val="22"/>
          <w:szCs w:val="22"/>
        </w:rPr>
        <w:t> </w:t>
      </w:r>
      <w:r w:rsidRPr="004E1637">
        <w:rPr>
          <w:sz w:val="22"/>
          <w:szCs w:val="22"/>
        </w:rPr>
        <w:t>pacient</w:t>
      </w:r>
      <w:r w:rsidR="000F7AB1">
        <w:rPr>
          <w:sz w:val="22"/>
          <w:szCs w:val="22"/>
        </w:rPr>
        <w:t xml:space="preserve"> ešte toleroval liečbu.</w:t>
      </w:r>
      <w:r w:rsidRPr="004E1637">
        <w:rPr>
          <w:sz w:val="22"/>
          <w:szCs w:val="22"/>
        </w:rPr>
        <w:t xml:space="preserve"> Účinok ukončenia liečby na dlhodobý výsledok ochorenia po dosiahnutí cytogenetick</w:t>
      </w:r>
      <w:r w:rsidR="00B60EC9" w:rsidRPr="004E1637">
        <w:rPr>
          <w:sz w:val="22"/>
          <w:szCs w:val="22"/>
        </w:rPr>
        <w:t>ej alebo molekulárnej odpovede [</w:t>
      </w:r>
      <w:r w:rsidRPr="004E1637">
        <w:rPr>
          <w:sz w:val="22"/>
          <w:szCs w:val="22"/>
        </w:rPr>
        <w:t>vrátane úplnej cytogenetickej odpovede (complete cytogenetic response, CCyR), veľkej molekulárnej odpovede (major m</w:t>
      </w:r>
      <w:r w:rsidR="00B60EC9" w:rsidRPr="004E1637">
        <w:rPr>
          <w:sz w:val="22"/>
          <w:szCs w:val="22"/>
        </w:rPr>
        <w:t>olecular response, MMR) a MR4.5]</w:t>
      </w:r>
      <w:r w:rsidRPr="004E1637">
        <w:rPr>
          <w:sz w:val="22"/>
          <w:szCs w:val="22"/>
        </w:rPr>
        <w:t xml:space="preserve"> sa neskúmal. </w:t>
      </w:r>
    </w:p>
    <w:p w14:paraId="1ECDEEC5" w14:textId="0E261D62" w:rsidR="00B60EC9" w:rsidRDefault="00B60EC9" w:rsidP="00B60EC9">
      <w:pPr>
        <w:pStyle w:val="Default"/>
      </w:pPr>
    </w:p>
    <w:p w14:paraId="56577385" w14:textId="42F7AE46" w:rsidR="004F37A9" w:rsidRPr="004F37A9" w:rsidRDefault="004F37A9" w:rsidP="004F37A9">
      <w:pPr>
        <w:pStyle w:val="Default"/>
        <w:rPr>
          <w:sz w:val="22"/>
          <w:szCs w:val="22"/>
        </w:rPr>
      </w:pPr>
      <w:r w:rsidRPr="004F37A9">
        <w:rPr>
          <w:sz w:val="22"/>
          <w:szCs w:val="22"/>
        </w:rPr>
        <w:t xml:space="preserve">V klinických štúdiách sa liečba </w:t>
      </w:r>
      <w:r>
        <w:rPr>
          <w:sz w:val="22"/>
          <w:szCs w:val="22"/>
        </w:rPr>
        <w:t>dasatinibom</w:t>
      </w:r>
      <w:r w:rsidRPr="004F37A9">
        <w:rPr>
          <w:sz w:val="22"/>
          <w:szCs w:val="22"/>
        </w:rPr>
        <w:t xml:space="preserve"> u pediatrických pacientov s Ph+</w:t>
      </w:r>
      <w:r>
        <w:rPr>
          <w:sz w:val="22"/>
          <w:szCs w:val="22"/>
        </w:rPr>
        <w:t xml:space="preserve"> ALL</w:t>
      </w:r>
      <w:r w:rsidRPr="004F37A9">
        <w:rPr>
          <w:sz w:val="22"/>
          <w:szCs w:val="22"/>
        </w:rPr>
        <w:t xml:space="preserve"> podávala</w:t>
      </w:r>
    </w:p>
    <w:p w14:paraId="73F7A7F4" w14:textId="77777777" w:rsidR="004F37A9" w:rsidRPr="004F37A9" w:rsidRDefault="004F37A9" w:rsidP="004F37A9">
      <w:pPr>
        <w:pStyle w:val="Default"/>
        <w:rPr>
          <w:sz w:val="22"/>
          <w:szCs w:val="22"/>
        </w:rPr>
      </w:pPr>
      <w:r w:rsidRPr="004F37A9">
        <w:rPr>
          <w:sz w:val="22"/>
          <w:szCs w:val="22"/>
        </w:rPr>
        <w:t>nepretržite, pridala sa k za sebou idúcim blokom základnej chemoterapie s maximálnym trvaním</w:t>
      </w:r>
    </w:p>
    <w:p w14:paraId="7EF33865" w14:textId="5DCD6DA7" w:rsidR="004F37A9" w:rsidRPr="004F37A9" w:rsidRDefault="004F37A9" w:rsidP="004F37A9">
      <w:pPr>
        <w:pStyle w:val="Default"/>
        <w:rPr>
          <w:sz w:val="22"/>
          <w:szCs w:val="22"/>
        </w:rPr>
      </w:pPr>
      <w:r w:rsidRPr="004F37A9">
        <w:rPr>
          <w:sz w:val="22"/>
          <w:szCs w:val="22"/>
        </w:rPr>
        <w:t xml:space="preserve">dvoch rokov. U pacientov, ktorí podstúpia následnú transplantáciu kmeňových buniek, sa </w:t>
      </w:r>
      <w:r>
        <w:rPr>
          <w:sz w:val="22"/>
          <w:szCs w:val="22"/>
        </w:rPr>
        <w:t>dasatinib</w:t>
      </w:r>
    </w:p>
    <w:p w14:paraId="6741E09C" w14:textId="2380DA72" w:rsidR="004F37A9" w:rsidRDefault="004F37A9" w:rsidP="004F37A9">
      <w:pPr>
        <w:pStyle w:val="Default"/>
        <w:rPr>
          <w:sz w:val="22"/>
          <w:szCs w:val="22"/>
        </w:rPr>
      </w:pPr>
      <w:r w:rsidRPr="004F37A9">
        <w:rPr>
          <w:sz w:val="22"/>
          <w:szCs w:val="22"/>
        </w:rPr>
        <w:t>môže podávať počas ďalšieho roka po transplantácii.</w:t>
      </w:r>
    </w:p>
    <w:p w14:paraId="21490741" w14:textId="77777777" w:rsidR="004F37A9" w:rsidRPr="004F37A9" w:rsidRDefault="004F37A9" w:rsidP="004F37A9">
      <w:pPr>
        <w:pStyle w:val="Default"/>
        <w:rPr>
          <w:sz w:val="22"/>
          <w:szCs w:val="22"/>
        </w:rPr>
      </w:pPr>
    </w:p>
    <w:p w14:paraId="5D4DC080" w14:textId="502C5D2E" w:rsidR="00B60EC9" w:rsidRPr="004E1637" w:rsidRDefault="00BE76D5" w:rsidP="00BE76D5">
      <w:pPr>
        <w:pStyle w:val="CM100"/>
        <w:rPr>
          <w:sz w:val="22"/>
          <w:szCs w:val="22"/>
        </w:rPr>
      </w:pPr>
      <w:r w:rsidRPr="004E1637">
        <w:rPr>
          <w:sz w:val="22"/>
          <w:szCs w:val="22"/>
        </w:rPr>
        <w:t xml:space="preserve">Na dosiahnutie odporúčanej dávky je </w:t>
      </w:r>
      <w:r w:rsidR="004F37A9">
        <w:rPr>
          <w:sz w:val="22"/>
          <w:szCs w:val="22"/>
        </w:rPr>
        <w:t>d</w:t>
      </w:r>
      <w:r w:rsidR="00B60EC9" w:rsidRPr="004E1637">
        <w:rPr>
          <w:sz w:val="22"/>
          <w:szCs w:val="22"/>
        </w:rPr>
        <w:t xml:space="preserve">asatinib </w:t>
      </w:r>
      <w:r w:rsidRPr="004E1637">
        <w:rPr>
          <w:sz w:val="22"/>
          <w:szCs w:val="22"/>
        </w:rPr>
        <w:t>dostupn</w:t>
      </w:r>
      <w:r w:rsidR="00B60EC9" w:rsidRPr="004E1637">
        <w:rPr>
          <w:sz w:val="22"/>
          <w:szCs w:val="22"/>
        </w:rPr>
        <w:t xml:space="preserve">ý ako </w:t>
      </w:r>
      <w:r w:rsidR="004F37A9">
        <w:rPr>
          <w:sz w:val="22"/>
          <w:szCs w:val="22"/>
        </w:rPr>
        <w:t xml:space="preserve">20 mg, </w:t>
      </w:r>
      <w:r w:rsidR="004E1637">
        <w:rPr>
          <w:sz w:val="22"/>
          <w:szCs w:val="22"/>
        </w:rPr>
        <w:t>50 mg, 70 mg</w:t>
      </w:r>
      <w:r w:rsidR="004F37A9">
        <w:rPr>
          <w:sz w:val="22"/>
          <w:szCs w:val="22"/>
        </w:rPr>
        <w:t>, 80 mg,</w:t>
      </w:r>
      <w:r w:rsidRPr="004E1637">
        <w:rPr>
          <w:sz w:val="22"/>
          <w:szCs w:val="22"/>
        </w:rPr>
        <w:t xml:space="preserve"> 100 mg</w:t>
      </w:r>
      <w:r w:rsidR="004F37A9">
        <w:rPr>
          <w:sz w:val="22"/>
          <w:szCs w:val="22"/>
        </w:rPr>
        <w:t xml:space="preserve"> a 140 mg</w:t>
      </w:r>
      <w:r w:rsidRPr="004E1637">
        <w:rPr>
          <w:sz w:val="22"/>
          <w:szCs w:val="22"/>
        </w:rPr>
        <w:t xml:space="preserve"> filmom obalené tablety</w:t>
      </w:r>
      <w:r w:rsidR="00B60EC9" w:rsidRPr="004E1637">
        <w:rPr>
          <w:sz w:val="22"/>
          <w:szCs w:val="22"/>
        </w:rPr>
        <w:t>, alebo vo forme práš</w:t>
      </w:r>
      <w:r w:rsidRPr="004E1637">
        <w:rPr>
          <w:sz w:val="22"/>
          <w:szCs w:val="22"/>
        </w:rPr>
        <w:t>k</w:t>
      </w:r>
      <w:r w:rsidR="00B60EC9" w:rsidRPr="004E1637">
        <w:rPr>
          <w:sz w:val="22"/>
          <w:szCs w:val="22"/>
        </w:rPr>
        <w:t>u</w:t>
      </w:r>
      <w:r w:rsidRPr="004E1637">
        <w:rPr>
          <w:sz w:val="22"/>
          <w:szCs w:val="22"/>
        </w:rPr>
        <w:t xml:space="preserve"> na perorálnu suspenziu</w:t>
      </w:r>
      <w:r w:rsidR="004F37A9">
        <w:rPr>
          <w:sz w:val="22"/>
          <w:szCs w:val="22"/>
        </w:rPr>
        <w:t xml:space="preserve"> (10 mg/ml suspenzia po rekonštitúcii)</w:t>
      </w:r>
      <w:r w:rsidR="00B60EC9" w:rsidRPr="004E1637">
        <w:rPr>
          <w:sz w:val="22"/>
          <w:szCs w:val="22"/>
        </w:rPr>
        <w:t xml:space="preserve">. </w:t>
      </w:r>
      <w:r w:rsidRPr="004E1637">
        <w:rPr>
          <w:sz w:val="22"/>
          <w:szCs w:val="22"/>
        </w:rPr>
        <w:t>Zvýšenie alebo zníženie dávky sa odporúča na základe odpovede a</w:t>
      </w:r>
      <w:r w:rsidR="00B60EC9" w:rsidRPr="004E1637">
        <w:rPr>
          <w:sz w:val="22"/>
          <w:szCs w:val="22"/>
        </w:rPr>
        <w:t> </w:t>
      </w:r>
      <w:r w:rsidRPr="004E1637">
        <w:rPr>
          <w:sz w:val="22"/>
          <w:szCs w:val="22"/>
        </w:rPr>
        <w:t>znášanlivosti</w:t>
      </w:r>
      <w:r w:rsidR="00B60EC9" w:rsidRPr="004E1637">
        <w:rPr>
          <w:sz w:val="22"/>
          <w:szCs w:val="22"/>
        </w:rPr>
        <w:t xml:space="preserve"> pacienta</w:t>
      </w:r>
      <w:r w:rsidRPr="004E1637">
        <w:rPr>
          <w:sz w:val="22"/>
          <w:szCs w:val="22"/>
        </w:rPr>
        <w:t>.</w:t>
      </w:r>
    </w:p>
    <w:p w14:paraId="0ADECC8A" w14:textId="77777777" w:rsidR="00BE76D5" w:rsidRPr="004E1637" w:rsidRDefault="00BE76D5" w:rsidP="00BE76D5">
      <w:pPr>
        <w:pStyle w:val="CM100"/>
        <w:rPr>
          <w:sz w:val="22"/>
          <w:szCs w:val="22"/>
        </w:rPr>
      </w:pPr>
      <w:r w:rsidRPr="004E1637">
        <w:rPr>
          <w:sz w:val="22"/>
          <w:szCs w:val="22"/>
        </w:rPr>
        <w:t xml:space="preserve"> </w:t>
      </w:r>
    </w:p>
    <w:p w14:paraId="20597C0A" w14:textId="77777777" w:rsidR="00BE76D5" w:rsidRPr="004E1637" w:rsidRDefault="00BE76D5" w:rsidP="00BE76D5">
      <w:pPr>
        <w:pStyle w:val="CM2"/>
        <w:spacing w:line="240" w:lineRule="auto"/>
        <w:rPr>
          <w:sz w:val="22"/>
          <w:szCs w:val="22"/>
        </w:rPr>
      </w:pPr>
      <w:r w:rsidRPr="004E1637">
        <w:rPr>
          <w:i/>
          <w:iCs/>
          <w:sz w:val="22"/>
          <w:szCs w:val="22"/>
          <w:u w:val="single"/>
        </w:rPr>
        <w:t>Zvyšovanie dávky</w:t>
      </w:r>
      <w:r w:rsidRPr="00C11B8A">
        <w:rPr>
          <w:i/>
          <w:iCs/>
          <w:sz w:val="22"/>
          <w:szCs w:val="22"/>
        </w:rPr>
        <w:t xml:space="preserve"> </w:t>
      </w:r>
    </w:p>
    <w:p w14:paraId="23F83E10" w14:textId="75DAE24F" w:rsidR="00BE76D5" w:rsidRPr="004E1637" w:rsidRDefault="00BE76D5" w:rsidP="00BE76D5">
      <w:pPr>
        <w:pStyle w:val="CM100"/>
        <w:rPr>
          <w:sz w:val="22"/>
          <w:szCs w:val="22"/>
        </w:rPr>
      </w:pPr>
      <w:r w:rsidRPr="004E1637">
        <w:rPr>
          <w:sz w:val="22"/>
          <w:szCs w:val="22"/>
        </w:rPr>
        <w:t xml:space="preserve">V klinických štúdiách u dospelých pacientov s Ph+ ALL bolo zvýšenie dávky na </w:t>
      </w:r>
      <w:r w:rsidR="00E068C0">
        <w:rPr>
          <w:sz w:val="22"/>
          <w:szCs w:val="22"/>
        </w:rPr>
        <w:t>1</w:t>
      </w:r>
      <w:r w:rsidRPr="004E1637">
        <w:rPr>
          <w:sz w:val="22"/>
          <w:szCs w:val="22"/>
        </w:rPr>
        <w:t xml:space="preserve">80 mg jedenkrát denne povolené u pacientov, ktorí nedosiahli hematologickú alebo cytogenetickú odpoveď pri odporúčanej začiatočnej dávke. </w:t>
      </w:r>
    </w:p>
    <w:p w14:paraId="03FD08FB" w14:textId="77777777" w:rsidR="00570ED6" w:rsidRPr="004E1637" w:rsidRDefault="00570ED6" w:rsidP="00570ED6">
      <w:pPr>
        <w:pStyle w:val="Default"/>
      </w:pPr>
    </w:p>
    <w:p w14:paraId="6DA81920" w14:textId="2BCDAF73" w:rsidR="00AA6695" w:rsidRPr="00E068C0" w:rsidRDefault="00AA6695" w:rsidP="00AA6695">
      <w:pPr>
        <w:pStyle w:val="Default"/>
        <w:rPr>
          <w:color w:val="auto"/>
          <w:sz w:val="22"/>
          <w:szCs w:val="22"/>
        </w:rPr>
      </w:pPr>
      <w:r w:rsidRPr="00E068C0">
        <w:rPr>
          <w:color w:val="auto"/>
          <w:sz w:val="22"/>
          <w:szCs w:val="22"/>
        </w:rPr>
        <w:t>U pediatrických pacientov s Ph+ ALL sa neodporúča zvyšovanie dávky, pretože dasatinib sa u</w:t>
      </w:r>
    </w:p>
    <w:p w14:paraId="3B944DD5" w14:textId="64D8DBBB" w:rsidR="00570ED6" w:rsidRPr="00E068C0" w:rsidRDefault="00AA6695" w:rsidP="00AA6695">
      <w:pPr>
        <w:pStyle w:val="Default"/>
        <w:rPr>
          <w:color w:val="auto"/>
          <w:sz w:val="22"/>
          <w:szCs w:val="22"/>
        </w:rPr>
      </w:pPr>
      <w:r w:rsidRPr="00E068C0">
        <w:rPr>
          <w:color w:val="auto"/>
          <w:sz w:val="22"/>
          <w:szCs w:val="22"/>
        </w:rPr>
        <w:t>týchto pacientov podáva v kombinácii s chemoterapiou.</w:t>
      </w:r>
    </w:p>
    <w:p w14:paraId="399456A2" w14:textId="77777777" w:rsidR="00AA6695" w:rsidRDefault="00AA6695" w:rsidP="00570ED6">
      <w:pPr>
        <w:pStyle w:val="Default"/>
        <w:rPr>
          <w:i/>
          <w:sz w:val="22"/>
          <w:szCs w:val="22"/>
          <w:u w:val="single"/>
        </w:rPr>
      </w:pPr>
    </w:p>
    <w:p w14:paraId="437ACAA8" w14:textId="6E727F8E" w:rsidR="00570ED6" w:rsidRPr="004E1637" w:rsidRDefault="00BE76D5" w:rsidP="00570ED6">
      <w:pPr>
        <w:pStyle w:val="Default"/>
        <w:rPr>
          <w:i/>
          <w:sz w:val="22"/>
          <w:szCs w:val="22"/>
          <w:u w:val="single"/>
        </w:rPr>
      </w:pPr>
      <w:r w:rsidRPr="00A60B21">
        <w:rPr>
          <w:i/>
          <w:sz w:val="22"/>
          <w:szCs w:val="22"/>
          <w:u w:val="single"/>
        </w:rPr>
        <w:t>Úprava dávky kvôli nežiaducim reakciám</w:t>
      </w:r>
      <w:r w:rsidRPr="00C11B8A">
        <w:rPr>
          <w:i/>
          <w:sz w:val="22"/>
          <w:szCs w:val="22"/>
        </w:rPr>
        <w:t xml:space="preserve"> </w:t>
      </w:r>
    </w:p>
    <w:p w14:paraId="7513E8B1" w14:textId="77777777" w:rsidR="00BE76D5" w:rsidRPr="004E1637" w:rsidRDefault="00BE76D5" w:rsidP="00570ED6">
      <w:pPr>
        <w:pStyle w:val="Default"/>
        <w:rPr>
          <w:i/>
          <w:sz w:val="22"/>
          <w:szCs w:val="22"/>
        </w:rPr>
      </w:pPr>
      <w:r w:rsidRPr="004E1637">
        <w:rPr>
          <w:i/>
          <w:sz w:val="22"/>
          <w:szCs w:val="22"/>
        </w:rPr>
        <w:t xml:space="preserve">Myelosupresia </w:t>
      </w:r>
    </w:p>
    <w:p w14:paraId="6E126D09" w14:textId="77777777" w:rsidR="00D22C9B" w:rsidRDefault="00BE76D5" w:rsidP="00570ED6">
      <w:pPr>
        <w:pStyle w:val="CM100"/>
        <w:rPr>
          <w:sz w:val="22"/>
          <w:szCs w:val="22"/>
        </w:rPr>
      </w:pPr>
      <w:r w:rsidRPr="004E1637">
        <w:rPr>
          <w:sz w:val="22"/>
          <w:szCs w:val="22"/>
        </w:rPr>
        <w:t xml:space="preserve">V klinických štúdiách sa myelosupresia zvládala prerušením liečby, redukciou dávky alebo ukončením skúšanej liečby. Transfúzia trombocytov a transfúzia erytrocytov sa použila v prípade potreby. U pacientov s rezistentnou myelosupresiou sa použil hematopoetický rastový faktor. </w:t>
      </w:r>
    </w:p>
    <w:p w14:paraId="67E6BB72" w14:textId="23D7C4B6" w:rsidR="00D22C9B" w:rsidRDefault="00D22C9B" w:rsidP="00D22C9B">
      <w:pPr>
        <w:pStyle w:val="CM100"/>
        <w:rPr>
          <w:sz w:val="22"/>
          <w:szCs w:val="22"/>
        </w:rPr>
      </w:pPr>
      <w:r w:rsidRPr="00D22C9B">
        <w:rPr>
          <w:sz w:val="22"/>
          <w:szCs w:val="22"/>
        </w:rPr>
        <w:t xml:space="preserve">Pokyny úpravy dávok u dospelých sú zhrnuté v tabuľke </w:t>
      </w:r>
      <w:r w:rsidR="00E068C0">
        <w:rPr>
          <w:sz w:val="22"/>
          <w:szCs w:val="22"/>
        </w:rPr>
        <w:t>2</w:t>
      </w:r>
      <w:r w:rsidRPr="00D22C9B">
        <w:rPr>
          <w:sz w:val="22"/>
          <w:szCs w:val="22"/>
        </w:rPr>
        <w:t>. Pokyny pre pediatrických pacientov s</w:t>
      </w:r>
      <w:r w:rsidR="00C46A71">
        <w:rPr>
          <w:sz w:val="22"/>
          <w:szCs w:val="22"/>
        </w:rPr>
        <w:t> Ph+</w:t>
      </w:r>
      <w:r w:rsidRPr="00D22C9B">
        <w:rPr>
          <w:sz w:val="22"/>
          <w:szCs w:val="22"/>
        </w:rPr>
        <w:t xml:space="preserve"> </w:t>
      </w:r>
      <w:r w:rsidRPr="00D22C9B">
        <w:rPr>
          <w:sz w:val="22"/>
          <w:szCs w:val="22"/>
        </w:rPr>
        <w:lastRenderedPageBreak/>
        <w:t>ALL liečených v kombinácii s</w:t>
      </w:r>
      <w:r w:rsidR="000E04BD">
        <w:rPr>
          <w:sz w:val="22"/>
          <w:szCs w:val="22"/>
        </w:rPr>
        <w:t xml:space="preserve"> </w:t>
      </w:r>
      <w:r w:rsidRPr="00D22C9B">
        <w:rPr>
          <w:sz w:val="22"/>
          <w:szCs w:val="22"/>
        </w:rPr>
        <w:t>chemoterapiou sú v osobitnom odseku po tabuľkách.</w:t>
      </w:r>
    </w:p>
    <w:p w14:paraId="095DC9D3" w14:textId="77777777" w:rsidR="00570ED6" w:rsidRDefault="00570ED6" w:rsidP="00570ED6">
      <w:pPr>
        <w:pStyle w:val="Default"/>
        <w:rPr>
          <w:sz w:val="22"/>
          <w:szCs w:val="22"/>
        </w:rPr>
      </w:pPr>
    </w:p>
    <w:p w14:paraId="1C768923" w14:textId="0B1B8C06" w:rsidR="00570ED6" w:rsidRPr="004E1637" w:rsidRDefault="00570ED6" w:rsidP="00D22C9B">
      <w:pPr>
        <w:pStyle w:val="Default"/>
        <w:rPr>
          <w:sz w:val="22"/>
          <w:szCs w:val="22"/>
        </w:rPr>
      </w:pPr>
      <w:r w:rsidRPr="004E1637">
        <w:rPr>
          <w:b/>
          <w:sz w:val="22"/>
          <w:szCs w:val="22"/>
        </w:rPr>
        <w:t xml:space="preserve">Tabuľka </w:t>
      </w:r>
      <w:r w:rsidR="00E068C0">
        <w:rPr>
          <w:b/>
          <w:sz w:val="22"/>
          <w:szCs w:val="22"/>
        </w:rPr>
        <w:t>2</w:t>
      </w:r>
      <w:r w:rsidRPr="004E1637">
        <w:rPr>
          <w:b/>
          <w:sz w:val="22"/>
          <w:szCs w:val="22"/>
        </w:rPr>
        <w:t>: Úprava dávkovania počas neutropénie a trombocytopénie u dospelých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424"/>
        <w:gridCol w:w="4208"/>
      </w:tblGrid>
      <w:tr w:rsidR="00570ED6" w:rsidRPr="004E1637" w14:paraId="0B813875" w14:textId="77777777" w:rsidTr="00E068C0">
        <w:trPr>
          <w:trHeight w:val="4662"/>
        </w:trPr>
        <w:tc>
          <w:tcPr>
            <w:tcW w:w="2429" w:type="dxa"/>
            <w:vAlign w:val="center"/>
          </w:tcPr>
          <w:p w14:paraId="556516AC" w14:textId="79B6DE78" w:rsidR="00570ED6" w:rsidRPr="004E1637" w:rsidRDefault="00570ED6" w:rsidP="00570ED6">
            <w:pPr>
              <w:spacing w:after="0" w:line="240" w:lineRule="auto"/>
              <w:rPr>
                <w:rFonts w:ascii="Times New Roman" w:hAnsi="Times New Roman"/>
              </w:rPr>
            </w:pPr>
            <w:r w:rsidRPr="004E1637">
              <w:rPr>
                <w:rFonts w:ascii="Times New Roman" w:hAnsi="Times New Roman"/>
              </w:rPr>
              <w:t xml:space="preserve">Dospelí </w:t>
            </w:r>
            <w:r w:rsidR="00E068C0">
              <w:rPr>
                <w:rFonts w:ascii="Times New Roman" w:hAnsi="Times New Roman"/>
              </w:rPr>
              <w:t xml:space="preserve">s </w:t>
            </w:r>
            <w:r w:rsidRPr="004E1637">
              <w:rPr>
                <w:rFonts w:ascii="Times New Roman" w:hAnsi="Times New Roman"/>
              </w:rPr>
              <w:t>Ph+ ALL (začiatočná dávka 140 mg jedenkrát denne)</w:t>
            </w:r>
          </w:p>
        </w:tc>
        <w:tc>
          <w:tcPr>
            <w:tcW w:w="2424" w:type="dxa"/>
            <w:vAlign w:val="center"/>
          </w:tcPr>
          <w:p w14:paraId="413F37CD" w14:textId="77777777" w:rsidR="005A041C" w:rsidRDefault="00570ED6" w:rsidP="00570ED6">
            <w:pPr>
              <w:spacing w:after="0" w:line="240" w:lineRule="auto"/>
              <w:rPr>
                <w:rFonts w:ascii="Times New Roman" w:hAnsi="Times New Roman"/>
              </w:rPr>
            </w:pPr>
            <w:r w:rsidRPr="004E1637">
              <w:rPr>
                <w:rFonts w:ascii="Times New Roman" w:hAnsi="Times New Roman"/>
              </w:rPr>
              <w:t>ANC &lt; 0,5 x 10</w:t>
            </w:r>
            <w:r w:rsidRPr="004E1637">
              <w:rPr>
                <w:rFonts w:ascii="Times New Roman" w:hAnsi="Times New Roman"/>
                <w:vertAlign w:val="superscript"/>
              </w:rPr>
              <w:t>9</w:t>
            </w:r>
            <w:r w:rsidRPr="004E1637">
              <w:rPr>
                <w:rFonts w:ascii="Times New Roman" w:hAnsi="Times New Roman"/>
              </w:rPr>
              <w:t xml:space="preserve">/l </w:t>
            </w:r>
          </w:p>
          <w:p w14:paraId="6314EDDE" w14:textId="77777777" w:rsidR="005A041C" w:rsidRDefault="00570ED6" w:rsidP="00570ED6">
            <w:pPr>
              <w:spacing w:after="0" w:line="240" w:lineRule="auto"/>
              <w:rPr>
                <w:rFonts w:ascii="Times New Roman" w:hAnsi="Times New Roman"/>
              </w:rPr>
            </w:pPr>
            <w:r w:rsidRPr="004E1637">
              <w:rPr>
                <w:rFonts w:ascii="Times New Roman" w:hAnsi="Times New Roman"/>
              </w:rPr>
              <w:t xml:space="preserve">a/alebo </w:t>
            </w:r>
          </w:p>
          <w:p w14:paraId="22239FE6" w14:textId="314C9C4C" w:rsidR="00570ED6" w:rsidRPr="004E1637" w:rsidRDefault="00570ED6" w:rsidP="00570ED6">
            <w:pPr>
              <w:spacing w:after="0" w:line="240" w:lineRule="auto"/>
              <w:rPr>
                <w:rFonts w:ascii="Times New Roman" w:hAnsi="Times New Roman"/>
                <w:u w:val="single"/>
              </w:rPr>
            </w:pPr>
            <w:r w:rsidRPr="004E1637">
              <w:rPr>
                <w:rFonts w:ascii="Times New Roman" w:hAnsi="Times New Roman"/>
              </w:rPr>
              <w:t>počet trombocytov &lt; 10 x 10</w:t>
            </w:r>
            <w:r w:rsidRPr="004E1637">
              <w:rPr>
                <w:rFonts w:ascii="Times New Roman" w:hAnsi="Times New Roman"/>
                <w:vertAlign w:val="superscript"/>
              </w:rPr>
              <w:t>9</w:t>
            </w:r>
            <w:r w:rsidRPr="004E1637">
              <w:rPr>
                <w:rFonts w:ascii="Times New Roman" w:hAnsi="Times New Roman"/>
              </w:rPr>
              <w:t>/l</w:t>
            </w:r>
          </w:p>
        </w:tc>
        <w:tc>
          <w:tcPr>
            <w:tcW w:w="4208" w:type="dxa"/>
          </w:tcPr>
          <w:p w14:paraId="4BBA051C" w14:textId="77777777" w:rsidR="00DA506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 xml:space="preserve">Overte si, </w:t>
            </w:r>
            <w:r w:rsidR="00DA5066" w:rsidRPr="004E1637">
              <w:rPr>
                <w:rFonts w:ascii="Times New Roman" w:hAnsi="Times New Roman"/>
              </w:rPr>
              <w:t xml:space="preserve">či cytopénia súvisí s leukémiou </w:t>
            </w:r>
            <w:r w:rsidRPr="004E1637">
              <w:rPr>
                <w:rFonts w:ascii="Times New Roman" w:hAnsi="Times New Roman"/>
              </w:rPr>
              <w:t>(punkcia alebo biopsia kostnej drene).</w:t>
            </w:r>
          </w:p>
          <w:p w14:paraId="3A62D2BF" w14:textId="77777777" w:rsidR="00DA5066" w:rsidRPr="004E1637" w:rsidRDefault="00570ED6" w:rsidP="00DA5066">
            <w:pPr>
              <w:spacing w:after="0" w:line="240" w:lineRule="auto"/>
              <w:ind w:left="315"/>
              <w:rPr>
                <w:rFonts w:ascii="Times New Roman" w:hAnsi="Times New Roman"/>
              </w:rPr>
            </w:pPr>
            <w:r w:rsidRPr="004E1637">
              <w:rPr>
                <w:rFonts w:ascii="Times New Roman" w:hAnsi="Times New Roman"/>
              </w:rPr>
              <w:t xml:space="preserve"> </w:t>
            </w:r>
          </w:p>
          <w:p w14:paraId="7C3BBF7A" w14:textId="77777777" w:rsidR="00DA506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Ak cytopénia nesúvisí s leukémiou, prerušte liečbu až dovtedy, kým nebude ANC ≥ 1,0 x 10</w:t>
            </w:r>
            <w:r w:rsidRPr="004E1637">
              <w:rPr>
                <w:rFonts w:ascii="Times New Roman" w:hAnsi="Times New Roman"/>
                <w:vertAlign w:val="superscript"/>
              </w:rPr>
              <w:t>9</w:t>
            </w:r>
            <w:r w:rsidRPr="004E1637">
              <w:rPr>
                <w:rFonts w:ascii="Times New Roman" w:hAnsi="Times New Roman"/>
              </w:rPr>
              <w:t>/l a počet trombocytov ≥</w:t>
            </w:r>
            <w:r w:rsidR="001E11D6">
              <w:rPr>
                <w:rFonts w:ascii="Times New Roman" w:hAnsi="Times New Roman"/>
              </w:rPr>
              <w:t> </w:t>
            </w:r>
            <w:r w:rsidRPr="004E1637">
              <w:rPr>
                <w:rFonts w:ascii="Times New Roman" w:hAnsi="Times New Roman"/>
              </w:rPr>
              <w:t>20 x 10</w:t>
            </w:r>
            <w:r w:rsidRPr="004E1637">
              <w:rPr>
                <w:rFonts w:ascii="Times New Roman" w:hAnsi="Times New Roman"/>
                <w:vertAlign w:val="superscript"/>
              </w:rPr>
              <w:t>9</w:t>
            </w:r>
            <w:r w:rsidRPr="004E1637">
              <w:rPr>
                <w:rFonts w:ascii="Times New Roman" w:hAnsi="Times New Roman"/>
              </w:rPr>
              <w:t xml:space="preserve">/l a pokračujte pôvodnou začiatočnou dávkou. </w:t>
            </w:r>
          </w:p>
          <w:p w14:paraId="1B2DA036" w14:textId="77777777" w:rsidR="00DA5066" w:rsidRPr="004E1637" w:rsidRDefault="00DA5066" w:rsidP="00DA5066">
            <w:pPr>
              <w:spacing w:after="0" w:line="240" w:lineRule="auto"/>
              <w:rPr>
                <w:rFonts w:ascii="Times New Roman" w:hAnsi="Times New Roman"/>
              </w:rPr>
            </w:pPr>
          </w:p>
          <w:p w14:paraId="4067F8E1" w14:textId="77777777" w:rsidR="00DA506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 xml:space="preserve">Ak dôjde k opakovanej cytopénii, zopakujte krok 1 a pokračujte v liečbe zníženou dávkou 100 mg jedenkrát denne (druhá epizóda) alebo 80 mg jedenkrát denne (tretia epizóda). </w:t>
            </w:r>
          </w:p>
          <w:p w14:paraId="6FC3B198" w14:textId="77777777" w:rsidR="00DA5066" w:rsidRPr="004E1637" w:rsidRDefault="00DA5066" w:rsidP="00DA5066">
            <w:pPr>
              <w:spacing w:after="0" w:line="240" w:lineRule="auto"/>
              <w:ind w:left="315"/>
              <w:rPr>
                <w:rFonts w:ascii="Times New Roman" w:hAnsi="Times New Roman"/>
              </w:rPr>
            </w:pPr>
          </w:p>
          <w:p w14:paraId="4180F69A" w14:textId="77777777" w:rsidR="00570ED6" w:rsidRPr="004E1637" w:rsidRDefault="00570ED6" w:rsidP="00997BC9">
            <w:pPr>
              <w:numPr>
                <w:ilvl w:val="0"/>
                <w:numId w:val="5"/>
              </w:numPr>
              <w:spacing w:after="0" w:line="240" w:lineRule="auto"/>
              <w:ind w:left="315" w:hanging="283"/>
              <w:rPr>
                <w:rFonts w:ascii="Times New Roman" w:hAnsi="Times New Roman"/>
              </w:rPr>
            </w:pPr>
            <w:r w:rsidRPr="004E1637">
              <w:rPr>
                <w:rFonts w:ascii="Times New Roman" w:hAnsi="Times New Roman"/>
              </w:rPr>
              <w:t>Ak cytopénia súvisí s leukémiou, zvážte zvýšenie dávky na 180 mg jedenkrát denne.</w:t>
            </w:r>
          </w:p>
        </w:tc>
      </w:tr>
    </w:tbl>
    <w:p w14:paraId="775F910E" w14:textId="77777777" w:rsidR="00570ED6" w:rsidRPr="004E1637" w:rsidRDefault="00570ED6" w:rsidP="00570ED6">
      <w:pPr>
        <w:pStyle w:val="Default"/>
        <w:rPr>
          <w:sz w:val="18"/>
          <w:szCs w:val="18"/>
        </w:rPr>
      </w:pPr>
      <w:r w:rsidRPr="004E1637">
        <w:rPr>
          <w:sz w:val="18"/>
          <w:szCs w:val="18"/>
        </w:rPr>
        <w:t>ANC: absolútny počet neutrofilov</w:t>
      </w:r>
    </w:p>
    <w:p w14:paraId="5B59F669" w14:textId="254F0239" w:rsidR="00CC6194" w:rsidRDefault="00CC6194" w:rsidP="00CC6194">
      <w:pPr>
        <w:pStyle w:val="Default"/>
      </w:pPr>
    </w:p>
    <w:p w14:paraId="64369EA9" w14:textId="6C64219B" w:rsidR="00CC6194" w:rsidRPr="00CC6194" w:rsidRDefault="00CC6194" w:rsidP="00CC6194">
      <w:pPr>
        <w:pStyle w:val="Default"/>
        <w:rPr>
          <w:sz w:val="22"/>
          <w:szCs w:val="22"/>
        </w:rPr>
      </w:pPr>
      <w:r w:rsidRPr="00CC6194">
        <w:rPr>
          <w:sz w:val="22"/>
          <w:szCs w:val="22"/>
        </w:rPr>
        <w:t>U pediatrických pacientov s Ph+</w:t>
      </w:r>
      <w:r>
        <w:rPr>
          <w:sz w:val="22"/>
          <w:szCs w:val="22"/>
        </w:rPr>
        <w:t xml:space="preserve"> ALL</w:t>
      </w:r>
      <w:r w:rsidRPr="00CC6194">
        <w:rPr>
          <w:sz w:val="22"/>
          <w:szCs w:val="22"/>
        </w:rPr>
        <w:t xml:space="preserve"> sa neodporúča žiadna úprava dávky v prípadoch</w:t>
      </w:r>
    </w:p>
    <w:p w14:paraId="1E719F86" w14:textId="77777777" w:rsidR="00CC6194" w:rsidRPr="00CC6194" w:rsidRDefault="00CC6194" w:rsidP="00CC6194">
      <w:pPr>
        <w:pStyle w:val="Default"/>
        <w:rPr>
          <w:sz w:val="22"/>
          <w:szCs w:val="22"/>
        </w:rPr>
      </w:pPr>
      <w:r w:rsidRPr="00CC6194">
        <w:rPr>
          <w:sz w:val="22"/>
          <w:szCs w:val="22"/>
        </w:rPr>
        <w:t>hematologických toxicít 1. až 4. stupňa. Ak neutropénia a/alebo trombocytopénia majú za následok</w:t>
      </w:r>
    </w:p>
    <w:p w14:paraId="0801A143" w14:textId="1E31F0CA" w:rsidR="00CC6194" w:rsidRPr="00CC6194" w:rsidRDefault="00CC6194" w:rsidP="00CC6194">
      <w:pPr>
        <w:pStyle w:val="Default"/>
        <w:rPr>
          <w:sz w:val="22"/>
          <w:szCs w:val="22"/>
        </w:rPr>
      </w:pPr>
      <w:r w:rsidRPr="00CC6194">
        <w:rPr>
          <w:sz w:val="22"/>
          <w:szCs w:val="22"/>
        </w:rPr>
        <w:t xml:space="preserve">oddialenie nasledujúceho bloku liečby o dlhšie ako 14 dní, liečba </w:t>
      </w:r>
      <w:r>
        <w:rPr>
          <w:sz w:val="22"/>
          <w:szCs w:val="22"/>
        </w:rPr>
        <w:t>dasatinibom</w:t>
      </w:r>
      <w:r w:rsidRPr="00CC6194">
        <w:rPr>
          <w:sz w:val="22"/>
          <w:szCs w:val="22"/>
        </w:rPr>
        <w:t xml:space="preserve"> sa má prerušiť a má</w:t>
      </w:r>
    </w:p>
    <w:p w14:paraId="4194490D" w14:textId="77777777" w:rsidR="00CC6194" w:rsidRPr="00CC6194" w:rsidRDefault="00CC6194" w:rsidP="00CC6194">
      <w:pPr>
        <w:pStyle w:val="Default"/>
        <w:rPr>
          <w:sz w:val="22"/>
          <w:szCs w:val="22"/>
        </w:rPr>
      </w:pPr>
      <w:r w:rsidRPr="00CC6194">
        <w:rPr>
          <w:sz w:val="22"/>
          <w:szCs w:val="22"/>
        </w:rPr>
        <w:t>pokračovať s rovnakou hladinou dávky po začatí nasledujúceho bloku liečby. Ak neutropénia a/alebo</w:t>
      </w:r>
    </w:p>
    <w:p w14:paraId="70C35D06" w14:textId="77777777" w:rsidR="00CC6194" w:rsidRPr="00CC6194" w:rsidRDefault="00CC6194" w:rsidP="00CC6194">
      <w:pPr>
        <w:pStyle w:val="Default"/>
        <w:rPr>
          <w:sz w:val="22"/>
          <w:szCs w:val="22"/>
        </w:rPr>
      </w:pPr>
      <w:r w:rsidRPr="00CC6194">
        <w:rPr>
          <w:sz w:val="22"/>
          <w:szCs w:val="22"/>
        </w:rPr>
        <w:t>trombocytopénia pretrvávajú a nasledujúci blok liečby sa oddiali o ďalších 7 dní, má sa vykonať</w:t>
      </w:r>
    </w:p>
    <w:p w14:paraId="11D49F33" w14:textId="77777777" w:rsidR="00CC6194" w:rsidRPr="00CC6194" w:rsidRDefault="00CC6194" w:rsidP="00CC6194">
      <w:pPr>
        <w:pStyle w:val="Default"/>
        <w:rPr>
          <w:sz w:val="22"/>
          <w:szCs w:val="22"/>
        </w:rPr>
      </w:pPr>
      <w:r w:rsidRPr="00CC6194">
        <w:rPr>
          <w:sz w:val="22"/>
          <w:szCs w:val="22"/>
        </w:rPr>
        <w:t>vyhodnotenie kostnej drene na posúdenie celularity a percenta blastov. Ak je celularita kostnej</w:t>
      </w:r>
    </w:p>
    <w:p w14:paraId="631503A5" w14:textId="7788A553" w:rsidR="00CC6194" w:rsidRPr="00CC6194" w:rsidRDefault="00CC6194" w:rsidP="00CC6194">
      <w:pPr>
        <w:pStyle w:val="Default"/>
        <w:rPr>
          <w:sz w:val="22"/>
          <w:szCs w:val="22"/>
        </w:rPr>
      </w:pPr>
      <w:r w:rsidRPr="00CC6194">
        <w:rPr>
          <w:sz w:val="22"/>
          <w:szCs w:val="22"/>
        </w:rPr>
        <w:t xml:space="preserve">drene &lt; 10 %, liečba </w:t>
      </w:r>
      <w:r>
        <w:rPr>
          <w:sz w:val="22"/>
          <w:szCs w:val="22"/>
        </w:rPr>
        <w:t>dasatinibom</w:t>
      </w:r>
      <w:r w:rsidRPr="00CC6194">
        <w:rPr>
          <w:sz w:val="22"/>
          <w:szCs w:val="22"/>
        </w:rPr>
        <w:t xml:space="preserve"> sa má prerušiť až do ANC &gt; 500/μl (0,5 x 10</w:t>
      </w:r>
      <w:r w:rsidRPr="00F95FB3">
        <w:rPr>
          <w:sz w:val="22"/>
          <w:szCs w:val="22"/>
          <w:vertAlign w:val="superscript"/>
        </w:rPr>
        <w:t>9</w:t>
      </w:r>
      <w:r w:rsidRPr="00CC6194">
        <w:rPr>
          <w:sz w:val="22"/>
          <w:szCs w:val="22"/>
        </w:rPr>
        <w:t>/l), pri ktorom</w:t>
      </w:r>
      <w:r>
        <w:rPr>
          <w:sz w:val="22"/>
          <w:szCs w:val="22"/>
        </w:rPr>
        <w:t xml:space="preserve"> </w:t>
      </w:r>
      <w:r w:rsidRPr="00CC6194">
        <w:rPr>
          <w:sz w:val="22"/>
          <w:szCs w:val="22"/>
        </w:rPr>
        <w:t>možno čas liečby obnoviť s úplnou dávkou. Ak je celularita kostnej drene &gt; 10 %, možno zvážiť</w:t>
      </w:r>
      <w:r>
        <w:rPr>
          <w:sz w:val="22"/>
          <w:szCs w:val="22"/>
        </w:rPr>
        <w:t xml:space="preserve"> </w:t>
      </w:r>
      <w:r w:rsidRPr="00CC6194">
        <w:rPr>
          <w:sz w:val="22"/>
          <w:szCs w:val="22"/>
        </w:rPr>
        <w:t xml:space="preserve">obnovenie liečby </w:t>
      </w:r>
      <w:r>
        <w:rPr>
          <w:sz w:val="22"/>
          <w:szCs w:val="22"/>
        </w:rPr>
        <w:t>dasatinibom</w:t>
      </w:r>
      <w:r w:rsidRPr="00CC6194">
        <w:rPr>
          <w:sz w:val="22"/>
          <w:szCs w:val="22"/>
        </w:rPr>
        <w:t>.</w:t>
      </w:r>
    </w:p>
    <w:p w14:paraId="5626C9C4" w14:textId="77777777" w:rsidR="00442A82" w:rsidRPr="004E1637" w:rsidRDefault="00442A82" w:rsidP="00442A82">
      <w:pPr>
        <w:pStyle w:val="Default"/>
      </w:pPr>
    </w:p>
    <w:p w14:paraId="29173640" w14:textId="77777777" w:rsidR="00BE76D5" w:rsidRPr="004E1637" w:rsidRDefault="00BE76D5" w:rsidP="00570ED6">
      <w:pPr>
        <w:pStyle w:val="CM2"/>
        <w:spacing w:line="240" w:lineRule="auto"/>
        <w:rPr>
          <w:sz w:val="22"/>
          <w:szCs w:val="22"/>
        </w:rPr>
      </w:pPr>
      <w:r w:rsidRPr="004E1637">
        <w:rPr>
          <w:i/>
          <w:iCs/>
          <w:sz w:val="22"/>
          <w:szCs w:val="22"/>
        </w:rPr>
        <w:t xml:space="preserve">Nehematologické nežiaduce reakcie </w:t>
      </w:r>
    </w:p>
    <w:p w14:paraId="7A890B1D" w14:textId="47B86FFE" w:rsidR="00BE76D5" w:rsidRPr="004E1637" w:rsidRDefault="00BE76D5" w:rsidP="000952FF">
      <w:pPr>
        <w:pStyle w:val="CM100"/>
        <w:rPr>
          <w:sz w:val="22"/>
          <w:szCs w:val="22"/>
        </w:rPr>
      </w:pPr>
      <w:r w:rsidRPr="004E1637">
        <w:rPr>
          <w:sz w:val="22"/>
          <w:szCs w:val="22"/>
        </w:rPr>
        <w:t xml:space="preserve">Ak počas liečby dasatinibom vznikne stredne závažná nehematologická nežiaduca reakcia 2. stupňa, liečba sa má prerušiť až do vymiznutia tejto nežiaducej reakcie alebo návratu k pôvodným hodnotám. Má sa pokračovať s rovnakou dávkou, ak ide o prvý výskyt a dávka sa má znížiť, ak ide o opakujúcu sa nežiaducu reakciu. Ak počas liečby dasatinibom vznikne závažná nehematologická nežiaduca reakcia 3. alebo 4. stupňa, liečba sa musí prerušiť až do vymiznutia tejto nežiaducej reakcie. Potom sa môže v liečbe pokračovať s použitím redukovanej dávky v závislosti od začiatočnej závažnosti nežiaducej reakcie. U pacientov s Ph+ ALL, ktorí dostávali dávku 140 mg jedenkrát denne sa odporúča dávku znížiť na 100 mg jedenkrát denne, v prípade potreby ďalej znížiť zo 100 mg jedenkrát denne na 50 mg jedenkrát denne. </w:t>
      </w:r>
      <w:r w:rsidR="000952FF" w:rsidRPr="000952FF">
        <w:rPr>
          <w:sz w:val="22"/>
          <w:szCs w:val="22"/>
        </w:rPr>
        <w:t>U</w:t>
      </w:r>
      <w:r w:rsidR="000952FF">
        <w:rPr>
          <w:sz w:val="22"/>
          <w:szCs w:val="22"/>
        </w:rPr>
        <w:t xml:space="preserve"> </w:t>
      </w:r>
      <w:r w:rsidR="000952FF" w:rsidRPr="000952FF">
        <w:rPr>
          <w:sz w:val="22"/>
          <w:szCs w:val="22"/>
        </w:rPr>
        <w:t>pediatrických pacientov s Ph+</w:t>
      </w:r>
      <w:r w:rsidR="000952FF">
        <w:rPr>
          <w:sz w:val="22"/>
          <w:szCs w:val="22"/>
        </w:rPr>
        <w:t xml:space="preserve"> ALL</w:t>
      </w:r>
      <w:r w:rsidR="000952FF" w:rsidRPr="000952FF">
        <w:rPr>
          <w:sz w:val="22"/>
          <w:szCs w:val="22"/>
        </w:rPr>
        <w:t xml:space="preserve"> s nehematologickými nežiaducimi reakciami, sa má v</w:t>
      </w:r>
      <w:r w:rsidR="000952FF">
        <w:rPr>
          <w:sz w:val="22"/>
          <w:szCs w:val="22"/>
        </w:rPr>
        <w:t> </w:t>
      </w:r>
      <w:r w:rsidR="000952FF" w:rsidRPr="000952FF">
        <w:rPr>
          <w:sz w:val="22"/>
          <w:szCs w:val="22"/>
        </w:rPr>
        <w:t>prípade</w:t>
      </w:r>
      <w:r w:rsidR="000952FF">
        <w:rPr>
          <w:sz w:val="22"/>
          <w:szCs w:val="22"/>
        </w:rPr>
        <w:t xml:space="preserve"> </w:t>
      </w:r>
      <w:r w:rsidR="000952FF" w:rsidRPr="000952FF">
        <w:rPr>
          <w:sz w:val="22"/>
          <w:szCs w:val="22"/>
        </w:rPr>
        <w:t>potreby znížiť dávka o jednu úroveň podľa odporúčaní na zníženie dávky pre hematologické</w:t>
      </w:r>
      <w:r w:rsidR="000952FF">
        <w:rPr>
          <w:sz w:val="22"/>
          <w:szCs w:val="22"/>
        </w:rPr>
        <w:t xml:space="preserve"> </w:t>
      </w:r>
      <w:r w:rsidR="000952FF" w:rsidRPr="000952FF">
        <w:rPr>
          <w:sz w:val="22"/>
          <w:szCs w:val="22"/>
        </w:rPr>
        <w:t>nežiaduce reakcie, ktoré sú opísané vyššie.</w:t>
      </w:r>
    </w:p>
    <w:p w14:paraId="767C5DE1" w14:textId="77777777" w:rsidR="00442A82" w:rsidRPr="004E1637" w:rsidRDefault="00442A82" w:rsidP="00570ED6">
      <w:pPr>
        <w:pStyle w:val="CM2"/>
        <w:spacing w:line="240" w:lineRule="auto"/>
        <w:rPr>
          <w:i/>
          <w:iCs/>
          <w:sz w:val="22"/>
          <w:szCs w:val="22"/>
        </w:rPr>
      </w:pPr>
    </w:p>
    <w:p w14:paraId="1C2A74CE" w14:textId="77777777" w:rsidR="00BE76D5" w:rsidRPr="004E1637" w:rsidRDefault="00BE76D5" w:rsidP="00570ED6">
      <w:pPr>
        <w:pStyle w:val="CM2"/>
        <w:spacing w:line="240" w:lineRule="auto"/>
        <w:rPr>
          <w:sz w:val="22"/>
          <w:szCs w:val="22"/>
        </w:rPr>
      </w:pPr>
      <w:r w:rsidRPr="004E1637">
        <w:rPr>
          <w:i/>
          <w:iCs/>
          <w:sz w:val="22"/>
          <w:szCs w:val="22"/>
        </w:rPr>
        <w:t xml:space="preserve">Pleurálny výpotok </w:t>
      </w:r>
    </w:p>
    <w:p w14:paraId="23CFC440" w14:textId="400FE2E3" w:rsidR="00307C37" w:rsidRPr="004E1637" w:rsidRDefault="00BE76D5" w:rsidP="00570ED6">
      <w:pPr>
        <w:pStyle w:val="CM4"/>
        <w:spacing w:line="240" w:lineRule="auto"/>
        <w:rPr>
          <w:sz w:val="22"/>
          <w:szCs w:val="22"/>
        </w:rPr>
      </w:pPr>
      <w:r w:rsidRPr="004E1637">
        <w:rPr>
          <w:sz w:val="22"/>
          <w:szCs w:val="22"/>
        </w:rPr>
        <w:t xml:space="preserve">Ak je diagnostikovaný pleurálny výpotok, liečba dasatinibom sa má prerušiť až kým bude pacient vyšetrený, asymptomatický alebo sa vráti k pôvodným hodnotám. Ak sa udalosť nezlepší približne počas jedného týždňa, má sa zvážiť postup s použitím diuretík alebo kortikosteroidov alebo oboch súčasne (pozri časti 4.4 a 4.8). Po </w:t>
      </w:r>
      <w:r w:rsidR="00543609">
        <w:rPr>
          <w:sz w:val="22"/>
          <w:szCs w:val="22"/>
        </w:rPr>
        <w:t>vyriešení</w:t>
      </w:r>
      <w:r w:rsidRPr="004E1637">
        <w:rPr>
          <w:sz w:val="22"/>
          <w:szCs w:val="22"/>
        </w:rPr>
        <w:t xml:space="preserve"> prvej udalosti, sa má zvážiť opätovné </w:t>
      </w:r>
      <w:r w:rsidR="005666D3">
        <w:rPr>
          <w:sz w:val="22"/>
          <w:szCs w:val="22"/>
        </w:rPr>
        <w:t>začatie liečby</w:t>
      </w:r>
      <w:r w:rsidRPr="004E1637">
        <w:rPr>
          <w:sz w:val="22"/>
          <w:szCs w:val="22"/>
        </w:rPr>
        <w:t xml:space="preserve"> dasatinib</w:t>
      </w:r>
      <w:r w:rsidR="005666D3">
        <w:rPr>
          <w:sz w:val="22"/>
          <w:szCs w:val="22"/>
        </w:rPr>
        <w:t>om</w:t>
      </w:r>
      <w:r w:rsidRPr="004E1637">
        <w:rPr>
          <w:sz w:val="22"/>
          <w:szCs w:val="22"/>
        </w:rPr>
        <w:t xml:space="preserve"> v dávke na rovnakej úrovni. Po </w:t>
      </w:r>
      <w:r w:rsidR="00543609">
        <w:rPr>
          <w:sz w:val="22"/>
          <w:szCs w:val="22"/>
        </w:rPr>
        <w:t>vyriešení</w:t>
      </w:r>
      <w:r w:rsidRPr="004E1637">
        <w:rPr>
          <w:sz w:val="22"/>
          <w:szCs w:val="22"/>
        </w:rPr>
        <w:t xml:space="preserve"> nasledujúcej udalosti, sa má opätovne </w:t>
      </w:r>
      <w:r w:rsidR="005666D3">
        <w:rPr>
          <w:sz w:val="22"/>
          <w:szCs w:val="22"/>
        </w:rPr>
        <w:t>začať liečba</w:t>
      </w:r>
      <w:r w:rsidRPr="004E1637">
        <w:rPr>
          <w:sz w:val="22"/>
          <w:szCs w:val="22"/>
        </w:rPr>
        <w:t xml:space="preserve"> dasatinib</w:t>
      </w:r>
      <w:r w:rsidR="005666D3">
        <w:rPr>
          <w:sz w:val="22"/>
          <w:szCs w:val="22"/>
        </w:rPr>
        <w:t>om</w:t>
      </w:r>
      <w:r w:rsidRPr="004E1637">
        <w:rPr>
          <w:sz w:val="22"/>
          <w:szCs w:val="22"/>
        </w:rPr>
        <w:t xml:space="preserve"> v zníženej dávke o jednu úroveň. Po </w:t>
      </w:r>
      <w:r w:rsidR="00543609">
        <w:rPr>
          <w:sz w:val="22"/>
          <w:szCs w:val="22"/>
        </w:rPr>
        <w:t>vyriešení</w:t>
      </w:r>
      <w:r w:rsidRPr="004E1637">
        <w:rPr>
          <w:sz w:val="22"/>
          <w:szCs w:val="22"/>
        </w:rPr>
        <w:t xml:space="preserve"> závažnej udalosti (stupeň 3. alebo 4.), môže liečba, ak je to vhodné, pokračovať so zníženou dávkou v závislosti od začiatočnej závažnosti nežiaducej reakcie. </w:t>
      </w:r>
    </w:p>
    <w:p w14:paraId="74A894AD" w14:textId="5F153128" w:rsidR="00442A82" w:rsidRDefault="00442A82" w:rsidP="00570ED6">
      <w:pPr>
        <w:pStyle w:val="CM4"/>
        <w:spacing w:line="240" w:lineRule="auto"/>
        <w:rPr>
          <w:sz w:val="22"/>
          <w:szCs w:val="22"/>
          <w:u w:val="single"/>
        </w:rPr>
      </w:pPr>
    </w:p>
    <w:p w14:paraId="2A532604" w14:textId="77777777" w:rsidR="00B15CBF" w:rsidRPr="00B15CBF" w:rsidRDefault="00B15CBF" w:rsidP="00B15CBF">
      <w:pPr>
        <w:pStyle w:val="Default"/>
        <w:rPr>
          <w:i/>
          <w:iCs/>
          <w:sz w:val="22"/>
          <w:szCs w:val="22"/>
        </w:rPr>
      </w:pPr>
      <w:r w:rsidRPr="00B15CBF">
        <w:rPr>
          <w:i/>
          <w:iCs/>
          <w:sz w:val="22"/>
          <w:szCs w:val="22"/>
        </w:rPr>
        <w:t>Zníženie dávky pri súbežnom používaní silných inhibítorov CYP3A4</w:t>
      </w:r>
    </w:p>
    <w:p w14:paraId="52E628DD" w14:textId="637439F3" w:rsidR="00B15CBF" w:rsidRPr="00B15CBF" w:rsidRDefault="00B15CBF" w:rsidP="00B15CBF">
      <w:pPr>
        <w:pStyle w:val="Default"/>
        <w:rPr>
          <w:sz w:val="22"/>
          <w:szCs w:val="22"/>
        </w:rPr>
      </w:pPr>
      <w:r w:rsidRPr="00B15CBF">
        <w:rPr>
          <w:sz w:val="22"/>
          <w:szCs w:val="22"/>
        </w:rPr>
        <w:t>Súbežnému používaniu silných inhibítorov CYP3A4 a grapefruitového džúsu s</w:t>
      </w:r>
      <w:r>
        <w:rPr>
          <w:sz w:val="22"/>
          <w:szCs w:val="22"/>
        </w:rPr>
        <w:t xml:space="preserve"> dasatinibom</w:t>
      </w:r>
      <w:r w:rsidRPr="00B15CBF">
        <w:rPr>
          <w:sz w:val="22"/>
          <w:szCs w:val="22"/>
        </w:rPr>
        <w:t xml:space="preserve"> sa má</w:t>
      </w:r>
    </w:p>
    <w:p w14:paraId="62BA9614" w14:textId="77777777" w:rsidR="00B15CBF" w:rsidRPr="00B15CBF" w:rsidRDefault="00B15CBF" w:rsidP="00B15CBF">
      <w:pPr>
        <w:pStyle w:val="Default"/>
        <w:rPr>
          <w:sz w:val="22"/>
          <w:szCs w:val="22"/>
        </w:rPr>
      </w:pPr>
      <w:r w:rsidRPr="00B15CBF">
        <w:rPr>
          <w:sz w:val="22"/>
          <w:szCs w:val="22"/>
        </w:rPr>
        <w:t>vyhnúť (pozri časť 4.5). Ak je to možné, má sa vybrať alternatívna súbežná liečba bez alebo s</w:t>
      </w:r>
    </w:p>
    <w:p w14:paraId="2B1C5768" w14:textId="64E4D177" w:rsidR="00B15CBF" w:rsidRPr="00B15CBF" w:rsidRDefault="00B15CBF" w:rsidP="00B15CBF">
      <w:pPr>
        <w:pStyle w:val="Default"/>
        <w:rPr>
          <w:sz w:val="22"/>
          <w:szCs w:val="22"/>
        </w:rPr>
      </w:pPr>
      <w:r w:rsidRPr="00B15CBF">
        <w:rPr>
          <w:sz w:val="22"/>
          <w:szCs w:val="22"/>
        </w:rPr>
        <w:t xml:space="preserve">minimálnym potenciálom enzýmovej inhibície. Ak sa </w:t>
      </w:r>
      <w:r>
        <w:rPr>
          <w:sz w:val="22"/>
          <w:szCs w:val="22"/>
        </w:rPr>
        <w:t>dasatinib</w:t>
      </w:r>
      <w:r w:rsidRPr="00B15CBF">
        <w:rPr>
          <w:sz w:val="22"/>
          <w:szCs w:val="22"/>
        </w:rPr>
        <w:t xml:space="preserve"> musí podávať so silným inhibítorom</w:t>
      </w:r>
    </w:p>
    <w:p w14:paraId="1C4EA03C" w14:textId="50FF9E07" w:rsidR="00B15CBF" w:rsidRPr="00B15CBF" w:rsidRDefault="00B15CBF" w:rsidP="00B15CBF">
      <w:pPr>
        <w:pStyle w:val="Default"/>
        <w:rPr>
          <w:sz w:val="22"/>
          <w:szCs w:val="22"/>
        </w:rPr>
      </w:pPr>
      <w:r w:rsidRPr="00B15CBF">
        <w:rPr>
          <w:sz w:val="22"/>
          <w:szCs w:val="22"/>
        </w:rPr>
        <w:t xml:space="preserve">CYP3A4, </w:t>
      </w:r>
      <w:r w:rsidR="00937804">
        <w:rPr>
          <w:sz w:val="22"/>
          <w:szCs w:val="22"/>
        </w:rPr>
        <w:t xml:space="preserve">má sa </w:t>
      </w:r>
      <w:r w:rsidRPr="00B15CBF">
        <w:rPr>
          <w:sz w:val="22"/>
          <w:szCs w:val="22"/>
        </w:rPr>
        <w:t>zváž</w:t>
      </w:r>
      <w:r w:rsidR="00937804">
        <w:rPr>
          <w:sz w:val="22"/>
          <w:szCs w:val="22"/>
        </w:rPr>
        <w:t>iť</w:t>
      </w:r>
      <w:r w:rsidRPr="00B15CBF">
        <w:rPr>
          <w:sz w:val="22"/>
          <w:szCs w:val="22"/>
        </w:rPr>
        <w:t xml:space="preserve"> zníženie dávky na:</w:t>
      </w:r>
    </w:p>
    <w:p w14:paraId="32BD35B6" w14:textId="795E5718" w:rsidR="00B15CBF" w:rsidRDefault="00B15CBF" w:rsidP="00B15CBF">
      <w:pPr>
        <w:pStyle w:val="Default"/>
        <w:numPr>
          <w:ilvl w:val="0"/>
          <w:numId w:val="7"/>
        </w:numPr>
        <w:rPr>
          <w:sz w:val="22"/>
          <w:szCs w:val="22"/>
        </w:rPr>
      </w:pPr>
      <w:r w:rsidRPr="00B15CBF">
        <w:rPr>
          <w:sz w:val="22"/>
          <w:szCs w:val="22"/>
        </w:rPr>
        <w:t xml:space="preserve">40 mg denne u pacientov užívajúcich </w:t>
      </w:r>
      <w:r>
        <w:rPr>
          <w:sz w:val="22"/>
          <w:szCs w:val="22"/>
        </w:rPr>
        <w:t>dasatinib</w:t>
      </w:r>
      <w:r w:rsidR="00937804">
        <w:rPr>
          <w:sz w:val="22"/>
          <w:szCs w:val="22"/>
        </w:rPr>
        <w:t xml:space="preserve"> v</w:t>
      </w:r>
      <w:r w:rsidRPr="00B15CBF">
        <w:rPr>
          <w:sz w:val="22"/>
          <w:szCs w:val="22"/>
        </w:rPr>
        <w:t xml:space="preserve"> 140 mg tablet</w:t>
      </w:r>
      <w:r w:rsidR="00937804">
        <w:rPr>
          <w:sz w:val="22"/>
          <w:szCs w:val="22"/>
        </w:rPr>
        <w:t>e</w:t>
      </w:r>
      <w:r w:rsidRPr="00B15CBF">
        <w:rPr>
          <w:sz w:val="22"/>
          <w:szCs w:val="22"/>
        </w:rPr>
        <w:t xml:space="preserve"> denne.</w:t>
      </w:r>
    </w:p>
    <w:p w14:paraId="2AF23A11" w14:textId="33402AC8" w:rsidR="00B15CBF" w:rsidRDefault="00B15CBF" w:rsidP="00B15CBF">
      <w:pPr>
        <w:pStyle w:val="Default"/>
        <w:numPr>
          <w:ilvl w:val="0"/>
          <w:numId w:val="7"/>
        </w:numPr>
        <w:rPr>
          <w:sz w:val="22"/>
          <w:szCs w:val="22"/>
        </w:rPr>
      </w:pPr>
      <w:r w:rsidRPr="00B15CBF">
        <w:rPr>
          <w:sz w:val="22"/>
          <w:szCs w:val="22"/>
        </w:rPr>
        <w:t xml:space="preserve">20 mg denne u pacientov užívajúcich </w:t>
      </w:r>
      <w:r>
        <w:rPr>
          <w:sz w:val="22"/>
          <w:szCs w:val="22"/>
        </w:rPr>
        <w:t>dasatinib</w:t>
      </w:r>
      <w:r w:rsidR="00937804">
        <w:rPr>
          <w:sz w:val="22"/>
          <w:szCs w:val="22"/>
        </w:rPr>
        <w:t xml:space="preserve"> v</w:t>
      </w:r>
      <w:r w:rsidRPr="00B15CBF">
        <w:rPr>
          <w:sz w:val="22"/>
          <w:szCs w:val="22"/>
        </w:rPr>
        <w:t xml:space="preserve"> 100 mg tablet</w:t>
      </w:r>
      <w:r w:rsidR="00937804">
        <w:rPr>
          <w:sz w:val="22"/>
          <w:szCs w:val="22"/>
        </w:rPr>
        <w:t>e</w:t>
      </w:r>
      <w:r w:rsidRPr="00B15CBF">
        <w:rPr>
          <w:sz w:val="22"/>
          <w:szCs w:val="22"/>
        </w:rPr>
        <w:t xml:space="preserve"> denne.</w:t>
      </w:r>
    </w:p>
    <w:p w14:paraId="4CE98616" w14:textId="3FB60642" w:rsidR="00B15CBF" w:rsidRPr="00B15CBF" w:rsidRDefault="00B15CBF" w:rsidP="00B15CBF">
      <w:pPr>
        <w:pStyle w:val="Default"/>
        <w:numPr>
          <w:ilvl w:val="0"/>
          <w:numId w:val="7"/>
        </w:numPr>
        <w:rPr>
          <w:sz w:val="22"/>
          <w:szCs w:val="22"/>
        </w:rPr>
      </w:pPr>
      <w:r w:rsidRPr="00B15CBF">
        <w:rPr>
          <w:sz w:val="22"/>
          <w:szCs w:val="22"/>
        </w:rPr>
        <w:t xml:space="preserve">20 mg denne u pacientov užívajúcich </w:t>
      </w:r>
      <w:r>
        <w:rPr>
          <w:sz w:val="22"/>
          <w:szCs w:val="22"/>
        </w:rPr>
        <w:t>dasatinib</w:t>
      </w:r>
      <w:r w:rsidR="00937804">
        <w:rPr>
          <w:sz w:val="22"/>
          <w:szCs w:val="22"/>
        </w:rPr>
        <w:t xml:space="preserve"> v</w:t>
      </w:r>
      <w:r w:rsidRPr="00B15CBF">
        <w:rPr>
          <w:sz w:val="22"/>
          <w:szCs w:val="22"/>
        </w:rPr>
        <w:t xml:space="preserve"> 70 mg tablet</w:t>
      </w:r>
      <w:r w:rsidR="00937804">
        <w:rPr>
          <w:sz w:val="22"/>
          <w:szCs w:val="22"/>
        </w:rPr>
        <w:t>e</w:t>
      </w:r>
      <w:r w:rsidRPr="00B15CBF">
        <w:rPr>
          <w:sz w:val="22"/>
          <w:szCs w:val="22"/>
        </w:rPr>
        <w:t xml:space="preserve"> denne.</w:t>
      </w:r>
    </w:p>
    <w:p w14:paraId="03914FD6" w14:textId="77777777" w:rsidR="00B15CBF" w:rsidRDefault="00B15CBF" w:rsidP="00B15CBF">
      <w:pPr>
        <w:pStyle w:val="Default"/>
        <w:rPr>
          <w:sz w:val="22"/>
          <w:szCs w:val="22"/>
        </w:rPr>
      </w:pPr>
    </w:p>
    <w:p w14:paraId="35C9E285" w14:textId="2DF7610D" w:rsidR="00B15CBF" w:rsidRPr="00B15CBF" w:rsidRDefault="00B15CBF" w:rsidP="00B15CBF">
      <w:pPr>
        <w:pStyle w:val="Default"/>
        <w:rPr>
          <w:sz w:val="22"/>
          <w:szCs w:val="22"/>
        </w:rPr>
      </w:pPr>
      <w:r w:rsidRPr="00B15CBF">
        <w:rPr>
          <w:sz w:val="22"/>
          <w:szCs w:val="22"/>
        </w:rPr>
        <w:t xml:space="preserve">U pacientov užívajúcich </w:t>
      </w:r>
      <w:r>
        <w:rPr>
          <w:sz w:val="22"/>
          <w:szCs w:val="22"/>
        </w:rPr>
        <w:t>dasatinib</w:t>
      </w:r>
      <w:r w:rsidRPr="00B15CBF">
        <w:rPr>
          <w:sz w:val="22"/>
          <w:szCs w:val="22"/>
        </w:rPr>
        <w:t xml:space="preserve"> </w:t>
      </w:r>
      <w:r w:rsidR="00937804">
        <w:rPr>
          <w:sz w:val="22"/>
          <w:szCs w:val="22"/>
        </w:rPr>
        <w:t xml:space="preserve">v dávke </w:t>
      </w:r>
      <w:r w:rsidRPr="00B15CBF">
        <w:rPr>
          <w:sz w:val="22"/>
          <w:szCs w:val="22"/>
        </w:rPr>
        <w:t>60 mg alebo 40 mg denne, zvážte prerušenie podávania</w:t>
      </w:r>
    </w:p>
    <w:p w14:paraId="1D03CAB5" w14:textId="366AD05D" w:rsidR="00B15CBF" w:rsidRPr="00B15CBF" w:rsidRDefault="00937804" w:rsidP="00B15CBF">
      <w:pPr>
        <w:pStyle w:val="Default"/>
        <w:rPr>
          <w:sz w:val="22"/>
          <w:szCs w:val="22"/>
        </w:rPr>
      </w:pPr>
      <w:r>
        <w:rPr>
          <w:sz w:val="22"/>
          <w:szCs w:val="22"/>
        </w:rPr>
        <w:t>d</w:t>
      </w:r>
      <w:r w:rsidR="00B15CBF">
        <w:rPr>
          <w:sz w:val="22"/>
          <w:szCs w:val="22"/>
        </w:rPr>
        <w:t>asatinibu</w:t>
      </w:r>
      <w:r>
        <w:rPr>
          <w:sz w:val="22"/>
          <w:szCs w:val="22"/>
        </w:rPr>
        <w:t>,</w:t>
      </w:r>
      <w:r w:rsidR="00B15CBF" w:rsidRPr="00B15CBF">
        <w:rPr>
          <w:sz w:val="22"/>
          <w:szCs w:val="22"/>
        </w:rPr>
        <w:t xml:space="preserve"> pokým sa neukončí liečba inhibítorom CYP3A4 alebo prestavenie na nižšiu dávku </w:t>
      </w:r>
      <w:r>
        <w:rPr>
          <w:sz w:val="22"/>
          <w:szCs w:val="22"/>
        </w:rPr>
        <w:t>v</w:t>
      </w:r>
    </w:p>
    <w:p w14:paraId="2B992E81" w14:textId="323A4B46" w:rsidR="00B15CBF" w:rsidRPr="00B15CBF" w:rsidRDefault="00B15CBF" w:rsidP="00B15CBF">
      <w:pPr>
        <w:pStyle w:val="Default"/>
        <w:rPr>
          <w:sz w:val="22"/>
          <w:szCs w:val="22"/>
        </w:rPr>
      </w:pPr>
      <w:r w:rsidRPr="00B15CBF">
        <w:rPr>
          <w:sz w:val="22"/>
          <w:szCs w:val="22"/>
        </w:rPr>
        <w:t>liekov</w:t>
      </w:r>
      <w:r w:rsidR="00937804">
        <w:rPr>
          <w:sz w:val="22"/>
          <w:szCs w:val="22"/>
        </w:rPr>
        <w:t>ej</w:t>
      </w:r>
      <w:r w:rsidRPr="00B15CBF">
        <w:rPr>
          <w:sz w:val="22"/>
          <w:szCs w:val="22"/>
        </w:rPr>
        <w:t xml:space="preserve"> form</w:t>
      </w:r>
      <w:r w:rsidR="00937804">
        <w:rPr>
          <w:sz w:val="22"/>
          <w:szCs w:val="22"/>
        </w:rPr>
        <w:t>e</w:t>
      </w:r>
      <w:r w:rsidRPr="00B15CBF">
        <w:rPr>
          <w:sz w:val="22"/>
          <w:szCs w:val="22"/>
        </w:rPr>
        <w:t xml:space="preserve"> prášok na perorálnu suspenziu. Pred opätovným začatím podávania </w:t>
      </w:r>
      <w:r>
        <w:rPr>
          <w:sz w:val="22"/>
          <w:szCs w:val="22"/>
        </w:rPr>
        <w:t>dasatinibu</w:t>
      </w:r>
    </w:p>
    <w:p w14:paraId="2E99D6EB" w14:textId="77777777" w:rsidR="00B15CBF" w:rsidRPr="00B15CBF" w:rsidRDefault="00B15CBF" w:rsidP="00B15CBF">
      <w:pPr>
        <w:pStyle w:val="Default"/>
        <w:rPr>
          <w:sz w:val="22"/>
          <w:szCs w:val="22"/>
        </w:rPr>
      </w:pPr>
      <w:r w:rsidRPr="00B15CBF">
        <w:rPr>
          <w:sz w:val="22"/>
          <w:szCs w:val="22"/>
        </w:rPr>
        <w:t>ponechajte po ukončení podávania inhibítora obdobie vyplavenia liečiva („washout“) približne</w:t>
      </w:r>
    </w:p>
    <w:p w14:paraId="5ED6B6DB" w14:textId="46284A62" w:rsidR="00B15CBF" w:rsidRDefault="00B15CBF" w:rsidP="00B15CBF">
      <w:pPr>
        <w:pStyle w:val="Default"/>
        <w:rPr>
          <w:sz w:val="22"/>
          <w:szCs w:val="22"/>
        </w:rPr>
      </w:pPr>
      <w:r w:rsidRPr="00B15CBF">
        <w:rPr>
          <w:sz w:val="22"/>
          <w:szCs w:val="22"/>
        </w:rPr>
        <w:t>1 týždeň.</w:t>
      </w:r>
    </w:p>
    <w:p w14:paraId="12BA72B6" w14:textId="77777777" w:rsidR="00B15CBF" w:rsidRPr="00B15CBF" w:rsidRDefault="00B15CBF" w:rsidP="00B15CBF">
      <w:pPr>
        <w:pStyle w:val="Default"/>
        <w:rPr>
          <w:sz w:val="22"/>
          <w:szCs w:val="22"/>
        </w:rPr>
      </w:pPr>
    </w:p>
    <w:p w14:paraId="4B0BBF98" w14:textId="01668A5C" w:rsidR="00B15CBF" w:rsidRDefault="00B15CBF" w:rsidP="00B15CBF">
      <w:pPr>
        <w:pStyle w:val="Default"/>
        <w:rPr>
          <w:sz w:val="22"/>
          <w:szCs w:val="22"/>
        </w:rPr>
      </w:pPr>
      <w:r w:rsidRPr="00B15CBF">
        <w:rPr>
          <w:sz w:val="22"/>
          <w:szCs w:val="22"/>
        </w:rPr>
        <w:t xml:space="preserve">Predpokladá sa, že tieto znížené dávky </w:t>
      </w:r>
      <w:r w:rsidR="00977EA3">
        <w:rPr>
          <w:sz w:val="22"/>
          <w:szCs w:val="22"/>
        </w:rPr>
        <w:t>dasatinibu</w:t>
      </w:r>
      <w:r w:rsidRPr="00B15CBF">
        <w:rPr>
          <w:sz w:val="22"/>
          <w:szCs w:val="22"/>
        </w:rPr>
        <w:t xml:space="preserve"> upravia plochu pod krivkou (AUC) na rozsah pozorovaný bez inhibítorov CYP3A4; klinické údaje s týmito úpravami dávok u</w:t>
      </w:r>
      <w:r w:rsidR="00977EA3">
        <w:rPr>
          <w:sz w:val="22"/>
          <w:szCs w:val="22"/>
        </w:rPr>
        <w:t xml:space="preserve"> </w:t>
      </w:r>
      <w:r w:rsidRPr="00B15CBF">
        <w:rPr>
          <w:sz w:val="22"/>
          <w:szCs w:val="22"/>
        </w:rPr>
        <w:t>pacientov, ktorí užívajú silné inhibítory CYP3A4 však nie sú dostupné. Ak po znížení dávky</w:t>
      </w:r>
      <w:r w:rsidR="00977EA3">
        <w:rPr>
          <w:sz w:val="22"/>
          <w:szCs w:val="22"/>
        </w:rPr>
        <w:t xml:space="preserve"> dasatinib</w:t>
      </w:r>
      <w:r w:rsidRPr="00B15CBF">
        <w:rPr>
          <w:sz w:val="22"/>
          <w:szCs w:val="22"/>
        </w:rPr>
        <w:t xml:space="preserve"> nie je tolerovaný, buď ukončite liečbu silným inhibítorom CYP3A4 alebo prerušte liečbu</w:t>
      </w:r>
      <w:r w:rsidR="00977EA3">
        <w:rPr>
          <w:sz w:val="22"/>
          <w:szCs w:val="22"/>
        </w:rPr>
        <w:t xml:space="preserve"> dasatinibom</w:t>
      </w:r>
      <w:r w:rsidR="00937804">
        <w:rPr>
          <w:sz w:val="22"/>
          <w:szCs w:val="22"/>
        </w:rPr>
        <w:t>,</w:t>
      </w:r>
      <w:r w:rsidRPr="00B15CBF">
        <w:rPr>
          <w:sz w:val="22"/>
          <w:szCs w:val="22"/>
        </w:rPr>
        <w:t xml:space="preserve"> pokým sa neukončí liečba inhibítorom. Pred zvýšením dávky </w:t>
      </w:r>
      <w:r w:rsidR="00977EA3">
        <w:rPr>
          <w:sz w:val="22"/>
          <w:szCs w:val="22"/>
        </w:rPr>
        <w:t>dasatin</w:t>
      </w:r>
      <w:r w:rsidR="00937804">
        <w:rPr>
          <w:sz w:val="22"/>
          <w:szCs w:val="22"/>
        </w:rPr>
        <w:t>i</w:t>
      </w:r>
      <w:r w:rsidR="00977EA3">
        <w:rPr>
          <w:sz w:val="22"/>
          <w:szCs w:val="22"/>
        </w:rPr>
        <w:t>bu</w:t>
      </w:r>
      <w:r w:rsidRPr="00B15CBF">
        <w:rPr>
          <w:sz w:val="22"/>
          <w:szCs w:val="22"/>
        </w:rPr>
        <w:t xml:space="preserve"> ponechajte</w:t>
      </w:r>
      <w:r w:rsidR="00977EA3">
        <w:rPr>
          <w:sz w:val="22"/>
          <w:szCs w:val="22"/>
        </w:rPr>
        <w:t xml:space="preserve"> </w:t>
      </w:r>
      <w:r w:rsidRPr="00B15CBF">
        <w:rPr>
          <w:sz w:val="22"/>
          <w:szCs w:val="22"/>
        </w:rPr>
        <w:t>po ukončení podávania inhibítora obdobie vyplavenia liečiva („washout“) približne 1 týždeň.</w:t>
      </w:r>
    </w:p>
    <w:p w14:paraId="65871F7E" w14:textId="77777777" w:rsidR="00977EA3" w:rsidRPr="00B15CBF" w:rsidRDefault="00977EA3" w:rsidP="00B15CBF">
      <w:pPr>
        <w:pStyle w:val="Default"/>
        <w:rPr>
          <w:sz w:val="22"/>
          <w:szCs w:val="22"/>
        </w:rPr>
      </w:pPr>
    </w:p>
    <w:p w14:paraId="025CB15B" w14:textId="3C7FE2A6" w:rsidR="00BE76D5" w:rsidRPr="004E1637" w:rsidRDefault="00F81BD7" w:rsidP="00570ED6">
      <w:pPr>
        <w:pStyle w:val="CM4"/>
        <w:spacing w:line="240" w:lineRule="auto"/>
        <w:rPr>
          <w:sz w:val="22"/>
          <w:szCs w:val="22"/>
        </w:rPr>
      </w:pPr>
      <w:r>
        <w:rPr>
          <w:sz w:val="22"/>
          <w:szCs w:val="22"/>
          <w:u w:val="single"/>
        </w:rPr>
        <w:t>Osobitné</w:t>
      </w:r>
      <w:r w:rsidR="00BE76D5" w:rsidRPr="00F81BD7">
        <w:rPr>
          <w:sz w:val="22"/>
          <w:szCs w:val="22"/>
          <w:u w:val="single"/>
        </w:rPr>
        <w:t xml:space="preserve"> populácie</w:t>
      </w:r>
      <w:r w:rsidR="00BE76D5" w:rsidRPr="00C11B8A">
        <w:rPr>
          <w:sz w:val="22"/>
          <w:szCs w:val="22"/>
        </w:rPr>
        <w:t xml:space="preserve"> </w:t>
      </w:r>
    </w:p>
    <w:p w14:paraId="5A9F3B49" w14:textId="55D69B4D" w:rsidR="00BE76D5" w:rsidRPr="004E1637" w:rsidRDefault="00BE76D5" w:rsidP="00570ED6">
      <w:pPr>
        <w:pStyle w:val="CM2"/>
        <w:spacing w:line="240" w:lineRule="auto"/>
        <w:rPr>
          <w:sz w:val="22"/>
          <w:szCs w:val="22"/>
        </w:rPr>
      </w:pPr>
      <w:r w:rsidRPr="004E1637">
        <w:rPr>
          <w:i/>
          <w:iCs/>
          <w:sz w:val="22"/>
          <w:szCs w:val="22"/>
          <w:u w:val="single"/>
        </w:rPr>
        <w:t xml:space="preserve">Starší </w:t>
      </w:r>
      <w:r w:rsidR="00937804">
        <w:rPr>
          <w:i/>
          <w:iCs/>
          <w:sz w:val="22"/>
          <w:szCs w:val="22"/>
          <w:u w:val="single"/>
        </w:rPr>
        <w:t>pacienti</w:t>
      </w:r>
      <w:r w:rsidRPr="00C11B8A">
        <w:rPr>
          <w:i/>
          <w:iCs/>
          <w:sz w:val="22"/>
          <w:szCs w:val="22"/>
        </w:rPr>
        <w:t xml:space="preserve"> </w:t>
      </w:r>
    </w:p>
    <w:p w14:paraId="29B24978" w14:textId="77777777" w:rsidR="00BE76D5" w:rsidRPr="004E1637" w:rsidRDefault="00BE76D5" w:rsidP="00570ED6">
      <w:pPr>
        <w:pStyle w:val="CM100"/>
        <w:rPr>
          <w:sz w:val="22"/>
          <w:szCs w:val="22"/>
        </w:rPr>
      </w:pPr>
      <w:r w:rsidRPr="004E1637">
        <w:rPr>
          <w:sz w:val="22"/>
          <w:szCs w:val="22"/>
        </w:rPr>
        <w:t xml:space="preserve">U týchto pacientov sa nepozorovali žiadne klinicky významné farmakokinetické rozdiely súvisiace s vekom. U starších ľudí nie je potrebné osobitné odporúčanie dávkovania. </w:t>
      </w:r>
    </w:p>
    <w:p w14:paraId="37B9544A" w14:textId="77777777" w:rsidR="005E1228" w:rsidRPr="004E1637" w:rsidRDefault="005E1228" w:rsidP="00570ED6">
      <w:pPr>
        <w:pStyle w:val="CM2"/>
        <w:spacing w:line="240" w:lineRule="auto"/>
        <w:rPr>
          <w:i/>
          <w:iCs/>
          <w:sz w:val="22"/>
          <w:szCs w:val="22"/>
          <w:u w:val="single"/>
        </w:rPr>
      </w:pPr>
    </w:p>
    <w:p w14:paraId="5BE37099" w14:textId="77777777" w:rsidR="00BE76D5" w:rsidRPr="004E1637" w:rsidRDefault="00BE76D5" w:rsidP="00570ED6">
      <w:pPr>
        <w:pStyle w:val="CM2"/>
        <w:spacing w:line="240" w:lineRule="auto"/>
        <w:rPr>
          <w:sz w:val="22"/>
          <w:szCs w:val="22"/>
        </w:rPr>
      </w:pPr>
      <w:r w:rsidRPr="004E1637">
        <w:rPr>
          <w:i/>
          <w:iCs/>
          <w:sz w:val="22"/>
          <w:szCs w:val="22"/>
          <w:u w:val="single"/>
        </w:rPr>
        <w:t>Porucha funkcie pečene</w:t>
      </w:r>
      <w:r w:rsidRPr="00C11B8A">
        <w:rPr>
          <w:i/>
          <w:iCs/>
          <w:sz w:val="22"/>
          <w:szCs w:val="22"/>
        </w:rPr>
        <w:t xml:space="preserve"> </w:t>
      </w:r>
    </w:p>
    <w:p w14:paraId="3F6395FE" w14:textId="2510B570" w:rsidR="00BE76D5" w:rsidRPr="004E1637" w:rsidRDefault="00BE76D5" w:rsidP="00570ED6">
      <w:pPr>
        <w:pStyle w:val="CM100"/>
        <w:rPr>
          <w:sz w:val="22"/>
          <w:szCs w:val="22"/>
        </w:rPr>
      </w:pPr>
      <w:r w:rsidRPr="004E1637">
        <w:rPr>
          <w:sz w:val="22"/>
          <w:szCs w:val="22"/>
        </w:rPr>
        <w:t xml:space="preserve">Pacienti s </w:t>
      </w:r>
      <w:r w:rsidR="00937804">
        <w:rPr>
          <w:sz w:val="22"/>
          <w:szCs w:val="22"/>
        </w:rPr>
        <w:t>miernou</w:t>
      </w:r>
      <w:r w:rsidRPr="004E1637">
        <w:rPr>
          <w:sz w:val="22"/>
          <w:szCs w:val="22"/>
        </w:rPr>
        <w:t xml:space="preserve">, stredne ťažkou alebo ťažkou poruchou funkcie pečene môžu dostávať odporúčanú začiatočnú dávku. </w:t>
      </w:r>
      <w:r w:rsidR="005E1228" w:rsidRPr="004E1637">
        <w:rPr>
          <w:sz w:val="22"/>
          <w:szCs w:val="22"/>
        </w:rPr>
        <w:t xml:space="preserve">Dasatinib </w:t>
      </w:r>
      <w:r w:rsidRPr="004E1637">
        <w:rPr>
          <w:sz w:val="22"/>
          <w:szCs w:val="22"/>
        </w:rPr>
        <w:t xml:space="preserve">sa však musí používať </w:t>
      </w:r>
      <w:r w:rsidR="00543609">
        <w:rPr>
          <w:sz w:val="22"/>
          <w:szCs w:val="22"/>
        </w:rPr>
        <w:t xml:space="preserve">s </w:t>
      </w:r>
      <w:r w:rsidRPr="004E1637">
        <w:rPr>
          <w:sz w:val="22"/>
          <w:szCs w:val="22"/>
        </w:rPr>
        <w:t>opatrn</w:t>
      </w:r>
      <w:r w:rsidR="00543609">
        <w:rPr>
          <w:sz w:val="22"/>
          <w:szCs w:val="22"/>
        </w:rPr>
        <w:t>osťou</w:t>
      </w:r>
      <w:r w:rsidRPr="004E1637">
        <w:rPr>
          <w:sz w:val="22"/>
          <w:szCs w:val="22"/>
        </w:rPr>
        <w:t xml:space="preserve"> u pacientov s poruchou funkcie pečene (pozri časť 5.2). </w:t>
      </w:r>
    </w:p>
    <w:p w14:paraId="6A7E0724" w14:textId="77777777" w:rsidR="005E1228" w:rsidRPr="004E1637" w:rsidRDefault="005E1228" w:rsidP="005E1228">
      <w:pPr>
        <w:pStyle w:val="Default"/>
      </w:pPr>
    </w:p>
    <w:p w14:paraId="7FE4D00F" w14:textId="77777777" w:rsidR="00BE76D5" w:rsidRPr="004E1637" w:rsidRDefault="00BE76D5" w:rsidP="00570ED6">
      <w:pPr>
        <w:pStyle w:val="CM2"/>
        <w:spacing w:line="240" w:lineRule="auto"/>
        <w:rPr>
          <w:sz w:val="22"/>
          <w:szCs w:val="22"/>
        </w:rPr>
      </w:pPr>
      <w:r w:rsidRPr="004E1637">
        <w:rPr>
          <w:i/>
          <w:iCs/>
          <w:sz w:val="22"/>
          <w:szCs w:val="22"/>
          <w:u w:val="single"/>
        </w:rPr>
        <w:t>Porucha funkcie obličiek</w:t>
      </w:r>
      <w:r w:rsidRPr="00C11B8A">
        <w:rPr>
          <w:i/>
          <w:iCs/>
          <w:sz w:val="22"/>
          <w:szCs w:val="22"/>
        </w:rPr>
        <w:t xml:space="preserve"> </w:t>
      </w:r>
    </w:p>
    <w:p w14:paraId="080EC371" w14:textId="101B9522" w:rsidR="00BE76D5" w:rsidRPr="004E1637" w:rsidRDefault="00BE76D5" w:rsidP="00570ED6">
      <w:pPr>
        <w:pStyle w:val="CM100"/>
        <w:rPr>
          <w:sz w:val="22"/>
          <w:szCs w:val="22"/>
        </w:rPr>
      </w:pPr>
      <w:r w:rsidRPr="004E1637">
        <w:rPr>
          <w:sz w:val="22"/>
          <w:szCs w:val="22"/>
        </w:rPr>
        <w:t>Neuskutočnili sa žiadne klinické štúdie s</w:t>
      </w:r>
      <w:r w:rsidR="005E1228" w:rsidRPr="004E1637">
        <w:rPr>
          <w:sz w:val="22"/>
          <w:szCs w:val="22"/>
        </w:rPr>
        <w:t xml:space="preserve"> dasatinibom</w:t>
      </w:r>
      <w:r w:rsidRPr="004E1637">
        <w:rPr>
          <w:sz w:val="22"/>
          <w:szCs w:val="22"/>
        </w:rPr>
        <w:t xml:space="preserve"> u pacientov so zníženou funkciou obličiek</w:t>
      </w:r>
      <w:r w:rsidR="00E068C0">
        <w:rPr>
          <w:sz w:val="22"/>
          <w:szCs w:val="22"/>
        </w:rPr>
        <w:t xml:space="preserve">. </w:t>
      </w:r>
      <w:r w:rsidRPr="004E1637">
        <w:rPr>
          <w:sz w:val="22"/>
          <w:szCs w:val="22"/>
        </w:rPr>
        <w:t xml:space="preserve">Vzhľadom na to, že renálny klírens dasatinibu a jeho metabolitov je &lt; 4 %, u pacientov s renálnou insuficienciou sa neočakáva pokles </w:t>
      </w:r>
      <w:r w:rsidRPr="00A60B21">
        <w:rPr>
          <w:sz w:val="22"/>
          <w:szCs w:val="22"/>
        </w:rPr>
        <w:t>celkového telesného klírensu.</w:t>
      </w:r>
      <w:r w:rsidRPr="004E1637">
        <w:rPr>
          <w:sz w:val="22"/>
          <w:szCs w:val="22"/>
        </w:rPr>
        <w:t xml:space="preserve"> </w:t>
      </w:r>
    </w:p>
    <w:p w14:paraId="396C806C" w14:textId="77777777" w:rsidR="005E1228" w:rsidRPr="004E1637" w:rsidRDefault="005E1228" w:rsidP="005E1228">
      <w:pPr>
        <w:pStyle w:val="Default"/>
      </w:pPr>
    </w:p>
    <w:p w14:paraId="128775D2" w14:textId="77777777" w:rsidR="005E1228" w:rsidRPr="004E1637" w:rsidRDefault="00BE76D5" w:rsidP="00570ED6">
      <w:pPr>
        <w:pStyle w:val="CM100"/>
        <w:rPr>
          <w:sz w:val="22"/>
          <w:szCs w:val="22"/>
          <w:u w:val="single"/>
        </w:rPr>
      </w:pPr>
      <w:r w:rsidRPr="004E1637">
        <w:rPr>
          <w:sz w:val="22"/>
          <w:szCs w:val="22"/>
          <w:u w:val="single"/>
        </w:rPr>
        <w:t>Spôsob podávania</w:t>
      </w:r>
      <w:r w:rsidRPr="00C11B8A">
        <w:rPr>
          <w:sz w:val="22"/>
          <w:szCs w:val="22"/>
        </w:rPr>
        <w:t xml:space="preserve"> </w:t>
      </w:r>
    </w:p>
    <w:p w14:paraId="71BFB0CF" w14:textId="0133D825" w:rsidR="005E1228" w:rsidRPr="004E1637" w:rsidRDefault="005E1228" w:rsidP="00570ED6">
      <w:pPr>
        <w:pStyle w:val="CM100"/>
        <w:rPr>
          <w:sz w:val="22"/>
          <w:szCs w:val="22"/>
        </w:rPr>
      </w:pPr>
      <w:r w:rsidRPr="004E1637">
        <w:rPr>
          <w:sz w:val="22"/>
          <w:szCs w:val="22"/>
        </w:rPr>
        <w:t xml:space="preserve">Dasatinib </w:t>
      </w:r>
      <w:r w:rsidR="00BE76D5" w:rsidRPr="004E1637">
        <w:rPr>
          <w:sz w:val="22"/>
          <w:szCs w:val="22"/>
        </w:rPr>
        <w:t>sa musí podáva</w:t>
      </w:r>
      <w:r w:rsidR="00543609">
        <w:rPr>
          <w:sz w:val="22"/>
          <w:szCs w:val="22"/>
        </w:rPr>
        <w:t>ť</w:t>
      </w:r>
      <w:r w:rsidR="00BE76D5" w:rsidRPr="004E1637">
        <w:rPr>
          <w:sz w:val="22"/>
          <w:szCs w:val="22"/>
        </w:rPr>
        <w:t xml:space="preserve"> perorálne. </w:t>
      </w:r>
    </w:p>
    <w:p w14:paraId="230B0FDF" w14:textId="6C02C7FE" w:rsidR="00977EA3" w:rsidRDefault="00BE76D5" w:rsidP="00977EA3">
      <w:pPr>
        <w:pStyle w:val="CM100"/>
        <w:rPr>
          <w:sz w:val="22"/>
          <w:szCs w:val="22"/>
        </w:rPr>
      </w:pPr>
      <w:r w:rsidRPr="004E1637">
        <w:rPr>
          <w:sz w:val="22"/>
          <w:szCs w:val="22"/>
        </w:rPr>
        <w:t>Filmom obalené tablety sa nesmú drviť, deliť ani žuť, aby sa zachovala konzistencia dávkovania a minimalizovalo sa riziko dermálnej expozície, musia sa prehltnúť vcelku. Filmom obalené tablety sa nesmú rozpúšťať, pretože expozícia u pacientov užívajúcich rozpustenú tabletu je nižšia ako u tých, ktorí prehĺtajú celú tabletu</w:t>
      </w:r>
      <w:r w:rsidR="00937804">
        <w:rPr>
          <w:sz w:val="22"/>
          <w:szCs w:val="22"/>
        </w:rPr>
        <w:t>.</w:t>
      </w:r>
      <w:r w:rsidR="00EC4CBB">
        <w:rPr>
          <w:sz w:val="22"/>
          <w:szCs w:val="22"/>
        </w:rPr>
        <w:t xml:space="preserve"> </w:t>
      </w:r>
      <w:r w:rsidR="00937804">
        <w:rPr>
          <w:sz w:val="22"/>
          <w:szCs w:val="22"/>
        </w:rPr>
        <w:t>Lieková forma</w:t>
      </w:r>
      <w:r w:rsidR="00977EA3">
        <w:rPr>
          <w:sz w:val="22"/>
          <w:szCs w:val="22"/>
        </w:rPr>
        <w:t xml:space="preserve"> </w:t>
      </w:r>
      <w:r w:rsidR="00977EA3" w:rsidRPr="00977EA3">
        <w:rPr>
          <w:sz w:val="22"/>
          <w:szCs w:val="22"/>
        </w:rPr>
        <w:t>práš</w:t>
      </w:r>
      <w:r w:rsidR="00977EA3">
        <w:rPr>
          <w:sz w:val="22"/>
          <w:szCs w:val="22"/>
        </w:rPr>
        <w:t>o</w:t>
      </w:r>
      <w:r w:rsidR="00977EA3" w:rsidRPr="00977EA3">
        <w:rPr>
          <w:sz w:val="22"/>
          <w:szCs w:val="22"/>
        </w:rPr>
        <w:t>k na perorálnu suspenziu je dostupn</w:t>
      </w:r>
      <w:r w:rsidR="00937804">
        <w:rPr>
          <w:sz w:val="22"/>
          <w:szCs w:val="22"/>
        </w:rPr>
        <w:t>á</w:t>
      </w:r>
      <w:r w:rsidR="00977EA3" w:rsidRPr="00977EA3">
        <w:rPr>
          <w:sz w:val="22"/>
          <w:szCs w:val="22"/>
        </w:rPr>
        <w:t xml:space="preserve"> pre pediatrických</w:t>
      </w:r>
      <w:r w:rsidR="00977EA3">
        <w:rPr>
          <w:sz w:val="22"/>
          <w:szCs w:val="22"/>
        </w:rPr>
        <w:t xml:space="preserve"> </w:t>
      </w:r>
      <w:r w:rsidR="00977EA3" w:rsidRPr="00977EA3">
        <w:rPr>
          <w:sz w:val="22"/>
          <w:szCs w:val="22"/>
        </w:rPr>
        <w:t xml:space="preserve">pacientov s </w:t>
      </w:r>
      <w:r w:rsidR="00C46A71">
        <w:rPr>
          <w:sz w:val="22"/>
          <w:szCs w:val="22"/>
        </w:rPr>
        <w:t>Ph+ ALL</w:t>
      </w:r>
      <w:r w:rsidR="00977EA3" w:rsidRPr="00977EA3">
        <w:rPr>
          <w:sz w:val="22"/>
          <w:szCs w:val="22"/>
        </w:rPr>
        <w:t>, ktorí nevedia prehĺtať</w:t>
      </w:r>
      <w:r w:rsidR="00937804">
        <w:rPr>
          <w:sz w:val="22"/>
          <w:szCs w:val="22"/>
        </w:rPr>
        <w:t xml:space="preserve"> tablety</w:t>
      </w:r>
      <w:r w:rsidR="00977EA3" w:rsidRPr="00977EA3">
        <w:rPr>
          <w:sz w:val="22"/>
          <w:szCs w:val="22"/>
        </w:rPr>
        <w:t xml:space="preserve">. </w:t>
      </w:r>
    </w:p>
    <w:p w14:paraId="3762FD0B" w14:textId="77777777" w:rsidR="00977EA3" w:rsidRDefault="00977EA3" w:rsidP="00977EA3">
      <w:pPr>
        <w:pStyle w:val="CM100"/>
        <w:rPr>
          <w:sz w:val="22"/>
          <w:szCs w:val="22"/>
        </w:rPr>
      </w:pPr>
    </w:p>
    <w:p w14:paraId="61EEE5E4" w14:textId="55B4AB1D" w:rsidR="00BE76D5" w:rsidRPr="004E1637" w:rsidRDefault="005E1228" w:rsidP="00977EA3">
      <w:pPr>
        <w:pStyle w:val="CM100"/>
        <w:rPr>
          <w:sz w:val="22"/>
          <w:szCs w:val="22"/>
        </w:rPr>
      </w:pPr>
      <w:r w:rsidRPr="004E1637">
        <w:rPr>
          <w:sz w:val="22"/>
          <w:szCs w:val="22"/>
        </w:rPr>
        <w:t>Dasatinib</w:t>
      </w:r>
      <w:r w:rsidR="00977EA3">
        <w:rPr>
          <w:sz w:val="22"/>
          <w:szCs w:val="22"/>
        </w:rPr>
        <w:t xml:space="preserve"> sa môže užívať s jedlom alebo bez jedla a má sa užívať dôsledne buď ráno alebo večer. Dasatinib</w:t>
      </w:r>
      <w:r w:rsidRPr="004E1637">
        <w:rPr>
          <w:sz w:val="22"/>
          <w:szCs w:val="22"/>
        </w:rPr>
        <w:t xml:space="preserve"> </w:t>
      </w:r>
      <w:r w:rsidR="00BE76D5" w:rsidRPr="004E1637">
        <w:rPr>
          <w:sz w:val="22"/>
          <w:szCs w:val="22"/>
        </w:rPr>
        <w:t xml:space="preserve">sa nesmie užívať s grapefruitom alebo grapefruitovým džúsom (pozri časť 4.5). </w:t>
      </w:r>
    </w:p>
    <w:p w14:paraId="24F63CDD" w14:textId="77777777" w:rsidR="005E1228" w:rsidRPr="004E1637" w:rsidRDefault="005E1228" w:rsidP="005E1228">
      <w:pPr>
        <w:pStyle w:val="Default"/>
      </w:pPr>
    </w:p>
    <w:p w14:paraId="1589A661" w14:textId="1CA52A41" w:rsidR="00BE76D5" w:rsidRPr="004E1637" w:rsidRDefault="00BE76D5" w:rsidP="00895A04">
      <w:pPr>
        <w:pStyle w:val="CM100"/>
        <w:tabs>
          <w:tab w:val="left" w:pos="567"/>
        </w:tabs>
        <w:spacing w:after="191" w:line="238" w:lineRule="atLeast"/>
        <w:rPr>
          <w:sz w:val="22"/>
          <w:szCs w:val="22"/>
        </w:rPr>
      </w:pPr>
      <w:r w:rsidRPr="004E1637">
        <w:rPr>
          <w:b/>
          <w:bCs/>
          <w:sz w:val="22"/>
          <w:szCs w:val="22"/>
        </w:rPr>
        <w:t xml:space="preserve">4.3 </w:t>
      </w:r>
      <w:r w:rsidR="00895A04">
        <w:rPr>
          <w:b/>
          <w:bCs/>
          <w:sz w:val="22"/>
          <w:szCs w:val="22"/>
        </w:rPr>
        <w:tab/>
      </w:r>
      <w:r w:rsidRPr="004E1637">
        <w:rPr>
          <w:b/>
          <w:bCs/>
          <w:sz w:val="22"/>
          <w:szCs w:val="22"/>
        </w:rPr>
        <w:t xml:space="preserve">Kontraindikácie </w:t>
      </w:r>
    </w:p>
    <w:p w14:paraId="5CC0A4A3" w14:textId="77777777" w:rsidR="00BE76D5" w:rsidRPr="004E1637" w:rsidRDefault="00BE76D5">
      <w:pPr>
        <w:pStyle w:val="CM100"/>
        <w:spacing w:after="237" w:line="238" w:lineRule="atLeast"/>
        <w:rPr>
          <w:sz w:val="22"/>
          <w:szCs w:val="22"/>
        </w:rPr>
      </w:pPr>
      <w:r w:rsidRPr="004E1637">
        <w:rPr>
          <w:sz w:val="22"/>
          <w:szCs w:val="22"/>
        </w:rPr>
        <w:t xml:space="preserve">Precitlivenosť na liečivo alebo na ktorúkoľvek z pomocných látok uvedených v časti 6.1. </w:t>
      </w:r>
    </w:p>
    <w:p w14:paraId="6578F367" w14:textId="06E246BE" w:rsidR="00BE76D5" w:rsidRPr="004E1637" w:rsidRDefault="00BE76D5" w:rsidP="00895A04">
      <w:pPr>
        <w:pStyle w:val="CM100"/>
        <w:tabs>
          <w:tab w:val="left" w:pos="567"/>
        </w:tabs>
        <w:spacing w:after="193" w:line="238" w:lineRule="atLeast"/>
        <w:rPr>
          <w:sz w:val="22"/>
          <w:szCs w:val="22"/>
        </w:rPr>
      </w:pPr>
      <w:r w:rsidRPr="004E1637">
        <w:rPr>
          <w:b/>
          <w:bCs/>
          <w:sz w:val="22"/>
          <w:szCs w:val="22"/>
        </w:rPr>
        <w:t>4.4</w:t>
      </w:r>
      <w:r w:rsidR="00895A04">
        <w:rPr>
          <w:b/>
          <w:bCs/>
          <w:sz w:val="22"/>
          <w:szCs w:val="22"/>
        </w:rPr>
        <w:tab/>
      </w:r>
      <w:r w:rsidRPr="004E1637">
        <w:rPr>
          <w:b/>
          <w:bCs/>
          <w:sz w:val="22"/>
          <w:szCs w:val="22"/>
        </w:rPr>
        <w:t xml:space="preserve">Osobitné upozornenia a opatrenia pri používaní </w:t>
      </w:r>
    </w:p>
    <w:p w14:paraId="6C1EAFB9" w14:textId="77777777" w:rsidR="0046226C" w:rsidRPr="004E1637" w:rsidRDefault="00BE76D5" w:rsidP="0046226C">
      <w:pPr>
        <w:pStyle w:val="CM100"/>
        <w:rPr>
          <w:sz w:val="22"/>
          <w:szCs w:val="22"/>
          <w:u w:val="single"/>
        </w:rPr>
      </w:pPr>
      <w:r w:rsidRPr="004E1637">
        <w:rPr>
          <w:sz w:val="22"/>
          <w:szCs w:val="22"/>
          <w:u w:val="single"/>
        </w:rPr>
        <w:t xml:space="preserve">Klinicky významné interakcie </w:t>
      </w:r>
    </w:p>
    <w:p w14:paraId="70484F54" w14:textId="77777777" w:rsidR="00BE76D5" w:rsidRPr="004E1637" w:rsidRDefault="00BE76D5" w:rsidP="0046226C">
      <w:pPr>
        <w:pStyle w:val="CM100"/>
        <w:rPr>
          <w:sz w:val="22"/>
          <w:szCs w:val="22"/>
        </w:rPr>
      </w:pPr>
      <w:r w:rsidRPr="004E1637">
        <w:rPr>
          <w:sz w:val="22"/>
          <w:szCs w:val="22"/>
        </w:rPr>
        <w:lastRenderedPageBreak/>
        <w:t xml:space="preserve">Dasatinib je substrátom a inhibítorom cytochrómu P450 (CYP) 3A4. Z tohto dôvodu existuje možnosť interakcie s inými súbežne podávanými liekmi, ktoré sú metabolizované prevažne prostredníctvom CYP3A4 alebo ktoré modulujú aktivitu CYP3A4 (pozri časť 4.5). </w:t>
      </w:r>
    </w:p>
    <w:p w14:paraId="211844ED" w14:textId="77777777" w:rsidR="0046226C" w:rsidRPr="004E1637" w:rsidRDefault="0046226C" w:rsidP="0046226C">
      <w:pPr>
        <w:pStyle w:val="Default"/>
      </w:pPr>
    </w:p>
    <w:p w14:paraId="3B18F1DE" w14:textId="77777777" w:rsidR="00BE76D5" w:rsidRPr="004E1637" w:rsidRDefault="00BE76D5" w:rsidP="0046226C">
      <w:pPr>
        <w:pStyle w:val="CM100"/>
        <w:rPr>
          <w:sz w:val="22"/>
          <w:szCs w:val="22"/>
        </w:rPr>
      </w:pPr>
      <w:r w:rsidRPr="004E1637">
        <w:rPr>
          <w:sz w:val="22"/>
          <w:szCs w:val="22"/>
        </w:rPr>
        <w:t xml:space="preserve">Súbežné užívanie dasatinibu a liekov alebo látok, ktoré silne inhibujú CYP3A4 (napr. ketokonazol, itrakonazol, erytromycín, klaritromycín, ritonavir, telitromycín, grapefruitový džús) môže zvýšiť expozíciu dasatinibu. Z tohto dôvodu sa u pacientov liečených dasatinibom neodporúča súbežné podávanie silného inhibítora CYP3A4 (pozri časť 4.5). </w:t>
      </w:r>
    </w:p>
    <w:p w14:paraId="4703AD36" w14:textId="77777777" w:rsidR="0046226C" w:rsidRPr="004E1637" w:rsidRDefault="0046226C" w:rsidP="0046226C">
      <w:pPr>
        <w:pStyle w:val="Default"/>
      </w:pPr>
    </w:p>
    <w:p w14:paraId="7318C91B" w14:textId="13BFC55D" w:rsidR="00BE76D5" w:rsidRPr="004E1637" w:rsidRDefault="00BE76D5" w:rsidP="0046226C">
      <w:pPr>
        <w:pStyle w:val="CM100"/>
        <w:rPr>
          <w:sz w:val="22"/>
          <w:szCs w:val="22"/>
        </w:rPr>
      </w:pPr>
      <w:r w:rsidRPr="004E1637">
        <w:rPr>
          <w:sz w:val="22"/>
          <w:szCs w:val="22"/>
        </w:rPr>
        <w:t xml:space="preserve">Súbežné užívanie dasatinibu a liekov, ktoré indukujú CYP3A4 (napr. dexametazón, fenytoín, karbamazepín, rifampicín, fenobarbital alebo rastlinné lieky obsahujúce </w:t>
      </w:r>
      <w:r w:rsidRPr="004E1637">
        <w:rPr>
          <w:i/>
          <w:iCs/>
          <w:sz w:val="22"/>
          <w:szCs w:val="22"/>
        </w:rPr>
        <w:t>Hypericum perforatum</w:t>
      </w:r>
      <w:r w:rsidR="0046226C" w:rsidRPr="004E1637">
        <w:rPr>
          <w:sz w:val="22"/>
          <w:szCs w:val="22"/>
        </w:rPr>
        <w:t>, známy aj ako ľ</w:t>
      </w:r>
      <w:r w:rsidRPr="004E1637">
        <w:rPr>
          <w:sz w:val="22"/>
          <w:szCs w:val="22"/>
        </w:rPr>
        <w:t xml:space="preserve">ubovník bodkovaný), môže </w:t>
      </w:r>
      <w:r w:rsidR="00E70124">
        <w:rPr>
          <w:sz w:val="22"/>
          <w:szCs w:val="22"/>
        </w:rPr>
        <w:t>výrazne</w:t>
      </w:r>
      <w:r w:rsidRPr="004E1637">
        <w:rPr>
          <w:sz w:val="22"/>
          <w:szCs w:val="22"/>
        </w:rPr>
        <w:t xml:space="preserve"> znížiť expozíciu dasatinibu, a tým prípadne zvýšiť riziko zlyhania liečby. Preto sa u pacientov liečených dasatinibom má zvoliť súbežné podávanie alternatívnych liekov s menším potenciálom indukci</w:t>
      </w:r>
      <w:r w:rsidR="00E70124">
        <w:rPr>
          <w:sz w:val="22"/>
          <w:szCs w:val="22"/>
        </w:rPr>
        <w:t>e</w:t>
      </w:r>
      <w:r w:rsidRPr="004E1637">
        <w:rPr>
          <w:sz w:val="22"/>
          <w:szCs w:val="22"/>
        </w:rPr>
        <w:t xml:space="preserve"> CYP3A4 (pozri časť 4.5). </w:t>
      </w:r>
    </w:p>
    <w:p w14:paraId="18E7FE82" w14:textId="77777777" w:rsidR="0046226C" w:rsidRPr="004E1637" w:rsidRDefault="0046226C" w:rsidP="0046226C">
      <w:pPr>
        <w:pStyle w:val="Default"/>
      </w:pPr>
    </w:p>
    <w:p w14:paraId="171B71B5" w14:textId="7D067152" w:rsidR="0046226C" w:rsidRPr="004E1637" w:rsidRDefault="00BE76D5" w:rsidP="0046226C">
      <w:pPr>
        <w:pStyle w:val="CM100"/>
        <w:rPr>
          <w:sz w:val="22"/>
          <w:szCs w:val="22"/>
        </w:rPr>
      </w:pPr>
      <w:r w:rsidRPr="004E1637">
        <w:rPr>
          <w:sz w:val="22"/>
          <w:szCs w:val="22"/>
        </w:rPr>
        <w:t>Súbežné užívanie dasatinibu a substrát</w:t>
      </w:r>
      <w:r w:rsidR="00E70124">
        <w:rPr>
          <w:sz w:val="22"/>
          <w:szCs w:val="22"/>
        </w:rPr>
        <w:t>ov</w:t>
      </w:r>
      <w:r w:rsidRPr="004E1637">
        <w:rPr>
          <w:sz w:val="22"/>
          <w:szCs w:val="22"/>
        </w:rPr>
        <w:t xml:space="preserve"> CYP3A4 môže zvýšiť expozíciu substrát</w:t>
      </w:r>
      <w:r w:rsidR="00E70124">
        <w:rPr>
          <w:sz w:val="22"/>
          <w:szCs w:val="22"/>
        </w:rPr>
        <w:t>ov</w:t>
      </w:r>
      <w:r w:rsidRPr="004E1637">
        <w:rPr>
          <w:sz w:val="22"/>
          <w:szCs w:val="22"/>
        </w:rPr>
        <w:t xml:space="preserve"> CYP3A4. Z tohto dôvodu je potrebná opatrnosť, ak sa dasatinib podáva súbežne so substrátmi CYP3A4 s úzk</w:t>
      </w:r>
      <w:r w:rsidR="00CC77DF">
        <w:rPr>
          <w:sz w:val="22"/>
          <w:szCs w:val="22"/>
        </w:rPr>
        <w:t>ym</w:t>
      </w:r>
      <w:r w:rsidRPr="004E1637">
        <w:rPr>
          <w:sz w:val="22"/>
          <w:szCs w:val="22"/>
        </w:rPr>
        <w:t xml:space="preserve"> terapeutick</w:t>
      </w:r>
      <w:r w:rsidR="00CC77DF">
        <w:rPr>
          <w:sz w:val="22"/>
          <w:szCs w:val="22"/>
        </w:rPr>
        <w:t>ým</w:t>
      </w:r>
      <w:r w:rsidRPr="004E1637">
        <w:rPr>
          <w:sz w:val="22"/>
          <w:szCs w:val="22"/>
        </w:rPr>
        <w:t xml:space="preserve"> </w:t>
      </w:r>
      <w:r w:rsidR="00CC77DF">
        <w:rPr>
          <w:sz w:val="22"/>
          <w:szCs w:val="22"/>
        </w:rPr>
        <w:t>indexom</w:t>
      </w:r>
      <w:r w:rsidRPr="004E1637">
        <w:rPr>
          <w:sz w:val="22"/>
          <w:szCs w:val="22"/>
        </w:rPr>
        <w:t xml:space="preserve">, ako sú astemizol, terfenadín, cisaprid, pimozid, chinidín, bepridil alebo námeľové alkaloidy (ergotamín, dihydroergotamín) (pozri časť 4.5). </w:t>
      </w:r>
    </w:p>
    <w:p w14:paraId="12E5F43D" w14:textId="77777777" w:rsidR="0046226C" w:rsidRPr="004E1637" w:rsidRDefault="0046226C" w:rsidP="0046226C">
      <w:pPr>
        <w:pStyle w:val="CM100"/>
        <w:rPr>
          <w:sz w:val="22"/>
          <w:szCs w:val="22"/>
        </w:rPr>
      </w:pPr>
    </w:p>
    <w:p w14:paraId="1AD78694" w14:textId="69436584" w:rsidR="0046226C" w:rsidRPr="004E1637" w:rsidRDefault="00BE76D5" w:rsidP="0046226C">
      <w:pPr>
        <w:pStyle w:val="CM100"/>
        <w:rPr>
          <w:sz w:val="22"/>
          <w:szCs w:val="22"/>
        </w:rPr>
      </w:pPr>
      <w:r w:rsidRPr="004E1637">
        <w:rPr>
          <w:sz w:val="22"/>
          <w:szCs w:val="22"/>
        </w:rPr>
        <w:t>Súbežné užívanie dasatinibu a</w:t>
      </w:r>
      <w:r w:rsidR="00725AD1">
        <w:rPr>
          <w:sz w:val="22"/>
          <w:szCs w:val="22"/>
        </w:rPr>
        <w:t xml:space="preserve"> </w:t>
      </w:r>
      <w:r w:rsidR="00E70124">
        <w:rPr>
          <w:sz w:val="22"/>
          <w:szCs w:val="22"/>
        </w:rPr>
        <w:t>antagonistu </w:t>
      </w:r>
      <w:r w:rsidRPr="004E1637">
        <w:rPr>
          <w:sz w:val="22"/>
          <w:szCs w:val="22"/>
        </w:rPr>
        <w:t>histamínového</w:t>
      </w:r>
      <w:r w:rsidR="00E70124">
        <w:rPr>
          <w:sz w:val="22"/>
          <w:szCs w:val="22"/>
        </w:rPr>
        <w:t xml:space="preserve"> </w:t>
      </w:r>
      <w:r w:rsidR="00DD2979">
        <w:rPr>
          <w:sz w:val="22"/>
          <w:szCs w:val="22"/>
        </w:rPr>
        <w:t>receptora</w:t>
      </w:r>
      <w:r w:rsidR="00E70124">
        <w:rPr>
          <w:sz w:val="22"/>
          <w:szCs w:val="22"/>
        </w:rPr>
        <w:t xml:space="preserve"> typu 2</w:t>
      </w:r>
      <w:r w:rsidRPr="004E1637">
        <w:rPr>
          <w:sz w:val="22"/>
          <w:szCs w:val="22"/>
        </w:rPr>
        <w:t xml:space="preserve"> (H</w:t>
      </w:r>
      <w:r w:rsidRPr="004E1637">
        <w:rPr>
          <w:sz w:val="22"/>
          <w:szCs w:val="22"/>
          <w:vertAlign w:val="subscript"/>
        </w:rPr>
        <w:t>2</w:t>
      </w:r>
      <w:r w:rsidRPr="004E1637">
        <w:rPr>
          <w:sz w:val="22"/>
          <w:szCs w:val="22"/>
        </w:rPr>
        <w:t>) (napr. famotidínu), inhibítora protónovej pumpy (napr. omeprazolu) alebo hydroxidu hlinitého/hydroxidu horečnatého môže znížiť expozíciu dasatinibu. Preto sa H</w:t>
      </w:r>
      <w:r w:rsidRPr="004E1637">
        <w:rPr>
          <w:sz w:val="22"/>
          <w:szCs w:val="22"/>
          <w:vertAlign w:val="subscript"/>
        </w:rPr>
        <w:t>2</w:t>
      </w:r>
      <w:r w:rsidRPr="004E1637">
        <w:rPr>
          <w:sz w:val="22"/>
          <w:szCs w:val="22"/>
        </w:rPr>
        <w:t xml:space="preserve">-antagonisty a inhibítory protónovej pumpy neodporúčajú a </w:t>
      </w:r>
      <w:r w:rsidR="00942981">
        <w:rPr>
          <w:sz w:val="22"/>
          <w:szCs w:val="22"/>
        </w:rPr>
        <w:t>lieky</w:t>
      </w:r>
      <w:r w:rsidRPr="004E1637">
        <w:rPr>
          <w:sz w:val="22"/>
          <w:szCs w:val="22"/>
        </w:rPr>
        <w:t xml:space="preserve"> s obsahom hydroxidu hlinitého/hydroxidu horečnatého sa majú podať 2 hodiny pred alebo 2 hodiny po podaní dasatinibu (pozri časť 4.5).</w:t>
      </w:r>
    </w:p>
    <w:p w14:paraId="59529B01" w14:textId="77777777" w:rsidR="00BE76D5" w:rsidRPr="004E1637" w:rsidRDefault="00BE76D5" w:rsidP="0046226C">
      <w:pPr>
        <w:pStyle w:val="CM100"/>
        <w:rPr>
          <w:sz w:val="22"/>
          <w:szCs w:val="22"/>
        </w:rPr>
      </w:pPr>
      <w:r w:rsidRPr="004E1637">
        <w:rPr>
          <w:sz w:val="22"/>
          <w:szCs w:val="22"/>
        </w:rPr>
        <w:t xml:space="preserve"> </w:t>
      </w:r>
    </w:p>
    <w:p w14:paraId="51115AE4" w14:textId="152AB20F" w:rsidR="0046226C" w:rsidRPr="004E1637" w:rsidRDefault="00F81BD7" w:rsidP="0046226C">
      <w:pPr>
        <w:pStyle w:val="CM100"/>
        <w:rPr>
          <w:sz w:val="22"/>
          <w:szCs w:val="22"/>
          <w:u w:val="single"/>
        </w:rPr>
      </w:pPr>
      <w:r>
        <w:rPr>
          <w:sz w:val="22"/>
          <w:szCs w:val="22"/>
          <w:u w:val="single"/>
        </w:rPr>
        <w:t>Osobitné</w:t>
      </w:r>
      <w:r w:rsidR="00BE76D5" w:rsidRPr="004E1637">
        <w:rPr>
          <w:sz w:val="22"/>
          <w:szCs w:val="22"/>
          <w:u w:val="single"/>
        </w:rPr>
        <w:t xml:space="preserve"> populácie</w:t>
      </w:r>
      <w:r w:rsidR="00BE76D5" w:rsidRPr="00C11B8A">
        <w:rPr>
          <w:sz w:val="22"/>
          <w:szCs w:val="22"/>
        </w:rPr>
        <w:t xml:space="preserve"> </w:t>
      </w:r>
    </w:p>
    <w:p w14:paraId="21D8BB64" w14:textId="0B0297FD" w:rsidR="00BE76D5" w:rsidRPr="004E1637" w:rsidRDefault="00BE76D5" w:rsidP="0046226C">
      <w:pPr>
        <w:pStyle w:val="CM100"/>
        <w:rPr>
          <w:sz w:val="22"/>
          <w:szCs w:val="22"/>
        </w:rPr>
      </w:pPr>
      <w:r w:rsidRPr="004E1637">
        <w:rPr>
          <w:sz w:val="22"/>
          <w:szCs w:val="22"/>
        </w:rPr>
        <w:t xml:space="preserve">Na základe záverov farmakokinetickej štúdie s jednorazovou dávkou, pacienti s </w:t>
      </w:r>
      <w:r w:rsidR="00DD2979">
        <w:rPr>
          <w:sz w:val="22"/>
          <w:szCs w:val="22"/>
        </w:rPr>
        <w:t>miernou</w:t>
      </w:r>
      <w:r w:rsidRPr="004E1637">
        <w:rPr>
          <w:sz w:val="22"/>
          <w:szCs w:val="22"/>
        </w:rPr>
        <w:t xml:space="preserve">, stredne ťažkou alebo ťažkou poruchou funkcie pečene môžu dostávať odporúčanú začiatočnú dávku (pozri časť 5.2). Z dôvodu obmedzení klinickej štúdie sa odporúča opatrnosť pri podávaní dasatinibu pacientom s poruchou funkcie pečene. </w:t>
      </w:r>
    </w:p>
    <w:p w14:paraId="1299A7A6" w14:textId="77777777" w:rsidR="0046226C" w:rsidRPr="004E1637" w:rsidRDefault="0046226C" w:rsidP="0046226C">
      <w:pPr>
        <w:pStyle w:val="Default"/>
      </w:pPr>
    </w:p>
    <w:p w14:paraId="2BC14740" w14:textId="77777777" w:rsidR="00BE76D5" w:rsidRPr="004E1637" w:rsidRDefault="00BE76D5" w:rsidP="0046226C">
      <w:pPr>
        <w:pStyle w:val="CM2"/>
        <w:spacing w:line="240" w:lineRule="auto"/>
        <w:rPr>
          <w:sz w:val="22"/>
          <w:szCs w:val="22"/>
        </w:rPr>
      </w:pPr>
      <w:r w:rsidRPr="004E1637">
        <w:rPr>
          <w:sz w:val="22"/>
          <w:szCs w:val="22"/>
          <w:u w:val="single"/>
        </w:rPr>
        <w:t>Významné nežiaduce reakcie</w:t>
      </w:r>
      <w:r w:rsidRPr="00C11B8A">
        <w:rPr>
          <w:sz w:val="22"/>
          <w:szCs w:val="22"/>
        </w:rPr>
        <w:t xml:space="preserve"> </w:t>
      </w:r>
    </w:p>
    <w:p w14:paraId="30D721B7" w14:textId="77777777" w:rsidR="00BE76D5" w:rsidRPr="00A935A3" w:rsidRDefault="00BE76D5" w:rsidP="0046226C">
      <w:pPr>
        <w:pStyle w:val="CM2"/>
        <w:spacing w:line="240" w:lineRule="auto"/>
        <w:rPr>
          <w:sz w:val="22"/>
          <w:szCs w:val="22"/>
        </w:rPr>
      </w:pPr>
      <w:r w:rsidRPr="00354A4A">
        <w:rPr>
          <w:i/>
          <w:iCs/>
          <w:sz w:val="22"/>
          <w:szCs w:val="22"/>
          <w:u w:val="single"/>
        </w:rPr>
        <w:t>Myelosupresia</w:t>
      </w:r>
      <w:r w:rsidRPr="00A935A3">
        <w:rPr>
          <w:i/>
          <w:iCs/>
          <w:sz w:val="22"/>
          <w:szCs w:val="22"/>
        </w:rPr>
        <w:t xml:space="preserve"> </w:t>
      </w:r>
    </w:p>
    <w:p w14:paraId="48353D8D" w14:textId="4D4F2752" w:rsidR="00BE76D5" w:rsidRPr="004E1637" w:rsidRDefault="00BE76D5" w:rsidP="00314BE3">
      <w:pPr>
        <w:pStyle w:val="CM100"/>
        <w:rPr>
          <w:sz w:val="22"/>
          <w:szCs w:val="22"/>
        </w:rPr>
      </w:pPr>
      <w:r w:rsidRPr="00A935A3">
        <w:rPr>
          <w:sz w:val="22"/>
          <w:szCs w:val="22"/>
        </w:rPr>
        <w:t>Liečba dasatinibom sa spája s anémiou, neutropéniou a trombocytopéniou. U</w:t>
      </w:r>
      <w:r w:rsidR="00314BE3" w:rsidRPr="00A935A3">
        <w:rPr>
          <w:sz w:val="22"/>
          <w:szCs w:val="22"/>
        </w:rPr>
        <w:t xml:space="preserve"> dospelých </w:t>
      </w:r>
      <w:r w:rsidRPr="00A935A3">
        <w:rPr>
          <w:sz w:val="22"/>
          <w:szCs w:val="22"/>
        </w:rPr>
        <w:t xml:space="preserve">pacientov s Ph+ ALL </w:t>
      </w:r>
      <w:r w:rsidR="00314BE3" w:rsidRPr="00A935A3">
        <w:rPr>
          <w:sz w:val="22"/>
          <w:szCs w:val="22"/>
        </w:rPr>
        <w:t>li</w:t>
      </w:r>
      <w:r w:rsidR="00725AD1" w:rsidRPr="00A935A3">
        <w:rPr>
          <w:sz w:val="22"/>
          <w:szCs w:val="22"/>
        </w:rPr>
        <w:t xml:space="preserve">ečených dasatinibom </w:t>
      </w:r>
      <w:r w:rsidR="00725AD1" w:rsidRPr="00354A4A">
        <w:rPr>
          <w:sz w:val="22"/>
          <w:szCs w:val="22"/>
        </w:rPr>
        <w:t>v</w:t>
      </w:r>
      <w:r w:rsidR="00314BE3" w:rsidRPr="00354A4A">
        <w:rPr>
          <w:sz w:val="22"/>
          <w:szCs w:val="22"/>
        </w:rPr>
        <w:t xml:space="preserve"> </w:t>
      </w:r>
      <w:r w:rsidR="00725AD1" w:rsidRPr="00354A4A">
        <w:rPr>
          <w:sz w:val="22"/>
          <w:szCs w:val="22"/>
        </w:rPr>
        <w:t>monoterapii</w:t>
      </w:r>
      <w:r w:rsidR="00314BE3" w:rsidRPr="00A935A3">
        <w:rPr>
          <w:sz w:val="22"/>
          <w:szCs w:val="22"/>
        </w:rPr>
        <w:t xml:space="preserve"> </w:t>
      </w:r>
      <w:r w:rsidRPr="00A935A3">
        <w:rPr>
          <w:sz w:val="22"/>
          <w:szCs w:val="22"/>
        </w:rPr>
        <w:t xml:space="preserve">sa kontrola kompletného krvného obrazu </w:t>
      </w:r>
      <w:r w:rsidR="00314BE3" w:rsidRPr="00A935A3">
        <w:rPr>
          <w:sz w:val="22"/>
          <w:szCs w:val="22"/>
        </w:rPr>
        <w:t xml:space="preserve">(complete blood </w:t>
      </w:r>
      <w:r w:rsidR="00314BE3" w:rsidRPr="00354A4A">
        <w:rPr>
          <w:sz w:val="22"/>
          <w:szCs w:val="22"/>
        </w:rPr>
        <w:t>counts</w:t>
      </w:r>
      <w:r w:rsidR="00725AD1" w:rsidRPr="00354A4A">
        <w:rPr>
          <w:sz w:val="22"/>
          <w:szCs w:val="22"/>
        </w:rPr>
        <w:t>, CBCs</w:t>
      </w:r>
      <w:r w:rsidR="00314BE3" w:rsidRPr="00A935A3">
        <w:rPr>
          <w:sz w:val="22"/>
          <w:szCs w:val="22"/>
        </w:rPr>
        <w:t xml:space="preserve">) </w:t>
      </w:r>
      <w:r w:rsidRPr="00A935A3">
        <w:rPr>
          <w:sz w:val="22"/>
          <w:szCs w:val="22"/>
        </w:rPr>
        <w:t>musí vykonávať raz za týždeň</w:t>
      </w:r>
      <w:r w:rsidRPr="004E1637">
        <w:rPr>
          <w:sz w:val="22"/>
          <w:szCs w:val="22"/>
        </w:rPr>
        <w:t xml:space="preserve"> počas prvých 2 mesiacov a potom raz za mesiac alebo ak je to klinicky indikované. </w:t>
      </w:r>
      <w:r w:rsidR="00AB7E5E" w:rsidRPr="004E1637">
        <w:rPr>
          <w:sz w:val="22"/>
          <w:szCs w:val="22"/>
        </w:rPr>
        <w:t xml:space="preserve">Myelosupresia je obvykle reverzibilná a zvyčajne bola zvládnutá dočasným </w:t>
      </w:r>
      <w:r w:rsidR="00AB7E5E">
        <w:rPr>
          <w:sz w:val="22"/>
          <w:szCs w:val="22"/>
        </w:rPr>
        <w:t>prerušením podávania</w:t>
      </w:r>
      <w:r w:rsidR="00AB7E5E" w:rsidRPr="004E1637">
        <w:rPr>
          <w:sz w:val="22"/>
          <w:szCs w:val="22"/>
        </w:rPr>
        <w:t xml:space="preserve"> dasatinibu alebo redukciou dávky</w:t>
      </w:r>
      <w:r w:rsidR="00AB7E5E">
        <w:rPr>
          <w:sz w:val="22"/>
          <w:szCs w:val="22"/>
        </w:rPr>
        <w:t xml:space="preserve">. </w:t>
      </w:r>
      <w:r w:rsidR="00201DE4" w:rsidRPr="00201DE4">
        <w:rPr>
          <w:sz w:val="22"/>
          <w:szCs w:val="22"/>
        </w:rPr>
        <w:t>U pediatrických pacientov s</w:t>
      </w:r>
      <w:r w:rsidR="00C46A71">
        <w:rPr>
          <w:sz w:val="22"/>
          <w:szCs w:val="22"/>
        </w:rPr>
        <w:t xml:space="preserve"> Ph+ </w:t>
      </w:r>
      <w:r w:rsidR="00201DE4" w:rsidRPr="00201DE4">
        <w:rPr>
          <w:sz w:val="22"/>
          <w:szCs w:val="22"/>
        </w:rPr>
        <w:t>ALL liečených dasatinibom v kombinácii s</w:t>
      </w:r>
      <w:r w:rsidR="00201DE4">
        <w:rPr>
          <w:sz w:val="22"/>
          <w:szCs w:val="22"/>
        </w:rPr>
        <w:t xml:space="preserve"> </w:t>
      </w:r>
      <w:r w:rsidR="00201DE4" w:rsidRPr="00201DE4">
        <w:rPr>
          <w:sz w:val="22"/>
          <w:szCs w:val="22"/>
        </w:rPr>
        <w:t>chemoterapiou sa má kontrola CBCs vykonať pred začatím každého bloku chemoterapie a ak je to</w:t>
      </w:r>
      <w:r w:rsidR="00DB6268">
        <w:rPr>
          <w:sz w:val="22"/>
          <w:szCs w:val="22"/>
        </w:rPr>
        <w:t xml:space="preserve"> </w:t>
      </w:r>
      <w:r w:rsidR="00201DE4" w:rsidRPr="00201DE4">
        <w:rPr>
          <w:sz w:val="22"/>
          <w:szCs w:val="22"/>
        </w:rPr>
        <w:t xml:space="preserve">klinicky indikované. </w:t>
      </w:r>
      <w:r w:rsidR="00314BE3" w:rsidRPr="00314BE3">
        <w:rPr>
          <w:sz w:val="22"/>
          <w:szCs w:val="22"/>
        </w:rPr>
        <w:t>Počas konsolidačných blokov chemoterapie, sa má kontrola CBCs vykonať každé</w:t>
      </w:r>
      <w:r w:rsidR="00314BE3">
        <w:rPr>
          <w:sz w:val="22"/>
          <w:szCs w:val="22"/>
        </w:rPr>
        <w:t xml:space="preserve"> </w:t>
      </w:r>
      <w:r w:rsidR="00314BE3" w:rsidRPr="00314BE3">
        <w:rPr>
          <w:sz w:val="22"/>
          <w:szCs w:val="22"/>
        </w:rPr>
        <w:t>2 dni až do zotavenia</w:t>
      </w:r>
      <w:r w:rsidR="00314BE3" w:rsidRPr="00314BE3" w:rsidDel="00314BE3">
        <w:rPr>
          <w:sz w:val="22"/>
          <w:szCs w:val="22"/>
        </w:rPr>
        <w:t xml:space="preserve"> </w:t>
      </w:r>
      <w:r w:rsidRPr="004E1637">
        <w:rPr>
          <w:sz w:val="22"/>
          <w:szCs w:val="22"/>
        </w:rPr>
        <w:t>(pozri časti 4.2 a 4.8).</w:t>
      </w:r>
      <w:r w:rsidR="00314BE3">
        <w:rPr>
          <w:sz w:val="22"/>
          <w:szCs w:val="22"/>
        </w:rPr>
        <w:t xml:space="preserve"> </w:t>
      </w:r>
    </w:p>
    <w:p w14:paraId="3D871C6B" w14:textId="77777777" w:rsidR="0046226C" w:rsidRPr="004E1637" w:rsidRDefault="0046226C" w:rsidP="0046226C">
      <w:pPr>
        <w:pStyle w:val="Default"/>
      </w:pPr>
    </w:p>
    <w:p w14:paraId="035A18AE" w14:textId="77777777" w:rsidR="00BE76D5" w:rsidRPr="004E1637" w:rsidRDefault="00BE76D5" w:rsidP="0046226C">
      <w:pPr>
        <w:pStyle w:val="CM2"/>
        <w:spacing w:line="240" w:lineRule="auto"/>
        <w:rPr>
          <w:sz w:val="22"/>
          <w:szCs w:val="22"/>
        </w:rPr>
      </w:pPr>
      <w:r w:rsidRPr="004E1637">
        <w:rPr>
          <w:i/>
          <w:iCs/>
          <w:sz w:val="22"/>
          <w:szCs w:val="22"/>
          <w:u w:val="single"/>
        </w:rPr>
        <w:t>Krvácanie</w:t>
      </w:r>
      <w:r w:rsidRPr="00C11B8A">
        <w:rPr>
          <w:i/>
          <w:iCs/>
          <w:sz w:val="22"/>
          <w:szCs w:val="22"/>
        </w:rPr>
        <w:t xml:space="preserve"> </w:t>
      </w:r>
    </w:p>
    <w:p w14:paraId="32717C97" w14:textId="6D6DA8EC" w:rsidR="00BE76D5" w:rsidRPr="004E1637" w:rsidRDefault="00EC4CBB" w:rsidP="00940B7A">
      <w:pPr>
        <w:pStyle w:val="CM2"/>
        <w:spacing w:line="240" w:lineRule="auto"/>
        <w:rPr>
          <w:sz w:val="22"/>
          <w:szCs w:val="22"/>
        </w:rPr>
      </w:pPr>
      <w:r>
        <w:rPr>
          <w:sz w:val="22"/>
          <w:szCs w:val="22"/>
        </w:rPr>
        <w:t>H</w:t>
      </w:r>
      <w:r w:rsidR="00BE76D5" w:rsidRPr="004E1637">
        <w:rPr>
          <w:sz w:val="22"/>
          <w:szCs w:val="22"/>
        </w:rPr>
        <w:t xml:space="preserve">odnotenia krvných doštičiek </w:t>
      </w:r>
      <w:r w:rsidR="00BE76D5" w:rsidRPr="004E1637">
        <w:rPr>
          <w:i/>
          <w:iCs/>
          <w:sz w:val="22"/>
          <w:szCs w:val="22"/>
        </w:rPr>
        <w:t>in vitro</w:t>
      </w:r>
      <w:r w:rsidR="00BE76D5" w:rsidRPr="004E1637">
        <w:rPr>
          <w:sz w:val="22"/>
          <w:szCs w:val="22"/>
        </w:rPr>
        <w:t xml:space="preserve"> a </w:t>
      </w:r>
      <w:r w:rsidR="00BE76D5" w:rsidRPr="004E1637">
        <w:rPr>
          <w:i/>
          <w:iCs/>
          <w:sz w:val="22"/>
          <w:szCs w:val="22"/>
        </w:rPr>
        <w:t>in vivo</w:t>
      </w:r>
      <w:r w:rsidRPr="00EC4CBB">
        <w:rPr>
          <w:sz w:val="22"/>
          <w:szCs w:val="22"/>
        </w:rPr>
        <w:t xml:space="preserve"> </w:t>
      </w:r>
      <w:r>
        <w:rPr>
          <w:sz w:val="22"/>
          <w:szCs w:val="22"/>
        </w:rPr>
        <w:t>naznačujú</w:t>
      </w:r>
      <w:r w:rsidR="00BE76D5" w:rsidRPr="004E1637">
        <w:rPr>
          <w:sz w:val="22"/>
          <w:szCs w:val="22"/>
        </w:rPr>
        <w:t xml:space="preserve">, že liečba </w:t>
      </w:r>
      <w:r w:rsidR="00940B7A" w:rsidRPr="004E1637">
        <w:rPr>
          <w:sz w:val="22"/>
          <w:szCs w:val="22"/>
        </w:rPr>
        <w:t>dasatinibom</w:t>
      </w:r>
      <w:r w:rsidR="00BE76D5" w:rsidRPr="004E1637">
        <w:rPr>
          <w:sz w:val="22"/>
          <w:szCs w:val="22"/>
        </w:rPr>
        <w:t xml:space="preserve"> reverzibilne ovplyvňuje aktiváciu krvných doštičiek. </w:t>
      </w:r>
    </w:p>
    <w:p w14:paraId="46C57B3B" w14:textId="77777777" w:rsidR="00BE76D5" w:rsidRPr="004E1637" w:rsidRDefault="00BE76D5" w:rsidP="0046226C">
      <w:pPr>
        <w:pStyle w:val="Default"/>
        <w:rPr>
          <w:color w:val="auto"/>
          <w:sz w:val="22"/>
          <w:szCs w:val="22"/>
        </w:rPr>
      </w:pPr>
    </w:p>
    <w:p w14:paraId="21156020" w14:textId="22F669AF" w:rsidR="00BE76D5" w:rsidRPr="004E1637" w:rsidRDefault="00BE76D5" w:rsidP="0046226C">
      <w:pPr>
        <w:pStyle w:val="CM100"/>
        <w:rPr>
          <w:sz w:val="22"/>
          <w:szCs w:val="22"/>
        </w:rPr>
      </w:pPr>
      <w:r w:rsidRPr="004E1637">
        <w:rPr>
          <w:sz w:val="22"/>
          <w:szCs w:val="22"/>
        </w:rPr>
        <w:t xml:space="preserve">Opatrnosť je potrebná, ak sa u pacientov vyžaduje užívanie liekov, ktoré </w:t>
      </w:r>
      <w:r w:rsidR="00BD57DD">
        <w:rPr>
          <w:sz w:val="22"/>
          <w:szCs w:val="22"/>
        </w:rPr>
        <w:t>inhibujú</w:t>
      </w:r>
      <w:r w:rsidR="00BD57DD" w:rsidRPr="004E1637">
        <w:rPr>
          <w:sz w:val="22"/>
          <w:szCs w:val="22"/>
        </w:rPr>
        <w:t xml:space="preserve"> </w:t>
      </w:r>
      <w:r w:rsidRPr="004E1637">
        <w:rPr>
          <w:sz w:val="22"/>
          <w:szCs w:val="22"/>
        </w:rPr>
        <w:t xml:space="preserve">funkciu krvných doštičiek alebo antikoagulancií. </w:t>
      </w:r>
    </w:p>
    <w:p w14:paraId="4C156F5C" w14:textId="77777777" w:rsidR="00940B7A" w:rsidRPr="004E1637" w:rsidRDefault="00940B7A" w:rsidP="00940B7A">
      <w:pPr>
        <w:pStyle w:val="Default"/>
      </w:pPr>
    </w:p>
    <w:p w14:paraId="6D5DFE0D" w14:textId="77777777" w:rsidR="00BE76D5" w:rsidRPr="004E1637" w:rsidRDefault="00BE76D5" w:rsidP="0046226C">
      <w:pPr>
        <w:pStyle w:val="CM2"/>
        <w:spacing w:line="240" w:lineRule="auto"/>
        <w:rPr>
          <w:sz w:val="22"/>
          <w:szCs w:val="22"/>
        </w:rPr>
      </w:pPr>
      <w:r w:rsidRPr="004157BC">
        <w:rPr>
          <w:i/>
          <w:iCs/>
          <w:sz w:val="22"/>
          <w:szCs w:val="22"/>
          <w:u w:val="single"/>
        </w:rPr>
        <w:t>Retencia tekutín</w:t>
      </w:r>
      <w:r w:rsidRPr="00C11B8A">
        <w:rPr>
          <w:i/>
          <w:iCs/>
          <w:sz w:val="22"/>
          <w:szCs w:val="22"/>
        </w:rPr>
        <w:t xml:space="preserve"> </w:t>
      </w:r>
    </w:p>
    <w:p w14:paraId="49E82C90" w14:textId="0D916317" w:rsidR="00BE76D5" w:rsidRPr="004E1637" w:rsidRDefault="00BE76D5" w:rsidP="0046226C">
      <w:pPr>
        <w:pStyle w:val="CM100"/>
        <w:rPr>
          <w:sz w:val="22"/>
          <w:szCs w:val="22"/>
        </w:rPr>
      </w:pPr>
      <w:r w:rsidRPr="004E1637">
        <w:rPr>
          <w:sz w:val="22"/>
          <w:szCs w:val="22"/>
        </w:rPr>
        <w:t xml:space="preserve">Používanie dasatinibu sa spája s retenciou tekutín. V klinických štúdiách s pacientmi s </w:t>
      </w:r>
      <w:r w:rsidR="00DB6268">
        <w:rPr>
          <w:sz w:val="22"/>
          <w:szCs w:val="22"/>
        </w:rPr>
        <w:t>Ph+ ALL</w:t>
      </w:r>
      <w:r w:rsidRPr="004E1637">
        <w:rPr>
          <w:sz w:val="22"/>
          <w:szCs w:val="22"/>
        </w:rPr>
        <w:t xml:space="preserve">, ktorí dostávali </w:t>
      </w:r>
      <w:r w:rsidR="00940B7A" w:rsidRPr="004E1637">
        <w:rPr>
          <w:sz w:val="22"/>
          <w:szCs w:val="22"/>
        </w:rPr>
        <w:t>dasatinib</w:t>
      </w:r>
      <w:r w:rsidRPr="004E1637">
        <w:rPr>
          <w:sz w:val="22"/>
          <w:szCs w:val="22"/>
        </w:rPr>
        <w:t xml:space="preserve"> v odporúčanej dávke </w:t>
      </w:r>
      <w:r w:rsidR="00871125" w:rsidRPr="00871125">
        <w:rPr>
          <w:sz w:val="22"/>
          <w:szCs w:val="22"/>
        </w:rPr>
        <w:t>(n=304)</w:t>
      </w:r>
      <w:r w:rsidR="00871125">
        <w:rPr>
          <w:sz w:val="22"/>
          <w:szCs w:val="22"/>
        </w:rPr>
        <w:t xml:space="preserve"> </w:t>
      </w:r>
      <w:r w:rsidRPr="004E1637">
        <w:rPr>
          <w:sz w:val="22"/>
          <w:szCs w:val="22"/>
        </w:rPr>
        <w:t xml:space="preserve">sa hlásila retencia tekutín 3. alebo 4. stupňa u 8 % pacientov, zahŕňajúca pleurálny výpotok 3. alebo 4. stupňa hlásený u 7 % pacientov a perikardiálny výpotok 3. alebo 4. stupňa hlásený u 1 % pacientov. U týchto pacientov sa hlásil pľúcny edém 3. alebo </w:t>
      </w:r>
      <w:r w:rsidRPr="004E1637">
        <w:rPr>
          <w:sz w:val="22"/>
          <w:szCs w:val="22"/>
        </w:rPr>
        <w:lastRenderedPageBreak/>
        <w:t>4. stupňa a pľúcna hypertenzia 3. alebo 4. stupňa u 1 % pacientov</w:t>
      </w:r>
      <w:r w:rsidR="00BD57DD">
        <w:rPr>
          <w:sz w:val="22"/>
          <w:szCs w:val="22"/>
        </w:rPr>
        <w:t xml:space="preserve"> pre oba stavy</w:t>
      </w:r>
      <w:r w:rsidRPr="004E1637">
        <w:rPr>
          <w:sz w:val="22"/>
          <w:szCs w:val="22"/>
        </w:rPr>
        <w:t xml:space="preserve">. </w:t>
      </w:r>
    </w:p>
    <w:p w14:paraId="6B026341" w14:textId="77777777" w:rsidR="00940B7A" w:rsidRPr="004E1637" w:rsidRDefault="00940B7A" w:rsidP="00940B7A">
      <w:pPr>
        <w:pStyle w:val="Default"/>
      </w:pPr>
    </w:p>
    <w:p w14:paraId="55A6B7BD" w14:textId="5C9ECD51" w:rsidR="00940B7A" w:rsidRPr="004E1637" w:rsidRDefault="00BE76D5" w:rsidP="00940B7A">
      <w:pPr>
        <w:pStyle w:val="CM100"/>
        <w:rPr>
          <w:sz w:val="22"/>
          <w:szCs w:val="22"/>
        </w:rPr>
      </w:pPr>
      <w:r w:rsidRPr="004E1637">
        <w:rPr>
          <w:sz w:val="22"/>
          <w:szCs w:val="22"/>
        </w:rPr>
        <w:t xml:space="preserve">Pacienti, u ktorých </w:t>
      </w:r>
      <w:r w:rsidR="00DB6268">
        <w:rPr>
          <w:sz w:val="22"/>
          <w:szCs w:val="22"/>
        </w:rPr>
        <w:t>sa vyvinú</w:t>
      </w:r>
      <w:r w:rsidRPr="004E1637">
        <w:rPr>
          <w:sz w:val="22"/>
          <w:szCs w:val="22"/>
        </w:rPr>
        <w:t xml:space="preserve"> príznaky svedčiace o pleurálnom výpotku, ako je dyspnoe alebo suchý kašeľ, musia byť vyšetrení pomocou röntgenu hrudníka. Pleurálny výpotok 3. alebo 4. stupňa môže vyžadovať torakocentézu a oxygenoterapiu. Nežiaduce reakcie retencie tekutín boli zvyčajne zvládnuté pomocou podporných opatrení zahŕňajúcich podávanie diuretík a krátkodobé podávanie steroidov (pozri časti 4.2 a 4.8). U pacientov vo veku 65 rokov a starších je viac pravdepodobný výskyt pleurálneho výpotku, dyspnoe, kašľa, perikardiálneho výpotku a kongestívneho zlyh</w:t>
      </w:r>
      <w:r w:rsidR="001C3A2A">
        <w:rPr>
          <w:sz w:val="22"/>
          <w:szCs w:val="22"/>
        </w:rPr>
        <w:t>ávania</w:t>
      </w:r>
      <w:r w:rsidRPr="004E1637">
        <w:rPr>
          <w:sz w:val="22"/>
          <w:szCs w:val="22"/>
        </w:rPr>
        <w:t xml:space="preserve"> srdca </w:t>
      </w:r>
      <w:r w:rsidR="009141E9">
        <w:rPr>
          <w:sz w:val="22"/>
          <w:szCs w:val="22"/>
        </w:rPr>
        <w:t>ako</w:t>
      </w:r>
      <w:r w:rsidRPr="004E1637">
        <w:rPr>
          <w:sz w:val="22"/>
          <w:szCs w:val="22"/>
        </w:rPr>
        <w:t xml:space="preserve"> u mladších pacientov, a preto majú byť starostlivo sledovaní. </w:t>
      </w:r>
    </w:p>
    <w:p w14:paraId="77E3A2B3" w14:textId="77777777" w:rsidR="00940B7A" w:rsidRPr="004E1637" w:rsidRDefault="00940B7A" w:rsidP="00940B7A">
      <w:pPr>
        <w:pStyle w:val="CM100"/>
        <w:rPr>
          <w:sz w:val="22"/>
          <w:szCs w:val="22"/>
        </w:rPr>
      </w:pPr>
    </w:p>
    <w:p w14:paraId="72E5B372" w14:textId="77777777" w:rsidR="00BE76D5" w:rsidRPr="004E1637" w:rsidRDefault="00BE76D5" w:rsidP="00940B7A">
      <w:pPr>
        <w:pStyle w:val="CM100"/>
        <w:rPr>
          <w:sz w:val="22"/>
          <w:szCs w:val="22"/>
        </w:rPr>
      </w:pPr>
      <w:r w:rsidRPr="004E1637">
        <w:rPr>
          <w:i/>
          <w:iCs/>
          <w:sz w:val="22"/>
          <w:szCs w:val="22"/>
          <w:u w:val="single"/>
        </w:rPr>
        <w:t>Pľúcna arteriálna hypertenzia (PAH)</w:t>
      </w:r>
      <w:r w:rsidRPr="00C11B8A">
        <w:rPr>
          <w:i/>
          <w:iCs/>
          <w:sz w:val="22"/>
          <w:szCs w:val="22"/>
        </w:rPr>
        <w:t xml:space="preserve"> </w:t>
      </w:r>
    </w:p>
    <w:p w14:paraId="71221785" w14:textId="77777777" w:rsidR="00BE76D5" w:rsidRPr="004E1637" w:rsidRDefault="00BE76D5" w:rsidP="0046226C">
      <w:pPr>
        <w:pStyle w:val="CM100"/>
        <w:rPr>
          <w:sz w:val="22"/>
          <w:szCs w:val="22"/>
        </w:rPr>
      </w:pPr>
      <w:r w:rsidRPr="004E1637">
        <w:rPr>
          <w:sz w:val="22"/>
          <w:szCs w:val="22"/>
        </w:rPr>
        <w:t xml:space="preserve">PAH (prekapilárna pľúcna </w:t>
      </w:r>
      <w:r w:rsidR="00273272">
        <w:rPr>
          <w:sz w:val="22"/>
          <w:szCs w:val="22"/>
        </w:rPr>
        <w:t xml:space="preserve">arteriálna </w:t>
      </w:r>
      <w:r w:rsidRPr="004E1637">
        <w:rPr>
          <w:sz w:val="22"/>
          <w:szCs w:val="22"/>
        </w:rPr>
        <w:t xml:space="preserve">hypertenzia potvrdená pravostrannou katetrizáciou srdca) sa hlásila v súvislosti s liečbou dasatinibom (pozri časť 4.8). V týchto prípadoch sa hlásila PAH po začatí liečby dasatinibom, a to </w:t>
      </w:r>
      <w:r w:rsidR="00273272">
        <w:rPr>
          <w:sz w:val="22"/>
          <w:szCs w:val="22"/>
        </w:rPr>
        <w:t xml:space="preserve">aj </w:t>
      </w:r>
      <w:r w:rsidRPr="004E1637">
        <w:rPr>
          <w:sz w:val="22"/>
          <w:szCs w:val="22"/>
        </w:rPr>
        <w:t xml:space="preserve">po viac ako jednom roku liečby. </w:t>
      </w:r>
    </w:p>
    <w:p w14:paraId="43ED33F1" w14:textId="77777777" w:rsidR="00940B7A" w:rsidRPr="004E1637" w:rsidRDefault="00940B7A" w:rsidP="00940B7A">
      <w:pPr>
        <w:pStyle w:val="Default"/>
      </w:pPr>
    </w:p>
    <w:p w14:paraId="7DEE6A4E" w14:textId="5337785D" w:rsidR="00BE76D5" w:rsidRPr="004E1637" w:rsidRDefault="00BE76D5" w:rsidP="0046226C">
      <w:pPr>
        <w:pStyle w:val="CM100"/>
        <w:rPr>
          <w:sz w:val="22"/>
          <w:szCs w:val="22"/>
        </w:rPr>
      </w:pPr>
      <w:r w:rsidRPr="004E1637">
        <w:rPr>
          <w:sz w:val="22"/>
          <w:szCs w:val="22"/>
        </w:rPr>
        <w:t xml:space="preserve">Pacienti majú byť vyšetrení na prejavy a príznaky </w:t>
      </w:r>
      <w:r w:rsidR="000C377C">
        <w:rPr>
          <w:sz w:val="22"/>
          <w:szCs w:val="22"/>
        </w:rPr>
        <w:t>primárneho</w:t>
      </w:r>
      <w:r w:rsidRPr="004E1637">
        <w:rPr>
          <w:sz w:val="22"/>
          <w:szCs w:val="22"/>
        </w:rPr>
        <w:t xml:space="preserve"> kardiopulmonálneho ochorenia pred začatím liečby dasatinibom. Na začiatku liečby sa má vykonať echokardiografia u každého pacienta s prítomnými príznakmi srdcového ochorenia a má sa zvážiť u pacientov s rizikovými faktormi srdcového alebo pľúcneho ochorenia. Pacienti</w:t>
      </w:r>
      <w:r w:rsidR="002B1197" w:rsidRPr="004E1637">
        <w:rPr>
          <w:sz w:val="22"/>
          <w:szCs w:val="22"/>
        </w:rPr>
        <w:t>,</w:t>
      </w:r>
      <w:r w:rsidRPr="004E1637">
        <w:rPr>
          <w:sz w:val="22"/>
          <w:szCs w:val="22"/>
        </w:rPr>
        <w:t xml:space="preserve"> u ktorých sa po začatí liečby vyvinie dyspnoe a únava, majú byť vyšetrení na vylúčenie bežných etiológií zahŕňajúc</w:t>
      </w:r>
      <w:r w:rsidR="00273272">
        <w:rPr>
          <w:sz w:val="22"/>
          <w:szCs w:val="22"/>
        </w:rPr>
        <w:t>ich</w:t>
      </w:r>
      <w:r w:rsidRPr="004E1637">
        <w:rPr>
          <w:sz w:val="22"/>
          <w:szCs w:val="22"/>
        </w:rPr>
        <w:t xml:space="preserve"> pleurálny výpotok, pľúcny edém, anémiu alebo pľúcnu infiltráciu. V súlade s odporúčaniami </w:t>
      </w:r>
      <w:r w:rsidR="00F81BD7">
        <w:rPr>
          <w:sz w:val="22"/>
          <w:szCs w:val="22"/>
        </w:rPr>
        <w:t>zvládania</w:t>
      </w:r>
      <w:r w:rsidRPr="004E1637">
        <w:rPr>
          <w:sz w:val="22"/>
          <w:szCs w:val="22"/>
        </w:rPr>
        <w:t xml:space="preserve"> nehematologických nežiaducich reakcií (pozri časť 4.2) sa má dávka dasatinibu znížiť alebo sa má liečba prerušiť počas tohto vyšetrenia. Ak sa nenájde vysvetlenie alebo ak po znížení dávky alebo prerušení liečby nedôjde k žiadnemu zlepšeniu, má sa uvažovať o diagnóze PAH. Diagnostický prístup sa má riadiť štandardnými postupmi. Ak sa potvrdí PAH, liečba dasatinibom sa má trvale ukončiť. Monitorovanie sa má vykonávať podľa štandardných postupov. Zlepšenie hemodynamických a klinických parametrov sa pozorovalo u pacientov liečených dasatinibom s PAH po ukončení liečby dasatinibom. </w:t>
      </w:r>
    </w:p>
    <w:p w14:paraId="3E7136A9" w14:textId="77777777" w:rsidR="00940B7A" w:rsidRPr="004E1637" w:rsidRDefault="00940B7A" w:rsidP="0046226C">
      <w:pPr>
        <w:pStyle w:val="CM100"/>
        <w:rPr>
          <w:i/>
          <w:iCs/>
          <w:sz w:val="22"/>
          <w:szCs w:val="22"/>
          <w:u w:val="single"/>
        </w:rPr>
      </w:pPr>
    </w:p>
    <w:p w14:paraId="184AC2D8" w14:textId="77777777" w:rsidR="00940B7A" w:rsidRPr="004E1637" w:rsidRDefault="00BE76D5" w:rsidP="0046226C">
      <w:pPr>
        <w:pStyle w:val="CM100"/>
        <w:rPr>
          <w:i/>
          <w:iCs/>
          <w:sz w:val="22"/>
          <w:szCs w:val="22"/>
          <w:u w:val="single"/>
        </w:rPr>
      </w:pPr>
      <w:r w:rsidRPr="006D23C9">
        <w:rPr>
          <w:i/>
          <w:iCs/>
          <w:sz w:val="22"/>
          <w:szCs w:val="22"/>
          <w:u w:val="single"/>
        </w:rPr>
        <w:t>Predĺženie QT intervalu</w:t>
      </w:r>
      <w:r w:rsidRPr="00C11B8A">
        <w:rPr>
          <w:i/>
          <w:iCs/>
          <w:sz w:val="22"/>
          <w:szCs w:val="22"/>
        </w:rPr>
        <w:t xml:space="preserve"> </w:t>
      </w:r>
    </w:p>
    <w:p w14:paraId="07219CF5" w14:textId="123EAD0A" w:rsidR="002B1197" w:rsidRPr="004E1637" w:rsidRDefault="00BE76D5" w:rsidP="0046226C">
      <w:pPr>
        <w:pStyle w:val="CM100"/>
        <w:rPr>
          <w:sz w:val="22"/>
          <w:szCs w:val="22"/>
        </w:rPr>
      </w:pPr>
      <w:r w:rsidRPr="004E1637">
        <w:rPr>
          <w:sz w:val="22"/>
          <w:szCs w:val="22"/>
        </w:rPr>
        <w:t xml:space="preserve">Údaje </w:t>
      </w:r>
      <w:r w:rsidRPr="004E1637">
        <w:rPr>
          <w:i/>
          <w:iCs/>
          <w:sz w:val="22"/>
          <w:szCs w:val="22"/>
        </w:rPr>
        <w:t>in vitro</w:t>
      </w:r>
      <w:r w:rsidRPr="004E1637">
        <w:rPr>
          <w:sz w:val="22"/>
          <w:szCs w:val="22"/>
        </w:rPr>
        <w:t xml:space="preserve"> svedčia o tom, že dasatinib môže predĺžiť repolarizáciu srdcových komôr (QT interval) (pozri časť 5.3). </w:t>
      </w:r>
    </w:p>
    <w:p w14:paraId="2F8F173B" w14:textId="77777777" w:rsidR="00BE76D5" w:rsidRPr="004E1637" w:rsidRDefault="00BE76D5" w:rsidP="0046226C">
      <w:pPr>
        <w:pStyle w:val="CM100"/>
        <w:rPr>
          <w:sz w:val="22"/>
          <w:szCs w:val="22"/>
        </w:rPr>
      </w:pPr>
      <w:r w:rsidRPr="004E1637">
        <w:rPr>
          <w:sz w:val="22"/>
          <w:szCs w:val="22"/>
        </w:rPr>
        <w:t>Z 2 182 pacientov s rezistenciou alebo intoleranciou na predošlú liečbu imatinibom, ktorí užívali dasatinib v klinických štúdiách malo 15 (1 %) predĺženie QT</w:t>
      </w:r>
      <w:r w:rsidR="002B1197" w:rsidRPr="004E1637">
        <w:rPr>
          <w:sz w:val="22"/>
          <w:szCs w:val="22"/>
        </w:rPr>
        <w:t xml:space="preserve">c hlásené ako nežiaduci účinok. </w:t>
      </w:r>
      <w:r w:rsidRPr="004E1637">
        <w:rPr>
          <w:sz w:val="22"/>
          <w:szCs w:val="22"/>
        </w:rPr>
        <w:t xml:space="preserve">Dvadsaťjeden z týchto pacientov (&lt; 1 %) malo QTcF &gt; 500 ms. </w:t>
      </w:r>
    </w:p>
    <w:p w14:paraId="1F7AFD11" w14:textId="77777777" w:rsidR="002B1197" w:rsidRPr="004E1637" w:rsidRDefault="002B1197" w:rsidP="0046226C">
      <w:pPr>
        <w:pStyle w:val="CM100"/>
        <w:rPr>
          <w:sz w:val="22"/>
          <w:szCs w:val="22"/>
        </w:rPr>
      </w:pPr>
    </w:p>
    <w:p w14:paraId="4C4B255B" w14:textId="77777777" w:rsidR="00BE76D5" w:rsidRPr="004E1637" w:rsidRDefault="00BE76D5" w:rsidP="0046226C">
      <w:pPr>
        <w:pStyle w:val="CM100"/>
        <w:rPr>
          <w:sz w:val="22"/>
          <w:szCs w:val="22"/>
        </w:rPr>
      </w:pPr>
      <w:r w:rsidRPr="004E1637">
        <w:rPr>
          <w:sz w:val="22"/>
          <w:szCs w:val="22"/>
        </w:rPr>
        <w:t xml:space="preserve">Dasatinib sa musí podávať opatrne pacientom, u ktorých došlo alebo u ktorých môže dôjsť k predĺženiu QTc. Toto zahŕňa pacientov s hypokaliémiou alebo hypomagneziémiou, pacientov s vrodeným syndrómom dlhého QT, pacientov užívajúcich antiarytmiká alebo iné lieky, ktoré vedú k predĺženiu QT a pacientov liečených vysokými kumulatívnymi dávkami antracyklínu. Hypokaliémia alebo hypomagneziémia sa majú pred podaním dasatinibu upraviť. </w:t>
      </w:r>
    </w:p>
    <w:p w14:paraId="79E4E607" w14:textId="77777777" w:rsidR="002B1197" w:rsidRPr="004E1637" w:rsidRDefault="002B1197" w:rsidP="002B1197">
      <w:pPr>
        <w:pStyle w:val="Default"/>
      </w:pPr>
    </w:p>
    <w:p w14:paraId="5D598FCE" w14:textId="77777777" w:rsidR="00BE76D5" w:rsidRPr="004E1637" w:rsidRDefault="00BE76D5" w:rsidP="0046226C">
      <w:pPr>
        <w:pStyle w:val="CM2"/>
        <w:spacing w:line="240" w:lineRule="auto"/>
        <w:rPr>
          <w:sz w:val="22"/>
          <w:szCs w:val="22"/>
        </w:rPr>
      </w:pPr>
      <w:r w:rsidRPr="004E1637">
        <w:rPr>
          <w:i/>
          <w:iCs/>
          <w:sz w:val="22"/>
          <w:szCs w:val="22"/>
          <w:u w:val="single"/>
        </w:rPr>
        <w:t>Nežiaduce reakcie na srdce</w:t>
      </w:r>
      <w:r w:rsidRPr="00C11B8A">
        <w:rPr>
          <w:i/>
          <w:iCs/>
          <w:sz w:val="22"/>
          <w:szCs w:val="22"/>
        </w:rPr>
        <w:t xml:space="preserve"> </w:t>
      </w:r>
    </w:p>
    <w:p w14:paraId="4FEEB604" w14:textId="6548C68B" w:rsidR="002B1197" w:rsidRPr="004E1637" w:rsidRDefault="00BE76D5" w:rsidP="002B1197">
      <w:pPr>
        <w:pStyle w:val="CM2"/>
        <w:spacing w:line="240" w:lineRule="auto"/>
        <w:rPr>
          <w:sz w:val="22"/>
          <w:szCs w:val="22"/>
        </w:rPr>
      </w:pPr>
      <w:r w:rsidRPr="004E1637">
        <w:rPr>
          <w:sz w:val="22"/>
          <w:szCs w:val="22"/>
        </w:rPr>
        <w:t xml:space="preserve">Nežiaduce reakcie </w:t>
      </w:r>
      <w:r w:rsidR="002C1152">
        <w:rPr>
          <w:sz w:val="22"/>
          <w:szCs w:val="22"/>
        </w:rPr>
        <w:t>týkajúce</w:t>
      </w:r>
      <w:r w:rsidRPr="004E1637">
        <w:rPr>
          <w:sz w:val="22"/>
          <w:szCs w:val="22"/>
        </w:rPr>
        <w:t xml:space="preserve"> </w:t>
      </w:r>
      <w:r w:rsidR="002C1152">
        <w:rPr>
          <w:sz w:val="22"/>
          <w:szCs w:val="22"/>
        </w:rPr>
        <w:t xml:space="preserve">sa </w:t>
      </w:r>
      <w:r w:rsidRPr="004E1637">
        <w:rPr>
          <w:sz w:val="22"/>
          <w:szCs w:val="22"/>
        </w:rPr>
        <w:t>srdc</w:t>
      </w:r>
      <w:r w:rsidR="002C1152">
        <w:rPr>
          <w:sz w:val="22"/>
          <w:szCs w:val="22"/>
        </w:rPr>
        <w:t>a,</w:t>
      </w:r>
      <w:r w:rsidRPr="004E1637">
        <w:rPr>
          <w:sz w:val="22"/>
          <w:szCs w:val="22"/>
        </w:rPr>
        <w:t xml:space="preserve"> kongestívne zlyh</w:t>
      </w:r>
      <w:r w:rsidR="009F3559">
        <w:rPr>
          <w:sz w:val="22"/>
          <w:szCs w:val="22"/>
        </w:rPr>
        <w:t>ávanie srdca</w:t>
      </w:r>
      <w:r w:rsidRPr="004E1637">
        <w:rPr>
          <w:sz w:val="22"/>
          <w:szCs w:val="22"/>
        </w:rPr>
        <w:t>/srdcov</w:t>
      </w:r>
      <w:r w:rsidR="002C1152">
        <w:rPr>
          <w:sz w:val="22"/>
          <w:szCs w:val="22"/>
        </w:rPr>
        <w:t>á</w:t>
      </w:r>
      <w:r w:rsidRPr="004E1637">
        <w:rPr>
          <w:sz w:val="22"/>
          <w:szCs w:val="22"/>
        </w:rPr>
        <w:t xml:space="preserve"> dysfunkci</w:t>
      </w:r>
      <w:r w:rsidR="002C1152">
        <w:rPr>
          <w:sz w:val="22"/>
          <w:szCs w:val="22"/>
        </w:rPr>
        <w:t>a</w:t>
      </w:r>
      <w:r w:rsidRPr="004E1637">
        <w:rPr>
          <w:sz w:val="22"/>
          <w:szCs w:val="22"/>
        </w:rPr>
        <w:t>, perikardiáln</w:t>
      </w:r>
      <w:r w:rsidR="002C1152">
        <w:rPr>
          <w:sz w:val="22"/>
          <w:szCs w:val="22"/>
        </w:rPr>
        <w:t>y</w:t>
      </w:r>
      <w:r w:rsidRPr="004E1637">
        <w:rPr>
          <w:sz w:val="22"/>
          <w:szCs w:val="22"/>
        </w:rPr>
        <w:t xml:space="preserve"> výpot</w:t>
      </w:r>
      <w:r w:rsidR="002C1152">
        <w:rPr>
          <w:sz w:val="22"/>
          <w:szCs w:val="22"/>
        </w:rPr>
        <w:t>ok</w:t>
      </w:r>
      <w:r w:rsidRPr="004E1637">
        <w:rPr>
          <w:sz w:val="22"/>
          <w:szCs w:val="22"/>
        </w:rPr>
        <w:t>, arytmi</w:t>
      </w:r>
      <w:r w:rsidR="002C1152">
        <w:rPr>
          <w:sz w:val="22"/>
          <w:szCs w:val="22"/>
        </w:rPr>
        <w:t>e</w:t>
      </w:r>
      <w:r w:rsidRPr="004E1637">
        <w:rPr>
          <w:sz w:val="22"/>
          <w:szCs w:val="22"/>
        </w:rPr>
        <w:t>, palpitáci</w:t>
      </w:r>
      <w:r w:rsidR="002C1152">
        <w:rPr>
          <w:sz w:val="22"/>
          <w:szCs w:val="22"/>
        </w:rPr>
        <w:t>e</w:t>
      </w:r>
      <w:r w:rsidRPr="004E1637">
        <w:rPr>
          <w:sz w:val="22"/>
          <w:szCs w:val="22"/>
        </w:rPr>
        <w:t xml:space="preserve">, predĺženie QT intervalu a infarkt myokardu (vrátane úmrtia) sa hlásili u pacientov užívajúcich dasatinib. Nežiaduce srdcové udalosti boli častejšie u pacientov s rizikovými faktormi alebo so srdcovým ochorením v anamnéze. Pacienti s rizikovými faktormi (napr. hypertenzia, hyperlipidémia, diabetes) alebo srdcovým ochorením v anamnéze (napr. predošlá perkutánna koronárna intervencia, dokázané ochorenie koronárnych artérií) majú byť starostlivo sledovaní pre klinické prejavy alebo príznaky zhodné so srdcovou dysfunkciou, ako je bolesť na hrudníku, </w:t>
      </w:r>
      <w:r w:rsidR="002C1152">
        <w:rPr>
          <w:sz w:val="22"/>
          <w:szCs w:val="22"/>
        </w:rPr>
        <w:t>dýchavičnosť</w:t>
      </w:r>
      <w:r w:rsidRPr="004E1637">
        <w:rPr>
          <w:sz w:val="22"/>
          <w:szCs w:val="22"/>
        </w:rPr>
        <w:t xml:space="preserve"> a potenie. </w:t>
      </w:r>
    </w:p>
    <w:p w14:paraId="13C98BAD" w14:textId="77777777" w:rsidR="002B1197" w:rsidRPr="004E1637" w:rsidRDefault="002B1197" w:rsidP="002B1197">
      <w:pPr>
        <w:pStyle w:val="CM2"/>
        <w:spacing w:line="240" w:lineRule="auto"/>
        <w:rPr>
          <w:sz w:val="22"/>
          <w:szCs w:val="22"/>
        </w:rPr>
      </w:pPr>
    </w:p>
    <w:p w14:paraId="3600259E" w14:textId="1661D131" w:rsidR="00BE76D5" w:rsidRPr="004E1637" w:rsidRDefault="00BE76D5" w:rsidP="002B1197">
      <w:pPr>
        <w:pStyle w:val="CM2"/>
        <w:spacing w:line="240" w:lineRule="auto"/>
        <w:rPr>
          <w:sz w:val="22"/>
          <w:szCs w:val="22"/>
        </w:rPr>
      </w:pPr>
      <w:r w:rsidRPr="004E1637">
        <w:rPr>
          <w:sz w:val="22"/>
          <w:szCs w:val="22"/>
        </w:rPr>
        <w:t xml:space="preserve">Po </w:t>
      </w:r>
      <w:r w:rsidR="002C1152">
        <w:rPr>
          <w:sz w:val="22"/>
          <w:szCs w:val="22"/>
        </w:rPr>
        <w:t>vymiznutí</w:t>
      </w:r>
      <w:r w:rsidRPr="004E1637">
        <w:rPr>
          <w:sz w:val="22"/>
          <w:szCs w:val="22"/>
        </w:rPr>
        <w:t xml:space="preserve">, má byť pred obnovením liečby dasatinibom vykonané funkčné posúdenie. </w:t>
      </w:r>
      <w:r w:rsidR="002C1152">
        <w:rPr>
          <w:sz w:val="22"/>
          <w:szCs w:val="22"/>
        </w:rPr>
        <w:t>Liečba d</w:t>
      </w:r>
      <w:r w:rsidRPr="004E1637">
        <w:rPr>
          <w:sz w:val="22"/>
          <w:szCs w:val="22"/>
        </w:rPr>
        <w:t>asatinib</w:t>
      </w:r>
      <w:r w:rsidR="002C1152">
        <w:rPr>
          <w:sz w:val="22"/>
          <w:szCs w:val="22"/>
        </w:rPr>
        <w:t>om</w:t>
      </w:r>
      <w:r w:rsidRPr="004E1637">
        <w:rPr>
          <w:sz w:val="22"/>
          <w:szCs w:val="22"/>
        </w:rPr>
        <w:t xml:space="preserve"> </w:t>
      </w:r>
      <w:r w:rsidR="002C1152">
        <w:rPr>
          <w:sz w:val="22"/>
          <w:szCs w:val="22"/>
        </w:rPr>
        <w:t xml:space="preserve">sa </w:t>
      </w:r>
      <w:r w:rsidRPr="004E1637">
        <w:rPr>
          <w:sz w:val="22"/>
          <w:szCs w:val="22"/>
        </w:rPr>
        <w:t xml:space="preserve">môže znovu </w:t>
      </w:r>
      <w:r w:rsidR="002C1152">
        <w:rPr>
          <w:sz w:val="22"/>
          <w:szCs w:val="22"/>
        </w:rPr>
        <w:t>začať</w:t>
      </w:r>
      <w:r w:rsidRPr="004E1637">
        <w:rPr>
          <w:sz w:val="22"/>
          <w:szCs w:val="22"/>
        </w:rPr>
        <w:t xml:space="preserve"> v pôvodnej dávke pri miernych/stredne závažných nežiaducich reakciách (≤ 2. stupeň) a môže </w:t>
      </w:r>
      <w:r w:rsidR="002C1152">
        <w:rPr>
          <w:sz w:val="22"/>
          <w:szCs w:val="22"/>
        </w:rPr>
        <w:t>znovu začať</w:t>
      </w:r>
      <w:r w:rsidRPr="004E1637">
        <w:rPr>
          <w:sz w:val="22"/>
          <w:szCs w:val="22"/>
        </w:rPr>
        <w:t xml:space="preserve"> na úrovni redukovanej dávky pri závažných nežiaducich reakciách (≥ 3. stupeň) (pozri časť 4.2). Pacienti pokračujúci v liečbe, majú byť pravidelne </w:t>
      </w:r>
      <w:r w:rsidRPr="004E1637">
        <w:rPr>
          <w:sz w:val="22"/>
          <w:szCs w:val="22"/>
        </w:rPr>
        <w:lastRenderedPageBreak/>
        <w:t xml:space="preserve">monitorovaní. </w:t>
      </w:r>
    </w:p>
    <w:p w14:paraId="3EAFF9F6" w14:textId="77777777" w:rsidR="002B1197" w:rsidRPr="004E1637" w:rsidRDefault="002B1197" w:rsidP="002B1197">
      <w:pPr>
        <w:pStyle w:val="Default"/>
      </w:pPr>
    </w:p>
    <w:p w14:paraId="00152ADD" w14:textId="77777777" w:rsidR="00BE76D5" w:rsidRDefault="00BE76D5" w:rsidP="0046226C">
      <w:pPr>
        <w:pStyle w:val="CM100"/>
        <w:rPr>
          <w:sz w:val="22"/>
          <w:szCs w:val="22"/>
        </w:rPr>
      </w:pPr>
      <w:r w:rsidRPr="004E1637">
        <w:rPr>
          <w:sz w:val="22"/>
          <w:szCs w:val="22"/>
        </w:rPr>
        <w:t xml:space="preserve">Pacienti s nekontrolovaným alebo závažným kardiovaskulárnym ochorením neboli zaradení do klinických štúdií. </w:t>
      </w:r>
    </w:p>
    <w:p w14:paraId="3FE877F4" w14:textId="77777777" w:rsidR="008E23E7" w:rsidRDefault="008E23E7" w:rsidP="00F95FB3">
      <w:pPr>
        <w:pStyle w:val="Default"/>
      </w:pPr>
    </w:p>
    <w:p w14:paraId="4483A692" w14:textId="77777777" w:rsidR="008E23E7" w:rsidRPr="00DB6268" w:rsidRDefault="008E23E7" w:rsidP="008E23E7">
      <w:pPr>
        <w:pStyle w:val="Default"/>
        <w:rPr>
          <w:i/>
          <w:iCs/>
          <w:sz w:val="22"/>
          <w:szCs w:val="22"/>
          <w:u w:val="single"/>
        </w:rPr>
      </w:pPr>
      <w:r w:rsidRPr="00DB6268">
        <w:rPr>
          <w:i/>
          <w:iCs/>
          <w:sz w:val="22"/>
          <w:szCs w:val="22"/>
          <w:u w:val="single"/>
        </w:rPr>
        <w:t>Trombotická mikroangiopatia (TMA)</w:t>
      </w:r>
    </w:p>
    <w:p w14:paraId="0999F6AD" w14:textId="77777777" w:rsidR="008E23E7" w:rsidRPr="00DB6268" w:rsidRDefault="008E23E7" w:rsidP="008E23E7">
      <w:pPr>
        <w:pStyle w:val="Default"/>
        <w:rPr>
          <w:sz w:val="22"/>
          <w:szCs w:val="22"/>
        </w:rPr>
      </w:pPr>
      <w:r w:rsidRPr="00DB6268">
        <w:rPr>
          <w:sz w:val="22"/>
          <w:szCs w:val="22"/>
        </w:rPr>
        <w:t>Inhibítory BCR-ABL-tyrozínkinázy sa spájali so vznikom trombotickej mikroangiopatie (TMA), čo</w:t>
      </w:r>
    </w:p>
    <w:p w14:paraId="7298F0D5" w14:textId="77777777" w:rsidR="008E23E7" w:rsidRPr="00DB6268" w:rsidRDefault="008E23E7" w:rsidP="008E23E7">
      <w:pPr>
        <w:pStyle w:val="Default"/>
        <w:rPr>
          <w:sz w:val="22"/>
          <w:szCs w:val="22"/>
        </w:rPr>
      </w:pPr>
      <w:r w:rsidRPr="00DB6268">
        <w:rPr>
          <w:sz w:val="22"/>
          <w:szCs w:val="22"/>
        </w:rPr>
        <w:t xml:space="preserve">zahŕňa hlásenia jednotlivých prípadov hlásených pre </w:t>
      </w:r>
      <w:r>
        <w:rPr>
          <w:sz w:val="22"/>
          <w:szCs w:val="22"/>
        </w:rPr>
        <w:t>dasatinib</w:t>
      </w:r>
      <w:r w:rsidRPr="00DB6268">
        <w:rPr>
          <w:sz w:val="22"/>
          <w:szCs w:val="22"/>
        </w:rPr>
        <w:t xml:space="preserve"> (pozri časť 4.8). Ak sa u pacienta,</w:t>
      </w:r>
    </w:p>
    <w:p w14:paraId="705C1F1A" w14:textId="77777777" w:rsidR="008E23E7" w:rsidRPr="00DB6268" w:rsidRDefault="008E23E7" w:rsidP="008E23E7">
      <w:pPr>
        <w:pStyle w:val="Default"/>
        <w:rPr>
          <w:sz w:val="22"/>
          <w:szCs w:val="22"/>
        </w:rPr>
      </w:pPr>
      <w:r w:rsidRPr="00DB6268">
        <w:rPr>
          <w:sz w:val="22"/>
          <w:szCs w:val="22"/>
        </w:rPr>
        <w:t xml:space="preserve">ktorý užíva </w:t>
      </w:r>
      <w:r>
        <w:rPr>
          <w:sz w:val="22"/>
          <w:szCs w:val="22"/>
        </w:rPr>
        <w:t>dasatinib</w:t>
      </w:r>
      <w:r w:rsidRPr="00DB6268">
        <w:rPr>
          <w:sz w:val="22"/>
          <w:szCs w:val="22"/>
        </w:rPr>
        <w:t>, spájajú laboratórne alebo klinické nálezy s výskytom TMA, liečba</w:t>
      </w:r>
    </w:p>
    <w:p w14:paraId="19220EE0" w14:textId="77777777" w:rsidR="008E23E7" w:rsidRPr="00DB6268" w:rsidRDefault="008E23E7" w:rsidP="008E23E7">
      <w:pPr>
        <w:pStyle w:val="Default"/>
        <w:rPr>
          <w:sz w:val="22"/>
          <w:szCs w:val="22"/>
        </w:rPr>
      </w:pPr>
      <w:r>
        <w:rPr>
          <w:sz w:val="22"/>
          <w:szCs w:val="22"/>
        </w:rPr>
        <w:t>dasatinibom</w:t>
      </w:r>
      <w:r w:rsidRPr="00DB6268">
        <w:rPr>
          <w:sz w:val="22"/>
          <w:szCs w:val="22"/>
        </w:rPr>
        <w:t xml:space="preserve"> sa má prerušiť a má sa vykonať dôkladné vyhodnotenie TMA vrátane aktivity</w:t>
      </w:r>
    </w:p>
    <w:p w14:paraId="4AA1668A" w14:textId="77777777" w:rsidR="008E23E7" w:rsidRPr="00DB6268" w:rsidRDefault="008E23E7" w:rsidP="008E23E7">
      <w:pPr>
        <w:pStyle w:val="Default"/>
        <w:rPr>
          <w:sz w:val="22"/>
          <w:szCs w:val="22"/>
        </w:rPr>
      </w:pPr>
      <w:r w:rsidRPr="00DB6268">
        <w:rPr>
          <w:sz w:val="22"/>
          <w:szCs w:val="22"/>
        </w:rPr>
        <w:t>ADAMTS13 a stanovenia protilátok proti ADAMTS13. Ak sú zvýšené protilátky proti ADAMTS13 v</w:t>
      </w:r>
    </w:p>
    <w:p w14:paraId="2CE79AB2" w14:textId="77777777" w:rsidR="008E23E7" w:rsidRPr="00DB6268" w:rsidRDefault="008E23E7" w:rsidP="008E23E7">
      <w:pPr>
        <w:pStyle w:val="Default"/>
        <w:rPr>
          <w:sz w:val="22"/>
          <w:szCs w:val="22"/>
        </w:rPr>
      </w:pPr>
      <w:r w:rsidRPr="00DB6268">
        <w:rPr>
          <w:sz w:val="22"/>
          <w:szCs w:val="22"/>
        </w:rPr>
        <w:t xml:space="preserve">kombinácii s nízkou aktivitou ADAMTS13, v liečbe </w:t>
      </w:r>
      <w:r>
        <w:rPr>
          <w:sz w:val="22"/>
          <w:szCs w:val="22"/>
        </w:rPr>
        <w:t>dasatinibom s</w:t>
      </w:r>
      <w:r w:rsidRPr="00DB6268">
        <w:rPr>
          <w:sz w:val="22"/>
          <w:szCs w:val="22"/>
        </w:rPr>
        <w:t>a nesmie pokračovať.</w:t>
      </w:r>
    </w:p>
    <w:p w14:paraId="471A0141" w14:textId="77777777" w:rsidR="002B1197" w:rsidRPr="004E1637" w:rsidRDefault="002B1197" w:rsidP="002B1197">
      <w:pPr>
        <w:pStyle w:val="Default"/>
      </w:pPr>
    </w:p>
    <w:p w14:paraId="4BAEF175" w14:textId="77777777" w:rsidR="00BE76D5" w:rsidRPr="004E1637" w:rsidRDefault="00BE76D5" w:rsidP="0046226C">
      <w:pPr>
        <w:pStyle w:val="CM2"/>
        <w:spacing w:line="240" w:lineRule="auto"/>
        <w:rPr>
          <w:sz w:val="22"/>
          <w:szCs w:val="22"/>
        </w:rPr>
      </w:pPr>
      <w:r w:rsidRPr="004E1637">
        <w:rPr>
          <w:i/>
          <w:iCs/>
          <w:sz w:val="22"/>
          <w:szCs w:val="22"/>
          <w:u w:val="single"/>
        </w:rPr>
        <w:t>Reaktivácia hepatitídy B</w:t>
      </w:r>
      <w:r w:rsidRPr="00C11B8A">
        <w:rPr>
          <w:i/>
          <w:iCs/>
          <w:sz w:val="22"/>
          <w:szCs w:val="22"/>
        </w:rPr>
        <w:t xml:space="preserve"> </w:t>
      </w:r>
    </w:p>
    <w:p w14:paraId="1171EAA0" w14:textId="77777777" w:rsidR="002B1197" w:rsidRPr="004E1637" w:rsidRDefault="00BE76D5" w:rsidP="0046226C">
      <w:pPr>
        <w:pStyle w:val="CM100"/>
        <w:rPr>
          <w:sz w:val="22"/>
          <w:szCs w:val="22"/>
        </w:rPr>
      </w:pPr>
      <w:r w:rsidRPr="004E1637">
        <w:rPr>
          <w:sz w:val="22"/>
          <w:szCs w:val="22"/>
        </w:rPr>
        <w:t xml:space="preserve">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 </w:t>
      </w:r>
    </w:p>
    <w:p w14:paraId="5A42BCC9" w14:textId="77777777" w:rsidR="00BE76D5" w:rsidRPr="004E1637" w:rsidRDefault="00BE76D5" w:rsidP="0046226C">
      <w:pPr>
        <w:pStyle w:val="CM100"/>
        <w:rPr>
          <w:sz w:val="22"/>
          <w:szCs w:val="22"/>
        </w:rPr>
      </w:pPr>
      <w:r w:rsidRPr="004E1637">
        <w:rPr>
          <w:sz w:val="22"/>
          <w:szCs w:val="22"/>
        </w:rPr>
        <w:t xml:space="preserve">Pacienti majú byť vyšetrení na HBV infekciu pred začatím liečby </w:t>
      </w:r>
      <w:r w:rsidR="002B1197" w:rsidRPr="004E1637">
        <w:rPr>
          <w:sz w:val="22"/>
          <w:szCs w:val="22"/>
        </w:rPr>
        <w:t>dasatinibom</w:t>
      </w:r>
      <w:r w:rsidRPr="004E1637">
        <w:rPr>
          <w:sz w:val="22"/>
          <w:szCs w:val="22"/>
        </w:rPr>
        <w:t xml:space="preserve">.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w:t>
      </w:r>
      <w:r w:rsidR="002B1197" w:rsidRPr="004E1637">
        <w:rPr>
          <w:sz w:val="22"/>
          <w:szCs w:val="22"/>
        </w:rPr>
        <w:t>dasatinibom</w:t>
      </w:r>
      <w:r w:rsidRPr="004E1637">
        <w:rPr>
          <w:sz w:val="22"/>
          <w:szCs w:val="22"/>
        </w:rPr>
        <w:t xml:space="preserve">, majú byť pozorne sledovaní na prejavy a príznaky aktívnej HBV infekcie počas celej liečby a niekoľko mesiacov po ukončení liečby (pozri časť 4.8). </w:t>
      </w:r>
    </w:p>
    <w:p w14:paraId="4D5161DB" w14:textId="45D68BCB" w:rsidR="002B1197" w:rsidRDefault="002B1197" w:rsidP="002B1197">
      <w:pPr>
        <w:pStyle w:val="Default"/>
      </w:pPr>
    </w:p>
    <w:p w14:paraId="4623EB8B" w14:textId="77DAE175" w:rsidR="00BE76D5" w:rsidRPr="004E1637" w:rsidRDefault="00BE76D5" w:rsidP="0046226C">
      <w:pPr>
        <w:pStyle w:val="CM2"/>
        <w:spacing w:line="240" w:lineRule="auto"/>
        <w:rPr>
          <w:sz w:val="22"/>
          <w:szCs w:val="22"/>
        </w:rPr>
      </w:pPr>
      <w:r w:rsidRPr="004E1637">
        <w:rPr>
          <w:i/>
          <w:iCs/>
          <w:sz w:val="22"/>
          <w:szCs w:val="22"/>
          <w:u w:val="single"/>
        </w:rPr>
        <w:t>Účinky na rast a výv</w:t>
      </w:r>
      <w:r w:rsidR="00E42F66">
        <w:rPr>
          <w:i/>
          <w:iCs/>
          <w:sz w:val="22"/>
          <w:szCs w:val="22"/>
          <w:u w:val="single"/>
        </w:rPr>
        <w:t>in</w:t>
      </w:r>
      <w:r w:rsidRPr="004E1637">
        <w:rPr>
          <w:i/>
          <w:iCs/>
          <w:sz w:val="22"/>
          <w:szCs w:val="22"/>
          <w:u w:val="single"/>
        </w:rPr>
        <w:t xml:space="preserve"> u pediatrických pacientov</w:t>
      </w:r>
      <w:r w:rsidRPr="00C11B8A">
        <w:rPr>
          <w:i/>
          <w:iCs/>
          <w:sz w:val="22"/>
          <w:szCs w:val="22"/>
        </w:rPr>
        <w:t xml:space="preserve"> </w:t>
      </w:r>
    </w:p>
    <w:p w14:paraId="25D76232" w14:textId="23084735" w:rsidR="003E3FFF" w:rsidRPr="003E3FFF" w:rsidRDefault="003E3FFF" w:rsidP="003E3FFF">
      <w:pPr>
        <w:pStyle w:val="Default"/>
        <w:rPr>
          <w:sz w:val="22"/>
          <w:szCs w:val="22"/>
        </w:rPr>
      </w:pPr>
      <w:r w:rsidRPr="003E3FFF">
        <w:rPr>
          <w:sz w:val="22"/>
          <w:szCs w:val="22"/>
        </w:rPr>
        <w:t>V pediatrických skúšaniach s</w:t>
      </w:r>
      <w:r>
        <w:rPr>
          <w:sz w:val="22"/>
          <w:szCs w:val="22"/>
        </w:rPr>
        <w:t xml:space="preserve"> dasatinibom</w:t>
      </w:r>
      <w:r w:rsidRPr="003E3FFF">
        <w:rPr>
          <w:sz w:val="22"/>
          <w:szCs w:val="22"/>
        </w:rPr>
        <w:t xml:space="preserve"> v kombinácii s chemoterapiou sa u novodiagnostikovaných pediatrických pacientov s</w:t>
      </w:r>
      <w:r w:rsidR="00C46A71">
        <w:rPr>
          <w:sz w:val="22"/>
          <w:szCs w:val="22"/>
        </w:rPr>
        <w:t> Ph+</w:t>
      </w:r>
      <w:r w:rsidRPr="003E3FFF">
        <w:rPr>
          <w:sz w:val="22"/>
          <w:szCs w:val="22"/>
        </w:rPr>
        <w:t xml:space="preserve"> ALL po maximálne 2 rokoch liečby hlásili</w:t>
      </w:r>
    </w:p>
    <w:p w14:paraId="52DED874" w14:textId="0FA07FEB" w:rsidR="003E3FFF" w:rsidRPr="003E3FFF" w:rsidRDefault="003E3FFF" w:rsidP="003E3FFF">
      <w:pPr>
        <w:pStyle w:val="Default"/>
        <w:rPr>
          <w:sz w:val="22"/>
          <w:szCs w:val="22"/>
        </w:rPr>
      </w:pPr>
      <w:r w:rsidRPr="003E3FFF">
        <w:rPr>
          <w:sz w:val="22"/>
          <w:szCs w:val="22"/>
        </w:rPr>
        <w:t>nežiaduce udalosti súvisiace s liečbou spájajúce sa s rastom kostí a výv</w:t>
      </w:r>
      <w:r w:rsidR="00BD3B74">
        <w:rPr>
          <w:sz w:val="22"/>
          <w:szCs w:val="22"/>
        </w:rPr>
        <w:t>inom</w:t>
      </w:r>
      <w:r w:rsidRPr="003E3FFF">
        <w:rPr>
          <w:sz w:val="22"/>
          <w:szCs w:val="22"/>
        </w:rPr>
        <w:t xml:space="preserve"> u 1 (0,6 %) pacienta.</w:t>
      </w:r>
    </w:p>
    <w:p w14:paraId="7F7C6F52" w14:textId="4A22AE23" w:rsidR="003E3FFF" w:rsidRPr="003E3FFF" w:rsidRDefault="003E3FFF" w:rsidP="003E3FFF">
      <w:pPr>
        <w:pStyle w:val="Default"/>
        <w:rPr>
          <w:sz w:val="22"/>
          <w:szCs w:val="22"/>
        </w:rPr>
      </w:pPr>
      <w:r w:rsidRPr="003E3FFF">
        <w:rPr>
          <w:sz w:val="22"/>
          <w:szCs w:val="22"/>
        </w:rPr>
        <w:t>Tento prípad bola osteopénia 1. stupňa.</w:t>
      </w:r>
    </w:p>
    <w:p w14:paraId="6440B25E" w14:textId="2722DF78" w:rsidR="00DA634C" w:rsidRDefault="00DA634C" w:rsidP="00DA634C">
      <w:pPr>
        <w:pStyle w:val="Default"/>
      </w:pPr>
    </w:p>
    <w:p w14:paraId="7FE3CED7" w14:textId="52E7B380" w:rsidR="003E3FFF" w:rsidRDefault="003E3FFF" w:rsidP="00DA634C">
      <w:pPr>
        <w:pStyle w:val="Default"/>
        <w:rPr>
          <w:sz w:val="22"/>
          <w:szCs w:val="22"/>
          <w:u w:val="single"/>
        </w:rPr>
      </w:pPr>
      <w:r>
        <w:rPr>
          <w:sz w:val="22"/>
          <w:szCs w:val="22"/>
          <w:u w:val="single"/>
        </w:rPr>
        <w:t>Pomocné látky</w:t>
      </w:r>
    </w:p>
    <w:p w14:paraId="1DDE17F5" w14:textId="77777777" w:rsidR="003E3FFF" w:rsidRPr="003E3FFF" w:rsidRDefault="003E3FFF" w:rsidP="00DA634C">
      <w:pPr>
        <w:pStyle w:val="Default"/>
        <w:rPr>
          <w:sz w:val="22"/>
          <w:szCs w:val="22"/>
          <w:u w:val="single"/>
        </w:rPr>
      </w:pPr>
    </w:p>
    <w:p w14:paraId="21079E30" w14:textId="77777777" w:rsidR="00DA634C" w:rsidRPr="003E3FFF" w:rsidRDefault="00BE76D5" w:rsidP="0046226C">
      <w:pPr>
        <w:pStyle w:val="CM100"/>
        <w:rPr>
          <w:i/>
          <w:iCs/>
          <w:sz w:val="22"/>
          <w:szCs w:val="22"/>
          <w:u w:val="single"/>
        </w:rPr>
      </w:pPr>
      <w:r w:rsidRPr="003E3FFF">
        <w:rPr>
          <w:i/>
          <w:iCs/>
          <w:sz w:val="22"/>
          <w:szCs w:val="22"/>
          <w:u w:val="single"/>
        </w:rPr>
        <w:t>Laktóza</w:t>
      </w:r>
      <w:r w:rsidRPr="003E3FFF">
        <w:rPr>
          <w:i/>
          <w:iCs/>
          <w:sz w:val="22"/>
          <w:szCs w:val="22"/>
        </w:rPr>
        <w:t xml:space="preserve"> </w:t>
      </w:r>
    </w:p>
    <w:p w14:paraId="3C4C4957" w14:textId="001B8DC2" w:rsidR="00BE76D5" w:rsidRPr="004E1637" w:rsidRDefault="00BE76D5" w:rsidP="0046226C">
      <w:pPr>
        <w:pStyle w:val="CM100"/>
        <w:rPr>
          <w:sz w:val="22"/>
          <w:szCs w:val="22"/>
        </w:rPr>
      </w:pPr>
      <w:r w:rsidRPr="004E1637">
        <w:rPr>
          <w:sz w:val="22"/>
          <w:szCs w:val="22"/>
        </w:rPr>
        <w:t>Tento liek obsahuje monohydrát</w:t>
      </w:r>
      <w:r w:rsidR="003E3FFF">
        <w:rPr>
          <w:sz w:val="22"/>
          <w:szCs w:val="22"/>
        </w:rPr>
        <w:t xml:space="preserve"> </w:t>
      </w:r>
      <w:r w:rsidR="00DA634C" w:rsidRPr="004E1637">
        <w:rPr>
          <w:sz w:val="22"/>
          <w:szCs w:val="22"/>
        </w:rPr>
        <w:t>laktózy</w:t>
      </w:r>
      <w:r w:rsidR="003E3FFF">
        <w:rPr>
          <w:sz w:val="22"/>
          <w:szCs w:val="22"/>
        </w:rPr>
        <w:t xml:space="preserve">. </w:t>
      </w:r>
      <w:r w:rsidRPr="004E1637">
        <w:rPr>
          <w:sz w:val="22"/>
          <w:szCs w:val="22"/>
        </w:rPr>
        <w:t xml:space="preserve">Pacienti so zriedkavými dedičnými problémami galaktózovej intolerancie, celkovým deficitom laktázy alebo glukózo-galaktózovou malabsorpciou nesmú užívať tento liek. </w:t>
      </w:r>
    </w:p>
    <w:p w14:paraId="55A66765" w14:textId="77777777" w:rsidR="00DA634C" w:rsidRPr="004E1637" w:rsidRDefault="00DA634C" w:rsidP="00DA634C">
      <w:pPr>
        <w:pStyle w:val="Default"/>
        <w:rPr>
          <w:sz w:val="22"/>
          <w:szCs w:val="22"/>
        </w:rPr>
      </w:pPr>
    </w:p>
    <w:p w14:paraId="6BD970E5" w14:textId="77777777" w:rsidR="00DA634C" w:rsidRPr="004E1637" w:rsidRDefault="00DA634C" w:rsidP="00DA634C">
      <w:pPr>
        <w:pStyle w:val="Default"/>
        <w:rPr>
          <w:sz w:val="22"/>
          <w:szCs w:val="22"/>
          <w:u w:val="single"/>
        </w:rPr>
      </w:pPr>
      <w:r w:rsidRPr="004E1637">
        <w:rPr>
          <w:sz w:val="22"/>
          <w:szCs w:val="22"/>
          <w:u w:val="single"/>
        </w:rPr>
        <w:t>Sodík</w:t>
      </w:r>
    </w:p>
    <w:p w14:paraId="4A655EB0" w14:textId="1B580EAC" w:rsidR="003E3FFF" w:rsidRDefault="003E3FFF" w:rsidP="00DA634C">
      <w:pPr>
        <w:pStyle w:val="Default"/>
        <w:rPr>
          <w:sz w:val="22"/>
          <w:szCs w:val="22"/>
        </w:rPr>
      </w:pPr>
      <w:r>
        <w:rPr>
          <w:sz w:val="22"/>
          <w:szCs w:val="22"/>
        </w:rPr>
        <w:t>Tento liek obsahuje sodík (ako</w:t>
      </w:r>
      <w:r w:rsidR="00582805">
        <w:rPr>
          <w:sz w:val="22"/>
          <w:szCs w:val="22"/>
        </w:rPr>
        <w:t xml:space="preserve"> soľ</w:t>
      </w:r>
      <w:r>
        <w:rPr>
          <w:sz w:val="22"/>
          <w:szCs w:val="22"/>
        </w:rPr>
        <w:t xml:space="preserve"> kroskaramelóz</w:t>
      </w:r>
      <w:r w:rsidR="00582805">
        <w:rPr>
          <w:sz w:val="22"/>
          <w:szCs w:val="22"/>
        </w:rPr>
        <w:t>y</w:t>
      </w:r>
      <w:r>
        <w:rPr>
          <w:sz w:val="22"/>
          <w:szCs w:val="22"/>
        </w:rPr>
        <w:t>):</w:t>
      </w:r>
    </w:p>
    <w:p w14:paraId="0FCCEDEA" w14:textId="3C19F1FE" w:rsidR="00DA634C" w:rsidRPr="004E1637" w:rsidRDefault="00DA634C" w:rsidP="00DA634C">
      <w:pPr>
        <w:pStyle w:val="Default"/>
        <w:rPr>
          <w:sz w:val="22"/>
          <w:szCs w:val="22"/>
        </w:rPr>
      </w:pPr>
      <w:r w:rsidRPr="004E1637">
        <w:rPr>
          <w:sz w:val="22"/>
          <w:szCs w:val="22"/>
        </w:rPr>
        <w:t>Tento liek obsahuje menej ako 1 mmol sodíka (23 mg) v tablete, t.j. v podstate zanedbateľné množstvo sodíka.</w:t>
      </w:r>
    </w:p>
    <w:p w14:paraId="43CFF310" w14:textId="77777777" w:rsidR="007B3195" w:rsidRPr="004E1637" w:rsidRDefault="007B3195" w:rsidP="00DA634C">
      <w:pPr>
        <w:pStyle w:val="Default"/>
        <w:rPr>
          <w:sz w:val="22"/>
          <w:szCs w:val="22"/>
        </w:rPr>
      </w:pPr>
    </w:p>
    <w:p w14:paraId="1BAC8A7A" w14:textId="026A09E1" w:rsidR="00BE76D5" w:rsidRPr="004E1637" w:rsidRDefault="00BE76D5" w:rsidP="00895A04">
      <w:pPr>
        <w:pStyle w:val="CM100"/>
        <w:tabs>
          <w:tab w:val="left" w:pos="567"/>
        </w:tabs>
        <w:rPr>
          <w:b/>
          <w:bCs/>
          <w:sz w:val="22"/>
          <w:szCs w:val="22"/>
        </w:rPr>
      </w:pPr>
      <w:r w:rsidRPr="004E1637">
        <w:rPr>
          <w:b/>
          <w:bCs/>
          <w:sz w:val="22"/>
          <w:szCs w:val="22"/>
        </w:rPr>
        <w:t>4.5</w:t>
      </w:r>
      <w:r w:rsidR="00895A04">
        <w:rPr>
          <w:b/>
          <w:bCs/>
          <w:sz w:val="22"/>
          <w:szCs w:val="22"/>
        </w:rPr>
        <w:tab/>
      </w:r>
      <w:r w:rsidRPr="004E1637">
        <w:rPr>
          <w:b/>
          <w:bCs/>
          <w:sz w:val="22"/>
          <w:szCs w:val="22"/>
        </w:rPr>
        <w:t xml:space="preserve">Liekové a iné interakcie </w:t>
      </w:r>
    </w:p>
    <w:p w14:paraId="45491FBF" w14:textId="77777777" w:rsidR="00DA634C" w:rsidRPr="004E1637" w:rsidRDefault="00DA634C" w:rsidP="00DA634C">
      <w:pPr>
        <w:pStyle w:val="Default"/>
        <w:rPr>
          <w:sz w:val="22"/>
          <w:szCs w:val="22"/>
        </w:rPr>
      </w:pPr>
    </w:p>
    <w:p w14:paraId="2153A96C" w14:textId="77777777" w:rsidR="00957211" w:rsidRPr="004E1637" w:rsidRDefault="00BE76D5" w:rsidP="0046226C">
      <w:pPr>
        <w:pStyle w:val="CM100"/>
        <w:rPr>
          <w:sz w:val="22"/>
          <w:szCs w:val="22"/>
          <w:u w:val="single"/>
        </w:rPr>
      </w:pPr>
      <w:r w:rsidRPr="004E1637">
        <w:rPr>
          <w:sz w:val="22"/>
          <w:szCs w:val="22"/>
          <w:u w:val="single"/>
        </w:rPr>
        <w:t>Liečivá, ktoré môžu zvýšiť plazmatické koncentrácie dasatinibu</w:t>
      </w:r>
    </w:p>
    <w:p w14:paraId="21974F35" w14:textId="4A9CA4C2" w:rsidR="00BE76D5" w:rsidRPr="004E1637" w:rsidRDefault="00BE76D5" w:rsidP="0046226C">
      <w:pPr>
        <w:pStyle w:val="CM100"/>
        <w:rPr>
          <w:sz w:val="22"/>
          <w:szCs w:val="22"/>
        </w:rPr>
      </w:pPr>
      <w:r w:rsidRPr="004E1637">
        <w:rPr>
          <w:sz w:val="22"/>
          <w:szCs w:val="22"/>
        </w:rPr>
        <w:t xml:space="preserve">Štúdie </w:t>
      </w:r>
      <w:r w:rsidRPr="004E1637">
        <w:rPr>
          <w:i/>
          <w:iCs/>
          <w:sz w:val="22"/>
          <w:szCs w:val="22"/>
        </w:rPr>
        <w:t>in vitro</w:t>
      </w:r>
      <w:r w:rsidRPr="004E1637">
        <w:rPr>
          <w:sz w:val="22"/>
          <w:szCs w:val="22"/>
        </w:rPr>
        <w:t xml:space="preserve"> poukazujú na to, že dasatinib je substrátom CYP3A4. Súbežné užívanie dasatinibu a liekov alebo látok, ktoré silne inhibujú CYP3A4 (napr. ketokonazol, itrakonazol, erytromycín, klaritromycín, ritonavir, telitromycín, grapefruitový džús) môže zvýšiť expozíciu dasatinibu. Preto sa u pacientov liečených dasatinibom neodporúča systémové podávanie silného inhibítora CYP3A4</w:t>
      </w:r>
      <w:r w:rsidR="003E3FFF">
        <w:rPr>
          <w:sz w:val="22"/>
          <w:szCs w:val="22"/>
        </w:rPr>
        <w:t xml:space="preserve"> (pozri časť 4.2)</w:t>
      </w:r>
      <w:r w:rsidRPr="004E1637">
        <w:rPr>
          <w:sz w:val="22"/>
          <w:szCs w:val="22"/>
        </w:rPr>
        <w:t xml:space="preserve">. </w:t>
      </w:r>
    </w:p>
    <w:p w14:paraId="44C655DB" w14:textId="77777777" w:rsidR="00475565" w:rsidRPr="004E1637" w:rsidRDefault="00475565" w:rsidP="00475565">
      <w:pPr>
        <w:pStyle w:val="Default"/>
      </w:pPr>
    </w:p>
    <w:p w14:paraId="07D895D8" w14:textId="77777777" w:rsidR="00BE76D5" w:rsidRPr="004E1637" w:rsidRDefault="00BE76D5" w:rsidP="0046226C">
      <w:pPr>
        <w:pStyle w:val="CM2"/>
        <w:spacing w:line="240" w:lineRule="auto"/>
        <w:rPr>
          <w:sz w:val="22"/>
          <w:szCs w:val="22"/>
        </w:rPr>
      </w:pPr>
      <w:r w:rsidRPr="004E1637">
        <w:rPr>
          <w:sz w:val="22"/>
          <w:szCs w:val="22"/>
        </w:rPr>
        <w:t>V klinicky relevantných koncentráciách sa v priemere 96 % dasatinibu viaže na plazmatické proteíny</w:t>
      </w:r>
    </w:p>
    <w:p w14:paraId="1AF9266F" w14:textId="1F1E2E0D" w:rsidR="00BE76D5" w:rsidRPr="004E1637" w:rsidRDefault="00BE76D5" w:rsidP="0046226C">
      <w:pPr>
        <w:pStyle w:val="CM100"/>
        <w:rPr>
          <w:sz w:val="22"/>
          <w:szCs w:val="22"/>
        </w:rPr>
      </w:pPr>
      <w:r w:rsidRPr="004E1637">
        <w:rPr>
          <w:sz w:val="22"/>
          <w:szCs w:val="22"/>
        </w:rPr>
        <w:t xml:space="preserve">na základe </w:t>
      </w:r>
      <w:r w:rsidRPr="004E1637">
        <w:rPr>
          <w:i/>
          <w:iCs/>
          <w:sz w:val="22"/>
          <w:szCs w:val="22"/>
        </w:rPr>
        <w:t>in vitro</w:t>
      </w:r>
      <w:r w:rsidRPr="004E1637">
        <w:rPr>
          <w:sz w:val="22"/>
          <w:szCs w:val="22"/>
        </w:rPr>
        <w:t xml:space="preserve"> experimentov. Neboli vykonané štúdie hodnotiace interakcie dasatinibu s inými liekmi viažucimi sa na proteíny. Potenciál </w:t>
      </w:r>
      <w:r w:rsidR="00E803AE">
        <w:rPr>
          <w:sz w:val="22"/>
          <w:szCs w:val="22"/>
        </w:rPr>
        <w:t>vytesnenenia</w:t>
      </w:r>
      <w:r w:rsidRPr="004E1637">
        <w:rPr>
          <w:sz w:val="22"/>
          <w:szCs w:val="22"/>
        </w:rPr>
        <w:t xml:space="preserve"> a j</w:t>
      </w:r>
      <w:r w:rsidR="00E803AE">
        <w:rPr>
          <w:sz w:val="22"/>
          <w:szCs w:val="22"/>
        </w:rPr>
        <w:t>eho</w:t>
      </w:r>
      <w:r w:rsidRPr="004E1637">
        <w:rPr>
          <w:sz w:val="22"/>
          <w:szCs w:val="22"/>
        </w:rPr>
        <w:t xml:space="preserve"> klinická dôležitosť nie je známa. </w:t>
      </w:r>
    </w:p>
    <w:p w14:paraId="6344352E" w14:textId="77777777" w:rsidR="00957211" w:rsidRPr="004E1637" w:rsidRDefault="00957211" w:rsidP="0046226C">
      <w:pPr>
        <w:pStyle w:val="CM2"/>
        <w:spacing w:line="240" w:lineRule="auto"/>
        <w:rPr>
          <w:sz w:val="22"/>
          <w:szCs w:val="22"/>
          <w:u w:val="single"/>
        </w:rPr>
      </w:pPr>
    </w:p>
    <w:p w14:paraId="4AB92324" w14:textId="77777777" w:rsidR="00957211" w:rsidRPr="004E1637" w:rsidRDefault="00BE76D5" w:rsidP="0046226C">
      <w:pPr>
        <w:pStyle w:val="CM2"/>
        <w:spacing w:line="240" w:lineRule="auto"/>
        <w:rPr>
          <w:sz w:val="22"/>
          <w:szCs w:val="22"/>
          <w:u w:val="single"/>
        </w:rPr>
      </w:pPr>
      <w:r w:rsidRPr="004E1637">
        <w:rPr>
          <w:sz w:val="22"/>
          <w:szCs w:val="22"/>
          <w:u w:val="single"/>
        </w:rPr>
        <w:t>Liečivá, ktoré môžu znížiť plazmatické koncentrácie dasatinibu</w:t>
      </w:r>
      <w:r w:rsidRPr="00C11B8A">
        <w:rPr>
          <w:sz w:val="22"/>
          <w:szCs w:val="22"/>
        </w:rPr>
        <w:t xml:space="preserve"> </w:t>
      </w:r>
    </w:p>
    <w:p w14:paraId="3B85F877" w14:textId="63D97B11" w:rsidR="00957211" w:rsidRPr="004E1637" w:rsidRDefault="00E803AE" w:rsidP="00D902AC">
      <w:pPr>
        <w:pStyle w:val="CM2"/>
        <w:spacing w:line="240" w:lineRule="auto"/>
        <w:rPr>
          <w:sz w:val="22"/>
          <w:szCs w:val="22"/>
        </w:rPr>
      </w:pPr>
      <w:r>
        <w:rPr>
          <w:sz w:val="22"/>
          <w:szCs w:val="22"/>
        </w:rPr>
        <w:t>Ak</w:t>
      </w:r>
      <w:r w:rsidR="00BE76D5" w:rsidRPr="004E1637">
        <w:rPr>
          <w:sz w:val="22"/>
          <w:szCs w:val="22"/>
        </w:rPr>
        <w:t xml:space="preserve"> sa dasatinib podával po 8 d</w:t>
      </w:r>
      <w:r w:rsidR="001E56A1">
        <w:rPr>
          <w:sz w:val="22"/>
          <w:szCs w:val="22"/>
        </w:rPr>
        <w:t>ňoch, keď sa</w:t>
      </w:r>
      <w:r w:rsidR="00BE76D5" w:rsidRPr="004E1637">
        <w:rPr>
          <w:sz w:val="22"/>
          <w:szCs w:val="22"/>
        </w:rPr>
        <w:t xml:space="preserve"> </w:t>
      </w:r>
      <w:r w:rsidR="00EB72CC">
        <w:rPr>
          <w:sz w:val="22"/>
          <w:szCs w:val="22"/>
        </w:rPr>
        <w:t xml:space="preserve">raz denne </w:t>
      </w:r>
      <w:r w:rsidR="00BE76D5" w:rsidRPr="004E1637">
        <w:rPr>
          <w:sz w:val="22"/>
          <w:szCs w:val="22"/>
        </w:rPr>
        <w:t xml:space="preserve">večer </w:t>
      </w:r>
      <w:r w:rsidR="001E56A1">
        <w:rPr>
          <w:sz w:val="22"/>
          <w:szCs w:val="22"/>
        </w:rPr>
        <w:t>podával v dávke</w:t>
      </w:r>
      <w:r w:rsidR="00BE76D5" w:rsidRPr="004E1637">
        <w:rPr>
          <w:sz w:val="22"/>
          <w:szCs w:val="22"/>
        </w:rPr>
        <w:t xml:space="preserve"> 600 mg rifampicín, silný induktor CYP3A4, hodnota AUC dasatinibu sa znížila o 82 %. Iné lieky, ktoré indukujú aktivitu CYP3A4 (napr. dexametazón, fenytoín, karbamazepín, fenobarbital alebo rastlinné lieky obsahujúce </w:t>
      </w:r>
      <w:r w:rsidR="00BE76D5" w:rsidRPr="004E1637">
        <w:rPr>
          <w:i/>
          <w:iCs/>
          <w:sz w:val="22"/>
          <w:szCs w:val="22"/>
        </w:rPr>
        <w:t>Hypericum perforatum</w:t>
      </w:r>
      <w:r w:rsidR="00475565" w:rsidRPr="004E1637">
        <w:rPr>
          <w:sz w:val="22"/>
          <w:szCs w:val="22"/>
        </w:rPr>
        <w:t>, známy aj ako ľ</w:t>
      </w:r>
      <w:r w:rsidR="00BE76D5" w:rsidRPr="004E1637">
        <w:rPr>
          <w:sz w:val="22"/>
          <w:szCs w:val="22"/>
        </w:rPr>
        <w:t xml:space="preserve">ubovník bodkovaný), môžu tiež zvýšiť metabolizmus a znížiť plazmatické koncentrácie dasatinibu. Z tohto dôvodu sa neodporúča súbežné užívanie silných induktorov CYP3A4 s dasatinibom. U pacientov, u ktorých je indikovaný rifampicín alebo iné induktory CYP3A4, sa majú použiť alternatívne lieky s menším potenciálom pre enzýmovú indukciu. </w:t>
      </w:r>
      <w:r w:rsidR="00D902AC" w:rsidRPr="00D902AC">
        <w:rPr>
          <w:sz w:val="22"/>
          <w:szCs w:val="22"/>
        </w:rPr>
        <w:t>Súbežné používanie</w:t>
      </w:r>
      <w:r w:rsidR="00D902AC">
        <w:rPr>
          <w:sz w:val="22"/>
          <w:szCs w:val="22"/>
        </w:rPr>
        <w:t xml:space="preserve"> </w:t>
      </w:r>
      <w:r w:rsidR="00D902AC" w:rsidRPr="00D902AC">
        <w:rPr>
          <w:sz w:val="22"/>
          <w:szCs w:val="22"/>
        </w:rPr>
        <w:t>dexametazónu, slabého induktora CYP3A4, s dasatinibom je dovolené; predpokladá sa, že AUC</w:t>
      </w:r>
      <w:r w:rsidR="00D902AC">
        <w:rPr>
          <w:sz w:val="22"/>
          <w:szCs w:val="22"/>
        </w:rPr>
        <w:t xml:space="preserve"> </w:t>
      </w:r>
      <w:r w:rsidR="00D902AC" w:rsidRPr="00D902AC">
        <w:rPr>
          <w:sz w:val="22"/>
          <w:szCs w:val="22"/>
        </w:rPr>
        <w:t>dasatinibu sa pri súbežnom používaní s dexametazónom zníži približne o 25 %, čo pravdepodobne</w:t>
      </w:r>
      <w:r w:rsidR="00D902AC">
        <w:rPr>
          <w:sz w:val="22"/>
          <w:szCs w:val="22"/>
        </w:rPr>
        <w:t xml:space="preserve"> </w:t>
      </w:r>
      <w:r w:rsidR="00D902AC" w:rsidRPr="00D902AC">
        <w:rPr>
          <w:sz w:val="22"/>
          <w:szCs w:val="22"/>
        </w:rPr>
        <w:t>nebude klinicky významné.</w:t>
      </w:r>
    </w:p>
    <w:p w14:paraId="1D99C5A6" w14:textId="77777777" w:rsidR="00957211" w:rsidRPr="004E1637" w:rsidRDefault="00957211" w:rsidP="00957211">
      <w:pPr>
        <w:pStyle w:val="CM2"/>
        <w:spacing w:line="240" w:lineRule="auto"/>
        <w:rPr>
          <w:sz w:val="22"/>
          <w:szCs w:val="22"/>
        </w:rPr>
      </w:pPr>
    </w:p>
    <w:p w14:paraId="2F4031AB" w14:textId="77777777" w:rsidR="00BE76D5" w:rsidRPr="004E1637" w:rsidRDefault="00BE76D5" w:rsidP="00957211">
      <w:pPr>
        <w:pStyle w:val="CM2"/>
        <w:spacing w:line="240" w:lineRule="auto"/>
        <w:rPr>
          <w:sz w:val="22"/>
          <w:szCs w:val="22"/>
        </w:rPr>
      </w:pPr>
      <w:r w:rsidRPr="004E1637">
        <w:rPr>
          <w:i/>
          <w:iCs/>
          <w:sz w:val="22"/>
          <w:szCs w:val="22"/>
          <w:u w:val="single"/>
        </w:rPr>
        <w:t>Antagonisty H</w:t>
      </w:r>
      <w:r w:rsidRPr="004E1637">
        <w:rPr>
          <w:i/>
          <w:iCs/>
          <w:sz w:val="22"/>
          <w:szCs w:val="22"/>
          <w:u w:val="single"/>
          <w:vertAlign w:val="subscript"/>
        </w:rPr>
        <w:t>2</w:t>
      </w:r>
      <w:r w:rsidRPr="004E1637">
        <w:rPr>
          <w:i/>
          <w:iCs/>
          <w:sz w:val="22"/>
          <w:szCs w:val="22"/>
          <w:u w:val="single"/>
        </w:rPr>
        <w:t>-histamínového receptora a inhibítory protónovej pumpy</w:t>
      </w:r>
      <w:r w:rsidRPr="00C11B8A">
        <w:rPr>
          <w:i/>
          <w:iCs/>
          <w:sz w:val="22"/>
          <w:szCs w:val="22"/>
        </w:rPr>
        <w:t xml:space="preserve"> </w:t>
      </w:r>
    </w:p>
    <w:p w14:paraId="4CBE4815" w14:textId="4A4DF423" w:rsidR="00BE76D5" w:rsidRPr="004E1637" w:rsidRDefault="00BE76D5" w:rsidP="0046226C">
      <w:pPr>
        <w:pStyle w:val="CM100"/>
        <w:rPr>
          <w:sz w:val="22"/>
          <w:szCs w:val="22"/>
        </w:rPr>
      </w:pPr>
      <w:r w:rsidRPr="004E1637">
        <w:rPr>
          <w:sz w:val="22"/>
          <w:szCs w:val="22"/>
        </w:rPr>
        <w:t>Dlhodobá supresia sekrécie žalúdočnej kyseliny spôsobená H</w:t>
      </w:r>
      <w:r w:rsidRPr="004E1637">
        <w:rPr>
          <w:sz w:val="22"/>
          <w:szCs w:val="22"/>
          <w:vertAlign w:val="subscript"/>
        </w:rPr>
        <w:t>2</w:t>
      </w:r>
      <w:r w:rsidRPr="004E1637">
        <w:rPr>
          <w:sz w:val="22"/>
          <w:szCs w:val="22"/>
        </w:rPr>
        <w:t xml:space="preserve">-antagonistami alebo inhibítormi protónovej pumpy (napr. famotidínom a omeprazolom) pravdepodobne zníži expozíciu dasatinibu. V štúdii jednorazovej dávky u zdravých </w:t>
      </w:r>
      <w:r w:rsidR="00E803AE">
        <w:rPr>
          <w:sz w:val="22"/>
          <w:szCs w:val="22"/>
        </w:rPr>
        <w:t>účastníkov</w:t>
      </w:r>
      <w:r w:rsidRPr="004E1637">
        <w:rPr>
          <w:sz w:val="22"/>
          <w:szCs w:val="22"/>
        </w:rPr>
        <w:t xml:space="preserve"> podanie famotidínu 10 hodín pred jednorazovou</w:t>
      </w:r>
      <w:r w:rsidR="00475565" w:rsidRPr="004E1637">
        <w:rPr>
          <w:sz w:val="22"/>
          <w:szCs w:val="22"/>
        </w:rPr>
        <w:t xml:space="preserve"> dávkou dasatinibu</w:t>
      </w:r>
      <w:r w:rsidRPr="004E1637">
        <w:rPr>
          <w:sz w:val="22"/>
          <w:szCs w:val="22"/>
        </w:rPr>
        <w:t xml:space="preserve"> znížilo expozíciu dasatinibu o 61 %. V štúdii so</w:t>
      </w:r>
      <w:r w:rsidR="00475565" w:rsidRPr="004E1637">
        <w:rPr>
          <w:sz w:val="22"/>
          <w:szCs w:val="22"/>
        </w:rPr>
        <w:t xml:space="preserve"> </w:t>
      </w:r>
      <w:r w:rsidRPr="004E1637">
        <w:rPr>
          <w:sz w:val="22"/>
          <w:szCs w:val="22"/>
        </w:rPr>
        <w:t>14 zdravými dobrovoľníkmi pri podaní jednorazovej dávky</w:t>
      </w:r>
      <w:r w:rsidR="00E803AE">
        <w:rPr>
          <w:sz w:val="22"/>
          <w:szCs w:val="22"/>
        </w:rPr>
        <w:t xml:space="preserve"> 100 mg</w:t>
      </w:r>
      <w:r w:rsidRPr="004E1637">
        <w:rPr>
          <w:sz w:val="22"/>
          <w:szCs w:val="22"/>
        </w:rPr>
        <w:t xml:space="preserve"> </w:t>
      </w:r>
      <w:r w:rsidR="00475565" w:rsidRPr="004E1637">
        <w:rPr>
          <w:sz w:val="22"/>
          <w:szCs w:val="22"/>
        </w:rPr>
        <w:t xml:space="preserve">dasatinibu </w:t>
      </w:r>
      <w:r w:rsidRPr="004E1637">
        <w:rPr>
          <w:sz w:val="22"/>
          <w:szCs w:val="22"/>
        </w:rPr>
        <w:t xml:space="preserve">22 hodín </w:t>
      </w:r>
      <w:r w:rsidR="00363A3A">
        <w:rPr>
          <w:sz w:val="22"/>
          <w:szCs w:val="22"/>
        </w:rPr>
        <w:t>po 4-dňovom podávaní</w:t>
      </w:r>
      <w:r w:rsidRPr="004E1637">
        <w:rPr>
          <w:sz w:val="22"/>
          <w:szCs w:val="22"/>
        </w:rPr>
        <w:t xml:space="preserve"> 40 mg dávk</w:t>
      </w:r>
      <w:r w:rsidR="00363A3A">
        <w:rPr>
          <w:sz w:val="22"/>
          <w:szCs w:val="22"/>
        </w:rPr>
        <w:t>y</w:t>
      </w:r>
      <w:r w:rsidRPr="004E1637">
        <w:rPr>
          <w:sz w:val="22"/>
          <w:szCs w:val="22"/>
        </w:rPr>
        <w:t xml:space="preserve"> omeprazolu </w:t>
      </w:r>
      <w:r w:rsidR="00363A3A">
        <w:rPr>
          <w:sz w:val="22"/>
          <w:szCs w:val="22"/>
        </w:rPr>
        <w:t xml:space="preserve">v rovnovážnom stave sa </w:t>
      </w:r>
      <w:r w:rsidRPr="004E1637">
        <w:rPr>
          <w:sz w:val="22"/>
          <w:szCs w:val="22"/>
        </w:rPr>
        <w:t>znížila hodnot</w:t>
      </w:r>
      <w:r w:rsidR="00363A3A">
        <w:rPr>
          <w:sz w:val="22"/>
          <w:szCs w:val="22"/>
        </w:rPr>
        <w:t>a</w:t>
      </w:r>
      <w:r w:rsidRPr="004E1637">
        <w:rPr>
          <w:sz w:val="22"/>
          <w:szCs w:val="22"/>
        </w:rPr>
        <w:t xml:space="preserve"> AUC dasatinibu o 43 % a hodnot</w:t>
      </w:r>
      <w:r w:rsidR="00363A3A">
        <w:rPr>
          <w:sz w:val="22"/>
          <w:szCs w:val="22"/>
        </w:rPr>
        <w:t>a</w:t>
      </w:r>
      <w:r w:rsidRPr="004E1637">
        <w:rPr>
          <w:sz w:val="22"/>
          <w:szCs w:val="22"/>
        </w:rPr>
        <w:t xml:space="preserve"> C</w:t>
      </w:r>
      <w:r w:rsidRPr="004E1637">
        <w:rPr>
          <w:sz w:val="22"/>
          <w:szCs w:val="22"/>
          <w:vertAlign w:val="subscript"/>
        </w:rPr>
        <w:t>max</w:t>
      </w:r>
      <w:r w:rsidRPr="004E1637">
        <w:rPr>
          <w:sz w:val="22"/>
          <w:szCs w:val="22"/>
        </w:rPr>
        <w:t xml:space="preserve"> dasatinibu o 42 %. U pacientov liečených </w:t>
      </w:r>
      <w:r w:rsidR="00475565" w:rsidRPr="004E1637">
        <w:rPr>
          <w:sz w:val="22"/>
          <w:szCs w:val="22"/>
        </w:rPr>
        <w:t>dasatinibom</w:t>
      </w:r>
      <w:r w:rsidRPr="004E1637">
        <w:rPr>
          <w:sz w:val="22"/>
          <w:szCs w:val="22"/>
        </w:rPr>
        <w:t xml:space="preserve"> sa má namiesto H</w:t>
      </w:r>
      <w:r w:rsidRPr="004E1637">
        <w:rPr>
          <w:sz w:val="22"/>
          <w:szCs w:val="22"/>
          <w:vertAlign w:val="subscript"/>
        </w:rPr>
        <w:t>2</w:t>
      </w:r>
      <w:r w:rsidRPr="004E1637">
        <w:rPr>
          <w:sz w:val="22"/>
          <w:szCs w:val="22"/>
        </w:rPr>
        <w:t xml:space="preserve">-antagonistov alebo inhibítorov protónovej pumpy zvážiť použitie antacíd (pozri časť 4.4). </w:t>
      </w:r>
    </w:p>
    <w:p w14:paraId="3AE03B1A" w14:textId="77777777" w:rsidR="00957211" w:rsidRPr="004E1637" w:rsidRDefault="00957211" w:rsidP="0046226C">
      <w:pPr>
        <w:pStyle w:val="Default"/>
        <w:rPr>
          <w:i/>
          <w:iCs/>
          <w:color w:val="auto"/>
          <w:sz w:val="22"/>
          <w:szCs w:val="22"/>
          <w:u w:val="single"/>
        </w:rPr>
      </w:pPr>
    </w:p>
    <w:p w14:paraId="47481662" w14:textId="77777777" w:rsidR="00BE76D5" w:rsidRPr="004E1637" w:rsidRDefault="00BE76D5" w:rsidP="0046226C">
      <w:pPr>
        <w:pStyle w:val="Default"/>
        <w:rPr>
          <w:color w:val="auto"/>
          <w:sz w:val="22"/>
          <w:szCs w:val="22"/>
        </w:rPr>
      </w:pPr>
      <w:r w:rsidRPr="004E1637">
        <w:rPr>
          <w:i/>
          <w:iCs/>
          <w:color w:val="auto"/>
          <w:sz w:val="22"/>
          <w:szCs w:val="22"/>
          <w:u w:val="single"/>
        </w:rPr>
        <w:t>Antacidá</w:t>
      </w:r>
      <w:r w:rsidRPr="00C11B8A">
        <w:rPr>
          <w:i/>
          <w:iCs/>
          <w:color w:val="auto"/>
          <w:sz w:val="22"/>
          <w:szCs w:val="22"/>
        </w:rPr>
        <w:t xml:space="preserve"> </w:t>
      </w:r>
    </w:p>
    <w:p w14:paraId="338F8173" w14:textId="2B9BB55D" w:rsidR="00BE76D5" w:rsidRPr="004E1637" w:rsidRDefault="00BE76D5" w:rsidP="0046226C">
      <w:pPr>
        <w:pStyle w:val="CM100"/>
        <w:rPr>
          <w:sz w:val="22"/>
          <w:szCs w:val="22"/>
        </w:rPr>
      </w:pPr>
      <w:r w:rsidRPr="004E1637">
        <w:rPr>
          <w:sz w:val="22"/>
          <w:szCs w:val="22"/>
        </w:rPr>
        <w:t xml:space="preserve">Predklinické údaje potvrdzujú, že rozpustnosť dasatinibu závisí od pH. U zdravých </w:t>
      </w:r>
      <w:r w:rsidR="00E803AE">
        <w:rPr>
          <w:sz w:val="22"/>
          <w:szCs w:val="22"/>
        </w:rPr>
        <w:t>osôb</w:t>
      </w:r>
      <w:r w:rsidRPr="004E1637">
        <w:rPr>
          <w:sz w:val="22"/>
          <w:szCs w:val="22"/>
        </w:rPr>
        <w:t xml:space="preserve"> súbežné užívanie antacíd obsahujúcich hydroxid hlinitý/hydroxid horečnatý s</w:t>
      </w:r>
      <w:r w:rsidR="00475565" w:rsidRPr="004E1637">
        <w:rPr>
          <w:sz w:val="22"/>
          <w:szCs w:val="22"/>
        </w:rPr>
        <w:t xml:space="preserve"> dasatinibom</w:t>
      </w:r>
      <w:r w:rsidRPr="004E1637">
        <w:rPr>
          <w:sz w:val="22"/>
          <w:szCs w:val="22"/>
        </w:rPr>
        <w:t xml:space="preserve"> znížilo hodnotu AUC jednorazovej dávky </w:t>
      </w:r>
      <w:r w:rsidR="00475565" w:rsidRPr="004E1637">
        <w:rPr>
          <w:sz w:val="22"/>
          <w:szCs w:val="22"/>
        </w:rPr>
        <w:t xml:space="preserve">dasatinibu </w:t>
      </w:r>
      <w:r w:rsidRPr="004E1637">
        <w:rPr>
          <w:sz w:val="22"/>
          <w:szCs w:val="22"/>
        </w:rPr>
        <w:t>o 55 % a C</w:t>
      </w:r>
      <w:r w:rsidRPr="004E1637">
        <w:rPr>
          <w:sz w:val="22"/>
          <w:szCs w:val="22"/>
          <w:vertAlign w:val="subscript"/>
        </w:rPr>
        <w:t>max</w:t>
      </w:r>
      <w:r w:rsidRPr="004E1637">
        <w:rPr>
          <w:sz w:val="22"/>
          <w:szCs w:val="22"/>
        </w:rPr>
        <w:t xml:space="preserve"> o 58 %. Keď však boli antacidá podané 2 hodiny pred jednorazovou dávkou </w:t>
      </w:r>
      <w:r w:rsidR="00475565" w:rsidRPr="004E1637">
        <w:rPr>
          <w:sz w:val="22"/>
          <w:szCs w:val="22"/>
        </w:rPr>
        <w:t>dasatinibu</w:t>
      </w:r>
      <w:r w:rsidRPr="004E1637">
        <w:rPr>
          <w:sz w:val="22"/>
          <w:szCs w:val="22"/>
        </w:rPr>
        <w:t xml:space="preserve">, nepozorovali sa žiadne významné zmeny v koncentrácii ani expozícii dasatinibu. Z tohto dôvodu sa antacidá môžu podať 2 hodín pred alebo 2 hodiny po podaní </w:t>
      </w:r>
      <w:r w:rsidR="00475565" w:rsidRPr="004E1637">
        <w:rPr>
          <w:sz w:val="22"/>
          <w:szCs w:val="22"/>
        </w:rPr>
        <w:t>dasatinibu</w:t>
      </w:r>
      <w:r w:rsidRPr="004E1637">
        <w:rPr>
          <w:sz w:val="22"/>
          <w:szCs w:val="22"/>
        </w:rPr>
        <w:t xml:space="preserve"> (pozri časť 4.4). </w:t>
      </w:r>
    </w:p>
    <w:p w14:paraId="2365D612" w14:textId="77777777" w:rsidR="00957211" w:rsidRPr="004E1637" w:rsidRDefault="00957211" w:rsidP="0046226C">
      <w:pPr>
        <w:pStyle w:val="CM100"/>
        <w:rPr>
          <w:sz w:val="22"/>
          <w:szCs w:val="22"/>
          <w:u w:val="single"/>
        </w:rPr>
      </w:pPr>
    </w:p>
    <w:p w14:paraId="14D23A59" w14:textId="77777777" w:rsidR="00751EA5" w:rsidRPr="004E1637" w:rsidRDefault="00BE76D5" w:rsidP="0046226C">
      <w:pPr>
        <w:pStyle w:val="CM100"/>
        <w:rPr>
          <w:sz w:val="22"/>
          <w:szCs w:val="22"/>
          <w:u w:val="single"/>
        </w:rPr>
      </w:pPr>
      <w:r w:rsidRPr="004E1637">
        <w:rPr>
          <w:sz w:val="22"/>
          <w:szCs w:val="22"/>
          <w:u w:val="single"/>
        </w:rPr>
        <w:t>Liečivá, ktorých plazmatické koncentrácie môže dasatinib ovplyvniť</w:t>
      </w:r>
      <w:r w:rsidRPr="00C11B8A">
        <w:rPr>
          <w:sz w:val="22"/>
          <w:szCs w:val="22"/>
        </w:rPr>
        <w:t xml:space="preserve"> </w:t>
      </w:r>
    </w:p>
    <w:p w14:paraId="60151896" w14:textId="6D39C348" w:rsidR="00751EA5" w:rsidRPr="004E1637" w:rsidRDefault="00BE76D5" w:rsidP="0046226C">
      <w:pPr>
        <w:pStyle w:val="CM100"/>
        <w:rPr>
          <w:sz w:val="22"/>
          <w:szCs w:val="22"/>
        </w:rPr>
      </w:pPr>
      <w:r w:rsidRPr="004E1637">
        <w:rPr>
          <w:sz w:val="22"/>
          <w:szCs w:val="22"/>
        </w:rPr>
        <w:t>Súbežné užívanie dasatinibu a substrát</w:t>
      </w:r>
      <w:r w:rsidR="00100CE3">
        <w:rPr>
          <w:sz w:val="22"/>
          <w:szCs w:val="22"/>
        </w:rPr>
        <w:t>ov</w:t>
      </w:r>
      <w:r w:rsidRPr="004E1637">
        <w:rPr>
          <w:sz w:val="22"/>
          <w:szCs w:val="22"/>
        </w:rPr>
        <w:t xml:space="preserve"> CYP3A4 môže zvýšiť expozíciu substrát</w:t>
      </w:r>
      <w:r w:rsidR="00100CE3">
        <w:rPr>
          <w:sz w:val="22"/>
          <w:szCs w:val="22"/>
        </w:rPr>
        <w:t>ov</w:t>
      </w:r>
      <w:r w:rsidRPr="004E1637">
        <w:rPr>
          <w:sz w:val="22"/>
          <w:szCs w:val="22"/>
        </w:rPr>
        <w:t xml:space="preserve"> CYP3A4. V štúdii so zdravými </w:t>
      </w:r>
      <w:r w:rsidR="00100CE3">
        <w:rPr>
          <w:sz w:val="22"/>
          <w:szCs w:val="22"/>
        </w:rPr>
        <w:t>účastníkmi</w:t>
      </w:r>
      <w:r w:rsidR="00100CE3" w:rsidRPr="004E1637">
        <w:rPr>
          <w:sz w:val="22"/>
          <w:szCs w:val="22"/>
        </w:rPr>
        <w:t xml:space="preserve"> </w:t>
      </w:r>
      <w:r w:rsidRPr="004E1637">
        <w:rPr>
          <w:sz w:val="22"/>
          <w:szCs w:val="22"/>
        </w:rPr>
        <w:t xml:space="preserve">jednorazová dávka </w:t>
      </w:r>
      <w:r w:rsidR="00100CE3">
        <w:rPr>
          <w:sz w:val="22"/>
          <w:szCs w:val="22"/>
        </w:rPr>
        <w:t xml:space="preserve">100 mg </w:t>
      </w:r>
      <w:r w:rsidRPr="004E1637">
        <w:rPr>
          <w:sz w:val="22"/>
          <w:szCs w:val="22"/>
        </w:rPr>
        <w:t>dasatinibu zvýšila hodnotu AUC simvastatínu, známeho substrátu CYP3A4, o 20 % a hodnotu C</w:t>
      </w:r>
      <w:r w:rsidRPr="004E1637">
        <w:rPr>
          <w:sz w:val="22"/>
          <w:szCs w:val="22"/>
          <w:vertAlign w:val="subscript"/>
        </w:rPr>
        <w:t>max</w:t>
      </w:r>
      <w:r w:rsidRPr="004E1637">
        <w:rPr>
          <w:sz w:val="22"/>
          <w:szCs w:val="22"/>
        </w:rPr>
        <w:t xml:space="preserve"> o 37 %. Nie je možné vylúčiť, že účinok je väčší po viacnásobných dávkach dasatinibu. Z tohto dôvodu sa substráty CYP3A4, o ktorých je známe, že majú úzk</w:t>
      </w:r>
      <w:r w:rsidR="008059E2">
        <w:rPr>
          <w:sz w:val="22"/>
          <w:szCs w:val="22"/>
        </w:rPr>
        <w:t>y</w:t>
      </w:r>
      <w:r w:rsidRPr="004E1637">
        <w:rPr>
          <w:sz w:val="22"/>
          <w:szCs w:val="22"/>
        </w:rPr>
        <w:t xml:space="preserve"> terapeutick</w:t>
      </w:r>
      <w:r w:rsidR="008059E2">
        <w:rPr>
          <w:sz w:val="22"/>
          <w:szCs w:val="22"/>
        </w:rPr>
        <w:t>ý</w:t>
      </w:r>
      <w:r w:rsidRPr="004E1637">
        <w:rPr>
          <w:sz w:val="22"/>
          <w:szCs w:val="22"/>
        </w:rPr>
        <w:t xml:space="preserve"> </w:t>
      </w:r>
      <w:r w:rsidR="008059E2">
        <w:rPr>
          <w:sz w:val="22"/>
          <w:szCs w:val="22"/>
        </w:rPr>
        <w:t>index</w:t>
      </w:r>
      <w:r w:rsidRPr="004E1637">
        <w:rPr>
          <w:sz w:val="22"/>
          <w:szCs w:val="22"/>
        </w:rPr>
        <w:t xml:space="preserve"> (napr. astemizol, terfenadín, cisaprid, pimozid, chinidín, bepridil alebo námeľové alkaloidy [ergotamín, dihydroergotamín]), majú podávať </w:t>
      </w:r>
      <w:r w:rsidR="008059E2">
        <w:rPr>
          <w:sz w:val="22"/>
          <w:szCs w:val="22"/>
        </w:rPr>
        <w:t xml:space="preserve">s </w:t>
      </w:r>
      <w:r w:rsidRPr="004E1637">
        <w:rPr>
          <w:sz w:val="22"/>
          <w:szCs w:val="22"/>
        </w:rPr>
        <w:t>opatrn</w:t>
      </w:r>
      <w:r w:rsidR="008059E2">
        <w:rPr>
          <w:sz w:val="22"/>
          <w:szCs w:val="22"/>
        </w:rPr>
        <w:t>osťou</w:t>
      </w:r>
      <w:r w:rsidRPr="004E1637">
        <w:rPr>
          <w:sz w:val="22"/>
          <w:szCs w:val="22"/>
        </w:rPr>
        <w:t xml:space="preserve"> u pacientov liečených dasatinibom (pozri časť 4.4). </w:t>
      </w:r>
    </w:p>
    <w:p w14:paraId="245D0B6F" w14:textId="5E9BFD23" w:rsidR="00BE76D5" w:rsidRPr="004E1637" w:rsidRDefault="00BE76D5" w:rsidP="0046226C">
      <w:pPr>
        <w:pStyle w:val="CM100"/>
        <w:rPr>
          <w:sz w:val="22"/>
          <w:szCs w:val="22"/>
        </w:rPr>
      </w:pPr>
      <w:r w:rsidRPr="004E1637">
        <w:rPr>
          <w:i/>
          <w:iCs/>
          <w:sz w:val="22"/>
          <w:szCs w:val="22"/>
        </w:rPr>
        <w:t>In vitro</w:t>
      </w:r>
      <w:r w:rsidRPr="004E1637">
        <w:rPr>
          <w:sz w:val="22"/>
          <w:szCs w:val="22"/>
        </w:rPr>
        <w:t xml:space="preserve"> údaje indikujú potenciálne riziko interakcie s</w:t>
      </w:r>
      <w:r w:rsidR="00E44134">
        <w:rPr>
          <w:sz w:val="22"/>
          <w:szCs w:val="22"/>
        </w:rPr>
        <w:t>o substrátmi</w:t>
      </w:r>
      <w:r w:rsidRPr="004E1637">
        <w:rPr>
          <w:sz w:val="22"/>
          <w:szCs w:val="22"/>
        </w:rPr>
        <w:t xml:space="preserve"> CYP2C8 ako sú glitazóny. </w:t>
      </w:r>
    </w:p>
    <w:p w14:paraId="208C6C1B" w14:textId="77777777" w:rsidR="00957211" w:rsidRPr="004E1637" w:rsidRDefault="00957211" w:rsidP="0046226C">
      <w:pPr>
        <w:pStyle w:val="CM100"/>
        <w:rPr>
          <w:sz w:val="22"/>
          <w:szCs w:val="22"/>
          <w:u w:val="single"/>
        </w:rPr>
      </w:pPr>
    </w:p>
    <w:p w14:paraId="461C05ED" w14:textId="77777777" w:rsidR="00957211" w:rsidRPr="004E1637" w:rsidRDefault="00BE76D5" w:rsidP="0046226C">
      <w:pPr>
        <w:pStyle w:val="CM100"/>
        <w:rPr>
          <w:sz w:val="22"/>
          <w:szCs w:val="22"/>
          <w:u w:val="single"/>
        </w:rPr>
      </w:pPr>
      <w:r w:rsidRPr="004E1637">
        <w:rPr>
          <w:sz w:val="22"/>
          <w:szCs w:val="22"/>
          <w:u w:val="single"/>
        </w:rPr>
        <w:t>Pediatrická populácia</w:t>
      </w:r>
      <w:r w:rsidRPr="00C11B8A">
        <w:rPr>
          <w:sz w:val="22"/>
          <w:szCs w:val="22"/>
        </w:rPr>
        <w:t xml:space="preserve"> </w:t>
      </w:r>
    </w:p>
    <w:p w14:paraId="3C1C1ED4" w14:textId="77777777" w:rsidR="00BE76D5" w:rsidRPr="004E1637" w:rsidRDefault="00BE76D5" w:rsidP="0046226C">
      <w:pPr>
        <w:pStyle w:val="CM100"/>
        <w:rPr>
          <w:sz w:val="22"/>
          <w:szCs w:val="22"/>
        </w:rPr>
      </w:pPr>
      <w:r w:rsidRPr="004E1637">
        <w:rPr>
          <w:sz w:val="22"/>
          <w:szCs w:val="22"/>
        </w:rPr>
        <w:t xml:space="preserve">Interakčné štúdie sa uskutočnili len u dospelých. </w:t>
      </w:r>
    </w:p>
    <w:p w14:paraId="1DD77AAB" w14:textId="77777777" w:rsidR="00957211" w:rsidRPr="004E1637" w:rsidRDefault="00957211" w:rsidP="0046226C">
      <w:pPr>
        <w:pStyle w:val="CM100"/>
        <w:rPr>
          <w:b/>
          <w:bCs/>
          <w:sz w:val="22"/>
          <w:szCs w:val="22"/>
        </w:rPr>
      </w:pPr>
    </w:p>
    <w:p w14:paraId="6E89A8D1" w14:textId="7EEA55C1" w:rsidR="00BE76D5" w:rsidRPr="004E1637" w:rsidRDefault="00BE76D5" w:rsidP="00895A04">
      <w:pPr>
        <w:pStyle w:val="CM100"/>
        <w:tabs>
          <w:tab w:val="left" w:pos="567"/>
        </w:tabs>
        <w:rPr>
          <w:sz w:val="22"/>
          <w:szCs w:val="22"/>
        </w:rPr>
      </w:pPr>
      <w:r w:rsidRPr="004E1637">
        <w:rPr>
          <w:b/>
          <w:bCs/>
          <w:sz w:val="22"/>
          <w:szCs w:val="22"/>
        </w:rPr>
        <w:t>4.6</w:t>
      </w:r>
      <w:r w:rsidR="00895A04">
        <w:rPr>
          <w:b/>
          <w:bCs/>
          <w:sz w:val="22"/>
          <w:szCs w:val="22"/>
        </w:rPr>
        <w:tab/>
      </w:r>
      <w:r w:rsidRPr="004E1637">
        <w:rPr>
          <w:b/>
          <w:bCs/>
          <w:sz w:val="22"/>
          <w:szCs w:val="22"/>
        </w:rPr>
        <w:t xml:space="preserve">Fertilita, gravidita a laktácia </w:t>
      </w:r>
    </w:p>
    <w:p w14:paraId="321E4AB2" w14:textId="77777777" w:rsidR="00751EA5" w:rsidRPr="004E1637" w:rsidRDefault="00751EA5" w:rsidP="0046226C">
      <w:pPr>
        <w:pStyle w:val="CM100"/>
        <w:rPr>
          <w:sz w:val="22"/>
          <w:szCs w:val="22"/>
          <w:u w:val="single"/>
        </w:rPr>
      </w:pPr>
    </w:p>
    <w:p w14:paraId="4F245060" w14:textId="77777777" w:rsidR="00751EA5" w:rsidRPr="004E1637" w:rsidRDefault="00BE76D5" w:rsidP="0046226C">
      <w:pPr>
        <w:pStyle w:val="CM100"/>
        <w:rPr>
          <w:sz w:val="22"/>
          <w:szCs w:val="22"/>
          <w:u w:val="single"/>
        </w:rPr>
      </w:pPr>
      <w:r w:rsidRPr="004E1637">
        <w:rPr>
          <w:sz w:val="22"/>
          <w:szCs w:val="22"/>
          <w:u w:val="single"/>
        </w:rPr>
        <w:t>Ženy vo fertilnom veku/antikoncepcia u mužov a žien</w:t>
      </w:r>
      <w:r w:rsidRPr="00C11B8A">
        <w:rPr>
          <w:sz w:val="22"/>
          <w:szCs w:val="22"/>
        </w:rPr>
        <w:t xml:space="preserve"> </w:t>
      </w:r>
    </w:p>
    <w:p w14:paraId="3F2C582E" w14:textId="77777777" w:rsidR="00BE76D5" w:rsidRPr="004E1637" w:rsidRDefault="00BE76D5" w:rsidP="0046226C">
      <w:pPr>
        <w:pStyle w:val="CM100"/>
        <w:rPr>
          <w:sz w:val="22"/>
          <w:szCs w:val="22"/>
        </w:rPr>
      </w:pPr>
      <w:r w:rsidRPr="004E1637">
        <w:rPr>
          <w:sz w:val="22"/>
          <w:szCs w:val="22"/>
        </w:rPr>
        <w:t>Sexuálne aktívni muži aj ženy</w:t>
      </w:r>
      <w:r w:rsidR="00751EA5" w:rsidRPr="004E1637">
        <w:rPr>
          <w:sz w:val="22"/>
          <w:szCs w:val="22"/>
        </w:rPr>
        <w:t xml:space="preserve"> </w:t>
      </w:r>
      <w:r w:rsidR="008059E2">
        <w:rPr>
          <w:sz w:val="22"/>
          <w:szCs w:val="22"/>
        </w:rPr>
        <w:t xml:space="preserve">vo fertilnom veku </w:t>
      </w:r>
      <w:r w:rsidRPr="004E1637">
        <w:rPr>
          <w:sz w:val="22"/>
          <w:szCs w:val="22"/>
        </w:rPr>
        <w:t xml:space="preserve">majú počas liečby používať účinnú metódu antikoncepcie. </w:t>
      </w:r>
    </w:p>
    <w:p w14:paraId="233FA65E" w14:textId="77777777" w:rsidR="00751EA5" w:rsidRPr="004E1637" w:rsidRDefault="00751EA5" w:rsidP="0046226C">
      <w:pPr>
        <w:pStyle w:val="CM100"/>
        <w:rPr>
          <w:sz w:val="22"/>
          <w:szCs w:val="22"/>
          <w:u w:val="single"/>
        </w:rPr>
      </w:pPr>
    </w:p>
    <w:p w14:paraId="5BDE2CD4" w14:textId="77777777" w:rsidR="00751EA5" w:rsidRPr="004E1637" w:rsidRDefault="00BE76D5" w:rsidP="0046226C">
      <w:pPr>
        <w:pStyle w:val="CM100"/>
        <w:rPr>
          <w:sz w:val="22"/>
          <w:szCs w:val="22"/>
          <w:u w:val="single"/>
        </w:rPr>
      </w:pPr>
      <w:r w:rsidRPr="004E1637">
        <w:rPr>
          <w:sz w:val="22"/>
          <w:szCs w:val="22"/>
          <w:u w:val="single"/>
        </w:rPr>
        <w:t>Gravidita</w:t>
      </w:r>
      <w:r w:rsidRPr="00C11B8A">
        <w:rPr>
          <w:sz w:val="22"/>
          <w:szCs w:val="22"/>
        </w:rPr>
        <w:t xml:space="preserve"> </w:t>
      </w:r>
    </w:p>
    <w:p w14:paraId="756AA232" w14:textId="77777777" w:rsidR="00751EA5" w:rsidRPr="004E1637" w:rsidRDefault="00BE76D5" w:rsidP="0046226C">
      <w:pPr>
        <w:pStyle w:val="CM100"/>
        <w:rPr>
          <w:sz w:val="22"/>
          <w:szCs w:val="22"/>
        </w:rPr>
      </w:pPr>
      <w:r w:rsidRPr="004E1637">
        <w:rPr>
          <w:sz w:val="22"/>
          <w:szCs w:val="22"/>
        </w:rPr>
        <w:t xml:space="preserve">Na základe skúseností u ľudí sa predpokladá, že dasatinib spôsobuje vrodené malformácie vrátane defektov neurálnej trubice a má škodlivé farmakologické účinky na plod, ak sa podáva počas gravidity. Štúdie na zvieratách preukázali reprodukčnú toxicitu (pozri časť 5.3). </w:t>
      </w:r>
    </w:p>
    <w:p w14:paraId="16DD488F" w14:textId="44654B26" w:rsidR="00BE76D5" w:rsidRPr="004E1637" w:rsidRDefault="00751EA5" w:rsidP="0046226C">
      <w:pPr>
        <w:pStyle w:val="CM100"/>
        <w:rPr>
          <w:sz w:val="22"/>
          <w:szCs w:val="22"/>
        </w:rPr>
      </w:pPr>
      <w:r w:rsidRPr="004E1637">
        <w:rPr>
          <w:sz w:val="22"/>
          <w:szCs w:val="22"/>
        </w:rPr>
        <w:t xml:space="preserve">Dasatinib </w:t>
      </w:r>
      <w:r w:rsidR="00BE76D5" w:rsidRPr="004E1637">
        <w:rPr>
          <w:sz w:val="22"/>
          <w:szCs w:val="22"/>
        </w:rPr>
        <w:t xml:space="preserve">sa nemá používať počas gravidity, ak si klinický stav ženy nevyžaduje liečbu dasatinibom. Ak sa </w:t>
      </w:r>
      <w:r w:rsidR="00D902AC">
        <w:rPr>
          <w:sz w:val="22"/>
          <w:szCs w:val="22"/>
        </w:rPr>
        <w:t>d</w:t>
      </w:r>
      <w:r w:rsidRPr="004E1637">
        <w:rPr>
          <w:sz w:val="22"/>
          <w:szCs w:val="22"/>
        </w:rPr>
        <w:t xml:space="preserve">asatinib </w:t>
      </w:r>
      <w:r w:rsidR="00BE76D5" w:rsidRPr="004E1637">
        <w:rPr>
          <w:sz w:val="22"/>
          <w:szCs w:val="22"/>
        </w:rPr>
        <w:t xml:space="preserve">použije počas gravidity, pacientka musí byť informovaná o možnom riziku pre plod. </w:t>
      </w:r>
    </w:p>
    <w:p w14:paraId="42355B1C" w14:textId="77777777" w:rsidR="00751EA5" w:rsidRPr="004E1637" w:rsidRDefault="00751EA5" w:rsidP="0046226C">
      <w:pPr>
        <w:pStyle w:val="CM100"/>
        <w:rPr>
          <w:sz w:val="22"/>
          <w:szCs w:val="22"/>
          <w:u w:val="single"/>
        </w:rPr>
      </w:pPr>
    </w:p>
    <w:p w14:paraId="13F50DC0" w14:textId="77777777" w:rsidR="00751EA5" w:rsidRPr="004E1637" w:rsidRDefault="00BE76D5" w:rsidP="0046226C">
      <w:pPr>
        <w:pStyle w:val="CM100"/>
        <w:rPr>
          <w:sz w:val="22"/>
          <w:szCs w:val="22"/>
          <w:u w:val="single"/>
        </w:rPr>
      </w:pPr>
      <w:r w:rsidRPr="004E1637">
        <w:rPr>
          <w:sz w:val="22"/>
          <w:szCs w:val="22"/>
          <w:u w:val="single"/>
        </w:rPr>
        <w:t>Dojčenie</w:t>
      </w:r>
      <w:r w:rsidRPr="00C11B8A">
        <w:rPr>
          <w:sz w:val="22"/>
          <w:szCs w:val="22"/>
        </w:rPr>
        <w:t xml:space="preserve"> </w:t>
      </w:r>
    </w:p>
    <w:p w14:paraId="3B1D4AA7" w14:textId="460A3E8B" w:rsidR="00BE76D5" w:rsidRPr="004E1637" w:rsidRDefault="00BE76D5" w:rsidP="0046226C">
      <w:pPr>
        <w:pStyle w:val="CM100"/>
        <w:rPr>
          <w:sz w:val="22"/>
          <w:szCs w:val="22"/>
        </w:rPr>
      </w:pPr>
      <w:r w:rsidRPr="004E1637">
        <w:rPr>
          <w:sz w:val="22"/>
          <w:szCs w:val="22"/>
        </w:rPr>
        <w:t xml:space="preserve">Existujú nedostatočné/obmedzené informácie o vylučovaní dasatinibu do materského mlieka u ľudí alebo zvierat. Fyzikálno-chemické a dostupné farmakodynamické/toxikologické údaje o dasatinibe poukazujú na vylučovanie do materského mlieka a nie je možné vylúčiť riziko pre dojčené dieťa. Počas liečby </w:t>
      </w:r>
      <w:r w:rsidR="00D902AC">
        <w:rPr>
          <w:sz w:val="22"/>
          <w:szCs w:val="22"/>
        </w:rPr>
        <w:t>d</w:t>
      </w:r>
      <w:r w:rsidR="00751EA5" w:rsidRPr="004E1637">
        <w:rPr>
          <w:sz w:val="22"/>
          <w:szCs w:val="22"/>
        </w:rPr>
        <w:t xml:space="preserve">asatinibom </w:t>
      </w:r>
      <w:r w:rsidRPr="004E1637">
        <w:rPr>
          <w:sz w:val="22"/>
          <w:szCs w:val="22"/>
        </w:rPr>
        <w:t xml:space="preserve">sa musí dojčenie prerušiť. </w:t>
      </w:r>
    </w:p>
    <w:p w14:paraId="6DC5C294" w14:textId="77777777" w:rsidR="00751EA5" w:rsidRPr="004E1637" w:rsidRDefault="00751EA5" w:rsidP="0046226C">
      <w:pPr>
        <w:pStyle w:val="CM2"/>
        <w:spacing w:line="240" w:lineRule="auto"/>
        <w:rPr>
          <w:sz w:val="22"/>
          <w:szCs w:val="22"/>
          <w:u w:val="single"/>
        </w:rPr>
      </w:pPr>
    </w:p>
    <w:p w14:paraId="56C6A6C5" w14:textId="77777777" w:rsidR="00751EA5" w:rsidRPr="004E1637" w:rsidRDefault="00BE76D5" w:rsidP="0046226C">
      <w:pPr>
        <w:pStyle w:val="CM2"/>
        <w:spacing w:line="240" w:lineRule="auto"/>
        <w:rPr>
          <w:sz w:val="22"/>
          <w:szCs w:val="22"/>
          <w:u w:val="single"/>
        </w:rPr>
      </w:pPr>
      <w:r w:rsidRPr="004E1637">
        <w:rPr>
          <w:sz w:val="22"/>
          <w:szCs w:val="22"/>
          <w:u w:val="single"/>
        </w:rPr>
        <w:t>Fertilita</w:t>
      </w:r>
      <w:r w:rsidRPr="00C11B8A">
        <w:rPr>
          <w:sz w:val="22"/>
          <w:szCs w:val="22"/>
        </w:rPr>
        <w:t xml:space="preserve"> </w:t>
      </w:r>
    </w:p>
    <w:p w14:paraId="1DF8A8EA" w14:textId="53EB1481" w:rsidR="008B2EDB" w:rsidRPr="004E1637" w:rsidRDefault="00BE76D5" w:rsidP="008B2EDB">
      <w:pPr>
        <w:pStyle w:val="CM2"/>
        <w:spacing w:line="240" w:lineRule="auto"/>
        <w:rPr>
          <w:sz w:val="22"/>
          <w:szCs w:val="22"/>
        </w:rPr>
      </w:pPr>
      <w:r w:rsidRPr="004E1637">
        <w:rPr>
          <w:sz w:val="22"/>
          <w:szCs w:val="22"/>
        </w:rPr>
        <w:t xml:space="preserve">V štúdiách na zvieratách nebola fertilita samcov a samíc potkanov ovplyvnená liečbou dasatinibom (pozri časť 5.3). Lekári a iní zdravotnícki pracovníci majú prekonzultovať s mužmi primeraného veku možné účinky </w:t>
      </w:r>
      <w:r w:rsidR="00D902AC">
        <w:rPr>
          <w:sz w:val="22"/>
          <w:szCs w:val="22"/>
        </w:rPr>
        <w:t>d</w:t>
      </w:r>
      <w:r w:rsidR="008B2EDB" w:rsidRPr="004E1637">
        <w:rPr>
          <w:sz w:val="22"/>
          <w:szCs w:val="22"/>
        </w:rPr>
        <w:t xml:space="preserve">asatinibu </w:t>
      </w:r>
      <w:r w:rsidRPr="004E1637">
        <w:rPr>
          <w:sz w:val="22"/>
          <w:szCs w:val="22"/>
        </w:rPr>
        <w:t xml:space="preserve">na fertilitu a táto konzultácia môže zahŕňať zváženie konzervácie spermií. </w:t>
      </w:r>
    </w:p>
    <w:p w14:paraId="6774C836" w14:textId="77777777" w:rsidR="008B2EDB" w:rsidRPr="004E1637" w:rsidRDefault="008B2EDB" w:rsidP="008B2EDB">
      <w:pPr>
        <w:pStyle w:val="CM2"/>
        <w:spacing w:line="240" w:lineRule="auto"/>
        <w:rPr>
          <w:sz w:val="22"/>
          <w:szCs w:val="22"/>
        </w:rPr>
      </w:pPr>
    </w:p>
    <w:p w14:paraId="0631AA18" w14:textId="7EE8C12C" w:rsidR="00BE76D5" w:rsidRPr="004E1637" w:rsidRDefault="00BE76D5" w:rsidP="00895A04">
      <w:pPr>
        <w:pStyle w:val="CM2"/>
        <w:tabs>
          <w:tab w:val="left" w:pos="567"/>
        </w:tabs>
        <w:spacing w:line="240" w:lineRule="auto"/>
        <w:rPr>
          <w:sz w:val="22"/>
          <w:szCs w:val="22"/>
        </w:rPr>
      </w:pPr>
      <w:r w:rsidRPr="004E1637">
        <w:rPr>
          <w:b/>
          <w:bCs/>
          <w:sz w:val="22"/>
          <w:szCs w:val="22"/>
        </w:rPr>
        <w:t>4.7</w:t>
      </w:r>
      <w:r w:rsidR="00895A04">
        <w:rPr>
          <w:b/>
          <w:bCs/>
          <w:sz w:val="22"/>
          <w:szCs w:val="22"/>
        </w:rPr>
        <w:tab/>
      </w:r>
      <w:r w:rsidRPr="004E1637">
        <w:rPr>
          <w:b/>
          <w:bCs/>
          <w:sz w:val="22"/>
          <w:szCs w:val="22"/>
        </w:rPr>
        <w:t xml:space="preserve">Ovplyvnenie schopnosti viesť vozidlá a obsluhovať stroje </w:t>
      </w:r>
    </w:p>
    <w:p w14:paraId="3A571277" w14:textId="77777777" w:rsidR="008B2EDB" w:rsidRPr="004E1637" w:rsidRDefault="008B2EDB" w:rsidP="0046226C">
      <w:pPr>
        <w:pStyle w:val="CM100"/>
        <w:rPr>
          <w:sz w:val="22"/>
          <w:szCs w:val="22"/>
        </w:rPr>
      </w:pPr>
    </w:p>
    <w:p w14:paraId="396C3E77" w14:textId="77777777" w:rsidR="008B2EDB" w:rsidRPr="004E1637" w:rsidRDefault="008B2EDB" w:rsidP="0046226C">
      <w:pPr>
        <w:pStyle w:val="CM100"/>
        <w:rPr>
          <w:sz w:val="22"/>
          <w:szCs w:val="22"/>
        </w:rPr>
      </w:pPr>
      <w:r w:rsidRPr="004E1637">
        <w:rPr>
          <w:sz w:val="22"/>
          <w:szCs w:val="22"/>
        </w:rPr>
        <w:t xml:space="preserve">Dasatinib </w:t>
      </w:r>
      <w:r w:rsidR="00BE76D5" w:rsidRPr="004E1637">
        <w:rPr>
          <w:sz w:val="22"/>
          <w:szCs w:val="22"/>
        </w:rPr>
        <w:t xml:space="preserve">má malý vplyv na schopnosť viesť vozidlá a obsluhovať stroje. </w:t>
      </w:r>
    </w:p>
    <w:p w14:paraId="08A52FE7" w14:textId="214B0860" w:rsidR="00BE76D5" w:rsidRPr="004E1637" w:rsidRDefault="00BE76D5" w:rsidP="008B2EDB">
      <w:pPr>
        <w:pStyle w:val="CM100"/>
        <w:rPr>
          <w:sz w:val="22"/>
          <w:szCs w:val="22"/>
        </w:rPr>
      </w:pPr>
      <w:r w:rsidRPr="004E1637">
        <w:rPr>
          <w:sz w:val="22"/>
          <w:szCs w:val="22"/>
        </w:rPr>
        <w:t>Pacienti musia byť informovaní, že počas liečby dasatinibom môžu mať nežiaduce reakcie, ako je závrat alebo rozmazané videnie. Z tohto dôvodu sa im pri vedení vozidla alebo obsluhe strojov má odporučiť</w:t>
      </w:r>
      <w:r w:rsidR="00101519">
        <w:rPr>
          <w:sz w:val="22"/>
          <w:szCs w:val="22"/>
        </w:rPr>
        <w:t>, aby boli opatrní.</w:t>
      </w:r>
      <w:r w:rsidRPr="004E1637">
        <w:rPr>
          <w:sz w:val="22"/>
          <w:szCs w:val="22"/>
        </w:rPr>
        <w:t xml:space="preserve"> </w:t>
      </w:r>
    </w:p>
    <w:p w14:paraId="442B6E22" w14:textId="77777777" w:rsidR="008B2EDB" w:rsidRPr="004E1637" w:rsidRDefault="008B2EDB" w:rsidP="008B2EDB">
      <w:pPr>
        <w:pStyle w:val="CM100"/>
        <w:rPr>
          <w:b/>
          <w:bCs/>
          <w:sz w:val="22"/>
          <w:szCs w:val="22"/>
        </w:rPr>
      </w:pPr>
    </w:p>
    <w:p w14:paraId="512CF78D" w14:textId="4247C320" w:rsidR="00BE76D5" w:rsidRPr="004E1637" w:rsidRDefault="00BE76D5" w:rsidP="00895A04">
      <w:pPr>
        <w:pStyle w:val="CM100"/>
        <w:tabs>
          <w:tab w:val="left" w:pos="567"/>
        </w:tabs>
        <w:rPr>
          <w:sz w:val="22"/>
          <w:szCs w:val="22"/>
        </w:rPr>
      </w:pPr>
      <w:r w:rsidRPr="004E1637">
        <w:rPr>
          <w:b/>
          <w:bCs/>
          <w:sz w:val="22"/>
          <w:szCs w:val="22"/>
        </w:rPr>
        <w:t>4.8</w:t>
      </w:r>
      <w:r w:rsidR="00895A04">
        <w:rPr>
          <w:b/>
          <w:bCs/>
          <w:sz w:val="22"/>
          <w:szCs w:val="22"/>
        </w:rPr>
        <w:tab/>
      </w:r>
      <w:r w:rsidRPr="004E1637">
        <w:rPr>
          <w:b/>
          <w:bCs/>
          <w:sz w:val="22"/>
          <w:szCs w:val="22"/>
        </w:rPr>
        <w:t xml:space="preserve">Nežiaduce účinky </w:t>
      </w:r>
    </w:p>
    <w:p w14:paraId="4521B6F6" w14:textId="77777777" w:rsidR="008B2EDB" w:rsidRPr="004E1637" w:rsidRDefault="008B2EDB" w:rsidP="008B2EDB">
      <w:pPr>
        <w:pStyle w:val="CM100"/>
        <w:rPr>
          <w:sz w:val="22"/>
          <w:szCs w:val="22"/>
          <w:u w:val="single"/>
        </w:rPr>
      </w:pPr>
    </w:p>
    <w:p w14:paraId="3974D3EF" w14:textId="77777777" w:rsidR="008B2EDB" w:rsidRPr="004E1637" w:rsidRDefault="00BE76D5" w:rsidP="008B2EDB">
      <w:pPr>
        <w:pStyle w:val="CM100"/>
        <w:rPr>
          <w:sz w:val="22"/>
          <w:szCs w:val="22"/>
          <w:u w:val="single"/>
        </w:rPr>
      </w:pPr>
      <w:r w:rsidRPr="004E1637">
        <w:rPr>
          <w:sz w:val="22"/>
          <w:szCs w:val="22"/>
          <w:u w:val="single"/>
        </w:rPr>
        <w:t xml:space="preserve">Prehľad bezpečnostného profilu </w:t>
      </w:r>
    </w:p>
    <w:p w14:paraId="51F34620" w14:textId="568D0A7D" w:rsidR="00BE76D5" w:rsidRDefault="00BE76D5" w:rsidP="008B2EDB">
      <w:pPr>
        <w:pStyle w:val="CM100"/>
        <w:rPr>
          <w:sz w:val="22"/>
          <w:szCs w:val="22"/>
        </w:rPr>
      </w:pPr>
      <w:r w:rsidRPr="004E1637">
        <w:rPr>
          <w:sz w:val="22"/>
          <w:szCs w:val="22"/>
        </w:rPr>
        <w:t xml:space="preserve">Údaje opísané nižšie vyjadrujú expozíciu </w:t>
      </w:r>
      <w:r w:rsidR="008B2EDB" w:rsidRPr="004E1637">
        <w:rPr>
          <w:sz w:val="22"/>
          <w:szCs w:val="22"/>
        </w:rPr>
        <w:t>dasatinibu</w:t>
      </w:r>
      <w:r w:rsidR="00272429">
        <w:rPr>
          <w:sz w:val="22"/>
          <w:szCs w:val="22"/>
        </w:rPr>
        <w:t xml:space="preserve"> </w:t>
      </w:r>
      <w:r w:rsidR="00200E07">
        <w:rPr>
          <w:sz w:val="22"/>
          <w:szCs w:val="22"/>
        </w:rPr>
        <w:t>v monoterapii</w:t>
      </w:r>
      <w:r w:rsidRPr="004E1637">
        <w:rPr>
          <w:sz w:val="22"/>
          <w:szCs w:val="22"/>
        </w:rPr>
        <w:t xml:space="preserve"> pri všetkých dávkach testovaných v klinických štúdiách (N=2 900) zahŕňajúcich 188 pediatrických pacientov. </w:t>
      </w:r>
    </w:p>
    <w:p w14:paraId="227D0E32" w14:textId="77777777" w:rsidR="00272429" w:rsidRPr="00272429" w:rsidRDefault="00272429" w:rsidP="00272429">
      <w:pPr>
        <w:pStyle w:val="Default"/>
      </w:pPr>
    </w:p>
    <w:p w14:paraId="7CD60C58" w14:textId="3205B5D4" w:rsidR="00BE76D5" w:rsidRPr="004E1637" w:rsidRDefault="00BE76D5" w:rsidP="008B2EDB">
      <w:pPr>
        <w:pStyle w:val="CM100"/>
        <w:rPr>
          <w:sz w:val="22"/>
          <w:szCs w:val="22"/>
        </w:rPr>
      </w:pPr>
      <w:r w:rsidRPr="004E1637">
        <w:rPr>
          <w:sz w:val="22"/>
          <w:szCs w:val="22"/>
        </w:rPr>
        <w:t>U 2 712 dospelých pacientov</w:t>
      </w:r>
      <w:r w:rsidR="00200E07">
        <w:rPr>
          <w:sz w:val="22"/>
          <w:szCs w:val="22"/>
        </w:rPr>
        <w:t xml:space="preserve"> </w:t>
      </w:r>
      <w:r w:rsidRPr="004E1637">
        <w:rPr>
          <w:sz w:val="22"/>
          <w:szCs w:val="22"/>
        </w:rPr>
        <w:t xml:space="preserve">bol medián trvania liečby 19,2 mesiaca (rozsah 0 až 93,2 mesiaca). U 188 pacientov v pediatrických štúdiách bol medián trvania liečby 26,3 mesiaca (rozsah 0 až 99,6 mesiaca). </w:t>
      </w:r>
    </w:p>
    <w:p w14:paraId="3AA47A30" w14:textId="77777777" w:rsidR="008B2EDB" w:rsidRPr="004E1637" w:rsidRDefault="008B2EDB" w:rsidP="008B2EDB">
      <w:pPr>
        <w:pStyle w:val="CM100"/>
        <w:rPr>
          <w:sz w:val="22"/>
          <w:szCs w:val="22"/>
        </w:rPr>
      </w:pPr>
    </w:p>
    <w:p w14:paraId="52F064C5" w14:textId="28EE55B9" w:rsidR="00BE76D5" w:rsidRPr="004E1637" w:rsidRDefault="00BE76D5" w:rsidP="008B2EDB">
      <w:pPr>
        <w:pStyle w:val="CM100"/>
        <w:rPr>
          <w:sz w:val="22"/>
          <w:szCs w:val="22"/>
        </w:rPr>
      </w:pPr>
      <w:r w:rsidRPr="004E1637">
        <w:rPr>
          <w:sz w:val="22"/>
          <w:szCs w:val="22"/>
        </w:rPr>
        <w:t xml:space="preserve">Väčšina pacientov liečených </w:t>
      </w:r>
      <w:r w:rsidR="008B2EDB" w:rsidRPr="004E1637">
        <w:rPr>
          <w:sz w:val="22"/>
          <w:szCs w:val="22"/>
        </w:rPr>
        <w:t>dasatinibom</w:t>
      </w:r>
      <w:r w:rsidRPr="004E1637">
        <w:rPr>
          <w:sz w:val="22"/>
          <w:szCs w:val="22"/>
        </w:rPr>
        <w:t xml:space="preserve"> mala v určitom čase nežiaduce reakcie. V celkovej populácii 2</w:t>
      </w:r>
      <w:r w:rsidR="0089322B">
        <w:rPr>
          <w:sz w:val="22"/>
          <w:szCs w:val="22"/>
        </w:rPr>
        <w:t> </w:t>
      </w:r>
      <w:r w:rsidRPr="004E1637">
        <w:rPr>
          <w:sz w:val="22"/>
          <w:szCs w:val="22"/>
        </w:rPr>
        <w:t xml:space="preserve">712 dospelých </w:t>
      </w:r>
      <w:r w:rsidR="0089322B">
        <w:rPr>
          <w:sz w:val="22"/>
          <w:szCs w:val="22"/>
        </w:rPr>
        <w:t>pacientov</w:t>
      </w:r>
      <w:r w:rsidRPr="004E1637">
        <w:rPr>
          <w:sz w:val="22"/>
          <w:szCs w:val="22"/>
        </w:rPr>
        <w:t xml:space="preserve"> liečených </w:t>
      </w:r>
      <w:r w:rsidR="008B2EDB" w:rsidRPr="004E1637">
        <w:rPr>
          <w:sz w:val="22"/>
          <w:szCs w:val="22"/>
        </w:rPr>
        <w:t xml:space="preserve">dasatinibom </w:t>
      </w:r>
      <w:r w:rsidRPr="004E1637">
        <w:rPr>
          <w:sz w:val="22"/>
          <w:szCs w:val="22"/>
        </w:rPr>
        <w:t xml:space="preserve">malo 520 (19 %) nežiaduce reakcie, ktoré mali za následok prerušenie liečby. </w:t>
      </w:r>
    </w:p>
    <w:p w14:paraId="77E591AF" w14:textId="77777777" w:rsidR="008B2EDB" w:rsidRPr="004E1637" w:rsidRDefault="008B2EDB" w:rsidP="008B2EDB">
      <w:pPr>
        <w:pStyle w:val="Default"/>
      </w:pPr>
    </w:p>
    <w:p w14:paraId="3D12DA57" w14:textId="77777777" w:rsidR="008B2EDB" w:rsidRPr="004E1637" w:rsidRDefault="00BE76D5" w:rsidP="008B2EDB">
      <w:pPr>
        <w:pStyle w:val="CM110"/>
        <w:rPr>
          <w:sz w:val="22"/>
          <w:szCs w:val="22"/>
          <w:u w:val="single"/>
        </w:rPr>
      </w:pPr>
      <w:r w:rsidRPr="004E1637">
        <w:rPr>
          <w:sz w:val="22"/>
          <w:szCs w:val="22"/>
          <w:u w:val="single"/>
        </w:rPr>
        <w:t>Tabuľkový zoznam nežiaducich reakcií</w:t>
      </w:r>
      <w:r w:rsidRPr="00C11B8A">
        <w:rPr>
          <w:sz w:val="22"/>
          <w:szCs w:val="22"/>
        </w:rPr>
        <w:t xml:space="preserve"> </w:t>
      </w:r>
    </w:p>
    <w:p w14:paraId="174F0783" w14:textId="201D4449" w:rsidR="004865BB" w:rsidRPr="004E1637" w:rsidRDefault="00BE76D5" w:rsidP="008B2EDB">
      <w:pPr>
        <w:pStyle w:val="CM110"/>
        <w:rPr>
          <w:sz w:val="22"/>
          <w:szCs w:val="22"/>
        </w:rPr>
      </w:pPr>
      <w:r w:rsidRPr="004E1637">
        <w:rPr>
          <w:sz w:val="22"/>
          <w:szCs w:val="22"/>
        </w:rPr>
        <w:t>Nasledovné nežiaduce reakcie, s výnimkou laboratórnych anomálií, sa hlásili u pacientov v klinických štúdiách s</w:t>
      </w:r>
      <w:r w:rsidR="008D51B3">
        <w:rPr>
          <w:sz w:val="22"/>
          <w:szCs w:val="22"/>
        </w:rPr>
        <w:t> </w:t>
      </w:r>
      <w:r w:rsidR="004865BB" w:rsidRPr="004E1637">
        <w:rPr>
          <w:sz w:val="22"/>
          <w:szCs w:val="22"/>
        </w:rPr>
        <w:t>dasatinibom</w:t>
      </w:r>
      <w:r w:rsidR="008D51B3">
        <w:rPr>
          <w:sz w:val="22"/>
          <w:szCs w:val="22"/>
        </w:rPr>
        <w:t xml:space="preserve"> v monoterapii</w:t>
      </w:r>
      <w:r w:rsidR="004865BB" w:rsidRPr="004E1637">
        <w:rPr>
          <w:sz w:val="22"/>
          <w:szCs w:val="22"/>
        </w:rPr>
        <w:t xml:space="preserve"> </w:t>
      </w:r>
      <w:r w:rsidRPr="004E1637">
        <w:rPr>
          <w:sz w:val="22"/>
          <w:szCs w:val="22"/>
        </w:rPr>
        <w:t xml:space="preserve">a po uvedení lieku na trh (Tabuľka </w:t>
      </w:r>
      <w:r w:rsidR="0064407F">
        <w:rPr>
          <w:sz w:val="22"/>
          <w:szCs w:val="22"/>
        </w:rPr>
        <w:t>3</w:t>
      </w:r>
      <w:r w:rsidRPr="004E1637">
        <w:rPr>
          <w:sz w:val="22"/>
          <w:szCs w:val="22"/>
        </w:rPr>
        <w:t xml:space="preserve">). Tieto reakcie sú vymenované podľa tried orgánových systémov a podľa frekvencie. Frekvencie sú definované nasledovne: veľmi časté (≥ 1/10); časté (≥ 1/100 až &lt; 1/10); menej časté (≥ 1/1 000 až &lt; 1/100); zriedkavé (≥ 1/10 000 až &lt; 1/1 000); neznáme (nie je možné stanoviť z dostupných údajov po uvedení lieku na trh). </w:t>
      </w:r>
    </w:p>
    <w:p w14:paraId="4DDFE024" w14:textId="77777777" w:rsidR="004865BB" w:rsidRPr="004E1637" w:rsidRDefault="004865BB" w:rsidP="008B2EDB">
      <w:pPr>
        <w:pStyle w:val="CM110"/>
        <w:rPr>
          <w:sz w:val="22"/>
          <w:szCs w:val="22"/>
        </w:rPr>
      </w:pPr>
    </w:p>
    <w:p w14:paraId="20A69DB8" w14:textId="77777777" w:rsidR="00BE76D5" w:rsidRPr="004E1637" w:rsidRDefault="00BE76D5" w:rsidP="008B2EDB">
      <w:pPr>
        <w:pStyle w:val="CM110"/>
        <w:rPr>
          <w:sz w:val="22"/>
          <w:szCs w:val="22"/>
        </w:rPr>
      </w:pPr>
      <w:r w:rsidRPr="004E1637">
        <w:rPr>
          <w:sz w:val="22"/>
          <w:szCs w:val="22"/>
        </w:rPr>
        <w:t xml:space="preserve">V rámci jednotlivých skupín frekvencií sú nežiaduce reakcie usporiadané v poradí klesajúcej závažnosti. </w:t>
      </w:r>
    </w:p>
    <w:p w14:paraId="32FD711D" w14:textId="77777777" w:rsidR="004865BB" w:rsidRPr="004E1637" w:rsidRDefault="004865BB" w:rsidP="00A55A09">
      <w:pPr>
        <w:pStyle w:val="CM100"/>
        <w:rPr>
          <w:b/>
          <w:bCs/>
          <w:sz w:val="22"/>
          <w:szCs w:val="22"/>
        </w:rPr>
      </w:pPr>
    </w:p>
    <w:p w14:paraId="3FE93423" w14:textId="4DA851E1" w:rsidR="00637884" w:rsidRPr="004E1637" w:rsidRDefault="00BE76D5" w:rsidP="00A55A09">
      <w:pPr>
        <w:pStyle w:val="CM100"/>
        <w:rPr>
          <w:b/>
          <w:bCs/>
          <w:sz w:val="22"/>
          <w:szCs w:val="22"/>
        </w:rPr>
      </w:pPr>
      <w:r w:rsidRPr="004E1637">
        <w:rPr>
          <w:b/>
          <w:bCs/>
          <w:sz w:val="22"/>
          <w:szCs w:val="22"/>
        </w:rPr>
        <w:t xml:space="preserve">Tabuľka </w:t>
      </w:r>
      <w:r w:rsidR="0064407F">
        <w:rPr>
          <w:b/>
          <w:bCs/>
          <w:sz w:val="22"/>
          <w:szCs w:val="22"/>
        </w:rPr>
        <w:t>3</w:t>
      </w:r>
      <w:r w:rsidRPr="004E1637">
        <w:rPr>
          <w:b/>
          <w:bCs/>
          <w:sz w:val="22"/>
          <w:szCs w:val="22"/>
        </w:rPr>
        <w:t xml:space="preserve">: Súhrn nežiaducich reakcií zostavených do tabuľky </w:t>
      </w:r>
    </w:p>
    <w:tbl>
      <w:tblPr>
        <w:tblW w:w="9405" w:type="dxa"/>
        <w:tblInd w:w="98" w:type="dxa"/>
        <w:tblLayout w:type="fixed"/>
        <w:tblCellMar>
          <w:left w:w="0" w:type="dxa"/>
          <w:right w:w="0" w:type="dxa"/>
        </w:tblCellMar>
        <w:tblLook w:val="01E0" w:firstRow="1" w:lastRow="1" w:firstColumn="1" w:lastColumn="1" w:noHBand="0" w:noVBand="0"/>
      </w:tblPr>
      <w:tblGrid>
        <w:gridCol w:w="1587"/>
        <w:gridCol w:w="7470"/>
        <w:gridCol w:w="348"/>
      </w:tblGrid>
      <w:tr w:rsidR="00637884" w:rsidRPr="004E1637" w14:paraId="431F23A6" w14:textId="77777777" w:rsidTr="002A5E20">
        <w:trPr>
          <w:gridAfter w:val="1"/>
          <w:wAfter w:w="360" w:type="dxa"/>
          <w:trHeight w:hRule="exact" w:val="263"/>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81EAF1" w14:textId="77777777" w:rsidR="00637884" w:rsidRPr="004E1637" w:rsidRDefault="00637884" w:rsidP="00A55A09">
            <w:pPr>
              <w:spacing w:after="0" w:line="240" w:lineRule="auto"/>
              <w:rPr>
                <w:rFonts w:ascii="Times New Roman" w:hAnsi="Times New Roman"/>
              </w:rPr>
            </w:pPr>
            <w:bookmarkStart w:id="1" w:name="_Hlk28866012"/>
            <w:r w:rsidRPr="004E1637">
              <w:rPr>
                <w:rFonts w:ascii="Times New Roman" w:hAnsi="Times New Roman"/>
                <w:b/>
                <w:bCs/>
              </w:rPr>
              <w:t>Infekcie a nákazy</w:t>
            </w:r>
          </w:p>
        </w:tc>
      </w:tr>
      <w:tr w:rsidR="00637884" w:rsidRPr="004E1637" w14:paraId="487156CE"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1CA77A23"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tcPr>
          <w:p w14:paraId="60055A98"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infekcia (vrátane bakteriálnej, vírusovej, plesňovej, nešpecifickej)</w:t>
            </w:r>
          </w:p>
        </w:tc>
      </w:tr>
      <w:tr w:rsidR="00637884" w:rsidRPr="004E1637" w14:paraId="178C3D09" w14:textId="77777777" w:rsidTr="00F95FB3">
        <w:trPr>
          <w:gridAfter w:val="1"/>
          <w:wAfter w:w="360" w:type="dxa"/>
          <w:trHeight w:val="1122"/>
        </w:trPr>
        <w:tc>
          <w:tcPr>
            <w:tcW w:w="1648" w:type="dxa"/>
            <w:tcBorders>
              <w:top w:val="single" w:sz="4" w:space="0" w:color="000000"/>
              <w:left w:val="single" w:sz="4" w:space="0" w:color="000000"/>
              <w:bottom w:val="single" w:sz="4" w:space="0" w:color="000000"/>
              <w:right w:val="single" w:sz="4" w:space="0" w:color="000000"/>
            </w:tcBorders>
          </w:tcPr>
          <w:p w14:paraId="3F1BF1A8"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2E128530"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 xml:space="preserve">pneumónia (vrátane bakteriálnej, vírusovej a plesňovej), infekcia/zápal horných dýchacích ciest, herpetická vírusová infekcia (vrátane cytomegalovírusu - CMV), </w:t>
            </w:r>
            <w:r w:rsidR="0089322B">
              <w:rPr>
                <w:rFonts w:ascii="Times New Roman" w:hAnsi="Times New Roman"/>
              </w:rPr>
              <w:t xml:space="preserve">infekčná </w:t>
            </w:r>
            <w:r w:rsidRPr="004E1637">
              <w:rPr>
                <w:rFonts w:ascii="Times New Roman" w:hAnsi="Times New Roman"/>
              </w:rPr>
              <w:t>enterokolitída, sepsa (vrátane menej častých prípadov s fatálnymi následkami)</w:t>
            </w:r>
          </w:p>
        </w:tc>
      </w:tr>
      <w:tr w:rsidR="00637884" w:rsidRPr="004E1637" w14:paraId="7738DC6E"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7A0E3764"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tcPr>
          <w:p w14:paraId="0E6FEF37"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reaktivácia hepatitídy B</w:t>
            </w:r>
          </w:p>
        </w:tc>
      </w:tr>
      <w:tr w:rsidR="00637884" w:rsidRPr="004E1637" w14:paraId="0EC08AE7" w14:textId="77777777" w:rsidTr="002A5E20">
        <w:trPr>
          <w:gridAfter w:val="1"/>
          <w:wAfter w:w="360" w:type="dxa"/>
          <w:trHeight w:hRule="exact" w:val="298"/>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6D64CA"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krvi a lymfatického systému</w:t>
            </w:r>
          </w:p>
        </w:tc>
      </w:tr>
      <w:tr w:rsidR="00637884" w:rsidRPr="004E1637" w14:paraId="302203CA"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0B9D7A84"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lastRenderedPageBreak/>
              <w:t>Veľmi časté</w:t>
            </w:r>
          </w:p>
        </w:tc>
        <w:tc>
          <w:tcPr>
            <w:tcW w:w="7757" w:type="dxa"/>
            <w:tcBorders>
              <w:top w:val="single" w:sz="4" w:space="0" w:color="000000"/>
              <w:left w:val="single" w:sz="4" w:space="0" w:color="000000"/>
              <w:bottom w:val="single" w:sz="4" w:space="0" w:color="000000"/>
              <w:right w:val="single" w:sz="4" w:space="0" w:color="000000"/>
            </w:tcBorders>
          </w:tcPr>
          <w:p w14:paraId="3371CF14" w14:textId="77777777" w:rsidR="00637884" w:rsidRPr="004E1637" w:rsidRDefault="00637884" w:rsidP="00F95FB3">
            <w:pPr>
              <w:spacing w:after="120" w:line="240" w:lineRule="auto"/>
              <w:rPr>
                <w:rFonts w:ascii="Times New Roman" w:hAnsi="Times New Roman"/>
              </w:rPr>
            </w:pPr>
            <w:r w:rsidRPr="00F95FB3">
              <w:rPr>
                <w:rFonts w:ascii="Times New Roman" w:hAnsi="Times New Roman"/>
              </w:rPr>
              <w:t>myelosupresia (vrátane anémie, neutropénie, trombocytopénie)</w:t>
            </w:r>
          </w:p>
        </w:tc>
      </w:tr>
      <w:tr w:rsidR="00637884" w:rsidRPr="004E1637" w14:paraId="3076C99F"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23F827D6"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021D1337" w14:textId="77777777" w:rsidR="00637884" w:rsidRPr="004E1637" w:rsidRDefault="00637884" w:rsidP="00F95FB3">
            <w:pPr>
              <w:spacing w:after="120" w:line="240" w:lineRule="auto"/>
              <w:rPr>
                <w:rFonts w:ascii="Times New Roman" w:hAnsi="Times New Roman"/>
              </w:rPr>
            </w:pPr>
            <w:r w:rsidRPr="00F95FB3">
              <w:rPr>
                <w:rFonts w:ascii="Times New Roman" w:hAnsi="Times New Roman"/>
              </w:rPr>
              <w:t>febrilná neutropénia</w:t>
            </w:r>
          </w:p>
        </w:tc>
      </w:tr>
      <w:tr w:rsidR="00637884" w:rsidRPr="004E1637" w14:paraId="7C764E08"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5821ABC9"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1EC81264" w14:textId="77777777" w:rsidR="00637884" w:rsidRPr="004E1637" w:rsidRDefault="00637884" w:rsidP="00F95FB3">
            <w:pPr>
              <w:spacing w:after="120" w:line="240" w:lineRule="auto"/>
              <w:rPr>
                <w:rFonts w:ascii="Times New Roman" w:hAnsi="Times New Roman"/>
              </w:rPr>
            </w:pPr>
            <w:r w:rsidRPr="00F95FB3">
              <w:rPr>
                <w:rFonts w:ascii="Times New Roman" w:hAnsi="Times New Roman"/>
              </w:rPr>
              <w:t>lymfadenopatia, lymfopénia</w:t>
            </w:r>
          </w:p>
        </w:tc>
      </w:tr>
      <w:tr w:rsidR="00637884" w:rsidRPr="004E1637" w14:paraId="68EBE35E" w14:textId="77777777" w:rsidTr="002A5E20">
        <w:trPr>
          <w:gridAfter w:val="1"/>
          <w:wAfter w:w="360" w:type="dxa"/>
          <w:trHeight w:val="312"/>
        </w:trPr>
        <w:tc>
          <w:tcPr>
            <w:tcW w:w="1648" w:type="dxa"/>
            <w:tcBorders>
              <w:top w:val="single" w:sz="4" w:space="0" w:color="000000"/>
              <w:left w:val="single" w:sz="4" w:space="0" w:color="000000"/>
              <w:bottom w:val="single" w:sz="4" w:space="0" w:color="000000"/>
              <w:right w:val="single" w:sz="4" w:space="0" w:color="000000"/>
            </w:tcBorders>
          </w:tcPr>
          <w:p w14:paraId="619C8297"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4C4AB418" w14:textId="77777777" w:rsidR="00637884" w:rsidRPr="004E1637" w:rsidRDefault="00637884" w:rsidP="00F95FB3">
            <w:pPr>
              <w:spacing w:after="120" w:line="240" w:lineRule="auto"/>
              <w:rPr>
                <w:rFonts w:ascii="Times New Roman" w:hAnsi="Times New Roman"/>
              </w:rPr>
            </w:pPr>
            <w:r w:rsidRPr="00F95FB3">
              <w:rPr>
                <w:rFonts w:ascii="Times New Roman" w:hAnsi="Times New Roman"/>
              </w:rPr>
              <w:t>aplázia červených krviniek</w:t>
            </w:r>
          </w:p>
        </w:tc>
      </w:tr>
      <w:tr w:rsidR="00637884" w:rsidRPr="004E1637" w14:paraId="5D215174" w14:textId="77777777" w:rsidTr="002A5E20">
        <w:trPr>
          <w:gridAfter w:val="1"/>
          <w:wAfter w:w="360" w:type="dxa"/>
          <w:trHeight w:hRule="exact" w:val="269"/>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E8782"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imunitného systému</w:t>
            </w:r>
          </w:p>
        </w:tc>
      </w:tr>
      <w:tr w:rsidR="00637884" w:rsidRPr="004E1637" w14:paraId="31C34C65"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23EB710"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B01DE8B"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spacing w:val="3"/>
              </w:rPr>
              <w:t>hypersenzitivita (vrátane erythema nodosum)</w:t>
            </w:r>
          </w:p>
        </w:tc>
      </w:tr>
      <w:tr w:rsidR="00637884" w:rsidRPr="004E1637" w14:paraId="0F3C7C8B" w14:textId="77777777" w:rsidTr="00F95FB3">
        <w:trPr>
          <w:gridAfter w:val="1"/>
          <w:wAfter w:w="360" w:type="dxa"/>
          <w:trHeight w:hRule="exact" w:val="345"/>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C5686A0" w14:textId="77777777" w:rsidR="00637884" w:rsidRPr="004E1637" w:rsidRDefault="005939DF" w:rsidP="00A55A09">
            <w:pPr>
              <w:spacing w:after="0" w:line="240" w:lineRule="auto"/>
              <w:rPr>
                <w:rFonts w:ascii="Times New Roman" w:hAnsi="Times New Roman"/>
                <w:i/>
              </w:rPr>
            </w:pPr>
            <w:r w:rsidRPr="004E1637">
              <w:rPr>
                <w:rFonts w:ascii="Times New Roman" w:hAnsi="Times New Roman"/>
                <w:i/>
              </w:rPr>
              <w:t>Zriedkavé</w:t>
            </w:r>
          </w:p>
          <w:p w14:paraId="1629DBCA" w14:textId="1DD155D3" w:rsidR="00637884" w:rsidRPr="004E1637" w:rsidRDefault="00637884" w:rsidP="00A55A09">
            <w:pPr>
              <w:spacing w:after="0" w:line="240" w:lineRule="auto"/>
              <w:rPr>
                <w:rFonts w:ascii="Times New Roman" w:hAnsi="Times New Roman"/>
                <w:i/>
              </w:rPr>
            </w:pP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EE195CB" w14:textId="77777777" w:rsidR="00637884" w:rsidRPr="004E1637" w:rsidRDefault="00637884" w:rsidP="00F95FB3">
            <w:pPr>
              <w:spacing w:after="120" w:line="240" w:lineRule="auto"/>
              <w:rPr>
                <w:rFonts w:ascii="Times New Roman" w:hAnsi="Times New Roman"/>
                <w:spacing w:val="3"/>
              </w:rPr>
            </w:pPr>
            <w:r w:rsidRPr="004E1637">
              <w:rPr>
                <w:rFonts w:ascii="Times New Roman" w:hAnsi="Times New Roman"/>
                <w:spacing w:val="3"/>
              </w:rPr>
              <w:t>anafylaktický šok</w:t>
            </w:r>
          </w:p>
        </w:tc>
      </w:tr>
      <w:tr w:rsidR="00637884" w:rsidRPr="004E1637" w14:paraId="127F089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829446"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endokrinného systému</w:t>
            </w:r>
          </w:p>
        </w:tc>
      </w:tr>
      <w:tr w:rsidR="00637884" w:rsidRPr="004E1637" w14:paraId="009BA977"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E7A37F1"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21C0E847" w14:textId="77777777" w:rsidR="00637884" w:rsidRPr="004E1637" w:rsidRDefault="00637884" w:rsidP="00F95FB3">
            <w:pPr>
              <w:spacing w:after="120" w:line="240" w:lineRule="auto"/>
              <w:rPr>
                <w:rFonts w:ascii="Times New Roman" w:hAnsi="Times New Roman"/>
              </w:rPr>
            </w:pPr>
            <w:r w:rsidRPr="00F95FB3">
              <w:rPr>
                <w:rFonts w:ascii="Times New Roman" w:hAnsi="Times New Roman"/>
              </w:rPr>
              <w:t>hypotyreoidizmus</w:t>
            </w:r>
          </w:p>
        </w:tc>
      </w:tr>
      <w:tr w:rsidR="00637884" w:rsidRPr="004E1637" w14:paraId="300EE724"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EC0DA26"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777DCC2E" w14:textId="77777777" w:rsidR="00637884" w:rsidRPr="004E1637" w:rsidRDefault="00637884" w:rsidP="00F95FB3">
            <w:pPr>
              <w:spacing w:after="120" w:line="240" w:lineRule="auto"/>
              <w:rPr>
                <w:rFonts w:ascii="Times New Roman" w:hAnsi="Times New Roman"/>
              </w:rPr>
            </w:pPr>
            <w:r w:rsidRPr="00F95FB3">
              <w:rPr>
                <w:rFonts w:ascii="Times New Roman" w:hAnsi="Times New Roman"/>
              </w:rPr>
              <w:t>hypertyreoidizmus, tyreoiditída</w:t>
            </w:r>
          </w:p>
        </w:tc>
      </w:tr>
      <w:tr w:rsidR="00637884" w:rsidRPr="004E1637" w14:paraId="37439C15"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C60F3E"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metabolizmu a výživy</w:t>
            </w:r>
          </w:p>
        </w:tc>
      </w:tr>
      <w:tr w:rsidR="00637884" w:rsidRPr="004E1637" w14:paraId="262E953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37C7B44F"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35D1D02"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poruchy chuti do jedla</w:t>
            </w:r>
            <w:r w:rsidRPr="00EC4CBB">
              <w:rPr>
                <w:rFonts w:ascii="Times New Roman" w:hAnsi="Times New Roman"/>
                <w:vertAlign w:val="superscript"/>
              </w:rPr>
              <w:t>a</w:t>
            </w:r>
            <w:r w:rsidRPr="004E1637">
              <w:rPr>
                <w:rFonts w:ascii="Times New Roman" w:hAnsi="Times New Roman"/>
              </w:rPr>
              <w:t>, hyperurikémia</w:t>
            </w:r>
          </w:p>
        </w:tc>
      </w:tr>
      <w:tr w:rsidR="00637884" w:rsidRPr="004E1637" w14:paraId="05D4AA10"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41E4CDE"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7977D934" w14:textId="7170E842" w:rsidR="00637884" w:rsidRPr="004E1637" w:rsidRDefault="00637884" w:rsidP="00F95FB3">
            <w:pPr>
              <w:spacing w:after="120" w:line="240" w:lineRule="auto"/>
              <w:rPr>
                <w:rFonts w:ascii="Times New Roman" w:hAnsi="Times New Roman"/>
              </w:rPr>
            </w:pPr>
            <w:r w:rsidRPr="004E1637">
              <w:rPr>
                <w:rFonts w:ascii="Times New Roman" w:hAnsi="Times New Roman"/>
              </w:rPr>
              <w:t>syndróm rozpadu nádoru, dehydratácia, hypoalbuminémia, hypercholesterolémia</w:t>
            </w:r>
          </w:p>
        </w:tc>
      </w:tr>
      <w:tr w:rsidR="00637884" w:rsidRPr="004E1637" w14:paraId="5AD4C709"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A8CD931"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874FB2E"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diabetes mellitus</w:t>
            </w:r>
          </w:p>
        </w:tc>
      </w:tr>
      <w:tr w:rsidR="00637884" w:rsidRPr="004E1637" w14:paraId="6E368DC7"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E48E5F"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Psychické poruchy</w:t>
            </w:r>
          </w:p>
        </w:tc>
      </w:tr>
      <w:tr w:rsidR="00637884" w:rsidRPr="004E1637" w14:paraId="3878D65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3DE9FF22"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4ED8E4C"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depresia, insomnia</w:t>
            </w:r>
          </w:p>
        </w:tc>
      </w:tr>
      <w:tr w:rsidR="00637884" w:rsidRPr="004E1637" w14:paraId="02246CC2"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0EC4CF69"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2F559AE7" w14:textId="5A5B6668" w:rsidR="00637884" w:rsidRPr="004E1637" w:rsidRDefault="00637884" w:rsidP="00F95FB3">
            <w:pPr>
              <w:spacing w:after="120" w:line="240" w:lineRule="auto"/>
              <w:rPr>
                <w:rFonts w:ascii="Times New Roman" w:hAnsi="Times New Roman"/>
              </w:rPr>
            </w:pPr>
            <w:r w:rsidRPr="004E1637">
              <w:rPr>
                <w:rFonts w:ascii="Times New Roman" w:hAnsi="Times New Roman"/>
              </w:rPr>
              <w:t xml:space="preserve">úzkosť, stav zmätenosti, </w:t>
            </w:r>
            <w:r w:rsidR="00585A82">
              <w:rPr>
                <w:rFonts w:ascii="Times New Roman" w:hAnsi="Times New Roman"/>
              </w:rPr>
              <w:t>afektívna labilita</w:t>
            </w:r>
            <w:r w:rsidRPr="004E1637">
              <w:rPr>
                <w:rFonts w:ascii="Times New Roman" w:hAnsi="Times New Roman"/>
              </w:rPr>
              <w:t>, zníženie libida</w:t>
            </w:r>
          </w:p>
        </w:tc>
      </w:tr>
      <w:tr w:rsidR="00637884" w:rsidRPr="004E1637" w14:paraId="533E5BD2"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A6D03FA"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nervového systému</w:t>
            </w:r>
          </w:p>
        </w:tc>
      </w:tr>
      <w:tr w:rsidR="00637884" w:rsidRPr="004E1637" w14:paraId="4903C64C"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1A557B81"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tcPr>
          <w:p w14:paraId="5C6FD323"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bolesť hlavy</w:t>
            </w:r>
          </w:p>
        </w:tc>
      </w:tr>
      <w:tr w:rsidR="00637884" w:rsidRPr="004E1637" w14:paraId="63C51B9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30DB309F"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63E50386"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neuropatia (vrátane periférnej neuropatie), závrat, porucha chuti, spavosť</w:t>
            </w:r>
          </w:p>
        </w:tc>
      </w:tr>
      <w:tr w:rsidR="00637884" w:rsidRPr="004E1637" w14:paraId="4AE5AB0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1BC18AD7"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6AF8190B" w14:textId="77777777" w:rsidR="00637884" w:rsidRPr="004E1637" w:rsidRDefault="00637884" w:rsidP="00F95FB3">
            <w:pPr>
              <w:spacing w:after="120" w:line="240" w:lineRule="auto"/>
              <w:rPr>
                <w:rFonts w:ascii="Times New Roman" w:hAnsi="Times New Roman"/>
              </w:rPr>
            </w:pPr>
            <w:r w:rsidRPr="004E1637">
              <w:rPr>
                <w:rFonts w:ascii="Times New Roman" w:hAnsi="Times New Roman"/>
              </w:rPr>
              <w:t>krvácanie do CNS</w:t>
            </w:r>
            <w:r w:rsidRPr="00EC4CBB">
              <w:rPr>
                <w:rFonts w:ascii="Times New Roman" w:hAnsi="Times New Roman"/>
                <w:vertAlign w:val="superscript"/>
              </w:rPr>
              <w:t>*b</w:t>
            </w:r>
            <w:r w:rsidRPr="004E1637">
              <w:rPr>
                <w:rFonts w:ascii="Times New Roman" w:hAnsi="Times New Roman"/>
              </w:rPr>
              <w:t>, synkopa, tremor, amnézia, porucha rovnováhy</w:t>
            </w:r>
          </w:p>
        </w:tc>
      </w:tr>
      <w:tr w:rsidR="00637884" w:rsidRPr="004E1637" w14:paraId="1BD579B1" w14:textId="77777777" w:rsidTr="002A5E20">
        <w:trPr>
          <w:gridAfter w:val="1"/>
          <w:wAfter w:w="360" w:type="dxa"/>
          <w:trHeight w:val="577"/>
        </w:trPr>
        <w:tc>
          <w:tcPr>
            <w:tcW w:w="1648" w:type="dxa"/>
            <w:tcBorders>
              <w:top w:val="single" w:sz="4" w:space="0" w:color="000000"/>
              <w:left w:val="single" w:sz="4" w:space="0" w:color="000000"/>
              <w:bottom w:val="single" w:sz="4" w:space="0" w:color="000000"/>
              <w:right w:val="single" w:sz="4" w:space="0" w:color="000000"/>
            </w:tcBorders>
          </w:tcPr>
          <w:p w14:paraId="67DE8135"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5E0FB667" w14:textId="138B15B5" w:rsidR="00637884" w:rsidRPr="004E1637" w:rsidRDefault="00637884" w:rsidP="00F95FB3">
            <w:pPr>
              <w:spacing w:after="120" w:line="240" w:lineRule="auto"/>
              <w:rPr>
                <w:rFonts w:ascii="Times New Roman" w:hAnsi="Times New Roman"/>
              </w:rPr>
            </w:pPr>
            <w:r w:rsidRPr="004E1637">
              <w:rPr>
                <w:rFonts w:ascii="Times New Roman" w:hAnsi="Times New Roman"/>
              </w:rPr>
              <w:t xml:space="preserve">cerebrovaskulárna príhoda, </w:t>
            </w:r>
            <w:r w:rsidR="00DA37D0">
              <w:rPr>
                <w:rFonts w:ascii="Times New Roman" w:hAnsi="Times New Roman"/>
              </w:rPr>
              <w:t>tranzitórny ischemický atak</w:t>
            </w:r>
            <w:r w:rsidRPr="004E1637">
              <w:rPr>
                <w:rFonts w:ascii="Times New Roman" w:hAnsi="Times New Roman"/>
              </w:rPr>
              <w:t>, kŕč, o</w:t>
            </w:r>
            <w:r w:rsidR="008D51B3">
              <w:rPr>
                <w:rFonts w:ascii="Times New Roman" w:hAnsi="Times New Roman"/>
              </w:rPr>
              <w:t>ptická</w:t>
            </w:r>
            <w:r w:rsidRPr="004E1637">
              <w:rPr>
                <w:rFonts w:ascii="Times New Roman" w:hAnsi="Times New Roman"/>
              </w:rPr>
              <w:t xml:space="preserve"> neuritída, paralýza VII. nervu, demencia, ataxia</w:t>
            </w:r>
          </w:p>
        </w:tc>
      </w:tr>
      <w:tr w:rsidR="00637884" w:rsidRPr="004E1637" w14:paraId="09861AC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7AA40D5" w14:textId="77777777" w:rsidR="00637884" w:rsidRPr="004E1637" w:rsidRDefault="00637884" w:rsidP="00A55A09">
            <w:pPr>
              <w:spacing w:after="0" w:line="240" w:lineRule="auto"/>
              <w:rPr>
                <w:rFonts w:ascii="Times New Roman" w:hAnsi="Times New Roman"/>
              </w:rPr>
            </w:pPr>
            <w:r w:rsidRPr="004E1637">
              <w:rPr>
                <w:rFonts w:ascii="Times New Roman" w:hAnsi="Times New Roman"/>
                <w:b/>
                <w:bCs/>
              </w:rPr>
              <w:t>Poruchy oka</w:t>
            </w:r>
          </w:p>
        </w:tc>
      </w:tr>
      <w:tr w:rsidR="00637884" w:rsidRPr="004E1637" w14:paraId="5CE1502A" w14:textId="77777777" w:rsidTr="002A5E20">
        <w:trPr>
          <w:gridAfter w:val="1"/>
          <w:wAfter w:w="360" w:type="dxa"/>
          <w:trHeight w:val="563"/>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8BEE1C4"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DE81E5A" w14:textId="0EF64E4A" w:rsidR="00637884" w:rsidRPr="004E1637" w:rsidRDefault="00637884" w:rsidP="00F95FB3">
            <w:pPr>
              <w:spacing w:after="120" w:line="240" w:lineRule="auto"/>
              <w:rPr>
                <w:rFonts w:ascii="Times New Roman" w:hAnsi="Times New Roman"/>
              </w:rPr>
            </w:pPr>
            <w:r w:rsidRPr="004E1637">
              <w:rPr>
                <w:rFonts w:ascii="Times New Roman" w:hAnsi="Times New Roman"/>
              </w:rPr>
              <w:t xml:space="preserve">poruchy videnia (vrátane </w:t>
            </w:r>
            <w:r w:rsidRPr="00F81BD7">
              <w:rPr>
                <w:rFonts w:ascii="Times New Roman" w:hAnsi="Times New Roman"/>
              </w:rPr>
              <w:t>zrakovej poruchy</w:t>
            </w:r>
            <w:r w:rsidRPr="004E1637">
              <w:rPr>
                <w:rFonts w:ascii="Times New Roman" w:hAnsi="Times New Roman"/>
              </w:rPr>
              <w:t>, rozmazaného videnia a zníženej zrakovej ostrosti), suchosť očí</w:t>
            </w:r>
          </w:p>
        </w:tc>
      </w:tr>
      <w:tr w:rsidR="00637884" w:rsidRPr="004E1637" w14:paraId="4EE38766"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ACD438F"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3FA598CB" w14:textId="1A261E6A" w:rsidR="00637884" w:rsidRPr="004E1637" w:rsidRDefault="00637884" w:rsidP="00F95FB3">
            <w:pPr>
              <w:spacing w:after="120" w:line="240" w:lineRule="auto"/>
              <w:rPr>
                <w:rFonts w:ascii="Times New Roman" w:hAnsi="Times New Roman"/>
              </w:rPr>
            </w:pPr>
            <w:r w:rsidRPr="004E1637">
              <w:rPr>
                <w:rFonts w:ascii="Times New Roman" w:hAnsi="Times New Roman"/>
              </w:rPr>
              <w:t>porucha zraku, konjunktivitída, fotofóbia, zvýšené slzenie</w:t>
            </w:r>
          </w:p>
        </w:tc>
      </w:tr>
      <w:tr w:rsidR="00637884" w:rsidRPr="004E1637" w14:paraId="491C1553"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CE443A"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ucha a labyrintu</w:t>
            </w:r>
          </w:p>
        </w:tc>
      </w:tr>
      <w:tr w:rsidR="00637884" w:rsidRPr="004E1637" w14:paraId="74799D9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56AEA17"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1A36580" w14:textId="7F749991" w:rsidR="00637884" w:rsidRPr="004E1637" w:rsidRDefault="00637884" w:rsidP="00F95FB3">
            <w:pPr>
              <w:spacing w:after="120" w:line="240" w:lineRule="auto"/>
              <w:rPr>
                <w:rFonts w:ascii="Times New Roman" w:hAnsi="Times New Roman"/>
              </w:rPr>
            </w:pPr>
            <w:r w:rsidRPr="004E1637">
              <w:rPr>
                <w:rFonts w:ascii="Times New Roman" w:hAnsi="Times New Roman"/>
              </w:rPr>
              <w:t>tinitus</w:t>
            </w:r>
          </w:p>
        </w:tc>
      </w:tr>
      <w:tr w:rsidR="00637884" w:rsidRPr="004E1637" w14:paraId="497D936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8A08020"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0604D2D" w14:textId="77777777" w:rsidR="00637884" w:rsidRPr="004E1637" w:rsidRDefault="00DF4A41" w:rsidP="00F95FB3">
            <w:pPr>
              <w:spacing w:after="120" w:line="240" w:lineRule="auto"/>
              <w:rPr>
                <w:rFonts w:ascii="Times New Roman" w:hAnsi="Times New Roman"/>
              </w:rPr>
            </w:pPr>
            <w:r w:rsidRPr="004E1637">
              <w:rPr>
                <w:rFonts w:ascii="Times New Roman" w:hAnsi="Times New Roman"/>
              </w:rPr>
              <w:t>strata sluchu, vertigo</w:t>
            </w:r>
          </w:p>
        </w:tc>
      </w:tr>
      <w:tr w:rsidR="00637884" w:rsidRPr="004E1637" w14:paraId="6CAC6447"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8DEC3A"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srdca a srdcovej činnosti</w:t>
            </w:r>
          </w:p>
        </w:tc>
      </w:tr>
      <w:tr w:rsidR="00637884" w:rsidRPr="004E1637" w14:paraId="661FBF65" w14:textId="77777777" w:rsidTr="002A5E20">
        <w:trPr>
          <w:gridAfter w:val="1"/>
          <w:wAfter w:w="360" w:type="dxa"/>
          <w:trHeight w:val="563"/>
        </w:trPr>
        <w:tc>
          <w:tcPr>
            <w:tcW w:w="1648" w:type="dxa"/>
            <w:tcBorders>
              <w:top w:val="single" w:sz="4" w:space="0" w:color="000000"/>
              <w:left w:val="single" w:sz="4" w:space="0" w:color="000000"/>
              <w:bottom w:val="single" w:sz="4" w:space="0" w:color="000000"/>
              <w:right w:val="single" w:sz="4" w:space="0" w:color="000000"/>
            </w:tcBorders>
          </w:tcPr>
          <w:p w14:paraId="2C8FF7B2"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2A1E43E7" w14:textId="12F89418" w:rsidR="00637884" w:rsidRPr="004E1637" w:rsidRDefault="00DF4A41" w:rsidP="00F95FB3">
            <w:pPr>
              <w:spacing w:after="120" w:line="240" w:lineRule="auto"/>
              <w:rPr>
                <w:rFonts w:ascii="Times New Roman" w:hAnsi="Times New Roman"/>
              </w:rPr>
            </w:pPr>
            <w:r w:rsidRPr="004E1637">
              <w:rPr>
                <w:rFonts w:ascii="Times New Roman" w:hAnsi="Times New Roman"/>
              </w:rPr>
              <w:t>kongestívne zlyh</w:t>
            </w:r>
            <w:r w:rsidR="008D51B3">
              <w:rPr>
                <w:rFonts w:ascii="Times New Roman" w:hAnsi="Times New Roman"/>
              </w:rPr>
              <w:t>ávanie srdca</w:t>
            </w:r>
            <w:r w:rsidRPr="004E1637">
              <w:rPr>
                <w:rFonts w:ascii="Times New Roman" w:hAnsi="Times New Roman"/>
              </w:rPr>
              <w:t>/srdcová dysfunkcia</w:t>
            </w:r>
            <w:r w:rsidRPr="00EC4CBB">
              <w:rPr>
                <w:rFonts w:ascii="Times New Roman" w:hAnsi="Times New Roman"/>
                <w:vertAlign w:val="superscript"/>
              </w:rPr>
              <w:t>*c</w:t>
            </w:r>
            <w:r w:rsidRPr="004E1637">
              <w:rPr>
                <w:rFonts w:ascii="Times New Roman" w:hAnsi="Times New Roman"/>
              </w:rPr>
              <w:t>, perikardiálny výpotok</w:t>
            </w:r>
            <w:r w:rsidRPr="00F95FB3">
              <w:rPr>
                <w:rFonts w:ascii="Times New Roman" w:hAnsi="Times New Roman"/>
              </w:rPr>
              <w:t>*</w:t>
            </w:r>
            <w:r w:rsidRPr="004E1637">
              <w:rPr>
                <w:rFonts w:ascii="Times New Roman" w:hAnsi="Times New Roman"/>
              </w:rPr>
              <w:t>, arytmia (vrátane tachykardie), palpitácie</w:t>
            </w:r>
          </w:p>
        </w:tc>
      </w:tr>
      <w:tr w:rsidR="00637884" w:rsidRPr="004E1637" w14:paraId="0C1D9BD3" w14:textId="77777777" w:rsidTr="00F95FB3">
        <w:trPr>
          <w:gridAfter w:val="1"/>
          <w:wAfter w:w="360" w:type="dxa"/>
          <w:trHeight w:hRule="exact" w:val="1204"/>
        </w:trPr>
        <w:tc>
          <w:tcPr>
            <w:tcW w:w="1648" w:type="dxa"/>
            <w:tcBorders>
              <w:top w:val="single" w:sz="4" w:space="0" w:color="000000"/>
              <w:left w:val="single" w:sz="4" w:space="0" w:color="000000"/>
              <w:bottom w:val="single" w:sz="4" w:space="0" w:color="000000"/>
              <w:right w:val="single" w:sz="4" w:space="0" w:color="000000"/>
            </w:tcBorders>
          </w:tcPr>
          <w:p w14:paraId="6AFE74A8"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3ECE519C" w14:textId="3081ADCE" w:rsidR="00637884" w:rsidRPr="004E1637" w:rsidRDefault="00DF4A41" w:rsidP="00F95FB3">
            <w:pPr>
              <w:spacing w:after="120" w:line="240" w:lineRule="auto"/>
              <w:rPr>
                <w:rFonts w:ascii="Times New Roman" w:hAnsi="Times New Roman"/>
              </w:rPr>
            </w:pPr>
            <w:r w:rsidRPr="00F95FB3">
              <w:rPr>
                <w:rFonts w:ascii="Times New Roman" w:hAnsi="Times New Roman"/>
              </w:rPr>
              <w:t>infarkt myokardu (vrátane fatálneho následku)*, predĺženie</w:t>
            </w:r>
            <w:r w:rsidR="008D51B3" w:rsidRPr="00F95FB3">
              <w:rPr>
                <w:rFonts w:ascii="Times New Roman" w:hAnsi="Times New Roman"/>
              </w:rPr>
              <w:t xml:space="preserve"> QT</w:t>
            </w:r>
            <w:r w:rsidRPr="00F95FB3">
              <w:rPr>
                <w:rFonts w:ascii="Times New Roman" w:hAnsi="Times New Roman"/>
              </w:rPr>
              <w:t xml:space="preserve"> na elektrokardiograme*, perikarditída, ventrikulárna arytmia (vrátane ventrikulárnej tachykardie), angina pectoris, kardiomegália, nezvyčajná T vlna na elektrokardiograme, zvýšený troponín</w:t>
            </w:r>
          </w:p>
        </w:tc>
      </w:tr>
      <w:tr w:rsidR="00637884" w:rsidRPr="004E1637" w14:paraId="7017F986" w14:textId="77777777" w:rsidTr="00F95FB3">
        <w:trPr>
          <w:gridAfter w:val="1"/>
          <w:wAfter w:w="360" w:type="dxa"/>
          <w:trHeight w:val="550"/>
        </w:trPr>
        <w:tc>
          <w:tcPr>
            <w:tcW w:w="1648" w:type="dxa"/>
            <w:tcBorders>
              <w:top w:val="single" w:sz="4" w:space="0" w:color="000000"/>
              <w:left w:val="single" w:sz="4" w:space="0" w:color="000000"/>
              <w:bottom w:val="single" w:sz="4" w:space="0" w:color="000000"/>
              <w:right w:val="single" w:sz="4" w:space="0" w:color="000000"/>
            </w:tcBorders>
          </w:tcPr>
          <w:p w14:paraId="66EFB26F"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149D42CA" w14:textId="79F581F0" w:rsidR="00637884" w:rsidRPr="004E1637" w:rsidRDefault="00DF4A41" w:rsidP="00F95FB3">
            <w:pPr>
              <w:spacing w:after="120" w:line="240" w:lineRule="auto"/>
              <w:rPr>
                <w:rFonts w:ascii="Times New Roman" w:hAnsi="Times New Roman"/>
              </w:rPr>
            </w:pPr>
            <w:r w:rsidRPr="004E1637">
              <w:rPr>
                <w:rFonts w:ascii="Times New Roman" w:hAnsi="Times New Roman"/>
              </w:rPr>
              <w:t xml:space="preserve">cor pulmonale, myokarditída, akútny koronárny syndróm, zastavenie srdca, predĺženie PR na elektrokardiograme, </w:t>
            </w:r>
            <w:r w:rsidR="00FC7BE9">
              <w:rPr>
                <w:rFonts w:ascii="Times New Roman" w:hAnsi="Times New Roman"/>
              </w:rPr>
              <w:t>ischemická choroba srdca</w:t>
            </w:r>
            <w:r w:rsidRPr="004E1637">
              <w:rPr>
                <w:rFonts w:ascii="Times New Roman" w:hAnsi="Times New Roman"/>
              </w:rPr>
              <w:t>, pleuroperikarditída</w:t>
            </w:r>
          </w:p>
        </w:tc>
      </w:tr>
      <w:tr w:rsidR="00637884" w:rsidRPr="004E1637" w14:paraId="5D3F9BD0"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62CC8815"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tcPr>
          <w:p w14:paraId="5B8D77F3" w14:textId="5A86C6AD" w:rsidR="00637884" w:rsidRPr="004E1637" w:rsidRDefault="00DF4A41" w:rsidP="00F95FB3">
            <w:pPr>
              <w:spacing w:after="120" w:line="240" w:lineRule="auto"/>
              <w:rPr>
                <w:rFonts w:ascii="Times New Roman" w:hAnsi="Times New Roman"/>
              </w:rPr>
            </w:pPr>
            <w:r w:rsidRPr="004E1637">
              <w:rPr>
                <w:rFonts w:ascii="Times New Roman" w:hAnsi="Times New Roman"/>
              </w:rPr>
              <w:t>fibrilácia predsiení/flutter predsiení</w:t>
            </w:r>
          </w:p>
        </w:tc>
      </w:tr>
      <w:tr w:rsidR="00637884" w:rsidRPr="004E1637" w14:paraId="5642ED8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496209"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ciev</w:t>
            </w:r>
          </w:p>
        </w:tc>
      </w:tr>
      <w:tr w:rsidR="00DF4A41" w:rsidRPr="004E1637" w14:paraId="27E0C4F2"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0A024D8" w14:textId="77777777" w:rsidR="00DF4A41" w:rsidRPr="004E1637" w:rsidRDefault="00DF4A41" w:rsidP="00A55A09">
            <w:pPr>
              <w:pStyle w:val="Default"/>
              <w:rPr>
                <w:sz w:val="22"/>
                <w:szCs w:val="22"/>
              </w:rPr>
            </w:pPr>
            <w:r w:rsidRPr="004E1637">
              <w:rPr>
                <w:i/>
                <w:iCs/>
                <w:sz w:val="22"/>
                <w:szCs w:val="22"/>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7AB25E83" w14:textId="77777777" w:rsidR="00DF4A41" w:rsidRPr="004E1637" w:rsidRDefault="00DF4A41" w:rsidP="00F95FB3">
            <w:pPr>
              <w:pStyle w:val="Default"/>
              <w:spacing w:after="120"/>
              <w:rPr>
                <w:sz w:val="22"/>
                <w:szCs w:val="22"/>
              </w:rPr>
            </w:pPr>
            <w:r w:rsidRPr="004E1637">
              <w:rPr>
                <w:sz w:val="22"/>
                <w:szCs w:val="22"/>
              </w:rPr>
              <w:t>hemorágia</w:t>
            </w:r>
            <w:r w:rsidRPr="004E1637">
              <w:rPr>
                <w:sz w:val="22"/>
                <w:szCs w:val="22"/>
                <w:vertAlign w:val="superscript"/>
              </w:rPr>
              <w:t xml:space="preserve">*d </w:t>
            </w:r>
          </w:p>
        </w:tc>
      </w:tr>
      <w:tr w:rsidR="00DF4A41" w:rsidRPr="004E1637" w14:paraId="5AEB3CC0"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74F04D68" w14:textId="77777777" w:rsidR="00DF4A41" w:rsidRPr="004E1637" w:rsidRDefault="00DF4A41" w:rsidP="00A55A09">
            <w:pPr>
              <w:pStyle w:val="Default"/>
              <w:rPr>
                <w:sz w:val="22"/>
                <w:szCs w:val="22"/>
              </w:rPr>
            </w:pPr>
            <w:r w:rsidRPr="004E1637">
              <w:rPr>
                <w:i/>
                <w:iCs/>
                <w:sz w:val="22"/>
                <w:szCs w:val="22"/>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7249" w14:textId="7F80C9AA" w:rsidR="00DF4A41" w:rsidRPr="004E1637" w:rsidRDefault="00DF4A41" w:rsidP="00F95FB3">
            <w:pPr>
              <w:pStyle w:val="Default"/>
              <w:spacing w:after="120"/>
              <w:rPr>
                <w:sz w:val="22"/>
                <w:szCs w:val="22"/>
              </w:rPr>
            </w:pPr>
            <w:r w:rsidRPr="004E1637">
              <w:rPr>
                <w:sz w:val="22"/>
                <w:szCs w:val="22"/>
              </w:rPr>
              <w:t xml:space="preserve">hypertenzia, </w:t>
            </w:r>
            <w:r w:rsidR="00FC7BE9">
              <w:rPr>
                <w:sz w:val="22"/>
                <w:szCs w:val="22"/>
              </w:rPr>
              <w:t>návaly tepla</w:t>
            </w:r>
          </w:p>
        </w:tc>
      </w:tr>
      <w:tr w:rsidR="00DF4A41" w:rsidRPr="004E1637" w14:paraId="46E4381B"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0D86709D" w14:textId="77777777" w:rsidR="00DF4A41" w:rsidRPr="004E1637" w:rsidRDefault="00DF4A41" w:rsidP="00A55A09">
            <w:pPr>
              <w:pStyle w:val="Default"/>
              <w:rPr>
                <w:sz w:val="22"/>
                <w:szCs w:val="22"/>
              </w:rPr>
            </w:pPr>
            <w:r w:rsidRPr="004E1637">
              <w:rPr>
                <w:i/>
                <w:iCs/>
                <w:sz w:val="22"/>
                <w:szCs w:val="22"/>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AE8DC" w14:textId="77777777" w:rsidR="00DF4A41" w:rsidRPr="007558B3" w:rsidRDefault="00DF4A41" w:rsidP="00F95FB3">
            <w:pPr>
              <w:spacing w:after="120" w:line="240" w:lineRule="auto"/>
            </w:pPr>
            <w:r w:rsidRPr="00F95FB3">
              <w:rPr>
                <w:rFonts w:ascii="Times New Roman" w:hAnsi="Times New Roman"/>
              </w:rPr>
              <w:t xml:space="preserve">hypotenzia, tromboflebitída, trombóza </w:t>
            </w:r>
          </w:p>
        </w:tc>
      </w:tr>
      <w:tr w:rsidR="00DF4A41" w:rsidRPr="004E1637" w14:paraId="0435F688"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3C494B23" w14:textId="77777777" w:rsidR="00DF4A41" w:rsidRPr="004E1637" w:rsidRDefault="00DF4A41" w:rsidP="00A55A09">
            <w:pPr>
              <w:pStyle w:val="Default"/>
              <w:rPr>
                <w:sz w:val="22"/>
                <w:szCs w:val="22"/>
              </w:rPr>
            </w:pPr>
            <w:r w:rsidRPr="004E1637">
              <w:rPr>
                <w:i/>
                <w:iCs/>
                <w:sz w:val="22"/>
                <w:szCs w:val="22"/>
              </w:rPr>
              <w:lastRenderedPageBreak/>
              <w:t xml:space="preserve">Zriedkavé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443B2" w14:textId="77777777" w:rsidR="00DF4A41" w:rsidRPr="007558B3" w:rsidRDefault="00DF4A41" w:rsidP="00F95FB3">
            <w:pPr>
              <w:spacing w:after="120" w:line="240" w:lineRule="auto"/>
            </w:pPr>
            <w:r w:rsidRPr="00F95FB3">
              <w:rPr>
                <w:rFonts w:ascii="Times New Roman" w:hAnsi="Times New Roman"/>
              </w:rPr>
              <w:t xml:space="preserve">hlboká žilová trombóza, embólia, livedo reticularis </w:t>
            </w:r>
          </w:p>
        </w:tc>
      </w:tr>
      <w:tr w:rsidR="00AA6A33" w:rsidRPr="004E1637" w14:paraId="628703B8"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2C3C3551" w14:textId="415F1BEE" w:rsidR="00AA6A33" w:rsidRPr="004E1637" w:rsidRDefault="00AA6A33" w:rsidP="00A55A09">
            <w:pPr>
              <w:pStyle w:val="Default"/>
              <w:rPr>
                <w:i/>
                <w:iCs/>
                <w:sz w:val="22"/>
                <w:szCs w:val="22"/>
              </w:rPr>
            </w:pPr>
            <w:r w:rsidRPr="004E1637">
              <w:rPr>
                <w:i/>
                <w:iCs/>
                <w:sz w:val="22"/>
                <w:szCs w:val="22"/>
              </w:rPr>
              <w:t>Neznáme</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640F7" w14:textId="294B01D0" w:rsidR="00AA6A33" w:rsidRPr="002445C4" w:rsidRDefault="00AA6A33">
            <w:pPr>
              <w:spacing w:after="120" w:line="240" w:lineRule="auto"/>
              <w:rPr>
                <w:rFonts w:ascii="Times New Roman" w:hAnsi="Times New Roman"/>
              </w:rPr>
            </w:pPr>
            <w:r w:rsidRPr="00AA6A33">
              <w:rPr>
                <w:rFonts w:ascii="Times New Roman" w:hAnsi="Times New Roman"/>
              </w:rPr>
              <w:t>trombotická mikroangiopatia</w:t>
            </w:r>
          </w:p>
        </w:tc>
      </w:tr>
      <w:tr w:rsidR="00637884" w:rsidRPr="004E1637" w14:paraId="10C4DBA5"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3F8458"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dýchacej sústavy, hrudníka a mediastína</w:t>
            </w:r>
          </w:p>
        </w:tc>
      </w:tr>
      <w:tr w:rsidR="00DF4A41" w:rsidRPr="004E1637" w14:paraId="15FE0C42"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B2AFAD7" w14:textId="77777777" w:rsidR="00DF4A41" w:rsidRPr="004E1637" w:rsidRDefault="00DF4A41" w:rsidP="00A55A09">
            <w:pPr>
              <w:pStyle w:val="Default"/>
              <w:rPr>
                <w:sz w:val="22"/>
                <w:szCs w:val="22"/>
              </w:rPr>
            </w:pPr>
            <w:r w:rsidRPr="004E1637">
              <w:rPr>
                <w:i/>
                <w:iCs/>
                <w:sz w:val="22"/>
                <w:szCs w:val="22"/>
              </w:rPr>
              <w:t xml:space="preserve">Veľmi časté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0942" w14:textId="77777777" w:rsidR="00DF4A41" w:rsidRPr="007558B3" w:rsidRDefault="00DF4A41" w:rsidP="00F95FB3">
            <w:pPr>
              <w:spacing w:after="120" w:line="240" w:lineRule="auto"/>
            </w:pPr>
            <w:r w:rsidRPr="00F95FB3">
              <w:rPr>
                <w:rFonts w:ascii="Times New Roman" w:hAnsi="Times New Roman"/>
              </w:rPr>
              <w:t xml:space="preserve">pleurálny výpotok*, dyspnoe </w:t>
            </w:r>
          </w:p>
        </w:tc>
      </w:tr>
      <w:tr w:rsidR="00DF4A41" w:rsidRPr="004E1637" w14:paraId="626F751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4E290D60" w14:textId="77777777" w:rsidR="00DF4A41" w:rsidRPr="004E1637" w:rsidRDefault="00DF4A41" w:rsidP="00A55A09">
            <w:pPr>
              <w:pStyle w:val="Default"/>
              <w:rPr>
                <w:sz w:val="22"/>
                <w:szCs w:val="22"/>
              </w:rPr>
            </w:pPr>
            <w:r w:rsidRPr="004E1637">
              <w:rPr>
                <w:i/>
                <w:iCs/>
                <w:sz w:val="22"/>
                <w:szCs w:val="22"/>
              </w:rPr>
              <w:t xml:space="preserve">Časté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0E12" w14:textId="77777777" w:rsidR="00DF4A41" w:rsidRPr="007558B3" w:rsidRDefault="00DF4A41" w:rsidP="00F95FB3">
            <w:pPr>
              <w:spacing w:after="120" w:line="240" w:lineRule="auto"/>
            </w:pPr>
            <w:r w:rsidRPr="00F95FB3">
              <w:rPr>
                <w:rFonts w:ascii="Times New Roman" w:hAnsi="Times New Roman"/>
              </w:rPr>
              <w:t xml:space="preserve">pľúcny edém*, pľúcna hypertenzia*, pľúcna infiltrácia, pneumonitída, kašeľ </w:t>
            </w:r>
          </w:p>
        </w:tc>
      </w:tr>
      <w:tr w:rsidR="00DF4A41" w:rsidRPr="004E1637" w14:paraId="131CF507"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8ED0305" w14:textId="77777777" w:rsidR="00DF4A41" w:rsidRPr="004E1637" w:rsidRDefault="00DF4A41" w:rsidP="00A55A09">
            <w:pPr>
              <w:pStyle w:val="Default"/>
              <w:rPr>
                <w:sz w:val="22"/>
                <w:szCs w:val="22"/>
              </w:rPr>
            </w:pPr>
            <w:r w:rsidRPr="004E1637">
              <w:rPr>
                <w:i/>
                <w:iCs/>
                <w:sz w:val="22"/>
                <w:szCs w:val="22"/>
              </w:rPr>
              <w:t xml:space="preserve">Menej časté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D212" w14:textId="77777777" w:rsidR="00DF4A41" w:rsidRPr="007558B3" w:rsidRDefault="00DF4A41" w:rsidP="00F95FB3">
            <w:pPr>
              <w:spacing w:after="120" w:line="240" w:lineRule="auto"/>
            </w:pPr>
            <w:r w:rsidRPr="00F95FB3">
              <w:rPr>
                <w:rFonts w:ascii="Times New Roman" w:hAnsi="Times New Roman"/>
              </w:rPr>
              <w:t xml:space="preserve">pľúcna arteriálna hypertenzia, bronchospazmus, astma </w:t>
            </w:r>
          </w:p>
        </w:tc>
      </w:tr>
      <w:tr w:rsidR="00DF4A41" w:rsidRPr="004E1637" w14:paraId="4018566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58F0C404" w14:textId="77777777" w:rsidR="00DF4A41" w:rsidRPr="004E1637" w:rsidRDefault="00DF4A41" w:rsidP="00A55A09">
            <w:pPr>
              <w:pStyle w:val="Default"/>
              <w:rPr>
                <w:sz w:val="22"/>
                <w:szCs w:val="22"/>
              </w:rPr>
            </w:pPr>
            <w:r w:rsidRPr="004E1637">
              <w:rPr>
                <w:i/>
                <w:iCs/>
                <w:sz w:val="22"/>
                <w:szCs w:val="22"/>
              </w:rPr>
              <w:t xml:space="preserve">Zriedkavé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CA951" w14:textId="77777777" w:rsidR="00DF4A41" w:rsidRPr="007558B3" w:rsidRDefault="00DF4A41" w:rsidP="00F95FB3">
            <w:pPr>
              <w:spacing w:after="120" w:line="240" w:lineRule="auto"/>
            </w:pPr>
            <w:r w:rsidRPr="00F95FB3">
              <w:rPr>
                <w:rFonts w:ascii="Times New Roman" w:hAnsi="Times New Roman"/>
              </w:rPr>
              <w:t xml:space="preserve">pľúcna embólia, syndróm akútnej respiračnej tiesne </w:t>
            </w:r>
          </w:p>
        </w:tc>
      </w:tr>
      <w:tr w:rsidR="00DF4A41" w:rsidRPr="004E1637" w14:paraId="485EC6E4"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00B870D0" w14:textId="77777777" w:rsidR="00DF4A41" w:rsidRPr="004E1637" w:rsidRDefault="00DF4A41" w:rsidP="00A55A09">
            <w:pPr>
              <w:pStyle w:val="Default"/>
              <w:rPr>
                <w:sz w:val="22"/>
                <w:szCs w:val="22"/>
              </w:rPr>
            </w:pPr>
            <w:r w:rsidRPr="004E1637">
              <w:rPr>
                <w:i/>
                <w:iCs/>
                <w:sz w:val="22"/>
                <w:szCs w:val="22"/>
              </w:rPr>
              <w:t xml:space="preserve">Neznáme </w:t>
            </w:r>
          </w:p>
        </w:tc>
        <w:tc>
          <w:tcPr>
            <w:tcW w:w="77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8D8A" w14:textId="539C2C99" w:rsidR="00DF4A41" w:rsidRPr="007558B3" w:rsidRDefault="00DF4A41" w:rsidP="00F95FB3">
            <w:pPr>
              <w:spacing w:after="120" w:line="240" w:lineRule="auto"/>
            </w:pPr>
            <w:r w:rsidRPr="00F95FB3">
              <w:rPr>
                <w:rFonts w:ascii="Times New Roman" w:hAnsi="Times New Roman"/>
              </w:rPr>
              <w:t>intersticiáln</w:t>
            </w:r>
            <w:r w:rsidR="00FC7BE9" w:rsidRPr="00F95FB3">
              <w:rPr>
                <w:rFonts w:ascii="Times New Roman" w:hAnsi="Times New Roman"/>
              </w:rPr>
              <w:t>a</w:t>
            </w:r>
            <w:r w:rsidRPr="00F95FB3">
              <w:rPr>
                <w:rFonts w:ascii="Times New Roman" w:hAnsi="Times New Roman"/>
              </w:rPr>
              <w:t xml:space="preserve"> </w:t>
            </w:r>
            <w:r w:rsidR="00FC7BE9" w:rsidRPr="00F95FB3">
              <w:rPr>
                <w:rFonts w:ascii="Times New Roman" w:hAnsi="Times New Roman"/>
              </w:rPr>
              <w:t>choroba</w:t>
            </w:r>
            <w:r w:rsidRPr="00F95FB3">
              <w:rPr>
                <w:rFonts w:ascii="Times New Roman" w:hAnsi="Times New Roman"/>
              </w:rPr>
              <w:t xml:space="preserve"> pľúc </w:t>
            </w:r>
          </w:p>
        </w:tc>
      </w:tr>
      <w:tr w:rsidR="00637884" w:rsidRPr="004E1637" w14:paraId="7CEB5EF3"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010360" w14:textId="77777777"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gastrointestinálneho traktu</w:t>
            </w:r>
          </w:p>
        </w:tc>
      </w:tr>
      <w:tr w:rsidR="00DF4A41" w:rsidRPr="004E1637" w14:paraId="11021E6E"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vAlign w:val="center"/>
          </w:tcPr>
          <w:p w14:paraId="6CA691D3" w14:textId="77777777" w:rsidR="00DF4A41" w:rsidRPr="004E1637" w:rsidRDefault="00DF4A41" w:rsidP="00A55A09">
            <w:pPr>
              <w:pStyle w:val="Default"/>
              <w:rPr>
                <w:sz w:val="22"/>
                <w:szCs w:val="22"/>
              </w:rPr>
            </w:pPr>
            <w:r w:rsidRPr="004E1637">
              <w:rPr>
                <w:i/>
                <w:iCs/>
                <w:sz w:val="22"/>
                <w:szCs w:val="22"/>
              </w:rPr>
              <w:t xml:space="preserve">Veľmi časté </w:t>
            </w:r>
          </w:p>
        </w:tc>
        <w:tc>
          <w:tcPr>
            <w:tcW w:w="7757" w:type="dxa"/>
            <w:tcBorders>
              <w:top w:val="single" w:sz="4" w:space="0" w:color="000000"/>
              <w:left w:val="single" w:sz="4" w:space="0" w:color="000000"/>
              <w:bottom w:val="single" w:sz="4" w:space="0" w:color="000000"/>
              <w:right w:val="single" w:sz="4" w:space="0" w:color="000000"/>
            </w:tcBorders>
            <w:vAlign w:val="center"/>
          </w:tcPr>
          <w:p w14:paraId="4D354E1A" w14:textId="77777777" w:rsidR="00DF4A41" w:rsidRPr="007558B3" w:rsidRDefault="00DF4A41" w:rsidP="00F95FB3">
            <w:pPr>
              <w:spacing w:after="120" w:line="240" w:lineRule="auto"/>
            </w:pPr>
            <w:r w:rsidRPr="00F95FB3">
              <w:rPr>
                <w:rFonts w:ascii="Times New Roman" w:hAnsi="Times New Roman"/>
              </w:rPr>
              <w:t>hnačka, vracanie, nauzea, abdom</w:t>
            </w:r>
            <w:r w:rsidR="00C531F6" w:rsidRPr="00F95FB3">
              <w:rPr>
                <w:rFonts w:ascii="Times New Roman" w:hAnsi="Times New Roman"/>
              </w:rPr>
              <w:t>iná</w:t>
            </w:r>
            <w:r w:rsidRPr="00F95FB3">
              <w:rPr>
                <w:rFonts w:ascii="Times New Roman" w:hAnsi="Times New Roman"/>
              </w:rPr>
              <w:t xml:space="preserve">lna bolesť </w:t>
            </w:r>
          </w:p>
        </w:tc>
      </w:tr>
      <w:tr w:rsidR="00DF4A41" w:rsidRPr="004E1637" w14:paraId="5561E6C3" w14:textId="77777777" w:rsidTr="002A5E20">
        <w:trPr>
          <w:gridAfter w:val="1"/>
          <w:wAfter w:w="360" w:type="dxa"/>
          <w:trHeight w:hRule="exact" w:val="851"/>
        </w:trPr>
        <w:tc>
          <w:tcPr>
            <w:tcW w:w="1648" w:type="dxa"/>
            <w:tcBorders>
              <w:top w:val="single" w:sz="4" w:space="0" w:color="000000"/>
              <w:left w:val="single" w:sz="4" w:space="0" w:color="000000"/>
              <w:bottom w:val="single" w:sz="4" w:space="0" w:color="000000"/>
              <w:right w:val="single" w:sz="4" w:space="0" w:color="000000"/>
            </w:tcBorders>
          </w:tcPr>
          <w:p w14:paraId="1956136B" w14:textId="77777777" w:rsidR="00DF4A41" w:rsidRPr="004E1637" w:rsidRDefault="00DF4A41" w:rsidP="00A55A09">
            <w:pPr>
              <w:pStyle w:val="Default"/>
              <w:rPr>
                <w:sz w:val="22"/>
                <w:szCs w:val="22"/>
              </w:rPr>
            </w:pPr>
            <w:r w:rsidRPr="004E1637">
              <w:rPr>
                <w:i/>
                <w:iCs/>
                <w:sz w:val="22"/>
                <w:szCs w:val="22"/>
              </w:rPr>
              <w:t xml:space="preserve">Časté </w:t>
            </w:r>
          </w:p>
        </w:tc>
        <w:tc>
          <w:tcPr>
            <w:tcW w:w="7757" w:type="dxa"/>
            <w:tcBorders>
              <w:top w:val="single" w:sz="4" w:space="0" w:color="000000"/>
              <w:left w:val="single" w:sz="4" w:space="0" w:color="000000"/>
              <w:bottom w:val="single" w:sz="4" w:space="0" w:color="000000"/>
              <w:right w:val="single" w:sz="4" w:space="0" w:color="000000"/>
            </w:tcBorders>
          </w:tcPr>
          <w:p w14:paraId="16339EDB" w14:textId="77777777" w:rsidR="00DF4A41" w:rsidRPr="007558B3" w:rsidRDefault="00DF4A41" w:rsidP="00F95FB3">
            <w:pPr>
              <w:spacing w:after="120" w:line="240" w:lineRule="auto"/>
            </w:pPr>
            <w:r w:rsidRPr="00F95FB3">
              <w:rPr>
                <w:rFonts w:ascii="Times New Roman" w:hAnsi="Times New Roman"/>
              </w:rPr>
              <w:t xml:space="preserve">gastrointestinálne krvácanie*, kolitída (vrátane neutropenickej kolitídy), gastritída, zápal sliznice (vrátane mukozitídy/stomatitídy), dyspepsia, abdominálna distenzia, zápcha, porucha mäkkého tkaniva v ústach </w:t>
            </w:r>
          </w:p>
        </w:tc>
      </w:tr>
      <w:tr w:rsidR="00DF4A41" w:rsidRPr="004E1637" w14:paraId="6922FF37" w14:textId="77777777" w:rsidTr="002A5E20">
        <w:trPr>
          <w:gridAfter w:val="1"/>
          <w:wAfter w:w="360" w:type="dxa"/>
          <w:trHeight w:val="549"/>
        </w:trPr>
        <w:tc>
          <w:tcPr>
            <w:tcW w:w="1648" w:type="dxa"/>
            <w:tcBorders>
              <w:top w:val="single" w:sz="4" w:space="0" w:color="000000"/>
              <w:left w:val="single" w:sz="4" w:space="0" w:color="000000"/>
              <w:bottom w:val="single" w:sz="4" w:space="0" w:color="000000"/>
              <w:right w:val="single" w:sz="4" w:space="0" w:color="000000"/>
            </w:tcBorders>
          </w:tcPr>
          <w:p w14:paraId="27DEB151" w14:textId="77777777" w:rsidR="00DF4A41" w:rsidRPr="004E1637" w:rsidRDefault="00DF4A41" w:rsidP="00A55A09">
            <w:pPr>
              <w:pStyle w:val="Default"/>
              <w:rPr>
                <w:sz w:val="22"/>
                <w:szCs w:val="22"/>
              </w:rPr>
            </w:pPr>
            <w:r w:rsidRPr="004E1637">
              <w:rPr>
                <w:i/>
                <w:iCs/>
                <w:sz w:val="22"/>
                <w:szCs w:val="22"/>
              </w:rPr>
              <w:t xml:space="preserve">Menej časté </w:t>
            </w:r>
          </w:p>
        </w:tc>
        <w:tc>
          <w:tcPr>
            <w:tcW w:w="7757" w:type="dxa"/>
            <w:tcBorders>
              <w:top w:val="single" w:sz="4" w:space="0" w:color="000000"/>
              <w:left w:val="single" w:sz="4" w:space="0" w:color="000000"/>
              <w:bottom w:val="single" w:sz="4" w:space="0" w:color="000000"/>
              <w:right w:val="single" w:sz="4" w:space="0" w:color="000000"/>
            </w:tcBorders>
          </w:tcPr>
          <w:p w14:paraId="2545282D" w14:textId="22464A27" w:rsidR="00DF4A41" w:rsidRPr="007558B3" w:rsidRDefault="00DF4A41" w:rsidP="00F95FB3">
            <w:pPr>
              <w:spacing w:after="120" w:line="240" w:lineRule="auto"/>
            </w:pPr>
            <w:r w:rsidRPr="00F95FB3">
              <w:rPr>
                <w:rFonts w:ascii="Times New Roman" w:hAnsi="Times New Roman"/>
              </w:rPr>
              <w:t xml:space="preserve">pankreatitída (vrátane akútnej pankreatitídy), </w:t>
            </w:r>
            <w:r w:rsidR="002538DA" w:rsidRPr="00F95FB3">
              <w:rPr>
                <w:rFonts w:ascii="Times New Roman" w:hAnsi="Times New Roman"/>
              </w:rPr>
              <w:t>vred v </w:t>
            </w:r>
            <w:r w:rsidRPr="00F95FB3">
              <w:rPr>
                <w:rFonts w:ascii="Times New Roman" w:hAnsi="Times New Roman"/>
              </w:rPr>
              <w:t>horn</w:t>
            </w:r>
            <w:r w:rsidR="002538DA" w:rsidRPr="00F95FB3">
              <w:rPr>
                <w:rFonts w:ascii="Times New Roman" w:hAnsi="Times New Roman"/>
              </w:rPr>
              <w:t>ej ča</w:t>
            </w:r>
            <w:r w:rsidR="00B813F6" w:rsidRPr="00F95FB3">
              <w:rPr>
                <w:rFonts w:ascii="Times New Roman" w:hAnsi="Times New Roman"/>
              </w:rPr>
              <w:t>s</w:t>
            </w:r>
            <w:r w:rsidR="002538DA" w:rsidRPr="00F95FB3">
              <w:rPr>
                <w:rFonts w:ascii="Times New Roman" w:hAnsi="Times New Roman"/>
              </w:rPr>
              <w:t>ti</w:t>
            </w:r>
            <w:r w:rsidRPr="00F95FB3">
              <w:rPr>
                <w:rFonts w:ascii="Times New Roman" w:hAnsi="Times New Roman"/>
              </w:rPr>
              <w:t xml:space="preserve"> gastrointestináln</w:t>
            </w:r>
            <w:r w:rsidR="002538DA" w:rsidRPr="00F95FB3">
              <w:rPr>
                <w:rFonts w:ascii="Times New Roman" w:hAnsi="Times New Roman"/>
              </w:rPr>
              <w:t>eho</w:t>
            </w:r>
            <w:r w:rsidRPr="00F95FB3">
              <w:rPr>
                <w:rFonts w:ascii="Times New Roman" w:hAnsi="Times New Roman"/>
              </w:rPr>
              <w:t xml:space="preserve"> </w:t>
            </w:r>
            <w:r w:rsidR="002538DA" w:rsidRPr="00F95FB3">
              <w:rPr>
                <w:rFonts w:ascii="Times New Roman" w:hAnsi="Times New Roman"/>
              </w:rPr>
              <w:t>traktu</w:t>
            </w:r>
            <w:r w:rsidRPr="00F95FB3">
              <w:rPr>
                <w:rFonts w:ascii="Times New Roman" w:hAnsi="Times New Roman"/>
              </w:rPr>
              <w:t>, ezofagitída, ascites*, análna fisúra, dysfágia, gastroezo</w:t>
            </w:r>
            <w:r w:rsidR="002538DA" w:rsidRPr="00F95FB3">
              <w:rPr>
                <w:rFonts w:ascii="Times New Roman" w:hAnsi="Times New Roman"/>
              </w:rPr>
              <w:t>fágov</w:t>
            </w:r>
            <w:r w:rsidR="009724D0" w:rsidRPr="00F95FB3">
              <w:rPr>
                <w:rFonts w:ascii="Times New Roman" w:hAnsi="Times New Roman"/>
              </w:rPr>
              <w:t>á</w:t>
            </w:r>
            <w:r w:rsidRPr="00F95FB3">
              <w:rPr>
                <w:rFonts w:ascii="Times New Roman" w:hAnsi="Times New Roman"/>
              </w:rPr>
              <w:t xml:space="preserve"> reflux</w:t>
            </w:r>
            <w:r w:rsidR="009724D0" w:rsidRPr="00F95FB3">
              <w:rPr>
                <w:rFonts w:ascii="Times New Roman" w:hAnsi="Times New Roman"/>
              </w:rPr>
              <w:t>ová</w:t>
            </w:r>
            <w:r w:rsidRPr="00F95FB3">
              <w:rPr>
                <w:rFonts w:ascii="Times New Roman" w:hAnsi="Times New Roman"/>
              </w:rPr>
              <w:t xml:space="preserve"> </w:t>
            </w:r>
            <w:r w:rsidR="009724D0" w:rsidRPr="00F95FB3">
              <w:rPr>
                <w:rFonts w:ascii="Times New Roman" w:hAnsi="Times New Roman"/>
              </w:rPr>
              <w:t xml:space="preserve">choroba </w:t>
            </w:r>
          </w:p>
        </w:tc>
      </w:tr>
      <w:tr w:rsidR="00637884" w:rsidRPr="004E1637" w14:paraId="71688365"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7EA5DC02"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tcPr>
          <w:p w14:paraId="3BF642AC" w14:textId="77777777" w:rsidR="00637884" w:rsidRPr="004E1637" w:rsidRDefault="00DF4A41" w:rsidP="00F95FB3">
            <w:pPr>
              <w:spacing w:after="120" w:line="240" w:lineRule="auto"/>
              <w:rPr>
                <w:rFonts w:ascii="Times New Roman" w:hAnsi="Times New Roman"/>
              </w:rPr>
            </w:pPr>
            <w:r w:rsidRPr="004E1637">
              <w:rPr>
                <w:rFonts w:ascii="Times New Roman" w:hAnsi="Times New Roman"/>
              </w:rPr>
              <w:t>gastroenteropatia zo straty proteínov, ileus, análna fistula</w:t>
            </w:r>
          </w:p>
        </w:tc>
      </w:tr>
      <w:tr w:rsidR="00637884" w:rsidRPr="004E1637" w14:paraId="6AFA392C"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51859B66"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tcPr>
          <w:p w14:paraId="0DA76C81" w14:textId="77777777" w:rsidR="00637884" w:rsidRPr="004E1637" w:rsidRDefault="00DF4A41" w:rsidP="00F95FB3">
            <w:pPr>
              <w:spacing w:after="120" w:line="240" w:lineRule="auto"/>
              <w:rPr>
                <w:rFonts w:ascii="Times New Roman" w:hAnsi="Times New Roman"/>
              </w:rPr>
            </w:pPr>
            <w:r w:rsidRPr="004E1637">
              <w:rPr>
                <w:rFonts w:ascii="Times New Roman" w:hAnsi="Times New Roman"/>
              </w:rPr>
              <w:t>fatálna gastrointestinálna hemorágia</w:t>
            </w:r>
            <w:r w:rsidRPr="00F95FB3">
              <w:rPr>
                <w:rFonts w:ascii="Times New Roman" w:hAnsi="Times New Roman"/>
              </w:rPr>
              <w:t>*</w:t>
            </w:r>
          </w:p>
        </w:tc>
      </w:tr>
      <w:tr w:rsidR="00637884" w:rsidRPr="004E1637" w14:paraId="19B5CE8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70428D" w14:textId="7D97876A" w:rsidR="00637884" w:rsidRPr="004E1637" w:rsidRDefault="00DF4A41" w:rsidP="00A55A09">
            <w:pPr>
              <w:spacing w:after="0" w:line="240" w:lineRule="auto"/>
              <w:rPr>
                <w:rFonts w:ascii="Times New Roman" w:hAnsi="Times New Roman"/>
              </w:rPr>
            </w:pPr>
            <w:r w:rsidRPr="004E1637">
              <w:rPr>
                <w:rFonts w:ascii="Times New Roman" w:hAnsi="Times New Roman"/>
                <w:b/>
                <w:bCs/>
              </w:rPr>
              <w:t>Poruchy pečene a žlčových ciest</w:t>
            </w:r>
          </w:p>
        </w:tc>
      </w:tr>
      <w:tr w:rsidR="00637884" w:rsidRPr="004E1637" w14:paraId="1B267CC5"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EC1BAF5" w14:textId="77777777" w:rsidR="00637884" w:rsidRPr="004E1637" w:rsidRDefault="00DF4A41"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92E2AA3" w14:textId="77777777" w:rsidR="00637884" w:rsidRPr="004E1637" w:rsidRDefault="00DF4A41" w:rsidP="00F95FB3">
            <w:pPr>
              <w:spacing w:after="120" w:line="240" w:lineRule="auto"/>
              <w:rPr>
                <w:rFonts w:ascii="Times New Roman" w:hAnsi="Times New Roman"/>
              </w:rPr>
            </w:pPr>
            <w:r w:rsidRPr="004E1637">
              <w:rPr>
                <w:rFonts w:ascii="Times New Roman" w:hAnsi="Times New Roman"/>
              </w:rPr>
              <w:t>hepatitída, cholecystitída, cholestáza</w:t>
            </w:r>
          </w:p>
        </w:tc>
      </w:tr>
      <w:tr w:rsidR="00637884" w:rsidRPr="004E1637" w14:paraId="7C9BA8CB"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8D44F8"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kože a podkožného tkaniva</w:t>
            </w:r>
          </w:p>
        </w:tc>
      </w:tr>
      <w:tr w:rsidR="00637884" w:rsidRPr="004E1637" w14:paraId="20B0426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AA7779E"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5A4DC9E"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kožná vyrážka</w:t>
            </w:r>
            <w:r w:rsidRPr="004E1637">
              <w:rPr>
                <w:rFonts w:ascii="Times New Roman" w:hAnsi="Times New Roman"/>
                <w:vertAlign w:val="superscript"/>
              </w:rPr>
              <w:t>e</w:t>
            </w:r>
          </w:p>
        </w:tc>
      </w:tr>
      <w:tr w:rsidR="00637884" w:rsidRPr="004E1637" w14:paraId="4491DF96" w14:textId="77777777" w:rsidTr="002A5E20">
        <w:trPr>
          <w:gridAfter w:val="1"/>
          <w:wAfter w:w="360" w:type="dxa"/>
          <w:trHeight w:val="535"/>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4EF9128"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15A0600F"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alopécia, dermatitída (vrátane ekzému), pruritus, akné, suchá koža, urtikária, hyperhidróza</w:t>
            </w:r>
          </w:p>
        </w:tc>
      </w:tr>
      <w:tr w:rsidR="00637884" w:rsidRPr="004E1637" w14:paraId="3C87747F" w14:textId="77777777" w:rsidTr="002A5E20">
        <w:trPr>
          <w:gridAfter w:val="1"/>
          <w:wAfter w:w="360" w:type="dxa"/>
          <w:trHeight w:val="773"/>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B3B69EA"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215B097B" w14:textId="29D2D183" w:rsidR="00637884" w:rsidRPr="004E1637" w:rsidRDefault="00A55A09" w:rsidP="00F95FB3">
            <w:pPr>
              <w:spacing w:after="120" w:line="240" w:lineRule="auto"/>
              <w:rPr>
                <w:rFonts w:ascii="Times New Roman" w:hAnsi="Times New Roman"/>
              </w:rPr>
            </w:pPr>
            <w:r w:rsidRPr="004E1637">
              <w:rPr>
                <w:rFonts w:ascii="Times New Roman" w:hAnsi="Times New Roman"/>
              </w:rPr>
              <w:t xml:space="preserve">neutrofilná dermatóza, fotosenzitivita, porucha pigmentácie, panikulitída, kožný vred, bulózne ochorenia, porucha nechtov, syndróm palmárno-plantárnej erytrodyzestézie, </w:t>
            </w:r>
            <w:r w:rsidR="000D2F5E">
              <w:rPr>
                <w:rFonts w:ascii="Times New Roman" w:hAnsi="Times New Roman"/>
              </w:rPr>
              <w:t>porucha</w:t>
            </w:r>
            <w:r w:rsidRPr="004E1637">
              <w:rPr>
                <w:rFonts w:ascii="Times New Roman" w:hAnsi="Times New Roman"/>
              </w:rPr>
              <w:t xml:space="preserve"> vlasov</w:t>
            </w:r>
          </w:p>
        </w:tc>
      </w:tr>
      <w:tr w:rsidR="00637884" w:rsidRPr="004E1637" w14:paraId="0B450B7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338D0A8C"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4DA719A"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leukocytoklastická vaskulitída, fibróza kože</w:t>
            </w:r>
          </w:p>
        </w:tc>
      </w:tr>
      <w:tr w:rsidR="00637884" w:rsidRPr="004E1637" w14:paraId="719806B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2D6C5D9" w14:textId="77777777" w:rsidR="00637884" w:rsidRPr="004E1637" w:rsidRDefault="00637884" w:rsidP="00A55A09">
            <w:pPr>
              <w:spacing w:after="0" w:line="240" w:lineRule="auto"/>
              <w:rPr>
                <w:rFonts w:ascii="Times New Roman" w:hAnsi="Times New Roman"/>
              </w:rPr>
            </w:pPr>
            <w:r w:rsidRPr="004E1637">
              <w:rPr>
                <w:rFonts w:ascii="Times New Roman" w:hAnsi="Times New Roman"/>
                <w:i/>
              </w:rPr>
              <w:t>N</w:t>
            </w:r>
            <w:r w:rsidR="00A55A09" w:rsidRPr="004E1637">
              <w:rPr>
                <w:rFonts w:ascii="Times New Roman" w:hAnsi="Times New Roman"/>
                <w:i/>
              </w:rPr>
              <w:t>eznáme</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3471174F"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Stevensov-Johnsonov syndróm</w:t>
            </w:r>
            <w:r w:rsidRPr="004E1637">
              <w:rPr>
                <w:rFonts w:ascii="Times New Roman" w:hAnsi="Times New Roman"/>
                <w:vertAlign w:val="superscript"/>
              </w:rPr>
              <w:t>f</w:t>
            </w:r>
          </w:p>
        </w:tc>
      </w:tr>
      <w:tr w:rsidR="00637884" w:rsidRPr="004E1637" w14:paraId="7ED8F822" w14:textId="77777777" w:rsidTr="002A5E20">
        <w:trPr>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478714"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kostrovej a svalovej sústavy a spojivového tkaniva</w:t>
            </w:r>
          </w:p>
        </w:tc>
        <w:tc>
          <w:tcPr>
            <w:tcW w:w="360" w:type="dxa"/>
          </w:tcPr>
          <w:p w14:paraId="03160560" w14:textId="17BC4DC2" w:rsidR="00637884" w:rsidRPr="004E1637" w:rsidRDefault="00637884">
            <w:pPr>
              <w:rPr>
                <w:rFonts w:ascii="Times New Roman" w:hAnsi="Times New Roman"/>
              </w:rPr>
            </w:pPr>
          </w:p>
        </w:tc>
      </w:tr>
      <w:tr w:rsidR="00A55A09" w:rsidRPr="004E1637" w14:paraId="129195F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4B41C66"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6CB2631F" w14:textId="3E009709" w:rsidR="00A55A09" w:rsidRPr="004E1637" w:rsidRDefault="00A55A09" w:rsidP="00F95FB3">
            <w:pPr>
              <w:spacing w:after="120" w:line="240" w:lineRule="auto"/>
              <w:rPr>
                <w:rFonts w:ascii="Times New Roman" w:hAnsi="Times New Roman"/>
              </w:rPr>
            </w:pPr>
            <w:r w:rsidRPr="004E1637">
              <w:rPr>
                <w:rFonts w:ascii="Times New Roman" w:hAnsi="Times New Roman"/>
                <w:spacing w:val="-2"/>
              </w:rPr>
              <w:t>muskuloskeletálna bolesť</w:t>
            </w:r>
            <w:r w:rsidR="002A356C" w:rsidRPr="002A356C">
              <w:rPr>
                <w:rFonts w:ascii="Times New Roman" w:hAnsi="Times New Roman"/>
                <w:spacing w:val="-2"/>
                <w:vertAlign w:val="superscript"/>
              </w:rPr>
              <w:t>g</w:t>
            </w:r>
          </w:p>
        </w:tc>
      </w:tr>
      <w:tr w:rsidR="00A55A09" w:rsidRPr="004E1637" w14:paraId="6068006F"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6323E27"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08744D3" w14:textId="77777777" w:rsidR="00A55A09" w:rsidRPr="004E1637" w:rsidRDefault="00A55A09" w:rsidP="00F95FB3">
            <w:pPr>
              <w:spacing w:after="120" w:line="240" w:lineRule="auto"/>
              <w:rPr>
                <w:rFonts w:ascii="Times New Roman" w:hAnsi="Times New Roman"/>
              </w:rPr>
            </w:pPr>
            <w:r w:rsidRPr="004E1637">
              <w:rPr>
                <w:rFonts w:ascii="Times New Roman" w:hAnsi="Times New Roman"/>
              </w:rPr>
              <w:t>artralgia, myalgia, svalová slabosť, muskuloskeletálna stuhnutosť, svalový kŕč</w:t>
            </w:r>
          </w:p>
        </w:tc>
      </w:tr>
      <w:tr w:rsidR="00A55A09" w:rsidRPr="004E1637" w14:paraId="1D421F0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10E57B7E"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EBF558F" w14:textId="77777777" w:rsidR="00A55A09" w:rsidRPr="004E1637" w:rsidRDefault="00A55A09" w:rsidP="00F95FB3">
            <w:pPr>
              <w:spacing w:after="120" w:line="240" w:lineRule="auto"/>
              <w:rPr>
                <w:rFonts w:ascii="Times New Roman" w:hAnsi="Times New Roman"/>
              </w:rPr>
            </w:pPr>
            <w:r w:rsidRPr="004E1637">
              <w:rPr>
                <w:rFonts w:ascii="Times New Roman" w:hAnsi="Times New Roman"/>
              </w:rPr>
              <w:t>rabdomyolýza, osteonekróza, svalový zápal, tendonitída, artritída</w:t>
            </w:r>
          </w:p>
        </w:tc>
      </w:tr>
      <w:tr w:rsidR="00A55A09" w:rsidRPr="004E1637" w14:paraId="02131D3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0CADEFDF" w14:textId="77777777" w:rsidR="00A55A09"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7D7EFB1" w14:textId="73263737" w:rsidR="00A55A09" w:rsidRPr="004E1637" w:rsidRDefault="00A55A09" w:rsidP="00F95FB3">
            <w:pPr>
              <w:spacing w:after="120" w:line="240" w:lineRule="auto"/>
              <w:rPr>
                <w:rFonts w:ascii="Times New Roman" w:hAnsi="Times New Roman"/>
              </w:rPr>
            </w:pPr>
            <w:r w:rsidRPr="004E1637">
              <w:rPr>
                <w:rFonts w:ascii="Times New Roman" w:hAnsi="Times New Roman"/>
              </w:rPr>
              <w:t>oneskorená fúzia epifýz</w:t>
            </w:r>
            <w:r w:rsidR="002A356C" w:rsidRPr="002A356C">
              <w:rPr>
                <w:rFonts w:ascii="Times New Roman" w:hAnsi="Times New Roman"/>
                <w:vertAlign w:val="superscript"/>
              </w:rPr>
              <w:t>h</w:t>
            </w:r>
            <w:r w:rsidRPr="004E1637">
              <w:rPr>
                <w:rFonts w:ascii="Times New Roman" w:hAnsi="Times New Roman"/>
              </w:rPr>
              <w:t>, spomalenie rastu</w:t>
            </w:r>
            <w:r w:rsidR="002A356C">
              <w:rPr>
                <w:rFonts w:ascii="Times New Roman" w:hAnsi="Times New Roman"/>
                <w:vertAlign w:val="superscript"/>
              </w:rPr>
              <w:t>h</w:t>
            </w:r>
          </w:p>
        </w:tc>
      </w:tr>
      <w:tr w:rsidR="00637884" w:rsidRPr="004E1637" w14:paraId="48EE162D"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5383A5"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obličiek a močových ciest</w:t>
            </w:r>
          </w:p>
        </w:tc>
      </w:tr>
      <w:tr w:rsidR="00637884" w:rsidRPr="004E1637" w14:paraId="2A8F264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0D5A6E5"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F708445"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poruchy funkcie obličiek (vrátane renálneho zlyhania), časté močenie, proteinúria</w:t>
            </w:r>
          </w:p>
        </w:tc>
      </w:tr>
      <w:tr w:rsidR="00637884" w:rsidRPr="004E1637" w14:paraId="0663D7C9"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0BB67A0" w14:textId="77777777" w:rsidR="00637884" w:rsidRPr="004E1637" w:rsidRDefault="00A55A09" w:rsidP="00A55A09">
            <w:pPr>
              <w:spacing w:after="0" w:line="240" w:lineRule="auto"/>
              <w:rPr>
                <w:rFonts w:ascii="Times New Roman" w:hAnsi="Times New Roman"/>
                <w:i/>
              </w:rPr>
            </w:pPr>
            <w:r w:rsidRPr="004E1637">
              <w:rPr>
                <w:rFonts w:ascii="Times New Roman" w:hAnsi="Times New Roman"/>
                <w:i/>
              </w:rPr>
              <w:t>Neznáme</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0834110"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nefrotický syndróm</w:t>
            </w:r>
          </w:p>
        </w:tc>
      </w:tr>
      <w:tr w:rsidR="00637884" w:rsidRPr="004E1637" w14:paraId="77DC3419"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59ECBF"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Stavy v gravidite, v šestonedelí a perinatálnom období</w:t>
            </w:r>
          </w:p>
        </w:tc>
      </w:tr>
      <w:tr w:rsidR="00637884" w:rsidRPr="004E1637" w14:paraId="1C67C291"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5C7A5AE"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672BF520"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potrat</w:t>
            </w:r>
          </w:p>
        </w:tc>
      </w:tr>
      <w:tr w:rsidR="00637884" w:rsidRPr="004E1637" w14:paraId="380A384F"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9FE467"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Poruchy reprodukčného systému a prsníkov</w:t>
            </w:r>
          </w:p>
        </w:tc>
      </w:tr>
      <w:tr w:rsidR="00637884" w:rsidRPr="004E1637" w14:paraId="313E773D"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7B1EEFF5" w14:textId="77777777" w:rsidR="00637884" w:rsidRPr="004E1637" w:rsidRDefault="00A55A09" w:rsidP="00A55A09">
            <w:pPr>
              <w:spacing w:after="0" w:line="240" w:lineRule="auto"/>
              <w:rPr>
                <w:rFonts w:ascii="Times New Roman" w:hAnsi="Times New Roman"/>
                <w:i/>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tcPr>
          <w:p w14:paraId="6CE89239"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gynekomastia, porucha menštruácie</w:t>
            </w:r>
          </w:p>
        </w:tc>
      </w:tr>
      <w:tr w:rsidR="00637884" w:rsidRPr="004E1637" w14:paraId="2D0185BF" w14:textId="77777777" w:rsidTr="002A5E20">
        <w:trPr>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71339B"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Celkové poruchy a reakcie v mieste podania</w:t>
            </w:r>
          </w:p>
        </w:tc>
        <w:tc>
          <w:tcPr>
            <w:tcW w:w="360" w:type="dxa"/>
          </w:tcPr>
          <w:p w14:paraId="45D58FFC" w14:textId="2DFFC3AD" w:rsidR="00637884" w:rsidRPr="004E1637" w:rsidRDefault="00637884">
            <w:pPr>
              <w:rPr>
                <w:rFonts w:ascii="Times New Roman" w:hAnsi="Times New Roman"/>
              </w:rPr>
            </w:pPr>
          </w:p>
        </w:tc>
      </w:tr>
      <w:tr w:rsidR="00637884" w:rsidRPr="004E1637" w14:paraId="4146E8BE"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2E74CA01"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Veľmi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1764521" w14:textId="4F2EDCC8" w:rsidR="00637884" w:rsidRPr="004E1637" w:rsidRDefault="00A55A09" w:rsidP="00F95FB3">
            <w:pPr>
              <w:spacing w:after="120" w:line="240" w:lineRule="auto"/>
              <w:rPr>
                <w:rFonts w:ascii="Times New Roman" w:hAnsi="Times New Roman"/>
              </w:rPr>
            </w:pPr>
            <w:r w:rsidRPr="004E1637">
              <w:rPr>
                <w:rFonts w:ascii="Times New Roman" w:hAnsi="Times New Roman"/>
              </w:rPr>
              <w:t>periférny edém</w:t>
            </w:r>
            <w:r w:rsidR="002A356C">
              <w:rPr>
                <w:rFonts w:ascii="Times New Roman" w:hAnsi="Times New Roman"/>
                <w:vertAlign w:val="superscript"/>
              </w:rPr>
              <w:t>i</w:t>
            </w:r>
            <w:r w:rsidRPr="004E1637">
              <w:rPr>
                <w:rFonts w:ascii="Times New Roman" w:hAnsi="Times New Roman"/>
              </w:rPr>
              <w:t>, únava, pyrexia, edém tváre</w:t>
            </w:r>
            <w:r w:rsidR="002A356C">
              <w:rPr>
                <w:rFonts w:ascii="Times New Roman" w:hAnsi="Times New Roman"/>
                <w:vertAlign w:val="superscript"/>
              </w:rPr>
              <w:t>j</w:t>
            </w:r>
          </w:p>
        </w:tc>
      </w:tr>
      <w:tr w:rsidR="00637884" w:rsidRPr="004E1637" w14:paraId="7836FBFA"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585B8E20"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B6837F1" w14:textId="3BA3DBB3" w:rsidR="00637884" w:rsidRPr="004E1637" w:rsidRDefault="00A55A09" w:rsidP="00F95FB3">
            <w:pPr>
              <w:spacing w:after="120" w:line="240" w:lineRule="auto"/>
              <w:rPr>
                <w:rFonts w:ascii="Times New Roman" w:hAnsi="Times New Roman"/>
              </w:rPr>
            </w:pPr>
            <w:r w:rsidRPr="004E1637">
              <w:rPr>
                <w:rFonts w:ascii="Times New Roman" w:hAnsi="Times New Roman"/>
              </w:rPr>
              <w:t>asténia, bolesť, bolesť na hrudi, generalizovaný edém</w:t>
            </w:r>
            <w:r w:rsidRPr="004E1637">
              <w:rPr>
                <w:rFonts w:ascii="Times New Roman" w:hAnsi="Times New Roman"/>
                <w:vertAlign w:val="superscript"/>
              </w:rPr>
              <w:t>*</w:t>
            </w:r>
            <w:r w:rsidR="002A356C">
              <w:rPr>
                <w:rFonts w:ascii="Times New Roman" w:hAnsi="Times New Roman"/>
                <w:vertAlign w:val="superscript"/>
              </w:rPr>
              <w:t>k</w:t>
            </w:r>
            <w:r w:rsidRPr="004E1637">
              <w:rPr>
                <w:rFonts w:ascii="Times New Roman" w:hAnsi="Times New Roman"/>
              </w:rPr>
              <w:t>, zimnica</w:t>
            </w:r>
          </w:p>
        </w:tc>
      </w:tr>
      <w:tr w:rsidR="00637884" w:rsidRPr="004E1637" w14:paraId="3B37F15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06DA772"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39BDA38B" w14:textId="7365BEF6" w:rsidR="00637884" w:rsidRPr="004E1637" w:rsidRDefault="00064D83" w:rsidP="00F95FB3">
            <w:pPr>
              <w:spacing w:after="120" w:line="240" w:lineRule="auto"/>
              <w:rPr>
                <w:rFonts w:ascii="Times New Roman" w:hAnsi="Times New Roman"/>
              </w:rPr>
            </w:pPr>
            <w:r>
              <w:rPr>
                <w:rFonts w:ascii="Times New Roman" w:hAnsi="Times New Roman"/>
              </w:rPr>
              <w:t>celkový pocit choroby</w:t>
            </w:r>
            <w:r w:rsidR="00A55A09" w:rsidRPr="004E1637">
              <w:rPr>
                <w:rFonts w:ascii="Times New Roman" w:hAnsi="Times New Roman"/>
              </w:rPr>
              <w:t>, iný povrchový edém</w:t>
            </w:r>
            <w:r w:rsidR="002A356C">
              <w:rPr>
                <w:rFonts w:ascii="Times New Roman" w:hAnsi="Times New Roman"/>
                <w:vertAlign w:val="superscript"/>
              </w:rPr>
              <w:t>l</w:t>
            </w:r>
          </w:p>
        </w:tc>
      </w:tr>
      <w:tr w:rsidR="00637884" w:rsidRPr="004E1637" w14:paraId="470406CC"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6C31D138"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Zriedkavé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4E3449E7"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porucha chôdze</w:t>
            </w:r>
          </w:p>
        </w:tc>
      </w:tr>
      <w:tr w:rsidR="00637884" w:rsidRPr="004E1637" w14:paraId="212AA88C"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859ED3"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lastRenderedPageBreak/>
              <w:t>Laboratórne a funkčné vyšetrenia</w:t>
            </w:r>
          </w:p>
        </w:tc>
      </w:tr>
      <w:tr w:rsidR="00637884" w:rsidRPr="004E1637" w14:paraId="7EC7AE54"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7C90B68F"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56B87E07"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zníženie telesnej hmotnosti, zvýšenie telesnej hmotnosti</w:t>
            </w:r>
          </w:p>
        </w:tc>
      </w:tr>
      <w:tr w:rsidR="00637884" w:rsidRPr="004E1637" w14:paraId="51464EC9"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shd w:val="clear" w:color="auto" w:fill="FFFFFF"/>
          </w:tcPr>
          <w:p w14:paraId="4D77B9E9"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Menej časté</w:t>
            </w:r>
          </w:p>
        </w:tc>
        <w:tc>
          <w:tcPr>
            <w:tcW w:w="7757" w:type="dxa"/>
            <w:tcBorders>
              <w:top w:val="single" w:sz="4" w:space="0" w:color="000000"/>
              <w:left w:val="single" w:sz="4" w:space="0" w:color="000000"/>
              <w:bottom w:val="single" w:sz="4" w:space="0" w:color="000000"/>
              <w:right w:val="single" w:sz="4" w:space="0" w:color="000000"/>
            </w:tcBorders>
            <w:shd w:val="clear" w:color="auto" w:fill="FFFFFF"/>
          </w:tcPr>
          <w:p w14:paraId="052400FB"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zvýšenie kreatínfosfokinázy v krvi, zvýšenie gama-glutamyltransferázy</w:t>
            </w:r>
          </w:p>
        </w:tc>
      </w:tr>
      <w:tr w:rsidR="00637884" w:rsidRPr="004E1637" w14:paraId="45CD4F4C" w14:textId="77777777" w:rsidTr="002A5E20">
        <w:trPr>
          <w:gridAfter w:val="1"/>
          <w:wAfter w:w="360" w:type="dxa"/>
          <w:trHeight w:hRule="exact" w:val="312"/>
        </w:trPr>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49584D" w14:textId="77777777" w:rsidR="00637884" w:rsidRPr="004E1637" w:rsidRDefault="00A55A09" w:rsidP="00A55A09">
            <w:pPr>
              <w:spacing w:after="0" w:line="240" w:lineRule="auto"/>
              <w:rPr>
                <w:rFonts w:ascii="Times New Roman" w:hAnsi="Times New Roman"/>
              </w:rPr>
            </w:pPr>
            <w:r w:rsidRPr="004E1637">
              <w:rPr>
                <w:rFonts w:ascii="Times New Roman" w:hAnsi="Times New Roman"/>
                <w:b/>
                <w:bCs/>
              </w:rPr>
              <w:t>Úrazy, otravy a komplikácie liečebného postupu</w:t>
            </w:r>
          </w:p>
        </w:tc>
      </w:tr>
      <w:tr w:rsidR="00637884" w:rsidRPr="004E1637" w14:paraId="689234F3" w14:textId="77777777" w:rsidTr="002A5E20">
        <w:trPr>
          <w:gridAfter w:val="1"/>
          <w:wAfter w:w="360" w:type="dxa"/>
          <w:trHeight w:hRule="exact" w:val="312"/>
        </w:trPr>
        <w:tc>
          <w:tcPr>
            <w:tcW w:w="1648" w:type="dxa"/>
            <w:tcBorders>
              <w:top w:val="single" w:sz="4" w:space="0" w:color="000000"/>
              <w:left w:val="single" w:sz="4" w:space="0" w:color="000000"/>
              <w:bottom w:val="single" w:sz="4" w:space="0" w:color="000000"/>
              <w:right w:val="single" w:sz="4" w:space="0" w:color="000000"/>
            </w:tcBorders>
          </w:tcPr>
          <w:p w14:paraId="706801D4" w14:textId="77777777" w:rsidR="00637884" w:rsidRPr="004E1637" w:rsidRDefault="00A55A09" w:rsidP="00A55A09">
            <w:pPr>
              <w:spacing w:after="0" w:line="240" w:lineRule="auto"/>
              <w:rPr>
                <w:rFonts w:ascii="Times New Roman" w:hAnsi="Times New Roman"/>
              </w:rPr>
            </w:pPr>
            <w:r w:rsidRPr="004E1637">
              <w:rPr>
                <w:rFonts w:ascii="Times New Roman" w:hAnsi="Times New Roman"/>
                <w:i/>
              </w:rPr>
              <w:t>Časté</w:t>
            </w:r>
          </w:p>
        </w:tc>
        <w:tc>
          <w:tcPr>
            <w:tcW w:w="7757" w:type="dxa"/>
            <w:tcBorders>
              <w:top w:val="single" w:sz="4" w:space="0" w:color="000000"/>
              <w:left w:val="single" w:sz="4" w:space="0" w:color="000000"/>
              <w:bottom w:val="single" w:sz="4" w:space="0" w:color="000000"/>
              <w:right w:val="single" w:sz="4" w:space="0" w:color="000000"/>
            </w:tcBorders>
          </w:tcPr>
          <w:p w14:paraId="611B1F72" w14:textId="77777777" w:rsidR="00637884" w:rsidRPr="004E1637" w:rsidRDefault="00A55A09" w:rsidP="00F95FB3">
            <w:pPr>
              <w:spacing w:after="120" w:line="240" w:lineRule="auto"/>
              <w:rPr>
                <w:rFonts w:ascii="Times New Roman" w:hAnsi="Times New Roman"/>
              </w:rPr>
            </w:pPr>
            <w:r w:rsidRPr="004E1637">
              <w:rPr>
                <w:rFonts w:ascii="Times New Roman" w:hAnsi="Times New Roman"/>
              </w:rPr>
              <w:t>kontúzia</w:t>
            </w:r>
          </w:p>
        </w:tc>
      </w:tr>
    </w:tbl>
    <w:bookmarkEnd w:id="1"/>
    <w:p w14:paraId="4C0634A1" w14:textId="77777777" w:rsidR="004C7DF7" w:rsidRPr="004E1637" w:rsidRDefault="004C7DF7" w:rsidP="004C7DF7">
      <w:pPr>
        <w:pStyle w:val="Default"/>
        <w:ind w:left="426" w:hanging="284"/>
        <w:rPr>
          <w:color w:val="auto"/>
          <w:sz w:val="18"/>
          <w:szCs w:val="18"/>
        </w:rPr>
      </w:pPr>
      <w:r w:rsidRPr="004E1637">
        <w:rPr>
          <w:color w:val="auto"/>
          <w:sz w:val="18"/>
          <w:szCs w:val="18"/>
          <w:vertAlign w:val="superscript"/>
        </w:rPr>
        <w:t>a</w:t>
      </w:r>
      <w:r w:rsidRPr="004E1637">
        <w:rPr>
          <w:color w:val="auto"/>
          <w:sz w:val="18"/>
          <w:szCs w:val="18"/>
        </w:rPr>
        <w:tab/>
        <w:t xml:space="preserve">Zahŕňa zníženú chuť do jedla, predčasnú sýtosť, zvýšenú chuť do jedla. </w:t>
      </w:r>
    </w:p>
    <w:p w14:paraId="251DE2FA" w14:textId="77777777" w:rsidR="002A5E20" w:rsidRPr="003A3373" w:rsidRDefault="004C7DF7" w:rsidP="004C7DF7">
      <w:pPr>
        <w:pStyle w:val="Default"/>
        <w:ind w:left="426" w:hanging="284"/>
        <w:rPr>
          <w:color w:val="auto"/>
          <w:sz w:val="18"/>
          <w:szCs w:val="18"/>
        </w:rPr>
      </w:pPr>
      <w:r w:rsidRPr="004E1637">
        <w:rPr>
          <w:color w:val="auto"/>
          <w:sz w:val="18"/>
          <w:szCs w:val="18"/>
          <w:vertAlign w:val="superscript"/>
        </w:rPr>
        <w:t>b</w:t>
      </w:r>
      <w:r w:rsidRPr="004E1637">
        <w:rPr>
          <w:color w:val="auto"/>
          <w:sz w:val="18"/>
          <w:szCs w:val="18"/>
        </w:rPr>
        <w:tab/>
        <w:t xml:space="preserve">Zahŕňa krvácanie do centrálneho nervového systému, cerebrálny hematóm, cerebrálne krvácanie, extradurálny hematóm, intrakraniálne krvácanie, hemoragickú cievnu mozgovú príhodu, subarachnoidálne krvácanie, subdurálny hematóm a </w:t>
      </w:r>
      <w:r w:rsidRPr="003A3373">
        <w:rPr>
          <w:color w:val="auto"/>
          <w:sz w:val="18"/>
          <w:szCs w:val="18"/>
        </w:rPr>
        <w:t xml:space="preserve">subdurálne krvácanie. </w:t>
      </w:r>
    </w:p>
    <w:p w14:paraId="0699462C" w14:textId="77777777" w:rsidR="002A5E20" w:rsidRPr="004E1637" w:rsidRDefault="004C7DF7" w:rsidP="004C7DF7">
      <w:pPr>
        <w:pStyle w:val="Default"/>
        <w:ind w:left="426" w:hanging="284"/>
        <w:rPr>
          <w:color w:val="auto"/>
          <w:sz w:val="18"/>
          <w:szCs w:val="18"/>
        </w:rPr>
      </w:pPr>
      <w:r w:rsidRPr="003A3373">
        <w:rPr>
          <w:color w:val="auto"/>
          <w:sz w:val="18"/>
          <w:szCs w:val="18"/>
          <w:vertAlign w:val="superscript"/>
        </w:rPr>
        <w:t>c</w:t>
      </w:r>
      <w:r w:rsidR="002A5E20" w:rsidRPr="003A3373">
        <w:rPr>
          <w:color w:val="auto"/>
          <w:sz w:val="18"/>
          <w:szCs w:val="18"/>
          <w:vertAlign w:val="superscript"/>
        </w:rPr>
        <w:tab/>
      </w:r>
      <w:r w:rsidRPr="003A3373">
        <w:rPr>
          <w:color w:val="auto"/>
          <w:sz w:val="18"/>
          <w:szCs w:val="18"/>
        </w:rPr>
        <w:t>Zahŕňa zvýšený mozgový natriuretický peptid</w:t>
      </w:r>
      <w:r w:rsidRPr="004E1637">
        <w:rPr>
          <w:color w:val="auto"/>
          <w:sz w:val="18"/>
          <w:szCs w:val="18"/>
        </w:rPr>
        <w:t xml:space="preserve">, ventrikulárnu dysfunkciu, dysfunkciu ľavej komory, dysfunkciu pravej komory, srdcové zlyhanie, akútne srdcové zlyhanie, chronické srdcové zlyhanie, kongestívne srdcové zlyhanie, kardiomyopatiu, kongestívnu kardiomyopatiu, diastolickú dysfunkciu, zníženú ejekčnú frakciu a ventrikulárne zlyhanie, zlyhanie ľavej komory, zlyhanie pravej komory a ventrikulárnu hypokinézu. </w:t>
      </w:r>
    </w:p>
    <w:p w14:paraId="4125C60C"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d</w:t>
      </w:r>
      <w:r w:rsidR="002A5E20" w:rsidRPr="004E1637">
        <w:rPr>
          <w:color w:val="auto"/>
          <w:sz w:val="18"/>
          <w:szCs w:val="18"/>
          <w:vertAlign w:val="superscript"/>
        </w:rPr>
        <w:tab/>
      </w:r>
      <w:r w:rsidRPr="004E1637">
        <w:rPr>
          <w:color w:val="auto"/>
          <w:sz w:val="18"/>
          <w:szCs w:val="18"/>
        </w:rPr>
        <w:t>Okrem gastrointestinálneho krvácania a krvácania do CNS; tieto nežiaduce reakcie sú hlásené pod triedou orgánového systému poruchy gastrointestinálneho traktu alebo pod triedou orgánového systému poruchy nervového systému</w:t>
      </w:r>
      <w:r w:rsidR="00452A2E">
        <w:rPr>
          <w:color w:val="auto"/>
          <w:sz w:val="18"/>
          <w:szCs w:val="18"/>
        </w:rPr>
        <w:t>, v uvedenom poradí</w:t>
      </w:r>
      <w:r w:rsidRPr="004E1637">
        <w:rPr>
          <w:color w:val="auto"/>
          <w:sz w:val="18"/>
          <w:szCs w:val="18"/>
        </w:rPr>
        <w:t xml:space="preserve">. </w:t>
      </w:r>
    </w:p>
    <w:p w14:paraId="612B9FD0" w14:textId="2C3E5324" w:rsidR="002A5E20" w:rsidRPr="004E1637" w:rsidRDefault="002A5E20" w:rsidP="004C7DF7">
      <w:pPr>
        <w:pStyle w:val="Default"/>
        <w:ind w:left="426" w:hanging="284"/>
        <w:rPr>
          <w:color w:val="auto"/>
          <w:sz w:val="18"/>
          <w:szCs w:val="18"/>
        </w:rPr>
      </w:pPr>
      <w:r w:rsidRPr="004E1637">
        <w:rPr>
          <w:color w:val="auto"/>
          <w:sz w:val="18"/>
          <w:szCs w:val="18"/>
          <w:vertAlign w:val="superscript"/>
        </w:rPr>
        <w:t>e</w:t>
      </w:r>
      <w:r w:rsidRPr="004E1637">
        <w:rPr>
          <w:color w:val="auto"/>
          <w:sz w:val="18"/>
          <w:szCs w:val="18"/>
        </w:rPr>
        <w:tab/>
      </w:r>
      <w:r w:rsidR="004C7DF7" w:rsidRPr="004E1637">
        <w:rPr>
          <w:color w:val="auto"/>
          <w:sz w:val="18"/>
          <w:szCs w:val="18"/>
        </w:rPr>
        <w:t xml:space="preserve">Zahŕňa liekovú erupciu, erytém, multiformný erytém, erytrózu, exfoliatívnu vyrážku, generalizovaný erytém, genitálnu vyrážku, </w:t>
      </w:r>
      <w:r w:rsidR="003459A2">
        <w:rPr>
          <w:color w:val="auto"/>
          <w:sz w:val="18"/>
          <w:szCs w:val="18"/>
        </w:rPr>
        <w:t>vyrážky z tepla</w:t>
      </w:r>
      <w:r w:rsidR="004C7DF7" w:rsidRPr="004E1637">
        <w:rPr>
          <w:color w:val="auto"/>
          <w:sz w:val="18"/>
          <w:szCs w:val="18"/>
        </w:rPr>
        <w:t xml:space="preserve">, milie, </w:t>
      </w:r>
      <w:r w:rsidR="003459A2">
        <w:rPr>
          <w:color w:val="auto"/>
          <w:sz w:val="18"/>
          <w:szCs w:val="18"/>
        </w:rPr>
        <w:t>potničky</w:t>
      </w:r>
      <w:r w:rsidR="004C7DF7" w:rsidRPr="004E1637">
        <w:rPr>
          <w:color w:val="auto"/>
          <w:sz w:val="18"/>
          <w:szCs w:val="18"/>
        </w:rPr>
        <w:t xml:space="preserve">, pustulárnu psoriázu, vyrážku, erytematóznu vyrážku, folikulárnu vyrážku, generalizovanú vyrážku, makulárnu vyrážku, makulo-papulárnu vyrážku, papulárnu vyrážku, pruritickú vyrážku, pustulárnu vyrážku, vezikulárnu vyrážku, kožnú exfoliáciu, kožné podráždenie, toxickú kožnú erupciu, vezikulóznu urtikáriu a vaskulitickú vyrážku. </w:t>
      </w:r>
    </w:p>
    <w:p w14:paraId="619EC627" w14:textId="77777777" w:rsidR="002A5E20" w:rsidRPr="004E1637" w:rsidRDefault="004C7DF7" w:rsidP="004C7DF7">
      <w:pPr>
        <w:pStyle w:val="Default"/>
        <w:ind w:left="426" w:hanging="284"/>
        <w:rPr>
          <w:color w:val="auto"/>
          <w:sz w:val="18"/>
          <w:szCs w:val="18"/>
        </w:rPr>
      </w:pPr>
      <w:r w:rsidRPr="004E1637">
        <w:rPr>
          <w:color w:val="auto"/>
          <w:sz w:val="18"/>
          <w:szCs w:val="18"/>
          <w:vertAlign w:val="superscript"/>
        </w:rPr>
        <w:t>f</w:t>
      </w:r>
      <w:r w:rsidR="002A5E20" w:rsidRPr="004E1637">
        <w:rPr>
          <w:color w:val="auto"/>
          <w:sz w:val="18"/>
          <w:szCs w:val="18"/>
        </w:rPr>
        <w:tab/>
      </w:r>
      <w:r w:rsidRPr="004E1637">
        <w:rPr>
          <w:color w:val="auto"/>
          <w:sz w:val="18"/>
          <w:szCs w:val="18"/>
        </w:rPr>
        <w:t>Po uvedení lieku na trh sa hlásili jednotlivé prípady Stevensovho-Johnsonovho syndrómu. Nebolo možné určiť, či tieto mukokutánne nežiaduce reakcie priamo súviseli s</w:t>
      </w:r>
      <w:r w:rsidR="002A5E20" w:rsidRPr="004E1637">
        <w:rPr>
          <w:color w:val="auto"/>
          <w:sz w:val="18"/>
          <w:szCs w:val="18"/>
        </w:rPr>
        <w:t xml:space="preserve"> dasatinibom</w:t>
      </w:r>
      <w:r w:rsidRPr="004E1637">
        <w:rPr>
          <w:color w:val="auto"/>
          <w:sz w:val="18"/>
          <w:szCs w:val="18"/>
        </w:rPr>
        <w:t xml:space="preserve"> alebo so súbežne podávaným liekom. </w:t>
      </w:r>
    </w:p>
    <w:p w14:paraId="63977137" w14:textId="3D2FBB6B" w:rsidR="00F420E3" w:rsidRPr="00F420E3" w:rsidRDefault="004C7DF7" w:rsidP="004C7DF7">
      <w:pPr>
        <w:pStyle w:val="Default"/>
        <w:ind w:left="426" w:hanging="284"/>
        <w:rPr>
          <w:color w:val="auto"/>
          <w:sz w:val="18"/>
          <w:szCs w:val="18"/>
        </w:rPr>
      </w:pPr>
      <w:r w:rsidRPr="004E1637">
        <w:rPr>
          <w:color w:val="auto"/>
          <w:sz w:val="18"/>
          <w:szCs w:val="18"/>
          <w:vertAlign w:val="superscript"/>
        </w:rPr>
        <w:t>g</w:t>
      </w:r>
      <w:r w:rsidR="002A5E20" w:rsidRPr="004E1637">
        <w:rPr>
          <w:color w:val="auto"/>
          <w:sz w:val="18"/>
          <w:szCs w:val="18"/>
          <w:vertAlign w:val="superscript"/>
        </w:rPr>
        <w:tab/>
      </w:r>
      <w:r w:rsidR="00F420E3">
        <w:rPr>
          <w:color w:val="auto"/>
          <w:sz w:val="18"/>
          <w:szCs w:val="18"/>
        </w:rPr>
        <w:t>Muskuloskeletálna bolesť hlásená počas alebo po ukončení liečby.</w:t>
      </w:r>
    </w:p>
    <w:p w14:paraId="2324ACF9" w14:textId="7A486305" w:rsidR="002A5E20" w:rsidRPr="004E1637" w:rsidRDefault="00F420E3" w:rsidP="00F420E3">
      <w:pPr>
        <w:pStyle w:val="Default"/>
        <w:rPr>
          <w:color w:val="auto"/>
          <w:sz w:val="18"/>
          <w:szCs w:val="18"/>
        </w:rPr>
      </w:pPr>
      <w:r>
        <w:rPr>
          <w:color w:val="auto"/>
          <w:sz w:val="18"/>
          <w:szCs w:val="18"/>
          <w:vertAlign w:val="superscript"/>
        </w:rPr>
        <w:t xml:space="preserve">   </w:t>
      </w:r>
      <w:r w:rsidRPr="004E1637">
        <w:rPr>
          <w:color w:val="auto"/>
          <w:sz w:val="18"/>
          <w:szCs w:val="18"/>
          <w:vertAlign w:val="superscript"/>
        </w:rPr>
        <w:t>h</w:t>
      </w:r>
      <w:r w:rsidRPr="004E1637">
        <w:rPr>
          <w:color w:val="auto"/>
          <w:sz w:val="18"/>
          <w:szCs w:val="18"/>
        </w:rPr>
        <w:t xml:space="preserve"> </w:t>
      </w:r>
      <w:r>
        <w:rPr>
          <w:color w:val="auto"/>
          <w:sz w:val="18"/>
          <w:szCs w:val="18"/>
        </w:rPr>
        <w:t xml:space="preserve">  </w:t>
      </w:r>
      <w:r w:rsidR="004C7DF7" w:rsidRPr="004E1637">
        <w:rPr>
          <w:color w:val="auto"/>
          <w:sz w:val="18"/>
          <w:szCs w:val="18"/>
        </w:rPr>
        <w:t xml:space="preserve">Frekvencie hlásené ako časté v pediatrických štúdiách. </w:t>
      </w:r>
    </w:p>
    <w:p w14:paraId="510C8806" w14:textId="460B9E98" w:rsidR="002A5E20" w:rsidRPr="004E1637" w:rsidRDefault="00F420E3" w:rsidP="004C7DF7">
      <w:pPr>
        <w:pStyle w:val="Default"/>
        <w:ind w:left="426" w:hanging="284"/>
        <w:rPr>
          <w:color w:val="auto"/>
          <w:sz w:val="18"/>
          <w:szCs w:val="18"/>
        </w:rPr>
      </w:pPr>
      <w:r>
        <w:rPr>
          <w:color w:val="auto"/>
          <w:sz w:val="18"/>
          <w:szCs w:val="18"/>
        </w:rPr>
        <w:t>i</w:t>
      </w:r>
      <w:r w:rsidR="002A5E20" w:rsidRPr="004E1637">
        <w:rPr>
          <w:color w:val="auto"/>
          <w:sz w:val="18"/>
          <w:szCs w:val="18"/>
        </w:rPr>
        <w:tab/>
      </w:r>
      <w:r w:rsidR="004C7DF7" w:rsidRPr="004E1637">
        <w:rPr>
          <w:color w:val="auto"/>
          <w:sz w:val="18"/>
          <w:szCs w:val="18"/>
        </w:rPr>
        <w:t xml:space="preserve">Gravitačný edém, lokalizovaný edém, periférny edém. </w:t>
      </w:r>
    </w:p>
    <w:p w14:paraId="68CB3787" w14:textId="3338F851" w:rsidR="002A5E20" w:rsidRPr="004E1637" w:rsidRDefault="00F420E3" w:rsidP="004C7DF7">
      <w:pPr>
        <w:pStyle w:val="Default"/>
        <w:ind w:left="426" w:hanging="284"/>
        <w:rPr>
          <w:color w:val="auto"/>
          <w:sz w:val="18"/>
          <w:szCs w:val="18"/>
        </w:rPr>
      </w:pPr>
      <w:r>
        <w:rPr>
          <w:color w:val="auto"/>
          <w:sz w:val="18"/>
          <w:szCs w:val="18"/>
          <w:vertAlign w:val="superscript"/>
        </w:rPr>
        <w:t>j</w:t>
      </w:r>
      <w:r w:rsidR="002A5E20" w:rsidRPr="004E1637">
        <w:rPr>
          <w:color w:val="auto"/>
          <w:sz w:val="18"/>
          <w:szCs w:val="18"/>
        </w:rPr>
        <w:tab/>
      </w:r>
      <w:r w:rsidR="004C7DF7" w:rsidRPr="004E1637">
        <w:rPr>
          <w:color w:val="auto"/>
          <w:sz w:val="18"/>
          <w:szCs w:val="18"/>
        </w:rPr>
        <w:t xml:space="preserve">Konjunktiválny edém, edém oka, opuch oka, edém očného viečka, edém tváre, edém pier, makulárny edém, edém úst, orbitálny edém, periorbitálny edém, opuch tváre. </w:t>
      </w:r>
    </w:p>
    <w:p w14:paraId="571E1EB7" w14:textId="7421CAB0" w:rsidR="002A5E20" w:rsidRPr="004E1637" w:rsidRDefault="00F420E3" w:rsidP="004C7DF7">
      <w:pPr>
        <w:pStyle w:val="Default"/>
        <w:ind w:left="426" w:hanging="284"/>
        <w:rPr>
          <w:color w:val="auto"/>
          <w:sz w:val="18"/>
          <w:szCs w:val="18"/>
        </w:rPr>
      </w:pPr>
      <w:r>
        <w:rPr>
          <w:color w:val="auto"/>
          <w:sz w:val="18"/>
          <w:szCs w:val="18"/>
          <w:vertAlign w:val="superscript"/>
        </w:rPr>
        <w:t>k</w:t>
      </w:r>
      <w:r w:rsidR="004C7DF7" w:rsidRPr="004E1637">
        <w:rPr>
          <w:color w:val="auto"/>
          <w:sz w:val="18"/>
          <w:szCs w:val="18"/>
        </w:rPr>
        <w:t xml:space="preserve"> </w:t>
      </w:r>
      <w:r w:rsidR="002A5E20" w:rsidRPr="004E1637">
        <w:rPr>
          <w:color w:val="auto"/>
          <w:sz w:val="18"/>
          <w:szCs w:val="18"/>
        </w:rPr>
        <w:tab/>
      </w:r>
      <w:r w:rsidR="003459A2">
        <w:rPr>
          <w:color w:val="auto"/>
          <w:sz w:val="18"/>
          <w:szCs w:val="18"/>
        </w:rPr>
        <w:t>Nahromadenie</w:t>
      </w:r>
      <w:r w:rsidR="004C7DF7" w:rsidRPr="004E1637">
        <w:rPr>
          <w:color w:val="auto"/>
          <w:sz w:val="18"/>
          <w:szCs w:val="18"/>
        </w:rPr>
        <w:t xml:space="preserve"> tekut</w:t>
      </w:r>
      <w:r w:rsidR="003459A2">
        <w:rPr>
          <w:color w:val="auto"/>
          <w:sz w:val="18"/>
          <w:szCs w:val="18"/>
        </w:rPr>
        <w:t>ín</w:t>
      </w:r>
      <w:r w:rsidR="004C7DF7" w:rsidRPr="004E1637">
        <w:rPr>
          <w:color w:val="auto"/>
          <w:sz w:val="18"/>
          <w:szCs w:val="18"/>
        </w:rPr>
        <w:t xml:space="preserve">, retencia tekutín, </w:t>
      </w:r>
      <w:r w:rsidR="003459A2">
        <w:rPr>
          <w:color w:val="auto"/>
          <w:sz w:val="18"/>
          <w:szCs w:val="18"/>
        </w:rPr>
        <w:t>edém</w:t>
      </w:r>
      <w:r w:rsidR="004C7DF7" w:rsidRPr="004E1637">
        <w:rPr>
          <w:color w:val="auto"/>
          <w:sz w:val="18"/>
          <w:szCs w:val="18"/>
        </w:rPr>
        <w:t xml:space="preserve"> gastrointestinálneho traktu, generalizovaný edém, periférny </w:t>
      </w:r>
      <w:r w:rsidR="003459A2">
        <w:rPr>
          <w:color w:val="auto"/>
          <w:sz w:val="18"/>
          <w:szCs w:val="18"/>
        </w:rPr>
        <w:t>opuch</w:t>
      </w:r>
      <w:r w:rsidR="004C7DF7" w:rsidRPr="004E1637">
        <w:rPr>
          <w:color w:val="auto"/>
          <w:sz w:val="18"/>
          <w:szCs w:val="18"/>
        </w:rPr>
        <w:t xml:space="preserve">, edém, edém z dôvodu ochorenia srdca, perinefrický výpotok, edém po chirurgickom výkone, viscerálny edém. </w:t>
      </w:r>
    </w:p>
    <w:p w14:paraId="398D492B" w14:textId="253E885D" w:rsidR="002A5E20" w:rsidRPr="004E1637" w:rsidRDefault="00F420E3" w:rsidP="002A5E20">
      <w:pPr>
        <w:pStyle w:val="Default"/>
        <w:ind w:left="426" w:hanging="284"/>
        <w:rPr>
          <w:color w:val="auto"/>
          <w:sz w:val="18"/>
          <w:szCs w:val="18"/>
        </w:rPr>
      </w:pPr>
      <w:r>
        <w:rPr>
          <w:color w:val="auto"/>
          <w:sz w:val="18"/>
          <w:szCs w:val="18"/>
          <w:vertAlign w:val="superscript"/>
        </w:rPr>
        <w:t>l</w:t>
      </w:r>
      <w:r w:rsidR="002A5E20" w:rsidRPr="004E1637">
        <w:rPr>
          <w:color w:val="auto"/>
          <w:sz w:val="18"/>
          <w:szCs w:val="18"/>
        </w:rPr>
        <w:tab/>
      </w:r>
      <w:r w:rsidR="004C7DF7" w:rsidRPr="004E1637">
        <w:rPr>
          <w:color w:val="auto"/>
          <w:sz w:val="18"/>
          <w:szCs w:val="18"/>
        </w:rPr>
        <w:t xml:space="preserve">Opuch genitálií, edém v mieste </w:t>
      </w:r>
      <w:r w:rsidR="007C7A34" w:rsidRPr="00F81BD7">
        <w:rPr>
          <w:color w:val="auto"/>
          <w:sz w:val="18"/>
          <w:szCs w:val="18"/>
        </w:rPr>
        <w:t>incízie</w:t>
      </w:r>
      <w:r w:rsidR="004C7DF7" w:rsidRPr="004E1637">
        <w:rPr>
          <w:color w:val="auto"/>
          <w:sz w:val="18"/>
          <w:szCs w:val="18"/>
        </w:rPr>
        <w:t>, genitálny edém, edém pohlavného údu, opuch pohlavného údu, skrotálny edém, opuch kože, opuch semenníkov, opuchy vagíny a pošvy.</w:t>
      </w:r>
    </w:p>
    <w:p w14:paraId="7C3CC5AB" w14:textId="333F469A" w:rsidR="00BE76D5" w:rsidRPr="004E1637" w:rsidRDefault="00F420E3" w:rsidP="002A5E20">
      <w:pPr>
        <w:pStyle w:val="Default"/>
        <w:ind w:left="426" w:hanging="284"/>
        <w:rPr>
          <w:sz w:val="18"/>
          <w:szCs w:val="18"/>
        </w:rPr>
      </w:pPr>
      <w:r>
        <w:rPr>
          <w:sz w:val="18"/>
          <w:szCs w:val="18"/>
          <w:vertAlign w:val="superscript"/>
        </w:rPr>
        <w:t>*</w:t>
      </w:r>
      <w:r w:rsidR="002A5E20" w:rsidRPr="004E1637">
        <w:rPr>
          <w:sz w:val="18"/>
          <w:szCs w:val="18"/>
        </w:rPr>
        <w:tab/>
      </w:r>
      <w:r w:rsidR="00BE76D5" w:rsidRPr="004E1637">
        <w:rPr>
          <w:sz w:val="18"/>
          <w:szCs w:val="18"/>
        </w:rPr>
        <w:t xml:space="preserve">Ďalšie podrobnosti, pozri časť </w:t>
      </w:r>
      <w:r w:rsidR="003459A2">
        <w:rPr>
          <w:sz w:val="18"/>
          <w:szCs w:val="18"/>
        </w:rPr>
        <w:t>„</w:t>
      </w:r>
      <w:r w:rsidR="00BE76D5" w:rsidRPr="004E1637">
        <w:rPr>
          <w:sz w:val="18"/>
          <w:szCs w:val="18"/>
        </w:rPr>
        <w:t>Opis vybraných nežiaducich reakcií</w:t>
      </w:r>
      <w:r w:rsidR="003459A2">
        <w:rPr>
          <w:sz w:val="18"/>
          <w:szCs w:val="18"/>
        </w:rPr>
        <w:t>“</w:t>
      </w:r>
      <w:r w:rsidR="00BE76D5" w:rsidRPr="004E1637">
        <w:rPr>
          <w:sz w:val="18"/>
          <w:szCs w:val="18"/>
        </w:rPr>
        <w:t xml:space="preserve"> </w:t>
      </w:r>
    </w:p>
    <w:p w14:paraId="4278232A" w14:textId="77777777" w:rsidR="002A5E20" w:rsidRPr="004E1637" w:rsidRDefault="002A5E20" w:rsidP="002A5E20">
      <w:pPr>
        <w:pStyle w:val="Default"/>
        <w:rPr>
          <w:color w:val="auto"/>
          <w:sz w:val="22"/>
          <w:szCs w:val="22"/>
          <w:u w:val="single"/>
        </w:rPr>
      </w:pPr>
    </w:p>
    <w:p w14:paraId="15E9C76B" w14:textId="77777777" w:rsidR="00BE76D5" w:rsidRPr="004E1637" w:rsidRDefault="00BE76D5" w:rsidP="002A5E20">
      <w:pPr>
        <w:pStyle w:val="Default"/>
        <w:rPr>
          <w:color w:val="auto"/>
          <w:sz w:val="22"/>
          <w:szCs w:val="22"/>
        </w:rPr>
      </w:pPr>
      <w:r w:rsidRPr="004E1637">
        <w:rPr>
          <w:color w:val="auto"/>
          <w:sz w:val="22"/>
          <w:szCs w:val="22"/>
          <w:u w:val="single"/>
        </w:rPr>
        <w:t>Opis vybraných nežiaducich reakcií</w:t>
      </w:r>
      <w:r w:rsidRPr="00C11B8A">
        <w:rPr>
          <w:color w:val="auto"/>
          <w:sz w:val="22"/>
          <w:szCs w:val="22"/>
        </w:rPr>
        <w:t xml:space="preserve"> </w:t>
      </w:r>
    </w:p>
    <w:p w14:paraId="44942073" w14:textId="425ED4E1" w:rsidR="00BE76D5" w:rsidRPr="004E1637" w:rsidRDefault="00BE76D5" w:rsidP="002A5E20">
      <w:pPr>
        <w:pStyle w:val="Default"/>
        <w:rPr>
          <w:color w:val="auto"/>
          <w:sz w:val="22"/>
          <w:szCs w:val="22"/>
        </w:rPr>
      </w:pPr>
      <w:r w:rsidRPr="004E1637">
        <w:rPr>
          <w:i/>
          <w:iCs/>
          <w:color w:val="auto"/>
          <w:sz w:val="22"/>
          <w:szCs w:val="22"/>
          <w:u w:val="single"/>
        </w:rPr>
        <w:t>Myelosupresia</w:t>
      </w:r>
      <w:r w:rsidRPr="00F420E3">
        <w:rPr>
          <w:i/>
          <w:iCs/>
          <w:color w:val="auto"/>
          <w:sz w:val="22"/>
          <w:szCs w:val="22"/>
        </w:rPr>
        <w:t xml:space="preserve"> </w:t>
      </w:r>
    </w:p>
    <w:p w14:paraId="01ADA7AF" w14:textId="08237A67" w:rsidR="00BE76D5" w:rsidRPr="004E1637" w:rsidRDefault="00BE76D5" w:rsidP="002A5E20">
      <w:pPr>
        <w:pStyle w:val="CM100"/>
        <w:rPr>
          <w:sz w:val="22"/>
          <w:szCs w:val="22"/>
        </w:rPr>
      </w:pPr>
      <w:r w:rsidRPr="004E1637">
        <w:rPr>
          <w:sz w:val="22"/>
          <w:szCs w:val="22"/>
        </w:rPr>
        <w:t xml:space="preserve">Liečba </w:t>
      </w:r>
      <w:r w:rsidR="002A5E20" w:rsidRPr="004E1637">
        <w:rPr>
          <w:sz w:val="22"/>
          <w:szCs w:val="22"/>
        </w:rPr>
        <w:t xml:space="preserve">dasatinibom </w:t>
      </w:r>
      <w:r w:rsidRPr="004E1637">
        <w:rPr>
          <w:sz w:val="22"/>
          <w:szCs w:val="22"/>
        </w:rPr>
        <w:t xml:space="preserve">sa spája s anémiou, neutropéniou a trombocytopéniou. </w:t>
      </w:r>
    </w:p>
    <w:p w14:paraId="7E06981F" w14:textId="77777777" w:rsidR="002A5E20" w:rsidRPr="004E1637" w:rsidRDefault="002A5E20" w:rsidP="002A5E20">
      <w:pPr>
        <w:pStyle w:val="CM2"/>
        <w:spacing w:line="240" w:lineRule="auto"/>
        <w:rPr>
          <w:i/>
          <w:iCs/>
          <w:sz w:val="22"/>
          <w:szCs w:val="22"/>
          <w:u w:val="single"/>
        </w:rPr>
      </w:pPr>
    </w:p>
    <w:p w14:paraId="5E06DC44" w14:textId="77777777" w:rsidR="00BE76D5" w:rsidRPr="004E1637" w:rsidRDefault="00BE76D5" w:rsidP="002A5E20">
      <w:pPr>
        <w:pStyle w:val="CM2"/>
        <w:spacing w:line="240" w:lineRule="auto"/>
        <w:rPr>
          <w:sz w:val="22"/>
          <w:szCs w:val="22"/>
        </w:rPr>
      </w:pPr>
      <w:r w:rsidRPr="004E1637">
        <w:rPr>
          <w:i/>
          <w:iCs/>
          <w:sz w:val="22"/>
          <w:szCs w:val="22"/>
          <w:u w:val="single"/>
        </w:rPr>
        <w:t>Krvácanie</w:t>
      </w:r>
      <w:r w:rsidRPr="00C11B8A">
        <w:rPr>
          <w:i/>
          <w:iCs/>
          <w:sz w:val="22"/>
          <w:szCs w:val="22"/>
        </w:rPr>
        <w:t xml:space="preserve"> </w:t>
      </w:r>
    </w:p>
    <w:p w14:paraId="483D08F9" w14:textId="391C8503" w:rsidR="00BE76D5" w:rsidRPr="004E1637" w:rsidRDefault="00BE76D5" w:rsidP="002A5E20">
      <w:pPr>
        <w:pStyle w:val="CM100"/>
        <w:rPr>
          <w:sz w:val="22"/>
          <w:szCs w:val="22"/>
        </w:rPr>
      </w:pPr>
      <w:r w:rsidRPr="004E1637">
        <w:rPr>
          <w:sz w:val="22"/>
          <w:szCs w:val="22"/>
        </w:rPr>
        <w:t xml:space="preserve">U pacientov užívajúcich </w:t>
      </w:r>
      <w:r w:rsidR="009F4035" w:rsidRPr="004E1637">
        <w:rPr>
          <w:sz w:val="22"/>
          <w:szCs w:val="22"/>
        </w:rPr>
        <w:t>dasatinib</w:t>
      </w:r>
      <w:r w:rsidRPr="004E1637">
        <w:rPr>
          <w:sz w:val="22"/>
          <w:szCs w:val="22"/>
        </w:rPr>
        <w:t xml:space="preserve"> sa hlásili nežiaduce reakcie krvácaní súvisi</w:t>
      </w:r>
      <w:r w:rsidR="0034337A" w:rsidRPr="004E1637">
        <w:rPr>
          <w:sz w:val="22"/>
          <w:szCs w:val="22"/>
        </w:rPr>
        <w:t>acich s lie</w:t>
      </w:r>
      <w:r w:rsidR="006015AF">
        <w:rPr>
          <w:sz w:val="22"/>
          <w:szCs w:val="22"/>
        </w:rPr>
        <w:t>čivom</w:t>
      </w:r>
      <w:r w:rsidR="0034337A" w:rsidRPr="004E1637">
        <w:rPr>
          <w:sz w:val="22"/>
          <w:szCs w:val="22"/>
        </w:rPr>
        <w:t xml:space="preserve"> v rozsahu od pete</w:t>
      </w:r>
      <w:r w:rsidRPr="004E1637">
        <w:rPr>
          <w:sz w:val="22"/>
          <w:szCs w:val="22"/>
        </w:rPr>
        <w:t xml:space="preserve">chie a epistaxy po gastrointestinálne krvácanie 3. alebo 4. stupňa a krvácanie do CNS (pozri časť 4.4). </w:t>
      </w:r>
    </w:p>
    <w:p w14:paraId="688E245A" w14:textId="77777777" w:rsidR="002A5E20" w:rsidRPr="004E1637" w:rsidRDefault="002A5E20" w:rsidP="002A5E20">
      <w:pPr>
        <w:pStyle w:val="CM2"/>
        <w:spacing w:line="240" w:lineRule="auto"/>
        <w:rPr>
          <w:i/>
          <w:iCs/>
          <w:sz w:val="22"/>
          <w:szCs w:val="22"/>
          <w:u w:val="single"/>
        </w:rPr>
      </w:pPr>
    </w:p>
    <w:p w14:paraId="3015801D" w14:textId="77777777" w:rsidR="00BE76D5" w:rsidRPr="004E1637" w:rsidRDefault="00BE76D5" w:rsidP="002A5E20">
      <w:pPr>
        <w:pStyle w:val="CM2"/>
        <w:spacing w:line="240" w:lineRule="auto"/>
        <w:rPr>
          <w:sz w:val="22"/>
          <w:szCs w:val="22"/>
        </w:rPr>
      </w:pPr>
      <w:r w:rsidRPr="005C4646">
        <w:rPr>
          <w:i/>
          <w:iCs/>
          <w:sz w:val="22"/>
          <w:szCs w:val="22"/>
          <w:u w:val="single"/>
        </w:rPr>
        <w:t>Retencia tekutín</w:t>
      </w:r>
      <w:r w:rsidRPr="00C11B8A">
        <w:rPr>
          <w:i/>
          <w:iCs/>
          <w:sz w:val="22"/>
          <w:szCs w:val="22"/>
        </w:rPr>
        <w:t xml:space="preserve"> </w:t>
      </w:r>
    </w:p>
    <w:p w14:paraId="43E0B632" w14:textId="18C39E26" w:rsidR="002A5E20" w:rsidRPr="004E1637" w:rsidRDefault="00BE76D5" w:rsidP="002A5E20">
      <w:pPr>
        <w:pStyle w:val="CM100"/>
        <w:rPr>
          <w:sz w:val="22"/>
          <w:szCs w:val="22"/>
        </w:rPr>
      </w:pPr>
      <w:r w:rsidRPr="004E1637">
        <w:rPr>
          <w:sz w:val="22"/>
          <w:szCs w:val="22"/>
        </w:rPr>
        <w:t xml:space="preserve">Rôzne nežiaduce reakcie, ako je pleurálny výpotok, ascites, pľúcny edém a perikardiálny výpotok s povrchovým edémom alebo bez neho, možno súhrnne opísať ako </w:t>
      </w:r>
      <w:r w:rsidR="005C4646">
        <w:rPr>
          <w:sz w:val="22"/>
          <w:szCs w:val="22"/>
        </w:rPr>
        <w:t>„</w:t>
      </w:r>
      <w:r w:rsidRPr="004E1637">
        <w:rPr>
          <w:sz w:val="22"/>
          <w:szCs w:val="22"/>
        </w:rPr>
        <w:t>retenciu tekut</w:t>
      </w:r>
      <w:r w:rsidR="005C4646">
        <w:rPr>
          <w:sz w:val="22"/>
          <w:szCs w:val="22"/>
        </w:rPr>
        <w:t>í</w:t>
      </w:r>
      <w:r w:rsidRPr="004E1637">
        <w:rPr>
          <w:sz w:val="22"/>
          <w:szCs w:val="22"/>
        </w:rPr>
        <w:t>n</w:t>
      </w:r>
      <w:r w:rsidR="005C4646">
        <w:rPr>
          <w:sz w:val="22"/>
          <w:szCs w:val="22"/>
        </w:rPr>
        <w:t>“</w:t>
      </w:r>
      <w:r w:rsidRPr="004E1637">
        <w:rPr>
          <w:sz w:val="22"/>
          <w:szCs w:val="22"/>
        </w:rPr>
        <w:t xml:space="preserve">. V priebehu času bol kumulatívny pomer pleurálneho výpotku súvisiaceho s dasatinibom (všetky stupne) 10 % po 12 mesiacoch, 14 % po 24 mesiacoch, 19 % po 36 mesiacoch, 24 % po 48 mesiacoch a 28 % po 60 mesiacoch. Celkovo 46 pacientov liečených dasatinibom malo rekurentný pleurálny výpotok. Sedemnásť pacientov malo 2 samostatné nežiaduce reakcie, 6 malo 3 nežiaduce reakcie, 18 malo 4 až 8 nežiaducich reakcií a 5 malo &gt; 8 epizód pleurálneho výpotku. </w:t>
      </w:r>
    </w:p>
    <w:p w14:paraId="1EBA77F4" w14:textId="4A5484A9" w:rsidR="002A5E20" w:rsidRPr="004E1637" w:rsidRDefault="00BE76D5" w:rsidP="002A5E20">
      <w:pPr>
        <w:pStyle w:val="CM100"/>
        <w:rPr>
          <w:sz w:val="22"/>
          <w:szCs w:val="22"/>
        </w:rPr>
      </w:pPr>
      <w:r w:rsidRPr="004E1637">
        <w:rPr>
          <w:sz w:val="22"/>
          <w:szCs w:val="22"/>
        </w:rPr>
        <w:t>Medián času do prvého pleurálneho výpotku súvisiaceho s dasatinibom 1. alebo 2. stupňa bol 114 týždňov (rozsah: 4 až</w:t>
      </w:r>
      <w:r w:rsidR="002A5E20" w:rsidRPr="004E1637">
        <w:rPr>
          <w:sz w:val="22"/>
          <w:szCs w:val="22"/>
        </w:rPr>
        <w:t xml:space="preserve"> </w:t>
      </w:r>
      <w:r w:rsidRPr="004E1637">
        <w:rPr>
          <w:sz w:val="22"/>
          <w:szCs w:val="22"/>
        </w:rPr>
        <w:t>299 týždňov). Menej než 10 % pacientov s pleurálnym výpotkom malo závažn</w:t>
      </w:r>
      <w:r w:rsidR="005C4646">
        <w:rPr>
          <w:sz w:val="22"/>
          <w:szCs w:val="22"/>
        </w:rPr>
        <w:t>é</w:t>
      </w:r>
      <w:r w:rsidRPr="004E1637">
        <w:rPr>
          <w:sz w:val="22"/>
          <w:szCs w:val="22"/>
        </w:rPr>
        <w:t xml:space="preserve"> (3. alebo 4. stupeň) pleuráln</w:t>
      </w:r>
      <w:r w:rsidR="005C4646">
        <w:rPr>
          <w:sz w:val="22"/>
          <w:szCs w:val="22"/>
        </w:rPr>
        <w:t>e</w:t>
      </w:r>
      <w:r w:rsidRPr="004E1637">
        <w:rPr>
          <w:sz w:val="22"/>
          <w:szCs w:val="22"/>
        </w:rPr>
        <w:t xml:space="preserve"> výpotk</w:t>
      </w:r>
      <w:r w:rsidR="005C4646">
        <w:rPr>
          <w:sz w:val="22"/>
          <w:szCs w:val="22"/>
        </w:rPr>
        <w:t>y</w:t>
      </w:r>
      <w:r w:rsidRPr="004E1637">
        <w:rPr>
          <w:sz w:val="22"/>
          <w:szCs w:val="22"/>
        </w:rPr>
        <w:t xml:space="preserve"> súvisiac</w:t>
      </w:r>
      <w:r w:rsidR="005C4646">
        <w:rPr>
          <w:sz w:val="22"/>
          <w:szCs w:val="22"/>
        </w:rPr>
        <w:t>e</w:t>
      </w:r>
      <w:r w:rsidRPr="004E1637">
        <w:rPr>
          <w:sz w:val="22"/>
          <w:szCs w:val="22"/>
        </w:rPr>
        <w:t xml:space="preserve"> s dasatinibom. Medián času do prvého výskytu pleurálneho výpotku súvisiaceho s dasatinibom ≥ 3. stupňa bol 175 týždňov (rozsah: 114 až 274 týždňov). Medián trvania pleurálneho výpotku súvisiaceho s dasatinibom (všetky stupne) bol 283 dní (~40 týždňov). </w:t>
      </w:r>
    </w:p>
    <w:p w14:paraId="729892AB" w14:textId="77777777" w:rsidR="00FF582B" w:rsidRPr="004E1637" w:rsidRDefault="00BE76D5" w:rsidP="002A5E20">
      <w:pPr>
        <w:pStyle w:val="CM100"/>
        <w:rPr>
          <w:sz w:val="22"/>
          <w:szCs w:val="22"/>
        </w:rPr>
      </w:pPr>
      <w:r w:rsidRPr="004E1637">
        <w:rPr>
          <w:sz w:val="22"/>
          <w:szCs w:val="22"/>
        </w:rPr>
        <w:t xml:space="preserve">Pleurálny výpotok bol zvyčajne vratný a bol zvládnutý prerušením liečby </w:t>
      </w:r>
      <w:r w:rsidR="002A5E20" w:rsidRPr="004E1637">
        <w:rPr>
          <w:sz w:val="22"/>
          <w:szCs w:val="22"/>
        </w:rPr>
        <w:t xml:space="preserve">dasatinibom </w:t>
      </w:r>
      <w:r w:rsidRPr="004E1637">
        <w:rPr>
          <w:sz w:val="22"/>
          <w:szCs w:val="22"/>
        </w:rPr>
        <w:t xml:space="preserve">a použitím diuretík alebo iných vhodných podporných ošetrovacích opatrení (pozri časti 4.2 a 4.4). Medzi pacientmi liečenými dasatinibom s pleurálnym výpotkom súvisiacim s liekom (n=73) malo 45 (62 %) </w:t>
      </w:r>
      <w:r w:rsidRPr="004E1637">
        <w:rPr>
          <w:sz w:val="22"/>
          <w:szCs w:val="22"/>
        </w:rPr>
        <w:lastRenderedPageBreak/>
        <w:t>prerušenie liečby a 30 (41 %) malo zníženie dávky. Okrem toho 34 (47 %) dostalo diuretiká, 23 (32 %) dostalo kortikosteroidy a 20 (27 %) dostalo kortikosteroidy aj diuretiká. Deväť (12 %) pacientov podstúpilo terapeutickú torakocentézu.</w:t>
      </w:r>
    </w:p>
    <w:p w14:paraId="623FB1D1" w14:textId="16279AB6" w:rsidR="00FF582B" w:rsidRPr="004E1637" w:rsidRDefault="00BE76D5" w:rsidP="002A5E20">
      <w:pPr>
        <w:pStyle w:val="CM100"/>
        <w:rPr>
          <w:sz w:val="22"/>
          <w:szCs w:val="22"/>
        </w:rPr>
      </w:pPr>
      <w:r w:rsidRPr="004E1637">
        <w:rPr>
          <w:sz w:val="22"/>
          <w:szCs w:val="22"/>
        </w:rPr>
        <w:t>Šesť percent pacientov liečených dasatinibom prerušilo liečbu z dôvodu pleurálneho výpotku súvisiaceho s lie</w:t>
      </w:r>
      <w:r w:rsidR="0030596A">
        <w:rPr>
          <w:sz w:val="22"/>
          <w:szCs w:val="22"/>
        </w:rPr>
        <w:t>čivom</w:t>
      </w:r>
      <w:r w:rsidRPr="004E1637">
        <w:rPr>
          <w:sz w:val="22"/>
          <w:szCs w:val="22"/>
        </w:rPr>
        <w:t xml:space="preserve">. Pleurálny výpotok nezhoršil schopnosť pacienta dosiahnuť odpoveď. Medzi pacientmi s pleurálnym výpotkom liečenými dasatinibom dosiahlo 96 % cCCyR, 82 % dosiahlo MMR a 50 % dosiahlo MR4.5 i napriek prerušeniam liečby alebo úprave dávky. </w:t>
      </w:r>
    </w:p>
    <w:p w14:paraId="409576F8" w14:textId="6BFCDCD5" w:rsidR="00FF582B" w:rsidRPr="004E1637" w:rsidRDefault="00BE76D5" w:rsidP="002A5E20">
      <w:pPr>
        <w:pStyle w:val="CM100"/>
        <w:rPr>
          <w:sz w:val="22"/>
          <w:szCs w:val="22"/>
        </w:rPr>
      </w:pPr>
      <w:r w:rsidRPr="004E1637">
        <w:rPr>
          <w:sz w:val="22"/>
          <w:szCs w:val="22"/>
        </w:rPr>
        <w:t xml:space="preserve">Pozri časť 4.4 </w:t>
      </w:r>
      <w:r w:rsidR="00FF582B" w:rsidRPr="004E1637">
        <w:rPr>
          <w:sz w:val="22"/>
          <w:szCs w:val="22"/>
        </w:rPr>
        <w:t xml:space="preserve">pre </w:t>
      </w:r>
      <w:r w:rsidRPr="004E1637">
        <w:rPr>
          <w:sz w:val="22"/>
          <w:szCs w:val="22"/>
        </w:rPr>
        <w:t>ďalšie informácie o pacientoch s Ph+ ALL.</w:t>
      </w:r>
    </w:p>
    <w:p w14:paraId="4101CBFB" w14:textId="77777777" w:rsidR="00BE76D5" w:rsidRPr="004E1637" w:rsidRDefault="00BE76D5" w:rsidP="002A5E20">
      <w:pPr>
        <w:pStyle w:val="CM100"/>
        <w:rPr>
          <w:sz w:val="22"/>
          <w:szCs w:val="22"/>
        </w:rPr>
      </w:pPr>
      <w:r w:rsidRPr="004E1637">
        <w:rPr>
          <w:sz w:val="22"/>
          <w:szCs w:val="22"/>
        </w:rPr>
        <w:t xml:space="preserve"> </w:t>
      </w:r>
    </w:p>
    <w:p w14:paraId="7CFB2563" w14:textId="77777777" w:rsidR="00BE76D5" w:rsidRPr="004E1637" w:rsidRDefault="00BE76D5" w:rsidP="002A5E20">
      <w:pPr>
        <w:pStyle w:val="CM2"/>
        <w:spacing w:line="240" w:lineRule="auto"/>
        <w:rPr>
          <w:sz w:val="22"/>
          <w:szCs w:val="22"/>
        </w:rPr>
      </w:pPr>
      <w:r w:rsidRPr="00C05AFB">
        <w:rPr>
          <w:i/>
          <w:iCs/>
          <w:sz w:val="22"/>
          <w:szCs w:val="22"/>
          <w:u w:val="single"/>
        </w:rPr>
        <w:t>Pľúcna arteriálna hypertenzia (PAH)</w:t>
      </w:r>
      <w:r w:rsidRPr="00C11B8A">
        <w:rPr>
          <w:i/>
          <w:iCs/>
          <w:sz w:val="22"/>
          <w:szCs w:val="22"/>
        </w:rPr>
        <w:t xml:space="preserve"> </w:t>
      </w:r>
    </w:p>
    <w:p w14:paraId="49D63290" w14:textId="4736DDF4" w:rsidR="00BE76D5" w:rsidRPr="004E1637" w:rsidRDefault="00BE76D5" w:rsidP="002A5E20">
      <w:pPr>
        <w:pStyle w:val="CM100"/>
        <w:rPr>
          <w:sz w:val="22"/>
          <w:szCs w:val="22"/>
        </w:rPr>
      </w:pPr>
      <w:r w:rsidRPr="004E1637">
        <w:rPr>
          <w:sz w:val="22"/>
          <w:szCs w:val="22"/>
        </w:rPr>
        <w:t xml:space="preserve">PAH (prekapilárna pľúcna arteriálna hypertenzia potvrdená pravostrannou katétrizáciou srdca) sa hlásila v súvislosti s expozíciou dasatinibom. V týchto prípadoch sa hlásila PAH po začatí liečby dasatinibom, a to </w:t>
      </w:r>
      <w:r w:rsidR="005C4646">
        <w:rPr>
          <w:sz w:val="22"/>
          <w:szCs w:val="22"/>
        </w:rPr>
        <w:t xml:space="preserve">aj </w:t>
      </w:r>
      <w:r w:rsidRPr="004E1637">
        <w:rPr>
          <w:sz w:val="22"/>
          <w:szCs w:val="22"/>
        </w:rPr>
        <w:t>po viac ako jednom roku liečby. Pacienti s</w:t>
      </w:r>
      <w:r w:rsidR="000D6AE0">
        <w:rPr>
          <w:sz w:val="22"/>
          <w:szCs w:val="22"/>
        </w:rPr>
        <w:t xml:space="preserve"> </w:t>
      </w:r>
      <w:r w:rsidRPr="004E1637">
        <w:rPr>
          <w:sz w:val="22"/>
          <w:szCs w:val="22"/>
        </w:rPr>
        <w:t xml:space="preserve">PAH </w:t>
      </w:r>
      <w:r w:rsidR="000D6AE0">
        <w:rPr>
          <w:sz w:val="22"/>
          <w:szCs w:val="22"/>
        </w:rPr>
        <w:t xml:space="preserve">hlásenou </w:t>
      </w:r>
      <w:r w:rsidRPr="004E1637">
        <w:rPr>
          <w:sz w:val="22"/>
          <w:szCs w:val="22"/>
        </w:rPr>
        <w:t>počas liečby dasatinibom čast</w:t>
      </w:r>
      <w:r w:rsidR="000D6AE0">
        <w:rPr>
          <w:sz w:val="22"/>
          <w:szCs w:val="22"/>
        </w:rPr>
        <w:t>o</w:t>
      </w:r>
      <w:r w:rsidRPr="004E1637">
        <w:rPr>
          <w:sz w:val="22"/>
          <w:szCs w:val="22"/>
        </w:rPr>
        <w:t xml:space="preserve"> užíva</w:t>
      </w:r>
      <w:r w:rsidR="000D6AE0">
        <w:rPr>
          <w:sz w:val="22"/>
          <w:szCs w:val="22"/>
        </w:rPr>
        <w:t>li</w:t>
      </w:r>
      <w:r w:rsidRPr="004E1637">
        <w:rPr>
          <w:sz w:val="22"/>
          <w:szCs w:val="22"/>
        </w:rPr>
        <w:t xml:space="preserve"> súbežn</w:t>
      </w:r>
      <w:r w:rsidR="000D6AE0">
        <w:rPr>
          <w:sz w:val="22"/>
          <w:szCs w:val="22"/>
        </w:rPr>
        <w:t>e</w:t>
      </w:r>
      <w:r w:rsidRPr="004E1637">
        <w:rPr>
          <w:sz w:val="22"/>
          <w:szCs w:val="22"/>
        </w:rPr>
        <w:t xml:space="preserve"> lie</w:t>
      </w:r>
      <w:r w:rsidR="000D6AE0">
        <w:rPr>
          <w:sz w:val="22"/>
          <w:szCs w:val="22"/>
        </w:rPr>
        <w:t>ky</w:t>
      </w:r>
      <w:r w:rsidRPr="004E1637">
        <w:rPr>
          <w:sz w:val="22"/>
          <w:szCs w:val="22"/>
        </w:rPr>
        <w:t xml:space="preserve"> alebo mali komorbidity, okrem základného nádorového ochorenia. Zlepšenie hemodynamických a klinických parametrov sa pozorovalo u pacientov liečených dasatinibom s PAH po ukončení liečby dasatinibom. </w:t>
      </w:r>
    </w:p>
    <w:p w14:paraId="395E91DC" w14:textId="77777777" w:rsidR="00FF582B" w:rsidRPr="004E1637" w:rsidRDefault="00FF582B" w:rsidP="002A5E20">
      <w:pPr>
        <w:pStyle w:val="CM2"/>
        <w:spacing w:line="240" w:lineRule="auto"/>
        <w:rPr>
          <w:i/>
          <w:iCs/>
          <w:sz w:val="22"/>
          <w:szCs w:val="22"/>
          <w:u w:val="single"/>
        </w:rPr>
      </w:pPr>
    </w:p>
    <w:p w14:paraId="7C0E6CB3" w14:textId="77777777" w:rsidR="00BE76D5" w:rsidRPr="004E1637" w:rsidRDefault="00BE76D5" w:rsidP="002A5E20">
      <w:pPr>
        <w:pStyle w:val="CM2"/>
        <w:spacing w:line="240" w:lineRule="auto"/>
        <w:rPr>
          <w:sz w:val="22"/>
          <w:szCs w:val="22"/>
        </w:rPr>
      </w:pPr>
      <w:r w:rsidRPr="004E1637">
        <w:rPr>
          <w:i/>
          <w:iCs/>
          <w:sz w:val="22"/>
          <w:szCs w:val="22"/>
          <w:u w:val="single"/>
        </w:rPr>
        <w:t>Predĺženie QT intervalu</w:t>
      </w:r>
      <w:r w:rsidRPr="00C11B8A">
        <w:rPr>
          <w:i/>
          <w:iCs/>
          <w:sz w:val="22"/>
          <w:szCs w:val="22"/>
        </w:rPr>
        <w:t xml:space="preserve"> </w:t>
      </w:r>
    </w:p>
    <w:p w14:paraId="02FF5B69" w14:textId="339CA96E" w:rsidR="00FF582B" w:rsidRPr="004E1637" w:rsidRDefault="00765C9B" w:rsidP="00FF582B">
      <w:pPr>
        <w:pStyle w:val="CM100"/>
        <w:rPr>
          <w:sz w:val="22"/>
          <w:szCs w:val="22"/>
        </w:rPr>
      </w:pPr>
      <w:r w:rsidRPr="004E1637">
        <w:rPr>
          <w:sz w:val="22"/>
          <w:szCs w:val="22"/>
        </w:rPr>
        <w:t xml:space="preserve">V 5 klinických štúdiách fázy II </w:t>
      </w:r>
      <w:r w:rsidR="00BE76D5" w:rsidRPr="004E1637">
        <w:rPr>
          <w:sz w:val="22"/>
          <w:szCs w:val="22"/>
        </w:rPr>
        <w:t>s pacientmi s rezistenciou alebo intoleranciou na predchádzajúcu liečbu imatinibom, sa vykonalo opakovan</w:t>
      </w:r>
      <w:r w:rsidR="00B73239">
        <w:rPr>
          <w:sz w:val="22"/>
          <w:szCs w:val="22"/>
        </w:rPr>
        <w:t>e na začiatku liečby</w:t>
      </w:r>
      <w:r w:rsidR="00BE76D5" w:rsidRPr="004E1637">
        <w:rPr>
          <w:sz w:val="22"/>
          <w:szCs w:val="22"/>
        </w:rPr>
        <w:t xml:space="preserve"> a aj počas liečby </w:t>
      </w:r>
      <w:r w:rsidR="00B73239">
        <w:rPr>
          <w:sz w:val="22"/>
          <w:szCs w:val="22"/>
        </w:rPr>
        <w:t xml:space="preserve">EKG </w:t>
      </w:r>
      <w:r w:rsidR="00BE76D5" w:rsidRPr="004E1637">
        <w:rPr>
          <w:sz w:val="22"/>
          <w:szCs w:val="22"/>
        </w:rPr>
        <w:t>vo vopred určených časových intervaloch a</w:t>
      </w:r>
      <w:r w:rsidR="00B73239">
        <w:rPr>
          <w:sz w:val="22"/>
          <w:szCs w:val="22"/>
        </w:rPr>
        <w:t> bolo vyhodnotené</w:t>
      </w:r>
      <w:r w:rsidR="00BE76D5" w:rsidRPr="004E1637">
        <w:rPr>
          <w:sz w:val="22"/>
          <w:szCs w:val="22"/>
        </w:rPr>
        <w:t xml:space="preserve"> centrál</w:t>
      </w:r>
      <w:r w:rsidR="00FF582B" w:rsidRPr="004E1637">
        <w:rPr>
          <w:sz w:val="22"/>
          <w:szCs w:val="22"/>
        </w:rPr>
        <w:t>ne pre 865 pacientov liečených dasatinibom</w:t>
      </w:r>
      <w:r w:rsidR="00BE76D5" w:rsidRPr="004E1637">
        <w:rPr>
          <w:sz w:val="22"/>
          <w:szCs w:val="22"/>
        </w:rPr>
        <w:t xml:space="preserve"> 70 mg dvakrát denne. Interval QT bol korigovaný podľa srdcovej frekvencie pomocou Fridericiovej metódy. Vo všetkých časových intervaloch po dávke na 8. deň boli priemerné zmeny oproti východiskovej hodnote intervalu QTcF 4 – 6 ms, s</w:t>
      </w:r>
      <w:r w:rsidR="004D3410">
        <w:rPr>
          <w:sz w:val="22"/>
          <w:szCs w:val="22"/>
        </w:rPr>
        <w:t>o súvisiacim</w:t>
      </w:r>
      <w:r w:rsidR="00BE76D5" w:rsidRPr="004E1637">
        <w:rPr>
          <w:sz w:val="22"/>
          <w:szCs w:val="22"/>
        </w:rPr>
        <w:t xml:space="preserve"> horným 95 % intervalom spoľahlivosti &lt; 7 ms. Z</w:t>
      </w:r>
      <w:r w:rsidR="00FF582B" w:rsidRPr="004E1637">
        <w:rPr>
          <w:sz w:val="22"/>
          <w:szCs w:val="22"/>
        </w:rPr>
        <w:t> </w:t>
      </w:r>
      <w:r w:rsidR="00BE76D5" w:rsidRPr="004E1637">
        <w:rPr>
          <w:sz w:val="22"/>
          <w:szCs w:val="22"/>
        </w:rPr>
        <w:t>2</w:t>
      </w:r>
      <w:r w:rsidR="00FF582B" w:rsidRPr="004E1637">
        <w:rPr>
          <w:sz w:val="22"/>
          <w:szCs w:val="22"/>
        </w:rPr>
        <w:t> </w:t>
      </w:r>
      <w:r w:rsidR="00BE76D5" w:rsidRPr="004E1637">
        <w:rPr>
          <w:sz w:val="22"/>
          <w:szCs w:val="22"/>
        </w:rPr>
        <w:t xml:space="preserve">182 pacientov s rezistenciou alebo intoleranciou na predchádzajúcu liečbu imatinibom, ktorí v klinických štúdiách užívali </w:t>
      </w:r>
      <w:r w:rsidR="00FF582B" w:rsidRPr="004E1637">
        <w:rPr>
          <w:sz w:val="22"/>
          <w:szCs w:val="22"/>
        </w:rPr>
        <w:t>dasatinib</w:t>
      </w:r>
      <w:r w:rsidR="00BE76D5" w:rsidRPr="004E1637">
        <w:rPr>
          <w:sz w:val="22"/>
          <w:szCs w:val="22"/>
        </w:rPr>
        <w:t xml:space="preserve">, 15 (1 %) pacientov hlásilo predĺženie QTc, ako nežiaducu reakciu. Dvadsaťjeden pacientov (1 %) malo QTcF &gt; 500 ms (pozri časť 4.4). </w:t>
      </w:r>
    </w:p>
    <w:p w14:paraId="19626C6A" w14:textId="77777777" w:rsidR="00FF582B" w:rsidRPr="004E1637" w:rsidRDefault="00FF582B" w:rsidP="00FF582B">
      <w:pPr>
        <w:pStyle w:val="CM100"/>
        <w:rPr>
          <w:sz w:val="22"/>
          <w:szCs w:val="22"/>
        </w:rPr>
      </w:pPr>
    </w:p>
    <w:p w14:paraId="6FE5EADC" w14:textId="77777777" w:rsidR="00BE76D5" w:rsidRPr="004E1637" w:rsidRDefault="00BE76D5" w:rsidP="00FF582B">
      <w:pPr>
        <w:pStyle w:val="CM100"/>
        <w:rPr>
          <w:sz w:val="22"/>
          <w:szCs w:val="22"/>
        </w:rPr>
      </w:pPr>
      <w:r w:rsidRPr="004E1637">
        <w:rPr>
          <w:i/>
          <w:iCs/>
          <w:sz w:val="22"/>
          <w:szCs w:val="22"/>
          <w:u w:val="single"/>
        </w:rPr>
        <w:t>Nežiaduce reakcie na srdce</w:t>
      </w:r>
      <w:r w:rsidRPr="00C11B8A">
        <w:rPr>
          <w:i/>
          <w:iCs/>
          <w:sz w:val="22"/>
          <w:szCs w:val="22"/>
        </w:rPr>
        <w:t xml:space="preserve"> </w:t>
      </w:r>
    </w:p>
    <w:p w14:paraId="626FEE49" w14:textId="77777777" w:rsidR="00BE76D5" w:rsidRPr="004E1637" w:rsidRDefault="00BE76D5" w:rsidP="002A5E20">
      <w:pPr>
        <w:pStyle w:val="CM100"/>
        <w:rPr>
          <w:sz w:val="22"/>
          <w:szCs w:val="22"/>
        </w:rPr>
      </w:pPr>
      <w:r w:rsidRPr="004E1637">
        <w:rPr>
          <w:sz w:val="22"/>
          <w:szCs w:val="22"/>
        </w:rPr>
        <w:t xml:space="preserve">Pacienti s rizikovými faktormi alebo srdcovým ochorením v anamnéze, majú byť starostlivo sledovaní pre prejavy alebo príznaky zhodné so srdcovou dysfunkciou a majú byť posúdení a primerane liečení (pozri časť 4.4). </w:t>
      </w:r>
    </w:p>
    <w:p w14:paraId="7B1543CD" w14:textId="77777777" w:rsidR="00FF582B" w:rsidRPr="004E1637" w:rsidRDefault="00FF582B" w:rsidP="002A5E20">
      <w:pPr>
        <w:pStyle w:val="CM2"/>
        <w:spacing w:line="240" w:lineRule="auto"/>
        <w:rPr>
          <w:i/>
          <w:iCs/>
          <w:sz w:val="22"/>
          <w:szCs w:val="22"/>
          <w:u w:val="single"/>
        </w:rPr>
      </w:pPr>
    </w:p>
    <w:p w14:paraId="79D71524" w14:textId="77777777" w:rsidR="00BE76D5" w:rsidRPr="004E1637" w:rsidRDefault="00BE76D5" w:rsidP="002A5E20">
      <w:pPr>
        <w:pStyle w:val="CM2"/>
        <w:spacing w:line="240" w:lineRule="auto"/>
        <w:rPr>
          <w:sz w:val="22"/>
          <w:szCs w:val="22"/>
        </w:rPr>
      </w:pPr>
      <w:r w:rsidRPr="004E1637">
        <w:rPr>
          <w:i/>
          <w:iCs/>
          <w:sz w:val="22"/>
          <w:szCs w:val="22"/>
          <w:u w:val="single"/>
        </w:rPr>
        <w:t>Reaktivácia hepatitídy B</w:t>
      </w:r>
      <w:r w:rsidRPr="00C11B8A">
        <w:rPr>
          <w:i/>
          <w:iCs/>
          <w:sz w:val="22"/>
          <w:szCs w:val="22"/>
        </w:rPr>
        <w:t xml:space="preserve"> </w:t>
      </w:r>
    </w:p>
    <w:p w14:paraId="4B530814" w14:textId="77777777" w:rsidR="00BE76D5" w:rsidRPr="004E1637" w:rsidRDefault="00BE76D5" w:rsidP="002A5E20">
      <w:pPr>
        <w:pStyle w:val="CM100"/>
        <w:rPr>
          <w:sz w:val="22"/>
          <w:szCs w:val="22"/>
        </w:rPr>
      </w:pPr>
      <w:r w:rsidRPr="004E1637">
        <w:rPr>
          <w:sz w:val="22"/>
          <w:szCs w:val="22"/>
        </w:rPr>
        <w:t xml:space="preserve">V súvislosti s inhibítormi BCR-ABL-tyrozínkinázy bola hlásená reaktivácia hepatitídy B. Niektoré prípady viedli k akútnemu zlyhaniu pečene alebo k fulminantnej hepatitíde, ktorých výsledkom bola transplantácia pečene alebo úmrtie (pozri časť 4.4). </w:t>
      </w:r>
    </w:p>
    <w:p w14:paraId="1EAC68EB" w14:textId="77777777" w:rsidR="00C46F69" w:rsidRPr="004E1637" w:rsidRDefault="00C46F69" w:rsidP="00C46F69">
      <w:pPr>
        <w:spacing w:after="0" w:line="240" w:lineRule="auto"/>
        <w:rPr>
          <w:rFonts w:ascii="Times New Roman" w:hAnsi="Times New Roman"/>
        </w:rPr>
      </w:pPr>
    </w:p>
    <w:p w14:paraId="5A99E8CA" w14:textId="6F467971" w:rsidR="00EA2D87" w:rsidRDefault="00EA2D87" w:rsidP="00B2108E">
      <w:pPr>
        <w:pStyle w:val="CM100"/>
        <w:rPr>
          <w:sz w:val="22"/>
          <w:szCs w:val="22"/>
        </w:rPr>
      </w:pPr>
      <w:r w:rsidRPr="004E1637">
        <w:rPr>
          <w:sz w:val="22"/>
          <w:szCs w:val="22"/>
        </w:rPr>
        <w:t xml:space="preserve">Myelosupresia sa vyskytla tiež menej často v skupine liečenej dávkou 100 mg jedenkrát denne (pozri </w:t>
      </w:r>
      <w:r w:rsidR="006015AF">
        <w:rPr>
          <w:sz w:val="22"/>
          <w:szCs w:val="22"/>
        </w:rPr>
        <w:t>Odchýlky v</w:t>
      </w:r>
      <w:r w:rsidR="006015AF" w:rsidRPr="004E1637">
        <w:rPr>
          <w:sz w:val="22"/>
          <w:szCs w:val="22"/>
        </w:rPr>
        <w:t xml:space="preserve"> </w:t>
      </w:r>
      <w:r w:rsidRPr="004E1637">
        <w:rPr>
          <w:sz w:val="22"/>
          <w:szCs w:val="22"/>
        </w:rPr>
        <w:t>laboratórnych testo</w:t>
      </w:r>
      <w:r w:rsidR="006015AF">
        <w:rPr>
          <w:sz w:val="22"/>
          <w:szCs w:val="22"/>
        </w:rPr>
        <w:t>ch</w:t>
      </w:r>
      <w:r w:rsidRPr="004E1637">
        <w:rPr>
          <w:sz w:val="22"/>
          <w:szCs w:val="22"/>
        </w:rPr>
        <w:t xml:space="preserve"> nižšie). Medián trvania liečby v skupine so 100 mg jedenkrát denne bol 37 mesiacov (rozmedzie 1 – 91 mesiacov). </w:t>
      </w:r>
    </w:p>
    <w:p w14:paraId="3D5E9186" w14:textId="77777777" w:rsidR="00EA2D87" w:rsidRDefault="00EA2D87" w:rsidP="00B2108E">
      <w:pPr>
        <w:pStyle w:val="CM100"/>
        <w:rPr>
          <w:sz w:val="22"/>
          <w:szCs w:val="22"/>
        </w:rPr>
      </w:pPr>
    </w:p>
    <w:p w14:paraId="11EC58AD" w14:textId="7DADC887" w:rsidR="00B2108E" w:rsidRPr="004E1637" w:rsidRDefault="00BE76D5" w:rsidP="00B2108E">
      <w:pPr>
        <w:pStyle w:val="CM100"/>
        <w:rPr>
          <w:sz w:val="22"/>
          <w:szCs w:val="22"/>
        </w:rPr>
      </w:pPr>
      <w:r w:rsidRPr="004E1637">
        <w:rPr>
          <w:sz w:val="22"/>
          <w:szCs w:val="22"/>
        </w:rPr>
        <w:t xml:space="preserve">V štúdii </w:t>
      </w:r>
      <w:r w:rsidR="00B742B3">
        <w:rPr>
          <w:sz w:val="22"/>
          <w:szCs w:val="22"/>
        </w:rPr>
        <w:t xml:space="preserve">optimalizácie dávky </w:t>
      </w:r>
      <w:r w:rsidRPr="004E1637">
        <w:rPr>
          <w:sz w:val="22"/>
          <w:szCs w:val="22"/>
        </w:rPr>
        <w:t xml:space="preserve">fázy III s pacientmi </w:t>
      </w:r>
      <w:r w:rsidR="00C44150">
        <w:rPr>
          <w:sz w:val="22"/>
          <w:szCs w:val="22"/>
        </w:rPr>
        <w:t>s</w:t>
      </w:r>
      <w:r w:rsidRPr="004E1637">
        <w:rPr>
          <w:sz w:val="22"/>
          <w:szCs w:val="22"/>
        </w:rPr>
        <w:t xml:space="preserve"> Ph+ ALL bol medián trvania liečby 3 mesiace. Vybrané nežiaduce reakcie, ktoré sa hlásili pri odporúčanej začiatočnej dávke 140 mg jedenkrát denne sú uvedené v tabuľke </w:t>
      </w:r>
      <w:r w:rsidR="00C44150">
        <w:rPr>
          <w:sz w:val="22"/>
          <w:szCs w:val="22"/>
        </w:rPr>
        <w:t>4</w:t>
      </w:r>
      <w:r w:rsidRPr="004E1637">
        <w:rPr>
          <w:sz w:val="22"/>
          <w:szCs w:val="22"/>
        </w:rPr>
        <w:t xml:space="preserve">. Schéma dávkovania 70 mg dvakrát denne sa tiež skúmala. Schéma dávkovania 140 mg jedenkrát denne preukázala porovnateľný profil účinnosti voči schéme dávkovania 70 mg dvakrát denne, no s priaznivejším profilom bezpečnosti. </w:t>
      </w:r>
    </w:p>
    <w:p w14:paraId="33129494" w14:textId="77777777" w:rsidR="00B2108E" w:rsidRPr="004E1637" w:rsidRDefault="00B2108E" w:rsidP="00B2108E">
      <w:pPr>
        <w:pStyle w:val="CM100"/>
        <w:rPr>
          <w:sz w:val="22"/>
          <w:szCs w:val="22"/>
        </w:rPr>
      </w:pPr>
    </w:p>
    <w:p w14:paraId="6ADAC04A" w14:textId="0EF2D337" w:rsidR="00BE76D5" w:rsidRPr="004E1637" w:rsidRDefault="00BE76D5" w:rsidP="00B2108E">
      <w:pPr>
        <w:pStyle w:val="CM100"/>
        <w:tabs>
          <w:tab w:val="left" w:pos="1418"/>
        </w:tabs>
        <w:ind w:left="1418" w:hanging="1418"/>
        <w:rPr>
          <w:sz w:val="22"/>
          <w:szCs w:val="22"/>
        </w:rPr>
      </w:pPr>
      <w:r w:rsidRPr="004E1637">
        <w:rPr>
          <w:b/>
          <w:bCs/>
          <w:sz w:val="22"/>
          <w:szCs w:val="22"/>
        </w:rPr>
        <w:t xml:space="preserve">Tabuľka </w:t>
      </w:r>
      <w:r w:rsidR="00C44150">
        <w:rPr>
          <w:b/>
          <w:bCs/>
          <w:sz w:val="22"/>
          <w:szCs w:val="22"/>
        </w:rPr>
        <w:t>4</w:t>
      </w:r>
      <w:r w:rsidRPr="004E1637">
        <w:rPr>
          <w:b/>
          <w:bCs/>
          <w:sz w:val="22"/>
          <w:szCs w:val="22"/>
        </w:rPr>
        <w:t xml:space="preserve">: </w:t>
      </w:r>
      <w:r w:rsidR="00B2108E" w:rsidRPr="004E1637">
        <w:rPr>
          <w:b/>
          <w:bCs/>
          <w:sz w:val="22"/>
          <w:szCs w:val="22"/>
        </w:rPr>
        <w:tab/>
      </w:r>
      <w:r w:rsidRPr="004E1637">
        <w:rPr>
          <w:b/>
          <w:bCs/>
          <w:sz w:val="22"/>
          <w:szCs w:val="22"/>
        </w:rPr>
        <w:t>Vybrané nežiaduce reakcie hlásené zo štúdi</w:t>
      </w:r>
      <w:r w:rsidR="00B2108E" w:rsidRPr="004E1637">
        <w:rPr>
          <w:b/>
          <w:bCs/>
          <w:sz w:val="22"/>
          <w:szCs w:val="22"/>
        </w:rPr>
        <w:t xml:space="preserve">e </w:t>
      </w:r>
      <w:r w:rsidR="008D46EE">
        <w:rPr>
          <w:b/>
          <w:bCs/>
          <w:sz w:val="22"/>
          <w:szCs w:val="22"/>
        </w:rPr>
        <w:t xml:space="preserve">optimalizácie dávky </w:t>
      </w:r>
      <w:r w:rsidR="00B2108E" w:rsidRPr="004E1637">
        <w:rPr>
          <w:b/>
          <w:bCs/>
          <w:sz w:val="22"/>
          <w:szCs w:val="22"/>
        </w:rPr>
        <w:t>fázy III:</w:t>
      </w:r>
      <w:r w:rsidR="00C44150">
        <w:rPr>
          <w:b/>
          <w:bCs/>
          <w:sz w:val="22"/>
          <w:szCs w:val="22"/>
        </w:rPr>
        <w:t xml:space="preserve"> </w:t>
      </w:r>
      <w:r w:rsidR="00B2108E" w:rsidRPr="004E1637">
        <w:rPr>
          <w:b/>
          <w:bCs/>
          <w:sz w:val="22"/>
          <w:szCs w:val="22"/>
        </w:rPr>
        <w:t>Ph+ALL</w:t>
      </w:r>
      <w:r w:rsidR="00B2108E" w:rsidRPr="00C11B8A">
        <w:rPr>
          <w:b/>
          <w:bCs/>
          <w:sz w:val="22"/>
          <w:szCs w:val="22"/>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3016"/>
        <w:gridCol w:w="3016"/>
      </w:tblGrid>
      <w:tr w:rsidR="00B2108E" w:rsidRPr="004E1637" w14:paraId="3327466A" w14:textId="77777777" w:rsidTr="000E1353">
        <w:tc>
          <w:tcPr>
            <w:tcW w:w="3070" w:type="dxa"/>
            <w:tcBorders>
              <w:left w:val="nil"/>
              <w:bottom w:val="nil"/>
              <w:right w:val="nil"/>
            </w:tcBorders>
          </w:tcPr>
          <w:p w14:paraId="650FBE82" w14:textId="77777777" w:rsidR="00B2108E" w:rsidRPr="004E1637" w:rsidRDefault="00B2108E" w:rsidP="00B2108E">
            <w:pPr>
              <w:spacing w:after="0" w:line="240" w:lineRule="auto"/>
              <w:rPr>
                <w:rFonts w:ascii="Times New Roman" w:hAnsi="Times New Roman"/>
              </w:rPr>
            </w:pPr>
          </w:p>
        </w:tc>
        <w:tc>
          <w:tcPr>
            <w:tcW w:w="6141" w:type="dxa"/>
            <w:gridSpan w:val="2"/>
            <w:tcBorders>
              <w:left w:val="nil"/>
              <w:right w:val="nil"/>
            </w:tcBorders>
          </w:tcPr>
          <w:p w14:paraId="280C6329"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140 mg jedenkrát denne</w:t>
            </w:r>
          </w:p>
          <w:p w14:paraId="7E44DEE0"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b/>
              </w:rPr>
              <w:t>n = 304</w:t>
            </w:r>
          </w:p>
        </w:tc>
      </w:tr>
      <w:tr w:rsidR="00B2108E" w:rsidRPr="004E1637" w14:paraId="6AE81DCA" w14:textId="77777777" w:rsidTr="000E1353">
        <w:tc>
          <w:tcPr>
            <w:tcW w:w="3070" w:type="dxa"/>
            <w:tcBorders>
              <w:top w:val="nil"/>
              <w:left w:val="nil"/>
              <w:bottom w:val="nil"/>
              <w:right w:val="nil"/>
            </w:tcBorders>
          </w:tcPr>
          <w:p w14:paraId="04C520E9" w14:textId="77777777" w:rsidR="00B2108E" w:rsidRPr="004E1637" w:rsidRDefault="00B2108E" w:rsidP="00B2108E">
            <w:pPr>
              <w:spacing w:after="0" w:line="240" w:lineRule="auto"/>
              <w:rPr>
                <w:rFonts w:ascii="Times New Roman" w:hAnsi="Times New Roman"/>
              </w:rPr>
            </w:pPr>
          </w:p>
        </w:tc>
        <w:tc>
          <w:tcPr>
            <w:tcW w:w="3070" w:type="dxa"/>
            <w:tcBorders>
              <w:left w:val="nil"/>
              <w:right w:val="nil"/>
            </w:tcBorders>
          </w:tcPr>
          <w:p w14:paraId="198C3A4D"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Všetky stupne</w:t>
            </w:r>
          </w:p>
        </w:tc>
        <w:tc>
          <w:tcPr>
            <w:tcW w:w="3071" w:type="dxa"/>
            <w:tcBorders>
              <w:left w:val="nil"/>
              <w:right w:val="nil"/>
            </w:tcBorders>
          </w:tcPr>
          <w:p w14:paraId="33A56388"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3./4. stupeň</w:t>
            </w:r>
          </w:p>
        </w:tc>
      </w:tr>
      <w:tr w:rsidR="00B2108E" w:rsidRPr="004E1637" w14:paraId="2D85C759" w14:textId="77777777" w:rsidTr="000E1353">
        <w:tc>
          <w:tcPr>
            <w:tcW w:w="3070" w:type="dxa"/>
            <w:tcBorders>
              <w:top w:val="nil"/>
              <w:left w:val="nil"/>
              <w:right w:val="nil"/>
            </w:tcBorders>
          </w:tcPr>
          <w:p w14:paraId="65CBAFDD"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t>Preferovaný výraz</w:t>
            </w:r>
          </w:p>
        </w:tc>
        <w:tc>
          <w:tcPr>
            <w:tcW w:w="6141" w:type="dxa"/>
            <w:gridSpan w:val="2"/>
            <w:tcBorders>
              <w:left w:val="nil"/>
              <w:right w:val="nil"/>
            </w:tcBorders>
          </w:tcPr>
          <w:p w14:paraId="52269743" w14:textId="77777777" w:rsidR="00B2108E" w:rsidRPr="004E1637" w:rsidRDefault="00B2108E" w:rsidP="00B2108E">
            <w:pPr>
              <w:spacing w:after="0" w:line="240" w:lineRule="auto"/>
              <w:jc w:val="center"/>
              <w:rPr>
                <w:rFonts w:ascii="Times New Roman" w:hAnsi="Times New Roman"/>
                <w:b/>
              </w:rPr>
            </w:pPr>
            <w:r w:rsidRPr="004E1637">
              <w:rPr>
                <w:rFonts w:ascii="Times New Roman" w:hAnsi="Times New Roman"/>
                <w:b/>
              </w:rPr>
              <w:t>Percento (%) pacientov</w:t>
            </w:r>
          </w:p>
        </w:tc>
      </w:tr>
      <w:tr w:rsidR="00B2108E" w:rsidRPr="004E1637" w14:paraId="39ACA6DC" w14:textId="77777777" w:rsidTr="000E1353">
        <w:tc>
          <w:tcPr>
            <w:tcW w:w="3070" w:type="dxa"/>
            <w:tcBorders>
              <w:left w:val="nil"/>
              <w:bottom w:val="nil"/>
              <w:right w:val="nil"/>
            </w:tcBorders>
          </w:tcPr>
          <w:p w14:paraId="003D6B4A"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t>Hnačka</w:t>
            </w:r>
          </w:p>
        </w:tc>
        <w:tc>
          <w:tcPr>
            <w:tcW w:w="3070" w:type="dxa"/>
            <w:tcBorders>
              <w:left w:val="nil"/>
              <w:bottom w:val="nil"/>
              <w:right w:val="nil"/>
            </w:tcBorders>
          </w:tcPr>
          <w:p w14:paraId="4F49B413"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28</w:t>
            </w:r>
          </w:p>
        </w:tc>
        <w:tc>
          <w:tcPr>
            <w:tcW w:w="3071" w:type="dxa"/>
            <w:tcBorders>
              <w:left w:val="nil"/>
              <w:bottom w:val="nil"/>
              <w:right w:val="nil"/>
            </w:tcBorders>
          </w:tcPr>
          <w:p w14:paraId="598E0D9A"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3</w:t>
            </w:r>
          </w:p>
        </w:tc>
      </w:tr>
      <w:tr w:rsidR="00B2108E" w:rsidRPr="004E1637" w14:paraId="49A42F2A" w14:textId="77777777" w:rsidTr="000E1353">
        <w:tc>
          <w:tcPr>
            <w:tcW w:w="3070" w:type="dxa"/>
            <w:tcBorders>
              <w:top w:val="nil"/>
              <w:left w:val="nil"/>
              <w:bottom w:val="nil"/>
              <w:right w:val="nil"/>
            </w:tcBorders>
          </w:tcPr>
          <w:p w14:paraId="2F8A1E90"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lastRenderedPageBreak/>
              <w:t>Retencia tekutín</w:t>
            </w:r>
          </w:p>
        </w:tc>
        <w:tc>
          <w:tcPr>
            <w:tcW w:w="3070" w:type="dxa"/>
            <w:tcBorders>
              <w:top w:val="nil"/>
              <w:left w:val="nil"/>
              <w:bottom w:val="nil"/>
              <w:right w:val="nil"/>
            </w:tcBorders>
          </w:tcPr>
          <w:p w14:paraId="60C34F94"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33</w:t>
            </w:r>
          </w:p>
        </w:tc>
        <w:tc>
          <w:tcPr>
            <w:tcW w:w="3071" w:type="dxa"/>
            <w:tcBorders>
              <w:top w:val="nil"/>
              <w:left w:val="nil"/>
              <w:bottom w:val="nil"/>
              <w:right w:val="nil"/>
            </w:tcBorders>
          </w:tcPr>
          <w:p w14:paraId="3FD0D5BB"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7</w:t>
            </w:r>
          </w:p>
        </w:tc>
      </w:tr>
      <w:tr w:rsidR="00B2108E" w:rsidRPr="004E1637" w14:paraId="4B9726A2" w14:textId="77777777" w:rsidTr="000E1353">
        <w:tc>
          <w:tcPr>
            <w:tcW w:w="3070" w:type="dxa"/>
            <w:tcBorders>
              <w:top w:val="nil"/>
              <w:left w:val="nil"/>
              <w:bottom w:val="nil"/>
              <w:right w:val="nil"/>
            </w:tcBorders>
          </w:tcPr>
          <w:p w14:paraId="3AB23BFE"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Povrchový edém</w:t>
            </w:r>
          </w:p>
        </w:tc>
        <w:tc>
          <w:tcPr>
            <w:tcW w:w="3070" w:type="dxa"/>
            <w:tcBorders>
              <w:top w:val="nil"/>
              <w:left w:val="nil"/>
              <w:bottom w:val="nil"/>
              <w:right w:val="nil"/>
            </w:tcBorders>
          </w:tcPr>
          <w:p w14:paraId="62B46207"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15</w:t>
            </w:r>
          </w:p>
        </w:tc>
        <w:tc>
          <w:tcPr>
            <w:tcW w:w="3071" w:type="dxa"/>
            <w:tcBorders>
              <w:top w:val="nil"/>
              <w:left w:val="nil"/>
              <w:bottom w:val="nil"/>
              <w:right w:val="nil"/>
            </w:tcBorders>
          </w:tcPr>
          <w:p w14:paraId="3D218FD1"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&lt;1</w:t>
            </w:r>
          </w:p>
        </w:tc>
      </w:tr>
      <w:tr w:rsidR="00B2108E" w:rsidRPr="004E1637" w14:paraId="768DA9EB" w14:textId="77777777" w:rsidTr="000E1353">
        <w:tc>
          <w:tcPr>
            <w:tcW w:w="3070" w:type="dxa"/>
            <w:tcBorders>
              <w:top w:val="nil"/>
              <w:left w:val="nil"/>
              <w:bottom w:val="nil"/>
              <w:right w:val="nil"/>
            </w:tcBorders>
          </w:tcPr>
          <w:p w14:paraId="00B1E94D"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Pleurálny výpotok</w:t>
            </w:r>
          </w:p>
        </w:tc>
        <w:tc>
          <w:tcPr>
            <w:tcW w:w="3070" w:type="dxa"/>
            <w:tcBorders>
              <w:top w:val="nil"/>
              <w:left w:val="nil"/>
              <w:bottom w:val="nil"/>
              <w:right w:val="nil"/>
            </w:tcBorders>
          </w:tcPr>
          <w:p w14:paraId="444FD749"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20</w:t>
            </w:r>
          </w:p>
        </w:tc>
        <w:tc>
          <w:tcPr>
            <w:tcW w:w="3071" w:type="dxa"/>
            <w:tcBorders>
              <w:top w:val="nil"/>
              <w:left w:val="nil"/>
              <w:bottom w:val="nil"/>
              <w:right w:val="nil"/>
            </w:tcBorders>
          </w:tcPr>
          <w:p w14:paraId="4602DAB8"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6</w:t>
            </w:r>
          </w:p>
        </w:tc>
      </w:tr>
      <w:tr w:rsidR="00B2108E" w:rsidRPr="004E1637" w14:paraId="5C6975EB" w14:textId="77777777" w:rsidTr="000E1353">
        <w:tc>
          <w:tcPr>
            <w:tcW w:w="3070" w:type="dxa"/>
            <w:tcBorders>
              <w:top w:val="nil"/>
              <w:left w:val="nil"/>
              <w:bottom w:val="nil"/>
              <w:right w:val="nil"/>
            </w:tcBorders>
          </w:tcPr>
          <w:p w14:paraId="33BC9DD9"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Generalizovaný edém</w:t>
            </w:r>
          </w:p>
        </w:tc>
        <w:tc>
          <w:tcPr>
            <w:tcW w:w="3070" w:type="dxa"/>
            <w:tcBorders>
              <w:top w:val="nil"/>
              <w:left w:val="nil"/>
              <w:bottom w:val="nil"/>
              <w:right w:val="nil"/>
            </w:tcBorders>
          </w:tcPr>
          <w:p w14:paraId="660062E0"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w:t>
            </w:r>
          </w:p>
        </w:tc>
        <w:tc>
          <w:tcPr>
            <w:tcW w:w="3071" w:type="dxa"/>
            <w:tcBorders>
              <w:top w:val="nil"/>
              <w:left w:val="nil"/>
              <w:bottom w:val="nil"/>
              <w:right w:val="nil"/>
            </w:tcBorders>
          </w:tcPr>
          <w:p w14:paraId="37DE0B6F"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0</w:t>
            </w:r>
          </w:p>
        </w:tc>
      </w:tr>
      <w:tr w:rsidR="00B2108E" w:rsidRPr="004E1637" w14:paraId="3357A489" w14:textId="77777777" w:rsidTr="000E1353">
        <w:tc>
          <w:tcPr>
            <w:tcW w:w="3070" w:type="dxa"/>
            <w:tcBorders>
              <w:top w:val="nil"/>
              <w:left w:val="nil"/>
              <w:bottom w:val="nil"/>
              <w:right w:val="nil"/>
            </w:tcBorders>
          </w:tcPr>
          <w:p w14:paraId="54DD94FB" w14:textId="76467571" w:rsidR="00B2108E" w:rsidRPr="004E1637" w:rsidRDefault="00B2108E" w:rsidP="00B448E1">
            <w:pPr>
              <w:spacing w:after="0" w:line="240" w:lineRule="auto"/>
              <w:rPr>
                <w:rFonts w:ascii="Times New Roman" w:hAnsi="Times New Roman"/>
              </w:rPr>
            </w:pPr>
            <w:r w:rsidRPr="004E1637">
              <w:rPr>
                <w:rFonts w:ascii="Times New Roman" w:hAnsi="Times New Roman"/>
              </w:rPr>
              <w:t>Kongestívne zlyh</w:t>
            </w:r>
            <w:r w:rsidR="00B448E1">
              <w:rPr>
                <w:rFonts w:ascii="Times New Roman" w:hAnsi="Times New Roman"/>
              </w:rPr>
              <w:t>ávanie srdca</w:t>
            </w:r>
            <w:r w:rsidRPr="004E1637">
              <w:rPr>
                <w:rFonts w:ascii="Times New Roman" w:hAnsi="Times New Roman"/>
              </w:rPr>
              <w:t>/srdcová dysfunkcia</w:t>
            </w:r>
            <w:r w:rsidRPr="004E1637">
              <w:rPr>
                <w:rFonts w:ascii="Times New Roman" w:hAnsi="Times New Roman"/>
                <w:vertAlign w:val="superscript"/>
              </w:rPr>
              <w:t>b</w:t>
            </w:r>
          </w:p>
        </w:tc>
        <w:tc>
          <w:tcPr>
            <w:tcW w:w="3070" w:type="dxa"/>
            <w:tcBorders>
              <w:top w:val="nil"/>
              <w:left w:val="nil"/>
              <w:bottom w:val="nil"/>
              <w:right w:val="nil"/>
            </w:tcBorders>
          </w:tcPr>
          <w:p w14:paraId="53A94E81" w14:textId="77777777" w:rsidR="00B2108E" w:rsidRPr="004E1637" w:rsidRDefault="00B2108E" w:rsidP="00B2108E">
            <w:pPr>
              <w:spacing w:after="0" w:line="240" w:lineRule="auto"/>
              <w:jc w:val="center"/>
              <w:rPr>
                <w:rFonts w:ascii="Times New Roman" w:hAnsi="Times New Roman"/>
              </w:rPr>
            </w:pPr>
          </w:p>
          <w:p w14:paraId="2135853B"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c>
          <w:tcPr>
            <w:tcW w:w="3071" w:type="dxa"/>
            <w:tcBorders>
              <w:top w:val="nil"/>
              <w:left w:val="nil"/>
              <w:bottom w:val="nil"/>
              <w:right w:val="nil"/>
            </w:tcBorders>
          </w:tcPr>
          <w:p w14:paraId="1D44DE29" w14:textId="77777777" w:rsidR="00B2108E" w:rsidRPr="004E1637" w:rsidRDefault="00B2108E" w:rsidP="00B2108E">
            <w:pPr>
              <w:spacing w:after="0" w:line="240" w:lineRule="auto"/>
              <w:jc w:val="center"/>
              <w:rPr>
                <w:rFonts w:ascii="Times New Roman" w:hAnsi="Times New Roman"/>
              </w:rPr>
            </w:pPr>
          </w:p>
          <w:p w14:paraId="760B876F"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0</w:t>
            </w:r>
          </w:p>
        </w:tc>
      </w:tr>
      <w:tr w:rsidR="00B2108E" w:rsidRPr="004E1637" w14:paraId="5601A6D6" w14:textId="77777777" w:rsidTr="000E1353">
        <w:tc>
          <w:tcPr>
            <w:tcW w:w="3070" w:type="dxa"/>
            <w:tcBorders>
              <w:top w:val="nil"/>
              <w:left w:val="nil"/>
              <w:bottom w:val="nil"/>
              <w:right w:val="nil"/>
            </w:tcBorders>
          </w:tcPr>
          <w:p w14:paraId="444FF54F"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Perikardiálny výpotok</w:t>
            </w:r>
          </w:p>
        </w:tc>
        <w:tc>
          <w:tcPr>
            <w:tcW w:w="3070" w:type="dxa"/>
            <w:tcBorders>
              <w:top w:val="nil"/>
              <w:left w:val="nil"/>
              <w:bottom w:val="nil"/>
              <w:right w:val="nil"/>
            </w:tcBorders>
          </w:tcPr>
          <w:p w14:paraId="4A82B3DC"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w:t>
            </w:r>
          </w:p>
        </w:tc>
        <w:tc>
          <w:tcPr>
            <w:tcW w:w="3071" w:type="dxa"/>
            <w:tcBorders>
              <w:top w:val="nil"/>
              <w:left w:val="nil"/>
              <w:bottom w:val="nil"/>
              <w:right w:val="nil"/>
            </w:tcBorders>
          </w:tcPr>
          <w:p w14:paraId="133AE8CC"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r>
      <w:tr w:rsidR="00B2108E" w:rsidRPr="004E1637" w14:paraId="3F0BC383" w14:textId="77777777" w:rsidTr="000E1353">
        <w:tc>
          <w:tcPr>
            <w:tcW w:w="3070" w:type="dxa"/>
            <w:tcBorders>
              <w:top w:val="nil"/>
              <w:left w:val="nil"/>
              <w:bottom w:val="nil"/>
              <w:right w:val="nil"/>
            </w:tcBorders>
          </w:tcPr>
          <w:p w14:paraId="186A3995"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Pľúcny edém</w:t>
            </w:r>
          </w:p>
        </w:tc>
        <w:tc>
          <w:tcPr>
            <w:tcW w:w="3070" w:type="dxa"/>
            <w:tcBorders>
              <w:top w:val="nil"/>
              <w:left w:val="nil"/>
              <w:bottom w:val="nil"/>
              <w:right w:val="nil"/>
            </w:tcBorders>
          </w:tcPr>
          <w:p w14:paraId="3E2FDACD"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c>
          <w:tcPr>
            <w:tcW w:w="3071" w:type="dxa"/>
            <w:tcBorders>
              <w:top w:val="nil"/>
              <w:left w:val="nil"/>
              <w:bottom w:val="nil"/>
              <w:right w:val="nil"/>
            </w:tcBorders>
          </w:tcPr>
          <w:p w14:paraId="4CE9C3DD"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1</w:t>
            </w:r>
          </w:p>
        </w:tc>
      </w:tr>
      <w:tr w:rsidR="00B2108E" w:rsidRPr="004E1637" w14:paraId="49EBE1B4" w14:textId="77777777" w:rsidTr="000E1353">
        <w:tc>
          <w:tcPr>
            <w:tcW w:w="3070" w:type="dxa"/>
            <w:tcBorders>
              <w:top w:val="nil"/>
              <w:left w:val="nil"/>
              <w:bottom w:val="nil"/>
              <w:right w:val="nil"/>
            </w:tcBorders>
          </w:tcPr>
          <w:p w14:paraId="41584458" w14:textId="77777777" w:rsidR="00B2108E" w:rsidRPr="004E1637" w:rsidRDefault="00B2108E" w:rsidP="00B2108E">
            <w:pPr>
              <w:spacing w:after="0" w:line="240" w:lineRule="auto"/>
              <w:rPr>
                <w:rFonts w:ascii="Times New Roman" w:hAnsi="Times New Roman"/>
                <w:b/>
              </w:rPr>
            </w:pPr>
            <w:r w:rsidRPr="004E1637">
              <w:rPr>
                <w:rFonts w:ascii="Times New Roman" w:hAnsi="Times New Roman"/>
                <w:b/>
              </w:rPr>
              <w:t>Krvácanie</w:t>
            </w:r>
          </w:p>
        </w:tc>
        <w:tc>
          <w:tcPr>
            <w:tcW w:w="3070" w:type="dxa"/>
            <w:tcBorders>
              <w:top w:val="nil"/>
              <w:left w:val="nil"/>
              <w:bottom w:val="nil"/>
              <w:right w:val="nil"/>
            </w:tcBorders>
          </w:tcPr>
          <w:p w14:paraId="7242AFF1"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23</w:t>
            </w:r>
          </w:p>
        </w:tc>
        <w:tc>
          <w:tcPr>
            <w:tcW w:w="3071" w:type="dxa"/>
            <w:tcBorders>
              <w:top w:val="nil"/>
              <w:left w:val="nil"/>
              <w:bottom w:val="nil"/>
              <w:right w:val="nil"/>
            </w:tcBorders>
          </w:tcPr>
          <w:p w14:paraId="0364B7CD"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8</w:t>
            </w:r>
          </w:p>
        </w:tc>
      </w:tr>
      <w:tr w:rsidR="00B2108E" w:rsidRPr="004E1637" w14:paraId="33BF9C34" w14:textId="77777777" w:rsidTr="000E1353">
        <w:tc>
          <w:tcPr>
            <w:tcW w:w="3070" w:type="dxa"/>
            <w:tcBorders>
              <w:top w:val="nil"/>
              <w:left w:val="nil"/>
              <w:right w:val="nil"/>
            </w:tcBorders>
          </w:tcPr>
          <w:p w14:paraId="793E9300" w14:textId="77777777" w:rsidR="00B2108E" w:rsidRPr="004E1637" w:rsidRDefault="00B2108E" w:rsidP="00B2108E">
            <w:pPr>
              <w:spacing w:after="0" w:line="240" w:lineRule="auto"/>
              <w:rPr>
                <w:rFonts w:ascii="Times New Roman" w:hAnsi="Times New Roman"/>
              </w:rPr>
            </w:pPr>
            <w:r w:rsidRPr="004E1637">
              <w:rPr>
                <w:rFonts w:ascii="Times New Roman" w:hAnsi="Times New Roman"/>
              </w:rPr>
              <w:t>Gastrointestinálne krvácanie</w:t>
            </w:r>
          </w:p>
        </w:tc>
        <w:tc>
          <w:tcPr>
            <w:tcW w:w="3070" w:type="dxa"/>
            <w:tcBorders>
              <w:top w:val="nil"/>
              <w:left w:val="nil"/>
              <w:right w:val="nil"/>
            </w:tcBorders>
          </w:tcPr>
          <w:p w14:paraId="709A5451"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8</w:t>
            </w:r>
          </w:p>
        </w:tc>
        <w:tc>
          <w:tcPr>
            <w:tcW w:w="3071" w:type="dxa"/>
            <w:tcBorders>
              <w:top w:val="nil"/>
              <w:left w:val="nil"/>
              <w:right w:val="nil"/>
            </w:tcBorders>
          </w:tcPr>
          <w:p w14:paraId="6BA1A83A" w14:textId="77777777" w:rsidR="00B2108E" w:rsidRPr="004E1637" w:rsidRDefault="00B2108E" w:rsidP="00B2108E">
            <w:pPr>
              <w:spacing w:after="0" w:line="240" w:lineRule="auto"/>
              <w:jc w:val="center"/>
              <w:rPr>
                <w:rFonts w:ascii="Times New Roman" w:hAnsi="Times New Roman"/>
              </w:rPr>
            </w:pPr>
            <w:r w:rsidRPr="004E1637">
              <w:rPr>
                <w:rFonts w:ascii="Times New Roman" w:hAnsi="Times New Roman"/>
              </w:rPr>
              <w:t>6</w:t>
            </w:r>
          </w:p>
        </w:tc>
      </w:tr>
    </w:tbl>
    <w:p w14:paraId="58D8365B" w14:textId="113D754B" w:rsidR="00B2108E" w:rsidRPr="004E1637" w:rsidRDefault="00B2108E" w:rsidP="00B2108E">
      <w:pPr>
        <w:tabs>
          <w:tab w:val="left" w:pos="426"/>
        </w:tabs>
        <w:spacing w:after="0" w:line="240" w:lineRule="auto"/>
        <w:ind w:left="426" w:hanging="426"/>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Pr="004E1637">
        <w:rPr>
          <w:rFonts w:ascii="Times New Roman" w:hAnsi="Times New Roman"/>
          <w:sz w:val="18"/>
          <w:szCs w:val="18"/>
        </w:rPr>
        <w:tab/>
        <w:t xml:space="preserve">Výsledky štúdie </w:t>
      </w:r>
      <w:r w:rsidR="00E2165B">
        <w:rPr>
          <w:rFonts w:ascii="Times New Roman" w:hAnsi="Times New Roman"/>
          <w:sz w:val="18"/>
          <w:szCs w:val="18"/>
        </w:rPr>
        <w:t xml:space="preserve">optimalizácie dávky </w:t>
      </w:r>
      <w:r w:rsidRPr="004E1637">
        <w:rPr>
          <w:rFonts w:ascii="Times New Roman" w:hAnsi="Times New Roman"/>
          <w:sz w:val="18"/>
          <w:szCs w:val="18"/>
        </w:rPr>
        <w:t>3. fázy hlásené v populácii s odporúčanou začiatočnou dávkou 140 mg jedenkrát denne (n=</w:t>
      </w:r>
      <w:r w:rsidRPr="00B00FC2">
        <w:rPr>
          <w:rFonts w:ascii="Times New Roman" w:hAnsi="Times New Roman"/>
          <w:sz w:val="18"/>
          <w:szCs w:val="18"/>
        </w:rPr>
        <w:t>304) pri 2-ročnej finálnej štúdii následného sledovania</w:t>
      </w:r>
      <w:r w:rsidRPr="004E1637">
        <w:rPr>
          <w:rFonts w:ascii="Times New Roman" w:hAnsi="Times New Roman"/>
          <w:sz w:val="18"/>
          <w:szCs w:val="18"/>
        </w:rPr>
        <w:t xml:space="preserve">. </w:t>
      </w:r>
    </w:p>
    <w:p w14:paraId="79AA1520" w14:textId="59388DE2" w:rsidR="00B2108E" w:rsidRPr="004E1637" w:rsidRDefault="00B2108E" w:rsidP="00B2108E">
      <w:pPr>
        <w:tabs>
          <w:tab w:val="left" w:pos="426"/>
        </w:tabs>
        <w:spacing w:after="0" w:line="240" w:lineRule="auto"/>
        <w:ind w:left="426" w:hanging="426"/>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 xml:space="preserve"> </w:t>
      </w:r>
      <w:r w:rsidRPr="004E1637">
        <w:rPr>
          <w:rFonts w:ascii="Times New Roman" w:hAnsi="Times New Roman"/>
          <w:sz w:val="18"/>
          <w:szCs w:val="18"/>
        </w:rPr>
        <w:tab/>
        <w:t>Vrátane komorovej dysfunkcie, srdcového zlyhania, kongestívneho zlyh</w:t>
      </w:r>
      <w:r w:rsidR="00E51527">
        <w:rPr>
          <w:rFonts w:ascii="Times New Roman" w:hAnsi="Times New Roman"/>
          <w:sz w:val="18"/>
          <w:szCs w:val="18"/>
        </w:rPr>
        <w:t>ávania srdca</w:t>
      </w:r>
      <w:r w:rsidRPr="004E1637">
        <w:rPr>
          <w:rFonts w:ascii="Times New Roman" w:hAnsi="Times New Roman"/>
          <w:sz w:val="18"/>
          <w:szCs w:val="18"/>
        </w:rPr>
        <w:t>, kardiomyopatie, kongestívnej kardiomyopatie, diastolickej d</w:t>
      </w:r>
      <w:r w:rsidR="00F23991">
        <w:rPr>
          <w:rFonts w:ascii="Times New Roman" w:hAnsi="Times New Roman"/>
          <w:sz w:val="18"/>
          <w:szCs w:val="18"/>
        </w:rPr>
        <w:t>y</w:t>
      </w:r>
      <w:r w:rsidRPr="004E1637">
        <w:rPr>
          <w:rFonts w:ascii="Times New Roman" w:hAnsi="Times New Roman"/>
          <w:sz w:val="18"/>
          <w:szCs w:val="18"/>
        </w:rPr>
        <w:t xml:space="preserve">sfunkcie, zníženie ejekčnej frakcie a komorového zlyhania </w:t>
      </w:r>
    </w:p>
    <w:p w14:paraId="0CF96530" w14:textId="77777777" w:rsidR="00B2108E" w:rsidRPr="004E1637" w:rsidRDefault="00B2108E" w:rsidP="00B2108E">
      <w:pPr>
        <w:spacing w:after="0" w:line="240" w:lineRule="auto"/>
        <w:rPr>
          <w:rFonts w:ascii="Times New Roman" w:hAnsi="Times New Roman"/>
        </w:rPr>
      </w:pPr>
    </w:p>
    <w:p w14:paraId="249DD425" w14:textId="37035B45" w:rsidR="00C05AFB" w:rsidRPr="00C05AFB" w:rsidRDefault="00C05AFB" w:rsidP="00C05AFB">
      <w:pPr>
        <w:spacing w:after="0" w:line="240" w:lineRule="auto"/>
        <w:rPr>
          <w:rFonts w:ascii="Times New Roman" w:hAnsi="Times New Roman"/>
        </w:rPr>
      </w:pPr>
      <w:r w:rsidRPr="00C05AFB">
        <w:rPr>
          <w:rFonts w:ascii="Times New Roman" w:hAnsi="Times New Roman"/>
        </w:rPr>
        <w:t>Vykonali sa naviac dve štúdie s celkovo 161 pediatrickými pacientmi s</w:t>
      </w:r>
      <w:r w:rsidR="00DF489B">
        <w:rPr>
          <w:rFonts w:ascii="Times New Roman" w:hAnsi="Times New Roman"/>
        </w:rPr>
        <w:t xml:space="preserve"> Ph+ </w:t>
      </w:r>
      <w:r w:rsidRPr="00C05AFB">
        <w:rPr>
          <w:rFonts w:ascii="Times New Roman" w:hAnsi="Times New Roman"/>
        </w:rPr>
        <w:t>ALL, ktorým sa</w:t>
      </w:r>
    </w:p>
    <w:p w14:paraId="55E059C5" w14:textId="018ABF63" w:rsidR="00C05AFB" w:rsidRPr="00C05AFB" w:rsidRDefault="00C05AFB" w:rsidP="00C05AFB">
      <w:pPr>
        <w:spacing w:after="0" w:line="240" w:lineRule="auto"/>
        <w:rPr>
          <w:rFonts w:ascii="Times New Roman" w:hAnsi="Times New Roman"/>
        </w:rPr>
      </w:pPr>
      <w:r>
        <w:rPr>
          <w:rFonts w:ascii="Times New Roman" w:hAnsi="Times New Roman"/>
        </w:rPr>
        <w:t>dasatinib</w:t>
      </w:r>
      <w:r w:rsidRPr="00C05AFB">
        <w:rPr>
          <w:rFonts w:ascii="Times New Roman" w:hAnsi="Times New Roman"/>
        </w:rPr>
        <w:t xml:space="preserve"> podával v kombinácii s chemoterapiou. V pivotnej štúdii, 106 pediatrických pacientov</w:t>
      </w:r>
    </w:p>
    <w:p w14:paraId="1AE0BB9A" w14:textId="3214CEAE" w:rsidR="00C05AFB" w:rsidRPr="00C05AFB" w:rsidRDefault="00C05AFB" w:rsidP="00C05AFB">
      <w:pPr>
        <w:spacing w:after="0" w:line="240" w:lineRule="auto"/>
        <w:rPr>
          <w:rFonts w:ascii="Times New Roman" w:hAnsi="Times New Roman"/>
        </w:rPr>
      </w:pPr>
      <w:r w:rsidRPr="00C05AFB">
        <w:rPr>
          <w:rFonts w:ascii="Times New Roman" w:hAnsi="Times New Roman"/>
        </w:rPr>
        <w:t xml:space="preserve">dostalo </w:t>
      </w:r>
      <w:r w:rsidR="00740FB8">
        <w:rPr>
          <w:rFonts w:ascii="Times New Roman" w:hAnsi="Times New Roman"/>
        </w:rPr>
        <w:t>dasatinib</w:t>
      </w:r>
      <w:r w:rsidRPr="00C05AFB">
        <w:rPr>
          <w:rFonts w:ascii="Times New Roman" w:hAnsi="Times New Roman"/>
        </w:rPr>
        <w:t xml:space="preserve"> v kombinácii s chemoterapiou s neprerušovanou schémou podávania. V podpornej</w:t>
      </w:r>
    </w:p>
    <w:p w14:paraId="3A89BF0A" w14:textId="646D885A" w:rsidR="00C05AFB" w:rsidRPr="00C05AFB" w:rsidRDefault="00C05AFB" w:rsidP="00C05AFB">
      <w:pPr>
        <w:spacing w:after="0" w:line="240" w:lineRule="auto"/>
        <w:rPr>
          <w:rFonts w:ascii="Times New Roman" w:hAnsi="Times New Roman"/>
        </w:rPr>
      </w:pPr>
      <w:r w:rsidRPr="00C05AFB">
        <w:rPr>
          <w:rFonts w:ascii="Times New Roman" w:hAnsi="Times New Roman"/>
        </w:rPr>
        <w:t xml:space="preserve">štúdii s 55 pediatrickými pacientmi, 35 dostávalo </w:t>
      </w:r>
      <w:r w:rsidR="00740FB8">
        <w:rPr>
          <w:rFonts w:ascii="Times New Roman" w:hAnsi="Times New Roman"/>
        </w:rPr>
        <w:t>dasatinib</w:t>
      </w:r>
      <w:r w:rsidRPr="00C05AFB">
        <w:rPr>
          <w:rFonts w:ascii="Times New Roman" w:hAnsi="Times New Roman"/>
        </w:rPr>
        <w:t xml:space="preserve"> v kombinácii s chemoterapiou s</w:t>
      </w:r>
    </w:p>
    <w:p w14:paraId="5172B008" w14:textId="77777777" w:rsidR="00C05AFB" w:rsidRPr="00C05AFB" w:rsidRDefault="00C05AFB" w:rsidP="00C05AFB">
      <w:pPr>
        <w:spacing w:after="0" w:line="240" w:lineRule="auto"/>
        <w:rPr>
          <w:rFonts w:ascii="Times New Roman" w:hAnsi="Times New Roman"/>
        </w:rPr>
      </w:pPr>
      <w:r w:rsidRPr="00C05AFB">
        <w:rPr>
          <w:rFonts w:ascii="Times New Roman" w:hAnsi="Times New Roman"/>
        </w:rPr>
        <w:t>prerušovanou schémou podávania (dva týždne liečby po ktorých nasledoval jeden až dva týždne bez</w:t>
      </w:r>
    </w:p>
    <w:p w14:paraId="37D81519" w14:textId="63D255EF" w:rsidR="00C05AFB" w:rsidRPr="00C05AFB" w:rsidRDefault="00C05AFB" w:rsidP="00C05AFB">
      <w:pPr>
        <w:spacing w:after="0" w:line="240" w:lineRule="auto"/>
        <w:rPr>
          <w:rFonts w:ascii="Times New Roman" w:hAnsi="Times New Roman"/>
        </w:rPr>
      </w:pPr>
      <w:r w:rsidRPr="00C05AFB">
        <w:rPr>
          <w:rFonts w:ascii="Times New Roman" w:hAnsi="Times New Roman"/>
        </w:rPr>
        <w:t xml:space="preserve">liečby) a 20 dostávalo </w:t>
      </w:r>
      <w:r w:rsidR="00740FB8">
        <w:rPr>
          <w:rFonts w:ascii="Times New Roman" w:hAnsi="Times New Roman"/>
        </w:rPr>
        <w:t>dasatinib</w:t>
      </w:r>
      <w:r w:rsidRPr="00C05AFB">
        <w:rPr>
          <w:rFonts w:ascii="Times New Roman" w:hAnsi="Times New Roman"/>
        </w:rPr>
        <w:t xml:space="preserve"> v kombinácii s chemoterapiou s neprerušovanou schémou</w:t>
      </w:r>
    </w:p>
    <w:p w14:paraId="77AE3306" w14:textId="7EABF284" w:rsidR="00C05AFB" w:rsidRPr="00C05AFB" w:rsidRDefault="00C05AFB" w:rsidP="00C05AFB">
      <w:pPr>
        <w:spacing w:after="0" w:line="240" w:lineRule="auto"/>
        <w:rPr>
          <w:rFonts w:ascii="Times New Roman" w:hAnsi="Times New Roman"/>
        </w:rPr>
      </w:pPr>
      <w:r w:rsidRPr="00C05AFB">
        <w:rPr>
          <w:rFonts w:ascii="Times New Roman" w:hAnsi="Times New Roman"/>
        </w:rPr>
        <w:t xml:space="preserve">podávania. U 126 pediatrických pacientov s </w:t>
      </w:r>
      <w:r w:rsidR="00DF489B" w:rsidRPr="00C05AFB">
        <w:rPr>
          <w:rFonts w:ascii="Times New Roman" w:hAnsi="Times New Roman"/>
        </w:rPr>
        <w:t xml:space="preserve">Ph+ </w:t>
      </w:r>
      <w:r w:rsidRPr="00C05AFB">
        <w:rPr>
          <w:rFonts w:ascii="Times New Roman" w:hAnsi="Times New Roman"/>
        </w:rPr>
        <w:t xml:space="preserve">ALL liečených </w:t>
      </w:r>
      <w:r w:rsidR="00740FB8">
        <w:rPr>
          <w:rFonts w:ascii="Times New Roman" w:hAnsi="Times New Roman"/>
        </w:rPr>
        <w:t>dasatinibom</w:t>
      </w:r>
      <w:r w:rsidRPr="00C05AFB">
        <w:rPr>
          <w:rFonts w:ascii="Times New Roman" w:hAnsi="Times New Roman"/>
        </w:rPr>
        <w:t xml:space="preserve"> s neprerušovanou</w:t>
      </w:r>
    </w:p>
    <w:p w14:paraId="70E8704D" w14:textId="77777777" w:rsidR="00C05AFB" w:rsidRPr="00C05AFB" w:rsidRDefault="00C05AFB" w:rsidP="00C05AFB">
      <w:pPr>
        <w:spacing w:after="0" w:line="240" w:lineRule="auto"/>
        <w:rPr>
          <w:rFonts w:ascii="Times New Roman" w:hAnsi="Times New Roman"/>
        </w:rPr>
      </w:pPr>
      <w:r w:rsidRPr="00C05AFB">
        <w:rPr>
          <w:rFonts w:ascii="Times New Roman" w:hAnsi="Times New Roman"/>
        </w:rPr>
        <w:t>schémou podávania bol medián trvania liečby 23,6 mesiaca (rozsah 1,4 až 33 mesiacov).</w:t>
      </w:r>
    </w:p>
    <w:p w14:paraId="7AFA4026" w14:textId="77777777" w:rsidR="00740FB8" w:rsidRDefault="00740FB8" w:rsidP="00C05AFB">
      <w:pPr>
        <w:spacing w:after="0" w:line="240" w:lineRule="auto"/>
        <w:rPr>
          <w:rFonts w:ascii="Times New Roman" w:hAnsi="Times New Roman"/>
        </w:rPr>
      </w:pPr>
    </w:p>
    <w:p w14:paraId="20293562" w14:textId="094D7125" w:rsidR="00C05AFB" w:rsidRPr="00C05AFB" w:rsidRDefault="00C05AFB" w:rsidP="00C05AFB">
      <w:pPr>
        <w:spacing w:after="0" w:line="240" w:lineRule="auto"/>
        <w:rPr>
          <w:rFonts w:ascii="Times New Roman" w:hAnsi="Times New Roman"/>
        </w:rPr>
      </w:pPr>
      <w:r w:rsidRPr="00C05AFB">
        <w:rPr>
          <w:rFonts w:ascii="Times New Roman" w:hAnsi="Times New Roman"/>
        </w:rPr>
        <w:t>Zo 126 pediatrických pacientov s Ph+ ALL s neprerušovanou schémou podávania sa u 2 (1,6 %)</w:t>
      </w:r>
    </w:p>
    <w:p w14:paraId="67F1AA5F" w14:textId="77777777" w:rsidR="00C05AFB" w:rsidRPr="00C05AFB" w:rsidRDefault="00C05AFB" w:rsidP="00C05AFB">
      <w:pPr>
        <w:spacing w:after="0" w:line="240" w:lineRule="auto"/>
        <w:rPr>
          <w:rFonts w:ascii="Times New Roman" w:hAnsi="Times New Roman"/>
        </w:rPr>
      </w:pPr>
      <w:r w:rsidRPr="00C05AFB">
        <w:rPr>
          <w:rFonts w:ascii="Times New Roman" w:hAnsi="Times New Roman"/>
        </w:rPr>
        <w:t>vyskytli nežiaduce reakcie vedúce k ukončeniu liečby. Nežiaduce reakcie hlásené v týchto dvoch</w:t>
      </w:r>
    </w:p>
    <w:p w14:paraId="3D21DA13" w14:textId="5B37F3E4" w:rsidR="00C05AFB" w:rsidRPr="00C05AFB" w:rsidRDefault="00C05AFB" w:rsidP="00C05AFB">
      <w:pPr>
        <w:spacing w:after="0" w:line="240" w:lineRule="auto"/>
        <w:rPr>
          <w:rFonts w:ascii="Times New Roman" w:hAnsi="Times New Roman"/>
        </w:rPr>
      </w:pPr>
      <w:r w:rsidRPr="00C05AFB">
        <w:rPr>
          <w:rFonts w:ascii="Times New Roman" w:hAnsi="Times New Roman"/>
        </w:rPr>
        <w:t xml:space="preserve">pediatrických štúdiách s frekvenciou </w:t>
      </w:r>
      <w:r w:rsidR="00740FB8">
        <w:rPr>
          <w:rFonts w:ascii="Times New Roman" w:hAnsi="Times New Roman"/>
        </w:rPr>
        <w:t>≥</w:t>
      </w:r>
      <w:r w:rsidRPr="00C05AFB">
        <w:rPr>
          <w:rFonts w:ascii="Times New Roman" w:hAnsi="Times New Roman"/>
        </w:rPr>
        <w:t>10 % u pacientov s</w:t>
      </w:r>
      <w:r w:rsidR="00740FB8">
        <w:rPr>
          <w:rFonts w:ascii="Times New Roman" w:hAnsi="Times New Roman"/>
        </w:rPr>
        <w:t> </w:t>
      </w:r>
      <w:r w:rsidRPr="00C05AFB">
        <w:rPr>
          <w:rFonts w:ascii="Times New Roman" w:hAnsi="Times New Roman"/>
        </w:rPr>
        <w:t>neprerušovanou</w:t>
      </w:r>
      <w:r w:rsidR="00740FB8">
        <w:rPr>
          <w:rFonts w:ascii="Times New Roman" w:hAnsi="Times New Roman"/>
        </w:rPr>
        <w:t xml:space="preserve"> </w:t>
      </w:r>
      <w:r w:rsidRPr="00C05AFB">
        <w:rPr>
          <w:rFonts w:ascii="Times New Roman" w:hAnsi="Times New Roman"/>
        </w:rPr>
        <w:t>schémou podávania sú</w:t>
      </w:r>
    </w:p>
    <w:p w14:paraId="56B7E364" w14:textId="7C91A038" w:rsidR="00C05AFB" w:rsidRPr="00C05AFB" w:rsidRDefault="00C05AFB" w:rsidP="00C05AFB">
      <w:pPr>
        <w:spacing w:after="0" w:line="240" w:lineRule="auto"/>
        <w:rPr>
          <w:rFonts w:ascii="Times New Roman" w:hAnsi="Times New Roman"/>
        </w:rPr>
      </w:pPr>
      <w:r w:rsidRPr="00C05AFB">
        <w:rPr>
          <w:rFonts w:ascii="Times New Roman" w:hAnsi="Times New Roman"/>
        </w:rPr>
        <w:t xml:space="preserve">uvedené v tabuľke </w:t>
      </w:r>
      <w:r w:rsidR="00C44150">
        <w:rPr>
          <w:rFonts w:ascii="Times New Roman" w:hAnsi="Times New Roman"/>
        </w:rPr>
        <w:t>5</w:t>
      </w:r>
      <w:r w:rsidRPr="00C05AFB">
        <w:rPr>
          <w:rFonts w:ascii="Times New Roman" w:hAnsi="Times New Roman"/>
        </w:rPr>
        <w:t>. Poznámka, pleurálna efúzia sa hlásila u 7 (5,6 %) pacientov v tejto skupine, a</w:t>
      </w:r>
    </w:p>
    <w:p w14:paraId="67B57FA9" w14:textId="0C94472D" w:rsidR="00C05AFB" w:rsidRDefault="00C05AFB" w:rsidP="00C05AFB">
      <w:pPr>
        <w:spacing w:after="0" w:line="240" w:lineRule="auto"/>
        <w:rPr>
          <w:rFonts w:ascii="Times New Roman" w:hAnsi="Times New Roman"/>
        </w:rPr>
      </w:pPr>
      <w:r w:rsidRPr="00C05AFB">
        <w:rPr>
          <w:rFonts w:ascii="Times New Roman" w:hAnsi="Times New Roman"/>
        </w:rPr>
        <w:t>preto nie je zahrnutá v tabuľke.</w:t>
      </w:r>
    </w:p>
    <w:p w14:paraId="2F7B388E" w14:textId="253563B3" w:rsidR="00740FB8" w:rsidRDefault="00740FB8" w:rsidP="00C05AFB">
      <w:pPr>
        <w:spacing w:after="0" w:line="240" w:lineRule="auto"/>
        <w:rPr>
          <w:rFonts w:ascii="Times New Roman" w:hAnsi="Times New Roman"/>
        </w:rPr>
      </w:pPr>
    </w:p>
    <w:p w14:paraId="05EDA004" w14:textId="4D3EE2BF" w:rsidR="00740FB8" w:rsidRPr="00606594" w:rsidRDefault="00740FB8" w:rsidP="00740FB8">
      <w:pPr>
        <w:pStyle w:val="Nadpis1"/>
        <w:tabs>
          <w:tab w:val="left" w:pos="993"/>
        </w:tabs>
        <w:spacing w:before="0" w:after="0"/>
        <w:ind w:left="1134" w:right="326" w:hanging="1134"/>
        <w:rPr>
          <w:caps w:val="0"/>
          <w:w w:val="105"/>
          <w:position w:val="8"/>
          <w:sz w:val="20"/>
          <w:lang w:val="sk-SK"/>
        </w:rPr>
      </w:pPr>
      <w:r w:rsidRPr="00740FB8">
        <w:rPr>
          <w:caps w:val="0"/>
          <w:w w:val="105"/>
          <w:sz w:val="20"/>
          <w:lang w:val="sk-SK"/>
        </w:rPr>
        <w:t>Tab</w:t>
      </w:r>
      <w:r>
        <w:rPr>
          <w:caps w:val="0"/>
          <w:w w:val="105"/>
          <w:sz w:val="20"/>
          <w:lang w:val="sk-SK"/>
        </w:rPr>
        <w:t>uľka</w:t>
      </w:r>
      <w:r w:rsidRPr="00740FB8">
        <w:rPr>
          <w:spacing w:val="-4"/>
          <w:w w:val="105"/>
          <w:sz w:val="20"/>
          <w:lang w:val="sk-SK"/>
        </w:rPr>
        <w:t xml:space="preserve"> </w:t>
      </w:r>
      <w:r w:rsidR="00C44150">
        <w:rPr>
          <w:caps w:val="0"/>
          <w:w w:val="105"/>
          <w:sz w:val="20"/>
          <w:lang w:val="sk-SK"/>
        </w:rPr>
        <w:t>5</w:t>
      </w:r>
      <w:r w:rsidRPr="00740FB8">
        <w:rPr>
          <w:caps w:val="0"/>
          <w:w w:val="105"/>
          <w:sz w:val="20"/>
          <w:lang w:val="sk-SK"/>
        </w:rPr>
        <w:t>:</w:t>
      </w:r>
      <w:r w:rsidRPr="00740FB8">
        <w:rPr>
          <w:caps w:val="0"/>
          <w:w w:val="105"/>
          <w:sz w:val="20"/>
          <w:lang w:val="sk-SK"/>
        </w:rPr>
        <w:tab/>
      </w:r>
      <w:r w:rsidRPr="00740FB8">
        <w:rPr>
          <w:caps w:val="0"/>
          <w:w w:val="105"/>
          <w:sz w:val="20"/>
          <w:lang w:val="sk-SK"/>
        </w:rPr>
        <w:tab/>
        <w:t>Nežiaduce reakcie hlásené u ≥ 10 % pediatrických pacientov s</w:t>
      </w:r>
      <w:r w:rsidR="00C46A71">
        <w:rPr>
          <w:caps w:val="0"/>
          <w:w w:val="105"/>
          <w:sz w:val="20"/>
          <w:lang w:val="sk-SK"/>
        </w:rPr>
        <w:t> Ph +</w:t>
      </w:r>
      <w:r w:rsidRPr="00740FB8">
        <w:rPr>
          <w:caps w:val="0"/>
          <w:w w:val="105"/>
          <w:sz w:val="20"/>
          <w:lang w:val="sk-SK"/>
        </w:rPr>
        <w:t>ALL</w:t>
      </w:r>
      <w:r w:rsidR="00C46A71">
        <w:rPr>
          <w:caps w:val="0"/>
          <w:w w:val="105"/>
          <w:sz w:val="20"/>
          <w:lang w:val="sk-SK"/>
        </w:rPr>
        <w:t xml:space="preserve"> </w:t>
      </w:r>
      <w:r w:rsidRPr="00740FB8">
        <w:rPr>
          <w:caps w:val="0"/>
          <w:w w:val="105"/>
          <w:sz w:val="20"/>
          <w:lang w:val="sk-SK"/>
        </w:rPr>
        <w:t>liečených</w:t>
      </w:r>
      <w:r>
        <w:rPr>
          <w:caps w:val="0"/>
          <w:w w:val="105"/>
          <w:sz w:val="20"/>
          <w:lang w:val="sk-SK"/>
        </w:rPr>
        <w:t xml:space="preserve"> </w:t>
      </w:r>
      <w:r w:rsidRPr="00740FB8">
        <w:rPr>
          <w:caps w:val="0"/>
          <w:w w:val="105"/>
          <w:sz w:val="20"/>
          <w:lang w:val="sk-SK"/>
        </w:rPr>
        <w:t>dasatinibom s neprerušovanou schémou podávania v kombinácii s chemoterapiou (</w:t>
      </w:r>
      <w:r>
        <w:rPr>
          <w:caps w:val="0"/>
          <w:w w:val="105"/>
          <w:sz w:val="20"/>
          <w:lang w:val="sk-SK"/>
        </w:rPr>
        <w:t>N</w:t>
      </w:r>
      <w:r w:rsidRPr="00740FB8">
        <w:rPr>
          <w:caps w:val="0"/>
          <w:w w:val="105"/>
          <w:sz w:val="20"/>
          <w:lang w:val="sk-SK"/>
        </w:rPr>
        <w:t>=126)</w:t>
      </w:r>
      <w:r w:rsidRPr="00740FB8">
        <w:rPr>
          <w:caps w:val="0"/>
          <w:w w:val="105"/>
          <w:position w:val="8"/>
          <w:sz w:val="20"/>
          <w:vertAlign w:val="superscript"/>
          <w:lang w:val="sk-SK"/>
        </w:rPr>
        <w:t>a</w:t>
      </w:r>
    </w:p>
    <w:p w14:paraId="08207CAB" w14:textId="58F1DBAC" w:rsidR="00740FB8" w:rsidRPr="00740FB8" w:rsidRDefault="00740FB8" w:rsidP="00740FB8">
      <w:pPr>
        <w:pStyle w:val="Zkladntext"/>
        <w:spacing w:line="20" w:lineRule="exact"/>
        <w:ind w:left="143"/>
        <w:rPr>
          <w:sz w:val="2"/>
        </w:rPr>
      </w:pPr>
      <w:r w:rsidRPr="00740FB8">
        <w:rPr>
          <w:noProof/>
          <w:sz w:val="20"/>
          <w:lang w:val="sk-SK" w:eastAsia="sk-SK"/>
        </w:rPr>
        <mc:AlternateContent>
          <mc:Choice Requires="wpg">
            <w:drawing>
              <wp:inline distT="0" distB="0" distL="0" distR="0" wp14:anchorId="70768BEC" wp14:editId="3CD881A1">
                <wp:extent cx="5547995" cy="9525"/>
                <wp:effectExtent l="0" t="0" r="5080" b="9525"/>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7995" cy="9525"/>
                          <a:chOff x="0" y="0"/>
                          <a:chExt cx="8737" cy="15"/>
                        </a:xfrm>
                      </wpg:grpSpPr>
                      <wps:wsp>
                        <wps:cNvPr id="16" name="Line 78"/>
                        <wps:cNvCnPr>
                          <a:cxnSpLocks noChangeShapeType="1"/>
                        </wps:cNvCnPr>
                        <wps:spPr bwMode="auto">
                          <a:xfrm>
                            <a:off x="8" y="8"/>
                            <a:ext cx="872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55E18F3" id="Skupina 15" o:spid="_x0000_s1026" style="width:436.85pt;height:.75pt;mso-position-horizontal-relative:char;mso-position-vertical-relative:line" coordsize="87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">
                <v:line id="Line 78" o:spid="_x0000_s1027" style="position:absolute;visibility:visible;mso-wrap-style:square" from="8,8" to="8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p>
    <w:p w14:paraId="615B5CF9" w14:textId="1DB87706" w:rsidR="00740FB8" w:rsidRPr="00740FB8" w:rsidRDefault="00740FB8" w:rsidP="00740FB8">
      <w:pPr>
        <w:spacing w:before="21"/>
        <w:ind w:left="4669"/>
        <w:rPr>
          <w:rFonts w:ascii="Times New Roman" w:hAnsi="Times New Roman"/>
          <w:b/>
          <w:sz w:val="20"/>
        </w:rPr>
      </w:pPr>
      <w:r w:rsidRPr="00740FB8">
        <w:rPr>
          <w:rFonts w:ascii="Times New Roman" w:hAnsi="Times New Roman"/>
          <w:b/>
          <w:w w:val="105"/>
          <w:sz w:val="20"/>
        </w:rPr>
        <w:t>Percen</w:t>
      </w:r>
      <w:r>
        <w:rPr>
          <w:rFonts w:ascii="Times New Roman" w:hAnsi="Times New Roman"/>
          <w:b/>
          <w:w w:val="105"/>
          <w:sz w:val="20"/>
        </w:rPr>
        <w:t>to</w:t>
      </w:r>
      <w:r w:rsidRPr="00740FB8">
        <w:rPr>
          <w:rFonts w:ascii="Times New Roman" w:hAnsi="Times New Roman"/>
          <w:b/>
          <w:w w:val="105"/>
          <w:sz w:val="20"/>
        </w:rPr>
        <w:t xml:space="preserve"> (%) </w:t>
      </w:r>
      <w:r>
        <w:rPr>
          <w:rFonts w:ascii="Times New Roman" w:hAnsi="Times New Roman"/>
          <w:b/>
          <w:w w:val="105"/>
          <w:sz w:val="20"/>
        </w:rPr>
        <w:t>pacientov</w:t>
      </w:r>
    </w:p>
    <w:p w14:paraId="090AA6C9" w14:textId="4E302096" w:rsidR="00740FB8" w:rsidRPr="00740FB8" w:rsidRDefault="00740FB8" w:rsidP="00740FB8">
      <w:pPr>
        <w:pStyle w:val="Zkladntext"/>
        <w:spacing w:line="20" w:lineRule="exact"/>
        <w:ind w:left="145"/>
        <w:rPr>
          <w:sz w:val="2"/>
        </w:rPr>
      </w:pPr>
      <w:r w:rsidRPr="00740FB8">
        <w:rPr>
          <w:noProof/>
          <w:lang w:val="sk-SK" w:eastAsia="sk-SK"/>
        </w:rPr>
        <mc:AlternateContent>
          <mc:Choice Requires="wpg">
            <w:drawing>
              <wp:inline distT="0" distB="0" distL="0" distR="0" wp14:anchorId="0EE2CB2F" wp14:editId="281BD110">
                <wp:extent cx="5544820" cy="6350"/>
                <wp:effectExtent l="9525" t="9525" r="8255" b="3175"/>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350"/>
                          <a:chOff x="0" y="0"/>
                          <a:chExt cx="8732" cy="10"/>
                        </a:xfrm>
                      </wpg:grpSpPr>
                      <wps:wsp>
                        <wps:cNvPr id="14" name="Line 76"/>
                        <wps:cNvCnPr>
                          <a:cxnSpLocks noChangeShapeType="1"/>
                        </wps:cNvCnPr>
                        <wps:spPr bwMode="auto">
                          <a:xfrm>
                            <a:off x="5" y="5"/>
                            <a:ext cx="872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5059C82" id="Skupina 13" o:spid="_x0000_s1026" style="width:436.6pt;height:.5pt;mso-position-horizontal-relative:char;mso-position-vertical-relative:line" coordsize="8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">
                <v:line id="Line 76" o:spid="_x0000_s1027" style="position:absolute;visibility:visible;mso-wrap-style:square" from="5,5" to="8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14:paraId="78AD16D4" w14:textId="60C1305F" w:rsidR="00740FB8" w:rsidRPr="00740FB8" w:rsidRDefault="00740FB8" w:rsidP="00740FB8">
      <w:pPr>
        <w:tabs>
          <w:tab w:val="left" w:pos="3554"/>
          <w:tab w:val="left" w:pos="6737"/>
        </w:tabs>
        <w:spacing w:after="6"/>
        <w:ind w:left="252"/>
        <w:rPr>
          <w:rFonts w:ascii="Times New Roman" w:hAnsi="Times New Roman"/>
          <w:b/>
          <w:sz w:val="20"/>
        </w:rPr>
      </w:pPr>
      <w:r>
        <w:rPr>
          <w:rFonts w:ascii="Times New Roman" w:hAnsi="Times New Roman"/>
          <w:b/>
          <w:w w:val="105"/>
          <w:sz w:val="20"/>
        </w:rPr>
        <w:t>Nežiaduca reakcia</w:t>
      </w:r>
      <w:r w:rsidRPr="00740FB8">
        <w:rPr>
          <w:rFonts w:ascii="Times New Roman" w:hAnsi="Times New Roman"/>
          <w:b/>
          <w:w w:val="105"/>
          <w:sz w:val="20"/>
        </w:rPr>
        <w:tab/>
      </w:r>
      <w:r>
        <w:rPr>
          <w:rFonts w:ascii="Times New Roman" w:hAnsi="Times New Roman"/>
          <w:b/>
          <w:w w:val="105"/>
          <w:sz w:val="20"/>
        </w:rPr>
        <w:t>Všetky stupne</w:t>
      </w:r>
      <w:r w:rsidRPr="00740FB8">
        <w:rPr>
          <w:rFonts w:ascii="Times New Roman" w:hAnsi="Times New Roman"/>
          <w:b/>
          <w:w w:val="105"/>
          <w:sz w:val="20"/>
        </w:rPr>
        <w:tab/>
      </w:r>
      <w:r>
        <w:rPr>
          <w:rFonts w:ascii="Times New Roman" w:hAnsi="Times New Roman"/>
          <w:b/>
          <w:w w:val="105"/>
          <w:sz w:val="20"/>
        </w:rPr>
        <w:t>3./4. stupeň</w:t>
      </w:r>
    </w:p>
    <w:tbl>
      <w:tblPr>
        <w:tblStyle w:val="TableNormal"/>
        <w:tblW w:w="0" w:type="auto"/>
        <w:tblInd w:w="150" w:type="dxa"/>
        <w:tblLayout w:type="fixed"/>
        <w:tblLook w:val="01E0" w:firstRow="1" w:lastRow="1" w:firstColumn="1" w:lastColumn="1" w:noHBand="0" w:noVBand="0"/>
      </w:tblPr>
      <w:tblGrid>
        <w:gridCol w:w="2866"/>
        <w:gridCol w:w="2660"/>
        <w:gridCol w:w="3196"/>
      </w:tblGrid>
      <w:tr w:rsidR="00740FB8" w:rsidRPr="00740FB8" w14:paraId="1C58D2AD" w14:textId="77777777" w:rsidTr="00740FB8">
        <w:trPr>
          <w:trHeight w:val="240"/>
        </w:trPr>
        <w:tc>
          <w:tcPr>
            <w:tcW w:w="2866" w:type="dxa"/>
            <w:tcBorders>
              <w:top w:val="single" w:sz="4" w:space="0" w:color="000000"/>
              <w:left w:val="nil"/>
              <w:bottom w:val="nil"/>
              <w:right w:val="nil"/>
            </w:tcBorders>
            <w:hideMark/>
          </w:tcPr>
          <w:p w14:paraId="2351AA7E" w14:textId="5CBEE8EF" w:rsidR="00740FB8" w:rsidRPr="00740FB8" w:rsidRDefault="00740FB8">
            <w:pPr>
              <w:pStyle w:val="TableParagraph"/>
              <w:spacing w:before="5" w:line="216" w:lineRule="exact"/>
              <w:ind w:left="271"/>
              <w:rPr>
                <w:rFonts w:cs="Times New Roman"/>
                <w:sz w:val="20"/>
                <w:lang w:val="sk-SK"/>
              </w:rPr>
            </w:pPr>
            <w:r w:rsidRPr="00740FB8">
              <w:rPr>
                <w:rFonts w:cs="Times New Roman"/>
                <w:w w:val="105"/>
                <w:sz w:val="20"/>
                <w:lang w:val="sk-SK"/>
              </w:rPr>
              <w:t>Febrilná neutrop</w:t>
            </w:r>
            <w:r w:rsidR="00A935A3">
              <w:rPr>
                <w:rFonts w:cs="Times New Roman"/>
                <w:w w:val="105"/>
                <w:sz w:val="20"/>
                <w:lang w:val="sk-SK"/>
              </w:rPr>
              <w:t>é</w:t>
            </w:r>
            <w:r w:rsidRPr="00740FB8">
              <w:rPr>
                <w:rFonts w:cs="Times New Roman"/>
                <w:w w:val="105"/>
                <w:sz w:val="20"/>
                <w:lang w:val="sk-SK"/>
              </w:rPr>
              <w:t>nia</w:t>
            </w:r>
          </w:p>
        </w:tc>
        <w:tc>
          <w:tcPr>
            <w:tcW w:w="2660" w:type="dxa"/>
            <w:tcBorders>
              <w:top w:val="single" w:sz="4" w:space="0" w:color="000000"/>
              <w:left w:val="nil"/>
              <w:bottom w:val="nil"/>
              <w:right w:val="nil"/>
            </w:tcBorders>
            <w:hideMark/>
          </w:tcPr>
          <w:p w14:paraId="0F0677C5" w14:textId="63BB20B1" w:rsidR="00740FB8" w:rsidRPr="00740FB8" w:rsidRDefault="00740FB8">
            <w:pPr>
              <w:pStyle w:val="TableParagraph"/>
              <w:spacing w:before="5" w:line="216" w:lineRule="exact"/>
              <w:ind w:left="889"/>
              <w:rPr>
                <w:rFonts w:cs="Times New Roman"/>
                <w:sz w:val="20"/>
                <w:lang w:val="sk-SK"/>
              </w:rPr>
            </w:pPr>
            <w:r w:rsidRPr="00740FB8">
              <w:rPr>
                <w:rFonts w:cs="Times New Roman"/>
                <w:w w:val="105"/>
                <w:sz w:val="20"/>
                <w:lang w:val="sk-SK"/>
              </w:rPr>
              <w:t>27,0</w:t>
            </w:r>
          </w:p>
        </w:tc>
        <w:tc>
          <w:tcPr>
            <w:tcW w:w="3196" w:type="dxa"/>
            <w:tcBorders>
              <w:top w:val="single" w:sz="4" w:space="0" w:color="000000"/>
              <w:left w:val="nil"/>
              <w:bottom w:val="nil"/>
              <w:right w:val="nil"/>
            </w:tcBorders>
            <w:hideMark/>
          </w:tcPr>
          <w:p w14:paraId="062D8BCC" w14:textId="3C32AFA9" w:rsidR="00740FB8" w:rsidRPr="00740FB8" w:rsidRDefault="00740FB8">
            <w:pPr>
              <w:pStyle w:val="TableParagraph"/>
              <w:spacing w:before="5" w:line="216" w:lineRule="exact"/>
              <w:ind w:left="1405"/>
              <w:rPr>
                <w:rFonts w:cs="Times New Roman"/>
                <w:sz w:val="20"/>
                <w:lang w:val="sk-SK"/>
              </w:rPr>
            </w:pPr>
            <w:r w:rsidRPr="00740FB8">
              <w:rPr>
                <w:rFonts w:cs="Times New Roman"/>
                <w:w w:val="105"/>
                <w:sz w:val="20"/>
                <w:lang w:val="sk-SK"/>
              </w:rPr>
              <w:t>26,2</w:t>
            </w:r>
          </w:p>
        </w:tc>
      </w:tr>
      <w:tr w:rsidR="00740FB8" w:rsidRPr="00740FB8" w14:paraId="47C35088" w14:textId="77777777" w:rsidTr="00740FB8">
        <w:trPr>
          <w:trHeight w:val="220"/>
        </w:trPr>
        <w:tc>
          <w:tcPr>
            <w:tcW w:w="2866" w:type="dxa"/>
            <w:hideMark/>
          </w:tcPr>
          <w:p w14:paraId="1696E7DB" w14:textId="33506496" w:rsidR="00740FB8" w:rsidRPr="00740FB8" w:rsidRDefault="00740FB8">
            <w:pPr>
              <w:pStyle w:val="TableParagraph"/>
              <w:spacing w:before="2" w:line="216" w:lineRule="exact"/>
              <w:ind w:left="271"/>
              <w:rPr>
                <w:rFonts w:cs="Times New Roman"/>
                <w:sz w:val="20"/>
                <w:lang w:val="sk-SK"/>
              </w:rPr>
            </w:pPr>
            <w:r w:rsidRPr="00740FB8">
              <w:rPr>
                <w:rFonts w:cs="Times New Roman"/>
                <w:w w:val="105"/>
                <w:sz w:val="20"/>
                <w:lang w:val="sk-SK"/>
              </w:rPr>
              <w:t>Nauzea</w:t>
            </w:r>
          </w:p>
        </w:tc>
        <w:tc>
          <w:tcPr>
            <w:tcW w:w="2660" w:type="dxa"/>
            <w:hideMark/>
          </w:tcPr>
          <w:p w14:paraId="36496818" w14:textId="252C36C0" w:rsidR="00740FB8" w:rsidRPr="00740FB8" w:rsidRDefault="00740FB8">
            <w:pPr>
              <w:pStyle w:val="TableParagraph"/>
              <w:spacing w:before="2" w:line="216" w:lineRule="exact"/>
              <w:ind w:left="889"/>
              <w:rPr>
                <w:rFonts w:cs="Times New Roman"/>
                <w:sz w:val="20"/>
                <w:lang w:val="sk-SK"/>
              </w:rPr>
            </w:pPr>
            <w:r w:rsidRPr="00740FB8">
              <w:rPr>
                <w:rFonts w:cs="Times New Roman"/>
                <w:w w:val="105"/>
                <w:sz w:val="20"/>
                <w:lang w:val="sk-SK"/>
              </w:rPr>
              <w:t>20,6</w:t>
            </w:r>
          </w:p>
        </w:tc>
        <w:tc>
          <w:tcPr>
            <w:tcW w:w="3196" w:type="dxa"/>
            <w:hideMark/>
          </w:tcPr>
          <w:p w14:paraId="392B28A7" w14:textId="18AC3BC7" w:rsidR="00740FB8" w:rsidRPr="00740FB8" w:rsidRDefault="00740FB8">
            <w:pPr>
              <w:pStyle w:val="TableParagraph"/>
              <w:spacing w:before="2" w:line="216" w:lineRule="exact"/>
              <w:ind w:left="1457"/>
              <w:rPr>
                <w:rFonts w:cs="Times New Roman"/>
                <w:sz w:val="20"/>
                <w:lang w:val="sk-SK"/>
              </w:rPr>
            </w:pPr>
            <w:r w:rsidRPr="00740FB8">
              <w:rPr>
                <w:rFonts w:cs="Times New Roman"/>
                <w:w w:val="105"/>
                <w:sz w:val="20"/>
                <w:lang w:val="sk-SK"/>
              </w:rPr>
              <w:t>5,6</w:t>
            </w:r>
          </w:p>
        </w:tc>
      </w:tr>
      <w:tr w:rsidR="00740FB8" w:rsidRPr="00740FB8" w14:paraId="0E1BB8C1" w14:textId="77777777" w:rsidTr="00740FB8">
        <w:trPr>
          <w:trHeight w:val="220"/>
        </w:trPr>
        <w:tc>
          <w:tcPr>
            <w:tcW w:w="2866" w:type="dxa"/>
            <w:hideMark/>
          </w:tcPr>
          <w:p w14:paraId="2AF53E49" w14:textId="60E3F185" w:rsidR="00740FB8" w:rsidRPr="00740FB8" w:rsidRDefault="00740FB8">
            <w:pPr>
              <w:pStyle w:val="TableParagraph"/>
              <w:spacing w:before="1" w:line="216" w:lineRule="exact"/>
              <w:ind w:left="271"/>
              <w:rPr>
                <w:rFonts w:cs="Times New Roman"/>
                <w:sz w:val="20"/>
                <w:lang w:val="sk-SK"/>
              </w:rPr>
            </w:pPr>
            <w:r w:rsidRPr="00740FB8">
              <w:rPr>
                <w:rFonts w:cs="Times New Roman"/>
                <w:w w:val="105"/>
                <w:sz w:val="20"/>
                <w:lang w:val="sk-SK"/>
              </w:rPr>
              <w:t>Vracanie</w:t>
            </w:r>
          </w:p>
        </w:tc>
        <w:tc>
          <w:tcPr>
            <w:tcW w:w="2660" w:type="dxa"/>
            <w:hideMark/>
          </w:tcPr>
          <w:p w14:paraId="1D6337EF" w14:textId="445F5C4E" w:rsidR="00740FB8" w:rsidRPr="00740FB8" w:rsidRDefault="00740FB8">
            <w:pPr>
              <w:pStyle w:val="TableParagraph"/>
              <w:spacing w:before="1" w:line="216" w:lineRule="exact"/>
              <w:ind w:left="890"/>
              <w:rPr>
                <w:rFonts w:cs="Times New Roman"/>
                <w:sz w:val="20"/>
                <w:lang w:val="sk-SK"/>
              </w:rPr>
            </w:pPr>
            <w:r w:rsidRPr="00740FB8">
              <w:rPr>
                <w:rFonts w:cs="Times New Roman"/>
                <w:w w:val="105"/>
                <w:sz w:val="20"/>
                <w:lang w:val="sk-SK"/>
              </w:rPr>
              <w:t>20,6</w:t>
            </w:r>
          </w:p>
        </w:tc>
        <w:tc>
          <w:tcPr>
            <w:tcW w:w="3196" w:type="dxa"/>
            <w:hideMark/>
          </w:tcPr>
          <w:p w14:paraId="02659542" w14:textId="58DE504D" w:rsidR="00740FB8" w:rsidRPr="00740FB8" w:rsidRDefault="00740FB8">
            <w:pPr>
              <w:pStyle w:val="TableParagraph"/>
              <w:spacing w:before="1" w:line="216" w:lineRule="exact"/>
              <w:ind w:left="1457"/>
              <w:rPr>
                <w:rFonts w:cs="Times New Roman"/>
                <w:sz w:val="20"/>
                <w:lang w:val="sk-SK"/>
              </w:rPr>
            </w:pPr>
            <w:r w:rsidRPr="00740FB8">
              <w:rPr>
                <w:rFonts w:cs="Times New Roman"/>
                <w:w w:val="105"/>
                <w:sz w:val="20"/>
                <w:lang w:val="sk-SK"/>
              </w:rPr>
              <w:t>4,8</w:t>
            </w:r>
          </w:p>
        </w:tc>
      </w:tr>
      <w:tr w:rsidR="00740FB8" w:rsidRPr="00740FB8" w14:paraId="4DA0EB63" w14:textId="77777777" w:rsidTr="00740FB8">
        <w:trPr>
          <w:trHeight w:val="220"/>
        </w:trPr>
        <w:tc>
          <w:tcPr>
            <w:tcW w:w="2866" w:type="dxa"/>
            <w:hideMark/>
          </w:tcPr>
          <w:p w14:paraId="588B8B4C" w14:textId="49928791" w:rsidR="00740FB8" w:rsidRPr="00740FB8" w:rsidRDefault="00740FB8">
            <w:pPr>
              <w:pStyle w:val="TableParagraph"/>
              <w:spacing w:before="1" w:line="216" w:lineRule="exact"/>
              <w:ind w:left="271"/>
              <w:rPr>
                <w:rFonts w:cs="Times New Roman"/>
                <w:sz w:val="20"/>
                <w:lang w:val="sk-SK"/>
              </w:rPr>
            </w:pPr>
            <w:r w:rsidRPr="00740FB8">
              <w:rPr>
                <w:rFonts w:cs="Times New Roman"/>
                <w:w w:val="105"/>
                <w:sz w:val="20"/>
                <w:lang w:val="sk-SK"/>
              </w:rPr>
              <w:t>Abdominálna bolesť</w:t>
            </w:r>
          </w:p>
        </w:tc>
        <w:tc>
          <w:tcPr>
            <w:tcW w:w="2660" w:type="dxa"/>
            <w:hideMark/>
          </w:tcPr>
          <w:p w14:paraId="7C6BC284" w14:textId="4F288655" w:rsidR="00740FB8" w:rsidRPr="00740FB8" w:rsidRDefault="00740FB8">
            <w:pPr>
              <w:pStyle w:val="TableParagraph"/>
              <w:spacing w:before="1" w:line="216" w:lineRule="exact"/>
              <w:ind w:left="891"/>
              <w:rPr>
                <w:rFonts w:cs="Times New Roman"/>
                <w:sz w:val="20"/>
                <w:lang w:val="sk-SK"/>
              </w:rPr>
            </w:pPr>
            <w:r w:rsidRPr="00740FB8">
              <w:rPr>
                <w:rFonts w:cs="Times New Roman"/>
                <w:w w:val="105"/>
                <w:sz w:val="20"/>
                <w:lang w:val="sk-SK"/>
              </w:rPr>
              <w:t>14,3</w:t>
            </w:r>
          </w:p>
        </w:tc>
        <w:tc>
          <w:tcPr>
            <w:tcW w:w="3196" w:type="dxa"/>
            <w:hideMark/>
          </w:tcPr>
          <w:p w14:paraId="4D122EF9" w14:textId="2B33EEC5" w:rsidR="00740FB8" w:rsidRPr="00740FB8" w:rsidRDefault="00740FB8">
            <w:pPr>
              <w:pStyle w:val="TableParagraph"/>
              <w:spacing w:before="1" w:line="216" w:lineRule="exact"/>
              <w:ind w:left="1458"/>
              <w:rPr>
                <w:rFonts w:cs="Times New Roman"/>
                <w:sz w:val="20"/>
                <w:lang w:val="sk-SK"/>
              </w:rPr>
            </w:pPr>
            <w:r w:rsidRPr="00740FB8">
              <w:rPr>
                <w:rFonts w:cs="Times New Roman"/>
                <w:w w:val="105"/>
                <w:sz w:val="20"/>
                <w:lang w:val="sk-SK"/>
              </w:rPr>
              <w:t>3,2</w:t>
            </w:r>
          </w:p>
        </w:tc>
      </w:tr>
      <w:tr w:rsidR="00740FB8" w:rsidRPr="00740FB8" w14:paraId="5F66835B" w14:textId="77777777" w:rsidTr="00740FB8">
        <w:trPr>
          <w:trHeight w:val="220"/>
        </w:trPr>
        <w:tc>
          <w:tcPr>
            <w:tcW w:w="2866" w:type="dxa"/>
            <w:hideMark/>
          </w:tcPr>
          <w:p w14:paraId="31730224" w14:textId="341F9FC6" w:rsidR="00740FB8" w:rsidRPr="00740FB8" w:rsidRDefault="00740FB8">
            <w:pPr>
              <w:pStyle w:val="TableParagraph"/>
              <w:spacing w:before="2" w:line="216" w:lineRule="exact"/>
              <w:ind w:left="271"/>
              <w:rPr>
                <w:rFonts w:cs="Times New Roman"/>
                <w:sz w:val="20"/>
                <w:lang w:val="sk-SK"/>
              </w:rPr>
            </w:pPr>
            <w:r w:rsidRPr="00740FB8">
              <w:rPr>
                <w:rFonts w:cs="Times New Roman"/>
                <w:w w:val="105"/>
                <w:sz w:val="20"/>
                <w:lang w:val="sk-SK"/>
              </w:rPr>
              <w:t>Hnačka</w:t>
            </w:r>
          </w:p>
        </w:tc>
        <w:tc>
          <w:tcPr>
            <w:tcW w:w="2660" w:type="dxa"/>
            <w:hideMark/>
          </w:tcPr>
          <w:p w14:paraId="2425FC5E" w14:textId="4C854C5C" w:rsidR="00740FB8" w:rsidRPr="00740FB8" w:rsidRDefault="00740FB8">
            <w:pPr>
              <w:pStyle w:val="TableParagraph"/>
              <w:spacing w:before="2" w:line="216" w:lineRule="exact"/>
              <w:ind w:left="889"/>
              <w:rPr>
                <w:rFonts w:cs="Times New Roman"/>
                <w:sz w:val="20"/>
                <w:lang w:val="sk-SK"/>
              </w:rPr>
            </w:pPr>
            <w:r w:rsidRPr="00740FB8">
              <w:rPr>
                <w:rFonts w:cs="Times New Roman"/>
                <w:w w:val="105"/>
                <w:sz w:val="20"/>
                <w:lang w:val="sk-SK"/>
              </w:rPr>
              <w:t>12,7</w:t>
            </w:r>
          </w:p>
        </w:tc>
        <w:tc>
          <w:tcPr>
            <w:tcW w:w="3196" w:type="dxa"/>
            <w:hideMark/>
          </w:tcPr>
          <w:p w14:paraId="604F5B18" w14:textId="133D0053" w:rsidR="00740FB8" w:rsidRPr="00740FB8" w:rsidRDefault="00740FB8">
            <w:pPr>
              <w:pStyle w:val="TableParagraph"/>
              <w:spacing w:before="2" w:line="216" w:lineRule="exact"/>
              <w:ind w:left="1457"/>
              <w:rPr>
                <w:rFonts w:cs="Times New Roman"/>
                <w:sz w:val="20"/>
                <w:lang w:val="sk-SK"/>
              </w:rPr>
            </w:pPr>
            <w:r w:rsidRPr="00740FB8">
              <w:rPr>
                <w:rFonts w:cs="Times New Roman"/>
                <w:w w:val="105"/>
                <w:sz w:val="20"/>
                <w:lang w:val="sk-SK"/>
              </w:rPr>
              <w:t>4,8</w:t>
            </w:r>
          </w:p>
        </w:tc>
      </w:tr>
      <w:tr w:rsidR="00740FB8" w:rsidRPr="00740FB8" w14:paraId="419BAE2C" w14:textId="77777777" w:rsidTr="00740FB8">
        <w:trPr>
          <w:trHeight w:val="220"/>
        </w:trPr>
        <w:tc>
          <w:tcPr>
            <w:tcW w:w="2866" w:type="dxa"/>
            <w:hideMark/>
          </w:tcPr>
          <w:p w14:paraId="7ACA1984" w14:textId="77777777" w:rsidR="00740FB8" w:rsidRPr="00740FB8" w:rsidRDefault="00740FB8">
            <w:pPr>
              <w:pStyle w:val="TableParagraph"/>
              <w:spacing w:before="1" w:line="216" w:lineRule="exact"/>
              <w:ind w:left="271"/>
              <w:rPr>
                <w:rFonts w:cs="Times New Roman"/>
                <w:sz w:val="20"/>
                <w:lang w:val="sk-SK"/>
              </w:rPr>
            </w:pPr>
            <w:r w:rsidRPr="00740FB8">
              <w:rPr>
                <w:rFonts w:cs="Times New Roman"/>
                <w:w w:val="105"/>
                <w:sz w:val="20"/>
                <w:lang w:val="sk-SK"/>
              </w:rPr>
              <w:t>Pyrexia</w:t>
            </w:r>
          </w:p>
        </w:tc>
        <w:tc>
          <w:tcPr>
            <w:tcW w:w="2660" w:type="dxa"/>
            <w:hideMark/>
          </w:tcPr>
          <w:p w14:paraId="3641C687" w14:textId="1919C642" w:rsidR="00740FB8" w:rsidRPr="00740FB8" w:rsidRDefault="00740FB8">
            <w:pPr>
              <w:pStyle w:val="TableParagraph"/>
              <w:spacing w:before="1" w:line="216" w:lineRule="exact"/>
              <w:ind w:left="889"/>
              <w:rPr>
                <w:rFonts w:cs="Times New Roman"/>
                <w:sz w:val="20"/>
                <w:lang w:val="sk-SK"/>
              </w:rPr>
            </w:pPr>
            <w:r w:rsidRPr="00740FB8">
              <w:rPr>
                <w:rFonts w:cs="Times New Roman"/>
                <w:w w:val="105"/>
                <w:sz w:val="20"/>
                <w:lang w:val="sk-SK"/>
              </w:rPr>
              <w:t>12,7</w:t>
            </w:r>
          </w:p>
        </w:tc>
        <w:tc>
          <w:tcPr>
            <w:tcW w:w="3196" w:type="dxa"/>
            <w:hideMark/>
          </w:tcPr>
          <w:p w14:paraId="146A0056" w14:textId="54A2660A" w:rsidR="00740FB8" w:rsidRPr="00740FB8" w:rsidRDefault="00740FB8">
            <w:pPr>
              <w:pStyle w:val="TableParagraph"/>
              <w:spacing w:before="1" w:line="216" w:lineRule="exact"/>
              <w:ind w:left="1456"/>
              <w:rPr>
                <w:rFonts w:cs="Times New Roman"/>
                <w:sz w:val="20"/>
                <w:lang w:val="sk-SK"/>
              </w:rPr>
            </w:pPr>
            <w:r w:rsidRPr="00740FB8">
              <w:rPr>
                <w:rFonts w:cs="Times New Roman"/>
                <w:w w:val="105"/>
                <w:sz w:val="20"/>
                <w:lang w:val="sk-SK"/>
              </w:rPr>
              <w:t>5,6</w:t>
            </w:r>
          </w:p>
        </w:tc>
      </w:tr>
      <w:tr w:rsidR="00740FB8" w:rsidRPr="00740FB8" w14:paraId="57A5B569" w14:textId="77777777" w:rsidTr="00740FB8">
        <w:trPr>
          <w:trHeight w:val="220"/>
        </w:trPr>
        <w:tc>
          <w:tcPr>
            <w:tcW w:w="2866" w:type="dxa"/>
            <w:hideMark/>
          </w:tcPr>
          <w:p w14:paraId="0C759A0A" w14:textId="1EE7B9DE" w:rsidR="00740FB8" w:rsidRPr="00740FB8" w:rsidRDefault="00740FB8">
            <w:pPr>
              <w:pStyle w:val="TableParagraph"/>
              <w:spacing w:before="2" w:line="216" w:lineRule="exact"/>
              <w:ind w:left="271"/>
              <w:rPr>
                <w:rFonts w:cs="Times New Roman"/>
                <w:sz w:val="20"/>
                <w:lang w:val="sk-SK"/>
              </w:rPr>
            </w:pPr>
            <w:r w:rsidRPr="00740FB8">
              <w:rPr>
                <w:rFonts w:cs="Times New Roman"/>
                <w:w w:val="105"/>
                <w:sz w:val="20"/>
                <w:lang w:val="sk-SK"/>
              </w:rPr>
              <w:t>Bolesť hlavy</w:t>
            </w:r>
          </w:p>
        </w:tc>
        <w:tc>
          <w:tcPr>
            <w:tcW w:w="2660" w:type="dxa"/>
            <w:hideMark/>
          </w:tcPr>
          <w:p w14:paraId="16A3331F" w14:textId="432D448E" w:rsidR="00740FB8" w:rsidRPr="00740FB8" w:rsidRDefault="00740FB8">
            <w:pPr>
              <w:pStyle w:val="TableParagraph"/>
              <w:spacing w:before="2" w:line="216" w:lineRule="exact"/>
              <w:ind w:left="890"/>
              <w:rPr>
                <w:rFonts w:cs="Times New Roman"/>
                <w:sz w:val="20"/>
                <w:lang w:val="sk-SK"/>
              </w:rPr>
            </w:pPr>
            <w:r w:rsidRPr="00740FB8">
              <w:rPr>
                <w:rFonts w:cs="Times New Roman"/>
                <w:w w:val="105"/>
                <w:sz w:val="20"/>
                <w:lang w:val="sk-SK"/>
              </w:rPr>
              <w:t>11,1</w:t>
            </w:r>
          </w:p>
        </w:tc>
        <w:tc>
          <w:tcPr>
            <w:tcW w:w="3196" w:type="dxa"/>
            <w:hideMark/>
          </w:tcPr>
          <w:p w14:paraId="0DECFCAA" w14:textId="03A8FB24" w:rsidR="00740FB8" w:rsidRPr="00740FB8" w:rsidRDefault="00740FB8">
            <w:pPr>
              <w:pStyle w:val="TableParagraph"/>
              <w:spacing w:before="2" w:line="216" w:lineRule="exact"/>
              <w:ind w:left="1458"/>
              <w:rPr>
                <w:rFonts w:cs="Times New Roman"/>
                <w:sz w:val="20"/>
                <w:lang w:val="sk-SK"/>
              </w:rPr>
            </w:pPr>
            <w:r w:rsidRPr="00740FB8">
              <w:rPr>
                <w:rFonts w:cs="Times New Roman"/>
                <w:w w:val="105"/>
                <w:sz w:val="20"/>
                <w:lang w:val="sk-SK"/>
              </w:rPr>
              <w:t>4,8</w:t>
            </w:r>
          </w:p>
        </w:tc>
      </w:tr>
      <w:tr w:rsidR="00740FB8" w:rsidRPr="00740FB8" w14:paraId="6F9CC4DC" w14:textId="77777777" w:rsidTr="00740FB8">
        <w:trPr>
          <w:trHeight w:val="220"/>
        </w:trPr>
        <w:tc>
          <w:tcPr>
            <w:tcW w:w="2866" w:type="dxa"/>
            <w:hideMark/>
          </w:tcPr>
          <w:p w14:paraId="0B2D6B11" w14:textId="24123501" w:rsidR="00740FB8" w:rsidRPr="00740FB8" w:rsidRDefault="00740FB8">
            <w:pPr>
              <w:pStyle w:val="TableParagraph"/>
              <w:spacing w:before="1" w:line="216" w:lineRule="exact"/>
              <w:ind w:left="271"/>
              <w:rPr>
                <w:rFonts w:cs="Times New Roman"/>
                <w:sz w:val="20"/>
                <w:lang w:val="sk-SK"/>
              </w:rPr>
            </w:pPr>
            <w:r w:rsidRPr="00740FB8">
              <w:rPr>
                <w:rFonts w:cs="Times New Roman"/>
                <w:w w:val="105"/>
                <w:sz w:val="20"/>
                <w:lang w:val="sk-SK"/>
              </w:rPr>
              <w:t>Znížená chuť do jedla</w:t>
            </w:r>
          </w:p>
        </w:tc>
        <w:tc>
          <w:tcPr>
            <w:tcW w:w="2660" w:type="dxa"/>
            <w:hideMark/>
          </w:tcPr>
          <w:p w14:paraId="6871308F" w14:textId="6BDA1745" w:rsidR="00740FB8" w:rsidRPr="00740FB8" w:rsidRDefault="00740FB8">
            <w:pPr>
              <w:pStyle w:val="TableParagraph"/>
              <w:spacing w:before="1" w:line="216" w:lineRule="exact"/>
              <w:ind w:left="891"/>
              <w:rPr>
                <w:rFonts w:cs="Times New Roman"/>
                <w:sz w:val="20"/>
                <w:lang w:val="sk-SK"/>
              </w:rPr>
            </w:pPr>
            <w:r w:rsidRPr="00740FB8">
              <w:rPr>
                <w:rFonts w:cs="Times New Roman"/>
                <w:w w:val="105"/>
                <w:sz w:val="20"/>
                <w:lang w:val="sk-SK"/>
              </w:rPr>
              <w:t>10,3</w:t>
            </w:r>
          </w:p>
        </w:tc>
        <w:tc>
          <w:tcPr>
            <w:tcW w:w="3196" w:type="dxa"/>
            <w:hideMark/>
          </w:tcPr>
          <w:p w14:paraId="5960BF6E" w14:textId="06C51E50" w:rsidR="00740FB8" w:rsidRPr="00740FB8" w:rsidRDefault="00740FB8">
            <w:pPr>
              <w:pStyle w:val="TableParagraph"/>
              <w:spacing w:before="1" w:line="216" w:lineRule="exact"/>
              <w:ind w:left="1458"/>
              <w:rPr>
                <w:rFonts w:cs="Times New Roman"/>
                <w:sz w:val="20"/>
                <w:lang w:val="sk-SK"/>
              </w:rPr>
            </w:pPr>
            <w:r w:rsidRPr="00740FB8">
              <w:rPr>
                <w:rFonts w:cs="Times New Roman"/>
                <w:w w:val="105"/>
                <w:sz w:val="20"/>
                <w:lang w:val="sk-SK"/>
              </w:rPr>
              <w:t>4,8</w:t>
            </w:r>
          </w:p>
        </w:tc>
      </w:tr>
      <w:tr w:rsidR="00740FB8" w:rsidRPr="00740FB8" w14:paraId="1F32653C" w14:textId="77777777" w:rsidTr="00740FB8">
        <w:trPr>
          <w:trHeight w:val="220"/>
        </w:trPr>
        <w:tc>
          <w:tcPr>
            <w:tcW w:w="2866" w:type="dxa"/>
            <w:tcBorders>
              <w:top w:val="nil"/>
              <w:left w:val="nil"/>
              <w:bottom w:val="single" w:sz="4" w:space="0" w:color="000000"/>
              <w:right w:val="nil"/>
            </w:tcBorders>
            <w:hideMark/>
          </w:tcPr>
          <w:p w14:paraId="6C392D52" w14:textId="5907169F" w:rsidR="00740FB8" w:rsidRPr="00740FB8" w:rsidRDefault="00740FB8">
            <w:pPr>
              <w:pStyle w:val="TableParagraph"/>
              <w:spacing w:before="2" w:line="211" w:lineRule="exact"/>
              <w:ind w:left="271"/>
              <w:rPr>
                <w:rFonts w:cs="Times New Roman"/>
                <w:sz w:val="20"/>
                <w:lang w:val="sk-SK"/>
              </w:rPr>
            </w:pPr>
            <w:r w:rsidRPr="00740FB8">
              <w:rPr>
                <w:rFonts w:cs="Times New Roman"/>
                <w:w w:val="105"/>
                <w:sz w:val="20"/>
                <w:lang w:val="sk-SK"/>
              </w:rPr>
              <w:t xml:space="preserve">Únava </w:t>
            </w:r>
          </w:p>
        </w:tc>
        <w:tc>
          <w:tcPr>
            <w:tcW w:w="2660" w:type="dxa"/>
            <w:tcBorders>
              <w:top w:val="nil"/>
              <w:left w:val="nil"/>
              <w:bottom w:val="single" w:sz="4" w:space="0" w:color="000000"/>
              <w:right w:val="nil"/>
            </w:tcBorders>
            <w:hideMark/>
          </w:tcPr>
          <w:p w14:paraId="688C974D" w14:textId="40883749" w:rsidR="00740FB8" w:rsidRPr="00740FB8" w:rsidRDefault="00740FB8">
            <w:pPr>
              <w:pStyle w:val="TableParagraph"/>
              <w:spacing w:before="2" w:line="211" w:lineRule="exact"/>
              <w:ind w:left="890"/>
              <w:rPr>
                <w:rFonts w:cs="Times New Roman"/>
                <w:sz w:val="20"/>
                <w:lang w:val="sk-SK"/>
              </w:rPr>
            </w:pPr>
            <w:r w:rsidRPr="00740FB8">
              <w:rPr>
                <w:rFonts w:cs="Times New Roman"/>
                <w:w w:val="105"/>
                <w:sz w:val="20"/>
                <w:lang w:val="sk-SK"/>
              </w:rPr>
              <w:t>10,3</w:t>
            </w:r>
          </w:p>
        </w:tc>
        <w:tc>
          <w:tcPr>
            <w:tcW w:w="3196" w:type="dxa"/>
            <w:tcBorders>
              <w:top w:val="nil"/>
              <w:left w:val="nil"/>
              <w:bottom w:val="single" w:sz="4" w:space="0" w:color="000000"/>
              <w:right w:val="nil"/>
            </w:tcBorders>
            <w:hideMark/>
          </w:tcPr>
          <w:p w14:paraId="74955031" w14:textId="77777777" w:rsidR="00740FB8" w:rsidRPr="00740FB8" w:rsidRDefault="00740FB8">
            <w:pPr>
              <w:pStyle w:val="TableParagraph"/>
              <w:spacing w:before="2" w:line="211" w:lineRule="exact"/>
              <w:ind w:right="20"/>
              <w:jc w:val="center"/>
              <w:rPr>
                <w:rFonts w:cs="Times New Roman"/>
                <w:sz w:val="20"/>
                <w:lang w:val="sk-SK"/>
              </w:rPr>
            </w:pPr>
            <w:r w:rsidRPr="00740FB8">
              <w:rPr>
                <w:rFonts w:cs="Times New Roman"/>
                <w:w w:val="103"/>
                <w:sz w:val="20"/>
                <w:lang w:val="sk-SK"/>
              </w:rPr>
              <w:t>0</w:t>
            </w:r>
          </w:p>
        </w:tc>
      </w:tr>
    </w:tbl>
    <w:p w14:paraId="1D5D990E" w14:textId="69A80099" w:rsidR="00740FB8" w:rsidRPr="00740FB8" w:rsidRDefault="00740FB8" w:rsidP="00740FB8">
      <w:pPr>
        <w:spacing w:after="0"/>
        <w:ind w:right="380"/>
        <w:rPr>
          <w:rFonts w:ascii="Times New Roman" w:hAnsi="Times New Roman"/>
          <w:sz w:val="17"/>
          <w:szCs w:val="17"/>
        </w:rPr>
      </w:pPr>
      <w:r w:rsidRPr="00740FB8">
        <w:rPr>
          <w:rFonts w:ascii="Times New Roman" w:hAnsi="Times New Roman"/>
          <w:position w:val="6"/>
          <w:sz w:val="17"/>
          <w:szCs w:val="17"/>
        </w:rPr>
        <w:t xml:space="preserve">a </w:t>
      </w:r>
      <w:r w:rsidRPr="00740FB8">
        <w:rPr>
          <w:rFonts w:ascii="Times New Roman" w:hAnsi="Times New Roman"/>
          <w:sz w:val="17"/>
          <w:szCs w:val="17"/>
        </w:rPr>
        <w:t>V pivotnej štúdii s celkovo 106 pacientmi, 24 pacientov dostalo prášok na perorálnu suspenziu minimálne jedenkrát, 8 z</w:t>
      </w:r>
    </w:p>
    <w:p w14:paraId="6F0CA86C" w14:textId="77777777" w:rsidR="00740FB8" w:rsidRPr="00740FB8" w:rsidRDefault="00740FB8" w:rsidP="00740FB8">
      <w:pPr>
        <w:spacing w:after="0"/>
        <w:ind w:right="380"/>
        <w:rPr>
          <w:rFonts w:ascii="Times New Roman" w:hAnsi="Times New Roman"/>
          <w:sz w:val="17"/>
          <w:szCs w:val="17"/>
        </w:rPr>
      </w:pPr>
      <w:r w:rsidRPr="00740FB8">
        <w:rPr>
          <w:rFonts w:ascii="Times New Roman" w:hAnsi="Times New Roman"/>
          <w:sz w:val="17"/>
          <w:szCs w:val="17"/>
        </w:rPr>
        <w:t xml:space="preserve">nich dostalo výlučne liekovú formu prášok na perorálnu suspenziu. </w:t>
      </w:r>
    </w:p>
    <w:p w14:paraId="56AB9FF4" w14:textId="471E4367" w:rsidR="00B2108E" w:rsidRPr="004E1637" w:rsidRDefault="00B2108E" w:rsidP="00740FB8">
      <w:pPr>
        <w:spacing w:after="0"/>
        <w:ind w:right="380"/>
        <w:rPr>
          <w:rFonts w:ascii="Times New Roman" w:hAnsi="Times New Roman"/>
        </w:rPr>
      </w:pPr>
      <w:r w:rsidRPr="004E1637">
        <w:rPr>
          <w:rFonts w:ascii="Times New Roman" w:hAnsi="Times New Roman"/>
        </w:rPr>
        <w:tab/>
      </w:r>
    </w:p>
    <w:p w14:paraId="1124325A" w14:textId="47DE1A3F" w:rsidR="00CB0D82" w:rsidRPr="004E1637" w:rsidRDefault="00FB03E6" w:rsidP="008B2EDB">
      <w:pPr>
        <w:pStyle w:val="CM28"/>
        <w:spacing w:line="240" w:lineRule="auto"/>
        <w:rPr>
          <w:i/>
          <w:iCs/>
          <w:sz w:val="22"/>
          <w:szCs w:val="22"/>
          <w:u w:val="single"/>
        </w:rPr>
      </w:pPr>
      <w:r>
        <w:rPr>
          <w:i/>
          <w:iCs/>
          <w:sz w:val="22"/>
          <w:szCs w:val="22"/>
          <w:u w:val="single"/>
        </w:rPr>
        <w:t xml:space="preserve">Odchýlky v </w:t>
      </w:r>
      <w:r w:rsidR="00BE76D5" w:rsidRPr="004E1637">
        <w:rPr>
          <w:i/>
          <w:iCs/>
          <w:sz w:val="22"/>
          <w:szCs w:val="22"/>
          <w:u w:val="single"/>
        </w:rPr>
        <w:t>laboratórnych testo</w:t>
      </w:r>
      <w:r>
        <w:rPr>
          <w:i/>
          <w:iCs/>
          <w:sz w:val="22"/>
          <w:szCs w:val="22"/>
          <w:u w:val="single"/>
        </w:rPr>
        <w:t>ch</w:t>
      </w:r>
      <w:r w:rsidR="00BE76D5" w:rsidRPr="00C11B8A">
        <w:rPr>
          <w:i/>
          <w:iCs/>
          <w:sz w:val="22"/>
          <w:szCs w:val="22"/>
        </w:rPr>
        <w:t xml:space="preserve"> </w:t>
      </w:r>
    </w:p>
    <w:p w14:paraId="631657B7" w14:textId="3A71DD1C" w:rsidR="00BE76D5" w:rsidRDefault="00BE76D5" w:rsidP="008B2EDB">
      <w:pPr>
        <w:pStyle w:val="CM2"/>
        <w:spacing w:line="240" w:lineRule="auto"/>
        <w:rPr>
          <w:i/>
          <w:iCs/>
          <w:sz w:val="22"/>
          <w:szCs w:val="22"/>
        </w:rPr>
      </w:pPr>
      <w:r w:rsidRPr="004E1637">
        <w:rPr>
          <w:i/>
          <w:iCs/>
          <w:sz w:val="22"/>
          <w:szCs w:val="22"/>
        </w:rPr>
        <w:t xml:space="preserve">2-ročné následné sledovanie </w:t>
      </w:r>
    </w:p>
    <w:p w14:paraId="3D3C407B" w14:textId="786B7B83" w:rsidR="006E2B0E" w:rsidRPr="006E2B0E" w:rsidRDefault="00A715DD" w:rsidP="00A715DD">
      <w:pPr>
        <w:pStyle w:val="CM2"/>
        <w:spacing w:line="240" w:lineRule="auto"/>
        <w:rPr>
          <w:sz w:val="22"/>
          <w:szCs w:val="22"/>
        </w:rPr>
      </w:pPr>
      <w:r w:rsidRPr="00A715DD">
        <w:rPr>
          <w:sz w:val="22"/>
          <w:szCs w:val="22"/>
        </w:rPr>
        <w:t>Vzostupy transamináz alebo bilirubínu 3. alebo 4. stupňa sa hlásili u</w:t>
      </w:r>
      <w:r>
        <w:rPr>
          <w:sz w:val="22"/>
          <w:szCs w:val="22"/>
        </w:rPr>
        <w:t xml:space="preserve"> </w:t>
      </w:r>
      <w:r w:rsidRPr="00A715DD">
        <w:rPr>
          <w:sz w:val="22"/>
          <w:szCs w:val="22"/>
        </w:rPr>
        <w:t>pacientov s Ph+ ALL so zvýšenou 1 až 7 % frekvenciou. Zvyčajne sa zvládli</w:t>
      </w:r>
      <w:r>
        <w:rPr>
          <w:sz w:val="22"/>
          <w:szCs w:val="22"/>
        </w:rPr>
        <w:t xml:space="preserve"> </w:t>
      </w:r>
      <w:r w:rsidRPr="00A715DD">
        <w:rPr>
          <w:sz w:val="22"/>
          <w:szCs w:val="22"/>
        </w:rPr>
        <w:t>znížením dávky alebo prerušením liečby.</w:t>
      </w:r>
    </w:p>
    <w:p w14:paraId="2B562540" w14:textId="3DD58162" w:rsidR="00BE76D5" w:rsidRPr="004E1637" w:rsidRDefault="00BE76D5" w:rsidP="00C11B8A">
      <w:pPr>
        <w:pStyle w:val="CM2"/>
        <w:spacing w:line="240" w:lineRule="auto"/>
        <w:rPr>
          <w:sz w:val="22"/>
          <w:szCs w:val="22"/>
        </w:rPr>
      </w:pPr>
      <w:r w:rsidRPr="004E1637">
        <w:rPr>
          <w:sz w:val="22"/>
          <w:szCs w:val="22"/>
        </w:rPr>
        <w:t xml:space="preserve">V štúdii optimalizácie </w:t>
      </w:r>
      <w:r w:rsidR="00126F80">
        <w:rPr>
          <w:sz w:val="22"/>
          <w:szCs w:val="22"/>
        </w:rPr>
        <w:t xml:space="preserve">dávky </w:t>
      </w:r>
      <w:r w:rsidRPr="004E1637">
        <w:rPr>
          <w:sz w:val="22"/>
          <w:szCs w:val="22"/>
        </w:rPr>
        <w:t xml:space="preserve">fázy III </w:t>
      </w:r>
      <w:r w:rsidR="00C44150">
        <w:rPr>
          <w:sz w:val="22"/>
          <w:szCs w:val="22"/>
        </w:rPr>
        <w:t>s</w:t>
      </w:r>
      <w:r w:rsidRPr="004E1637">
        <w:rPr>
          <w:sz w:val="22"/>
          <w:szCs w:val="22"/>
        </w:rPr>
        <w:t xml:space="preserve"> Ph+</w:t>
      </w:r>
      <w:r w:rsidR="00DF489B">
        <w:rPr>
          <w:sz w:val="22"/>
          <w:szCs w:val="22"/>
        </w:rPr>
        <w:t xml:space="preserve"> </w:t>
      </w:r>
      <w:r w:rsidRPr="004E1637">
        <w:rPr>
          <w:sz w:val="22"/>
          <w:szCs w:val="22"/>
        </w:rPr>
        <w:t>ALL sa vyskytlo zvýšenie transamináz alebo bilirubínu 3. alebo 4. stupňa u</w:t>
      </w:r>
      <w:r w:rsidR="00126F80">
        <w:rPr>
          <w:sz w:val="22"/>
          <w:szCs w:val="22"/>
        </w:rPr>
        <w:t> </w:t>
      </w:r>
      <w:r w:rsidRPr="004E1637">
        <w:rPr>
          <w:sz w:val="22"/>
          <w:szCs w:val="22"/>
        </w:rPr>
        <w:t xml:space="preserve">1 % až 5 % pacientov v jednotlivých liečených skupinách. </w:t>
      </w:r>
    </w:p>
    <w:p w14:paraId="22DFCD1C" w14:textId="77777777" w:rsidR="00453345" w:rsidRPr="004E1637" w:rsidRDefault="00453345" w:rsidP="00453345">
      <w:pPr>
        <w:pStyle w:val="Default"/>
      </w:pPr>
    </w:p>
    <w:p w14:paraId="7ECC823C" w14:textId="4EB46A3E" w:rsidR="00BE76D5" w:rsidRPr="004E1637" w:rsidRDefault="00BE76D5" w:rsidP="008B2EDB">
      <w:pPr>
        <w:pStyle w:val="CM100"/>
        <w:rPr>
          <w:sz w:val="22"/>
          <w:szCs w:val="22"/>
        </w:rPr>
      </w:pPr>
      <w:r w:rsidRPr="004E1637">
        <w:rPr>
          <w:sz w:val="22"/>
          <w:szCs w:val="22"/>
        </w:rPr>
        <w:t xml:space="preserve">Približne u 5 % pacientov liečených </w:t>
      </w:r>
      <w:r w:rsidR="00453345" w:rsidRPr="004E1637">
        <w:rPr>
          <w:sz w:val="22"/>
          <w:szCs w:val="22"/>
        </w:rPr>
        <w:t>dasatinibom</w:t>
      </w:r>
      <w:r w:rsidRPr="004E1637">
        <w:rPr>
          <w:sz w:val="22"/>
          <w:szCs w:val="22"/>
        </w:rPr>
        <w:t>, ktorí mali normálne východiskové hladiny vápnika, vznikla v určitom čase počas štúdie prechodná hypokalciémia</w:t>
      </w:r>
      <w:r w:rsidR="00126F80">
        <w:rPr>
          <w:sz w:val="22"/>
          <w:szCs w:val="22"/>
        </w:rPr>
        <w:t xml:space="preserve"> </w:t>
      </w:r>
      <w:r w:rsidR="00126F80" w:rsidRPr="00126F80">
        <w:rPr>
          <w:sz w:val="22"/>
          <w:szCs w:val="22"/>
        </w:rPr>
        <w:t>3. alebo 4. stupňa</w:t>
      </w:r>
      <w:r w:rsidRPr="004E1637">
        <w:rPr>
          <w:sz w:val="22"/>
          <w:szCs w:val="22"/>
        </w:rPr>
        <w:t xml:space="preserve">. Obvykle nebola </w:t>
      </w:r>
      <w:r w:rsidRPr="004E1637">
        <w:rPr>
          <w:sz w:val="22"/>
          <w:szCs w:val="22"/>
        </w:rPr>
        <w:lastRenderedPageBreak/>
        <w:t xml:space="preserve">žiadna súvislosť medzi zníženými hladinami vápnika a klinickými symptómami. Pacienti, u ktorých vznikla hypokalciémia 3. alebo 4. stupňa sa často zotavili po perorálnej suplementácii vápnika. Hypokalciémia 3. alebo 4. stupňa, hypokaliémia a hypofosfatémia sa vyskytli </w:t>
      </w:r>
      <w:r w:rsidR="00C44150">
        <w:rPr>
          <w:sz w:val="22"/>
          <w:szCs w:val="22"/>
        </w:rPr>
        <w:t xml:space="preserve">so </w:t>
      </w:r>
      <w:r w:rsidRPr="004E1637">
        <w:rPr>
          <w:sz w:val="22"/>
          <w:szCs w:val="22"/>
        </w:rPr>
        <w:t xml:space="preserve">zvýšenou frekvenciou u pacientov s Ph+ ALL. </w:t>
      </w:r>
    </w:p>
    <w:p w14:paraId="06AD3A8D" w14:textId="77777777" w:rsidR="00F53CE1" w:rsidRPr="004E1637" w:rsidRDefault="00F53CE1" w:rsidP="008B2EDB">
      <w:pPr>
        <w:pStyle w:val="CM2"/>
        <w:spacing w:line="240" w:lineRule="auto"/>
        <w:rPr>
          <w:sz w:val="22"/>
          <w:szCs w:val="22"/>
          <w:u w:val="single"/>
        </w:rPr>
      </w:pPr>
    </w:p>
    <w:p w14:paraId="3EABE55A" w14:textId="77777777" w:rsidR="00F53CE1" w:rsidRPr="004E1637" w:rsidRDefault="00BE76D5" w:rsidP="008B2EDB">
      <w:pPr>
        <w:pStyle w:val="CM2"/>
        <w:spacing w:line="240" w:lineRule="auto"/>
        <w:rPr>
          <w:sz w:val="22"/>
          <w:szCs w:val="22"/>
          <w:u w:val="single"/>
        </w:rPr>
      </w:pPr>
      <w:r w:rsidRPr="004E1637">
        <w:rPr>
          <w:sz w:val="22"/>
          <w:szCs w:val="22"/>
          <w:u w:val="single"/>
        </w:rPr>
        <w:t>Pediatrická populácia</w:t>
      </w:r>
      <w:r w:rsidRPr="00C11B8A">
        <w:rPr>
          <w:sz w:val="22"/>
          <w:szCs w:val="22"/>
        </w:rPr>
        <w:t xml:space="preserve"> </w:t>
      </w:r>
    </w:p>
    <w:p w14:paraId="224C73BB" w14:textId="1453C118" w:rsidR="00DF489B" w:rsidRDefault="00DF489B" w:rsidP="00DF489B">
      <w:pPr>
        <w:pStyle w:val="CM2"/>
        <w:spacing w:line="240" w:lineRule="auto"/>
        <w:rPr>
          <w:sz w:val="22"/>
          <w:szCs w:val="22"/>
        </w:rPr>
      </w:pPr>
      <w:r w:rsidRPr="00DF489B">
        <w:rPr>
          <w:sz w:val="22"/>
          <w:szCs w:val="22"/>
        </w:rPr>
        <w:t>Bezpečnostný</w:t>
      </w:r>
      <w:r w:rsidR="00C44150">
        <w:rPr>
          <w:sz w:val="22"/>
          <w:szCs w:val="22"/>
        </w:rPr>
        <w:t xml:space="preserve"> </w:t>
      </w:r>
      <w:r w:rsidRPr="00DF489B">
        <w:rPr>
          <w:sz w:val="22"/>
          <w:szCs w:val="22"/>
        </w:rPr>
        <w:t xml:space="preserve">profil </w:t>
      </w:r>
      <w:r>
        <w:rPr>
          <w:sz w:val="22"/>
          <w:szCs w:val="22"/>
        </w:rPr>
        <w:t>dasatinibu</w:t>
      </w:r>
      <w:r w:rsidRPr="00DF489B">
        <w:rPr>
          <w:sz w:val="22"/>
          <w:szCs w:val="22"/>
        </w:rPr>
        <w:t>, ktorý sa podával v kombinácii s chemoterapiou pediatrickým pacientom s</w:t>
      </w:r>
      <w:r>
        <w:rPr>
          <w:sz w:val="22"/>
          <w:szCs w:val="22"/>
        </w:rPr>
        <w:t> Ph +</w:t>
      </w:r>
      <w:r w:rsidRPr="00DF489B">
        <w:rPr>
          <w:sz w:val="22"/>
          <w:szCs w:val="22"/>
        </w:rPr>
        <w:t xml:space="preserve">ALL bol zhodný so známym bezpečnostným profilom </w:t>
      </w:r>
      <w:r>
        <w:rPr>
          <w:sz w:val="22"/>
          <w:szCs w:val="22"/>
        </w:rPr>
        <w:t>dasatinibu u dospelých</w:t>
      </w:r>
      <w:r w:rsidRPr="00DF489B">
        <w:rPr>
          <w:sz w:val="22"/>
          <w:szCs w:val="22"/>
        </w:rPr>
        <w:t xml:space="preserve"> a s</w:t>
      </w:r>
      <w:r w:rsidR="00C44150">
        <w:rPr>
          <w:sz w:val="22"/>
          <w:szCs w:val="22"/>
        </w:rPr>
        <w:t> </w:t>
      </w:r>
      <w:r w:rsidRPr="00DF489B">
        <w:rPr>
          <w:sz w:val="22"/>
          <w:szCs w:val="22"/>
        </w:rPr>
        <w:t>očakávanými</w:t>
      </w:r>
      <w:r w:rsidR="00C44150">
        <w:rPr>
          <w:sz w:val="22"/>
          <w:szCs w:val="22"/>
        </w:rPr>
        <w:t xml:space="preserve"> </w:t>
      </w:r>
      <w:r w:rsidRPr="00DF489B">
        <w:rPr>
          <w:sz w:val="22"/>
          <w:szCs w:val="22"/>
        </w:rPr>
        <w:t>účinkami chemoterapie, s výnimkou nižšieho výskytu pleurálnej efúzie u pediatrických pacientov v</w:t>
      </w:r>
      <w:r w:rsidR="00C44150">
        <w:rPr>
          <w:sz w:val="22"/>
          <w:szCs w:val="22"/>
        </w:rPr>
        <w:t xml:space="preserve"> </w:t>
      </w:r>
      <w:r w:rsidRPr="00DF489B">
        <w:rPr>
          <w:sz w:val="22"/>
          <w:szCs w:val="22"/>
        </w:rPr>
        <w:t>porovnaní s dospelými.</w:t>
      </w:r>
    </w:p>
    <w:p w14:paraId="42BA9ED3" w14:textId="77777777" w:rsidR="00DF489B" w:rsidRDefault="00DF489B" w:rsidP="00DF489B">
      <w:pPr>
        <w:pStyle w:val="CM2"/>
        <w:spacing w:line="240" w:lineRule="auto"/>
        <w:rPr>
          <w:sz w:val="22"/>
          <w:szCs w:val="22"/>
        </w:rPr>
      </w:pPr>
    </w:p>
    <w:p w14:paraId="29EFF173" w14:textId="22FB064C" w:rsidR="00BE76D5" w:rsidRPr="004E1637" w:rsidRDefault="00DF489B" w:rsidP="00DF489B">
      <w:pPr>
        <w:pStyle w:val="CM2"/>
        <w:spacing w:line="240" w:lineRule="auto"/>
        <w:rPr>
          <w:sz w:val="22"/>
          <w:szCs w:val="22"/>
        </w:rPr>
      </w:pPr>
      <w:r w:rsidRPr="00DF489B">
        <w:rPr>
          <w:sz w:val="22"/>
          <w:szCs w:val="22"/>
        </w:rPr>
        <w:t xml:space="preserve">V pediatrických štúdiách s ALL boli miery výskytu </w:t>
      </w:r>
      <w:r w:rsidR="00A935A3">
        <w:rPr>
          <w:sz w:val="22"/>
          <w:szCs w:val="22"/>
        </w:rPr>
        <w:t>odchýlok</w:t>
      </w:r>
      <w:r w:rsidR="00BB130A">
        <w:rPr>
          <w:sz w:val="22"/>
          <w:szCs w:val="22"/>
        </w:rPr>
        <w:t xml:space="preserve"> v </w:t>
      </w:r>
      <w:r w:rsidRPr="00DF489B">
        <w:rPr>
          <w:sz w:val="22"/>
          <w:szCs w:val="22"/>
        </w:rPr>
        <w:t xml:space="preserve">laboratórnych </w:t>
      </w:r>
      <w:r w:rsidR="00BB130A">
        <w:rPr>
          <w:sz w:val="22"/>
          <w:szCs w:val="22"/>
        </w:rPr>
        <w:t>testoch</w:t>
      </w:r>
      <w:r w:rsidRPr="00DF489B">
        <w:rPr>
          <w:sz w:val="22"/>
          <w:szCs w:val="22"/>
        </w:rPr>
        <w:t xml:space="preserve"> zhodné so známym</w:t>
      </w:r>
      <w:r w:rsidR="00C11DFC">
        <w:rPr>
          <w:sz w:val="22"/>
          <w:szCs w:val="22"/>
        </w:rPr>
        <w:t xml:space="preserve"> </w:t>
      </w:r>
      <w:r w:rsidRPr="00DF489B">
        <w:rPr>
          <w:sz w:val="22"/>
          <w:szCs w:val="22"/>
        </w:rPr>
        <w:t>profilom laboratórnych parametrov u dospelých, v rámci kontextu pacienta s akútnou leukémiou, ktorý</w:t>
      </w:r>
      <w:r w:rsidR="00C11DFC">
        <w:rPr>
          <w:sz w:val="22"/>
          <w:szCs w:val="22"/>
        </w:rPr>
        <w:t xml:space="preserve"> </w:t>
      </w:r>
      <w:r w:rsidRPr="00DF489B">
        <w:rPr>
          <w:sz w:val="22"/>
          <w:szCs w:val="22"/>
        </w:rPr>
        <w:t xml:space="preserve">dostáva základný režim chemoterapie. </w:t>
      </w:r>
    </w:p>
    <w:p w14:paraId="750E8731" w14:textId="77777777" w:rsidR="00632752" w:rsidRPr="004E1637" w:rsidRDefault="00632752" w:rsidP="00632752">
      <w:pPr>
        <w:pStyle w:val="Default"/>
      </w:pPr>
    </w:p>
    <w:p w14:paraId="49654867" w14:textId="77777777" w:rsidR="00632752" w:rsidRPr="004E1637" w:rsidRDefault="00BE76D5" w:rsidP="008B2EDB">
      <w:pPr>
        <w:pStyle w:val="CM100"/>
        <w:rPr>
          <w:sz w:val="22"/>
          <w:szCs w:val="22"/>
          <w:u w:val="single"/>
        </w:rPr>
      </w:pPr>
      <w:r w:rsidRPr="004E1637">
        <w:rPr>
          <w:sz w:val="22"/>
          <w:szCs w:val="22"/>
          <w:u w:val="single"/>
        </w:rPr>
        <w:t>Osobitné populácie</w:t>
      </w:r>
      <w:r w:rsidRPr="00C11B8A">
        <w:rPr>
          <w:sz w:val="22"/>
          <w:szCs w:val="22"/>
        </w:rPr>
        <w:t xml:space="preserve"> </w:t>
      </w:r>
    </w:p>
    <w:p w14:paraId="4D977CF2" w14:textId="7B61C58C" w:rsidR="00BE76D5" w:rsidRPr="004E1637" w:rsidRDefault="00BE76D5" w:rsidP="008B2EDB">
      <w:pPr>
        <w:pStyle w:val="CM100"/>
        <w:rPr>
          <w:sz w:val="22"/>
          <w:szCs w:val="22"/>
        </w:rPr>
      </w:pPr>
      <w:r w:rsidRPr="004E1637">
        <w:rPr>
          <w:sz w:val="22"/>
          <w:szCs w:val="22"/>
        </w:rPr>
        <w:t xml:space="preserve">Zatiaľ čo bezpečnostný profil </w:t>
      </w:r>
      <w:r w:rsidR="00632752" w:rsidRPr="004E1637">
        <w:rPr>
          <w:sz w:val="22"/>
          <w:szCs w:val="22"/>
        </w:rPr>
        <w:t>dasatinibu</w:t>
      </w:r>
      <w:r w:rsidRPr="004E1637">
        <w:rPr>
          <w:sz w:val="22"/>
          <w:szCs w:val="22"/>
        </w:rPr>
        <w:t xml:space="preserve"> u starších ľudí bol pod</w:t>
      </w:r>
      <w:r w:rsidR="00632752" w:rsidRPr="004E1637">
        <w:rPr>
          <w:sz w:val="22"/>
          <w:szCs w:val="22"/>
        </w:rPr>
        <w:t>obný profilu v mladšej populáci</w:t>
      </w:r>
      <w:r w:rsidR="004B1076">
        <w:rPr>
          <w:sz w:val="22"/>
          <w:szCs w:val="22"/>
        </w:rPr>
        <w:t>i</w:t>
      </w:r>
      <w:r w:rsidRPr="004E1637">
        <w:rPr>
          <w:sz w:val="22"/>
          <w:szCs w:val="22"/>
        </w:rPr>
        <w:t xml:space="preserve">, u pacientov vo veku 65 rokov a starších je pravdepodobnejší výskyt často hlásených nežiaducich reakcií, ako je únava, pleurálny výpotok, dyspnoe, kašeľ, krvácanie </w:t>
      </w:r>
      <w:r w:rsidR="005B2884">
        <w:rPr>
          <w:sz w:val="22"/>
          <w:szCs w:val="22"/>
        </w:rPr>
        <w:t>v dolnej časti</w:t>
      </w:r>
      <w:r w:rsidRPr="004E1637">
        <w:rPr>
          <w:sz w:val="22"/>
          <w:szCs w:val="22"/>
        </w:rPr>
        <w:t xml:space="preserve"> gastrointestinálneho traktu a porucha chuti a pravdepodobnejší výskyt menej často hlásených nežiaducich reakcií, ako sú distenzia brucha, závrat, perikardiálny výpotok, kongestívne zlyh</w:t>
      </w:r>
      <w:r w:rsidR="004B1076">
        <w:rPr>
          <w:sz w:val="22"/>
          <w:szCs w:val="22"/>
        </w:rPr>
        <w:t>ávanie srdca</w:t>
      </w:r>
      <w:r w:rsidRPr="004E1637">
        <w:rPr>
          <w:sz w:val="22"/>
          <w:szCs w:val="22"/>
        </w:rPr>
        <w:t xml:space="preserve"> a pokles telesnej hmotnosti a majú sa starostlivo sledovať (pozri časť 4.4). </w:t>
      </w:r>
    </w:p>
    <w:p w14:paraId="47A12E79" w14:textId="77777777" w:rsidR="00632752" w:rsidRPr="004E1637" w:rsidRDefault="00632752" w:rsidP="00632752">
      <w:pPr>
        <w:pStyle w:val="Default"/>
      </w:pPr>
    </w:p>
    <w:p w14:paraId="0D80BAA4" w14:textId="77777777" w:rsidR="00632752" w:rsidRPr="004E1637" w:rsidRDefault="00BE76D5" w:rsidP="00632752">
      <w:pPr>
        <w:pStyle w:val="CM100"/>
        <w:rPr>
          <w:sz w:val="22"/>
          <w:szCs w:val="22"/>
          <w:u w:val="single"/>
        </w:rPr>
      </w:pPr>
      <w:r w:rsidRPr="004E1637">
        <w:rPr>
          <w:sz w:val="22"/>
          <w:szCs w:val="22"/>
          <w:u w:val="single"/>
        </w:rPr>
        <w:t xml:space="preserve">Hlásenie podozrení na nežiaduce reakcie </w:t>
      </w:r>
    </w:p>
    <w:p w14:paraId="1E84E186" w14:textId="77777777" w:rsidR="00632752" w:rsidRPr="00C11B8A" w:rsidRDefault="00632752" w:rsidP="00632752">
      <w:pPr>
        <w:suppressLineNumbers/>
        <w:autoSpaceDE w:val="0"/>
        <w:autoSpaceDN w:val="0"/>
        <w:adjustRightInd w:val="0"/>
        <w:spacing w:after="0" w:line="240" w:lineRule="auto"/>
        <w:rPr>
          <w:rFonts w:ascii="Times New Roman" w:hAnsi="Times New Roman"/>
          <w:color w:val="000000" w:themeColor="text1"/>
        </w:rPr>
      </w:pPr>
      <w:r w:rsidRPr="004E1637">
        <w:rPr>
          <w:rFonts w:ascii="Times New Roman" w:hAnsi="Times New Roman"/>
          <w:noProof/>
        </w:rPr>
        <w:t>Hlásenie podozrení na nežiaduce reakcie po registrácii lieku je dôležité.</w:t>
      </w:r>
      <w:r w:rsidRPr="004E1637">
        <w:rPr>
          <w:rFonts w:ascii="Times New Roman" w:hAnsi="Times New Roman"/>
        </w:rPr>
        <w:t xml:space="preserve"> </w:t>
      </w:r>
      <w:r w:rsidRPr="004E1637">
        <w:rPr>
          <w:rFonts w:ascii="Times New Roman" w:hAnsi="Times New Roman"/>
          <w:noProof/>
        </w:rPr>
        <w:t>Umožňuje priebežné monitorovanie pomeru prínosu a rizika lieku.</w:t>
      </w:r>
      <w:r w:rsidRPr="004E1637">
        <w:rPr>
          <w:rFonts w:ascii="Times New Roman" w:hAnsi="Times New Roman"/>
        </w:rPr>
        <w:t xml:space="preserve"> Od </w:t>
      </w:r>
      <w:r w:rsidRPr="004E1637">
        <w:rPr>
          <w:rFonts w:ascii="Times New Roman" w:hAnsi="Times New Roman"/>
          <w:noProof/>
        </w:rPr>
        <w:t xml:space="preserve">zdravotníckych pracovníkov sa vyžaduje, aby hlásili akékoľvek podozrenia na nežiaduce reakcie na </w:t>
      </w:r>
      <w:r w:rsidRPr="004E1637">
        <w:rPr>
          <w:rFonts w:ascii="Times New Roman" w:hAnsi="Times New Roman"/>
          <w:noProof/>
          <w:highlight w:val="lightGray"/>
        </w:rPr>
        <w:t>národné centrum hlásenia uvedené v </w:t>
      </w:r>
      <w:hyperlink r:id="rId8" w:history="1">
        <w:r w:rsidRPr="004E1637">
          <w:rPr>
            <w:rStyle w:val="Hypertextovprepojenie"/>
            <w:rFonts w:ascii="Times New Roman" w:hAnsi="Times New Roman"/>
            <w:highlight w:val="lightGray"/>
          </w:rPr>
          <w:t>Prílohe V</w:t>
        </w:r>
      </w:hyperlink>
      <w:r w:rsidRPr="004E1637">
        <w:rPr>
          <w:rFonts w:ascii="Times New Roman" w:hAnsi="Times New Roman"/>
          <w:noProof/>
        </w:rPr>
        <w:t>.</w:t>
      </w:r>
    </w:p>
    <w:p w14:paraId="6ACC9124" w14:textId="77777777" w:rsidR="00632752" w:rsidRPr="004E1637" w:rsidRDefault="00632752" w:rsidP="00632752">
      <w:pPr>
        <w:suppressLineNumbers/>
        <w:autoSpaceDE w:val="0"/>
        <w:autoSpaceDN w:val="0"/>
        <w:adjustRightInd w:val="0"/>
        <w:spacing w:after="0" w:line="240" w:lineRule="auto"/>
        <w:rPr>
          <w:rFonts w:ascii="Times New Roman" w:hAnsi="Times New Roman"/>
          <w:noProof/>
        </w:rPr>
      </w:pPr>
    </w:p>
    <w:p w14:paraId="44E90C83" w14:textId="233AEF17" w:rsidR="00BE76D5" w:rsidRPr="004E1637" w:rsidRDefault="00BE76D5" w:rsidP="00895A04">
      <w:pPr>
        <w:pStyle w:val="CM100"/>
        <w:tabs>
          <w:tab w:val="left" w:pos="567"/>
        </w:tabs>
        <w:rPr>
          <w:b/>
          <w:bCs/>
          <w:sz w:val="22"/>
          <w:szCs w:val="22"/>
        </w:rPr>
      </w:pPr>
      <w:r w:rsidRPr="004E1637">
        <w:rPr>
          <w:b/>
          <w:bCs/>
          <w:sz w:val="22"/>
          <w:szCs w:val="22"/>
        </w:rPr>
        <w:t>4.9</w:t>
      </w:r>
      <w:r w:rsidR="00895A04">
        <w:rPr>
          <w:b/>
          <w:bCs/>
          <w:sz w:val="22"/>
          <w:szCs w:val="22"/>
        </w:rPr>
        <w:tab/>
      </w:r>
      <w:r w:rsidRPr="004E1637">
        <w:rPr>
          <w:b/>
          <w:bCs/>
          <w:sz w:val="22"/>
          <w:szCs w:val="22"/>
        </w:rPr>
        <w:t xml:space="preserve">Predávkovanie </w:t>
      </w:r>
    </w:p>
    <w:p w14:paraId="3B91CFF0" w14:textId="77777777" w:rsidR="00632752" w:rsidRPr="004E1637" w:rsidRDefault="00632752" w:rsidP="00632752">
      <w:pPr>
        <w:pStyle w:val="Default"/>
      </w:pPr>
    </w:p>
    <w:p w14:paraId="63E2F590" w14:textId="095CE4E5" w:rsidR="00BE76D5" w:rsidRPr="004E1637" w:rsidRDefault="00BE76D5" w:rsidP="008B2EDB">
      <w:pPr>
        <w:pStyle w:val="CM100"/>
        <w:rPr>
          <w:sz w:val="22"/>
          <w:szCs w:val="22"/>
        </w:rPr>
      </w:pPr>
      <w:r w:rsidRPr="004E1637">
        <w:rPr>
          <w:sz w:val="22"/>
          <w:szCs w:val="22"/>
        </w:rPr>
        <w:t xml:space="preserve">Skúsenosti s predávkovaním </w:t>
      </w:r>
      <w:r w:rsidR="00632752" w:rsidRPr="004E1637">
        <w:rPr>
          <w:sz w:val="22"/>
          <w:szCs w:val="22"/>
        </w:rPr>
        <w:t>dasatinibom</w:t>
      </w:r>
      <w:r w:rsidRPr="004E1637">
        <w:rPr>
          <w:sz w:val="22"/>
          <w:szCs w:val="22"/>
        </w:rPr>
        <w:t xml:space="preserve"> v klinických štúdiách sú limitované z dôvodu ojedinelých prípadov. Najväčšie predávkovanie 280 mg denne počas jedného týždňa sa vyskytlo u</w:t>
      </w:r>
      <w:r w:rsidR="00C11DFC">
        <w:rPr>
          <w:sz w:val="22"/>
          <w:szCs w:val="22"/>
        </w:rPr>
        <w:t> </w:t>
      </w:r>
      <w:r w:rsidRPr="004E1637">
        <w:rPr>
          <w:sz w:val="22"/>
          <w:szCs w:val="22"/>
        </w:rPr>
        <w:t>dvoch</w:t>
      </w:r>
      <w:r w:rsidR="00C11DFC">
        <w:rPr>
          <w:sz w:val="22"/>
          <w:szCs w:val="22"/>
        </w:rPr>
        <w:t xml:space="preserve"> </w:t>
      </w:r>
      <w:r w:rsidRPr="004E1637">
        <w:rPr>
          <w:sz w:val="22"/>
          <w:szCs w:val="22"/>
        </w:rPr>
        <w:t xml:space="preserve">pacientov a u oboch sa vyvinulo signifikantné zníženie počtu trombocytov. Pretože sa dasatinib spája s myelosupresiou 3. alebo 4. stupňa (pozri časť 4.4), pacienti, ktorí </w:t>
      </w:r>
      <w:r w:rsidR="005B2884">
        <w:rPr>
          <w:sz w:val="22"/>
          <w:szCs w:val="22"/>
        </w:rPr>
        <w:t>užili</w:t>
      </w:r>
      <w:r w:rsidRPr="004E1637">
        <w:rPr>
          <w:sz w:val="22"/>
          <w:szCs w:val="22"/>
        </w:rPr>
        <w:t xml:space="preserve"> vyššiu ako odporúčanú dávku, majú byť dôkladne sledovaní na myelosupresiu a má im byť poskytnutá podporná liečba. </w:t>
      </w:r>
    </w:p>
    <w:p w14:paraId="14F38B2D" w14:textId="77777777" w:rsidR="00BE76D5" w:rsidRPr="004E1637" w:rsidRDefault="00BE76D5">
      <w:pPr>
        <w:pStyle w:val="Default"/>
        <w:rPr>
          <w:color w:val="auto"/>
          <w:sz w:val="22"/>
          <w:szCs w:val="22"/>
        </w:rPr>
      </w:pPr>
    </w:p>
    <w:p w14:paraId="5E2F0C78" w14:textId="77777777" w:rsidR="00632752" w:rsidRPr="004E1637" w:rsidRDefault="00632752">
      <w:pPr>
        <w:pStyle w:val="Default"/>
        <w:rPr>
          <w:color w:val="auto"/>
          <w:sz w:val="22"/>
          <w:szCs w:val="22"/>
        </w:rPr>
      </w:pPr>
    </w:p>
    <w:p w14:paraId="4DFE509A" w14:textId="57489B1D" w:rsidR="00BE76D5" w:rsidRPr="004E1637" w:rsidRDefault="00BE76D5" w:rsidP="00895A04">
      <w:pPr>
        <w:pStyle w:val="CM100"/>
        <w:tabs>
          <w:tab w:val="left" w:pos="567"/>
        </w:tabs>
        <w:spacing w:after="237" w:line="238" w:lineRule="atLeast"/>
        <w:rPr>
          <w:sz w:val="22"/>
          <w:szCs w:val="22"/>
        </w:rPr>
      </w:pPr>
      <w:r w:rsidRPr="004E1637">
        <w:rPr>
          <w:b/>
          <w:bCs/>
          <w:sz w:val="22"/>
          <w:szCs w:val="22"/>
        </w:rPr>
        <w:t>5.</w:t>
      </w:r>
      <w:r w:rsidR="00895A04">
        <w:rPr>
          <w:b/>
          <w:bCs/>
          <w:sz w:val="22"/>
          <w:szCs w:val="22"/>
        </w:rPr>
        <w:tab/>
      </w:r>
      <w:r w:rsidRPr="004E1637">
        <w:rPr>
          <w:b/>
          <w:bCs/>
          <w:sz w:val="22"/>
          <w:szCs w:val="22"/>
        </w:rPr>
        <w:t xml:space="preserve">FARMAKOLOGICKÉ VLASTNOSTI </w:t>
      </w:r>
    </w:p>
    <w:p w14:paraId="30670B33" w14:textId="17737C22" w:rsidR="00BE76D5" w:rsidRPr="004E1637" w:rsidRDefault="00BE76D5" w:rsidP="00895A04">
      <w:pPr>
        <w:pStyle w:val="CM100"/>
        <w:tabs>
          <w:tab w:val="left" w:pos="567"/>
        </w:tabs>
        <w:spacing w:after="191" w:line="238" w:lineRule="atLeast"/>
        <w:rPr>
          <w:sz w:val="22"/>
          <w:szCs w:val="22"/>
        </w:rPr>
      </w:pPr>
      <w:r w:rsidRPr="004E1637">
        <w:rPr>
          <w:b/>
          <w:bCs/>
          <w:sz w:val="22"/>
          <w:szCs w:val="22"/>
        </w:rPr>
        <w:t>5.1</w:t>
      </w:r>
      <w:r w:rsidR="00895A04">
        <w:rPr>
          <w:b/>
          <w:bCs/>
          <w:sz w:val="22"/>
          <w:szCs w:val="22"/>
        </w:rPr>
        <w:tab/>
      </w:r>
      <w:r w:rsidRPr="004E1637">
        <w:rPr>
          <w:b/>
          <w:bCs/>
          <w:sz w:val="22"/>
          <w:szCs w:val="22"/>
        </w:rPr>
        <w:t xml:space="preserve">Farmakodynamické vlastnosti </w:t>
      </w:r>
    </w:p>
    <w:p w14:paraId="7C25628A" w14:textId="77777777" w:rsidR="00BE76D5" w:rsidRPr="004E1637" w:rsidRDefault="00BE76D5" w:rsidP="00DB6403">
      <w:pPr>
        <w:pStyle w:val="CM100"/>
        <w:rPr>
          <w:sz w:val="22"/>
          <w:szCs w:val="22"/>
        </w:rPr>
      </w:pPr>
      <w:r w:rsidRPr="004E1637">
        <w:rPr>
          <w:sz w:val="22"/>
          <w:szCs w:val="22"/>
        </w:rPr>
        <w:t xml:space="preserve">Farmakoterapeutická skupina: cytostatiká, inhibítory proteínkinázy, ATC kód: L01XE06 </w:t>
      </w:r>
    </w:p>
    <w:p w14:paraId="41423F1F" w14:textId="77777777" w:rsidR="00DB6403" w:rsidRPr="004E1637" w:rsidRDefault="00DB6403" w:rsidP="00DB6403">
      <w:pPr>
        <w:pStyle w:val="CM100"/>
        <w:rPr>
          <w:sz w:val="22"/>
          <w:szCs w:val="22"/>
          <w:u w:val="single"/>
        </w:rPr>
      </w:pPr>
    </w:p>
    <w:p w14:paraId="257C4CD3" w14:textId="77777777" w:rsidR="00DB6403" w:rsidRPr="004E1637" w:rsidRDefault="00BE76D5" w:rsidP="00DB6403">
      <w:pPr>
        <w:pStyle w:val="CM100"/>
        <w:rPr>
          <w:sz w:val="22"/>
          <w:szCs w:val="22"/>
          <w:u w:val="single"/>
        </w:rPr>
      </w:pPr>
      <w:r w:rsidRPr="004E1637">
        <w:rPr>
          <w:sz w:val="22"/>
          <w:szCs w:val="22"/>
          <w:u w:val="single"/>
        </w:rPr>
        <w:t>Farmakodynamické účinky</w:t>
      </w:r>
      <w:r w:rsidRPr="00C11B8A">
        <w:rPr>
          <w:sz w:val="22"/>
          <w:szCs w:val="22"/>
        </w:rPr>
        <w:t xml:space="preserve"> </w:t>
      </w:r>
    </w:p>
    <w:p w14:paraId="2C9BF5D9" w14:textId="7D97C680" w:rsidR="00BE76D5" w:rsidRPr="004E1637" w:rsidRDefault="00BE76D5" w:rsidP="00DB6403">
      <w:pPr>
        <w:pStyle w:val="CM100"/>
        <w:rPr>
          <w:sz w:val="22"/>
          <w:szCs w:val="22"/>
        </w:rPr>
      </w:pPr>
      <w:r w:rsidRPr="004E1637">
        <w:rPr>
          <w:sz w:val="22"/>
          <w:szCs w:val="22"/>
        </w:rPr>
        <w:t>Dasatinib inhibuje aktivitu BCR-ABL</w:t>
      </w:r>
      <w:r w:rsidR="00CF1877">
        <w:rPr>
          <w:sz w:val="22"/>
          <w:szCs w:val="22"/>
        </w:rPr>
        <w:t xml:space="preserve"> </w:t>
      </w:r>
      <w:r w:rsidRPr="004E1637">
        <w:rPr>
          <w:sz w:val="22"/>
          <w:szCs w:val="22"/>
        </w:rPr>
        <w:t>kinázy a kináz rodiny SRC, ako aj niekoľkých ďalších vybraných onkogénnych kináz zahŕňajúcich kinázy c-KIT receptora, efrínového (EPH) receptora a PDGFβ receptora. Dasatinib je silným, subnanomolárnym inhibítorom BCR-ABL</w:t>
      </w:r>
      <w:r w:rsidR="00CF1877">
        <w:rPr>
          <w:sz w:val="22"/>
          <w:szCs w:val="22"/>
        </w:rPr>
        <w:t xml:space="preserve"> </w:t>
      </w:r>
      <w:r w:rsidRPr="004E1637">
        <w:rPr>
          <w:sz w:val="22"/>
          <w:szCs w:val="22"/>
        </w:rPr>
        <w:t>kinázy s účinnosťou pri koncentrácii 0,6-0,8 n</w:t>
      </w:r>
      <w:r w:rsidR="005B2884">
        <w:rPr>
          <w:sz w:val="22"/>
          <w:szCs w:val="22"/>
        </w:rPr>
        <w:t>mol/l</w:t>
      </w:r>
      <w:r w:rsidRPr="004E1637">
        <w:rPr>
          <w:sz w:val="22"/>
          <w:szCs w:val="22"/>
        </w:rPr>
        <w:t>. Viaže sa na inaktívne aj aktívne konformácie enzýmu BCR</w:t>
      </w:r>
      <w:r w:rsidR="005B2884">
        <w:rPr>
          <w:sz w:val="22"/>
          <w:szCs w:val="22"/>
        </w:rPr>
        <w:t>-</w:t>
      </w:r>
      <w:r w:rsidRPr="004E1637">
        <w:rPr>
          <w:sz w:val="22"/>
          <w:szCs w:val="22"/>
        </w:rPr>
        <w:t xml:space="preserve">ABL. </w:t>
      </w:r>
    </w:p>
    <w:p w14:paraId="76334C56" w14:textId="77777777" w:rsidR="00DB6403" w:rsidRPr="004E1637" w:rsidRDefault="00DB6403" w:rsidP="00DB6403">
      <w:pPr>
        <w:pStyle w:val="Default"/>
      </w:pPr>
    </w:p>
    <w:p w14:paraId="29047C86" w14:textId="77777777" w:rsidR="00DB6403" w:rsidRPr="004E1637" w:rsidRDefault="00BE76D5" w:rsidP="00DB6403">
      <w:pPr>
        <w:pStyle w:val="CM100"/>
        <w:rPr>
          <w:sz w:val="22"/>
          <w:szCs w:val="22"/>
          <w:u w:val="single"/>
        </w:rPr>
      </w:pPr>
      <w:r w:rsidRPr="004E1637">
        <w:rPr>
          <w:sz w:val="22"/>
          <w:szCs w:val="22"/>
          <w:u w:val="single"/>
        </w:rPr>
        <w:t>Mechanizmus účinku</w:t>
      </w:r>
      <w:r w:rsidRPr="00C11B8A">
        <w:rPr>
          <w:sz w:val="22"/>
          <w:szCs w:val="22"/>
        </w:rPr>
        <w:t xml:space="preserve"> </w:t>
      </w:r>
    </w:p>
    <w:p w14:paraId="2C29EF22" w14:textId="4A6F1B42" w:rsidR="00BE76D5" w:rsidRPr="004E1637" w:rsidRDefault="00BE76D5" w:rsidP="00DB6403">
      <w:pPr>
        <w:pStyle w:val="CM100"/>
        <w:rPr>
          <w:sz w:val="22"/>
          <w:szCs w:val="22"/>
        </w:rPr>
      </w:pPr>
      <w:r w:rsidRPr="004E1637">
        <w:rPr>
          <w:sz w:val="22"/>
          <w:szCs w:val="22"/>
        </w:rPr>
        <w:t xml:space="preserve">V podmienkach </w:t>
      </w:r>
      <w:r w:rsidRPr="004E1637">
        <w:rPr>
          <w:i/>
          <w:iCs/>
          <w:sz w:val="22"/>
          <w:szCs w:val="22"/>
        </w:rPr>
        <w:t>in vitro</w:t>
      </w:r>
      <w:r w:rsidRPr="004E1637">
        <w:rPr>
          <w:sz w:val="22"/>
          <w:szCs w:val="22"/>
        </w:rPr>
        <w:t xml:space="preserve"> je dasatinib aktívny v leukemických bunkových líniách predstavujúcich varianty ochorenia citlivého a rezistentného na imatinib. Tieto predklinické štúdie ukazujú, že dasatinib môže prekonať rezistenciu na imatinib, ktorá je dôsledkom nadmernej expresie BCR-ABL, mutácií BCR-ABL-kinázovej domény, aktivácie alternatívnych signálnych dráh zahŕňajúcich kinázy rodiny SRC (LYN, HCK) a nadmernej expresie génu rezistenci</w:t>
      </w:r>
      <w:r w:rsidR="00CF1877">
        <w:rPr>
          <w:sz w:val="22"/>
          <w:szCs w:val="22"/>
        </w:rPr>
        <w:t>e</w:t>
      </w:r>
      <w:r w:rsidRPr="004E1637">
        <w:rPr>
          <w:sz w:val="22"/>
          <w:szCs w:val="22"/>
        </w:rPr>
        <w:t xml:space="preserve"> na viaceré lieky. Dasatinib okrem toho inhibuje kinázy rodiny SCR pri subnanomolárnej koncentrácii. </w:t>
      </w:r>
    </w:p>
    <w:p w14:paraId="5FC7A5A5" w14:textId="77777777" w:rsidR="00DB6403" w:rsidRPr="004E1637" w:rsidRDefault="00DB6403" w:rsidP="00DB6403">
      <w:pPr>
        <w:pStyle w:val="Default"/>
      </w:pPr>
    </w:p>
    <w:p w14:paraId="2E057832" w14:textId="77777777" w:rsidR="00DB6403" w:rsidRPr="004E1637" w:rsidRDefault="00BE76D5" w:rsidP="00DB6403">
      <w:pPr>
        <w:pStyle w:val="CM100"/>
        <w:rPr>
          <w:sz w:val="22"/>
          <w:szCs w:val="22"/>
          <w:u w:val="single"/>
        </w:rPr>
      </w:pPr>
      <w:r w:rsidRPr="004E1637">
        <w:rPr>
          <w:sz w:val="22"/>
          <w:szCs w:val="22"/>
          <w:u w:val="single"/>
        </w:rPr>
        <w:t>Klinická účinnosť a bezpečnosť</w:t>
      </w:r>
      <w:r w:rsidRPr="00C11B8A">
        <w:rPr>
          <w:sz w:val="22"/>
          <w:szCs w:val="22"/>
        </w:rPr>
        <w:t xml:space="preserve"> </w:t>
      </w:r>
    </w:p>
    <w:p w14:paraId="22E0D45B" w14:textId="10F6C820" w:rsidR="00BE76D5" w:rsidRPr="004E1637" w:rsidRDefault="00BE76D5" w:rsidP="00DB6403">
      <w:pPr>
        <w:pStyle w:val="CM100"/>
        <w:rPr>
          <w:sz w:val="22"/>
          <w:szCs w:val="22"/>
        </w:rPr>
      </w:pPr>
      <w:r w:rsidRPr="004E1637">
        <w:rPr>
          <w:sz w:val="22"/>
          <w:szCs w:val="22"/>
        </w:rPr>
        <w:t xml:space="preserve">V štúdii fázy I bola hematologická a cytogenetická odpoveď pozorovaná u Ph+ ALL u prvých 84 pacientov liečených a následne sledovaných počas doby 27 mesiacov. Odpovede mali trvalý charakter u Ph+ ALL.  </w:t>
      </w:r>
    </w:p>
    <w:p w14:paraId="25EBCA7E" w14:textId="77777777" w:rsidR="003E4859" w:rsidRDefault="003E4859" w:rsidP="00DB6403">
      <w:pPr>
        <w:pStyle w:val="Default"/>
        <w:rPr>
          <w:sz w:val="22"/>
          <w:szCs w:val="22"/>
        </w:rPr>
      </w:pPr>
    </w:p>
    <w:p w14:paraId="2552376F" w14:textId="755701C5" w:rsidR="00DB6403" w:rsidRDefault="003E4859" w:rsidP="00DB6403">
      <w:pPr>
        <w:pStyle w:val="Default"/>
      </w:pPr>
      <w:r w:rsidRPr="004E1637">
        <w:rPr>
          <w:sz w:val="22"/>
          <w:szCs w:val="22"/>
        </w:rPr>
        <w:t>Dve randomizované, otvorené klinické štúdie fázy III sa vykonali s cieľom zhodnotiť účinnosť dasatinibu podávaného jedenkrát denne v porovnaní s dasatinibom podávaným dvakrát denne.</w:t>
      </w:r>
    </w:p>
    <w:p w14:paraId="629FE318" w14:textId="77777777" w:rsidR="003E4859" w:rsidRPr="004E1637" w:rsidRDefault="003E4859" w:rsidP="00DB6403">
      <w:pPr>
        <w:pStyle w:val="Default"/>
      </w:pPr>
    </w:p>
    <w:p w14:paraId="5E255153" w14:textId="77777777" w:rsidR="00DB6403" w:rsidRPr="004E1637" w:rsidRDefault="00BE76D5" w:rsidP="00DB6403">
      <w:pPr>
        <w:pStyle w:val="CM100"/>
        <w:rPr>
          <w:sz w:val="22"/>
          <w:szCs w:val="22"/>
        </w:rPr>
      </w:pPr>
      <w:r w:rsidRPr="004E1637">
        <w:rPr>
          <w:sz w:val="22"/>
          <w:szCs w:val="22"/>
        </w:rPr>
        <w:t xml:space="preserve">Účinnosť dasatinibu sa zakladá na miere hematologickej a cytogenetickej odpovede. </w:t>
      </w:r>
    </w:p>
    <w:p w14:paraId="1BA83C11" w14:textId="77777777" w:rsidR="00DB6403" w:rsidRPr="004E1637" w:rsidRDefault="00BE76D5" w:rsidP="00DB6403">
      <w:pPr>
        <w:pStyle w:val="CM100"/>
        <w:rPr>
          <w:sz w:val="22"/>
          <w:szCs w:val="22"/>
        </w:rPr>
      </w:pPr>
      <w:r w:rsidRPr="004E1637">
        <w:rPr>
          <w:sz w:val="22"/>
          <w:szCs w:val="22"/>
        </w:rPr>
        <w:t xml:space="preserve">Stálosť odpovede a odhadovaná miera prežitia poukazuje na ďalší klinický </w:t>
      </w:r>
      <w:r w:rsidR="00DB6403" w:rsidRPr="004E1637">
        <w:rPr>
          <w:sz w:val="22"/>
          <w:szCs w:val="22"/>
        </w:rPr>
        <w:t xml:space="preserve">benefit </w:t>
      </w:r>
      <w:r w:rsidRPr="004E1637">
        <w:rPr>
          <w:sz w:val="22"/>
          <w:szCs w:val="22"/>
        </w:rPr>
        <w:t>dasatinibu.</w:t>
      </w:r>
    </w:p>
    <w:p w14:paraId="20152907" w14:textId="77777777" w:rsidR="00BE76D5" w:rsidRPr="004E1637" w:rsidRDefault="00BE76D5" w:rsidP="00DB6403">
      <w:pPr>
        <w:pStyle w:val="CM100"/>
        <w:rPr>
          <w:sz w:val="22"/>
          <w:szCs w:val="22"/>
        </w:rPr>
      </w:pPr>
      <w:r w:rsidRPr="004E1637">
        <w:rPr>
          <w:sz w:val="22"/>
          <w:szCs w:val="22"/>
        </w:rPr>
        <w:t xml:space="preserve"> </w:t>
      </w:r>
    </w:p>
    <w:p w14:paraId="66D3A4A4" w14:textId="77777777" w:rsidR="00BE76D5" w:rsidRPr="004E1637" w:rsidRDefault="00BE76D5" w:rsidP="00DB6403">
      <w:pPr>
        <w:pStyle w:val="CM100"/>
        <w:rPr>
          <w:sz w:val="22"/>
          <w:szCs w:val="22"/>
        </w:rPr>
      </w:pPr>
      <w:r w:rsidRPr="004E1637">
        <w:rPr>
          <w:sz w:val="22"/>
          <w:szCs w:val="22"/>
        </w:rPr>
        <w:t xml:space="preserve">V klinických štúdiách sa hodnotil celkový počet 2 712 pacientov, z ktorých 23 % bolo vo veku ≥ 65 rokov a 5 % bolo vo veku ≥ 75 rokov. </w:t>
      </w:r>
    </w:p>
    <w:p w14:paraId="50FC4CE9" w14:textId="77777777" w:rsidR="00C52354" w:rsidRPr="004E1637" w:rsidRDefault="00C52354" w:rsidP="00C52354">
      <w:pPr>
        <w:pStyle w:val="Default"/>
      </w:pPr>
    </w:p>
    <w:p w14:paraId="7A1F6E44" w14:textId="74BE80F4" w:rsidR="00BE76D5" w:rsidRPr="004E1637" w:rsidRDefault="00BE76D5" w:rsidP="00C52354">
      <w:pPr>
        <w:pStyle w:val="CM2"/>
        <w:spacing w:line="240" w:lineRule="auto"/>
        <w:rPr>
          <w:sz w:val="22"/>
          <w:szCs w:val="22"/>
        </w:rPr>
      </w:pPr>
      <w:r w:rsidRPr="004E1637">
        <w:rPr>
          <w:i/>
          <w:iCs/>
          <w:sz w:val="22"/>
          <w:szCs w:val="22"/>
          <w:u w:val="single"/>
        </w:rPr>
        <w:t xml:space="preserve">Ph+ ALL </w:t>
      </w:r>
    </w:p>
    <w:p w14:paraId="22D62EED" w14:textId="18A7CD5B" w:rsidR="00C52354" w:rsidRPr="004E1637" w:rsidRDefault="00BE76D5" w:rsidP="00C52354">
      <w:pPr>
        <w:pStyle w:val="CM2"/>
        <w:spacing w:line="240" w:lineRule="auto"/>
        <w:rPr>
          <w:sz w:val="22"/>
          <w:szCs w:val="22"/>
        </w:rPr>
      </w:pPr>
      <w:r w:rsidRPr="004E1637">
        <w:rPr>
          <w:sz w:val="22"/>
          <w:szCs w:val="22"/>
        </w:rPr>
        <w:t xml:space="preserve">Otvorená, multicentrická štúdia s jednou skupinou sa vykonala s pacientmi s Ph+ ALL, ktorí boli rezistentní alebo intolerantní na predošlú liečbu imatinibom. </w:t>
      </w:r>
      <w:r w:rsidR="00845877">
        <w:rPr>
          <w:sz w:val="22"/>
          <w:szCs w:val="22"/>
        </w:rPr>
        <w:t>D</w:t>
      </w:r>
      <w:r w:rsidRPr="004E1637">
        <w:rPr>
          <w:sz w:val="22"/>
          <w:szCs w:val="22"/>
        </w:rPr>
        <w:t xml:space="preserve">asatinib </w:t>
      </w:r>
      <w:r w:rsidR="00CF1877">
        <w:rPr>
          <w:sz w:val="22"/>
          <w:szCs w:val="22"/>
        </w:rPr>
        <w:t xml:space="preserve">v dávke </w:t>
      </w:r>
      <w:r w:rsidRPr="004E1637">
        <w:rPr>
          <w:sz w:val="22"/>
          <w:szCs w:val="22"/>
        </w:rPr>
        <w:t xml:space="preserve">70 mg dvakrát denne užívalo 46 pacientov s Ph+ ALL (44 rezistentní a 2 intolerantní na imatinib). Medián času od stanovenia diagnózy po začiatok liečby bol 18 mesiacov. Medián trvania liečby dasatinibom bol 3 mesiace, pričom dosiaľ bolo 7 % pacientov liečených počas &gt; 24 mesiacov. Pomer veľkej molekulárnej odpovede (všetkých 25 liečených pacientov s CCyR) po 24 mesiacoch bol 52 %. Ďalšie výsledky účinnosti sú uvedené v tabuľke </w:t>
      </w:r>
      <w:r w:rsidR="00185FD5">
        <w:rPr>
          <w:sz w:val="22"/>
          <w:szCs w:val="22"/>
        </w:rPr>
        <w:t>6</w:t>
      </w:r>
      <w:r w:rsidRPr="004E1637">
        <w:rPr>
          <w:sz w:val="22"/>
          <w:szCs w:val="22"/>
        </w:rPr>
        <w:t xml:space="preserve">. Za zmienku stojí, že veľká hematologická odpoveď (MaHR) bola dosiahnutá rýchlo (väčšinou do </w:t>
      </w:r>
      <w:r w:rsidR="00845877">
        <w:rPr>
          <w:sz w:val="22"/>
          <w:szCs w:val="22"/>
        </w:rPr>
        <w:t>5</w:t>
      </w:r>
      <w:r w:rsidRPr="004E1637">
        <w:rPr>
          <w:sz w:val="22"/>
          <w:szCs w:val="22"/>
        </w:rPr>
        <w:t xml:space="preserve">5 dní od prvého podania dasatinibu u pacientov s Ph+ ALL). </w:t>
      </w:r>
    </w:p>
    <w:p w14:paraId="0BDC8C3E" w14:textId="26FCF0C7" w:rsidR="00C46A71" w:rsidRDefault="00C46A71" w:rsidP="00060B0C">
      <w:pPr>
        <w:pStyle w:val="Default"/>
        <w:rPr>
          <w:b/>
          <w:color w:val="auto"/>
          <w:sz w:val="22"/>
          <w:szCs w:val="22"/>
        </w:rPr>
      </w:pPr>
    </w:p>
    <w:p w14:paraId="0BE2DF63" w14:textId="26675738" w:rsidR="00C52354" w:rsidRPr="004E1637" w:rsidRDefault="00C52354" w:rsidP="00060B0C">
      <w:pPr>
        <w:pStyle w:val="Default"/>
        <w:rPr>
          <w:b/>
          <w:color w:val="auto"/>
          <w:sz w:val="22"/>
          <w:szCs w:val="22"/>
        </w:rPr>
      </w:pPr>
      <w:r w:rsidRPr="004E1637">
        <w:rPr>
          <w:b/>
          <w:color w:val="auto"/>
          <w:sz w:val="22"/>
          <w:szCs w:val="22"/>
        </w:rPr>
        <w:t xml:space="preserve">Tabuľka </w:t>
      </w:r>
      <w:r w:rsidR="00185FD5">
        <w:rPr>
          <w:b/>
          <w:color w:val="auto"/>
          <w:sz w:val="22"/>
          <w:szCs w:val="22"/>
        </w:rPr>
        <w:t>6</w:t>
      </w:r>
      <w:r w:rsidRPr="004E1637">
        <w:rPr>
          <w:b/>
          <w:color w:val="auto"/>
          <w:sz w:val="22"/>
          <w:szCs w:val="22"/>
        </w:rPr>
        <w:t xml:space="preserve">: Účinnosť </w:t>
      </w:r>
      <w:r w:rsidR="00060B0C" w:rsidRPr="004E1637">
        <w:rPr>
          <w:b/>
          <w:color w:val="auto"/>
          <w:sz w:val="22"/>
          <w:szCs w:val="22"/>
        </w:rPr>
        <w:t>dasatinibu</w:t>
      </w:r>
      <w:r w:rsidRPr="004E1637">
        <w:rPr>
          <w:b/>
          <w:color w:val="auto"/>
          <w:sz w:val="22"/>
          <w:szCs w:val="22"/>
        </w:rPr>
        <w:t xml:space="preserve"> vo fáze II klinických štúdií s jednou skupinou</w:t>
      </w:r>
      <w:r w:rsidR="006608FF">
        <w:rPr>
          <w:b/>
          <w:color w:val="auto"/>
          <w:sz w:val="22"/>
          <w:szCs w:val="22"/>
        </w:rPr>
        <w:t xml:space="preserve"> </w:t>
      </w:r>
      <w:r w:rsidRPr="004E1637">
        <w:rPr>
          <w:b/>
          <w:color w:val="auto"/>
          <w:sz w:val="22"/>
          <w:szCs w:val="22"/>
          <w:vertAlign w:val="superscript"/>
        </w:rPr>
        <w:t>a</w:t>
      </w:r>
    </w:p>
    <w:p w14:paraId="19A0A0A3" w14:textId="77777777" w:rsidR="00C52354" w:rsidRPr="004E1637" w:rsidRDefault="00C52354" w:rsidP="00060B0C">
      <w:pPr>
        <w:spacing w:after="0" w:line="240" w:lineRule="auto"/>
        <w:rPr>
          <w:rFonts w:ascii="Times New Roman" w:hAnsi="Times New Roman"/>
          <w:b/>
        </w:rPr>
      </w:pPr>
    </w:p>
    <w:tbl>
      <w:tblPr>
        <w:tblW w:w="978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41"/>
        <w:gridCol w:w="1418"/>
        <w:gridCol w:w="1876"/>
        <w:gridCol w:w="398"/>
        <w:gridCol w:w="142"/>
        <w:gridCol w:w="1418"/>
        <w:gridCol w:w="1026"/>
      </w:tblGrid>
      <w:tr w:rsidR="00060B0C" w:rsidRPr="004E1637" w14:paraId="68BA86CD" w14:textId="77777777" w:rsidTr="00845877">
        <w:tc>
          <w:tcPr>
            <w:tcW w:w="2093" w:type="dxa"/>
            <w:tcBorders>
              <w:right w:val="nil"/>
            </w:tcBorders>
            <w:vAlign w:val="bottom"/>
          </w:tcPr>
          <w:p w14:paraId="423F49DF" w14:textId="77777777" w:rsidR="00C52354" w:rsidRPr="004E1637" w:rsidRDefault="00C52354" w:rsidP="00060B0C">
            <w:pPr>
              <w:spacing w:after="0" w:line="240" w:lineRule="auto"/>
              <w:jc w:val="center"/>
              <w:rPr>
                <w:rFonts w:ascii="Times New Roman" w:hAnsi="Times New Roman"/>
              </w:rPr>
            </w:pPr>
          </w:p>
        </w:tc>
        <w:tc>
          <w:tcPr>
            <w:tcW w:w="1276" w:type="dxa"/>
            <w:tcBorders>
              <w:left w:val="nil"/>
              <w:right w:val="nil"/>
            </w:tcBorders>
            <w:vAlign w:val="bottom"/>
          </w:tcPr>
          <w:p w14:paraId="0A01B07E" w14:textId="2BC9E72E" w:rsidR="00C52354" w:rsidRPr="004E1637" w:rsidRDefault="00C52354" w:rsidP="00060B0C">
            <w:pPr>
              <w:spacing w:after="0" w:line="240" w:lineRule="auto"/>
              <w:jc w:val="center"/>
              <w:rPr>
                <w:rFonts w:ascii="Times New Roman" w:hAnsi="Times New Roman"/>
                <w:b/>
              </w:rPr>
            </w:pPr>
          </w:p>
        </w:tc>
        <w:tc>
          <w:tcPr>
            <w:tcW w:w="1559" w:type="dxa"/>
            <w:gridSpan w:val="2"/>
            <w:tcBorders>
              <w:left w:val="nil"/>
              <w:right w:val="nil"/>
            </w:tcBorders>
            <w:vAlign w:val="bottom"/>
          </w:tcPr>
          <w:p w14:paraId="12B999DA" w14:textId="7BB693AB" w:rsidR="00C52354" w:rsidRPr="004E1637" w:rsidRDefault="00C52354" w:rsidP="00060B0C">
            <w:pPr>
              <w:spacing w:after="0" w:line="240" w:lineRule="auto"/>
              <w:jc w:val="center"/>
              <w:rPr>
                <w:rFonts w:ascii="Times New Roman" w:hAnsi="Times New Roman"/>
                <w:b/>
              </w:rPr>
            </w:pPr>
          </w:p>
        </w:tc>
        <w:tc>
          <w:tcPr>
            <w:tcW w:w="2416" w:type="dxa"/>
            <w:gridSpan w:val="3"/>
            <w:tcBorders>
              <w:left w:val="nil"/>
              <w:right w:val="nil"/>
            </w:tcBorders>
            <w:vAlign w:val="bottom"/>
          </w:tcPr>
          <w:p w14:paraId="1053755D" w14:textId="77777777" w:rsidR="00845877" w:rsidRPr="004E1637" w:rsidRDefault="00845877" w:rsidP="00845877">
            <w:pPr>
              <w:spacing w:after="0" w:line="240" w:lineRule="auto"/>
              <w:jc w:val="center"/>
              <w:rPr>
                <w:rFonts w:ascii="Times New Roman" w:hAnsi="Times New Roman"/>
                <w:b/>
              </w:rPr>
            </w:pPr>
            <w:r w:rsidRPr="004E1637">
              <w:rPr>
                <w:rFonts w:ascii="Times New Roman" w:hAnsi="Times New Roman"/>
                <w:b/>
              </w:rPr>
              <w:t>Ph+ ALL</w:t>
            </w:r>
          </w:p>
          <w:p w14:paraId="75500128" w14:textId="6CCA2921" w:rsidR="00C52354" w:rsidRPr="004E1637" w:rsidRDefault="00845877" w:rsidP="00845877">
            <w:pPr>
              <w:spacing w:after="0" w:line="240" w:lineRule="auto"/>
              <w:jc w:val="center"/>
              <w:rPr>
                <w:rFonts w:ascii="Times New Roman" w:hAnsi="Times New Roman"/>
                <w:b/>
              </w:rPr>
            </w:pPr>
            <w:r w:rsidRPr="004E1637">
              <w:rPr>
                <w:rFonts w:ascii="Times New Roman" w:hAnsi="Times New Roman"/>
                <w:b/>
              </w:rPr>
              <w:t>(n= 46)</w:t>
            </w:r>
          </w:p>
        </w:tc>
        <w:tc>
          <w:tcPr>
            <w:tcW w:w="1418" w:type="dxa"/>
            <w:tcBorders>
              <w:left w:val="nil"/>
              <w:right w:val="nil"/>
            </w:tcBorders>
            <w:vAlign w:val="bottom"/>
          </w:tcPr>
          <w:p w14:paraId="2B574F64" w14:textId="4C4EFDA8" w:rsidR="00C52354" w:rsidRPr="004E1637" w:rsidRDefault="00C52354" w:rsidP="00060B0C">
            <w:pPr>
              <w:spacing w:after="0" w:line="240" w:lineRule="auto"/>
              <w:jc w:val="center"/>
              <w:rPr>
                <w:rFonts w:ascii="Times New Roman" w:hAnsi="Times New Roman"/>
                <w:b/>
              </w:rPr>
            </w:pPr>
          </w:p>
        </w:tc>
        <w:tc>
          <w:tcPr>
            <w:tcW w:w="1026" w:type="dxa"/>
            <w:tcBorders>
              <w:left w:val="nil"/>
            </w:tcBorders>
            <w:vAlign w:val="bottom"/>
          </w:tcPr>
          <w:p w14:paraId="02C8B453" w14:textId="663B69B7" w:rsidR="00C52354" w:rsidRPr="004E1637" w:rsidRDefault="00C52354" w:rsidP="00060B0C">
            <w:pPr>
              <w:spacing w:after="0" w:line="240" w:lineRule="auto"/>
              <w:jc w:val="center"/>
              <w:rPr>
                <w:rFonts w:ascii="Times New Roman" w:hAnsi="Times New Roman"/>
                <w:b/>
              </w:rPr>
            </w:pPr>
          </w:p>
        </w:tc>
      </w:tr>
      <w:tr w:rsidR="00C52354" w:rsidRPr="004E1637" w14:paraId="5F83717D" w14:textId="77777777" w:rsidTr="00845877">
        <w:trPr>
          <w:trHeight w:val="415"/>
        </w:trPr>
        <w:tc>
          <w:tcPr>
            <w:tcW w:w="9788" w:type="dxa"/>
            <w:gridSpan w:val="9"/>
            <w:vAlign w:val="center"/>
          </w:tcPr>
          <w:p w14:paraId="56D25E95" w14:textId="5BDE099C" w:rsidR="00C52354" w:rsidRPr="004E1637" w:rsidRDefault="00060B0C" w:rsidP="00060B0C">
            <w:pPr>
              <w:spacing w:after="0" w:line="240" w:lineRule="auto"/>
              <w:rPr>
                <w:rFonts w:ascii="Times New Roman" w:hAnsi="Times New Roman"/>
              </w:rPr>
            </w:pPr>
            <w:r w:rsidRPr="004E1637">
              <w:rPr>
                <w:rFonts w:ascii="Times New Roman" w:hAnsi="Times New Roman"/>
                <w:b/>
              </w:rPr>
              <w:t>Pomer hematologickej odpovede</w:t>
            </w:r>
            <w:r w:rsidR="005072A9">
              <w:rPr>
                <w:rFonts w:ascii="Times New Roman" w:hAnsi="Times New Roman"/>
                <w:b/>
              </w:rPr>
              <w:t xml:space="preserve"> </w:t>
            </w:r>
            <w:r w:rsidR="00C52354" w:rsidRPr="004E1637">
              <w:rPr>
                <w:rFonts w:ascii="Times New Roman" w:hAnsi="Times New Roman"/>
                <w:b/>
                <w:vertAlign w:val="superscript"/>
              </w:rPr>
              <w:t xml:space="preserve">b </w:t>
            </w:r>
            <w:r w:rsidR="00C52354" w:rsidRPr="004E1637">
              <w:rPr>
                <w:rFonts w:ascii="Times New Roman" w:hAnsi="Times New Roman"/>
                <w:b/>
              </w:rPr>
              <w:t>(%)</w:t>
            </w:r>
          </w:p>
        </w:tc>
      </w:tr>
      <w:tr w:rsidR="00845877" w:rsidRPr="004E1637" w14:paraId="77585CDB" w14:textId="77777777" w:rsidTr="00845877">
        <w:trPr>
          <w:gridAfter w:val="3"/>
          <w:wAfter w:w="2586" w:type="dxa"/>
          <w:trHeight w:val="361"/>
        </w:trPr>
        <w:tc>
          <w:tcPr>
            <w:tcW w:w="2093" w:type="dxa"/>
            <w:tcBorders>
              <w:bottom w:val="nil"/>
              <w:right w:val="nil"/>
            </w:tcBorders>
          </w:tcPr>
          <w:p w14:paraId="50A5AFCF"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MaHR (95 % CI)</w:t>
            </w:r>
          </w:p>
        </w:tc>
        <w:tc>
          <w:tcPr>
            <w:tcW w:w="1417" w:type="dxa"/>
            <w:gridSpan w:val="2"/>
            <w:tcBorders>
              <w:left w:val="nil"/>
              <w:bottom w:val="nil"/>
              <w:right w:val="nil"/>
            </w:tcBorders>
          </w:tcPr>
          <w:p w14:paraId="7F568B83" w14:textId="56074DC6" w:rsidR="00845877" w:rsidRPr="004E1637" w:rsidRDefault="00845877" w:rsidP="00060B0C">
            <w:pPr>
              <w:spacing w:after="0" w:line="240" w:lineRule="auto"/>
              <w:jc w:val="center"/>
              <w:rPr>
                <w:rFonts w:ascii="Times New Roman" w:hAnsi="Times New Roman"/>
              </w:rPr>
            </w:pPr>
          </w:p>
        </w:tc>
        <w:tc>
          <w:tcPr>
            <w:tcW w:w="1418" w:type="dxa"/>
            <w:tcBorders>
              <w:left w:val="nil"/>
              <w:bottom w:val="nil"/>
              <w:right w:val="nil"/>
            </w:tcBorders>
          </w:tcPr>
          <w:p w14:paraId="36330F56" w14:textId="2A7D910E" w:rsidR="00845877" w:rsidRPr="004E1637" w:rsidRDefault="00845877" w:rsidP="00060B0C">
            <w:pPr>
              <w:spacing w:after="0" w:line="240" w:lineRule="auto"/>
              <w:jc w:val="center"/>
              <w:rPr>
                <w:rFonts w:ascii="Times New Roman" w:hAnsi="Times New Roman"/>
                <w:b/>
              </w:rPr>
            </w:pPr>
          </w:p>
        </w:tc>
        <w:tc>
          <w:tcPr>
            <w:tcW w:w="2274" w:type="dxa"/>
            <w:gridSpan w:val="2"/>
            <w:tcBorders>
              <w:left w:val="nil"/>
              <w:bottom w:val="nil"/>
            </w:tcBorders>
          </w:tcPr>
          <w:p w14:paraId="3E344C1A" w14:textId="77777777" w:rsidR="00845877" w:rsidRPr="004E1637" w:rsidRDefault="00845877" w:rsidP="00060B0C">
            <w:pPr>
              <w:spacing w:after="0" w:line="240" w:lineRule="auto"/>
              <w:jc w:val="center"/>
              <w:rPr>
                <w:rFonts w:ascii="Times New Roman" w:hAnsi="Times New Roman"/>
                <w:b/>
              </w:rPr>
            </w:pPr>
            <w:r w:rsidRPr="004E1637">
              <w:rPr>
                <w:rFonts w:ascii="Times New Roman" w:hAnsi="Times New Roman"/>
                <w:b/>
              </w:rPr>
              <w:t>41% (27-57)</w:t>
            </w:r>
          </w:p>
        </w:tc>
      </w:tr>
      <w:tr w:rsidR="00845877" w:rsidRPr="004E1637" w14:paraId="2E8AA3B0" w14:textId="77777777" w:rsidTr="00845877">
        <w:trPr>
          <w:gridAfter w:val="3"/>
          <w:wAfter w:w="2586" w:type="dxa"/>
        </w:trPr>
        <w:tc>
          <w:tcPr>
            <w:tcW w:w="2093" w:type="dxa"/>
            <w:tcBorders>
              <w:top w:val="nil"/>
              <w:bottom w:val="nil"/>
              <w:right w:val="nil"/>
            </w:tcBorders>
          </w:tcPr>
          <w:p w14:paraId="13EF2E7B"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CHR (95 % CI)</w:t>
            </w:r>
          </w:p>
        </w:tc>
        <w:tc>
          <w:tcPr>
            <w:tcW w:w="1417" w:type="dxa"/>
            <w:gridSpan w:val="2"/>
            <w:tcBorders>
              <w:top w:val="nil"/>
              <w:left w:val="nil"/>
              <w:bottom w:val="nil"/>
              <w:right w:val="nil"/>
            </w:tcBorders>
          </w:tcPr>
          <w:p w14:paraId="59D6CDF8" w14:textId="71E5D409" w:rsidR="00845877" w:rsidRPr="004E1637" w:rsidRDefault="00845877" w:rsidP="00060B0C">
            <w:pPr>
              <w:spacing w:after="0" w:line="240" w:lineRule="auto"/>
              <w:jc w:val="center"/>
              <w:rPr>
                <w:rFonts w:ascii="Times New Roman" w:hAnsi="Times New Roman"/>
                <w:b/>
              </w:rPr>
            </w:pPr>
          </w:p>
        </w:tc>
        <w:tc>
          <w:tcPr>
            <w:tcW w:w="1418" w:type="dxa"/>
            <w:tcBorders>
              <w:top w:val="nil"/>
              <w:left w:val="nil"/>
              <w:bottom w:val="nil"/>
              <w:right w:val="nil"/>
            </w:tcBorders>
          </w:tcPr>
          <w:p w14:paraId="20A88028" w14:textId="2E32919D" w:rsidR="00845877" w:rsidRPr="004E1637" w:rsidRDefault="00845877" w:rsidP="00060B0C">
            <w:pPr>
              <w:spacing w:after="0" w:line="240" w:lineRule="auto"/>
              <w:jc w:val="center"/>
              <w:rPr>
                <w:rFonts w:ascii="Times New Roman" w:hAnsi="Times New Roman"/>
              </w:rPr>
            </w:pPr>
          </w:p>
        </w:tc>
        <w:tc>
          <w:tcPr>
            <w:tcW w:w="2274" w:type="dxa"/>
            <w:gridSpan w:val="2"/>
            <w:tcBorders>
              <w:top w:val="nil"/>
              <w:left w:val="nil"/>
              <w:bottom w:val="nil"/>
            </w:tcBorders>
          </w:tcPr>
          <w:p w14:paraId="55E0DCFC" w14:textId="77777777" w:rsidR="00845877" w:rsidRPr="004E1637" w:rsidRDefault="00845877" w:rsidP="00060B0C">
            <w:pPr>
              <w:spacing w:after="0" w:line="240" w:lineRule="auto"/>
              <w:jc w:val="center"/>
              <w:rPr>
                <w:rFonts w:ascii="Times New Roman" w:hAnsi="Times New Roman"/>
              </w:rPr>
            </w:pPr>
            <w:r w:rsidRPr="004E1637">
              <w:rPr>
                <w:rFonts w:ascii="Times New Roman" w:hAnsi="Times New Roman"/>
              </w:rPr>
              <w:t>35% (21-50)</w:t>
            </w:r>
          </w:p>
        </w:tc>
      </w:tr>
      <w:tr w:rsidR="00845877" w:rsidRPr="004E1637" w14:paraId="62B11789" w14:textId="77777777" w:rsidTr="00845877">
        <w:trPr>
          <w:gridAfter w:val="3"/>
          <w:wAfter w:w="2586" w:type="dxa"/>
        </w:trPr>
        <w:tc>
          <w:tcPr>
            <w:tcW w:w="2093" w:type="dxa"/>
            <w:tcBorders>
              <w:top w:val="nil"/>
              <w:bottom w:val="nil"/>
              <w:right w:val="nil"/>
            </w:tcBorders>
          </w:tcPr>
          <w:p w14:paraId="17B65F3F"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NEL (95 % CI)</w:t>
            </w:r>
          </w:p>
        </w:tc>
        <w:tc>
          <w:tcPr>
            <w:tcW w:w="1417" w:type="dxa"/>
            <w:gridSpan w:val="2"/>
            <w:tcBorders>
              <w:top w:val="nil"/>
              <w:left w:val="nil"/>
              <w:bottom w:val="nil"/>
              <w:right w:val="nil"/>
            </w:tcBorders>
          </w:tcPr>
          <w:p w14:paraId="4A70B23A" w14:textId="19045396" w:rsidR="00845877" w:rsidRPr="004E1637" w:rsidRDefault="00845877" w:rsidP="00060B0C">
            <w:pPr>
              <w:spacing w:after="0" w:line="240" w:lineRule="auto"/>
              <w:jc w:val="center"/>
              <w:rPr>
                <w:rFonts w:ascii="Times New Roman" w:hAnsi="Times New Roman"/>
              </w:rPr>
            </w:pPr>
          </w:p>
        </w:tc>
        <w:tc>
          <w:tcPr>
            <w:tcW w:w="1418" w:type="dxa"/>
            <w:tcBorders>
              <w:top w:val="nil"/>
              <w:left w:val="nil"/>
              <w:bottom w:val="nil"/>
              <w:right w:val="nil"/>
            </w:tcBorders>
          </w:tcPr>
          <w:p w14:paraId="607239B4" w14:textId="65091178" w:rsidR="00845877" w:rsidRPr="004E1637" w:rsidRDefault="00845877" w:rsidP="00060B0C">
            <w:pPr>
              <w:spacing w:after="0" w:line="240" w:lineRule="auto"/>
              <w:jc w:val="center"/>
              <w:rPr>
                <w:rFonts w:ascii="Times New Roman" w:hAnsi="Times New Roman"/>
              </w:rPr>
            </w:pPr>
          </w:p>
        </w:tc>
        <w:tc>
          <w:tcPr>
            <w:tcW w:w="2274" w:type="dxa"/>
            <w:gridSpan w:val="2"/>
            <w:tcBorders>
              <w:top w:val="nil"/>
              <w:left w:val="nil"/>
              <w:bottom w:val="nil"/>
            </w:tcBorders>
          </w:tcPr>
          <w:p w14:paraId="4CDD5921" w14:textId="77777777" w:rsidR="00845877" w:rsidRPr="004E1637" w:rsidRDefault="00845877" w:rsidP="00060B0C">
            <w:pPr>
              <w:spacing w:after="0" w:line="240" w:lineRule="auto"/>
              <w:jc w:val="center"/>
              <w:rPr>
                <w:rFonts w:ascii="Times New Roman" w:hAnsi="Times New Roman"/>
              </w:rPr>
            </w:pPr>
            <w:r w:rsidRPr="004E1637">
              <w:rPr>
                <w:rFonts w:ascii="Times New Roman" w:hAnsi="Times New Roman"/>
              </w:rPr>
              <w:t>7% (1-18)</w:t>
            </w:r>
          </w:p>
        </w:tc>
      </w:tr>
      <w:tr w:rsidR="00C52354" w:rsidRPr="004E1637" w14:paraId="50348CE2" w14:textId="77777777" w:rsidTr="00845877">
        <w:tc>
          <w:tcPr>
            <w:tcW w:w="9788" w:type="dxa"/>
            <w:gridSpan w:val="9"/>
            <w:tcBorders>
              <w:top w:val="nil"/>
              <w:bottom w:val="nil"/>
            </w:tcBorders>
          </w:tcPr>
          <w:p w14:paraId="3EE0C6B9" w14:textId="32818E92" w:rsidR="00C52354" w:rsidRPr="004E1637" w:rsidRDefault="00060B0C" w:rsidP="00060B0C">
            <w:pPr>
              <w:spacing w:after="0" w:line="240" w:lineRule="auto"/>
              <w:rPr>
                <w:rFonts w:ascii="Times New Roman" w:hAnsi="Times New Roman"/>
              </w:rPr>
            </w:pPr>
            <w:r w:rsidRPr="004E1637">
              <w:rPr>
                <w:rFonts w:ascii="Times New Roman" w:hAnsi="Times New Roman"/>
              </w:rPr>
              <w:t xml:space="preserve">Trvanie </w:t>
            </w:r>
            <w:r w:rsidR="00C52354" w:rsidRPr="004E1637">
              <w:rPr>
                <w:rFonts w:ascii="Times New Roman" w:hAnsi="Times New Roman"/>
              </w:rPr>
              <w:t>MaHR (%;</w:t>
            </w:r>
            <w:r w:rsidRPr="004E1637">
              <w:rPr>
                <w:rFonts w:ascii="Times New Roman" w:hAnsi="Times New Roman"/>
              </w:rPr>
              <w:t xml:space="preserve"> Kaplan</w:t>
            </w:r>
            <w:r w:rsidR="00A01C2C">
              <w:rPr>
                <w:rFonts w:ascii="Times New Roman" w:hAnsi="Times New Roman"/>
              </w:rPr>
              <w:t>ove</w:t>
            </w:r>
            <w:r w:rsidRPr="004E1637">
              <w:rPr>
                <w:rFonts w:ascii="Times New Roman" w:hAnsi="Times New Roman"/>
              </w:rPr>
              <w:t>-Meierove odhady</w:t>
            </w:r>
            <w:r w:rsidR="00C52354" w:rsidRPr="004E1637">
              <w:rPr>
                <w:rFonts w:ascii="Times New Roman" w:hAnsi="Times New Roman"/>
              </w:rPr>
              <w:t>)</w:t>
            </w:r>
          </w:p>
        </w:tc>
      </w:tr>
      <w:tr w:rsidR="00845877" w:rsidRPr="004E1637" w14:paraId="67BE313D" w14:textId="77777777" w:rsidTr="00845877">
        <w:trPr>
          <w:gridAfter w:val="3"/>
          <w:wAfter w:w="2586" w:type="dxa"/>
        </w:trPr>
        <w:tc>
          <w:tcPr>
            <w:tcW w:w="2093" w:type="dxa"/>
            <w:tcBorders>
              <w:top w:val="nil"/>
              <w:bottom w:val="nil"/>
              <w:right w:val="nil"/>
            </w:tcBorders>
          </w:tcPr>
          <w:p w14:paraId="0B0DA69A"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1. rok</w:t>
            </w:r>
          </w:p>
        </w:tc>
        <w:tc>
          <w:tcPr>
            <w:tcW w:w="1417" w:type="dxa"/>
            <w:gridSpan w:val="2"/>
            <w:tcBorders>
              <w:top w:val="nil"/>
              <w:left w:val="nil"/>
              <w:bottom w:val="nil"/>
              <w:right w:val="nil"/>
            </w:tcBorders>
          </w:tcPr>
          <w:p w14:paraId="25BD1606" w14:textId="713F8C2E" w:rsidR="00845877" w:rsidRPr="004E1637" w:rsidRDefault="00845877" w:rsidP="00060B0C">
            <w:pPr>
              <w:spacing w:after="0" w:line="240" w:lineRule="auto"/>
              <w:jc w:val="center"/>
              <w:rPr>
                <w:rFonts w:ascii="Times New Roman" w:hAnsi="Times New Roman"/>
              </w:rPr>
            </w:pPr>
          </w:p>
        </w:tc>
        <w:tc>
          <w:tcPr>
            <w:tcW w:w="1418" w:type="dxa"/>
            <w:tcBorders>
              <w:top w:val="nil"/>
              <w:left w:val="nil"/>
              <w:bottom w:val="nil"/>
              <w:right w:val="nil"/>
            </w:tcBorders>
          </w:tcPr>
          <w:p w14:paraId="6202A0DF" w14:textId="27F015D7" w:rsidR="00845877" w:rsidRPr="004E1637" w:rsidRDefault="00845877" w:rsidP="00060B0C">
            <w:pPr>
              <w:spacing w:after="0" w:line="240" w:lineRule="auto"/>
              <w:jc w:val="center"/>
              <w:rPr>
                <w:rFonts w:ascii="Times New Roman" w:hAnsi="Times New Roman"/>
              </w:rPr>
            </w:pPr>
          </w:p>
        </w:tc>
        <w:tc>
          <w:tcPr>
            <w:tcW w:w="2274" w:type="dxa"/>
            <w:gridSpan w:val="2"/>
            <w:tcBorders>
              <w:top w:val="nil"/>
              <w:left w:val="nil"/>
              <w:bottom w:val="nil"/>
            </w:tcBorders>
          </w:tcPr>
          <w:p w14:paraId="3BD7FAD2" w14:textId="77777777" w:rsidR="00845877" w:rsidRPr="004E1637" w:rsidRDefault="00845877" w:rsidP="00060B0C">
            <w:pPr>
              <w:spacing w:after="0" w:line="240" w:lineRule="auto"/>
              <w:jc w:val="center"/>
              <w:rPr>
                <w:rFonts w:ascii="Times New Roman" w:hAnsi="Times New Roman"/>
              </w:rPr>
            </w:pPr>
            <w:r w:rsidRPr="004E1637">
              <w:rPr>
                <w:rFonts w:ascii="Times New Roman" w:hAnsi="Times New Roman"/>
              </w:rPr>
              <w:t>32% (8-56)</w:t>
            </w:r>
          </w:p>
        </w:tc>
      </w:tr>
      <w:tr w:rsidR="00845877" w:rsidRPr="004E1637" w14:paraId="0F735C97" w14:textId="77777777" w:rsidTr="00845877">
        <w:trPr>
          <w:gridAfter w:val="3"/>
          <w:wAfter w:w="2586" w:type="dxa"/>
        </w:trPr>
        <w:tc>
          <w:tcPr>
            <w:tcW w:w="2093" w:type="dxa"/>
            <w:tcBorders>
              <w:top w:val="nil"/>
              <w:right w:val="nil"/>
            </w:tcBorders>
          </w:tcPr>
          <w:p w14:paraId="0673E108"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2. rok</w:t>
            </w:r>
          </w:p>
        </w:tc>
        <w:tc>
          <w:tcPr>
            <w:tcW w:w="1417" w:type="dxa"/>
            <w:gridSpan w:val="2"/>
            <w:tcBorders>
              <w:top w:val="nil"/>
              <w:left w:val="nil"/>
              <w:right w:val="nil"/>
            </w:tcBorders>
          </w:tcPr>
          <w:p w14:paraId="268CAAA7" w14:textId="2DF1A617" w:rsidR="00845877" w:rsidRPr="004E1637" w:rsidRDefault="00845877" w:rsidP="00060B0C">
            <w:pPr>
              <w:spacing w:after="0" w:line="240" w:lineRule="auto"/>
              <w:jc w:val="center"/>
              <w:rPr>
                <w:rFonts w:ascii="Times New Roman" w:hAnsi="Times New Roman"/>
              </w:rPr>
            </w:pPr>
          </w:p>
        </w:tc>
        <w:tc>
          <w:tcPr>
            <w:tcW w:w="1418" w:type="dxa"/>
            <w:tcBorders>
              <w:top w:val="nil"/>
              <w:left w:val="nil"/>
              <w:right w:val="nil"/>
            </w:tcBorders>
          </w:tcPr>
          <w:p w14:paraId="7D7B8BBA" w14:textId="4082AC80" w:rsidR="00845877" w:rsidRPr="004E1637" w:rsidRDefault="00845877" w:rsidP="00060B0C">
            <w:pPr>
              <w:spacing w:after="0" w:line="240" w:lineRule="auto"/>
              <w:jc w:val="center"/>
              <w:rPr>
                <w:rFonts w:ascii="Times New Roman" w:hAnsi="Times New Roman"/>
              </w:rPr>
            </w:pPr>
          </w:p>
        </w:tc>
        <w:tc>
          <w:tcPr>
            <w:tcW w:w="2274" w:type="dxa"/>
            <w:gridSpan w:val="2"/>
            <w:tcBorders>
              <w:top w:val="nil"/>
              <w:left w:val="nil"/>
            </w:tcBorders>
          </w:tcPr>
          <w:p w14:paraId="7F197A3C" w14:textId="77777777" w:rsidR="00845877" w:rsidRPr="004E1637" w:rsidRDefault="00845877" w:rsidP="00060B0C">
            <w:pPr>
              <w:spacing w:after="0" w:line="240" w:lineRule="auto"/>
              <w:jc w:val="center"/>
              <w:rPr>
                <w:rFonts w:ascii="Times New Roman" w:hAnsi="Times New Roman"/>
              </w:rPr>
            </w:pPr>
            <w:r w:rsidRPr="004E1637">
              <w:rPr>
                <w:rFonts w:ascii="Times New Roman" w:hAnsi="Times New Roman"/>
              </w:rPr>
              <w:t>24% (2-47)</w:t>
            </w:r>
          </w:p>
        </w:tc>
      </w:tr>
      <w:tr w:rsidR="00C52354" w:rsidRPr="004E1637" w14:paraId="27A6BA61" w14:textId="77777777" w:rsidTr="00845877">
        <w:trPr>
          <w:trHeight w:val="357"/>
        </w:trPr>
        <w:tc>
          <w:tcPr>
            <w:tcW w:w="9788" w:type="dxa"/>
            <w:gridSpan w:val="9"/>
            <w:vAlign w:val="center"/>
          </w:tcPr>
          <w:p w14:paraId="57B3CC05" w14:textId="70237C70" w:rsidR="00C52354" w:rsidRPr="004E1637" w:rsidRDefault="00060B0C" w:rsidP="00060B0C">
            <w:pPr>
              <w:spacing w:after="0" w:line="240" w:lineRule="auto"/>
              <w:rPr>
                <w:rFonts w:ascii="Times New Roman" w:hAnsi="Times New Roman"/>
                <w:b/>
              </w:rPr>
            </w:pPr>
            <w:r w:rsidRPr="004E1637">
              <w:rPr>
                <w:rFonts w:ascii="Times New Roman" w:hAnsi="Times New Roman"/>
                <w:b/>
              </w:rPr>
              <w:t>Cytogenetická odpoveď</w:t>
            </w:r>
            <w:r w:rsidR="005072A9">
              <w:rPr>
                <w:rFonts w:ascii="Times New Roman" w:hAnsi="Times New Roman"/>
                <w:b/>
              </w:rPr>
              <w:t xml:space="preserve"> </w:t>
            </w:r>
            <w:r w:rsidR="00C52354" w:rsidRPr="004E1637">
              <w:rPr>
                <w:rFonts w:ascii="Times New Roman" w:hAnsi="Times New Roman"/>
                <w:b/>
                <w:vertAlign w:val="superscript"/>
              </w:rPr>
              <w:t>c</w:t>
            </w:r>
            <w:r w:rsidR="00C52354" w:rsidRPr="004E1637">
              <w:rPr>
                <w:rFonts w:ascii="Times New Roman" w:hAnsi="Times New Roman"/>
                <w:b/>
              </w:rPr>
              <w:t xml:space="preserve"> (%)</w:t>
            </w:r>
          </w:p>
        </w:tc>
      </w:tr>
      <w:tr w:rsidR="00845877" w:rsidRPr="004E1637" w14:paraId="44D98A5D" w14:textId="77777777" w:rsidTr="00845877">
        <w:trPr>
          <w:gridAfter w:val="3"/>
          <w:wAfter w:w="2586" w:type="dxa"/>
        </w:trPr>
        <w:tc>
          <w:tcPr>
            <w:tcW w:w="2093" w:type="dxa"/>
            <w:tcBorders>
              <w:bottom w:val="nil"/>
              <w:right w:val="nil"/>
            </w:tcBorders>
          </w:tcPr>
          <w:p w14:paraId="4248D78E"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MCyR (95 % CI)</w:t>
            </w:r>
          </w:p>
        </w:tc>
        <w:tc>
          <w:tcPr>
            <w:tcW w:w="1417" w:type="dxa"/>
            <w:gridSpan w:val="2"/>
            <w:tcBorders>
              <w:left w:val="nil"/>
              <w:bottom w:val="nil"/>
              <w:right w:val="nil"/>
            </w:tcBorders>
          </w:tcPr>
          <w:p w14:paraId="7F8244E3" w14:textId="05F3D53E" w:rsidR="00845877" w:rsidRPr="004E1637" w:rsidRDefault="00845877" w:rsidP="00060B0C">
            <w:pPr>
              <w:spacing w:after="0" w:line="240" w:lineRule="auto"/>
              <w:jc w:val="center"/>
              <w:rPr>
                <w:rFonts w:ascii="Times New Roman" w:hAnsi="Times New Roman"/>
                <w:b/>
              </w:rPr>
            </w:pPr>
          </w:p>
        </w:tc>
        <w:tc>
          <w:tcPr>
            <w:tcW w:w="1418" w:type="dxa"/>
            <w:tcBorders>
              <w:left w:val="nil"/>
              <w:bottom w:val="nil"/>
              <w:right w:val="nil"/>
            </w:tcBorders>
          </w:tcPr>
          <w:p w14:paraId="4399C4A8" w14:textId="2AE76FF3" w:rsidR="00845877" w:rsidRPr="004E1637" w:rsidRDefault="00845877" w:rsidP="00060B0C">
            <w:pPr>
              <w:spacing w:after="0" w:line="240" w:lineRule="auto"/>
              <w:jc w:val="center"/>
              <w:rPr>
                <w:rFonts w:ascii="Times New Roman" w:hAnsi="Times New Roman"/>
              </w:rPr>
            </w:pPr>
          </w:p>
        </w:tc>
        <w:tc>
          <w:tcPr>
            <w:tcW w:w="2274" w:type="dxa"/>
            <w:gridSpan w:val="2"/>
            <w:tcBorders>
              <w:left w:val="nil"/>
              <w:bottom w:val="nil"/>
            </w:tcBorders>
          </w:tcPr>
          <w:p w14:paraId="775CF96C" w14:textId="77777777" w:rsidR="00845877" w:rsidRPr="004E1637" w:rsidRDefault="00845877" w:rsidP="00060B0C">
            <w:pPr>
              <w:spacing w:after="0" w:line="240" w:lineRule="auto"/>
              <w:jc w:val="center"/>
              <w:rPr>
                <w:rFonts w:ascii="Times New Roman" w:hAnsi="Times New Roman"/>
              </w:rPr>
            </w:pPr>
            <w:r w:rsidRPr="004E1637">
              <w:rPr>
                <w:rFonts w:ascii="Times New Roman" w:hAnsi="Times New Roman"/>
              </w:rPr>
              <w:t>57% (41-71)</w:t>
            </w:r>
          </w:p>
        </w:tc>
      </w:tr>
      <w:tr w:rsidR="00845877" w:rsidRPr="004E1637" w14:paraId="434EE982" w14:textId="77777777" w:rsidTr="00845877">
        <w:trPr>
          <w:gridAfter w:val="3"/>
          <w:wAfter w:w="2586" w:type="dxa"/>
        </w:trPr>
        <w:tc>
          <w:tcPr>
            <w:tcW w:w="2093" w:type="dxa"/>
            <w:tcBorders>
              <w:top w:val="nil"/>
              <w:right w:val="nil"/>
            </w:tcBorders>
          </w:tcPr>
          <w:p w14:paraId="689DDB70"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CCyR (95 % CI)</w:t>
            </w:r>
          </w:p>
        </w:tc>
        <w:tc>
          <w:tcPr>
            <w:tcW w:w="1417" w:type="dxa"/>
            <w:gridSpan w:val="2"/>
            <w:tcBorders>
              <w:top w:val="nil"/>
              <w:left w:val="nil"/>
              <w:right w:val="nil"/>
            </w:tcBorders>
          </w:tcPr>
          <w:p w14:paraId="0AF846BC" w14:textId="2EBDE160" w:rsidR="00845877" w:rsidRPr="004E1637" w:rsidRDefault="00845877" w:rsidP="00060B0C">
            <w:pPr>
              <w:spacing w:after="0" w:line="240" w:lineRule="auto"/>
              <w:jc w:val="center"/>
              <w:rPr>
                <w:rFonts w:ascii="Times New Roman" w:hAnsi="Times New Roman"/>
              </w:rPr>
            </w:pPr>
          </w:p>
        </w:tc>
        <w:tc>
          <w:tcPr>
            <w:tcW w:w="1418" w:type="dxa"/>
            <w:tcBorders>
              <w:top w:val="nil"/>
              <w:left w:val="nil"/>
              <w:right w:val="nil"/>
            </w:tcBorders>
          </w:tcPr>
          <w:p w14:paraId="71BE551D" w14:textId="50789921" w:rsidR="00845877" w:rsidRPr="004E1637" w:rsidRDefault="00845877" w:rsidP="00060B0C">
            <w:pPr>
              <w:spacing w:after="0" w:line="240" w:lineRule="auto"/>
              <w:jc w:val="center"/>
              <w:rPr>
                <w:rFonts w:ascii="Times New Roman" w:hAnsi="Times New Roman"/>
              </w:rPr>
            </w:pPr>
          </w:p>
        </w:tc>
        <w:tc>
          <w:tcPr>
            <w:tcW w:w="2274" w:type="dxa"/>
            <w:gridSpan w:val="2"/>
            <w:tcBorders>
              <w:top w:val="nil"/>
              <w:left w:val="nil"/>
            </w:tcBorders>
          </w:tcPr>
          <w:p w14:paraId="61102456" w14:textId="77777777" w:rsidR="00845877" w:rsidRPr="004E1637" w:rsidRDefault="00845877" w:rsidP="00060B0C">
            <w:pPr>
              <w:spacing w:after="0" w:line="240" w:lineRule="auto"/>
              <w:jc w:val="center"/>
              <w:rPr>
                <w:rFonts w:ascii="Times New Roman" w:hAnsi="Times New Roman"/>
              </w:rPr>
            </w:pPr>
            <w:r w:rsidRPr="004E1637">
              <w:rPr>
                <w:rFonts w:ascii="Times New Roman" w:hAnsi="Times New Roman"/>
              </w:rPr>
              <w:t>54% (39-69)</w:t>
            </w:r>
          </w:p>
        </w:tc>
      </w:tr>
      <w:tr w:rsidR="00C52354" w:rsidRPr="004E1637" w14:paraId="34690FB8" w14:textId="77777777" w:rsidTr="00845877">
        <w:trPr>
          <w:trHeight w:val="370"/>
        </w:trPr>
        <w:tc>
          <w:tcPr>
            <w:tcW w:w="9788" w:type="dxa"/>
            <w:gridSpan w:val="9"/>
          </w:tcPr>
          <w:p w14:paraId="4560FA24" w14:textId="2F47566D" w:rsidR="00C52354" w:rsidRPr="004E1637" w:rsidRDefault="00060B0C" w:rsidP="00060B0C">
            <w:pPr>
              <w:spacing w:after="0" w:line="240" w:lineRule="auto"/>
              <w:rPr>
                <w:rFonts w:ascii="Times New Roman" w:hAnsi="Times New Roman"/>
                <w:b/>
              </w:rPr>
            </w:pPr>
            <w:r w:rsidRPr="004E1637">
              <w:rPr>
                <w:rFonts w:ascii="Times New Roman" w:hAnsi="Times New Roman"/>
                <w:b/>
              </w:rPr>
              <w:t>Prežívanie (%; Kaplan</w:t>
            </w:r>
            <w:r w:rsidR="00A01C2C">
              <w:rPr>
                <w:rFonts w:ascii="Times New Roman" w:hAnsi="Times New Roman"/>
                <w:b/>
              </w:rPr>
              <w:t>ove</w:t>
            </w:r>
            <w:r w:rsidRPr="004E1637">
              <w:rPr>
                <w:rFonts w:ascii="Times New Roman" w:hAnsi="Times New Roman"/>
                <w:b/>
              </w:rPr>
              <w:t>-Meierove odhady)</w:t>
            </w:r>
          </w:p>
        </w:tc>
      </w:tr>
      <w:tr w:rsidR="00C52354" w:rsidRPr="004E1637" w14:paraId="5FBEB622" w14:textId="77777777" w:rsidTr="00845877">
        <w:trPr>
          <w:trHeight w:val="320"/>
        </w:trPr>
        <w:tc>
          <w:tcPr>
            <w:tcW w:w="9788" w:type="dxa"/>
            <w:gridSpan w:val="9"/>
            <w:tcBorders>
              <w:bottom w:val="nil"/>
            </w:tcBorders>
          </w:tcPr>
          <w:p w14:paraId="3D8CDB1D" w14:textId="1A4F3514" w:rsidR="00C52354" w:rsidRPr="004E1637" w:rsidRDefault="00A01C2C" w:rsidP="00060B0C">
            <w:pPr>
              <w:spacing w:after="0" w:line="240" w:lineRule="auto"/>
              <w:rPr>
                <w:rFonts w:ascii="Times New Roman" w:hAnsi="Times New Roman"/>
              </w:rPr>
            </w:pPr>
            <w:r>
              <w:rPr>
                <w:rFonts w:ascii="Times New Roman" w:hAnsi="Times New Roman"/>
              </w:rPr>
              <w:t>Bez progresie</w:t>
            </w:r>
          </w:p>
        </w:tc>
      </w:tr>
      <w:tr w:rsidR="00845877" w:rsidRPr="004E1637" w14:paraId="271357E4" w14:textId="77777777" w:rsidTr="00845877">
        <w:trPr>
          <w:gridAfter w:val="4"/>
          <w:wAfter w:w="2984" w:type="dxa"/>
        </w:trPr>
        <w:tc>
          <w:tcPr>
            <w:tcW w:w="2093" w:type="dxa"/>
            <w:tcBorders>
              <w:top w:val="nil"/>
              <w:bottom w:val="nil"/>
              <w:right w:val="nil"/>
            </w:tcBorders>
          </w:tcPr>
          <w:p w14:paraId="325E24F2"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1. rok</w:t>
            </w:r>
          </w:p>
        </w:tc>
        <w:tc>
          <w:tcPr>
            <w:tcW w:w="1417" w:type="dxa"/>
            <w:gridSpan w:val="2"/>
            <w:tcBorders>
              <w:top w:val="nil"/>
              <w:left w:val="nil"/>
              <w:bottom w:val="nil"/>
              <w:right w:val="nil"/>
            </w:tcBorders>
          </w:tcPr>
          <w:p w14:paraId="60BC35A6" w14:textId="248E22B0" w:rsidR="00845877" w:rsidRPr="004E1637" w:rsidRDefault="00845877" w:rsidP="00060B0C">
            <w:pPr>
              <w:spacing w:after="0" w:line="240" w:lineRule="auto"/>
              <w:jc w:val="center"/>
              <w:rPr>
                <w:rFonts w:ascii="Times New Roman" w:hAnsi="Times New Roman"/>
              </w:rPr>
            </w:pPr>
          </w:p>
        </w:tc>
        <w:tc>
          <w:tcPr>
            <w:tcW w:w="1418" w:type="dxa"/>
            <w:tcBorders>
              <w:top w:val="nil"/>
              <w:left w:val="nil"/>
              <w:bottom w:val="nil"/>
              <w:right w:val="nil"/>
            </w:tcBorders>
          </w:tcPr>
          <w:p w14:paraId="2F630410" w14:textId="46B662F6" w:rsidR="00845877" w:rsidRPr="004E1637" w:rsidRDefault="00845877" w:rsidP="00060B0C">
            <w:pPr>
              <w:spacing w:after="0" w:line="240" w:lineRule="auto"/>
              <w:jc w:val="center"/>
              <w:rPr>
                <w:rFonts w:ascii="Times New Roman" w:hAnsi="Times New Roman"/>
              </w:rPr>
            </w:pPr>
          </w:p>
        </w:tc>
        <w:tc>
          <w:tcPr>
            <w:tcW w:w="1876" w:type="dxa"/>
            <w:tcBorders>
              <w:top w:val="nil"/>
              <w:left w:val="nil"/>
              <w:bottom w:val="nil"/>
            </w:tcBorders>
          </w:tcPr>
          <w:p w14:paraId="5B495373" w14:textId="5859BCD2" w:rsidR="00845877" w:rsidRPr="004E1637" w:rsidRDefault="00845877" w:rsidP="00060B0C">
            <w:pPr>
              <w:spacing w:after="0" w:line="240" w:lineRule="auto"/>
              <w:jc w:val="center"/>
              <w:rPr>
                <w:rFonts w:ascii="Times New Roman" w:hAnsi="Times New Roman"/>
              </w:rPr>
            </w:pPr>
            <w:r>
              <w:rPr>
                <w:rFonts w:ascii="Times New Roman" w:hAnsi="Times New Roman"/>
              </w:rPr>
              <w:t xml:space="preserve">    </w:t>
            </w:r>
            <w:r w:rsidRPr="004E1637">
              <w:rPr>
                <w:rFonts w:ascii="Times New Roman" w:hAnsi="Times New Roman"/>
              </w:rPr>
              <w:t>21% (9-34)</w:t>
            </w:r>
          </w:p>
        </w:tc>
      </w:tr>
      <w:tr w:rsidR="00845877" w:rsidRPr="004E1637" w14:paraId="5582C873" w14:textId="77777777" w:rsidTr="00845877">
        <w:trPr>
          <w:gridAfter w:val="4"/>
          <w:wAfter w:w="2984" w:type="dxa"/>
        </w:trPr>
        <w:tc>
          <w:tcPr>
            <w:tcW w:w="2093" w:type="dxa"/>
            <w:tcBorders>
              <w:top w:val="nil"/>
              <w:right w:val="nil"/>
            </w:tcBorders>
          </w:tcPr>
          <w:p w14:paraId="2C1F9BFF"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2. rok</w:t>
            </w:r>
          </w:p>
        </w:tc>
        <w:tc>
          <w:tcPr>
            <w:tcW w:w="1417" w:type="dxa"/>
            <w:gridSpan w:val="2"/>
            <w:tcBorders>
              <w:top w:val="nil"/>
              <w:left w:val="nil"/>
              <w:right w:val="nil"/>
            </w:tcBorders>
          </w:tcPr>
          <w:p w14:paraId="53B05B21" w14:textId="7BD57354" w:rsidR="00845877" w:rsidRPr="004E1637" w:rsidRDefault="00845877" w:rsidP="00060B0C">
            <w:pPr>
              <w:spacing w:after="0" w:line="240" w:lineRule="auto"/>
              <w:jc w:val="center"/>
              <w:rPr>
                <w:rFonts w:ascii="Times New Roman" w:hAnsi="Times New Roman"/>
              </w:rPr>
            </w:pPr>
          </w:p>
        </w:tc>
        <w:tc>
          <w:tcPr>
            <w:tcW w:w="1418" w:type="dxa"/>
            <w:tcBorders>
              <w:top w:val="nil"/>
              <w:left w:val="nil"/>
              <w:right w:val="nil"/>
            </w:tcBorders>
          </w:tcPr>
          <w:p w14:paraId="2FA4E47F" w14:textId="5DFF6489" w:rsidR="00845877" w:rsidRPr="004E1637" w:rsidRDefault="00845877" w:rsidP="00060B0C">
            <w:pPr>
              <w:spacing w:after="0" w:line="240" w:lineRule="auto"/>
              <w:jc w:val="center"/>
              <w:rPr>
                <w:rFonts w:ascii="Times New Roman" w:hAnsi="Times New Roman"/>
              </w:rPr>
            </w:pPr>
          </w:p>
        </w:tc>
        <w:tc>
          <w:tcPr>
            <w:tcW w:w="1876" w:type="dxa"/>
            <w:tcBorders>
              <w:top w:val="nil"/>
              <w:left w:val="nil"/>
            </w:tcBorders>
          </w:tcPr>
          <w:p w14:paraId="058B8BE7" w14:textId="3BD3FA06" w:rsidR="00845877" w:rsidRPr="004E1637" w:rsidRDefault="00845877" w:rsidP="00060B0C">
            <w:pPr>
              <w:spacing w:after="0" w:line="240" w:lineRule="auto"/>
              <w:jc w:val="center"/>
              <w:rPr>
                <w:rFonts w:ascii="Times New Roman" w:hAnsi="Times New Roman"/>
              </w:rPr>
            </w:pPr>
            <w:r>
              <w:rPr>
                <w:rFonts w:ascii="Times New Roman" w:hAnsi="Times New Roman"/>
              </w:rPr>
              <w:t xml:space="preserve">    </w:t>
            </w:r>
            <w:r w:rsidRPr="004E1637">
              <w:rPr>
                <w:rFonts w:ascii="Times New Roman" w:hAnsi="Times New Roman"/>
              </w:rPr>
              <w:t>12% (2-23)</w:t>
            </w:r>
          </w:p>
        </w:tc>
      </w:tr>
      <w:tr w:rsidR="00C52354" w:rsidRPr="004E1637" w14:paraId="5897E4C3" w14:textId="77777777" w:rsidTr="00845877">
        <w:tc>
          <w:tcPr>
            <w:tcW w:w="9788" w:type="dxa"/>
            <w:gridSpan w:val="9"/>
            <w:tcBorders>
              <w:bottom w:val="nil"/>
            </w:tcBorders>
          </w:tcPr>
          <w:p w14:paraId="1550D213" w14:textId="77777777" w:rsidR="00C52354" w:rsidRPr="004E1637" w:rsidRDefault="00060B0C" w:rsidP="00060B0C">
            <w:pPr>
              <w:spacing w:after="0" w:line="240" w:lineRule="auto"/>
              <w:rPr>
                <w:rFonts w:ascii="Times New Roman" w:hAnsi="Times New Roman"/>
              </w:rPr>
            </w:pPr>
            <w:r w:rsidRPr="004E1637">
              <w:rPr>
                <w:rFonts w:ascii="Times New Roman" w:hAnsi="Times New Roman"/>
              </w:rPr>
              <w:t>Celkovo</w:t>
            </w:r>
          </w:p>
        </w:tc>
      </w:tr>
      <w:tr w:rsidR="00845877" w:rsidRPr="004E1637" w14:paraId="7ECE6398" w14:textId="77777777" w:rsidTr="00845877">
        <w:tc>
          <w:tcPr>
            <w:tcW w:w="2093" w:type="dxa"/>
            <w:tcBorders>
              <w:top w:val="nil"/>
              <w:bottom w:val="nil"/>
              <w:right w:val="nil"/>
            </w:tcBorders>
          </w:tcPr>
          <w:p w14:paraId="56300014"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 xml:space="preserve">1. rok </w:t>
            </w:r>
          </w:p>
        </w:tc>
        <w:tc>
          <w:tcPr>
            <w:tcW w:w="1417" w:type="dxa"/>
            <w:gridSpan w:val="2"/>
            <w:tcBorders>
              <w:top w:val="nil"/>
              <w:left w:val="nil"/>
              <w:bottom w:val="nil"/>
              <w:right w:val="nil"/>
            </w:tcBorders>
          </w:tcPr>
          <w:p w14:paraId="0A7FE70B" w14:textId="78D29862" w:rsidR="00845877" w:rsidRPr="004E1637" w:rsidRDefault="00845877" w:rsidP="00060B0C">
            <w:pPr>
              <w:spacing w:after="0" w:line="240" w:lineRule="auto"/>
              <w:jc w:val="center"/>
              <w:rPr>
                <w:rFonts w:ascii="Times New Roman" w:hAnsi="Times New Roman"/>
              </w:rPr>
            </w:pPr>
          </w:p>
        </w:tc>
        <w:tc>
          <w:tcPr>
            <w:tcW w:w="1418" w:type="dxa"/>
            <w:tcBorders>
              <w:top w:val="nil"/>
              <w:left w:val="nil"/>
              <w:bottom w:val="nil"/>
              <w:right w:val="nil"/>
            </w:tcBorders>
          </w:tcPr>
          <w:p w14:paraId="67CF5A6C" w14:textId="4E2B93D1" w:rsidR="00845877" w:rsidRPr="004E1637" w:rsidRDefault="00845877" w:rsidP="00060B0C">
            <w:pPr>
              <w:spacing w:after="0" w:line="240" w:lineRule="auto"/>
              <w:jc w:val="center"/>
              <w:rPr>
                <w:rFonts w:ascii="Times New Roman" w:hAnsi="Times New Roman"/>
              </w:rPr>
            </w:pPr>
          </w:p>
        </w:tc>
        <w:tc>
          <w:tcPr>
            <w:tcW w:w="4860" w:type="dxa"/>
            <w:gridSpan w:val="5"/>
            <w:tcBorders>
              <w:top w:val="nil"/>
              <w:left w:val="nil"/>
              <w:bottom w:val="nil"/>
            </w:tcBorders>
          </w:tcPr>
          <w:p w14:paraId="2CCAE560" w14:textId="27A97A86" w:rsidR="00845877" w:rsidRPr="004E1637" w:rsidRDefault="00845877" w:rsidP="00845877">
            <w:pPr>
              <w:spacing w:after="0" w:line="240" w:lineRule="auto"/>
              <w:rPr>
                <w:rFonts w:ascii="Times New Roman" w:hAnsi="Times New Roman"/>
              </w:rPr>
            </w:pPr>
            <w:r>
              <w:rPr>
                <w:rFonts w:ascii="Times New Roman" w:hAnsi="Times New Roman"/>
              </w:rPr>
              <w:t xml:space="preserve">       </w:t>
            </w:r>
            <w:r w:rsidRPr="004E1637">
              <w:rPr>
                <w:rFonts w:ascii="Times New Roman" w:hAnsi="Times New Roman"/>
              </w:rPr>
              <w:t>35% (20-51)</w:t>
            </w:r>
          </w:p>
        </w:tc>
      </w:tr>
      <w:tr w:rsidR="00845877" w:rsidRPr="004E1637" w14:paraId="525CB8B4" w14:textId="77777777" w:rsidTr="00845877">
        <w:tc>
          <w:tcPr>
            <w:tcW w:w="2093" w:type="dxa"/>
            <w:tcBorders>
              <w:top w:val="nil"/>
              <w:right w:val="nil"/>
            </w:tcBorders>
          </w:tcPr>
          <w:p w14:paraId="4ECFC89C" w14:textId="77777777" w:rsidR="00845877" w:rsidRPr="004E1637" w:rsidRDefault="00845877" w:rsidP="00060B0C">
            <w:pPr>
              <w:spacing w:after="0" w:line="240" w:lineRule="auto"/>
              <w:rPr>
                <w:rFonts w:ascii="Times New Roman" w:hAnsi="Times New Roman"/>
              </w:rPr>
            </w:pPr>
            <w:r w:rsidRPr="004E1637">
              <w:rPr>
                <w:rFonts w:ascii="Times New Roman" w:hAnsi="Times New Roman"/>
              </w:rPr>
              <w:t>2. rok</w:t>
            </w:r>
          </w:p>
        </w:tc>
        <w:tc>
          <w:tcPr>
            <w:tcW w:w="1417" w:type="dxa"/>
            <w:gridSpan w:val="2"/>
            <w:tcBorders>
              <w:top w:val="nil"/>
              <w:left w:val="nil"/>
              <w:right w:val="nil"/>
            </w:tcBorders>
          </w:tcPr>
          <w:p w14:paraId="144FF565" w14:textId="4C6182A4" w:rsidR="00845877" w:rsidRPr="004E1637" w:rsidRDefault="00845877" w:rsidP="00060B0C">
            <w:pPr>
              <w:spacing w:after="0" w:line="240" w:lineRule="auto"/>
              <w:jc w:val="center"/>
              <w:rPr>
                <w:rFonts w:ascii="Times New Roman" w:hAnsi="Times New Roman"/>
              </w:rPr>
            </w:pPr>
          </w:p>
        </w:tc>
        <w:tc>
          <w:tcPr>
            <w:tcW w:w="1418" w:type="dxa"/>
            <w:tcBorders>
              <w:top w:val="nil"/>
              <w:left w:val="nil"/>
              <w:right w:val="nil"/>
            </w:tcBorders>
          </w:tcPr>
          <w:p w14:paraId="5A85ECAC" w14:textId="422CD12D" w:rsidR="00845877" w:rsidRPr="004E1637" w:rsidRDefault="00845877" w:rsidP="00060B0C">
            <w:pPr>
              <w:spacing w:after="0" w:line="240" w:lineRule="auto"/>
              <w:jc w:val="center"/>
              <w:rPr>
                <w:rFonts w:ascii="Times New Roman" w:hAnsi="Times New Roman"/>
              </w:rPr>
            </w:pPr>
          </w:p>
        </w:tc>
        <w:tc>
          <w:tcPr>
            <w:tcW w:w="4860" w:type="dxa"/>
            <w:gridSpan w:val="5"/>
            <w:tcBorders>
              <w:top w:val="nil"/>
              <w:left w:val="nil"/>
            </w:tcBorders>
          </w:tcPr>
          <w:p w14:paraId="39E2F1A2" w14:textId="4D389F5F" w:rsidR="00845877" w:rsidRPr="004E1637" w:rsidRDefault="00845877" w:rsidP="00845877">
            <w:pPr>
              <w:spacing w:after="0" w:line="240" w:lineRule="auto"/>
              <w:rPr>
                <w:rFonts w:ascii="Times New Roman" w:hAnsi="Times New Roman"/>
              </w:rPr>
            </w:pPr>
            <w:r>
              <w:rPr>
                <w:rFonts w:ascii="Times New Roman" w:hAnsi="Times New Roman"/>
              </w:rPr>
              <w:t xml:space="preserve">       </w:t>
            </w:r>
            <w:r w:rsidRPr="004E1637">
              <w:rPr>
                <w:rFonts w:ascii="Times New Roman" w:hAnsi="Times New Roman"/>
              </w:rPr>
              <w:t>31% (16-47)</w:t>
            </w:r>
          </w:p>
        </w:tc>
      </w:tr>
    </w:tbl>
    <w:p w14:paraId="4A26BDF6" w14:textId="6CE0DE0B" w:rsidR="00060B0C" w:rsidRPr="004E1637" w:rsidRDefault="00060B0C" w:rsidP="00060B0C">
      <w:pPr>
        <w:spacing w:after="0" w:line="240" w:lineRule="auto"/>
        <w:rPr>
          <w:rFonts w:ascii="Times New Roman" w:hAnsi="Times New Roman"/>
          <w:sz w:val="18"/>
          <w:szCs w:val="18"/>
        </w:rPr>
      </w:pPr>
      <w:r w:rsidRPr="004E1637">
        <w:rPr>
          <w:rFonts w:ascii="Times New Roman" w:hAnsi="Times New Roman"/>
          <w:sz w:val="18"/>
          <w:szCs w:val="18"/>
        </w:rPr>
        <w:t xml:space="preserve">Údaje uvedené v tabuľke sú zo štúdií s užívanou </w:t>
      </w:r>
      <w:r w:rsidR="00D72972">
        <w:rPr>
          <w:rFonts w:ascii="Times New Roman" w:hAnsi="Times New Roman"/>
          <w:sz w:val="18"/>
          <w:szCs w:val="18"/>
        </w:rPr>
        <w:t>začiatočnou</w:t>
      </w:r>
      <w:r w:rsidRPr="004E1637">
        <w:rPr>
          <w:rFonts w:ascii="Times New Roman" w:hAnsi="Times New Roman"/>
          <w:sz w:val="18"/>
          <w:szCs w:val="18"/>
        </w:rPr>
        <w:t xml:space="preserve"> dávkou 70 mg dvakrát denne. Pozri časť 4.2 pre </w:t>
      </w:r>
      <w:r w:rsidR="0009699D" w:rsidRPr="004E1637">
        <w:rPr>
          <w:rFonts w:ascii="Times New Roman" w:hAnsi="Times New Roman"/>
          <w:sz w:val="18"/>
          <w:szCs w:val="18"/>
        </w:rPr>
        <w:t>odporúč</w:t>
      </w:r>
      <w:r w:rsidR="0009699D">
        <w:rPr>
          <w:rFonts w:ascii="Times New Roman" w:hAnsi="Times New Roman"/>
          <w:sz w:val="18"/>
          <w:szCs w:val="18"/>
        </w:rPr>
        <w:t>a</w:t>
      </w:r>
      <w:r w:rsidR="0009699D" w:rsidRPr="004E1637">
        <w:rPr>
          <w:rFonts w:ascii="Times New Roman" w:hAnsi="Times New Roman"/>
          <w:sz w:val="18"/>
          <w:szCs w:val="18"/>
        </w:rPr>
        <w:t>nú</w:t>
      </w:r>
      <w:r w:rsidRPr="004E1637">
        <w:rPr>
          <w:rFonts w:ascii="Times New Roman" w:hAnsi="Times New Roman"/>
          <w:sz w:val="18"/>
          <w:szCs w:val="18"/>
        </w:rPr>
        <w:t xml:space="preserve"> </w:t>
      </w:r>
      <w:r w:rsidR="00D72972">
        <w:rPr>
          <w:rFonts w:ascii="Times New Roman" w:hAnsi="Times New Roman"/>
          <w:sz w:val="18"/>
          <w:szCs w:val="18"/>
        </w:rPr>
        <w:t>začiatočnú</w:t>
      </w:r>
      <w:r w:rsidRPr="004E1637">
        <w:rPr>
          <w:rFonts w:ascii="Times New Roman" w:hAnsi="Times New Roman"/>
          <w:sz w:val="18"/>
          <w:szCs w:val="18"/>
        </w:rPr>
        <w:t xml:space="preserve"> dávku. </w:t>
      </w:r>
    </w:p>
    <w:p w14:paraId="4B5267C6" w14:textId="34924BD5"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a</w:t>
      </w:r>
      <w:r w:rsidRPr="004E1637">
        <w:rPr>
          <w:rFonts w:ascii="Times New Roman" w:hAnsi="Times New Roman"/>
          <w:sz w:val="18"/>
          <w:szCs w:val="18"/>
        </w:rPr>
        <w:t xml:space="preserve"> </w:t>
      </w:r>
      <w:r w:rsidRPr="004E1637">
        <w:rPr>
          <w:rFonts w:ascii="Times New Roman" w:hAnsi="Times New Roman"/>
          <w:sz w:val="18"/>
          <w:szCs w:val="18"/>
        </w:rPr>
        <w:tab/>
        <w:t xml:space="preserve">Čísla </w:t>
      </w:r>
      <w:r w:rsidR="00623577">
        <w:rPr>
          <w:rFonts w:ascii="Times New Roman" w:hAnsi="Times New Roman"/>
          <w:sz w:val="18"/>
          <w:szCs w:val="18"/>
        </w:rPr>
        <w:t>uvedené zvýrazneným písmom</w:t>
      </w:r>
      <w:r w:rsidRPr="004E1637">
        <w:rPr>
          <w:rFonts w:ascii="Times New Roman" w:hAnsi="Times New Roman"/>
          <w:sz w:val="18"/>
          <w:szCs w:val="18"/>
        </w:rPr>
        <w:t xml:space="preserve"> sú výsledky primárn</w:t>
      </w:r>
      <w:r w:rsidR="00623577">
        <w:rPr>
          <w:rFonts w:ascii="Times New Roman" w:hAnsi="Times New Roman"/>
          <w:sz w:val="18"/>
          <w:szCs w:val="18"/>
        </w:rPr>
        <w:t>ych</w:t>
      </w:r>
      <w:r w:rsidRPr="004E1637">
        <w:rPr>
          <w:rFonts w:ascii="Times New Roman" w:hAnsi="Times New Roman"/>
          <w:sz w:val="18"/>
          <w:szCs w:val="18"/>
        </w:rPr>
        <w:t xml:space="preserve"> </w:t>
      </w:r>
      <w:r w:rsidR="00CE3A4C">
        <w:rPr>
          <w:rFonts w:ascii="Times New Roman" w:hAnsi="Times New Roman"/>
          <w:sz w:val="18"/>
          <w:szCs w:val="18"/>
        </w:rPr>
        <w:t>cieľových</w:t>
      </w:r>
      <w:r w:rsidR="00CE3A4C" w:rsidRPr="004E1637">
        <w:rPr>
          <w:rFonts w:ascii="Times New Roman" w:hAnsi="Times New Roman"/>
          <w:sz w:val="18"/>
          <w:szCs w:val="18"/>
        </w:rPr>
        <w:t xml:space="preserve"> </w:t>
      </w:r>
      <w:r w:rsidRPr="004E1637">
        <w:rPr>
          <w:rFonts w:ascii="Times New Roman" w:hAnsi="Times New Roman"/>
          <w:sz w:val="18"/>
          <w:szCs w:val="18"/>
        </w:rPr>
        <w:t>ukazovateľ</w:t>
      </w:r>
      <w:r w:rsidR="00623577">
        <w:rPr>
          <w:rFonts w:ascii="Times New Roman" w:hAnsi="Times New Roman"/>
          <w:sz w:val="18"/>
          <w:szCs w:val="18"/>
        </w:rPr>
        <w:t>ov</w:t>
      </w:r>
      <w:r w:rsidRPr="004E1637">
        <w:rPr>
          <w:rFonts w:ascii="Times New Roman" w:hAnsi="Times New Roman"/>
          <w:sz w:val="18"/>
          <w:szCs w:val="18"/>
        </w:rPr>
        <w:t xml:space="preserve">. </w:t>
      </w:r>
    </w:p>
    <w:p w14:paraId="1CDBFE72" w14:textId="4594F137" w:rsidR="00060B0C" w:rsidRPr="004E1637" w:rsidRDefault="00060B0C" w:rsidP="00845877">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b</w:t>
      </w:r>
      <w:r w:rsidRPr="004E1637">
        <w:rPr>
          <w:rFonts w:ascii="Times New Roman" w:hAnsi="Times New Roman"/>
          <w:sz w:val="18"/>
          <w:szCs w:val="18"/>
        </w:rPr>
        <w:t xml:space="preserve"> </w:t>
      </w:r>
      <w:r w:rsidRPr="004E1637">
        <w:rPr>
          <w:rFonts w:ascii="Times New Roman" w:hAnsi="Times New Roman"/>
          <w:sz w:val="18"/>
          <w:szCs w:val="18"/>
        </w:rPr>
        <w:tab/>
        <w:t xml:space="preserve">Kritéria hematologickej odpovede (všetky odpovede boli potvrdené po 4 týždňoch): Veľká hematologická odpoveď (MaHR) = úplná hematologická odpoveď (CHR) + žiadna prítomnosť leukémie (NEL). </w:t>
      </w:r>
    </w:p>
    <w:p w14:paraId="3EBD291D" w14:textId="6B73F6A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lastRenderedPageBreak/>
        <w:tab/>
        <w:t>CHR (Ph+ ALL): WBC ≤ zdravotníckeho zariadenia ULN, ANC ≥ 1 000/mm</w:t>
      </w:r>
      <w:r w:rsidRPr="004E1637">
        <w:rPr>
          <w:rFonts w:ascii="Times New Roman" w:hAnsi="Times New Roman"/>
          <w:sz w:val="18"/>
          <w:szCs w:val="18"/>
          <w:vertAlign w:val="superscript"/>
        </w:rPr>
        <w:t>3</w:t>
      </w:r>
      <w:r w:rsidRPr="004E1637">
        <w:rPr>
          <w:rFonts w:ascii="Times New Roman" w:hAnsi="Times New Roman"/>
          <w:sz w:val="18"/>
          <w:szCs w:val="18"/>
        </w:rPr>
        <w:t>, trombocyty ≥ 100 000/mm</w:t>
      </w:r>
      <w:r w:rsidRPr="004E1637">
        <w:rPr>
          <w:rFonts w:ascii="Times New Roman" w:hAnsi="Times New Roman"/>
          <w:sz w:val="18"/>
          <w:szCs w:val="18"/>
          <w:vertAlign w:val="superscript"/>
        </w:rPr>
        <w:t>3</w:t>
      </w:r>
      <w:r w:rsidRPr="004E1637">
        <w:rPr>
          <w:rFonts w:ascii="Times New Roman" w:hAnsi="Times New Roman"/>
          <w:sz w:val="18"/>
          <w:szCs w:val="18"/>
        </w:rPr>
        <w:t xml:space="preserve">, bez blastov alebo promyelocytov v periférnej krvi, blasty kostnej drene ≤ 5%, &lt; 5% myelocyty plus metamyelocyty v periférnej krvi, bazofily v periférnej krvi &lt; 20% a žiadne extramedulárne postihnutie. </w:t>
      </w:r>
    </w:p>
    <w:p w14:paraId="79DF253C" w14:textId="7777777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tab/>
        <w:t>NEL: rovnaké kritéria ako pre CHR ale ANC ≥ 500/mm</w:t>
      </w:r>
      <w:r w:rsidRPr="004E1637">
        <w:rPr>
          <w:rFonts w:ascii="Times New Roman" w:hAnsi="Times New Roman"/>
          <w:sz w:val="18"/>
          <w:szCs w:val="18"/>
          <w:vertAlign w:val="superscript"/>
        </w:rPr>
        <w:t>3</w:t>
      </w:r>
      <w:r w:rsidRPr="004E1637">
        <w:rPr>
          <w:rFonts w:ascii="Times New Roman" w:hAnsi="Times New Roman"/>
          <w:sz w:val="18"/>
          <w:szCs w:val="18"/>
        </w:rPr>
        <w:t xml:space="preserve"> a &lt; 1 000/mm</w:t>
      </w:r>
      <w:r w:rsidRPr="004E1637">
        <w:rPr>
          <w:rFonts w:ascii="Times New Roman" w:hAnsi="Times New Roman"/>
          <w:sz w:val="18"/>
          <w:szCs w:val="18"/>
          <w:vertAlign w:val="superscript"/>
        </w:rPr>
        <w:t>3</w:t>
      </w:r>
      <w:r w:rsidRPr="004E1637">
        <w:rPr>
          <w:rFonts w:ascii="Times New Roman" w:hAnsi="Times New Roman"/>
          <w:sz w:val="18"/>
          <w:szCs w:val="18"/>
        </w:rPr>
        <w:t>, alebo trombocyty ≥ 20 000/mm</w:t>
      </w:r>
      <w:r w:rsidRPr="004E1637">
        <w:rPr>
          <w:rFonts w:ascii="Times New Roman" w:hAnsi="Times New Roman"/>
          <w:sz w:val="18"/>
          <w:szCs w:val="18"/>
          <w:vertAlign w:val="superscript"/>
        </w:rPr>
        <w:t>3</w:t>
      </w:r>
      <w:r w:rsidRPr="004E1637">
        <w:rPr>
          <w:rFonts w:ascii="Times New Roman" w:hAnsi="Times New Roman"/>
          <w:sz w:val="18"/>
          <w:szCs w:val="18"/>
        </w:rPr>
        <w:t xml:space="preserve"> a ≤ 100 000/mm</w:t>
      </w:r>
      <w:r w:rsidRPr="004E1637">
        <w:rPr>
          <w:rFonts w:ascii="Times New Roman" w:hAnsi="Times New Roman"/>
          <w:sz w:val="18"/>
          <w:szCs w:val="18"/>
          <w:vertAlign w:val="superscript"/>
        </w:rPr>
        <w:t>3</w:t>
      </w:r>
      <w:r w:rsidRPr="004E1637">
        <w:rPr>
          <w:rFonts w:ascii="Times New Roman" w:hAnsi="Times New Roman"/>
          <w:sz w:val="18"/>
          <w:szCs w:val="18"/>
        </w:rPr>
        <w:t xml:space="preserve">. </w:t>
      </w:r>
    </w:p>
    <w:p w14:paraId="00A457A0" w14:textId="5FF8634D"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vertAlign w:val="superscript"/>
        </w:rPr>
        <w:t>c</w:t>
      </w:r>
      <w:r w:rsidRPr="004E1637">
        <w:rPr>
          <w:rFonts w:ascii="Times New Roman" w:hAnsi="Times New Roman"/>
          <w:sz w:val="18"/>
          <w:szCs w:val="18"/>
        </w:rPr>
        <w:tab/>
        <w:t xml:space="preserve">Kritéria cytogenetickej odpovede: úplná (0 % Ph+ metafáza) alebo čiastočná (&gt; 0 % – 35 %). MCyR (0 % – 35 %) </w:t>
      </w:r>
      <w:r w:rsidR="00B00FC2">
        <w:rPr>
          <w:rFonts w:ascii="Times New Roman" w:hAnsi="Times New Roman"/>
          <w:sz w:val="18"/>
          <w:szCs w:val="18"/>
        </w:rPr>
        <w:t>zahŕňa</w:t>
      </w:r>
      <w:r w:rsidRPr="00B00FC2">
        <w:rPr>
          <w:rFonts w:ascii="Times New Roman" w:hAnsi="Times New Roman"/>
          <w:sz w:val="18"/>
          <w:szCs w:val="18"/>
        </w:rPr>
        <w:t xml:space="preserve"> úp</w:t>
      </w:r>
      <w:r w:rsidR="00B00FC2">
        <w:rPr>
          <w:rFonts w:ascii="Times New Roman" w:hAnsi="Times New Roman"/>
          <w:sz w:val="18"/>
          <w:szCs w:val="18"/>
        </w:rPr>
        <w:t>l</w:t>
      </w:r>
      <w:r w:rsidRPr="00B00FC2">
        <w:rPr>
          <w:rFonts w:ascii="Times New Roman" w:hAnsi="Times New Roman"/>
          <w:sz w:val="18"/>
          <w:szCs w:val="18"/>
        </w:rPr>
        <w:t>n</w:t>
      </w:r>
      <w:r w:rsidR="00B00FC2">
        <w:rPr>
          <w:rFonts w:ascii="Times New Roman" w:hAnsi="Times New Roman"/>
          <w:sz w:val="18"/>
          <w:szCs w:val="18"/>
        </w:rPr>
        <w:t>é</w:t>
      </w:r>
      <w:r w:rsidRPr="00B00FC2">
        <w:rPr>
          <w:rFonts w:ascii="Times New Roman" w:hAnsi="Times New Roman"/>
          <w:sz w:val="18"/>
          <w:szCs w:val="18"/>
        </w:rPr>
        <w:t xml:space="preserve"> a</w:t>
      </w:r>
      <w:r w:rsidR="00B00FC2">
        <w:rPr>
          <w:rFonts w:ascii="Times New Roman" w:hAnsi="Times New Roman"/>
          <w:sz w:val="18"/>
          <w:szCs w:val="18"/>
        </w:rPr>
        <w:t>j</w:t>
      </w:r>
      <w:r w:rsidRPr="00B00FC2">
        <w:rPr>
          <w:rFonts w:ascii="Times New Roman" w:hAnsi="Times New Roman"/>
          <w:sz w:val="18"/>
          <w:szCs w:val="18"/>
        </w:rPr>
        <w:t xml:space="preserve"> čiastočn</w:t>
      </w:r>
      <w:r w:rsidR="00B00FC2">
        <w:rPr>
          <w:rFonts w:ascii="Times New Roman" w:hAnsi="Times New Roman"/>
          <w:sz w:val="18"/>
          <w:szCs w:val="18"/>
        </w:rPr>
        <w:t>é</w:t>
      </w:r>
      <w:r w:rsidRPr="00B00FC2">
        <w:rPr>
          <w:rFonts w:ascii="Times New Roman" w:hAnsi="Times New Roman"/>
          <w:sz w:val="18"/>
          <w:szCs w:val="18"/>
        </w:rPr>
        <w:t xml:space="preserve"> odpove</w:t>
      </w:r>
      <w:r w:rsidR="00B00FC2">
        <w:rPr>
          <w:rFonts w:ascii="Times New Roman" w:hAnsi="Times New Roman"/>
          <w:sz w:val="18"/>
          <w:szCs w:val="18"/>
        </w:rPr>
        <w:t>de</w:t>
      </w:r>
      <w:r w:rsidRPr="004E1637">
        <w:rPr>
          <w:rFonts w:ascii="Times New Roman" w:hAnsi="Times New Roman"/>
          <w:sz w:val="18"/>
          <w:szCs w:val="18"/>
        </w:rPr>
        <w:t xml:space="preserve">. </w:t>
      </w:r>
    </w:p>
    <w:p w14:paraId="3BC24D19" w14:textId="77777777" w:rsidR="00060B0C" w:rsidRPr="004E1637" w:rsidRDefault="00060B0C" w:rsidP="00060B0C">
      <w:pPr>
        <w:tabs>
          <w:tab w:val="left" w:pos="284"/>
        </w:tabs>
        <w:spacing w:after="0" w:line="240" w:lineRule="auto"/>
        <w:ind w:left="280" w:hanging="280"/>
        <w:rPr>
          <w:rFonts w:ascii="Times New Roman" w:hAnsi="Times New Roman"/>
          <w:sz w:val="18"/>
          <w:szCs w:val="18"/>
        </w:rPr>
      </w:pPr>
      <w:r w:rsidRPr="004E1637">
        <w:rPr>
          <w:rFonts w:ascii="Times New Roman" w:hAnsi="Times New Roman"/>
          <w:sz w:val="18"/>
          <w:szCs w:val="18"/>
        </w:rPr>
        <w:t xml:space="preserve">n/a = neaplikovateľný; CI = interval spoľahlivosti; ULN = horný limit normálneho rozpätia. </w:t>
      </w:r>
    </w:p>
    <w:p w14:paraId="281485DC" w14:textId="77777777" w:rsidR="00060B0C" w:rsidRPr="004E1637" w:rsidRDefault="00060B0C">
      <w:pPr>
        <w:pStyle w:val="CM100"/>
        <w:spacing w:after="237" w:line="238" w:lineRule="atLeast"/>
        <w:rPr>
          <w:sz w:val="22"/>
          <w:szCs w:val="22"/>
        </w:rPr>
      </w:pPr>
    </w:p>
    <w:p w14:paraId="36601CB1" w14:textId="418BDEB2" w:rsidR="00BE76D5" w:rsidRPr="004E1637" w:rsidRDefault="00BE76D5">
      <w:pPr>
        <w:pStyle w:val="CM100"/>
        <w:spacing w:after="237" w:line="238" w:lineRule="atLeast"/>
        <w:rPr>
          <w:sz w:val="22"/>
          <w:szCs w:val="22"/>
        </w:rPr>
      </w:pPr>
      <w:r w:rsidRPr="004E1637">
        <w:rPr>
          <w:sz w:val="22"/>
          <w:szCs w:val="22"/>
        </w:rPr>
        <w:t>Výsledok u pacientov s tran</w:t>
      </w:r>
      <w:r w:rsidR="00623577">
        <w:rPr>
          <w:sz w:val="22"/>
          <w:szCs w:val="22"/>
        </w:rPr>
        <w:t>s</w:t>
      </w:r>
      <w:r w:rsidRPr="004E1637">
        <w:rPr>
          <w:sz w:val="22"/>
          <w:szCs w:val="22"/>
        </w:rPr>
        <w:t xml:space="preserve">plantáciou kostnej drene po liečbe dasatinibom nie je úplne zhodnotený. </w:t>
      </w:r>
    </w:p>
    <w:p w14:paraId="20398EFD" w14:textId="6589C8EC" w:rsidR="00BE76D5" w:rsidRPr="004E1637" w:rsidRDefault="00BE76D5">
      <w:pPr>
        <w:pStyle w:val="CM2"/>
        <w:rPr>
          <w:sz w:val="22"/>
          <w:szCs w:val="22"/>
        </w:rPr>
      </w:pPr>
      <w:r w:rsidRPr="004E1637">
        <w:rPr>
          <w:i/>
          <w:iCs/>
          <w:sz w:val="22"/>
          <w:szCs w:val="22"/>
          <w:u w:val="single"/>
        </w:rPr>
        <w:t xml:space="preserve">Klinické štúdie fázy III u pacientov s Ph+ ALL, ktorí boli rezistentní alebo </w:t>
      </w:r>
      <w:r w:rsidR="00623577">
        <w:rPr>
          <w:i/>
          <w:iCs/>
          <w:sz w:val="22"/>
          <w:szCs w:val="22"/>
          <w:u w:val="single"/>
        </w:rPr>
        <w:t>in</w:t>
      </w:r>
      <w:r w:rsidRPr="004E1637">
        <w:rPr>
          <w:i/>
          <w:iCs/>
          <w:sz w:val="22"/>
          <w:szCs w:val="22"/>
          <w:u w:val="single"/>
        </w:rPr>
        <w:t>toler</w:t>
      </w:r>
      <w:r w:rsidR="00623577">
        <w:rPr>
          <w:i/>
          <w:iCs/>
          <w:sz w:val="22"/>
          <w:szCs w:val="22"/>
          <w:u w:val="single"/>
        </w:rPr>
        <w:t>antní na</w:t>
      </w:r>
      <w:r w:rsidRPr="004E1637">
        <w:rPr>
          <w:i/>
          <w:iCs/>
          <w:sz w:val="22"/>
          <w:szCs w:val="22"/>
          <w:u w:val="single"/>
        </w:rPr>
        <w:t xml:space="preserve"> imatinib</w:t>
      </w:r>
      <w:r w:rsidRPr="00C11B8A">
        <w:rPr>
          <w:i/>
          <w:iCs/>
          <w:sz w:val="22"/>
          <w:szCs w:val="22"/>
        </w:rPr>
        <w:t xml:space="preserve"> </w:t>
      </w:r>
    </w:p>
    <w:p w14:paraId="5B2F4DD6" w14:textId="71EDEDCF" w:rsidR="00060B0C" w:rsidRPr="004E1637" w:rsidRDefault="003E4859" w:rsidP="00060B0C">
      <w:pPr>
        <w:pStyle w:val="CM14"/>
        <w:ind w:right="367"/>
        <w:rPr>
          <w:sz w:val="22"/>
          <w:szCs w:val="22"/>
        </w:rPr>
      </w:pPr>
      <w:r>
        <w:rPr>
          <w:sz w:val="22"/>
          <w:szCs w:val="22"/>
        </w:rPr>
        <w:t>Dve r</w:t>
      </w:r>
      <w:r w:rsidR="00BE76D5" w:rsidRPr="004E1637">
        <w:rPr>
          <w:sz w:val="22"/>
          <w:szCs w:val="22"/>
        </w:rPr>
        <w:t xml:space="preserve">andomizované, otvorené štúdie sa vykonali na zhodnotenie účinnosti dasatinibu podávaného jedenkrát denne v porovnaní s dasatinibom podávaným dvakrát denne. Výsledky uvedené nižšie sú založené na minimálne 2-ročnom a 7-ročnom následnom sledovaní po začatí liečby dasatinibom. </w:t>
      </w:r>
    </w:p>
    <w:p w14:paraId="57177DA1" w14:textId="14C02F85" w:rsidR="009E38FB" w:rsidRDefault="009E38FB" w:rsidP="009E38FB">
      <w:pPr>
        <w:spacing w:after="0" w:line="240" w:lineRule="auto"/>
        <w:rPr>
          <w:rFonts w:ascii="Times New Roman" w:hAnsi="Times New Roman"/>
          <w:b/>
        </w:rPr>
      </w:pPr>
    </w:p>
    <w:p w14:paraId="2BEBC01C" w14:textId="5ACA616C" w:rsidR="00440644" w:rsidRPr="00440644" w:rsidRDefault="00440644" w:rsidP="009E38FB">
      <w:pPr>
        <w:spacing w:after="0" w:line="240" w:lineRule="auto"/>
        <w:rPr>
          <w:rFonts w:ascii="Times New Roman" w:hAnsi="Times New Roman"/>
          <w:bCs/>
          <w:i/>
          <w:iCs/>
        </w:rPr>
      </w:pPr>
      <w:r>
        <w:rPr>
          <w:rFonts w:ascii="Times New Roman" w:hAnsi="Times New Roman"/>
          <w:bCs/>
          <w:i/>
          <w:iCs/>
        </w:rPr>
        <w:t>Štúdia</w:t>
      </w:r>
    </w:p>
    <w:p w14:paraId="665D5206" w14:textId="210856B6" w:rsidR="00BE76D5" w:rsidRPr="004E1637" w:rsidRDefault="00BE76D5">
      <w:pPr>
        <w:pStyle w:val="CM100"/>
        <w:spacing w:after="237" w:line="238" w:lineRule="atLeast"/>
        <w:rPr>
          <w:sz w:val="22"/>
          <w:szCs w:val="22"/>
        </w:rPr>
      </w:pPr>
      <w:r w:rsidRPr="004E1637">
        <w:rPr>
          <w:sz w:val="22"/>
          <w:szCs w:val="22"/>
        </w:rPr>
        <w:t>V štúdii s Ph+ ALL</w:t>
      </w:r>
      <w:r w:rsidR="00845877">
        <w:rPr>
          <w:sz w:val="22"/>
          <w:szCs w:val="22"/>
        </w:rPr>
        <w:t xml:space="preserve"> </w:t>
      </w:r>
      <w:r w:rsidRPr="004E1637">
        <w:rPr>
          <w:sz w:val="22"/>
          <w:szCs w:val="22"/>
        </w:rPr>
        <w:t xml:space="preserve">bola MaHR primárnym </w:t>
      </w:r>
      <w:r w:rsidR="00CF1877">
        <w:rPr>
          <w:sz w:val="22"/>
          <w:szCs w:val="22"/>
        </w:rPr>
        <w:t>cieľovým</w:t>
      </w:r>
      <w:r w:rsidR="00CF1877" w:rsidRPr="004E1637">
        <w:rPr>
          <w:sz w:val="22"/>
          <w:szCs w:val="22"/>
        </w:rPr>
        <w:t xml:space="preserve"> </w:t>
      </w:r>
      <w:r w:rsidRPr="004E1637">
        <w:rPr>
          <w:sz w:val="22"/>
          <w:szCs w:val="22"/>
        </w:rPr>
        <w:t>ukazovateľom. Z</w:t>
      </w:r>
      <w:r w:rsidR="00701EC4">
        <w:rPr>
          <w:sz w:val="22"/>
          <w:szCs w:val="22"/>
        </w:rPr>
        <w:t> </w:t>
      </w:r>
      <w:r w:rsidRPr="004E1637">
        <w:rPr>
          <w:sz w:val="22"/>
          <w:szCs w:val="22"/>
        </w:rPr>
        <w:t>celkov</w:t>
      </w:r>
      <w:r w:rsidR="00701EC4">
        <w:rPr>
          <w:sz w:val="22"/>
          <w:szCs w:val="22"/>
        </w:rPr>
        <w:t>ého počtu</w:t>
      </w:r>
      <w:r w:rsidRPr="004E1637">
        <w:rPr>
          <w:sz w:val="22"/>
          <w:szCs w:val="22"/>
        </w:rPr>
        <w:t xml:space="preserve"> 611 pacientov, boli pacienti </w:t>
      </w:r>
      <w:r w:rsidR="00701EC4">
        <w:rPr>
          <w:sz w:val="22"/>
          <w:szCs w:val="22"/>
        </w:rPr>
        <w:t>randomizovaní do</w:t>
      </w:r>
      <w:r w:rsidRPr="004E1637">
        <w:rPr>
          <w:sz w:val="22"/>
          <w:szCs w:val="22"/>
        </w:rPr>
        <w:t xml:space="preserve"> skup</w:t>
      </w:r>
      <w:r w:rsidR="00701EC4">
        <w:rPr>
          <w:sz w:val="22"/>
          <w:szCs w:val="22"/>
        </w:rPr>
        <w:t>ín</w:t>
      </w:r>
      <w:r w:rsidRPr="004E1637">
        <w:rPr>
          <w:sz w:val="22"/>
          <w:szCs w:val="22"/>
        </w:rPr>
        <w:t xml:space="preserve"> </w:t>
      </w:r>
      <w:r w:rsidR="00701EC4">
        <w:rPr>
          <w:sz w:val="22"/>
          <w:szCs w:val="22"/>
        </w:rPr>
        <w:t xml:space="preserve">s podávaním </w:t>
      </w:r>
      <w:r w:rsidRPr="004E1637">
        <w:rPr>
          <w:sz w:val="22"/>
          <w:szCs w:val="22"/>
        </w:rPr>
        <w:t>dasatinib</w:t>
      </w:r>
      <w:r w:rsidR="00701EC4">
        <w:rPr>
          <w:sz w:val="22"/>
          <w:szCs w:val="22"/>
        </w:rPr>
        <w:t>u</w:t>
      </w:r>
      <w:r w:rsidRPr="004E1637">
        <w:rPr>
          <w:sz w:val="22"/>
          <w:szCs w:val="22"/>
        </w:rPr>
        <w:t xml:space="preserve"> buď v dávke 140 mg jedenkrát denne alebo 70 mg dvakrát denne. Medián trvania liečby bol priemerne 6 mesiacov (rozpätie 0,03 – 31 mesiacov). </w:t>
      </w:r>
    </w:p>
    <w:p w14:paraId="2520AAB0" w14:textId="57F33BDD" w:rsidR="00FF349D" w:rsidRPr="004E1637" w:rsidRDefault="00BE76D5">
      <w:pPr>
        <w:pStyle w:val="CM2"/>
        <w:rPr>
          <w:sz w:val="22"/>
          <w:szCs w:val="22"/>
        </w:rPr>
      </w:pPr>
      <w:r w:rsidRPr="004E1637">
        <w:rPr>
          <w:sz w:val="22"/>
          <w:szCs w:val="22"/>
        </w:rPr>
        <w:t xml:space="preserve">Dávkovacia schéma jedenkrát denne poukázala porovnateľnú účinnosť (nie horšiu) s dávkovacou schémou dvakrát denne primárneho </w:t>
      </w:r>
      <w:r w:rsidR="00CF1877">
        <w:rPr>
          <w:sz w:val="22"/>
          <w:szCs w:val="22"/>
        </w:rPr>
        <w:t>cieľového</w:t>
      </w:r>
      <w:r w:rsidR="00CF1877" w:rsidRPr="004E1637">
        <w:rPr>
          <w:sz w:val="22"/>
          <w:szCs w:val="22"/>
        </w:rPr>
        <w:t xml:space="preserve"> </w:t>
      </w:r>
      <w:r w:rsidRPr="004E1637">
        <w:rPr>
          <w:sz w:val="22"/>
          <w:szCs w:val="22"/>
        </w:rPr>
        <w:t xml:space="preserve">ukazovateľa účinnosti (rozdiel v MaHR 0,8 %, 95 % interval spoľahlivosti [-7,1 % – 8,7 %]); dávkovacia schéma 140 mg jedenkrát denne však potvrdila zlepšenie bezpečnosti a znášanlivosti. </w:t>
      </w:r>
    </w:p>
    <w:p w14:paraId="403474AA" w14:textId="77777777" w:rsidR="006608FF" w:rsidRDefault="006608FF">
      <w:pPr>
        <w:pStyle w:val="CM2"/>
        <w:rPr>
          <w:sz w:val="22"/>
          <w:szCs w:val="22"/>
        </w:rPr>
      </w:pPr>
    </w:p>
    <w:p w14:paraId="7140FB19" w14:textId="0349F800" w:rsidR="00BE76D5" w:rsidRPr="004E1637" w:rsidRDefault="00BE76D5">
      <w:pPr>
        <w:pStyle w:val="CM2"/>
        <w:rPr>
          <w:sz w:val="22"/>
          <w:szCs w:val="22"/>
        </w:rPr>
      </w:pPr>
      <w:r w:rsidRPr="004E1637">
        <w:rPr>
          <w:sz w:val="22"/>
          <w:szCs w:val="22"/>
        </w:rPr>
        <w:t xml:space="preserve">Pomery odpovede sú uvedené v tabuľke </w:t>
      </w:r>
      <w:r w:rsidR="00185FD5">
        <w:rPr>
          <w:sz w:val="22"/>
          <w:szCs w:val="22"/>
        </w:rPr>
        <w:t>7</w:t>
      </w:r>
      <w:r w:rsidRPr="004E1637">
        <w:rPr>
          <w:sz w:val="22"/>
          <w:szCs w:val="22"/>
        </w:rPr>
        <w:t xml:space="preserve">. </w:t>
      </w:r>
    </w:p>
    <w:p w14:paraId="64EDF420" w14:textId="77777777" w:rsidR="00FF349D" w:rsidRPr="004E1637" w:rsidRDefault="00FF349D" w:rsidP="00FF349D">
      <w:pPr>
        <w:pStyle w:val="Default"/>
        <w:rPr>
          <w:b/>
          <w:sz w:val="22"/>
          <w:szCs w:val="22"/>
        </w:rPr>
      </w:pPr>
    </w:p>
    <w:p w14:paraId="17BB6E2F" w14:textId="73EBFEFC" w:rsidR="00FF349D" w:rsidRPr="004E1637" w:rsidRDefault="00FF349D" w:rsidP="00FF349D">
      <w:pPr>
        <w:pStyle w:val="Default"/>
        <w:rPr>
          <w:b/>
          <w:sz w:val="22"/>
          <w:szCs w:val="22"/>
        </w:rPr>
      </w:pPr>
      <w:r w:rsidRPr="004E1637">
        <w:rPr>
          <w:b/>
          <w:sz w:val="22"/>
          <w:szCs w:val="22"/>
        </w:rPr>
        <w:t xml:space="preserve">Tabuľka </w:t>
      </w:r>
      <w:r w:rsidR="00185FD5">
        <w:rPr>
          <w:b/>
          <w:sz w:val="22"/>
          <w:szCs w:val="22"/>
        </w:rPr>
        <w:t>7</w:t>
      </w:r>
      <w:r w:rsidRPr="004E1637">
        <w:rPr>
          <w:b/>
          <w:sz w:val="22"/>
          <w:szCs w:val="22"/>
        </w:rPr>
        <w:t>: Účinnosť dasatinibu v</w:t>
      </w:r>
      <w:r w:rsidR="0038258D">
        <w:rPr>
          <w:b/>
          <w:sz w:val="22"/>
          <w:szCs w:val="22"/>
        </w:rPr>
        <w:t> </w:t>
      </w:r>
      <w:r w:rsidRPr="004E1637">
        <w:rPr>
          <w:b/>
          <w:sz w:val="22"/>
          <w:szCs w:val="22"/>
        </w:rPr>
        <w:t>štúdii</w:t>
      </w:r>
      <w:r w:rsidR="0038258D">
        <w:rPr>
          <w:b/>
          <w:sz w:val="22"/>
          <w:szCs w:val="22"/>
        </w:rPr>
        <w:t xml:space="preserve"> optimalizácie dávky</w:t>
      </w:r>
      <w:r w:rsidRPr="004E1637">
        <w:rPr>
          <w:b/>
          <w:sz w:val="22"/>
          <w:szCs w:val="22"/>
        </w:rPr>
        <w:t xml:space="preserve"> fázy III: </w:t>
      </w:r>
      <w:r w:rsidR="003D12AF">
        <w:rPr>
          <w:b/>
          <w:sz w:val="22"/>
          <w:szCs w:val="22"/>
        </w:rPr>
        <w:t>P</w:t>
      </w:r>
      <w:r w:rsidRPr="004E1637">
        <w:rPr>
          <w:b/>
          <w:sz w:val="22"/>
          <w:szCs w:val="22"/>
        </w:rPr>
        <w:t>h+ ALL (2-ročné výsledky)</w:t>
      </w:r>
      <w:r w:rsidRPr="004E1637">
        <w:rPr>
          <w:b/>
          <w:sz w:val="22"/>
          <w:szCs w:val="22"/>
          <w:vertAlign w:val="superscript"/>
        </w:rPr>
        <w:t>a</w:t>
      </w:r>
    </w:p>
    <w:p w14:paraId="0C7EAC89" w14:textId="77777777" w:rsidR="00FF349D" w:rsidRPr="004E1637" w:rsidRDefault="00FF349D" w:rsidP="00FF349D">
      <w:pPr>
        <w:pStyle w:val="Default"/>
        <w:rPr>
          <w:b/>
          <w:sz w:val="22"/>
          <w:szCs w:val="22"/>
        </w:rPr>
      </w:pPr>
    </w:p>
    <w:tbl>
      <w:tblPr>
        <w:tblW w:w="6946" w:type="dxa"/>
        <w:tblLayout w:type="fixed"/>
        <w:tblCellMar>
          <w:left w:w="0" w:type="dxa"/>
          <w:right w:w="0" w:type="dxa"/>
        </w:tblCellMar>
        <w:tblLook w:val="01E0" w:firstRow="1" w:lastRow="1" w:firstColumn="1" w:lastColumn="1" w:noHBand="0" w:noVBand="0"/>
      </w:tblPr>
      <w:tblGrid>
        <w:gridCol w:w="1701"/>
        <w:gridCol w:w="5245"/>
      </w:tblGrid>
      <w:tr w:rsidR="003D12AF" w:rsidRPr="004E1637" w14:paraId="6C0EC28B" w14:textId="77777777" w:rsidTr="003D12AF">
        <w:trPr>
          <w:trHeight w:val="521"/>
        </w:trPr>
        <w:tc>
          <w:tcPr>
            <w:tcW w:w="1701" w:type="dxa"/>
            <w:tcBorders>
              <w:top w:val="single" w:sz="4" w:space="0" w:color="000000"/>
              <w:left w:val="nil"/>
              <w:bottom w:val="single" w:sz="4" w:space="0" w:color="000000"/>
              <w:right w:val="nil"/>
            </w:tcBorders>
            <w:vAlign w:val="center"/>
          </w:tcPr>
          <w:p w14:paraId="72ADC4BB" w14:textId="77777777" w:rsidR="003D12AF" w:rsidRPr="004E1637" w:rsidRDefault="003D12AF" w:rsidP="00FF349D">
            <w:pPr>
              <w:spacing w:after="0" w:line="240" w:lineRule="auto"/>
              <w:jc w:val="center"/>
              <w:rPr>
                <w:rFonts w:ascii="Times New Roman" w:hAnsi="Times New Roman"/>
              </w:rPr>
            </w:pPr>
          </w:p>
        </w:tc>
        <w:tc>
          <w:tcPr>
            <w:tcW w:w="5245" w:type="dxa"/>
            <w:tcBorders>
              <w:top w:val="single" w:sz="4" w:space="0" w:color="000000"/>
              <w:left w:val="nil"/>
              <w:bottom w:val="single" w:sz="4" w:space="0" w:color="000000"/>
              <w:right w:val="nil"/>
            </w:tcBorders>
            <w:vAlign w:val="center"/>
          </w:tcPr>
          <w:p w14:paraId="151289E6" w14:textId="77777777" w:rsidR="003D12AF" w:rsidRPr="004E1637" w:rsidRDefault="003D12AF" w:rsidP="00FF349D">
            <w:pPr>
              <w:spacing w:after="0" w:line="240" w:lineRule="auto"/>
              <w:jc w:val="center"/>
              <w:rPr>
                <w:rFonts w:ascii="Times New Roman" w:hAnsi="Times New Roman"/>
                <w:b/>
                <w:bCs/>
              </w:rPr>
            </w:pPr>
            <w:r w:rsidRPr="004E1637">
              <w:rPr>
                <w:rFonts w:ascii="Times New Roman" w:hAnsi="Times New Roman"/>
                <w:b/>
                <w:bCs/>
              </w:rPr>
              <w:t xml:space="preserve">Ph+ALL </w:t>
            </w:r>
          </w:p>
          <w:p w14:paraId="0340E7F1" w14:textId="77777777" w:rsidR="003D12AF" w:rsidRPr="004E1637" w:rsidRDefault="003D12AF" w:rsidP="00FF349D">
            <w:pPr>
              <w:spacing w:after="0" w:line="240" w:lineRule="auto"/>
              <w:jc w:val="center"/>
              <w:rPr>
                <w:rFonts w:ascii="Times New Roman" w:hAnsi="Times New Roman"/>
              </w:rPr>
            </w:pPr>
            <w:r w:rsidRPr="004E1637">
              <w:rPr>
                <w:rFonts w:ascii="Times New Roman" w:hAnsi="Times New Roman"/>
                <w:b/>
                <w:bCs/>
              </w:rPr>
              <w:t>(n=</w:t>
            </w:r>
            <w:r w:rsidRPr="004E1637">
              <w:rPr>
                <w:rFonts w:ascii="Times New Roman" w:hAnsi="Times New Roman"/>
                <w:b/>
                <w:bCs/>
                <w:spacing w:val="-1"/>
              </w:rPr>
              <w:t xml:space="preserve"> 4</w:t>
            </w:r>
            <w:r w:rsidRPr="004E1637">
              <w:rPr>
                <w:rFonts w:ascii="Times New Roman" w:hAnsi="Times New Roman"/>
                <w:b/>
                <w:bCs/>
                <w:spacing w:val="1"/>
              </w:rPr>
              <w:t>0</w:t>
            </w:r>
            <w:r w:rsidRPr="004E1637">
              <w:rPr>
                <w:rFonts w:ascii="Times New Roman" w:hAnsi="Times New Roman"/>
                <w:b/>
                <w:bCs/>
              </w:rPr>
              <w:t>)</w:t>
            </w:r>
          </w:p>
        </w:tc>
      </w:tr>
      <w:tr w:rsidR="003D12AF" w:rsidRPr="004E1637" w14:paraId="077C8D94" w14:textId="77777777" w:rsidTr="003D12AF">
        <w:trPr>
          <w:trHeight w:val="633"/>
        </w:trPr>
        <w:tc>
          <w:tcPr>
            <w:tcW w:w="1701" w:type="dxa"/>
            <w:tcBorders>
              <w:top w:val="single" w:sz="4" w:space="0" w:color="000000"/>
              <w:left w:val="nil"/>
              <w:bottom w:val="nil"/>
              <w:right w:val="nil"/>
            </w:tcBorders>
          </w:tcPr>
          <w:p w14:paraId="0D4A3EF8" w14:textId="77777777" w:rsidR="003D12AF" w:rsidRPr="004E1637" w:rsidRDefault="003D12AF" w:rsidP="00FF349D">
            <w:pPr>
              <w:spacing w:after="0" w:line="240" w:lineRule="auto"/>
              <w:rPr>
                <w:rFonts w:ascii="Times New Roman" w:hAnsi="Times New Roman"/>
              </w:rPr>
            </w:pPr>
            <w:r w:rsidRPr="004E1637">
              <w:rPr>
                <w:rFonts w:ascii="Times New Roman" w:hAnsi="Times New Roman"/>
                <w:b/>
                <w:bCs/>
              </w:rPr>
              <w:t>MaHR</w:t>
            </w:r>
            <w:r w:rsidRPr="004E1637">
              <w:rPr>
                <w:rFonts w:ascii="Times New Roman" w:hAnsi="Times New Roman"/>
                <w:position w:val="9"/>
                <w:vertAlign w:val="superscript"/>
              </w:rPr>
              <w:t>b</w:t>
            </w:r>
          </w:p>
          <w:p w14:paraId="745E6CDC"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(95 %</w:t>
            </w:r>
            <w:r w:rsidRPr="004E1637">
              <w:rPr>
                <w:rFonts w:ascii="Times New Roman" w:hAnsi="Times New Roman"/>
                <w:spacing w:val="-5"/>
              </w:rPr>
              <w:t xml:space="preserve"> </w:t>
            </w:r>
            <w:r w:rsidRPr="004E1637">
              <w:rPr>
                <w:rFonts w:ascii="Times New Roman" w:hAnsi="Times New Roman"/>
              </w:rPr>
              <w:t>CI)</w:t>
            </w:r>
          </w:p>
        </w:tc>
        <w:tc>
          <w:tcPr>
            <w:tcW w:w="5245" w:type="dxa"/>
            <w:tcBorders>
              <w:top w:val="single" w:sz="4" w:space="0" w:color="000000"/>
              <w:left w:val="nil"/>
              <w:bottom w:val="nil"/>
              <w:right w:val="nil"/>
            </w:tcBorders>
          </w:tcPr>
          <w:p w14:paraId="24654F11" w14:textId="77777777" w:rsidR="003D12AF" w:rsidRPr="004E1637" w:rsidRDefault="003D12AF" w:rsidP="00FF349D">
            <w:pPr>
              <w:spacing w:after="0" w:line="240" w:lineRule="auto"/>
              <w:jc w:val="center"/>
              <w:rPr>
                <w:rFonts w:ascii="Times New Roman" w:hAnsi="Times New Roman"/>
              </w:rPr>
            </w:pPr>
            <w:r w:rsidRPr="004E1637">
              <w:rPr>
                <w:rFonts w:ascii="Times New Roman" w:hAnsi="Times New Roman"/>
                <w:spacing w:val="1"/>
              </w:rPr>
              <w:t>3</w:t>
            </w:r>
            <w:r w:rsidRPr="004E1637">
              <w:rPr>
                <w:rFonts w:ascii="Times New Roman" w:hAnsi="Times New Roman"/>
                <w:spacing w:val="-1"/>
              </w:rPr>
              <w:t xml:space="preserve">8 </w:t>
            </w:r>
            <w:r w:rsidRPr="004E1637">
              <w:rPr>
                <w:rFonts w:ascii="Times New Roman" w:hAnsi="Times New Roman"/>
              </w:rPr>
              <w:t xml:space="preserve">% </w:t>
            </w:r>
          </w:p>
          <w:p w14:paraId="5D971139" w14:textId="77777777" w:rsidR="003D12AF" w:rsidRPr="004E1637" w:rsidRDefault="003D12AF"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2</w:t>
            </w:r>
            <w:r w:rsidRPr="004E1637">
              <w:rPr>
                <w:rFonts w:ascii="Times New Roman" w:hAnsi="Times New Roman"/>
                <w:spacing w:val="1"/>
              </w:rPr>
              <w:t>3</w:t>
            </w:r>
            <w:r w:rsidRPr="004E1637">
              <w:rPr>
                <w:rFonts w:ascii="Times New Roman" w:hAnsi="Times New Roman"/>
                <w:spacing w:val="-1"/>
              </w:rPr>
              <w:t>-5</w:t>
            </w:r>
            <w:r w:rsidRPr="004E1637">
              <w:rPr>
                <w:rFonts w:ascii="Times New Roman" w:hAnsi="Times New Roman"/>
                <w:spacing w:val="1"/>
              </w:rPr>
              <w:t>4</w:t>
            </w:r>
            <w:r w:rsidRPr="004E1637">
              <w:rPr>
                <w:rFonts w:ascii="Times New Roman" w:hAnsi="Times New Roman"/>
              </w:rPr>
              <w:t>)</w:t>
            </w:r>
          </w:p>
        </w:tc>
      </w:tr>
      <w:tr w:rsidR="003D12AF" w:rsidRPr="004E1637" w14:paraId="4BA96AC5" w14:textId="77777777" w:rsidTr="003D12AF">
        <w:trPr>
          <w:trHeight w:val="699"/>
        </w:trPr>
        <w:tc>
          <w:tcPr>
            <w:tcW w:w="1701" w:type="dxa"/>
            <w:tcBorders>
              <w:top w:val="nil"/>
              <w:left w:val="nil"/>
              <w:bottom w:val="nil"/>
              <w:right w:val="nil"/>
            </w:tcBorders>
          </w:tcPr>
          <w:p w14:paraId="50502063"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CHR</w:t>
            </w:r>
            <w:r w:rsidRPr="004E1637">
              <w:rPr>
                <w:rFonts w:ascii="Times New Roman" w:hAnsi="Times New Roman"/>
                <w:vertAlign w:val="superscript"/>
              </w:rPr>
              <w:t>b</w:t>
            </w:r>
          </w:p>
          <w:p w14:paraId="2CF74398"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(95 %</w:t>
            </w:r>
            <w:r w:rsidRPr="004E1637">
              <w:rPr>
                <w:rFonts w:ascii="Times New Roman" w:hAnsi="Times New Roman"/>
                <w:spacing w:val="-5"/>
              </w:rPr>
              <w:t xml:space="preserve"> </w:t>
            </w:r>
            <w:r w:rsidRPr="004E1637">
              <w:rPr>
                <w:rFonts w:ascii="Times New Roman" w:hAnsi="Times New Roman"/>
                <w:w w:val="99"/>
              </w:rPr>
              <w:t>CI)</w:t>
            </w:r>
          </w:p>
        </w:tc>
        <w:tc>
          <w:tcPr>
            <w:tcW w:w="5245" w:type="dxa"/>
            <w:tcBorders>
              <w:top w:val="nil"/>
              <w:left w:val="nil"/>
              <w:bottom w:val="nil"/>
              <w:right w:val="nil"/>
            </w:tcBorders>
          </w:tcPr>
          <w:p w14:paraId="75DF30D6" w14:textId="77777777" w:rsidR="003D12AF" w:rsidRPr="004E1637" w:rsidRDefault="003D12AF" w:rsidP="00FF349D">
            <w:pPr>
              <w:tabs>
                <w:tab w:val="left" w:pos="-796"/>
              </w:tabs>
              <w:spacing w:after="0" w:line="240" w:lineRule="auto"/>
              <w:jc w:val="center"/>
              <w:rPr>
                <w:rFonts w:ascii="Times New Roman" w:hAnsi="Times New Roman"/>
              </w:rPr>
            </w:pPr>
            <w:r w:rsidRPr="004E1637">
              <w:rPr>
                <w:rFonts w:ascii="Times New Roman" w:hAnsi="Times New Roman"/>
                <w:spacing w:val="1"/>
              </w:rPr>
              <w:t>3</w:t>
            </w:r>
            <w:r w:rsidRPr="004E1637">
              <w:rPr>
                <w:rFonts w:ascii="Times New Roman" w:hAnsi="Times New Roman"/>
                <w:spacing w:val="-1"/>
              </w:rPr>
              <w:t xml:space="preserve">3 </w:t>
            </w:r>
            <w:r w:rsidRPr="004E1637">
              <w:rPr>
                <w:rFonts w:ascii="Times New Roman" w:hAnsi="Times New Roman"/>
              </w:rPr>
              <w:t xml:space="preserve">% </w:t>
            </w:r>
          </w:p>
          <w:p w14:paraId="0E6173F0" w14:textId="77777777" w:rsidR="003D12AF" w:rsidRPr="004E1637" w:rsidRDefault="003D12AF" w:rsidP="00FF349D">
            <w:pPr>
              <w:tabs>
                <w:tab w:val="left" w:pos="-796"/>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1</w:t>
            </w:r>
            <w:r w:rsidRPr="004E1637">
              <w:rPr>
                <w:rFonts w:ascii="Times New Roman" w:hAnsi="Times New Roman"/>
                <w:spacing w:val="1"/>
              </w:rPr>
              <w:t>9</w:t>
            </w:r>
            <w:r w:rsidRPr="004E1637">
              <w:rPr>
                <w:rFonts w:ascii="Times New Roman" w:hAnsi="Times New Roman"/>
                <w:spacing w:val="-1"/>
              </w:rPr>
              <w:t>-4</w:t>
            </w:r>
            <w:r w:rsidRPr="004E1637">
              <w:rPr>
                <w:rFonts w:ascii="Times New Roman" w:hAnsi="Times New Roman"/>
                <w:spacing w:val="1"/>
              </w:rPr>
              <w:t>9</w:t>
            </w:r>
            <w:r w:rsidRPr="004E1637">
              <w:rPr>
                <w:rFonts w:ascii="Times New Roman" w:hAnsi="Times New Roman"/>
              </w:rPr>
              <w:t>)</w:t>
            </w:r>
          </w:p>
        </w:tc>
      </w:tr>
      <w:tr w:rsidR="003D12AF" w:rsidRPr="004E1637" w14:paraId="3E276FA0" w14:textId="77777777" w:rsidTr="003D12AF">
        <w:trPr>
          <w:trHeight w:val="671"/>
        </w:trPr>
        <w:tc>
          <w:tcPr>
            <w:tcW w:w="1701" w:type="dxa"/>
            <w:tcBorders>
              <w:top w:val="nil"/>
              <w:left w:val="nil"/>
              <w:bottom w:val="single" w:sz="4" w:space="0" w:color="000000"/>
              <w:right w:val="nil"/>
            </w:tcBorders>
          </w:tcPr>
          <w:p w14:paraId="3D71E454"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NEL</w:t>
            </w:r>
            <w:r w:rsidRPr="004E1637">
              <w:rPr>
                <w:rFonts w:ascii="Times New Roman" w:hAnsi="Times New Roman"/>
                <w:position w:val="9"/>
                <w:vertAlign w:val="superscript"/>
              </w:rPr>
              <w:t>b</w:t>
            </w:r>
          </w:p>
          <w:p w14:paraId="55513F69"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(95 %</w:t>
            </w:r>
            <w:r w:rsidRPr="004E1637">
              <w:rPr>
                <w:rFonts w:ascii="Times New Roman" w:hAnsi="Times New Roman"/>
                <w:spacing w:val="-5"/>
              </w:rPr>
              <w:t xml:space="preserve"> </w:t>
            </w:r>
            <w:r w:rsidRPr="004E1637">
              <w:rPr>
                <w:rFonts w:ascii="Times New Roman" w:hAnsi="Times New Roman"/>
              </w:rPr>
              <w:t>CI)</w:t>
            </w:r>
          </w:p>
        </w:tc>
        <w:tc>
          <w:tcPr>
            <w:tcW w:w="5245" w:type="dxa"/>
            <w:tcBorders>
              <w:top w:val="nil"/>
              <w:left w:val="nil"/>
              <w:bottom w:val="single" w:sz="4" w:space="0" w:color="000000"/>
              <w:right w:val="nil"/>
            </w:tcBorders>
          </w:tcPr>
          <w:p w14:paraId="54284905" w14:textId="77777777" w:rsidR="003D12AF" w:rsidRPr="004E1637" w:rsidRDefault="003D12AF" w:rsidP="00FF349D">
            <w:pPr>
              <w:spacing w:after="0" w:line="240" w:lineRule="auto"/>
              <w:jc w:val="center"/>
              <w:rPr>
                <w:rFonts w:ascii="Times New Roman" w:hAnsi="Times New Roman"/>
                <w:spacing w:val="1"/>
              </w:rPr>
            </w:pPr>
            <w:r w:rsidRPr="004E1637">
              <w:rPr>
                <w:rFonts w:ascii="Times New Roman" w:hAnsi="Times New Roman"/>
                <w:spacing w:val="1"/>
              </w:rPr>
              <w:t xml:space="preserve">5 % </w:t>
            </w:r>
          </w:p>
          <w:p w14:paraId="28862ADF" w14:textId="77777777" w:rsidR="003D12AF" w:rsidRPr="004E1637" w:rsidRDefault="003D12AF" w:rsidP="00FF349D">
            <w:pPr>
              <w:spacing w:after="0" w:line="240" w:lineRule="auto"/>
              <w:jc w:val="center"/>
              <w:rPr>
                <w:rFonts w:ascii="Times New Roman" w:hAnsi="Times New Roman"/>
              </w:rPr>
            </w:pPr>
            <w:r w:rsidRPr="004E1637">
              <w:rPr>
                <w:rFonts w:ascii="Times New Roman" w:hAnsi="Times New Roman"/>
              </w:rPr>
              <w:t>(</w:t>
            </w:r>
            <w:r w:rsidRPr="004E1637">
              <w:rPr>
                <w:rFonts w:ascii="Times New Roman" w:hAnsi="Times New Roman"/>
                <w:spacing w:val="-1"/>
              </w:rPr>
              <w:t>1</w:t>
            </w:r>
            <w:r w:rsidRPr="004E1637">
              <w:rPr>
                <w:rFonts w:ascii="Times New Roman" w:hAnsi="Times New Roman"/>
              </w:rPr>
              <w:t>-</w:t>
            </w:r>
            <w:r w:rsidRPr="004E1637">
              <w:rPr>
                <w:rFonts w:ascii="Times New Roman" w:hAnsi="Times New Roman"/>
                <w:spacing w:val="-1"/>
              </w:rPr>
              <w:t>17</w:t>
            </w:r>
            <w:r w:rsidRPr="004E1637">
              <w:rPr>
                <w:rFonts w:ascii="Times New Roman" w:hAnsi="Times New Roman"/>
              </w:rPr>
              <w:t>)</w:t>
            </w:r>
          </w:p>
        </w:tc>
      </w:tr>
      <w:tr w:rsidR="003D12AF" w:rsidRPr="004E1637" w14:paraId="1D0BE682" w14:textId="77777777" w:rsidTr="003D12AF">
        <w:trPr>
          <w:trHeight w:val="675"/>
        </w:trPr>
        <w:tc>
          <w:tcPr>
            <w:tcW w:w="1701" w:type="dxa"/>
            <w:tcBorders>
              <w:top w:val="single" w:sz="4" w:space="0" w:color="000000"/>
              <w:left w:val="nil"/>
              <w:bottom w:val="nil"/>
              <w:right w:val="nil"/>
            </w:tcBorders>
          </w:tcPr>
          <w:p w14:paraId="09F212F6" w14:textId="77777777" w:rsidR="003D12AF" w:rsidRPr="004E1637" w:rsidRDefault="003D12AF" w:rsidP="00FF349D">
            <w:pPr>
              <w:spacing w:after="0" w:line="240" w:lineRule="auto"/>
              <w:rPr>
                <w:rFonts w:ascii="Times New Roman" w:hAnsi="Times New Roman"/>
              </w:rPr>
            </w:pPr>
            <w:r w:rsidRPr="004E1637">
              <w:rPr>
                <w:rFonts w:ascii="Times New Roman" w:hAnsi="Times New Roman"/>
                <w:b/>
                <w:bCs/>
              </w:rPr>
              <w:t>MCyR</w:t>
            </w:r>
            <w:r w:rsidRPr="004E1637">
              <w:rPr>
                <w:rFonts w:ascii="Times New Roman" w:hAnsi="Times New Roman"/>
                <w:position w:val="9"/>
                <w:vertAlign w:val="superscript"/>
              </w:rPr>
              <w:t>c</w:t>
            </w:r>
          </w:p>
          <w:p w14:paraId="26CE25EF"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(95 %</w:t>
            </w:r>
            <w:r w:rsidRPr="004E1637">
              <w:rPr>
                <w:rFonts w:ascii="Times New Roman" w:hAnsi="Times New Roman"/>
                <w:spacing w:val="-5"/>
              </w:rPr>
              <w:t xml:space="preserve"> </w:t>
            </w:r>
            <w:r w:rsidRPr="004E1637">
              <w:rPr>
                <w:rFonts w:ascii="Times New Roman" w:hAnsi="Times New Roman"/>
              </w:rPr>
              <w:t>CI)</w:t>
            </w:r>
          </w:p>
        </w:tc>
        <w:tc>
          <w:tcPr>
            <w:tcW w:w="5245" w:type="dxa"/>
            <w:tcBorders>
              <w:top w:val="single" w:sz="4" w:space="0" w:color="000000"/>
              <w:left w:val="nil"/>
              <w:bottom w:val="nil"/>
              <w:right w:val="nil"/>
            </w:tcBorders>
          </w:tcPr>
          <w:p w14:paraId="0C3101BF" w14:textId="77777777" w:rsidR="003D12AF" w:rsidRPr="004E1637" w:rsidRDefault="003D12AF" w:rsidP="00FF349D">
            <w:pPr>
              <w:spacing w:after="0" w:line="240" w:lineRule="auto"/>
              <w:jc w:val="center"/>
              <w:rPr>
                <w:rFonts w:ascii="Times New Roman" w:hAnsi="Times New Roman"/>
              </w:rPr>
            </w:pPr>
            <w:r w:rsidRPr="004E1637">
              <w:rPr>
                <w:rFonts w:ascii="Times New Roman" w:hAnsi="Times New Roman"/>
                <w:spacing w:val="1"/>
              </w:rPr>
              <w:t>7</w:t>
            </w:r>
            <w:r w:rsidRPr="004E1637">
              <w:rPr>
                <w:rFonts w:ascii="Times New Roman" w:hAnsi="Times New Roman"/>
                <w:spacing w:val="-1"/>
              </w:rPr>
              <w:t xml:space="preserve">0 </w:t>
            </w:r>
            <w:r w:rsidRPr="004E1637">
              <w:rPr>
                <w:rFonts w:ascii="Times New Roman" w:hAnsi="Times New Roman"/>
              </w:rPr>
              <w:t xml:space="preserve">% </w:t>
            </w:r>
          </w:p>
          <w:p w14:paraId="4F1CC059" w14:textId="77777777" w:rsidR="003D12AF" w:rsidRPr="004E1637" w:rsidRDefault="003D12AF" w:rsidP="00FF349D">
            <w:pPr>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5</w:t>
            </w:r>
            <w:r w:rsidRPr="004E1637">
              <w:rPr>
                <w:rFonts w:ascii="Times New Roman" w:hAnsi="Times New Roman"/>
                <w:spacing w:val="1"/>
              </w:rPr>
              <w:t>4</w:t>
            </w:r>
            <w:r w:rsidRPr="004E1637">
              <w:rPr>
                <w:rFonts w:ascii="Times New Roman" w:hAnsi="Times New Roman"/>
                <w:spacing w:val="-1"/>
              </w:rPr>
              <w:t>-8</w:t>
            </w:r>
            <w:r w:rsidRPr="004E1637">
              <w:rPr>
                <w:rFonts w:ascii="Times New Roman" w:hAnsi="Times New Roman"/>
                <w:spacing w:val="1"/>
              </w:rPr>
              <w:t>3</w:t>
            </w:r>
            <w:r w:rsidRPr="004E1637">
              <w:rPr>
                <w:rFonts w:ascii="Times New Roman" w:hAnsi="Times New Roman"/>
              </w:rPr>
              <w:t>)</w:t>
            </w:r>
          </w:p>
        </w:tc>
      </w:tr>
      <w:tr w:rsidR="003D12AF" w:rsidRPr="004E1637" w14:paraId="65F3A846" w14:textId="77777777" w:rsidTr="003D12AF">
        <w:trPr>
          <w:trHeight w:val="628"/>
        </w:trPr>
        <w:tc>
          <w:tcPr>
            <w:tcW w:w="1701" w:type="dxa"/>
            <w:tcBorders>
              <w:top w:val="nil"/>
              <w:left w:val="nil"/>
              <w:bottom w:val="single" w:sz="4" w:space="0" w:color="000000"/>
              <w:right w:val="nil"/>
            </w:tcBorders>
          </w:tcPr>
          <w:p w14:paraId="6C96CA56"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CC</w:t>
            </w:r>
            <w:r w:rsidRPr="004E1637">
              <w:rPr>
                <w:rFonts w:ascii="Times New Roman" w:hAnsi="Times New Roman"/>
                <w:spacing w:val="2"/>
              </w:rPr>
              <w:t>y</w:t>
            </w:r>
            <w:r w:rsidRPr="004E1637">
              <w:rPr>
                <w:rFonts w:ascii="Times New Roman" w:hAnsi="Times New Roman"/>
              </w:rPr>
              <w:t>R</w:t>
            </w:r>
          </w:p>
          <w:p w14:paraId="6FDD3F86" w14:textId="77777777" w:rsidR="003D12AF" w:rsidRPr="004E1637" w:rsidRDefault="003D12AF" w:rsidP="00FF349D">
            <w:pPr>
              <w:spacing w:after="0" w:line="240" w:lineRule="auto"/>
              <w:rPr>
                <w:rFonts w:ascii="Times New Roman" w:hAnsi="Times New Roman"/>
              </w:rPr>
            </w:pPr>
            <w:r w:rsidRPr="004E1637">
              <w:rPr>
                <w:rFonts w:ascii="Times New Roman" w:hAnsi="Times New Roman"/>
              </w:rPr>
              <w:t>(95 %</w:t>
            </w:r>
            <w:r w:rsidRPr="004E1637">
              <w:rPr>
                <w:rFonts w:ascii="Times New Roman" w:hAnsi="Times New Roman"/>
                <w:spacing w:val="-5"/>
              </w:rPr>
              <w:t xml:space="preserve"> </w:t>
            </w:r>
            <w:r w:rsidRPr="004E1637">
              <w:rPr>
                <w:rFonts w:ascii="Times New Roman" w:hAnsi="Times New Roman"/>
              </w:rPr>
              <w:t>CI)</w:t>
            </w:r>
          </w:p>
        </w:tc>
        <w:tc>
          <w:tcPr>
            <w:tcW w:w="5245" w:type="dxa"/>
            <w:tcBorders>
              <w:top w:val="nil"/>
              <w:left w:val="nil"/>
              <w:bottom w:val="single" w:sz="4" w:space="0" w:color="000000"/>
              <w:right w:val="nil"/>
            </w:tcBorders>
          </w:tcPr>
          <w:p w14:paraId="575E3D80" w14:textId="77777777" w:rsidR="003D12AF" w:rsidRPr="004E1637" w:rsidRDefault="003D12AF" w:rsidP="00FF349D">
            <w:pPr>
              <w:tabs>
                <w:tab w:val="left" w:pos="-2234"/>
              </w:tabs>
              <w:spacing w:after="0" w:line="240" w:lineRule="auto"/>
              <w:jc w:val="center"/>
              <w:rPr>
                <w:rFonts w:ascii="Times New Roman" w:hAnsi="Times New Roman"/>
              </w:rPr>
            </w:pPr>
            <w:r w:rsidRPr="004E1637">
              <w:rPr>
                <w:rFonts w:ascii="Times New Roman" w:hAnsi="Times New Roman"/>
                <w:spacing w:val="1"/>
              </w:rPr>
              <w:t>5</w:t>
            </w:r>
            <w:r w:rsidRPr="004E1637">
              <w:rPr>
                <w:rFonts w:ascii="Times New Roman" w:hAnsi="Times New Roman"/>
                <w:spacing w:val="-1"/>
              </w:rPr>
              <w:t xml:space="preserve">0 </w:t>
            </w:r>
            <w:r w:rsidRPr="004E1637">
              <w:rPr>
                <w:rFonts w:ascii="Times New Roman" w:hAnsi="Times New Roman"/>
              </w:rPr>
              <w:t xml:space="preserve">% </w:t>
            </w:r>
          </w:p>
          <w:p w14:paraId="556A3157" w14:textId="77777777" w:rsidR="003D12AF" w:rsidRPr="004E1637" w:rsidRDefault="003D12AF" w:rsidP="00FF349D">
            <w:pPr>
              <w:tabs>
                <w:tab w:val="left" w:pos="-2234"/>
              </w:tabs>
              <w:spacing w:after="0" w:line="240" w:lineRule="auto"/>
              <w:jc w:val="center"/>
              <w:rPr>
                <w:rFonts w:ascii="Times New Roman" w:hAnsi="Times New Roman"/>
              </w:rPr>
            </w:pPr>
            <w:r w:rsidRPr="004E1637">
              <w:rPr>
                <w:rFonts w:ascii="Times New Roman" w:hAnsi="Times New Roman"/>
                <w:spacing w:val="1"/>
              </w:rPr>
              <w:t>(</w:t>
            </w:r>
            <w:r w:rsidRPr="004E1637">
              <w:rPr>
                <w:rFonts w:ascii="Times New Roman" w:hAnsi="Times New Roman"/>
                <w:spacing w:val="-1"/>
              </w:rPr>
              <w:t>3</w:t>
            </w:r>
            <w:r w:rsidRPr="004E1637">
              <w:rPr>
                <w:rFonts w:ascii="Times New Roman" w:hAnsi="Times New Roman"/>
                <w:spacing w:val="1"/>
              </w:rPr>
              <w:t>4</w:t>
            </w:r>
            <w:r w:rsidRPr="004E1637">
              <w:rPr>
                <w:rFonts w:ascii="Times New Roman" w:hAnsi="Times New Roman"/>
                <w:spacing w:val="-1"/>
              </w:rPr>
              <w:t>-6</w:t>
            </w:r>
            <w:r w:rsidRPr="004E1637">
              <w:rPr>
                <w:rFonts w:ascii="Times New Roman" w:hAnsi="Times New Roman"/>
                <w:spacing w:val="1"/>
              </w:rPr>
              <w:t>6</w:t>
            </w:r>
            <w:r w:rsidRPr="004E1637">
              <w:rPr>
                <w:rFonts w:ascii="Times New Roman" w:hAnsi="Times New Roman"/>
              </w:rPr>
              <w:t>)</w:t>
            </w:r>
          </w:p>
        </w:tc>
      </w:tr>
    </w:tbl>
    <w:p w14:paraId="4F8B852F" w14:textId="77777777" w:rsidR="00E71B44" w:rsidRPr="004E1637" w:rsidRDefault="00E71B44" w:rsidP="00E71B44">
      <w:pPr>
        <w:pStyle w:val="Default"/>
        <w:tabs>
          <w:tab w:val="left" w:pos="284"/>
        </w:tabs>
        <w:rPr>
          <w:sz w:val="18"/>
          <w:szCs w:val="18"/>
        </w:rPr>
      </w:pPr>
      <w:r w:rsidRPr="004E1637">
        <w:rPr>
          <w:sz w:val="18"/>
          <w:szCs w:val="18"/>
          <w:vertAlign w:val="superscript"/>
        </w:rPr>
        <w:t>a</w:t>
      </w:r>
      <w:r w:rsidRPr="004E1637">
        <w:rPr>
          <w:sz w:val="18"/>
          <w:szCs w:val="18"/>
        </w:rPr>
        <w:t xml:space="preserve"> </w:t>
      </w:r>
      <w:r w:rsidRPr="004E1637">
        <w:rPr>
          <w:sz w:val="18"/>
          <w:szCs w:val="18"/>
        </w:rPr>
        <w:tab/>
      </w:r>
      <w:r w:rsidR="00FF349D" w:rsidRPr="004E1637">
        <w:rPr>
          <w:sz w:val="18"/>
          <w:szCs w:val="18"/>
        </w:rPr>
        <w:t xml:space="preserve">Výsledky hlásené pri odporúčanej začiatočnej dávke 140 mg jedenkrát denne (pozri časť 4.2). </w:t>
      </w:r>
    </w:p>
    <w:p w14:paraId="36812A4D" w14:textId="3A4F5F90" w:rsidR="00E71B44" w:rsidRPr="004E1637" w:rsidRDefault="00FF349D" w:rsidP="00E71B44">
      <w:pPr>
        <w:pStyle w:val="Default"/>
        <w:tabs>
          <w:tab w:val="left" w:pos="284"/>
        </w:tabs>
        <w:ind w:left="280" w:hanging="280"/>
        <w:rPr>
          <w:sz w:val="18"/>
          <w:szCs w:val="18"/>
        </w:rPr>
      </w:pPr>
      <w:r w:rsidRPr="004E1637">
        <w:rPr>
          <w:sz w:val="18"/>
          <w:szCs w:val="18"/>
          <w:vertAlign w:val="superscript"/>
        </w:rPr>
        <w:t>b</w:t>
      </w:r>
      <w:r w:rsidR="00E71B44" w:rsidRPr="004E1637">
        <w:rPr>
          <w:sz w:val="18"/>
          <w:szCs w:val="18"/>
        </w:rPr>
        <w:tab/>
      </w:r>
      <w:r w:rsidRPr="004E1637">
        <w:rPr>
          <w:sz w:val="18"/>
          <w:szCs w:val="18"/>
        </w:rPr>
        <w:t xml:space="preserve">Kritéria hematologickej odpovede (všetky </w:t>
      </w:r>
      <w:r w:rsidR="001F43FB">
        <w:rPr>
          <w:sz w:val="18"/>
          <w:szCs w:val="18"/>
        </w:rPr>
        <w:t>odpovede</w:t>
      </w:r>
      <w:r w:rsidRPr="004E1637">
        <w:rPr>
          <w:sz w:val="18"/>
          <w:szCs w:val="18"/>
        </w:rPr>
        <w:t xml:space="preserve"> boli potvrdené po 4 týždňoch): Veľká hematologická odpoveď</w:t>
      </w:r>
      <w:r w:rsidR="00E71B44" w:rsidRPr="004E1637">
        <w:rPr>
          <w:sz w:val="18"/>
          <w:szCs w:val="18"/>
        </w:rPr>
        <w:t xml:space="preserve"> </w:t>
      </w:r>
      <w:r w:rsidRPr="004E1637">
        <w:rPr>
          <w:sz w:val="18"/>
          <w:szCs w:val="18"/>
        </w:rPr>
        <w:t xml:space="preserve">(MaHR) = úplná hematologická odpoveď (CHR) + bez prítomnosti leukémie (NEL). </w:t>
      </w:r>
    </w:p>
    <w:p w14:paraId="144097BA" w14:textId="5715030D" w:rsidR="00E71B44" w:rsidRPr="004E1637" w:rsidRDefault="00FF349D" w:rsidP="001F43FB">
      <w:pPr>
        <w:pStyle w:val="Default"/>
        <w:tabs>
          <w:tab w:val="left" w:pos="284"/>
          <w:tab w:val="left" w:pos="567"/>
        </w:tabs>
        <w:ind w:left="1134" w:hanging="425"/>
        <w:rPr>
          <w:sz w:val="18"/>
          <w:szCs w:val="18"/>
        </w:rPr>
      </w:pPr>
      <w:r w:rsidRPr="004E1637">
        <w:rPr>
          <w:sz w:val="18"/>
          <w:szCs w:val="18"/>
        </w:rPr>
        <w:t>CHR: WBC ≤ ULN zdravotníckeho zariadenia, ANC ≥ 1 000/mm</w:t>
      </w:r>
      <w:r w:rsidRPr="004E1637">
        <w:rPr>
          <w:sz w:val="18"/>
          <w:szCs w:val="18"/>
          <w:vertAlign w:val="superscript"/>
        </w:rPr>
        <w:t>3</w:t>
      </w:r>
      <w:r w:rsidRPr="004E1637">
        <w:rPr>
          <w:sz w:val="18"/>
          <w:szCs w:val="18"/>
        </w:rPr>
        <w:t xml:space="preserve">, trombocyty </w:t>
      </w:r>
      <w:r w:rsidR="001F43FB" w:rsidRPr="00606594">
        <w:rPr>
          <w:rFonts w:eastAsia="Times New Roman"/>
          <w:color w:val="auto"/>
          <w:sz w:val="18"/>
          <w:szCs w:val="20"/>
          <w:lang w:eastAsia="en-US"/>
        </w:rPr>
        <w:t>≥</w:t>
      </w:r>
      <w:r w:rsidRPr="004E1637">
        <w:rPr>
          <w:sz w:val="18"/>
          <w:szCs w:val="18"/>
        </w:rPr>
        <w:t xml:space="preserve"> 100 000/mm</w:t>
      </w:r>
      <w:r w:rsidRPr="004E1637">
        <w:rPr>
          <w:sz w:val="18"/>
          <w:szCs w:val="18"/>
          <w:vertAlign w:val="superscript"/>
        </w:rPr>
        <w:t>3</w:t>
      </w:r>
      <w:r w:rsidRPr="004E1637">
        <w:rPr>
          <w:sz w:val="18"/>
          <w:szCs w:val="18"/>
        </w:rPr>
        <w:t>, žiadne blasty alebo</w:t>
      </w:r>
      <w:r w:rsidR="00E71B44" w:rsidRPr="004E1637">
        <w:rPr>
          <w:sz w:val="18"/>
          <w:szCs w:val="18"/>
        </w:rPr>
        <w:t xml:space="preserve"> </w:t>
      </w:r>
      <w:r w:rsidRPr="004E1637">
        <w:rPr>
          <w:sz w:val="18"/>
          <w:szCs w:val="18"/>
        </w:rPr>
        <w:t>promyelocyty v periférnej krvi, blasty v kostnej dreni ≤ 5 %, &lt; 5 % myelocyty plus metamyelocyty v</w:t>
      </w:r>
      <w:r w:rsidR="00E71B44" w:rsidRPr="004E1637">
        <w:rPr>
          <w:sz w:val="18"/>
          <w:szCs w:val="18"/>
        </w:rPr>
        <w:t> </w:t>
      </w:r>
      <w:r w:rsidRPr="004E1637">
        <w:rPr>
          <w:sz w:val="18"/>
          <w:szCs w:val="18"/>
        </w:rPr>
        <w:t>periférnej</w:t>
      </w:r>
      <w:r w:rsidR="00E71B44" w:rsidRPr="004E1637">
        <w:rPr>
          <w:sz w:val="18"/>
          <w:szCs w:val="18"/>
        </w:rPr>
        <w:t xml:space="preserve"> </w:t>
      </w:r>
      <w:r w:rsidRPr="004E1637">
        <w:rPr>
          <w:sz w:val="18"/>
          <w:szCs w:val="18"/>
        </w:rPr>
        <w:t xml:space="preserve">krvi, bazofily v periférnej krvi &lt; 20 % a žiadne extramedulárne postihnutia. </w:t>
      </w:r>
    </w:p>
    <w:p w14:paraId="0D09868D" w14:textId="77777777" w:rsidR="00821CBD" w:rsidRPr="004E1637" w:rsidRDefault="00FF349D" w:rsidP="00821CBD">
      <w:pPr>
        <w:pStyle w:val="Default"/>
        <w:tabs>
          <w:tab w:val="left" w:pos="284"/>
          <w:tab w:val="left" w:pos="567"/>
        </w:tabs>
        <w:ind w:left="720"/>
        <w:rPr>
          <w:sz w:val="18"/>
          <w:szCs w:val="18"/>
        </w:rPr>
      </w:pPr>
      <w:r w:rsidRPr="004E1637">
        <w:rPr>
          <w:sz w:val="18"/>
          <w:szCs w:val="18"/>
        </w:rPr>
        <w:t>NEL: rovnaké kritériá ako pre CHR ale ANC ≥ 500/mm</w:t>
      </w:r>
      <w:r w:rsidRPr="004E1637">
        <w:rPr>
          <w:sz w:val="18"/>
          <w:szCs w:val="18"/>
          <w:vertAlign w:val="superscript"/>
        </w:rPr>
        <w:t>3</w:t>
      </w:r>
      <w:r w:rsidRPr="004E1637">
        <w:rPr>
          <w:sz w:val="18"/>
          <w:szCs w:val="18"/>
        </w:rPr>
        <w:t xml:space="preserve"> a &lt; 1 000/mm</w:t>
      </w:r>
      <w:r w:rsidRPr="004E1637">
        <w:rPr>
          <w:sz w:val="18"/>
          <w:szCs w:val="18"/>
          <w:vertAlign w:val="superscript"/>
        </w:rPr>
        <w:t>3</w:t>
      </w:r>
      <w:r w:rsidRPr="004E1637">
        <w:rPr>
          <w:sz w:val="18"/>
          <w:szCs w:val="18"/>
        </w:rPr>
        <w:t>, alebo trombocyty ≥ 20 000/mm</w:t>
      </w:r>
      <w:r w:rsidRPr="004E1637">
        <w:rPr>
          <w:sz w:val="18"/>
          <w:szCs w:val="18"/>
          <w:vertAlign w:val="superscript"/>
        </w:rPr>
        <w:t>3</w:t>
      </w:r>
      <w:r w:rsidRPr="004E1637">
        <w:rPr>
          <w:sz w:val="18"/>
          <w:szCs w:val="18"/>
        </w:rPr>
        <w:t xml:space="preserve"> a ≤</w:t>
      </w:r>
      <w:r w:rsidR="00821CBD" w:rsidRPr="004E1637">
        <w:rPr>
          <w:sz w:val="18"/>
          <w:szCs w:val="18"/>
        </w:rPr>
        <w:t> </w:t>
      </w:r>
      <w:r w:rsidRPr="004E1637">
        <w:rPr>
          <w:sz w:val="18"/>
          <w:szCs w:val="18"/>
        </w:rPr>
        <w:t>100</w:t>
      </w:r>
      <w:r w:rsidR="00821CBD" w:rsidRPr="004E1637">
        <w:rPr>
          <w:sz w:val="18"/>
          <w:szCs w:val="18"/>
        </w:rPr>
        <w:t> </w:t>
      </w:r>
      <w:r w:rsidRPr="004E1637">
        <w:rPr>
          <w:sz w:val="18"/>
          <w:szCs w:val="18"/>
        </w:rPr>
        <w:t>000/mm</w:t>
      </w:r>
      <w:r w:rsidRPr="004E1637">
        <w:rPr>
          <w:sz w:val="18"/>
          <w:szCs w:val="18"/>
          <w:vertAlign w:val="superscript"/>
        </w:rPr>
        <w:t>3</w:t>
      </w:r>
      <w:r w:rsidRPr="004E1637">
        <w:rPr>
          <w:sz w:val="18"/>
          <w:szCs w:val="18"/>
        </w:rPr>
        <w:t xml:space="preserve">. </w:t>
      </w:r>
    </w:p>
    <w:p w14:paraId="417B89BE" w14:textId="59B0D6CB" w:rsidR="00821CBD" w:rsidRPr="004E1637" w:rsidRDefault="00FF349D" w:rsidP="00E71B44">
      <w:pPr>
        <w:pStyle w:val="Default"/>
        <w:tabs>
          <w:tab w:val="left" w:pos="284"/>
          <w:tab w:val="left" w:pos="567"/>
        </w:tabs>
        <w:rPr>
          <w:sz w:val="18"/>
          <w:szCs w:val="18"/>
        </w:rPr>
      </w:pPr>
      <w:r w:rsidRPr="004E1637">
        <w:rPr>
          <w:sz w:val="18"/>
          <w:szCs w:val="18"/>
          <w:vertAlign w:val="superscript"/>
        </w:rPr>
        <w:t>c</w:t>
      </w:r>
      <w:r w:rsidRPr="004E1637">
        <w:rPr>
          <w:sz w:val="18"/>
          <w:szCs w:val="18"/>
        </w:rPr>
        <w:t xml:space="preserve"> </w:t>
      </w:r>
      <w:r w:rsidR="00821CBD" w:rsidRPr="004E1637">
        <w:rPr>
          <w:sz w:val="18"/>
          <w:szCs w:val="18"/>
        </w:rPr>
        <w:tab/>
      </w:r>
      <w:r w:rsidRPr="004E1637">
        <w:rPr>
          <w:sz w:val="18"/>
          <w:szCs w:val="18"/>
        </w:rPr>
        <w:t xml:space="preserve">MCyR </w:t>
      </w:r>
      <w:r w:rsidR="00747FEC">
        <w:rPr>
          <w:sz w:val="18"/>
          <w:szCs w:val="18"/>
        </w:rPr>
        <w:t>zahŕňa</w:t>
      </w:r>
      <w:r w:rsidRPr="00B00FC2">
        <w:rPr>
          <w:sz w:val="18"/>
          <w:szCs w:val="18"/>
        </w:rPr>
        <w:t xml:space="preserve"> </w:t>
      </w:r>
      <w:r w:rsidRPr="00747FEC">
        <w:rPr>
          <w:sz w:val="18"/>
          <w:szCs w:val="18"/>
        </w:rPr>
        <w:t>úpln</w:t>
      </w:r>
      <w:r w:rsidR="00747FEC">
        <w:rPr>
          <w:sz w:val="18"/>
          <w:szCs w:val="18"/>
        </w:rPr>
        <w:t>é</w:t>
      </w:r>
      <w:r w:rsidRPr="00747FEC">
        <w:rPr>
          <w:sz w:val="18"/>
          <w:szCs w:val="18"/>
        </w:rPr>
        <w:t xml:space="preserve"> (</w:t>
      </w:r>
      <w:r w:rsidRPr="004E1637">
        <w:rPr>
          <w:sz w:val="18"/>
          <w:szCs w:val="18"/>
        </w:rPr>
        <w:t>0 % Ph+ metafáza) a</w:t>
      </w:r>
      <w:r w:rsidR="001F43FB">
        <w:rPr>
          <w:sz w:val="18"/>
          <w:szCs w:val="18"/>
        </w:rPr>
        <w:t>j</w:t>
      </w:r>
      <w:r w:rsidRPr="004E1637">
        <w:rPr>
          <w:sz w:val="18"/>
          <w:szCs w:val="18"/>
        </w:rPr>
        <w:t xml:space="preserve"> čiastočn</w:t>
      </w:r>
      <w:r w:rsidR="00747FEC">
        <w:rPr>
          <w:sz w:val="18"/>
          <w:szCs w:val="18"/>
        </w:rPr>
        <w:t>é</w:t>
      </w:r>
      <w:r w:rsidRPr="004E1637">
        <w:rPr>
          <w:sz w:val="18"/>
          <w:szCs w:val="18"/>
        </w:rPr>
        <w:t xml:space="preserve"> (&gt; 0 % – 35 %) odpovede. </w:t>
      </w:r>
    </w:p>
    <w:p w14:paraId="3B60128B" w14:textId="77777777" w:rsidR="00FF349D" w:rsidRPr="004E1637" w:rsidRDefault="00FF349D" w:rsidP="00E71B44">
      <w:pPr>
        <w:pStyle w:val="Default"/>
        <w:tabs>
          <w:tab w:val="left" w:pos="284"/>
          <w:tab w:val="left" w:pos="567"/>
        </w:tabs>
        <w:rPr>
          <w:sz w:val="18"/>
          <w:szCs w:val="18"/>
        </w:rPr>
      </w:pPr>
      <w:r w:rsidRPr="004E1637">
        <w:rPr>
          <w:sz w:val="18"/>
          <w:szCs w:val="18"/>
        </w:rPr>
        <w:t>CI = interval spoľahlivosti</w:t>
      </w:r>
      <w:r w:rsidR="00821CBD" w:rsidRPr="004E1637">
        <w:rPr>
          <w:sz w:val="18"/>
          <w:szCs w:val="18"/>
        </w:rPr>
        <w:t>;</w:t>
      </w:r>
      <w:r w:rsidRPr="004E1637">
        <w:rPr>
          <w:sz w:val="18"/>
          <w:szCs w:val="18"/>
        </w:rPr>
        <w:t xml:space="preserve"> ULN = horný limit normálneho rozpätia. </w:t>
      </w:r>
    </w:p>
    <w:p w14:paraId="6FB43423" w14:textId="77777777" w:rsidR="00FF349D" w:rsidRPr="004E1637" w:rsidRDefault="00FF349D" w:rsidP="00FF349D">
      <w:pPr>
        <w:pStyle w:val="Default"/>
      </w:pPr>
    </w:p>
    <w:p w14:paraId="0EEBB9BF" w14:textId="77777777" w:rsidR="00BE76D5" w:rsidRPr="004E1637" w:rsidRDefault="00BE76D5">
      <w:pPr>
        <w:pStyle w:val="CM100"/>
        <w:spacing w:after="237" w:line="238" w:lineRule="atLeast"/>
        <w:rPr>
          <w:sz w:val="22"/>
          <w:szCs w:val="22"/>
        </w:rPr>
      </w:pPr>
      <w:r w:rsidRPr="004E1637">
        <w:rPr>
          <w:sz w:val="22"/>
          <w:szCs w:val="22"/>
        </w:rPr>
        <w:t xml:space="preserve">Medián trvania MaHR u pacientov s Ph+ALL liečených s dávkovacím režimom 140 mg jedenkrát denne bol 5 mesiacov, medián PFS bol 4 mesiace a medián celkového prežívania bol 7 mesiacov. </w:t>
      </w:r>
    </w:p>
    <w:p w14:paraId="04417DE7" w14:textId="77777777" w:rsidR="00821CBD" w:rsidRPr="004E1637" w:rsidRDefault="00BE76D5" w:rsidP="00821CBD">
      <w:pPr>
        <w:pStyle w:val="CM100"/>
        <w:rPr>
          <w:sz w:val="22"/>
          <w:szCs w:val="22"/>
          <w:u w:val="single"/>
        </w:rPr>
      </w:pPr>
      <w:r w:rsidRPr="004E1637">
        <w:rPr>
          <w:sz w:val="22"/>
          <w:szCs w:val="22"/>
          <w:u w:val="single"/>
        </w:rPr>
        <w:t>Pediatrická populácia</w:t>
      </w:r>
      <w:r w:rsidRPr="00C11B8A">
        <w:rPr>
          <w:sz w:val="22"/>
          <w:szCs w:val="22"/>
        </w:rPr>
        <w:t xml:space="preserve"> </w:t>
      </w:r>
    </w:p>
    <w:p w14:paraId="60A232DA" w14:textId="4985C523" w:rsidR="009B7317" w:rsidRDefault="009B7317" w:rsidP="00720910">
      <w:pPr>
        <w:pStyle w:val="Default"/>
        <w:rPr>
          <w:sz w:val="22"/>
          <w:szCs w:val="22"/>
        </w:rPr>
      </w:pPr>
    </w:p>
    <w:p w14:paraId="34FF3F14" w14:textId="77777777" w:rsidR="009B7317" w:rsidRPr="009B7317" w:rsidRDefault="009B7317" w:rsidP="009B7317">
      <w:pPr>
        <w:pStyle w:val="Default"/>
        <w:rPr>
          <w:i/>
          <w:iCs/>
          <w:sz w:val="22"/>
          <w:szCs w:val="22"/>
          <w:u w:val="single"/>
        </w:rPr>
      </w:pPr>
      <w:r w:rsidRPr="009B7317">
        <w:rPr>
          <w:i/>
          <w:iCs/>
          <w:sz w:val="22"/>
          <w:szCs w:val="22"/>
          <w:u w:val="single"/>
        </w:rPr>
        <w:t>Pediatrickí pacienti s ALL</w:t>
      </w:r>
    </w:p>
    <w:p w14:paraId="3F23B882" w14:textId="223BDB9F" w:rsidR="009B7317" w:rsidRPr="009B7317" w:rsidRDefault="009B7317" w:rsidP="009B7317">
      <w:pPr>
        <w:pStyle w:val="Default"/>
        <w:rPr>
          <w:sz w:val="22"/>
          <w:szCs w:val="22"/>
        </w:rPr>
      </w:pPr>
      <w:r w:rsidRPr="009B7317">
        <w:rPr>
          <w:sz w:val="22"/>
          <w:szCs w:val="22"/>
        </w:rPr>
        <w:t xml:space="preserve">Účinnosť </w:t>
      </w:r>
      <w:r>
        <w:rPr>
          <w:sz w:val="22"/>
          <w:szCs w:val="22"/>
        </w:rPr>
        <w:t>dasatinibu</w:t>
      </w:r>
      <w:r w:rsidRPr="009B7317">
        <w:rPr>
          <w:sz w:val="22"/>
          <w:szCs w:val="22"/>
        </w:rPr>
        <w:t xml:space="preserve"> v kombinácii s chemoterapiou sa hodnotila v pivotnej štúdii s pediatrickými</w:t>
      </w:r>
    </w:p>
    <w:p w14:paraId="586A2FB0" w14:textId="6671D242" w:rsidR="009B7317" w:rsidRPr="009B7317" w:rsidRDefault="009B7317" w:rsidP="009B7317">
      <w:pPr>
        <w:pStyle w:val="Default"/>
        <w:rPr>
          <w:sz w:val="22"/>
          <w:szCs w:val="22"/>
        </w:rPr>
      </w:pPr>
      <w:r w:rsidRPr="009B7317">
        <w:rPr>
          <w:sz w:val="22"/>
          <w:szCs w:val="22"/>
        </w:rPr>
        <w:t>pacientmi s novodiagnostikovanou Ph+ ALL počas jedného roka.</w:t>
      </w:r>
    </w:p>
    <w:p w14:paraId="0280FD69" w14:textId="77777777" w:rsidR="009B7317" w:rsidRDefault="009B7317" w:rsidP="009B7317">
      <w:pPr>
        <w:pStyle w:val="Default"/>
        <w:rPr>
          <w:sz w:val="22"/>
          <w:szCs w:val="22"/>
        </w:rPr>
      </w:pPr>
    </w:p>
    <w:p w14:paraId="7CB45251" w14:textId="0622DCE5" w:rsidR="009B7317" w:rsidRPr="009B7317" w:rsidRDefault="009B7317" w:rsidP="009B7317">
      <w:pPr>
        <w:pStyle w:val="Default"/>
        <w:rPr>
          <w:sz w:val="22"/>
          <w:szCs w:val="22"/>
        </w:rPr>
      </w:pPr>
      <w:r w:rsidRPr="009B7317">
        <w:rPr>
          <w:sz w:val="22"/>
          <w:szCs w:val="22"/>
        </w:rPr>
        <w:t>V tejto multicentrickej, historicky kontrolovanej štúdii II. fázy s dasatinibom pridaným k štandardnej</w:t>
      </w:r>
    </w:p>
    <w:p w14:paraId="2CC6F665" w14:textId="379C28C9" w:rsidR="009B7317" w:rsidRPr="009B7317" w:rsidRDefault="009B7317" w:rsidP="009B7317">
      <w:pPr>
        <w:pStyle w:val="Default"/>
        <w:rPr>
          <w:sz w:val="22"/>
          <w:szCs w:val="22"/>
        </w:rPr>
      </w:pPr>
      <w:r w:rsidRPr="009B7317">
        <w:rPr>
          <w:sz w:val="22"/>
          <w:szCs w:val="22"/>
        </w:rPr>
        <w:t>chemoterapii u 106 pediatrických pacientov s novodiagnostikovanou Ph+ ALL</w:t>
      </w:r>
      <w:r>
        <w:rPr>
          <w:sz w:val="22"/>
          <w:szCs w:val="22"/>
        </w:rPr>
        <w:t>,</w:t>
      </w:r>
      <w:r w:rsidRPr="009B7317">
        <w:rPr>
          <w:sz w:val="22"/>
          <w:szCs w:val="22"/>
        </w:rPr>
        <w:t xml:space="preserve"> z nich 104 pacienti</w:t>
      </w:r>
    </w:p>
    <w:p w14:paraId="67E75C07" w14:textId="2AADEF44" w:rsidR="009B7317" w:rsidRPr="009B7317" w:rsidRDefault="009B7317" w:rsidP="009B7317">
      <w:pPr>
        <w:pStyle w:val="Default"/>
        <w:rPr>
          <w:sz w:val="22"/>
          <w:szCs w:val="22"/>
        </w:rPr>
      </w:pPr>
      <w:r w:rsidRPr="009B7317">
        <w:rPr>
          <w:sz w:val="22"/>
          <w:szCs w:val="22"/>
        </w:rPr>
        <w:t>mali potvrdenú Ph</w:t>
      </w:r>
      <w:r>
        <w:rPr>
          <w:sz w:val="22"/>
          <w:szCs w:val="22"/>
        </w:rPr>
        <w:t>+</w:t>
      </w:r>
      <w:r w:rsidRPr="009B7317">
        <w:rPr>
          <w:sz w:val="22"/>
          <w:szCs w:val="22"/>
        </w:rPr>
        <w:t xml:space="preserve"> ALL, dostalo dasatinib v dennej dávke 60 mg/m</w:t>
      </w:r>
      <w:r w:rsidRPr="009B7317">
        <w:rPr>
          <w:sz w:val="22"/>
          <w:szCs w:val="22"/>
          <w:vertAlign w:val="superscript"/>
        </w:rPr>
        <w:t>2</w:t>
      </w:r>
      <w:r w:rsidRPr="009B7317">
        <w:rPr>
          <w:sz w:val="22"/>
          <w:szCs w:val="22"/>
        </w:rPr>
        <w:t xml:space="preserve"> s nepretržitou schémou</w:t>
      </w:r>
    </w:p>
    <w:p w14:paraId="31C2627E" w14:textId="77777777" w:rsidR="009B7317" w:rsidRPr="009B7317" w:rsidRDefault="009B7317" w:rsidP="009B7317">
      <w:pPr>
        <w:pStyle w:val="Default"/>
        <w:rPr>
          <w:sz w:val="22"/>
          <w:szCs w:val="22"/>
        </w:rPr>
      </w:pPr>
      <w:r w:rsidRPr="009B7317">
        <w:rPr>
          <w:sz w:val="22"/>
          <w:szCs w:val="22"/>
        </w:rPr>
        <w:t>podávania až do 24 mesiacov v kombinácii s chemoterapiou. Osemdesiatdva pacientov dostalo</w:t>
      </w:r>
    </w:p>
    <w:p w14:paraId="09494F79" w14:textId="77777777" w:rsidR="009B7317" w:rsidRPr="009B7317" w:rsidRDefault="009B7317" w:rsidP="009B7317">
      <w:pPr>
        <w:pStyle w:val="Default"/>
        <w:rPr>
          <w:sz w:val="22"/>
          <w:szCs w:val="22"/>
        </w:rPr>
      </w:pPr>
      <w:r w:rsidRPr="009B7317">
        <w:rPr>
          <w:sz w:val="22"/>
          <w:szCs w:val="22"/>
        </w:rPr>
        <w:t>výlučne tablety dasatinibu a 24 pacientov dostalo dasatinib prášok na perorálnu suspenziu minimálne</w:t>
      </w:r>
    </w:p>
    <w:p w14:paraId="5C7A844F" w14:textId="77777777" w:rsidR="009B7317" w:rsidRPr="009B7317" w:rsidRDefault="009B7317" w:rsidP="009B7317">
      <w:pPr>
        <w:pStyle w:val="Default"/>
        <w:rPr>
          <w:sz w:val="22"/>
          <w:szCs w:val="22"/>
        </w:rPr>
      </w:pPr>
      <w:r w:rsidRPr="009B7317">
        <w:rPr>
          <w:sz w:val="22"/>
          <w:szCs w:val="22"/>
        </w:rPr>
        <w:t>jedenkrát, 8 z nich dostalo výlučne dasatinib prášok na perorálnu suspenziu. Základný režim</w:t>
      </w:r>
    </w:p>
    <w:p w14:paraId="2D73DF0B" w14:textId="2410FCDE" w:rsidR="009B7317" w:rsidRPr="009B7317" w:rsidRDefault="009B7317" w:rsidP="009B7317">
      <w:pPr>
        <w:pStyle w:val="Default"/>
        <w:rPr>
          <w:sz w:val="22"/>
          <w:szCs w:val="22"/>
        </w:rPr>
      </w:pPr>
      <w:r w:rsidRPr="009B7317">
        <w:rPr>
          <w:sz w:val="22"/>
          <w:szCs w:val="22"/>
        </w:rPr>
        <w:t>chemoterapie bol rovnaký ako sa použil v skúšaní AIEOP-BFM ALL 2000 (protokol</w:t>
      </w:r>
      <w:r>
        <w:rPr>
          <w:sz w:val="22"/>
          <w:szCs w:val="22"/>
        </w:rPr>
        <w:t xml:space="preserve"> </w:t>
      </w:r>
      <w:r w:rsidRPr="009B7317">
        <w:rPr>
          <w:sz w:val="22"/>
          <w:szCs w:val="22"/>
        </w:rPr>
        <w:t>chemoterapeutického štandardu chemoterapie s viacerými l</w:t>
      </w:r>
      <w:r w:rsidR="00EE5AB3">
        <w:rPr>
          <w:sz w:val="22"/>
          <w:szCs w:val="22"/>
        </w:rPr>
        <w:t>iečivami</w:t>
      </w:r>
      <w:r w:rsidRPr="009B7317">
        <w:rPr>
          <w:sz w:val="22"/>
          <w:szCs w:val="22"/>
        </w:rPr>
        <w:t xml:space="preserve">). Primárnym </w:t>
      </w:r>
      <w:r w:rsidR="00EE5AB3">
        <w:rPr>
          <w:sz w:val="22"/>
          <w:szCs w:val="22"/>
        </w:rPr>
        <w:t>cieľovým</w:t>
      </w:r>
    </w:p>
    <w:p w14:paraId="5140629D" w14:textId="77777777" w:rsidR="009B7317" w:rsidRPr="009B7317" w:rsidRDefault="009B7317" w:rsidP="009B7317">
      <w:pPr>
        <w:pStyle w:val="Default"/>
        <w:rPr>
          <w:sz w:val="22"/>
          <w:szCs w:val="22"/>
        </w:rPr>
      </w:pPr>
      <w:r w:rsidRPr="009B7317">
        <w:rPr>
          <w:sz w:val="22"/>
          <w:szCs w:val="22"/>
        </w:rPr>
        <w:t>ukazovateľom účinnosti bolo 3-ročné prežívanie bez udalosti (EFS), ktoré bolo 65,5 % (55,5; 73,7).</w:t>
      </w:r>
    </w:p>
    <w:p w14:paraId="1670E3AD" w14:textId="77777777" w:rsidR="009B7317" w:rsidRDefault="009B7317" w:rsidP="009B7317">
      <w:pPr>
        <w:pStyle w:val="Default"/>
        <w:rPr>
          <w:sz w:val="22"/>
          <w:szCs w:val="22"/>
        </w:rPr>
      </w:pPr>
    </w:p>
    <w:p w14:paraId="2E141507" w14:textId="2CF0D18F" w:rsidR="009B7317" w:rsidRPr="009B7317" w:rsidRDefault="00A60B21" w:rsidP="009B7317">
      <w:pPr>
        <w:pStyle w:val="Default"/>
        <w:rPr>
          <w:sz w:val="22"/>
          <w:szCs w:val="22"/>
        </w:rPr>
      </w:pPr>
      <w:r w:rsidRPr="00F95FB3">
        <w:rPr>
          <w:sz w:val="22"/>
          <w:szCs w:val="22"/>
        </w:rPr>
        <w:t>Negatívna m</w:t>
      </w:r>
      <w:r w:rsidR="009B7317" w:rsidRPr="00A60B21">
        <w:rPr>
          <w:sz w:val="22"/>
          <w:szCs w:val="22"/>
        </w:rPr>
        <w:t>iera minimálnej reziduálnej choroby (MRD, minimal residual disease) hodnotená</w:t>
      </w:r>
    </w:p>
    <w:p w14:paraId="537767E9" w14:textId="77777777" w:rsidR="009B7317" w:rsidRPr="009B7317" w:rsidRDefault="009B7317" w:rsidP="009B7317">
      <w:pPr>
        <w:pStyle w:val="Default"/>
        <w:rPr>
          <w:sz w:val="22"/>
          <w:szCs w:val="22"/>
        </w:rPr>
      </w:pPr>
      <w:r w:rsidRPr="009B7317">
        <w:rPr>
          <w:sz w:val="22"/>
          <w:szCs w:val="22"/>
        </w:rPr>
        <w:t>pomocou prestavby Ig/TCR bola na konci konsolidácie 71,7 % u všetkých liečených pacientov. Ak sa</w:t>
      </w:r>
    </w:p>
    <w:p w14:paraId="26DA4298" w14:textId="77777777" w:rsidR="009B7317" w:rsidRPr="009B7317" w:rsidRDefault="009B7317" w:rsidP="009B7317">
      <w:pPr>
        <w:pStyle w:val="Default"/>
        <w:rPr>
          <w:sz w:val="22"/>
          <w:szCs w:val="22"/>
        </w:rPr>
      </w:pPr>
      <w:r w:rsidRPr="009B7317">
        <w:rPr>
          <w:sz w:val="22"/>
          <w:szCs w:val="22"/>
        </w:rPr>
        <w:t>táto miera zakladala na 85 pacientoch s hodnotiteľnými posudkami Ig/TCR, odhad bol 89,4 %. Miery</w:t>
      </w:r>
    </w:p>
    <w:p w14:paraId="1E3978BE" w14:textId="77777777" w:rsidR="009B7317" w:rsidRPr="009B7317" w:rsidRDefault="009B7317" w:rsidP="009B7317">
      <w:pPr>
        <w:pStyle w:val="Default"/>
        <w:rPr>
          <w:sz w:val="22"/>
          <w:szCs w:val="22"/>
        </w:rPr>
      </w:pPr>
      <w:r w:rsidRPr="009B7317">
        <w:rPr>
          <w:sz w:val="22"/>
          <w:szCs w:val="22"/>
        </w:rPr>
        <w:t>MRD negativity na konci indukcie a konsolidácie podľa meraní pomocou prietokovej cytometrie boli</w:t>
      </w:r>
    </w:p>
    <w:p w14:paraId="2BE8B7CB" w14:textId="1DD9DB5B" w:rsidR="009B7317" w:rsidRPr="004E1637" w:rsidRDefault="009B7317" w:rsidP="009B7317">
      <w:pPr>
        <w:pStyle w:val="Default"/>
        <w:rPr>
          <w:sz w:val="22"/>
          <w:szCs w:val="22"/>
        </w:rPr>
      </w:pPr>
      <w:r w:rsidRPr="009B7317">
        <w:rPr>
          <w:sz w:val="22"/>
          <w:szCs w:val="22"/>
        </w:rPr>
        <w:t>66,0 % a 84,0 %, v uvedenom poradí.</w:t>
      </w:r>
    </w:p>
    <w:p w14:paraId="21F8ED15" w14:textId="77777777" w:rsidR="00720910" w:rsidRPr="004E1637" w:rsidRDefault="00720910" w:rsidP="00720910">
      <w:pPr>
        <w:pStyle w:val="Default"/>
        <w:rPr>
          <w:sz w:val="22"/>
          <w:szCs w:val="22"/>
        </w:rPr>
      </w:pPr>
    </w:p>
    <w:p w14:paraId="65AC0A3B" w14:textId="6B0A6EE4" w:rsidR="00BE76D5" w:rsidRPr="004E1637" w:rsidRDefault="00BE76D5" w:rsidP="00895A04">
      <w:pPr>
        <w:pStyle w:val="Default"/>
        <w:tabs>
          <w:tab w:val="left" w:pos="567"/>
        </w:tabs>
        <w:rPr>
          <w:b/>
          <w:bCs/>
          <w:sz w:val="22"/>
          <w:szCs w:val="22"/>
        </w:rPr>
      </w:pPr>
      <w:r w:rsidRPr="004E1637">
        <w:rPr>
          <w:b/>
          <w:bCs/>
          <w:sz w:val="22"/>
          <w:szCs w:val="22"/>
        </w:rPr>
        <w:t>5.2</w:t>
      </w:r>
      <w:r w:rsidR="00895A04">
        <w:rPr>
          <w:b/>
          <w:bCs/>
          <w:sz w:val="22"/>
          <w:szCs w:val="22"/>
        </w:rPr>
        <w:tab/>
      </w:r>
      <w:r w:rsidRPr="004E1637">
        <w:rPr>
          <w:b/>
          <w:bCs/>
          <w:sz w:val="22"/>
          <w:szCs w:val="22"/>
        </w:rPr>
        <w:t xml:space="preserve">Farmakokinetické vlastnosti </w:t>
      </w:r>
    </w:p>
    <w:p w14:paraId="14115DD7" w14:textId="77777777" w:rsidR="002E340B" w:rsidRPr="004E1637" w:rsidRDefault="002E340B" w:rsidP="002E340B">
      <w:pPr>
        <w:pStyle w:val="Default"/>
      </w:pPr>
    </w:p>
    <w:p w14:paraId="7949C3DD" w14:textId="2DA41638" w:rsidR="00BE76D5" w:rsidRPr="004E1637" w:rsidRDefault="00BE76D5" w:rsidP="002E340B">
      <w:pPr>
        <w:pStyle w:val="CM100"/>
        <w:rPr>
          <w:sz w:val="22"/>
          <w:szCs w:val="22"/>
        </w:rPr>
      </w:pPr>
      <w:r w:rsidRPr="004E1637">
        <w:rPr>
          <w:sz w:val="22"/>
          <w:szCs w:val="22"/>
        </w:rPr>
        <w:t xml:space="preserve">Farmakokinetika dasatinibu sa hodnotila u 229 dospelých zdravých </w:t>
      </w:r>
      <w:r w:rsidR="00A314BF">
        <w:rPr>
          <w:sz w:val="22"/>
          <w:szCs w:val="22"/>
        </w:rPr>
        <w:t>osôb</w:t>
      </w:r>
      <w:r w:rsidR="00A314BF" w:rsidRPr="004E1637">
        <w:rPr>
          <w:sz w:val="22"/>
          <w:szCs w:val="22"/>
        </w:rPr>
        <w:t xml:space="preserve"> </w:t>
      </w:r>
      <w:r w:rsidRPr="004E1637">
        <w:rPr>
          <w:sz w:val="22"/>
          <w:szCs w:val="22"/>
        </w:rPr>
        <w:t xml:space="preserve">a u 84 pacientov. </w:t>
      </w:r>
    </w:p>
    <w:p w14:paraId="1DEBEF6C" w14:textId="77777777" w:rsidR="002E340B" w:rsidRPr="004E1637" w:rsidRDefault="002E340B" w:rsidP="002E340B">
      <w:pPr>
        <w:pStyle w:val="Default"/>
      </w:pPr>
    </w:p>
    <w:p w14:paraId="7F4CB8B4" w14:textId="77777777" w:rsidR="002E340B" w:rsidRPr="004E1637" w:rsidRDefault="00BE76D5" w:rsidP="002E340B">
      <w:pPr>
        <w:pStyle w:val="CM100"/>
        <w:rPr>
          <w:sz w:val="22"/>
          <w:szCs w:val="22"/>
          <w:u w:val="single"/>
        </w:rPr>
      </w:pPr>
      <w:r w:rsidRPr="004E1637">
        <w:rPr>
          <w:sz w:val="22"/>
          <w:szCs w:val="22"/>
          <w:u w:val="single"/>
        </w:rPr>
        <w:t>Absorpcia</w:t>
      </w:r>
      <w:r w:rsidRPr="00C11B8A">
        <w:rPr>
          <w:sz w:val="22"/>
          <w:szCs w:val="22"/>
        </w:rPr>
        <w:t xml:space="preserve"> </w:t>
      </w:r>
    </w:p>
    <w:p w14:paraId="3D56D39E" w14:textId="0A4D2408" w:rsidR="00BE76D5" w:rsidRPr="004E1637" w:rsidRDefault="00BE76D5" w:rsidP="002E340B">
      <w:pPr>
        <w:pStyle w:val="CM100"/>
        <w:rPr>
          <w:sz w:val="22"/>
          <w:szCs w:val="22"/>
        </w:rPr>
      </w:pPr>
      <w:r w:rsidRPr="004E1637">
        <w:rPr>
          <w:sz w:val="22"/>
          <w:szCs w:val="22"/>
        </w:rPr>
        <w:t>Dasatinib sa u pacientov po perorálnom podaní rýchlo vstrebáva, pričom maximálne koncentrácie sa dosiahnu medzi 0,5 – 3 hodinami. Po perorálnom podaní je vzostup priemernej expozície (AUC</w:t>
      </w:r>
      <w:r w:rsidRPr="00AC2867">
        <w:rPr>
          <w:sz w:val="22"/>
          <w:szCs w:val="22"/>
          <w:vertAlign w:val="subscript"/>
        </w:rPr>
        <w:t>τ</w:t>
      </w:r>
      <w:r w:rsidRPr="004E1637">
        <w:rPr>
          <w:sz w:val="22"/>
          <w:szCs w:val="22"/>
        </w:rPr>
        <w:t xml:space="preserve">) približne úmerný prírastku dávky v celom rozmedzí dávok od 25 mg do 120 mg dvakrát denne. U pacientov je celkový priemerný </w:t>
      </w:r>
      <w:r w:rsidR="00747FEC">
        <w:rPr>
          <w:sz w:val="22"/>
          <w:szCs w:val="22"/>
        </w:rPr>
        <w:t>terminálny</w:t>
      </w:r>
      <w:r w:rsidRPr="004E1637">
        <w:rPr>
          <w:sz w:val="22"/>
          <w:szCs w:val="22"/>
        </w:rPr>
        <w:t xml:space="preserve"> polčas dasatinibu približne 5 – 6 hodín. </w:t>
      </w:r>
    </w:p>
    <w:p w14:paraId="4701228C" w14:textId="77777777" w:rsidR="002E340B" w:rsidRPr="004E1637" w:rsidRDefault="002E340B" w:rsidP="002E340B">
      <w:pPr>
        <w:pStyle w:val="Default"/>
      </w:pPr>
    </w:p>
    <w:p w14:paraId="11974003" w14:textId="7B385E15" w:rsidR="00BE76D5" w:rsidRPr="004E1637" w:rsidRDefault="00BE76D5" w:rsidP="002E340B">
      <w:pPr>
        <w:pStyle w:val="CM100"/>
        <w:rPr>
          <w:sz w:val="22"/>
          <w:szCs w:val="22"/>
        </w:rPr>
      </w:pPr>
      <w:r w:rsidRPr="004E1637">
        <w:rPr>
          <w:sz w:val="22"/>
          <w:szCs w:val="22"/>
        </w:rPr>
        <w:t xml:space="preserve">Údaje od zdravých </w:t>
      </w:r>
      <w:r w:rsidR="00A314BF">
        <w:rPr>
          <w:sz w:val="22"/>
          <w:szCs w:val="22"/>
        </w:rPr>
        <w:t>osôb</w:t>
      </w:r>
      <w:r w:rsidRPr="004E1637">
        <w:rPr>
          <w:sz w:val="22"/>
          <w:szCs w:val="22"/>
        </w:rPr>
        <w:t xml:space="preserve">, ktorým sa podala jednorazová dávka </w:t>
      </w:r>
      <w:r w:rsidR="00A314BF">
        <w:rPr>
          <w:sz w:val="22"/>
          <w:szCs w:val="22"/>
        </w:rPr>
        <w:t xml:space="preserve">100 mg </w:t>
      </w:r>
      <w:r w:rsidRPr="004E1637">
        <w:rPr>
          <w:sz w:val="22"/>
          <w:szCs w:val="22"/>
        </w:rPr>
        <w:t xml:space="preserve">dasatinibu po 30 minútach po jedle s vysokým obsahom tuku, poukázali na 14 % zvýšenie priemernej hodnoty AUC dasatinibu. Požitie jedla s nízkym obsahom tuku 30 minút pred užitím dasatinibu viedlo k 21 % zvýšeniu priemernej hodnoty AUC dasatinibu. Pozorované vplyvy jedla nepredstavujú klinicky významné zmeny v expozícii. </w:t>
      </w:r>
    </w:p>
    <w:p w14:paraId="727F5CD2" w14:textId="77777777" w:rsidR="002E340B" w:rsidRPr="004E1637" w:rsidRDefault="002E340B" w:rsidP="002E340B">
      <w:pPr>
        <w:pStyle w:val="Default"/>
      </w:pPr>
    </w:p>
    <w:p w14:paraId="1B18EB2A" w14:textId="77777777" w:rsidR="002E340B" w:rsidRPr="004E1637" w:rsidRDefault="00BE76D5" w:rsidP="002E340B">
      <w:pPr>
        <w:pStyle w:val="CM100"/>
        <w:rPr>
          <w:sz w:val="22"/>
          <w:szCs w:val="22"/>
          <w:u w:val="single"/>
        </w:rPr>
      </w:pPr>
      <w:r w:rsidRPr="004E1637">
        <w:rPr>
          <w:sz w:val="22"/>
          <w:szCs w:val="22"/>
          <w:u w:val="single"/>
        </w:rPr>
        <w:t xml:space="preserve">Distribúcia </w:t>
      </w:r>
    </w:p>
    <w:p w14:paraId="26025BF0" w14:textId="58925732" w:rsidR="00BE76D5" w:rsidRPr="004E1637" w:rsidRDefault="00BE76D5" w:rsidP="002E340B">
      <w:pPr>
        <w:pStyle w:val="CM100"/>
        <w:rPr>
          <w:sz w:val="22"/>
          <w:szCs w:val="22"/>
        </w:rPr>
      </w:pPr>
      <w:r w:rsidRPr="004E1637">
        <w:rPr>
          <w:sz w:val="22"/>
          <w:szCs w:val="22"/>
        </w:rPr>
        <w:t>U pacientov má dasatinib veľký zdanlivý distribučný objem (2 505 l),</w:t>
      </w:r>
      <w:r w:rsidR="00AC2867">
        <w:rPr>
          <w:sz w:val="22"/>
          <w:szCs w:val="22"/>
        </w:rPr>
        <w:t xml:space="preserve"> koeficient zmeny (CV% 93%)</w:t>
      </w:r>
      <w:r w:rsidRPr="004E1637">
        <w:rPr>
          <w:sz w:val="22"/>
          <w:szCs w:val="22"/>
        </w:rPr>
        <w:t xml:space="preserve"> čo svedčí o tom, že liek sa v rozsiahlej miere distribuuje v extravaskulárnom priestore. Pri klinicky významných koncentráciách dasatinibu bola väzba na plazmatické bielkoviny približne 96 % na základe </w:t>
      </w:r>
      <w:r w:rsidRPr="004E1637">
        <w:rPr>
          <w:i/>
          <w:iCs/>
          <w:sz w:val="22"/>
          <w:szCs w:val="22"/>
        </w:rPr>
        <w:t xml:space="preserve">in vitro </w:t>
      </w:r>
      <w:r w:rsidRPr="004E1637">
        <w:rPr>
          <w:sz w:val="22"/>
          <w:szCs w:val="22"/>
        </w:rPr>
        <w:t xml:space="preserve">experimentov. </w:t>
      </w:r>
    </w:p>
    <w:p w14:paraId="438DCA13" w14:textId="77777777" w:rsidR="002E340B" w:rsidRPr="004E1637" w:rsidRDefault="002E340B" w:rsidP="002E340B">
      <w:pPr>
        <w:pStyle w:val="Default"/>
      </w:pPr>
    </w:p>
    <w:p w14:paraId="318E041C" w14:textId="77777777" w:rsidR="002E340B" w:rsidRPr="004E1637" w:rsidRDefault="00BE76D5" w:rsidP="002E340B">
      <w:pPr>
        <w:pStyle w:val="CM100"/>
        <w:rPr>
          <w:sz w:val="22"/>
          <w:szCs w:val="22"/>
          <w:u w:val="single"/>
        </w:rPr>
      </w:pPr>
      <w:r w:rsidRPr="004E1637">
        <w:rPr>
          <w:sz w:val="22"/>
          <w:szCs w:val="22"/>
          <w:u w:val="single"/>
        </w:rPr>
        <w:t>Biotransformácia</w:t>
      </w:r>
      <w:r w:rsidRPr="00C11B8A">
        <w:rPr>
          <w:sz w:val="22"/>
          <w:szCs w:val="22"/>
        </w:rPr>
        <w:t xml:space="preserve"> </w:t>
      </w:r>
    </w:p>
    <w:p w14:paraId="30406B68" w14:textId="7D768A2E" w:rsidR="002E340B" w:rsidRPr="004E1637" w:rsidRDefault="002E340B" w:rsidP="002E340B">
      <w:pPr>
        <w:pStyle w:val="Default"/>
        <w:rPr>
          <w:sz w:val="22"/>
          <w:szCs w:val="22"/>
        </w:rPr>
      </w:pPr>
      <w:r w:rsidRPr="004E1637">
        <w:rPr>
          <w:sz w:val="22"/>
          <w:szCs w:val="22"/>
        </w:rPr>
        <w:t xml:space="preserve">Dasatinib sa u ľudí v rozsiahlej miere metabolizuje, pričom do tvorby metabolitov sú zapojené viaceré enzýmy. U zdravých </w:t>
      </w:r>
      <w:r w:rsidR="00A314BF">
        <w:rPr>
          <w:sz w:val="22"/>
          <w:szCs w:val="22"/>
        </w:rPr>
        <w:t>osôb</w:t>
      </w:r>
      <w:r w:rsidRPr="004E1637">
        <w:rPr>
          <w:sz w:val="22"/>
          <w:szCs w:val="22"/>
        </w:rPr>
        <w:t>, ktorým bolo podaných 100 mg dasatinibu značeného [</w:t>
      </w:r>
      <w:r w:rsidRPr="004E1637">
        <w:rPr>
          <w:sz w:val="22"/>
          <w:szCs w:val="22"/>
          <w:vertAlign w:val="superscript"/>
        </w:rPr>
        <w:t>14</w:t>
      </w:r>
      <w:r w:rsidRPr="004E1637">
        <w:rPr>
          <w:sz w:val="22"/>
          <w:szCs w:val="22"/>
        </w:rPr>
        <w:t xml:space="preserve">C], predstavoval nezmenený dasatinib 29 % cirkulujúcej rádioaktivity v plazme. Plazmatická koncentrácia a </w:t>
      </w:r>
      <w:r w:rsidRPr="004E1637">
        <w:rPr>
          <w:i/>
          <w:sz w:val="22"/>
          <w:szCs w:val="22"/>
        </w:rPr>
        <w:t>in vitro</w:t>
      </w:r>
      <w:r w:rsidRPr="004E1637">
        <w:rPr>
          <w:sz w:val="22"/>
          <w:szCs w:val="22"/>
        </w:rPr>
        <w:t xml:space="preserve"> meraná aktivita svedčia o tom, že nie je pravdepodobné, že metabolity dasatinibu majú významnú úlohu v pozorovanej farmakológii lie</w:t>
      </w:r>
      <w:r w:rsidR="00A314BF">
        <w:rPr>
          <w:sz w:val="22"/>
          <w:szCs w:val="22"/>
        </w:rPr>
        <w:t>čiva</w:t>
      </w:r>
      <w:r w:rsidRPr="004E1637">
        <w:rPr>
          <w:sz w:val="22"/>
          <w:szCs w:val="22"/>
        </w:rPr>
        <w:t>. CYP3A4 je hlavným enzýmom zodpovedným za metabolizmus dasatinibu.</w:t>
      </w:r>
    </w:p>
    <w:p w14:paraId="32654854" w14:textId="77777777" w:rsidR="002E340B" w:rsidRPr="004E1637" w:rsidRDefault="002E340B" w:rsidP="002E340B">
      <w:pPr>
        <w:pStyle w:val="CM100"/>
        <w:rPr>
          <w:sz w:val="22"/>
          <w:szCs w:val="22"/>
          <w:u w:val="single"/>
        </w:rPr>
      </w:pPr>
    </w:p>
    <w:p w14:paraId="7294864B" w14:textId="77777777" w:rsidR="002E340B" w:rsidRPr="004E1637" w:rsidRDefault="00BE76D5" w:rsidP="002E340B">
      <w:pPr>
        <w:pStyle w:val="CM100"/>
        <w:rPr>
          <w:sz w:val="22"/>
          <w:szCs w:val="22"/>
          <w:u w:val="single"/>
        </w:rPr>
      </w:pPr>
      <w:r w:rsidRPr="004E1637">
        <w:rPr>
          <w:sz w:val="22"/>
          <w:szCs w:val="22"/>
          <w:u w:val="single"/>
        </w:rPr>
        <w:t>Eliminácia</w:t>
      </w:r>
      <w:r w:rsidRPr="00C11B8A">
        <w:rPr>
          <w:sz w:val="22"/>
          <w:szCs w:val="22"/>
        </w:rPr>
        <w:t xml:space="preserve"> </w:t>
      </w:r>
    </w:p>
    <w:p w14:paraId="40217280" w14:textId="790AD0E8" w:rsidR="00B066F0" w:rsidRDefault="00B066F0" w:rsidP="00790DDC">
      <w:pPr>
        <w:pStyle w:val="CM100"/>
        <w:rPr>
          <w:sz w:val="22"/>
          <w:szCs w:val="22"/>
        </w:rPr>
      </w:pPr>
      <w:r w:rsidRPr="00B066F0">
        <w:rPr>
          <w:sz w:val="22"/>
          <w:szCs w:val="22"/>
        </w:rPr>
        <w:t>Priemerný terminálny polčas dasatinibu je 3 hodiny až 5 hodín. Priemerný zdanlivý perorálny klírens je 363</w:t>
      </w:r>
      <w:r w:rsidRPr="00A935A3">
        <w:rPr>
          <w:sz w:val="22"/>
          <w:szCs w:val="22"/>
        </w:rPr>
        <w:t xml:space="preserve">,8 </w:t>
      </w:r>
      <w:r w:rsidRPr="00354A4A">
        <w:rPr>
          <w:sz w:val="22"/>
          <w:szCs w:val="22"/>
        </w:rPr>
        <w:t>l/h</w:t>
      </w:r>
      <w:r w:rsidRPr="00B066F0">
        <w:rPr>
          <w:sz w:val="22"/>
          <w:szCs w:val="22"/>
        </w:rPr>
        <w:t xml:space="preserve"> (CV% 81,3%). </w:t>
      </w:r>
    </w:p>
    <w:p w14:paraId="69053CB5" w14:textId="77777777" w:rsidR="00A715DD" w:rsidRPr="00F95FB3" w:rsidRDefault="00A715DD" w:rsidP="00F95FB3">
      <w:pPr>
        <w:pStyle w:val="Default"/>
      </w:pPr>
    </w:p>
    <w:p w14:paraId="46F0EBE6" w14:textId="62B73F6C" w:rsidR="00790DDC" w:rsidRPr="004E1637" w:rsidRDefault="00790DDC" w:rsidP="00790DDC">
      <w:pPr>
        <w:pStyle w:val="CM100"/>
        <w:rPr>
          <w:sz w:val="22"/>
          <w:szCs w:val="22"/>
        </w:rPr>
      </w:pPr>
      <w:r w:rsidRPr="004E1637">
        <w:rPr>
          <w:sz w:val="22"/>
          <w:szCs w:val="22"/>
        </w:rPr>
        <w:t>Prevláda vylučovanie stolicou, prevažne vo forme metabolitov. Po jednorazovej perorálnej dávke dasatinibu značeného [</w:t>
      </w:r>
      <w:r w:rsidRPr="004E1637">
        <w:rPr>
          <w:sz w:val="22"/>
          <w:szCs w:val="22"/>
          <w:vertAlign w:val="superscript"/>
        </w:rPr>
        <w:t>14</w:t>
      </w:r>
      <w:r w:rsidRPr="004E1637">
        <w:rPr>
          <w:sz w:val="22"/>
          <w:szCs w:val="22"/>
        </w:rPr>
        <w:t>C] sa približne 89 % dávky vylúčilo do 10 dní, pričom 4 % rádioaktivity sa zistil</w:t>
      </w:r>
      <w:r w:rsidR="00DB5651">
        <w:rPr>
          <w:sz w:val="22"/>
          <w:szCs w:val="22"/>
        </w:rPr>
        <w:t>o</w:t>
      </w:r>
      <w:r w:rsidRPr="004E1637">
        <w:rPr>
          <w:sz w:val="22"/>
          <w:szCs w:val="22"/>
        </w:rPr>
        <w:t xml:space="preserve"> v moči a 85 % rádioaktivity sa zistilo v stolici. Nezmenený dasatinib predstavoval 0,1 % dávky v moči a 19 % dávky v stolici, pričom zvyšok dávky bol vo forme metabolitov.</w:t>
      </w:r>
    </w:p>
    <w:p w14:paraId="2396ABC0" w14:textId="77777777" w:rsidR="00790DDC" w:rsidRPr="004E1637" w:rsidRDefault="00790DDC" w:rsidP="002E340B">
      <w:pPr>
        <w:pStyle w:val="CM100"/>
        <w:rPr>
          <w:sz w:val="22"/>
          <w:szCs w:val="22"/>
          <w:u w:val="single"/>
        </w:rPr>
      </w:pPr>
    </w:p>
    <w:p w14:paraId="6647AC61" w14:textId="77777777" w:rsidR="004B039D" w:rsidRPr="004E1637" w:rsidRDefault="00BE76D5" w:rsidP="002E340B">
      <w:pPr>
        <w:pStyle w:val="CM100"/>
        <w:rPr>
          <w:sz w:val="22"/>
          <w:szCs w:val="22"/>
          <w:u w:val="single"/>
        </w:rPr>
      </w:pPr>
      <w:r w:rsidRPr="004E1637">
        <w:rPr>
          <w:sz w:val="22"/>
          <w:szCs w:val="22"/>
          <w:u w:val="single"/>
        </w:rPr>
        <w:t>Porucha funkcie pečene a obličiek</w:t>
      </w:r>
      <w:r w:rsidRPr="00C11B8A">
        <w:rPr>
          <w:sz w:val="22"/>
          <w:szCs w:val="22"/>
        </w:rPr>
        <w:t xml:space="preserve"> </w:t>
      </w:r>
    </w:p>
    <w:p w14:paraId="66ACF7F4" w14:textId="09B33C2B" w:rsidR="00BE76D5" w:rsidRPr="004E1637" w:rsidRDefault="00BE76D5" w:rsidP="002E340B">
      <w:pPr>
        <w:pStyle w:val="CM100"/>
        <w:rPr>
          <w:sz w:val="22"/>
          <w:szCs w:val="22"/>
        </w:rPr>
      </w:pPr>
      <w:r w:rsidRPr="004E1637">
        <w:rPr>
          <w:sz w:val="22"/>
          <w:szCs w:val="22"/>
        </w:rPr>
        <w:t xml:space="preserve">Vplyv poruchy funkcie pečene na farmakokinetiku jednorazovej dávky dasatinibu bol hodnotený u 8 </w:t>
      </w:r>
      <w:r w:rsidR="005C5774">
        <w:rPr>
          <w:sz w:val="22"/>
          <w:szCs w:val="22"/>
        </w:rPr>
        <w:t>osôb</w:t>
      </w:r>
      <w:r w:rsidR="005C5774" w:rsidRPr="004E1637">
        <w:rPr>
          <w:sz w:val="22"/>
          <w:szCs w:val="22"/>
        </w:rPr>
        <w:t xml:space="preserve"> </w:t>
      </w:r>
      <w:r w:rsidRPr="004E1637">
        <w:rPr>
          <w:sz w:val="22"/>
          <w:szCs w:val="22"/>
        </w:rPr>
        <w:t xml:space="preserve">so stredne </w:t>
      </w:r>
      <w:r w:rsidR="005C5774">
        <w:rPr>
          <w:sz w:val="22"/>
          <w:szCs w:val="22"/>
        </w:rPr>
        <w:t>závažnou</w:t>
      </w:r>
      <w:r w:rsidR="005C5774" w:rsidRPr="004E1637">
        <w:rPr>
          <w:sz w:val="22"/>
          <w:szCs w:val="22"/>
        </w:rPr>
        <w:t xml:space="preserve"> </w:t>
      </w:r>
      <w:r w:rsidRPr="004E1637">
        <w:rPr>
          <w:sz w:val="22"/>
          <w:szCs w:val="22"/>
        </w:rPr>
        <w:t xml:space="preserve">poruchou funkcie pečene, ktorí užívali dávku 50 mg a u 5 </w:t>
      </w:r>
      <w:r w:rsidR="005C5774">
        <w:rPr>
          <w:sz w:val="22"/>
          <w:szCs w:val="22"/>
        </w:rPr>
        <w:t>osôb</w:t>
      </w:r>
      <w:r w:rsidR="005C5774" w:rsidRPr="004E1637">
        <w:rPr>
          <w:sz w:val="22"/>
          <w:szCs w:val="22"/>
        </w:rPr>
        <w:t xml:space="preserve"> </w:t>
      </w:r>
      <w:r w:rsidRPr="004E1637">
        <w:rPr>
          <w:sz w:val="22"/>
          <w:szCs w:val="22"/>
        </w:rPr>
        <w:t>s</w:t>
      </w:r>
      <w:r w:rsidR="005C5774">
        <w:rPr>
          <w:sz w:val="22"/>
          <w:szCs w:val="22"/>
        </w:rPr>
        <w:t>o</w:t>
      </w:r>
      <w:r w:rsidRPr="004E1637">
        <w:rPr>
          <w:sz w:val="22"/>
          <w:szCs w:val="22"/>
        </w:rPr>
        <w:t xml:space="preserve"> </w:t>
      </w:r>
      <w:r w:rsidR="005C5774">
        <w:rPr>
          <w:sz w:val="22"/>
          <w:szCs w:val="22"/>
        </w:rPr>
        <w:t>závažnou</w:t>
      </w:r>
      <w:r w:rsidR="005C5774" w:rsidRPr="004E1637">
        <w:rPr>
          <w:sz w:val="22"/>
          <w:szCs w:val="22"/>
        </w:rPr>
        <w:t xml:space="preserve"> </w:t>
      </w:r>
      <w:r w:rsidRPr="004E1637">
        <w:rPr>
          <w:sz w:val="22"/>
          <w:szCs w:val="22"/>
        </w:rPr>
        <w:t xml:space="preserve">poruchou funkcie pečene, ktorí užívali dávku 20 mg v porovnaní so zodpovedajúcimi zdravými </w:t>
      </w:r>
      <w:r w:rsidR="00640455">
        <w:rPr>
          <w:sz w:val="22"/>
          <w:szCs w:val="22"/>
        </w:rPr>
        <w:t>osôb</w:t>
      </w:r>
      <w:r w:rsidRPr="004E1637">
        <w:rPr>
          <w:sz w:val="22"/>
          <w:szCs w:val="22"/>
        </w:rPr>
        <w:t>, ktorí užívali dávku 70 mg dasatinibu. Priemerné C</w:t>
      </w:r>
      <w:r w:rsidRPr="004E1637">
        <w:rPr>
          <w:sz w:val="22"/>
          <w:szCs w:val="22"/>
          <w:vertAlign w:val="subscript"/>
        </w:rPr>
        <w:t>max</w:t>
      </w:r>
      <w:r w:rsidRPr="004E1637">
        <w:rPr>
          <w:sz w:val="22"/>
          <w:szCs w:val="22"/>
        </w:rPr>
        <w:t xml:space="preserve"> dasatinibu upravené na dávku 70 mg sa znížili o 47 % a AUC o 8 % u</w:t>
      </w:r>
      <w:r w:rsidR="00A935A3">
        <w:rPr>
          <w:sz w:val="22"/>
          <w:szCs w:val="22"/>
        </w:rPr>
        <w:t xml:space="preserve"> </w:t>
      </w:r>
      <w:r w:rsidR="00640455">
        <w:rPr>
          <w:sz w:val="22"/>
          <w:szCs w:val="22"/>
        </w:rPr>
        <w:t>osôb</w:t>
      </w:r>
      <w:r w:rsidRPr="004E1637">
        <w:rPr>
          <w:sz w:val="22"/>
          <w:szCs w:val="22"/>
        </w:rPr>
        <w:t xml:space="preserve"> so stredne </w:t>
      </w:r>
      <w:r w:rsidR="00640455">
        <w:rPr>
          <w:sz w:val="22"/>
          <w:szCs w:val="22"/>
        </w:rPr>
        <w:t>závažnou</w:t>
      </w:r>
      <w:r w:rsidR="00640455" w:rsidRPr="004E1637">
        <w:rPr>
          <w:sz w:val="22"/>
          <w:szCs w:val="22"/>
        </w:rPr>
        <w:t xml:space="preserve"> </w:t>
      </w:r>
      <w:r w:rsidRPr="004E1637">
        <w:rPr>
          <w:sz w:val="22"/>
          <w:szCs w:val="22"/>
        </w:rPr>
        <w:t xml:space="preserve">poruchou funkcie pečene v porovnaní s osobami s normálnou funkciou pečene. U </w:t>
      </w:r>
      <w:r w:rsidR="00640455">
        <w:rPr>
          <w:sz w:val="22"/>
          <w:szCs w:val="22"/>
        </w:rPr>
        <w:t>osôb</w:t>
      </w:r>
      <w:r w:rsidR="00640455" w:rsidRPr="004E1637">
        <w:rPr>
          <w:sz w:val="22"/>
          <w:szCs w:val="22"/>
        </w:rPr>
        <w:t xml:space="preserve"> </w:t>
      </w:r>
      <w:r w:rsidRPr="004E1637">
        <w:rPr>
          <w:sz w:val="22"/>
          <w:szCs w:val="22"/>
        </w:rPr>
        <w:t>s</w:t>
      </w:r>
      <w:r w:rsidR="00A935A3">
        <w:rPr>
          <w:sz w:val="22"/>
          <w:szCs w:val="22"/>
        </w:rPr>
        <w:t>o</w:t>
      </w:r>
      <w:r w:rsidR="00640455">
        <w:rPr>
          <w:sz w:val="22"/>
          <w:szCs w:val="22"/>
        </w:rPr>
        <w:t xml:space="preserve"> závažnou</w:t>
      </w:r>
      <w:r w:rsidR="00A935A3">
        <w:rPr>
          <w:sz w:val="22"/>
          <w:szCs w:val="22"/>
        </w:rPr>
        <w:t xml:space="preserve"> </w:t>
      </w:r>
      <w:r w:rsidRPr="004E1637">
        <w:rPr>
          <w:sz w:val="22"/>
          <w:szCs w:val="22"/>
        </w:rPr>
        <w:t>poruchou funkcie pečene sa priemerné C</w:t>
      </w:r>
      <w:r w:rsidRPr="004E1637">
        <w:rPr>
          <w:sz w:val="22"/>
          <w:szCs w:val="22"/>
          <w:vertAlign w:val="subscript"/>
        </w:rPr>
        <w:t>max</w:t>
      </w:r>
      <w:r w:rsidRPr="004E1637">
        <w:rPr>
          <w:sz w:val="22"/>
          <w:szCs w:val="22"/>
        </w:rPr>
        <w:t xml:space="preserve"> upravené na dávku 70 mg znížili o 43 % a AUC o 28 % v porovnaní s osobami s normálnou funkciou pečene (pozri časti 4.2 a 4.4). </w:t>
      </w:r>
    </w:p>
    <w:p w14:paraId="77AA5C1D" w14:textId="77777777" w:rsidR="00AC2867" w:rsidRDefault="00AC2867" w:rsidP="002E340B">
      <w:pPr>
        <w:pStyle w:val="CM100"/>
        <w:rPr>
          <w:sz w:val="22"/>
          <w:szCs w:val="22"/>
        </w:rPr>
      </w:pPr>
    </w:p>
    <w:p w14:paraId="14B12901" w14:textId="0128073D" w:rsidR="00BE76D5" w:rsidRPr="004E1637" w:rsidRDefault="00BE76D5" w:rsidP="002E340B">
      <w:pPr>
        <w:pStyle w:val="CM100"/>
        <w:rPr>
          <w:sz w:val="22"/>
          <w:szCs w:val="22"/>
        </w:rPr>
      </w:pPr>
      <w:r w:rsidRPr="004E1637">
        <w:rPr>
          <w:sz w:val="22"/>
          <w:szCs w:val="22"/>
        </w:rPr>
        <w:t xml:space="preserve">Dasatinib a jeho metabolity sú v minimálnej miere vylučované obličkami. </w:t>
      </w:r>
    </w:p>
    <w:p w14:paraId="6B7ECB46" w14:textId="77777777" w:rsidR="004B039D" w:rsidRPr="004E1637" w:rsidRDefault="004B039D" w:rsidP="002E340B">
      <w:pPr>
        <w:pStyle w:val="CM100"/>
        <w:rPr>
          <w:sz w:val="22"/>
          <w:szCs w:val="22"/>
          <w:u w:val="single"/>
        </w:rPr>
      </w:pPr>
    </w:p>
    <w:p w14:paraId="7A493A4E" w14:textId="77777777" w:rsidR="004B039D" w:rsidRPr="004E1637" w:rsidRDefault="00BE76D5" w:rsidP="002E340B">
      <w:pPr>
        <w:pStyle w:val="CM100"/>
        <w:rPr>
          <w:sz w:val="22"/>
          <w:szCs w:val="22"/>
          <w:u w:val="single"/>
        </w:rPr>
      </w:pPr>
      <w:r w:rsidRPr="004E1637">
        <w:rPr>
          <w:sz w:val="22"/>
          <w:szCs w:val="22"/>
          <w:u w:val="single"/>
        </w:rPr>
        <w:t>Pediatrická populácia</w:t>
      </w:r>
      <w:r w:rsidRPr="00C11B8A">
        <w:rPr>
          <w:sz w:val="22"/>
          <w:szCs w:val="22"/>
        </w:rPr>
        <w:t xml:space="preserve"> </w:t>
      </w:r>
    </w:p>
    <w:p w14:paraId="664EC888" w14:textId="5D9CC423" w:rsidR="004B039D" w:rsidRDefault="00BE76D5" w:rsidP="002E340B">
      <w:pPr>
        <w:pStyle w:val="CM100"/>
        <w:rPr>
          <w:sz w:val="22"/>
          <w:szCs w:val="22"/>
        </w:rPr>
      </w:pPr>
      <w:r w:rsidRPr="004E1637">
        <w:rPr>
          <w:sz w:val="22"/>
          <w:szCs w:val="22"/>
        </w:rPr>
        <w:t xml:space="preserve">Farmakokinetika dasatinibu sa hodnotila u 104 pediatrických pacientov s leukémiou alebo solídnymi nádormi (72 dostalo tabletovú </w:t>
      </w:r>
      <w:r w:rsidR="00476D90">
        <w:rPr>
          <w:sz w:val="22"/>
          <w:szCs w:val="22"/>
        </w:rPr>
        <w:t xml:space="preserve">liekovú </w:t>
      </w:r>
      <w:r w:rsidRPr="004E1637">
        <w:rPr>
          <w:sz w:val="22"/>
          <w:szCs w:val="22"/>
        </w:rPr>
        <w:t xml:space="preserve">formu a 32 dostalo </w:t>
      </w:r>
      <w:r w:rsidR="00476D90">
        <w:rPr>
          <w:sz w:val="22"/>
          <w:szCs w:val="22"/>
        </w:rPr>
        <w:t xml:space="preserve">dasatinib </w:t>
      </w:r>
      <w:r w:rsidRPr="004E1637">
        <w:rPr>
          <w:sz w:val="22"/>
          <w:szCs w:val="22"/>
        </w:rPr>
        <w:t>prášok na perorálnu suspenziu).</w:t>
      </w:r>
    </w:p>
    <w:p w14:paraId="621D64FB" w14:textId="1CB7CB1A" w:rsidR="00AC2867" w:rsidRDefault="00AC2867" w:rsidP="00AC2867">
      <w:pPr>
        <w:pStyle w:val="Default"/>
      </w:pPr>
    </w:p>
    <w:p w14:paraId="1C45245A" w14:textId="0CEC0671" w:rsidR="004B039D" w:rsidRPr="004E1637" w:rsidRDefault="004B039D" w:rsidP="004B039D">
      <w:pPr>
        <w:pStyle w:val="Default"/>
        <w:rPr>
          <w:sz w:val="22"/>
          <w:szCs w:val="22"/>
        </w:rPr>
      </w:pPr>
      <w:r w:rsidRPr="004E1637">
        <w:rPr>
          <w:sz w:val="22"/>
          <w:szCs w:val="22"/>
        </w:rPr>
        <w:t xml:space="preserve">Farmakokinetika tabletovej </w:t>
      </w:r>
      <w:r w:rsidR="00476D90">
        <w:rPr>
          <w:sz w:val="22"/>
          <w:szCs w:val="22"/>
        </w:rPr>
        <w:t xml:space="preserve">liekovej </w:t>
      </w:r>
      <w:r w:rsidRPr="004E1637">
        <w:rPr>
          <w:sz w:val="22"/>
          <w:szCs w:val="22"/>
        </w:rPr>
        <w:t>formy dasatinibu sa hodnotila u 72 pediatrických pacientov s recidívou leukémie alebo s refraktérnou leukémiou alebo so solídnymi nádormi s perorálnou dávkou v rozsahu od 60 do 120 mg/m</w:t>
      </w:r>
      <w:r w:rsidRPr="004E1637">
        <w:rPr>
          <w:sz w:val="22"/>
          <w:szCs w:val="22"/>
          <w:vertAlign w:val="superscript"/>
        </w:rPr>
        <w:t>2</w:t>
      </w:r>
      <w:r w:rsidRPr="004E1637">
        <w:rPr>
          <w:sz w:val="22"/>
          <w:szCs w:val="22"/>
        </w:rPr>
        <w:t xml:space="preserve"> jedenkrát denne a 50 až 110 mg/m</w:t>
      </w:r>
      <w:r w:rsidRPr="004E1637">
        <w:rPr>
          <w:sz w:val="22"/>
          <w:szCs w:val="22"/>
          <w:vertAlign w:val="superscript"/>
        </w:rPr>
        <w:t>2</w:t>
      </w:r>
      <w:r w:rsidRPr="004E1637">
        <w:rPr>
          <w:sz w:val="22"/>
          <w:szCs w:val="22"/>
        </w:rPr>
        <w:t xml:space="preserve"> dvakrát denne. Údaje dvoch štúdii boli spojené a potvrdili, že sa dasatinib rýchlo absorboval. Pri všetkých hladinách dávok a vekových skupinách sa pozoroval priemerný T</w:t>
      </w:r>
      <w:r w:rsidRPr="004E1637">
        <w:rPr>
          <w:sz w:val="22"/>
          <w:szCs w:val="22"/>
          <w:vertAlign w:val="subscript"/>
        </w:rPr>
        <w:t>max</w:t>
      </w:r>
      <w:r w:rsidRPr="004E1637">
        <w:rPr>
          <w:sz w:val="22"/>
          <w:szCs w:val="22"/>
        </w:rPr>
        <w:t xml:space="preserve"> medzi 0,5 a 6 hodinami a priemerný polčas v rozsahu od 2 do 5 hodín. </w:t>
      </w:r>
      <w:r w:rsidR="00476D90">
        <w:rPr>
          <w:sz w:val="22"/>
          <w:szCs w:val="22"/>
        </w:rPr>
        <w:t>F</w:t>
      </w:r>
      <w:r w:rsidRPr="004E1637">
        <w:rPr>
          <w:sz w:val="22"/>
          <w:szCs w:val="22"/>
        </w:rPr>
        <w:t>K dasatinibu potvrdila proporcionalitu dávky so zvýšením expozície v súvislosti s dávkou, čo sa pozorovalo u pediatrických pacientov. Medzi deťmi a dospievajúcimi sa nepozorovali žiadne signifikantné rozdiely</w:t>
      </w:r>
      <w:r w:rsidR="00C467EC">
        <w:rPr>
          <w:sz w:val="22"/>
          <w:szCs w:val="22"/>
        </w:rPr>
        <w:t xml:space="preserve"> vo</w:t>
      </w:r>
      <w:r w:rsidRPr="004E1637">
        <w:rPr>
          <w:sz w:val="22"/>
          <w:szCs w:val="22"/>
        </w:rPr>
        <w:t xml:space="preserve"> PK dasatinibu. Pri rôznych hladinách dávok sa geometrické priemery normalizovanej dávky dasatinibu C</w:t>
      </w:r>
      <w:r w:rsidRPr="004E1637">
        <w:rPr>
          <w:sz w:val="22"/>
          <w:szCs w:val="22"/>
          <w:vertAlign w:val="subscript"/>
        </w:rPr>
        <w:t>max</w:t>
      </w:r>
      <w:r w:rsidRPr="004E1637">
        <w:rPr>
          <w:sz w:val="22"/>
          <w:szCs w:val="22"/>
        </w:rPr>
        <w:t xml:space="preserve">, AUC (0-T) a AUC (INF) ukázali medzi deťmi a dospievajúcimi podobné. </w:t>
      </w:r>
      <w:r w:rsidR="00C467EC">
        <w:rPr>
          <w:sz w:val="22"/>
          <w:szCs w:val="22"/>
        </w:rPr>
        <w:t>S</w:t>
      </w:r>
      <w:r w:rsidRPr="004E1637">
        <w:rPr>
          <w:sz w:val="22"/>
          <w:szCs w:val="22"/>
        </w:rPr>
        <w:t xml:space="preserve">imulácia na základe modelu </w:t>
      </w:r>
      <w:r w:rsidR="00C467EC">
        <w:rPr>
          <w:sz w:val="22"/>
          <w:szCs w:val="22"/>
        </w:rPr>
        <w:t xml:space="preserve">PPK </w:t>
      </w:r>
      <w:r w:rsidRPr="004E1637">
        <w:rPr>
          <w:sz w:val="22"/>
          <w:szCs w:val="22"/>
        </w:rPr>
        <w:t xml:space="preserve">predpovedala, že </w:t>
      </w:r>
      <w:r w:rsidR="007C2A8E">
        <w:rPr>
          <w:sz w:val="22"/>
          <w:szCs w:val="22"/>
        </w:rPr>
        <w:t>odporúčané dávkovanie</w:t>
      </w:r>
      <w:r w:rsidR="000434EC">
        <w:rPr>
          <w:sz w:val="22"/>
          <w:szCs w:val="22"/>
        </w:rPr>
        <w:t xml:space="preserve"> na základe</w:t>
      </w:r>
      <w:r w:rsidR="007C2A8E">
        <w:rPr>
          <w:sz w:val="22"/>
          <w:szCs w:val="22"/>
        </w:rPr>
        <w:t xml:space="preserve"> </w:t>
      </w:r>
      <w:r w:rsidRPr="004E1637">
        <w:rPr>
          <w:sz w:val="22"/>
          <w:szCs w:val="22"/>
        </w:rPr>
        <w:t>telesn</w:t>
      </w:r>
      <w:r w:rsidR="000434EC">
        <w:rPr>
          <w:sz w:val="22"/>
          <w:szCs w:val="22"/>
        </w:rPr>
        <w:t>ej</w:t>
      </w:r>
      <w:r w:rsidRPr="004E1637">
        <w:rPr>
          <w:sz w:val="22"/>
          <w:szCs w:val="22"/>
        </w:rPr>
        <w:t xml:space="preserve"> hmotnos</w:t>
      </w:r>
      <w:r w:rsidR="000434EC">
        <w:rPr>
          <w:sz w:val="22"/>
          <w:szCs w:val="22"/>
        </w:rPr>
        <w:t>ti</w:t>
      </w:r>
      <w:r w:rsidRPr="004E1637">
        <w:rPr>
          <w:sz w:val="22"/>
          <w:szCs w:val="22"/>
        </w:rPr>
        <w:t xml:space="preserve"> opísané pre tablety v časti 4.2</w:t>
      </w:r>
      <w:r w:rsidR="000434EC">
        <w:rPr>
          <w:sz w:val="22"/>
          <w:szCs w:val="22"/>
        </w:rPr>
        <w:t xml:space="preserve"> pravdepodobne</w:t>
      </w:r>
      <w:r w:rsidRPr="004E1637">
        <w:rPr>
          <w:sz w:val="22"/>
          <w:szCs w:val="22"/>
        </w:rPr>
        <w:t xml:space="preserve"> poskytne podobnú expozíciu pre tabletu v dávke 60 mg/m</w:t>
      </w:r>
      <w:r w:rsidRPr="004E1637">
        <w:rPr>
          <w:sz w:val="22"/>
          <w:szCs w:val="22"/>
          <w:vertAlign w:val="superscript"/>
        </w:rPr>
        <w:t>2</w:t>
      </w:r>
      <w:r w:rsidRPr="004E1637">
        <w:rPr>
          <w:sz w:val="22"/>
          <w:szCs w:val="22"/>
        </w:rPr>
        <w:t xml:space="preserve">. Tieto údaje sa majú zohľadniť, ak sa pacienti </w:t>
      </w:r>
      <w:r w:rsidR="007C2A8E">
        <w:rPr>
          <w:sz w:val="22"/>
          <w:szCs w:val="22"/>
        </w:rPr>
        <w:t>prechádzajú</w:t>
      </w:r>
      <w:r w:rsidRPr="004E1637">
        <w:rPr>
          <w:sz w:val="22"/>
          <w:szCs w:val="22"/>
        </w:rPr>
        <w:t xml:space="preserve"> z tabliet </w:t>
      </w:r>
      <w:r w:rsidR="000434EC">
        <w:rPr>
          <w:sz w:val="22"/>
          <w:szCs w:val="22"/>
        </w:rPr>
        <w:t xml:space="preserve">dasatinibu </w:t>
      </w:r>
      <w:r w:rsidRPr="004E1637">
        <w:rPr>
          <w:sz w:val="22"/>
          <w:szCs w:val="22"/>
        </w:rPr>
        <w:t>na prášok na perorálnu suspenziu alebo naopak.</w:t>
      </w:r>
    </w:p>
    <w:p w14:paraId="2390528F" w14:textId="77777777" w:rsidR="004B039D" w:rsidRPr="004E1637" w:rsidRDefault="004B039D" w:rsidP="004B039D">
      <w:pPr>
        <w:pStyle w:val="CM100"/>
        <w:rPr>
          <w:sz w:val="22"/>
          <w:szCs w:val="22"/>
        </w:rPr>
      </w:pPr>
    </w:p>
    <w:p w14:paraId="72BC04D3" w14:textId="00FD3726" w:rsidR="00BE76D5" w:rsidRPr="004E1637" w:rsidRDefault="00BE76D5" w:rsidP="00895A04">
      <w:pPr>
        <w:pStyle w:val="CM100"/>
        <w:tabs>
          <w:tab w:val="left" w:pos="567"/>
        </w:tabs>
        <w:rPr>
          <w:b/>
          <w:bCs/>
          <w:sz w:val="22"/>
          <w:szCs w:val="22"/>
        </w:rPr>
      </w:pPr>
      <w:r w:rsidRPr="004E1637">
        <w:rPr>
          <w:b/>
          <w:bCs/>
          <w:sz w:val="22"/>
          <w:szCs w:val="22"/>
        </w:rPr>
        <w:t>5.3</w:t>
      </w:r>
      <w:r w:rsidR="00895A04">
        <w:rPr>
          <w:b/>
          <w:bCs/>
          <w:sz w:val="22"/>
          <w:szCs w:val="22"/>
        </w:rPr>
        <w:tab/>
      </w:r>
      <w:r w:rsidRPr="004E1637">
        <w:rPr>
          <w:b/>
          <w:bCs/>
          <w:sz w:val="22"/>
          <w:szCs w:val="22"/>
        </w:rPr>
        <w:t xml:space="preserve">Predklinické údaje o bezpečnosti </w:t>
      </w:r>
    </w:p>
    <w:p w14:paraId="3211FA6E" w14:textId="77777777" w:rsidR="004B039D" w:rsidRPr="004E1637" w:rsidRDefault="004B039D" w:rsidP="004B039D">
      <w:pPr>
        <w:pStyle w:val="Default"/>
      </w:pPr>
    </w:p>
    <w:p w14:paraId="76C11776" w14:textId="77777777" w:rsidR="00BE76D5" w:rsidRPr="004E1637" w:rsidRDefault="00BE76D5" w:rsidP="002E340B">
      <w:pPr>
        <w:pStyle w:val="CM100"/>
        <w:rPr>
          <w:sz w:val="22"/>
          <w:szCs w:val="22"/>
        </w:rPr>
      </w:pPr>
      <w:r w:rsidRPr="004E1637">
        <w:rPr>
          <w:sz w:val="22"/>
          <w:szCs w:val="22"/>
        </w:rPr>
        <w:t xml:space="preserve">Profil predklinickej bezpečnosti dasatinibu sa hodnotil v sérii štúdií </w:t>
      </w:r>
      <w:r w:rsidRPr="004E1637">
        <w:rPr>
          <w:i/>
          <w:iCs/>
          <w:sz w:val="22"/>
          <w:szCs w:val="22"/>
        </w:rPr>
        <w:t>in vitro</w:t>
      </w:r>
      <w:r w:rsidRPr="004E1637">
        <w:rPr>
          <w:sz w:val="22"/>
          <w:szCs w:val="22"/>
        </w:rPr>
        <w:t xml:space="preserve"> a </w:t>
      </w:r>
      <w:r w:rsidRPr="004E1637">
        <w:rPr>
          <w:i/>
          <w:iCs/>
          <w:sz w:val="22"/>
          <w:szCs w:val="22"/>
        </w:rPr>
        <w:t xml:space="preserve">in vivo </w:t>
      </w:r>
      <w:r w:rsidRPr="004E1637">
        <w:rPr>
          <w:sz w:val="22"/>
          <w:szCs w:val="22"/>
        </w:rPr>
        <w:t xml:space="preserve">na myšiach, potkanoch, opiciach a králikoch. </w:t>
      </w:r>
    </w:p>
    <w:p w14:paraId="68AE1156" w14:textId="77777777" w:rsidR="004B039D" w:rsidRPr="004E1637" w:rsidRDefault="004B039D" w:rsidP="004B039D">
      <w:pPr>
        <w:pStyle w:val="Default"/>
      </w:pPr>
    </w:p>
    <w:p w14:paraId="78DBF9AA" w14:textId="3D4A7627" w:rsidR="00BE76D5" w:rsidRPr="004E1637" w:rsidRDefault="00BE76D5" w:rsidP="002E340B">
      <w:pPr>
        <w:pStyle w:val="CM100"/>
        <w:rPr>
          <w:sz w:val="22"/>
          <w:szCs w:val="22"/>
        </w:rPr>
      </w:pPr>
      <w:r w:rsidRPr="004E1637">
        <w:rPr>
          <w:sz w:val="22"/>
          <w:szCs w:val="22"/>
        </w:rPr>
        <w:t>Primárna toxicita sa vyskytla v gastrointestinálnom, hematopoetickom a lymfoidnom systéme. Gastrointestinálna toxicita bola limitovaná dávk</w:t>
      </w:r>
      <w:r w:rsidR="009079E0">
        <w:rPr>
          <w:sz w:val="22"/>
          <w:szCs w:val="22"/>
        </w:rPr>
        <w:t>o</w:t>
      </w:r>
      <w:r w:rsidRPr="004E1637">
        <w:rPr>
          <w:sz w:val="22"/>
          <w:szCs w:val="22"/>
        </w:rPr>
        <w:t xml:space="preserve">u u potkanov a opíc, keďže črevo bolo hlavným cieľovým orgánom. U potkanov boli minimálne až mierne poklesy v parametroch erytrocytov sprevádzané zmenami kostnej drene; u opíc sa podobné zmeny vyskytli s nižšou incidenciou. Lymfoidná toxicita u potkanov pozostávala z lymfoidnej deplécie lymfatických uzlín, sleziny a týmusu a zníženej hmotnosti lymfoidných orgánov. Zmeny v gastrointestinálnom, hematopoetickom a lymfoidnom systéme boli reverzibilné po ukončení liečby. </w:t>
      </w:r>
    </w:p>
    <w:p w14:paraId="2A05DE67" w14:textId="77777777" w:rsidR="004B039D" w:rsidRPr="004E1637" w:rsidRDefault="004B039D" w:rsidP="004B039D">
      <w:pPr>
        <w:pStyle w:val="Default"/>
      </w:pPr>
    </w:p>
    <w:p w14:paraId="3E31E1C5" w14:textId="77777777" w:rsidR="00BE76D5" w:rsidRPr="004E1637" w:rsidRDefault="00BE76D5" w:rsidP="002E340B">
      <w:pPr>
        <w:pStyle w:val="CM100"/>
        <w:rPr>
          <w:sz w:val="22"/>
          <w:szCs w:val="22"/>
        </w:rPr>
      </w:pPr>
      <w:r w:rsidRPr="004E1637">
        <w:rPr>
          <w:sz w:val="22"/>
          <w:szCs w:val="22"/>
        </w:rPr>
        <w:t xml:space="preserve">Obličkové zmeny u opíc liečených počas 9 mesiacov sa obmedzovali na zvýšenie prirodzenej mineralizácie v obličkách. Kožné krvácanie bolo pozorované v štúdii akútnej jednorazovej perorálnej </w:t>
      </w:r>
      <w:r w:rsidRPr="004E1637">
        <w:rPr>
          <w:sz w:val="22"/>
          <w:szCs w:val="22"/>
        </w:rPr>
        <w:lastRenderedPageBreak/>
        <w:t xml:space="preserve">dávky u opíc, ale nebolo pozorované v štúdiách opakovanej dávky ani u opíc ani u potkanov. U potkanov dasatinib inhiboval agregáciu trombocytov </w:t>
      </w:r>
      <w:r w:rsidRPr="004E1637">
        <w:rPr>
          <w:i/>
          <w:iCs/>
          <w:sz w:val="22"/>
          <w:szCs w:val="22"/>
        </w:rPr>
        <w:t>in vitro</w:t>
      </w:r>
      <w:r w:rsidRPr="004E1637">
        <w:rPr>
          <w:sz w:val="22"/>
          <w:szCs w:val="22"/>
        </w:rPr>
        <w:t xml:space="preserve"> a predĺžil čas krvácania z kutikuly </w:t>
      </w:r>
      <w:r w:rsidRPr="004E1637">
        <w:rPr>
          <w:i/>
          <w:iCs/>
          <w:sz w:val="22"/>
          <w:szCs w:val="22"/>
        </w:rPr>
        <w:t>in vivo</w:t>
      </w:r>
      <w:r w:rsidRPr="004E1637">
        <w:rPr>
          <w:sz w:val="22"/>
          <w:szCs w:val="22"/>
        </w:rPr>
        <w:t xml:space="preserve">, ale nevyvolal spontánne krvácanie. </w:t>
      </w:r>
    </w:p>
    <w:p w14:paraId="1AAF1FEE" w14:textId="77777777" w:rsidR="004B039D" w:rsidRPr="004E1637" w:rsidRDefault="004B039D" w:rsidP="004B039D">
      <w:pPr>
        <w:pStyle w:val="Default"/>
      </w:pPr>
    </w:p>
    <w:p w14:paraId="4B68AD60" w14:textId="77777777" w:rsidR="00BE76D5" w:rsidRPr="004E1637" w:rsidRDefault="00BE76D5" w:rsidP="002E340B">
      <w:pPr>
        <w:pStyle w:val="CM100"/>
        <w:rPr>
          <w:sz w:val="22"/>
          <w:szCs w:val="22"/>
        </w:rPr>
      </w:pPr>
      <w:r w:rsidRPr="004E1637">
        <w:rPr>
          <w:sz w:val="22"/>
          <w:szCs w:val="22"/>
        </w:rPr>
        <w:t xml:space="preserve">Aktivita dasatinibu </w:t>
      </w:r>
      <w:r w:rsidRPr="004E1637">
        <w:rPr>
          <w:i/>
          <w:iCs/>
          <w:sz w:val="22"/>
          <w:szCs w:val="22"/>
        </w:rPr>
        <w:t xml:space="preserve">in vitro </w:t>
      </w:r>
      <w:r w:rsidRPr="004E1637">
        <w:rPr>
          <w:sz w:val="22"/>
          <w:szCs w:val="22"/>
        </w:rPr>
        <w:t xml:space="preserve">v teste hERG a teste na Purkyňových vláknach svedčí o možnom predĺžení repolarizácie srdcových komôr (QT interval). V štúdii s jednorazovou dávkou </w:t>
      </w:r>
      <w:r w:rsidRPr="004E1637">
        <w:rPr>
          <w:i/>
          <w:iCs/>
          <w:sz w:val="22"/>
          <w:szCs w:val="22"/>
        </w:rPr>
        <w:t xml:space="preserve">in vivo </w:t>
      </w:r>
      <w:r w:rsidRPr="004E1637">
        <w:rPr>
          <w:sz w:val="22"/>
          <w:szCs w:val="22"/>
        </w:rPr>
        <w:t xml:space="preserve">na opiciach, ktoré boli pri vedomí a sledované telemetricky, však neboli žiadne zmeny v QT intervale, ani v tvare vlny na EKG. </w:t>
      </w:r>
    </w:p>
    <w:p w14:paraId="09D01365" w14:textId="77777777" w:rsidR="004B039D" w:rsidRPr="004E1637" w:rsidRDefault="004B039D" w:rsidP="004B039D">
      <w:pPr>
        <w:pStyle w:val="Default"/>
      </w:pPr>
    </w:p>
    <w:p w14:paraId="0E84C32A" w14:textId="0D395798" w:rsidR="00BE76D5" w:rsidRPr="004E1637" w:rsidRDefault="00BE76D5" w:rsidP="002E340B">
      <w:pPr>
        <w:pStyle w:val="CM100"/>
        <w:rPr>
          <w:sz w:val="22"/>
          <w:szCs w:val="22"/>
        </w:rPr>
      </w:pPr>
      <w:r w:rsidRPr="004E1637">
        <w:rPr>
          <w:sz w:val="22"/>
          <w:szCs w:val="22"/>
        </w:rPr>
        <w:t xml:space="preserve">Dasatinib nebol mutagénny v testoch </w:t>
      </w:r>
      <w:r w:rsidRPr="004E1637">
        <w:rPr>
          <w:i/>
          <w:iCs/>
          <w:sz w:val="22"/>
          <w:szCs w:val="22"/>
        </w:rPr>
        <w:t>in vitro</w:t>
      </w:r>
      <w:r w:rsidRPr="004E1637">
        <w:rPr>
          <w:sz w:val="22"/>
          <w:szCs w:val="22"/>
        </w:rPr>
        <w:t xml:space="preserve"> na bakteriálnych bunkách (Amesov test) a nebol genotoxický v teste </w:t>
      </w:r>
      <w:r w:rsidRPr="004E1637">
        <w:rPr>
          <w:i/>
          <w:iCs/>
          <w:sz w:val="22"/>
          <w:szCs w:val="22"/>
        </w:rPr>
        <w:t>in vivo</w:t>
      </w:r>
      <w:r w:rsidRPr="004E1637">
        <w:rPr>
          <w:sz w:val="22"/>
          <w:szCs w:val="22"/>
        </w:rPr>
        <w:t xml:space="preserve"> na potkaních mikronukleoch. Dasatinib mal klastogénny účinok </w:t>
      </w:r>
      <w:r w:rsidRPr="004E1637">
        <w:rPr>
          <w:i/>
          <w:iCs/>
          <w:sz w:val="22"/>
          <w:szCs w:val="22"/>
        </w:rPr>
        <w:t>in vitro</w:t>
      </w:r>
      <w:r w:rsidRPr="004E1637">
        <w:rPr>
          <w:sz w:val="22"/>
          <w:szCs w:val="22"/>
        </w:rPr>
        <w:t xml:space="preserve"> na deliace sa ovariálne bunky </w:t>
      </w:r>
      <w:r w:rsidR="00241C8B">
        <w:rPr>
          <w:sz w:val="22"/>
          <w:szCs w:val="22"/>
        </w:rPr>
        <w:t xml:space="preserve">čínskeho škrečka </w:t>
      </w:r>
      <w:r w:rsidRPr="004E1637">
        <w:rPr>
          <w:sz w:val="22"/>
          <w:szCs w:val="22"/>
        </w:rPr>
        <w:t xml:space="preserve">(CHO). </w:t>
      </w:r>
    </w:p>
    <w:p w14:paraId="163FE1F3" w14:textId="77777777" w:rsidR="004B039D" w:rsidRPr="004E1637" w:rsidRDefault="004B039D" w:rsidP="004B039D">
      <w:pPr>
        <w:pStyle w:val="Default"/>
      </w:pPr>
    </w:p>
    <w:p w14:paraId="2BCBE9E4" w14:textId="7C542AE9" w:rsidR="00BE76D5" w:rsidRPr="004E1637" w:rsidRDefault="00BE76D5" w:rsidP="002E340B">
      <w:pPr>
        <w:pStyle w:val="CM100"/>
        <w:rPr>
          <w:sz w:val="22"/>
          <w:szCs w:val="22"/>
        </w:rPr>
      </w:pPr>
      <w:r w:rsidRPr="004E1637">
        <w:rPr>
          <w:sz w:val="22"/>
          <w:szCs w:val="22"/>
        </w:rPr>
        <w:t xml:space="preserve">Dasatinib neovplyvnil samčiu alebo samičiu fertilitu potkanov </w:t>
      </w:r>
      <w:r w:rsidR="00241C8B">
        <w:rPr>
          <w:sz w:val="22"/>
          <w:szCs w:val="22"/>
        </w:rPr>
        <w:t xml:space="preserve">v konvenčnej štúdii fertility </w:t>
      </w:r>
      <w:r w:rsidRPr="004E1637">
        <w:rPr>
          <w:sz w:val="22"/>
          <w:szCs w:val="22"/>
        </w:rPr>
        <w:t>a štúdi</w:t>
      </w:r>
      <w:r w:rsidR="00241C8B">
        <w:rPr>
          <w:sz w:val="22"/>
          <w:szCs w:val="22"/>
        </w:rPr>
        <w:t>i</w:t>
      </w:r>
      <w:r w:rsidRPr="004E1637">
        <w:rPr>
          <w:sz w:val="22"/>
          <w:szCs w:val="22"/>
        </w:rPr>
        <w:t xml:space="preserve"> </w:t>
      </w:r>
      <w:r w:rsidR="00241C8B">
        <w:rPr>
          <w:sz w:val="22"/>
          <w:szCs w:val="22"/>
        </w:rPr>
        <w:t xml:space="preserve">včasného </w:t>
      </w:r>
      <w:r w:rsidRPr="004E1637">
        <w:rPr>
          <w:sz w:val="22"/>
          <w:szCs w:val="22"/>
        </w:rPr>
        <w:t>embryofetálneho výv</w:t>
      </w:r>
      <w:r w:rsidR="009079E0">
        <w:rPr>
          <w:sz w:val="22"/>
          <w:szCs w:val="22"/>
        </w:rPr>
        <w:t>inu</w:t>
      </w:r>
      <w:r w:rsidRPr="004E1637">
        <w:rPr>
          <w:sz w:val="22"/>
          <w:szCs w:val="22"/>
        </w:rPr>
        <w:t>, ale indukoval embryoletalitu v dávkach zodpovedajúcich klinickej expozícii u ľudí. V štúdiách embryofetálneho vývoja podobne spôsobil dasatinib embryoletalitu, ktorá bola spojená so zníženou veľkosťou vrhu u potkanov ako aj zmeny skeletu plodu u potkanov aj králikov. Tieto účinky sa vyskytovali pri dávkach, ktoré nespôsobovali toxické prejavy u matky naznačujúc, že dasatinib je l</w:t>
      </w:r>
      <w:r w:rsidR="009079E0">
        <w:rPr>
          <w:sz w:val="22"/>
          <w:szCs w:val="22"/>
        </w:rPr>
        <w:t>iečivo</w:t>
      </w:r>
      <w:r w:rsidRPr="004E1637">
        <w:rPr>
          <w:sz w:val="22"/>
          <w:szCs w:val="22"/>
        </w:rPr>
        <w:t xml:space="preserve"> </w:t>
      </w:r>
      <w:r w:rsidR="00241C8B">
        <w:rPr>
          <w:sz w:val="22"/>
          <w:szCs w:val="22"/>
        </w:rPr>
        <w:t xml:space="preserve">so selektívnou </w:t>
      </w:r>
      <w:r w:rsidR="009079E0">
        <w:rPr>
          <w:sz w:val="22"/>
          <w:szCs w:val="22"/>
        </w:rPr>
        <w:t xml:space="preserve">reprodukčnou </w:t>
      </w:r>
      <w:r w:rsidR="00241C8B">
        <w:rPr>
          <w:sz w:val="22"/>
          <w:szCs w:val="22"/>
        </w:rPr>
        <w:t xml:space="preserve">toxicitou </w:t>
      </w:r>
      <w:r w:rsidRPr="004E1637">
        <w:rPr>
          <w:sz w:val="22"/>
          <w:szCs w:val="22"/>
        </w:rPr>
        <w:t>od implementácie až po</w:t>
      </w:r>
      <w:r w:rsidR="00241C8B">
        <w:rPr>
          <w:sz w:val="22"/>
          <w:szCs w:val="22"/>
        </w:rPr>
        <w:t xml:space="preserve"> ukončenie </w:t>
      </w:r>
      <w:r w:rsidRPr="004E1637">
        <w:rPr>
          <w:sz w:val="22"/>
          <w:szCs w:val="22"/>
        </w:rPr>
        <w:t xml:space="preserve">organogenézy. </w:t>
      </w:r>
    </w:p>
    <w:p w14:paraId="48D895A9" w14:textId="77777777" w:rsidR="004B039D" w:rsidRPr="004E1637" w:rsidRDefault="004B039D" w:rsidP="002E340B">
      <w:pPr>
        <w:pStyle w:val="CM100"/>
        <w:rPr>
          <w:sz w:val="22"/>
          <w:szCs w:val="22"/>
        </w:rPr>
      </w:pPr>
    </w:p>
    <w:p w14:paraId="37F25953" w14:textId="5054A07C" w:rsidR="00BE76D5" w:rsidRPr="004E1637" w:rsidRDefault="00BE76D5" w:rsidP="002E340B">
      <w:pPr>
        <w:pStyle w:val="CM100"/>
        <w:rPr>
          <w:sz w:val="22"/>
          <w:szCs w:val="22"/>
        </w:rPr>
      </w:pPr>
      <w:r w:rsidRPr="004E1637">
        <w:rPr>
          <w:sz w:val="22"/>
          <w:szCs w:val="22"/>
        </w:rPr>
        <w:t xml:space="preserve">U myší vyvolal dasatinib imunosupresiu, ktorá súvisela s dávkou a bola účinne zvládnutá znížením dávky a/alebo zmenami dávkovacej schémy. Dasatinib mal fototoxický potenciál v teste fototoxicity </w:t>
      </w:r>
      <w:r w:rsidRPr="004E1637">
        <w:rPr>
          <w:i/>
          <w:iCs/>
          <w:sz w:val="22"/>
          <w:szCs w:val="22"/>
        </w:rPr>
        <w:t>in vitro</w:t>
      </w:r>
      <w:r w:rsidRPr="004E1637">
        <w:rPr>
          <w:sz w:val="22"/>
          <w:szCs w:val="22"/>
        </w:rPr>
        <w:t xml:space="preserve"> zameranom na prenikanie neutrálnej červene do myších fibroblastov. Dasatinib sa považoval za nefototoxický </w:t>
      </w:r>
      <w:r w:rsidRPr="004E1637">
        <w:rPr>
          <w:i/>
          <w:iCs/>
          <w:sz w:val="22"/>
          <w:szCs w:val="22"/>
        </w:rPr>
        <w:t xml:space="preserve">in vivo </w:t>
      </w:r>
      <w:r w:rsidRPr="004E1637">
        <w:rPr>
          <w:sz w:val="22"/>
          <w:szCs w:val="22"/>
        </w:rPr>
        <w:t xml:space="preserve">po jednorazovom perorálnom podaní </w:t>
      </w:r>
      <w:r w:rsidR="001C159C">
        <w:rPr>
          <w:sz w:val="22"/>
          <w:szCs w:val="22"/>
        </w:rPr>
        <w:t xml:space="preserve">samičke </w:t>
      </w:r>
      <w:r w:rsidRPr="004E1637">
        <w:rPr>
          <w:sz w:val="22"/>
          <w:szCs w:val="22"/>
        </w:rPr>
        <w:t xml:space="preserve">myši </w:t>
      </w:r>
      <w:r w:rsidR="001C159C">
        <w:rPr>
          <w:sz w:val="22"/>
          <w:szCs w:val="22"/>
        </w:rPr>
        <w:t xml:space="preserve">bez srsti </w:t>
      </w:r>
      <w:r w:rsidRPr="004E1637">
        <w:rPr>
          <w:sz w:val="22"/>
          <w:szCs w:val="22"/>
        </w:rPr>
        <w:t xml:space="preserve">v expozíciách zodpovedajúcich nanajvýš 3-násobnej expozícii u ľudí po podaní odporúčanej terapeutickej dávky (vychádzajúcej z AUC). </w:t>
      </w:r>
    </w:p>
    <w:p w14:paraId="67599254" w14:textId="77777777" w:rsidR="004B039D" w:rsidRPr="004E1637" w:rsidRDefault="004B039D" w:rsidP="004B039D">
      <w:pPr>
        <w:pStyle w:val="Default"/>
      </w:pPr>
    </w:p>
    <w:p w14:paraId="724F7DCC" w14:textId="2362259A" w:rsidR="00510D0D" w:rsidRPr="004E1637" w:rsidRDefault="00BE76D5" w:rsidP="00510D0D">
      <w:pPr>
        <w:pStyle w:val="CM2"/>
        <w:spacing w:line="240" w:lineRule="auto"/>
        <w:rPr>
          <w:sz w:val="22"/>
          <w:szCs w:val="22"/>
        </w:rPr>
      </w:pPr>
      <w:r w:rsidRPr="004E1637">
        <w:rPr>
          <w:sz w:val="22"/>
          <w:szCs w:val="22"/>
        </w:rPr>
        <w:t xml:space="preserve">V dvojročnej štúdii karcinogenity sa potkanom podávali perorálne dávky dasatinibu 0,3; 1 a 3 mg/kg/deň. Najvyššia dávka viedla k plazmatickej hladine expozície (AUC) vo všeobecnosti ekvivalentnej expozícii u ľudí pri odporúčanom rozsahu </w:t>
      </w:r>
      <w:r w:rsidR="00D72972">
        <w:rPr>
          <w:sz w:val="22"/>
          <w:szCs w:val="22"/>
        </w:rPr>
        <w:t>začiatočných</w:t>
      </w:r>
      <w:r w:rsidRPr="004E1637">
        <w:rPr>
          <w:sz w:val="22"/>
          <w:szCs w:val="22"/>
        </w:rPr>
        <w:t xml:space="preserve"> dávok od 100 mg do 140 mg denne. Zistilo sa štatisticky významné zvýšenie </w:t>
      </w:r>
      <w:r w:rsidRPr="00895A04">
        <w:rPr>
          <w:sz w:val="22"/>
          <w:szCs w:val="22"/>
        </w:rPr>
        <w:t>incidencie</w:t>
      </w:r>
      <w:r w:rsidRPr="004E1637">
        <w:rPr>
          <w:sz w:val="22"/>
          <w:szCs w:val="22"/>
        </w:rPr>
        <w:t xml:space="preserve"> karcinómov skvamóznych buniek a</w:t>
      </w:r>
      <w:r w:rsidR="001C159C">
        <w:rPr>
          <w:sz w:val="22"/>
          <w:szCs w:val="22"/>
        </w:rPr>
        <w:t>j</w:t>
      </w:r>
      <w:r w:rsidRPr="004E1637">
        <w:rPr>
          <w:sz w:val="22"/>
          <w:szCs w:val="22"/>
        </w:rPr>
        <w:t xml:space="preserve"> papilómov v maternici a krčku maternice u samičiek s vysokou dávkou a adenóm prostaty u samcov s nízkou dávkou. Významnosť nálezov zo štúdie karcinogenity na potkanoch pre ľudí nie je známa. </w:t>
      </w:r>
    </w:p>
    <w:p w14:paraId="6E9A00C7" w14:textId="77777777" w:rsidR="00510D0D" w:rsidRPr="004E1637" w:rsidRDefault="00510D0D" w:rsidP="00510D0D">
      <w:pPr>
        <w:pStyle w:val="CM2"/>
        <w:spacing w:line="240" w:lineRule="auto"/>
        <w:rPr>
          <w:sz w:val="22"/>
          <w:szCs w:val="22"/>
        </w:rPr>
      </w:pPr>
    </w:p>
    <w:p w14:paraId="251CD44C" w14:textId="77777777" w:rsidR="00510D0D" w:rsidRPr="004E1637" w:rsidRDefault="00510D0D" w:rsidP="00510D0D">
      <w:pPr>
        <w:pStyle w:val="CM2"/>
        <w:spacing w:line="240" w:lineRule="auto"/>
        <w:rPr>
          <w:sz w:val="22"/>
          <w:szCs w:val="22"/>
        </w:rPr>
      </w:pPr>
    </w:p>
    <w:p w14:paraId="5E0920C7" w14:textId="586A6FCB" w:rsidR="00BE76D5" w:rsidRPr="004E1637" w:rsidRDefault="00BE76D5" w:rsidP="00895A04">
      <w:pPr>
        <w:pStyle w:val="CM2"/>
        <w:tabs>
          <w:tab w:val="left" w:pos="567"/>
        </w:tabs>
        <w:spacing w:line="240" w:lineRule="auto"/>
        <w:rPr>
          <w:sz w:val="22"/>
          <w:szCs w:val="22"/>
        </w:rPr>
      </w:pPr>
      <w:r w:rsidRPr="00895A04">
        <w:rPr>
          <w:b/>
          <w:bCs/>
          <w:sz w:val="22"/>
          <w:szCs w:val="22"/>
        </w:rPr>
        <w:t xml:space="preserve">6. </w:t>
      </w:r>
      <w:r w:rsidR="001C159C" w:rsidRPr="00895A04">
        <w:rPr>
          <w:b/>
          <w:bCs/>
          <w:sz w:val="22"/>
          <w:szCs w:val="22"/>
        </w:rPr>
        <w:tab/>
      </w:r>
      <w:r w:rsidRPr="00895A04">
        <w:rPr>
          <w:b/>
          <w:bCs/>
          <w:sz w:val="22"/>
          <w:szCs w:val="22"/>
        </w:rPr>
        <w:t>FARMACEUTICKÉ</w:t>
      </w:r>
      <w:r w:rsidRPr="004E1637">
        <w:rPr>
          <w:b/>
          <w:bCs/>
          <w:sz w:val="22"/>
          <w:szCs w:val="22"/>
        </w:rPr>
        <w:t xml:space="preserve"> INFORMÁCIE </w:t>
      </w:r>
    </w:p>
    <w:p w14:paraId="1F3B62D6" w14:textId="77777777" w:rsidR="00510D0D" w:rsidRPr="004E1637" w:rsidRDefault="00510D0D" w:rsidP="004B039D">
      <w:pPr>
        <w:pStyle w:val="CM100"/>
        <w:rPr>
          <w:b/>
          <w:bCs/>
          <w:sz w:val="22"/>
          <w:szCs w:val="22"/>
        </w:rPr>
      </w:pPr>
    </w:p>
    <w:p w14:paraId="444B7ED6" w14:textId="07493D98" w:rsidR="00BE76D5" w:rsidRPr="004E1637" w:rsidRDefault="00BE76D5" w:rsidP="00895A04">
      <w:pPr>
        <w:pStyle w:val="CM100"/>
        <w:tabs>
          <w:tab w:val="left" w:pos="567"/>
        </w:tabs>
        <w:rPr>
          <w:sz w:val="22"/>
          <w:szCs w:val="22"/>
        </w:rPr>
      </w:pPr>
      <w:r w:rsidRPr="004E1637">
        <w:rPr>
          <w:b/>
          <w:bCs/>
          <w:sz w:val="22"/>
          <w:szCs w:val="22"/>
        </w:rPr>
        <w:t>6.1</w:t>
      </w:r>
      <w:r w:rsidR="00895A04">
        <w:rPr>
          <w:b/>
          <w:bCs/>
          <w:sz w:val="22"/>
          <w:szCs w:val="22"/>
        </w:rPr>
        <w:tab/>
      </w:r>
      <w:r w:rsidRPr="004E1637">
        <w:rPr>
          <w:b/>
          <w:bCs/>
          <w:sz w:val="22"/>
          <w:szCs w:val="22"/>
        </w:rPr>
        <w:t xml:space="preserve">Zoznam pomocných látok </w:t>
      </w:r>
    </w:p>
    <w:p w14:paraId="1F4DC271" w14:textId="77777777" w:rsidR="00510D0D" w:rsidRPr="004E1637" w:rsidRDefault="00510D0D" w:rsidP="004B039D">
      <w:pPr>
        <w:pStyle w:val="CM100"/>
        <w:rPr>
          <w:sz w:val="22"/>
          <w:szCs w:val="22"/>
          <w:u w:val="single"/>
        </w:rPr>
      </w:pPr>
    </w:p>
    <w:p w14:paraId="052935B5" w14:textId="77777777" w:rsidR="00510D0D" w:rsidRPr="004E1637" w:rsidRDefault="00BE76D5" w:rsidP="004B039D">
      <w:pPr>
        <w:pStyle w:val="CM100"/>
        <w:rPr>
          <w:sz w:val="22"/>
          <w:szCs w:val="22"/>
          <w:u w:val="single"/>
        </w:rPr>
      </w:pPr>
      <w:r w:rsidRPr="004E1637">
        <w:rPr>
          <w:sz w:val="22"/>
          <w:szCs w:val="22"/>
          <w:u w:val="single"/>
        </w:rPr>
        <w:t>Jadro tablety</w:t>
      </w:r>
      <w:r w:rsidRPr="00C11B8A">
        <w:rPr>
          <w:sz w:val="22"/>
          <w:szCs w:val="22"/>
        </w:rPr>
        <w:t xml:space="preserve"> </w:t>
      </w:r>
    </w:p>
    <w:p w14:paraId="654F9921" w14:textId="096540F5" w:rsidR="00510D0D" w:rsidRDefault="00AC2867" w:rsidP="004B039D">
      <w:pPr>
        <w:pStyle w:val="CM100"/>
        <w:rPr>
          <w:sz w:val="22"/>
          <w:szCs w:val="22"/>
        </w:rPr>
      </w:pPr>
      <w:r>
        <w:rPr>
          <w:sz w:val="22"/>
          <w:szCs w:val="22"/>
        </w:rPr>
        <w:t>M</w:t>
      </w:r>
      <w:r w:rsidR="00BE76D5" w:rsidRPr="004E1637">
        <w:rPr>
          <w:sz w:val="22"/>
          <w:szCs w:val="22"/>
        </w:rPr>
        <w:t xml:space="preserve">ikrokryštalická celulóza </w:t>
      </w:r>
      <w:r w:rsidR="00510D0D" w:rsidRPr="004E1637">
        <w:rPr>
          <w:sz w:val="22"/>
          <w:szCs w:val="22"/>
        </w:rPr>
        <w:t>(</w:t>
      </w:r>
      <w:r>
        <w:rPr>
          <w:sz w:val="22"/>
          <w:szCs w:val="22"/>
        </w:rPr>
        <w:t>typ 101</w:t>
      </w:r>
      <w:r w:rsidR="00510D0D" w:rsidRPr="004E1637">
        <w:rPr>
          <w:sz w:val="22"/>
          <w:szCs w:val="22"/>
        </w:rPr>
        <w:t>)</w:t>
      </w:r>
    </w:p>
    <w:p w14:paraId="764FE8D0" w14:textId="7F642893" w:rsidR="00AC2867" w:rsidRDefault="00AC2867" w:rsidP="00AC2867">
      <w:pPr>
        <w:pStyle w:val="CM100"/>
        <w:rPr>
          <w:sz w:val="22"/>
          <w:szCs w:val="22"/>
        </w:rPr>
      </w:pPr>
      <w:r>
        <w:rPr>
          <w:sz w:val="22"/>
          <w:szCs w:val="22"/>
        </w:rPr>
        <w:t>M</w:t>
      </w:r>
      <w:r w:rsidRPr="004E1637">
        <w:rPr>
          <w:sz w:val="22"/>
          <w:szCs w:val="22"/>
        </w:rPr>
        <w:t>ikrokryštalická celulóza (</w:t>
      </w:r>
      <w:r>
        <w:rPr>
          <w:sz w:val="22"/>
          <w:szCs w:val="22"/>
        </w:rPr>
        <w:t>typ 102</w:t>
      </w:r>
      <w:r w:rsidRPr="004E1637">
        <w:rPr>
          <w:sz w:val="22"/>
          <w:szCs w:val="22"/>
        </w:rPr>
        <w:t>)</w:t>
      </w:r>
    </w:p>
    <w:p w14:paraId="62CE3BB5" w14:textId="768F1C05" w:rsidR="00AC2867" w:rsidRPr="004E1637" w:rsidRDefault="00AC2867" w:rsidP="00AC2867">
      <w:pPr>
        <w:pStyle w:val="CM100"/>
        <w:rPr>
          <w:sz w:val="22"/>
          <w:szCs w:val="22"/>
        </w:rPr>
      </w:pPr>
      <w:r>
        <w:rPr>
          <w:sz w:val="22"/>
          <w:szCs w:val="22"/>
        </w:rPr>
        <w:t>M</w:t>
      </w:r>
      <w:r w:rsidRPr="004E1637">
        <w:rPr>
          <w:sz w:val="22"/>
          <w:szCs w:val="22"/>
        </w:rPr>
        <w:t xml:space="preserve">onohydrát laktózy </w:t>
      </w:r>
    </w:p>
    <w:p w14:paraId="39B2865E" w14:textId="56068A26" w:rsidR="00510D0D" w:rsidRPr="004E1637" w:rsidRDefault="00AC2867" w:rsidP="004B039D">
      <w:pPr>
        <w:pStyle w:val="CM100"/>
        <w:rPr>
          <w:sz w:val="22"/>
          <w:szCs w:val="22"/>
        </w:rPr>
      </w:pPr>
      <w:r>
        <w:rPr>
          <w:sz w:val="22"/>
          <w:szCs w:val="22"/>
        </w:rPr>
        <w:t>H</w:t>
      </w:r>
      <w:r w:rsidR="00BE76D5" w:rsidRPr="004E1637">
        <w:rPr>
          <w:sz w:val="22"/>
          <w:szCs w:val="22"/>
        </w:rPr>
        <w:t>ydroxypropylcelulóz</w:t>
      </w:r>
      <w:r>
        <w:rPr>
          <w:sz w:val="22"/>
          <w:szCs w:val="22"/>
        </w:rPr>
        <w:t>a</w:t>
      </w:r>
    </w:p>
    <w:p w14:paraId="10D995E6" w14:textId="061849A9" w:rsidR="00510D0D" w:rsidRPr="004E1637" w:rsidRDefault="00AC2867" w:rsidP="00510D0D">
      <w:pPr>
        <w:pStyle w:val="CM100"/>
        <w:rPr>
          <w:sz w:val="22"/>
          <w:szCs w:val="22"/>
        </w:rPr>
      </w:pPr>
      <w:r>
        <w:rPr>
          <w:sz w:val="22"/>
          <w:szCs w:val="22"/>
        </w:rPr>
        <w:t>S</w:t>
      </w:r>
      <w:r w:rsidR="00510D0D" w:rsidRPr="004E1637">
        <w:rPr>
          <w:sz w:val="22"/>
          <w:szCs w:val="22"/>
        </w:rPr>
        <w:t xml:space="preserve">odná soľ kroskarmelózy </w:t>
      </w:r>
    </w:p>
    <w:p w14:paraId="0658528E" w14:textId="4BDE4FEA" w:rsidR="00BE76D5" w:rsidRPr="004E1637" w:rsidRDefault="00AC2867" w:rsidP="004B039D">
      <w:pPr>
        <w:pStyle w:val="CM100"/>
        <w:rPr>
          <w:sz w:val="22"/>
          <w:szCs w:val="22"/>
        </w:rPr>
      </w:pPr>
      <w:r>
        <w:rPr>
          <w:sz w:val="22"/>
          <w:szCs w:val="22"/>
        </w:rPr>
        <w:t>S</w:t>
      </w:r>
      <w:r w:rsidR="001C159C">
        <w:rPr>
          <w:sz w:val="22"/>
          <w:szCs w:val="22"/>
        </w:rPr>
        <w:t>tearan horečnatý</w:t>
      </w:r>
    </w:p>
    <w:p w14:paraId="0563B555" w14:textId="77777777" w:rsidR="00510D0D" w:rsidRPr="004E1637" w:rsidRDefault="00510D0D" w:rsidP="004B039D">
      <w:pPr>
        <w:pStyle w:val="CM100"/>
        <w:rPr>
          <w:sz w:val="22"/>
          <w:szCs w:val="22"/>
          <w:u w:val="single"/>
        </w:rPr>
      </w:pPr>
    </w:p>
    <w:p w14:paraId="5D3023A4" w14:textId="77777777" w:rsidR="00510D0D" w:rsidRPr="004E1637" w:rsidRDefault="00510D0D" w:rsidP="004B039D">
      <w:pPr>
        <w:pStyle w:val="CM100"/>
        <w:rPr>
          <w:sz w:val="22"/>
          <w:szCs w:val="22"/>
          <w:u w:val="single"/>
        </w:rPr>
      </w:pPr>
      <w:r w:rsidRPr="004E1637">
        <w:rPr>
          <w:sz w:val="22"/>
          <w:szCs w:val="22"/>
          <w:u w:val="single"/>
        </w:rPr>
        <w:t>Obal</w:t>
      </w:r>
      <w:r w:rsidR="00BE76D5" w:rsidRPr="004E1637">
        <w:rPr>
          <w:sz w:val="22"/>
          <w:szCs w:val="22"/>
          <w:u w:val="single"/>
        </w:rPr>
        <w:t xml:space="preserve"> </w:t>
      </w:r>
      <w:r w:rsidRPr="004E1637">
        <w:rPr>
          <w:sz w:val="22"/>
          <w:szCs w:val="22"/>
          <w:u w:val="single"/>
        </w:rPr>
        <w:t>tablety</w:t>
      </w:r>
    </w:p>
    <w:p w14:paraId="1AD43966" w14:textId="3C6C9147" w:rsidR="00510D0D" w:rsidRPr="004E1637" w:rsidRDefault="00AC2867" w:rsidP="004B039D">
      <w:pPr>
        <w:pStyle w:val="CM100"/>
        <w:rPr>
          <w:sz w:val="22"/>
          <w:szCs w:val="22"/>
        </w:rPr>
      </w:pPr>
      <w:r>
        <w:rPr>
          <w:sz w:val="22"/>
          <w:szCs w:val="22"/>
        </w:rPr>
        <w:t>H</w:t>
      </w:r>
      <w:r w:rsidR="00BE76D5" w:rsidRPr="004E1637">
        <w:rPr>
          <w:sz w:val="22"/>
          <w:szCs w:val="22"/>
        </w:rPr>
        <w:t xml:space="preserve">ypromelóza </w:t>
      </w:r>
    </w:p>
    <w:p w14:paraId="5AAACA55" w14:textId="37834F25" w:rsidR="00510D0D" w:rsidRPr="004E1637" w:rsidRDefault="00AC2867" w:rsidP="004B039D">
      <w:pPr>
        <w:pStyle w:val="CM100"/>
        <w:rPr>
          <w:sz w:val="22"/>
          <w:szCs w:val="22"/>
        </w:rPr>
      </w:pPr>
      <w:r>
        <w:rPr>
          <w:sz w:val="22"/>
          <w:szCs w:val="22"/>
        </w:rPr>
        <w:t>O</w:t>
      </w:r>
      <w:r w:rsidR="00BE76D5" w:rsidRPr="004E1637">
        <w:rPr>
          <w:sz w:val="22"/>
          <w:szCs w:val="22"/>
        </w:rPr>
        <w:t xml:space="preserve">xid titaničitý (E171) </w:t>
      </w:r>
    </w:p>
    <w:p w14:paraId="6520F545" w14:textId="0BE5BAE6" w:rsidR="00BE76D5" w:rsidRPr="004E1637" w:rsidRDefault="00AC2867" w:rsidP="004B039D">
      <w:pPr>
        <w:pStyle w:val="CM100"/>
        <w:rPr>
          <w:sz w:val="22"/>
          <w:szCs w:val="22"/>
        </w:rPr>
      </w:pPr>
      <w:r>
        <w:rPr>
          <w:sz w:val="22"/>
          <w:szCs w:val="22"/>
        </w:rPr>
        <w:t>T</w:t>
      </w:r>
      <w:r w:rsidR="00510D0D" w:rsidRPr="004E1637">
        <w:rPr>
          <w:sz w:val="22"/>
          <w:szCs w:val="22"/>
        </w:rPr>
        <w:t>riacetín</w:t>
      </w:r>
    </w:p>
    <w:p w14:paraId="3C6E4277" w14:textId="77777777" w:rsidR="00510D0D" w:rsidRPr="004E1637" w:rsidRDefault="00510D0D" w:rsidP="00510D0D">
      <w:pPr>
        <w:pStyle w:val="Default"/>
        <w:rPr>
          <w:sz w:val="22"/>
          <w:szCs w:val="22"/>
        </w:rPr>
      </w:pPr>
    </w:p>
    <w:p w14:paraId="6CF8A65F" w14:textId="0A882021" w:rsidR="00BE76D5" w:rsidRPr="004E1637" w:rsidRDefault="00BE76D5" w:rsidP="00895A04">
      <w:pPr>
        <w:pStyle w:val="CM100"/>
        <w:tabs>
          <w:tab w:val="left" w:pos="567"/>
        </w:tabs>
        <w:rPr>
          <w:sz w:val="22"/>
          <w:szCs w:val="22"/>
        </w:rPr>
      </w:pPr>
      <w:r w:rsidRPr="004E1637">
        <w:rPr>
          <w:b/>
          <w:bCs/>
          <w:sz w:val="22"/>
          <w:szCs w:val="22"/>
        </w:rPr>
        <w:t>6.2</w:t>
      </w:r>
      <w:r w:rsidR="00895A04">
        <w:rPr>
          <w:b/>
          <w:bCs/>
          <w:sz w:val="22"/>
          <w:szCs w:val="22"/>
        </w:rPr>
        <w:tab/>
      </w:r>
      <w:r w:rsidRPr="004E1637">
        <w:rPr>
          <w:b/>
          <w:bCs/>
          <w:sz w:val="22"/>
          <w:szCs w:val="22"/>
        </w:rPr>
        <w:t xml:space="preserve">Inkompatibility </w:t>
      </w:r>
    </w:p>
    <w:p w14:paraId="1A136DDF" w14:textId="77777777" w:rsidR="00510D0D" w:rsidRPr="004E1637" w:rsidRDefault="00510D0D" w:rsidP="004B039D">
      <w:pPr>
        <w:pStyle w:val="CM100"/>
        <w:rPr>
          <w:sz w:val="22"/>
          <w:szCs w:val="22"/>
        </w:rPr>
      </w:pPr>
    </w:p>
    <w:p w14:paraId="766AB217" w14:textId="77777777" w:rsidR="00BE76D5" w:rsidRPr="004E1637" w:rsidRDefault="00BE76D5" w:rsidP="004B039D">
      <w:pPr>
        <w:pStyle w:val="CM100"/>
        <w:rPr>
          <w:sz w:val="22"/>
          <w:szCs w:val="22"/>
        </w:rPr>
      </w:pPr>
      <w:r w:rsidRPr="004E1637">
        <w:rPr>
          <w:sz w:val="22"/>
          <w:szCs w:val="22"/>
        </w:rPr>
        <w:lastRenderedPageBreak/>
        <w:t xml:space="preserve">Neaplikovateľné. </w:t>
      </w:r>
    </w:p>
    <w:p w14:paraId="763F1164" w14:textId="77777777" w:rsidR="00510D0D" w:rsidRPr="004E1637" w:rsidRDefault="00510D0D" w:rsidP="00510D0D">
      <w:pPr>
        <w:pStyle w:val="Default"/>
        <w:rPr>
          <w:sz w:val="22"/>
          <w:szCs w:val="22"/>
        </w:rPr>
      </w:pPr>
    </w:p>
    <w:p w14:paraId="6C8B1F0A" w14:textId="234553B4" w:rsidR="00BE76D5" w:rsidRPr="004E1637" w:rsidRDefault="00BE76D5" w:rsidP="00895A04">
      <w:pPr>
        <w:pStyle w:val="CM100"/>
        <w:tabs>
          <w:tab w:val="left" w:pos="567"/>
        </w:tabs>
        <w:rPr>
          <w:sz w:val="22"/>
          <w:szCs w:val="22"/>
        </w:rPr>
      </w:pPr>
      <w:r w:rsidRPr="004E1637">
        <w:rPr>
          <w:b/>
          <w:bCs/>
          <w:sz w:val="22"/>
          <w:szCs w:val="22"/>
        </w:rPr>
        <w:t>6.3</w:t>
      </w:r>
      <w:r w:rsidR="00895A04">
        <w:rPr>
          <w:b/>
          <w:bCs/>
          <w:sz w:val="22"/>
          <w:szCs w:val="22"/>
        </w:rPr>
        <w:tab/>
      </w:r>
      <w:r w:rsidRPr="004E1637">
        <w:rPr>
          <w:b/>
          <w:bCs/>
          <w:sz w:val="22"/>
          <w:szCs w:val="22"/>
        </w:rPr>
        <w:t xml:space="preserve">Čas použiteľnosti </w:t>
      </w:r>
    </w:p>
    <w:p w14:paraId="3032AA43" w14:textId="77777777" w:rsidR="00510D0D" w:rsidRPr="004E1637" w:rsidRDefault="00510D0D" w:rsidP="004B039D">
      <w:pPr>
        <w:pStyle w:val="CM100"/>
        <w:rPr>
          <w:sz w:val="22"/>
          <w:szCs w:val="22"/>
        </w:rPr>
      </w:pPr>
    </w:p>
    <w:p w14:paraId="22BA87E9" w14:textId="35D69113" w:rsidR="00BE76D5" w:rsidRPr="004E1637" w:rsidRDefault="00B76B62" w:rsidP="004B039D">
      <w:pPr>
        <w:pStyle w:val="CM100"/>
        <w:rPr>
          <w:sz w:val="22"/>
          <w:szCs w:val="22"/>
        </w:rPr>
      </w:pPr>
      <w:r>
        <w:rPr>
          <w:sz w:val="22"/>
          <w:szCs w:val="22"/>
        </w:rPr>
        <w:t>30 mesiacov</w:t>
      </w:r>
      <w:r w:rsidR="00BE76D5" w:rsidRPr="004E1637">
        <w:rPr>
          <w:sz w:val="22"/>
          <w:szCs w:val="22"/>
        </w:rPr>
        <w:t xml:space="preserve">. </w:t>
      </w:r>
    </w:p>
    <w:p w14:paraId="68FCB8A1" w14:textId="77777777" w:rsidR="00510D0D" w:rsidRPr="004E1637" w:rsidRDefault="00510D0D" w:rsidP="004B039D">
      <w:pPr>
        <w:pStyle w:val="CM100"/>
        <w:rPr>
          <w:b/>
          <w:bCs/>
          <w:sz w:val="22"/>
          <w:szCs w:val="22"/>
        </w:rPr>
      </w:pPr>
    </w:p>
    <w:p w14:paraId="4243E12A" w14:textId="35A8DF55" w:rsidR="008E4903" w:rsidRPr="004E1637" w:rsidRDefault="00BE76D5" w:rsidP="00895A04">
      <w:pPr>
        <w:pStyle w:val="CM100"/>
        <w:tabs>
          <w:tab w:val="left" w:pos="567"/>
        </w:tabs>
        <w:rPr>
          <w:b/>
          <w:bCs/>
          <w:sz w:val="22"/>
          <w:szCs w:val="22"/>
        </w:rPr>
      </w:pPr>
      <w:r w:rsidRPr="004E1637">
        <w:rPr>
          <w:b/>
          <w:bCs/>
          <w:sz w:val="22"/>
          <w:szCs w:val="22"/>
        </w:rPr>
        <w:t>6.4</w:t>
      </w:r>
      <w:r w:rsidR="00895A04">
        <w:rPr>
          <w:b/>
          <w:bCs/>
          <w:sz w:val="22"/>
          <w:szCs w:val="22"/>
        </w:rPr>
        <w:tab/>
      </w:r>
      <w:r w:rsidRPr="004E1637">
        <w:rPr>
          <w:b/>
          <w:bCs/>
          <w:sz w:val="22"/>
          <w:szCs w:val="22"/>
        </w:rPr>
        <w:t>Špeciálne upozornenia na uchovávanie</w:t>
      </w:r>
    </w:p>
    <w:p w14:paraId="4121D895" w14:textId="77777777" w:rsidR="00BE76D5" w:rsidRPr="004E1637" w:rsidRDefault="00BE76D5" w:rsidP="004B039D">
      <w:pPr>
        <w:pStyle w:val="CM100"/>
        <w:rPr>
          <w:sz w:val="22"/>
          <w:szCs w:val="22"/>
        </w:rPr>
      </w:pPr>
      <w:r w:rsidRPr="004E1637">
        <w:rPr>
          <w:b/>
          <w:bCs/>
          <w:sz w:val="22"/>
          <w:szCs w:val="22"/>
        </w:rPr>
        <w:t xml:space="preserve"> </w:t>
      </w:r>
    </w:p>
    <w:p w14:paraId="4A7E9B2E" w14:textId="11E912CA" w:rsidR="008E4903" w:rsidRPr="004E1637" w:rsidRDefault="00BE76D5" w:rsidP="004B039D">
      <w:pPr>
        <w:pStyle w:val="CM100"/>
        <w:rPr>
          <w:sz w:val="22"/>
          <w:szCs w:val="22"/>
        </w:rPr>
      </w:pPr>
      <w:r w:rsidRPr="004E1637">
        <w:rPr>
          <w:sz w:val="22"/>
          <w:szCs w:val="22"/>
        </w:rPr>
        <w:t xml:space="preserve">Tento liek nevyžaduje žiadne zvláštne </w:t>
      </w:r>
      <w:r w:rsidR="00B76B62">
        <w:rPr>
          <w:sz w:val="22"/>
          <w:szCs w:val="22"/>
        </w:rPr>
        <w:t>podmienky</w:t>
      </w:r>
      <w:r w:rsidRPr="004E1637">
        <w:rPr>
          <w:sz w:val="22"/>
          <w:szCs w:val="22"/>
        </w:rPr>
        <w:t xml:space="preserve"> na uchovávanie.</w:t>
      </w:r>
    </w:p>
    <w:p w14:paraId="7613FF63" w14:textId="77777777" w:rsidR="008E4903" w:rsidRPr="004E1637" w:rsidRDefault="008E4903" w:rsidP="008E4903">
      <w:pPr>
        <w:pStyle w:val="Default"/>
        <w:rPr>
          <w:sz w:val="22"/>
          <w:szCs w:val="22"/>
        </w:rPr>
      </w:pPr>
    </w:p>
    <w:p w14:paraId="270A50FB" w14:textId="2A8C8989" w:rsidR="00BE76D5" w:rsidRPr="004E1637" w:rsidRDefault="00BE76D5" w:rsidP="00895A04">
      <w:pPr>
        <w:pStyle w:val="CM100"/>
        <w:tabs>
          <w:tab w:val="left" w:pos="567"/>
        </w:tabs>
        <w:rPr>
          <w:b/>
          <w:bCs/>
          <w:sz w:val="22"/>
          <w:szCs w:val="22"/>
        </w:rPr>
      </w:pPr>
      <w:r w:rsidRPr="004E1637">
        <w:rPr>
          <w:b/>
          <w:bCs/>
          <w:sz w:val="22"/>
          <w:szCs w:val="22"/>
        </w:rPr>
        <w:t>6.5</w:t>
      </w:r>
      <w:r w:rsidR="00895A04">
        <w:rPr>
          <w:b/>
          <w:bCs/>
          <w:sz w:val="22"/>
          <w:szCs w:val="22"/>
        </w:rPr>
        <w:tab/>
      </w:r>
      <w:r w:rsidRPr="004E1637">
        <w:rPr>
          <w:b/>
          <w:bCs/>
          <w:sz w:val="22"/>
          <w:szCs w:val="22"/>
        </w:rPr>
        <w:t xml:space="preserve">Druh obalu a obsah balenia </w:t>
      </w:r>
    </w:p>
    <w:p w14:paraId="51D162D5" w14:textId="77777777" w:rsidR="008E4903" w:rsidRPr="004E1637" w:rsidRDefault="008E4903" w:rsidP="008E4903">
      <w:pPr>
        <w:pStyle w:val="Default"/>
      </w:pPr>
    </w:p>
    <w:p w14:paraId="554B46DF" w14:textId="7249D4CB" w:rsidR="00D12D25" w:rsidRPr="004E1637" w:rsidRDefault="00D12D25" w:rsidP="00D12D25">
      <w:pPr>
        <w:pStyle w:val="CM100"/>
        <w:rPr>
          <w:sz w:val="22"/>
          <w:szCs w:val="22"/>
          <w:u w:val="single"/>
        </w:rPr>
      </w:pPr>
      <w:r w:rsidRPr="004E1637">
        <w:rPr>
          <w:sz w:val="22"/>
          <w:szCs w:val="22"/>
          <w:u w:val="single"/>
        </w:rPr>
        <w:t xml:space="preserve">Dasatinib </w:t>
      </w:r>
      <w:r>
        <w:rPr>
          <w:sz w:val="22"/>
          <w:szCs w:val="22"/>
          <w:u w:val="single"/>
        </w:rPr>
        <w:t>Vivanta</w:t>
      </w:r>
      <w:r w:rsidR="00875F05">
        <w:rPr>
          <w:sz w:val="22"/>
          <w:szCs w:val="22"/>
          <w:u w:val="single"/>
        </w:rPr>
        <w:t xml:space="preserve"> Generics</w:t>
      </w:r>
      <w:r w:rsidRPr="004E1637">
        <w:rPr>
          <w:sz w:val="22"/>
          <w:szCs w:val="22"/>
          <w:u w:val="single"/>
        </w:rPr>
        <w:t xml:space="preserve"> </w:t>
      </w:r>
      <w:r>
        <w:rPr>
          <w:sz w:val="22"/>
          <w:szCs w:val="22"/>
          <w:u w:val="single"/>
        </w:rPr>
        <w:t xml:space="preserve">20 mg, </w:t>
      </w:r>
      <w:r w:rsidRPr="00B76B62">
        <w:rPr>
          <w:sz w:val="22"/>
          <w:szCs w:val="22"/>
          <w:highlight w:val="lightGray"/>
          <w:u w:val="single"/>
        </w:rPr>
        <w:t xml:space="preserve">50 mg, 70 </w:t>
      </w:r>
      <w:r w:rsidRPr="00C11B8A">
        <w:rPr>
          <w:sz w:val="22"/>
          <w:szCs w:val="22"/>
          <w:highlight w:val="lightGray"/>
          <w:u w:val="single"/>
        </w:rPr>
        <w:t>mg</w:t>
      </w:r>
      <w:r>
        <w:rPr>
          <w:sz w:val="22"/>
          <w:szCs w:val="22"/>
          <w:u w:val="single"/>
        </w:rPr>
        <w:t xml:space="preserve"> filmom obalené tablety</w:t>
      </w:r>
    </w:p>
    <w:p w14:paraId="43EACECD" w14:textId="77777777" w:rsidR="00D12D25" w:rsidRPr="004E1637" w:rsidRDefault="00D12D25" w:rsidP="00D12D25">
      <w:pPr>
        <w:pStyle w:val="CM100"/>
        <w:rPr>
          <w:sz w:val="22"/>
          <w:szCs w:val="22"/>
        </w:rPr>
      </w:pPr>
      <w:r>
        <w:rPr>
          <w:sz w:val="22"/>
          <w:szCs w:val="22"/>
        </w:rPr>
        <w:t>o</w:t>
      </w:r>
      <w:r w:rsidRPr="004E1637">
        <w:rPr>
          <w:sz w:val="22"/>
          <w:szCs w:val="22"/>
        </w:rPr>
        <w:t>PA/Al/PVC//hliníkové blistre</w:t>
      </w:r>
      <w:r>
        <w:rPr>
          <w:sz w:val="22"/>
          <w:szCs w:val="22"/>
        </w:rPr>
        <w:t xml:space="preserve"> obsahujúce 30, 56 a 60 filmom obalených tabliet.</w:t>
      </w:r>
    </w:p>
    <w:p w14:paraId="220C56A1" w14:textId="77777777" w:rsidR="00D12D25" w:rsidRPr="004E1637" w:rsidRDefault="00D12D25" w:rsidP="00D12D25">
      <w:pPr>
        <w:pStyle w:val="Default"/>
        <w:rPr>
          <w:sz w:val="22"/>
          <w:szCs w:val="22"/>
        </w:rPr>
      </w:pPr>
    </w:p>
    <w:p w14:paraId="4E643541" w14:textId="7D52E57B" w:rsidR="00D12D25" w:rsidRDefault="00D12D25" w:rsidP="00D12D25">
      <w:pPr>
        <w:pStyle w:val="CM100"/>
        <w:rPr>
          <w:sz w:val="22"/>
          <w:szCs w:val="22"/>
        </w:rPr>
      </w:pPr>
      <w:r>
        <w:rPr>
          <w:sz w:val="22"/>
          <w:szCs w:val="22"/>
        </w:rPr>
        <w:t>Fľaše z polyetylénu s vysokou hustotou (</w:t>
      </w:r>
      <w:r w:rsidRPr="004E1637">
        <w:rPr>
          <w:sz w:val="22"/>
          <w:szCs w:val="22"/>
        </w:rPr>
        <w:t>HDPE</w:t>
      </w:r>
      <w:r>
        <w:rPr>
          <w:sz w:val="22"/>
          <w:szCs w:val="22"/>
        </w:rPr>
        <w:t>)</w:t>
      </w:r>
      <w:r w:rsidRPr="004E1637">
        <w:rPr>
          <w:sz w:val="22"/>
          <w:szCs w:val="22"/>
        </w:rPr>
        <w:t xml:space="preserve"> obsahujúce </w:t>
      </w:r>
      <w:r w:rsidR="009079E0">
        <w:rPr>
          <w:sz w:val="22"/>
          <w:szCs w:val="22"/>
        </w:rPr>
        <w:t xml:space="preserve">silikagélové </w:t>
      </w:r>
      <w:r w:rsidRPr="004E1637">
        <w:rPr>
          <w:sz w:val="22"/>
          <w:szCs w:val="22"/>
        </w:rPr>
        <w:t xml:space="preserve">vysúšadlo </w:t>
      </w:r>
      <w:r w:rsidR="009079E0">
        <w:rPr>
          <w:sz w:val="22"/>
          <w:szCs w:val="22"/>
        </w:rPr>
        <w:t>s</w:t>
      </w:r>
      <w:r>
        <w:rPr>
          <w:sz w:val="22"/>
          <w:szCs w:val="22"/>
        </w:rPr>
        <w:t xml:space="preserve"> </w:t>
      </w:r>
      <w:r w:rsidRPr="004E1637">
        <w:rPr>
          <w:sz w:val="22"/>
          <w:szCs w:val="22"/>
        </w:rPr>
        <w:t xml:space="preserve">polypropylénovým </w:t>
      </w:r>
      <w:r>
        <w:rPr>
          <w:sz w:val="22"/>
          <w:szCs w:val="22"/>
        </w:rPr>
        <w:t xml:space="preserve">skrutkovacím viečkom </w:t>
      </w:r>
      <w:r w:rsidR="009079E0">
        <w:rPr>
          <w:sz w:val="22"/>
          <w:szCs w:val="22"/>
        </w:rPr>
        <w:t>a</w:t>
      </w:r>
      <w:r>
        <w:rPr>
          <w:sz w:val="22"/>
          <w:szCs w:val="22"/>
        </w:rPr>
        <w:t xml:space="preserve"> </w:t>
      </w:r>
      <w:r w:rsidRPr="004E1637">
        <w:rPr>
          <w:sz w:val="22"/>
          <w:szCs w:val="22"/>
        </w:rPr>
        <w:t>detským bezpečnostným uzáverom</w:t>
      </w:r>
      <w:r>
        <w:rPr>
          <w:sz w:val="22"/>
          <w:szCs w:val="22"/>
        </w:rPr>
        <w:t xml:space="preserve"> obsahujúc</w:t>
      </w:r>
      <w:r w:rsidR="00EB1128">
        <w:rPr>
          <w:sz w:val="22"/>
          <w:szCs w:val="22"/>
        </w:rPr>
        <w:t>e</w:t>
      </w:r>
      <w:r>
        <w:rPr>
          <w:sz w:val="22"/>
          <w:szCs w:val="22"/>
        </w:rPr>
        <w:t xml:space="preserve"> 60 filmom obalených tabliet.</w:t>
      </w:r>
    </w:p>
    <w:p w14:paraId="778D9925" w14:textId="77777777" w:rsidR="00D12D25" w:rsidRDefault="00D12D25" w:rsidP="00B76B62">
      <w:pPr>
        <w:pStyle w:val="CM100"/>
        <w:rPr>
          <w:sz w:val="22"/>
          <w:szCs w:val="22"/>
          <w:u w:val="single"/>
        </w:rPr>
      </w:pPr>
    </w:p>
    <w:p w14:paraId="6E2B58A3" w14:textId="5032CD7D" w:rsidR="00B76B62" w:rsidRPr="004E1637" w:rsidRDefault="00B76B62" w:rsidP="00B76B62">
      <w:pPr>
        <w:pStyle w:val="CM100"/>
        <w:rPr>
          <w:sz w:val="22"/>
          <w:szCs w:val="22"/>
          <w:u w:val="single"/>
        </w:rPr>
      </w:pPr>
      <w:r w:rsidRPr="004E1637">
        <w:rPr>
          <w:sz w:val="22"/>
          <w:szCs w:val="22"/>
          <w:u w:val="single"/>
        </w:rPr>
        <w:t xml:space="preserve">Dasatinib </w:t>
      </w:r>
      <w:r>
        <w:rPr>
          <w:sz w:val="22"/>
          <w:szCs w:val="22"/>
          <w:u w:val="single"/>
        </w:rPr>
        <w:t>Vivanta</w:t>
      </w:r>
      <w:r w:rsidRPr="004E1637">
        <w:rPr>
          <w:sz w:val="22"/>
          <w:szCs w:val="22"/>
          <w:u w:val="single"/>
        </w:rPr>
        <w:t xml:space="preserve"> </w:t>
      </w:r>
      <w:r w:rsidR="00880039" w:rsidRPr="00880039">
        <w:rPr>
          <w:sz w:val="22"/>
          <w:szCs w:val="22"/>
          <w:u w:val="single"/>
        </w:rPr>
        <w:t>Generics</w:t>
      </w:r>
      <w:r w:rsidRPr="00880039">
        <w:rPr>
          <w:sz w:val="22"/>
          <w:szCs w:val="22"/>
          <w:u w:val="single"/>
        </w:rPr>
        <w:t xml:space="preserve"> </w:t>
      </w:r>
      <w:r w:rsidR="00D12D25">
        <w:rPr>
          <w:sz w:val="22"/>
          <w:szCs w:val="22"/>
          <w:u w:val="single"/>
        </w:rPr>
        <w:t xml:space="preserve">80 mg, </w:t>
      </w:r>
      <w:r w:rsidR="00D12D25">
        <w:rPr>
          <w:sz w:val="22"/>
          <w:szCs w:val="22"/>
          <w:highlight w:val="lightGray"/>
          <w:u w:val="single"/>
        </w:rPr>
        <w:t>10</w:t>
      </w:r>
      <w:r w:rsidR="00D12D25" w:rsidRPr="00B76B62">
        <w:rPr>
          <w:sz w:val="22"/>
          <w:szCs w:val="22"/>
          <w:highlight w:val="lightGray"/>
          <w:u w:val="single"/>
        </w:rPr>
        <w:t xml:space="preserve">0 mg, </w:t>
      </w:r>
      <w:r w:rsidRPr="00606594">
        <w:rPr>
          <w:sz w:val="22"/>
          <w:szCs w:val="22"/>
          <w:highlight w:val="lightGray"/>
          <w:u w:val="single"/>
        </w:rPr>
        <w:t>140 mg</w:t>
      </w:r>
      <w:r>
        <w:rPr>
          <w:sz w:val="22"/>
          <w:szCs w:val="22"/>
          <w:u w:val="single"/>
        </w:rPr>
        <w:t xml:space="preserve"> filmom obalené tablety</w:t>
      </w:r>
    </w:p>
    <w:p w14:paraId="0FF46904" w14:textId="7F0B435D" w:rsidR="00B76B62" w:rsidRPr="004E1637" w:rsidRDefault="00B76B62" w:rsidP="00B76B62">
      <w:pPr>
        <w:pStyle w:val="CM100"/>
        <w:rPr>
          <w:sz w:val="22"/>
          <w:szCs w:val="22"/>
        </w:rPr>
      </w:pPr>
      <w:r>
        <w:rPr>
          <w:sz w:val="22"/>
          <w:szCs w:val="22"/>
        </w:rPr>
        <w:t>o</w:t>
      </w:r>
      <w:r w:rsidRPr="004E1637">
        <w:rPr>
          <w:sz w:val="22"/>
          <w:szCs w:val="22"/>
        </w:rPr>
        <w:t>PA/Al/PVC//hliníkové blistre</w:t>
      </w:r>
      <w:r>
        <w:rPr>
          <w:sz w:val="22"/>
          <w:szCs w:val="22"/>
        </w:rPr>
        <w:t xml:space="preserve"> obsahujúce 30 a 60 filmom obalených tabliet.</w:t>
      </w:r>
    </w:p>
    <w:p w14:paraId="2E6D8569" w14:textId="77777777" w:rsidR="00B76B62" w:rsidRPr="004E1637" w:rsidRDefault="00B76B62" w:rsidP="00B76B62">
      <w:pPr>
        <w:pStyle w:val="Default"/>
        <w:rPr>
          <w:sz w:val="22"/>
          <w:szCs w:val="22"/>
        </w:rPr>
      </w:pPr>
    </w:p>
    <w:p w14:paraId="3AA3E782" w14:textId="6BB498BE" w:rsidR="00B76B62" w:rsidRDefault="00B76B62" w:rsidP="00B76B62">
      <w:pPr>
        <w:pStyle w:val="CM100"/>
        <w:rPr>
          <w:sz w:val="22"/>
          <w:szCs w:val="22"/>
        </w:rPr>
      </w:pPr>
      <w:r>
        <w:rPr>
          <w:sz w:val="22"/>
          <w:szCs w:val="22"/>
        </w:rPr>
        <w:t>Fľaše z polyetylénu s vysokou hustotou (</w:t>
      </w:r>
      <w:r w:rsidRPr="004E1637">
        <w:rPr>
          <w:sz w:val="22"/>
          <w:szCs w:val="22"/>
        </w:rPr>
        <w:t>HDPE</w:t>
      </w:r>
      <w:r>
        <w:rPr>
          <w:sz w:val="22"/>
          <w:szCs w:val="22"/>
        </w:rPr>
        <w:t>)</w:t>
      </w:r>
      <w:r w:rsidRPr="004E1637">
        <w:rPr>
          <w:sz w:val="22"/>
          <w:szCs w:val="22"/>
        </w:rPr>
        <w:t xml:space="preserve"> obsahujúce </w:t>
      </w:r>
      <w:r w:rsidR="00EB1128">
        <w:rPr>
          <w:sz w:val="22"/>
          <w:szCs w:val="22"/>
        </w:rPr>
        <w:t xml:space="preserve">silikagélové </w:t>
      </w:r>
      <w:r w:rsidRPr="004E1637">
        <w:rPr>
          <w:sz w:val="22"/>
          <w:szCs w:val="22"/>
        </w:rPr>
        <w:t xml:space="preserve">vysúšadlo </w:t>
      </w:r>
      <w:r w:rsidR="00EB1128">
        <w:rPr>
          <w:sz w:val="22"/>
          <w:szCs w:val="22"/>
        </w:rPr>
        <w:t>s</w:t>
      </w:r>
      <w:r>
        <w:rPr>
          <w:sz w:val="22"/>
          <w:szCs w:val="22"/>
        </w:rPr>
        <w:t xml:space="preserve"> </w:t>
      </w:r>
      <w:r w:rsidRPr="004E1637">
        <w:rPr>
          <w:sz w:val="22"/>
          <w:szCs w:val="22"/>
        </w:rPr>
        <w:t xml:space="preserve">polypropylénovým </w:t>
      </w:r>
      <w:r>
        <w:rPr>
          <w:sz w:val="22"/>
          <w:szCs w:val="22"/>
        </w:rPr>
        <w:t xml:space="preserve">skrutkovacím viečkom s </w:t>
      </w:r>
      <w:r w:rsidRPr="004E1637">
        <w:rPr>
          <w:sz w:val="22"/>
          <w:szCs w:val="22"/>
        </w:rPr>
        <w:t>detským bezpečnostným uzáverom</w:t>
      </w:r>
      <w:r>
        <w:rPr>
          <w:sz w:val="22"/>
          <w:szCs w:val="22"/>
        </w:rPr>
        <w:t xml:space="preserve"> obsahujúc</w:t>
      </w:r>
      <w:r w:rsidR="00EB1128">
        <w:rPr>
          <w:sz w:val="22"/>
          <w:szCs w:val="22"/>
        </w:rPr>
        <w:t>e</w:t>
      </w:r>
      <w:r>
        <w:rPr>
          <w:sz w:val="22"/>
          <w:szCs w:val="22"/>
        </w:rPr>
        <w:t xml:space="preserve"> 30 filmom obalených tabliet</w:t>
      </w:r>
      <w:r w:rsidR="00D12D25">
        <w:rPr>
          <w:sz w:val="22"/>
          <w:szCs w:val="22"/>
        </w:rPr>
        <w:t>.</w:t>
      </w:r>
    </w:p>
    <w:p w14:paraId="17BCA2D6" w14:textId="77777777" w:rsidR="002516B8" w:rsidRPr="004E1637" w:rsidRDefault="002516B8" w:rsidP="004B039D">
      <w:pPr>
        <w:pStyle w:val="CM2"/>
        <w:spacing w:line="240" w:lineRule="auto"/>
        <w:rPr>
          <w:sz w:val="22"/>
          <w:szCs w:val="22"/>
        </w:rPr>
      </w:pPr>
    </w:p>
    <w:p w14:paraId="3ABFB4F3" w14:textId="77777777" w:rsidR="002A5EF4" w:rsidRPr="004E1637" w:rsidRDefault="00BE76D5" w:rsidP="002A5EF4">
      <w:pPr>
        <w:pStyle w:val="CM2"/>
        <w:spacing w:line="240" w:lineRule="auto"/>
        <w:rPr>
          <w:sz w:val="22"/>
          <w:szCs w:val="22"/>
        </w:rPr>
      </w:pPr>
      <w:r w:rsidRPr="004E1637">
        <w:rPr>
          <w:sz w:val="22"/>
          <w:szCs w:val="22"/>
        </w:rPr>
        <w:t xml:space="preserve">Na trh nemusia byť uvedené všetky veľkosti balenia. </w:t>
      </w:r>
    </w:p>
    <w:p w14:paraId="678D9382" w14:textId="77777777" w:rsidR="002A5EF4" w:rsidRPr="004E1637" w:rsidRDefault="002A5EF4" w:rsidP="002A5EF4">
      <w:pPr>
        <w:pStyle w:val="CM2"/>
        <w:spacing w:line="240" w:lineRule="auto"/>
        <w:rPr>
          <w:sz w:val="22"/>
          <w:szCs w:val="22"/>
        </w:rPr>
      </w:pPr>
    </w:p>
    <w:p w14:paraId="3D60DC23" w14:textId="4B3492E7" w:rsidR="00BE76D5" w:rsidRPr="004E1637" w:rsidRDefault="00BE76D5" w:rsidP="00C11B8A">
      <w:pPr>
        <w:pStyle w:val="CM2"/>
        <w:tabs>
          <w:tab w:val="left" w:pos="567"/>
        </w:tabs>
        <w:spacing w:line="240" w:lineRule="auto"/>
        <w:rPr>
          <w:sz w:val="22"/>
          <w:szCs w:val="22"/>
        </w:rPr>
      </w:pPr>
      <w:r w:rsidRPr="004E1637">
        <w:rPr>
          <w:b/>
          <w:bCs/>
          <w:sz w:val="22"/>
          <w:szCs w:val="22"/>
        </w:rPr>
        <w:t>6.6</w:t>
      </w:r>
      <w:r w:rsidR="00895A04">
        <w:rPr>
          <w:b/>
          <w:bCs/>
          <w:sz w:val="22"/>
          <w:szCs w:val="22"/>
        </w:rPr>
        <w:tab/>
      </w:r>
      <w:r w:rsidRPr="004E1637">
        <w:rPr>
          <w:b/>
          <w:bCs/>
          <w:sz w:val="22"/>
          <w:szCs w:val="22"/>
        </w:rPr>
        <w:t xml:space="preserve">Špeciálne opatrenia na likvidáciu a iné zaobchádzanie s liekom </w:t>
      </w:r>
    </w:p>
    <w:p w14:paraId="47E9F27F" w14:textId="77777777" w:rsidR="002516B8" w:rsidRPr="004E1637" w:rsidRDefault="002516B8" w:rsidP="002E340B">
      <w:pPr>
        <w:pStyle w:val="CM100"/>
        <w:rPr>
          <w:sz w:val="22"/>
          <w:szCs w:val="22"/>
        </w:rPr>
      </w:pPr>
    </w:p>
    <w:p w14:paraId="7508CC6C" w14:textId="1FA6FA1C" w:rsidR="00BE76D5" w:rsidRPr="004E1637" w:rsidRDefault="00BE76D5" w:rsidP="002E340B">
      <w:pPr>
        <w:pStyle w:val="CM100"/>
        <w:rPr>
          <w:sz w:val="22"/>
          <w:szCs w:val="22"/>
        </w:rPr>
      </w:pPr>
      <w:r w:rsidRPr="004E1637">
        <w:rPr>
          <w:sz w:val="22"/>
          <w:szCs w:val="22"/>
        </w:rPr>
        <w:t>Filmom obalené tablety pozostávajú z jadra tablety, ktoré je obklopené filmovým obalom, aby sa zdravotníck</w:t>
      </w:r>
      <w:r w:rsidR="00662FD5">
        <w:rPr>
          <w:sz w:val="22"/>
          <w:szCs w:val="22"/>
        </w:rPr>
        <w:t>i</w:t>
      </w:r>
      <w:r w:rsidRPr="004E1637">
        <w:rPr>
          <w:sz w:val="22"/>
          <w:szCs w:val="22"/>
        </w:rPr>
        <w:t xml:space="preserve"> pracovní</w:t>
      </w:r>
      <w:r w:rsidR="00662FD5">
        <w:rPr>
          <w:sz w:val="22"/>
          <w:szCs w:val="22"/>
        </w:rPr>
        <w:t>ci nevystavili pôsobeniu</w:t>
      </w:r>
      <w:r w:rsidRPr="004E1637">
        <w:rPr>
          <w:sz w:val="22"/>
          <w:szCs w:val="22"/>
        </w:rPr>
        <w:t xml:space="preserve"> liečiv</w:t>
      </w:r>
      <w:r w:rsidR="00662FD5">
        <w:rPr>
          <w:sz w:val="22"/>
          <w:szCs w:val="22"/>
        </w:rPr>
        <w:t>a</w:t>
      </w:r>
      <w:r w:rsidRPr="004E1637">
        <w:rPr>
          <w:sz w:val="22"/>
          <w:szCs w:val="22"/>
        </w:rPr>
        <w:t>. Pri manipulácii s</w:t>
      </w:r>
      <w:r w:rsidR="002424BB">
        <w:rPr>
          <w:sz w:val="22"/>
          <w:szCs w:val="22"/>
        </w:rPr>
        <w:t xml:space="preserve"> filmom obalenými </w:t>
      </w:r>
      <w:r w:rsidRPr="004E1637">
        <w:rPr>
          <w:sz w:val="22"/>
          <w:szCs w:val="22"/>
        </w:rPr>
        <w:t xml:space="preserve">tabletami, ktoré sú neúmyselne rozdrvené alebo zlomené sa na náležitú likvidáciu odporúča použiť </w:t>
      </w:r>
      <w:r w:rsidR="00B76B62">
        <w:rPr>
          <w:sz w:val="22"/>
          <w:szCs w:val="22"/>
        </w:rPr>
        <w:t xml:space="preserve">latexové alebo nitrilové </w:t>
      </w:r>
      <w:r w:rsidR="002516B8" w:rsidRPr="004E1637">
        <w:rPr>
          <w:sz w:val="22"/>
          <w:szCs w:val="22"/>
        </w:rPr>
        <w:t>rukavice</w:t>
      </w:r>
      <w:r w:rsidRPr="004E1637">
        <w:rPr>
          <w:sz w:val="22"/>
          <w:szCs w:val="22"/>
        </w:rPr>
        <w:t xml:space="preserve">, aby sa minimalizovalo riziko kožnej expozície. </w:t>
      </w:r>
    </w:p>
    <w:p w14:paraId="6D9746B7" w14:textId="77777777" w:rsidR="002516B8" w:rsidRPr="004E1637" w:rsidRDefault="002516B8" w:rsidP="002E340B">
      <w:pPr>
        <w:pStyle w:val="CM101"/>
        <w:rPr>
          <w:sz w:val="22"/>
          <w:szCs w:val="22"/>
        </w:rPr>
      </w:pPr>
    </w:p>
    <w:p w14:paraId="5F80C181" w14:textId="77777777" w:rsidR="00BE76D5" w:rsidRPr="004E1637" w:rsidRDefault="00BE76D5" w:rsidP="002E340B">
      <w:pPr>
        <w:pStyle w:val="CM101"/>
        <w:rPr>
          <w:sz w:val="22"/>
          <w:szCs w:val="22"/>
        </w:rPr>
      </w:pPr>
      <w:r w:rsidRPr="004E1637">
        <w:rPr>
          <w:sz w:val="22"/>
          <w:szCs w:val="22"/>
        </w:rPr>
        <w:t xml:space="preserve">Všetok nepoužitý liek alebo odpad vzniknutý z lieku sa má zlikvidovať v súlade s národnými požiadavkami. </w:t>
      </w:r>
    </w:p>
    <w:p w14:paraId="698C68C6" w14:textId="77777777" w:rsidR="00BE76D5" w:rsidRPr="004E1637" w:rsidRDefault="00BE76D5" w:rsidP="002E340B">
      <w:pPr>
        <w:pStyle w:val="Default"/>
        <w:rPr>
          <w:color w:val="auto"/>
          <w:sz w:val="22"/>
          <w:szCs w:val="22"/>
        </w:rPr>
      </w:pPr>
    </w:p>
    <w:p w14:paraId="4A9C57E2" w14:textId="77777777" w:rsidR="002516B8" w:rsidRPr="004E1637" w:rsidRDefault="002516B8" w:rsidP="002E340B">
      <w:pPr>
        <w:pStyle w:val="Default"/>
        <w:rPr>
          <w:color w:val="auto"/>
          <w:sz w:val="22"/>
          <w:szCs w:val="22"/>
        </w:rPr>
      </w:pPr>
    </w:p>
    <w:p w14:paraId="6AE45EC7" w14:textId="12FEC0CF" w:rsidR="00BE76D5" w:rsidRPr="004E1637" w:rsidRDefault="00BE76D5" w:rsidP="00C11B8A">
      <w:pPr>
        <w:pStyle w:val="CM100"/>
        <w:tabs>
          <w:tab w:val="left" w:pos="567"/>
        </w:tabs>
        <w:rPr>
          <w:sz w:val="22"/>
          <w:szCs w:val="22"/>
        </w:rPr>
      </w:pPr>
      <w:r w:rsidRPr="004E1637">
        <w:rPr>
          <w:b/>
          <w:bCs/>
          <w:sz w:val="22"/>
          <w:szCs w:val="22"/>
        </w:rPr>
        <w:t xml:space="preserve">7. </w:t>
      </w:r>
      <w:r w:rsidR="00C11B8A">
        <w:rPr>
          <w:b/>
          <w:bCs/>
          <w:sz w:val="22"/>
          <w:szCs w:val="22"/>
        </w:rPr>
        <w:tab/>
      </w:r>
      <w:r w:rsidRPr="004E1637">
        <w:rPr>
          <w:b/>
          <w:bCs/>
          <w:sz w:val="22"/>
          <w:szCs w:val="22"/>
        </w:rPr>
        <w:t xml:space="preserve">DRŽITEĽ ROZHODNUTIA O REGISTRÁCII </w:t>
      </w:r>
    </w:p>
    <w:p w14:paraId="5614E4CA" w14:textId="77777777" w:rsidR="002516B8" w:rsidRPr="004E1637" w:rsidRDefault="002516B8" w:rsidP="002E340B">
      <w:pPr>
        <w:pStyle w:val="CM101"/>
        <w:rPr>
          <w:sz w:val="22"/>
          <w:szCs w:val="22"/>
        </w:rPr>
      </w:pPr>
    </w:p>
    <w:p w14:paraId="5D3265AE" w14:textId="77777777" w:rsidR="00A715DD" w:rsidRPr="00A715DD" w:rsidRDefault="00A715DD" w:rsidP="00A715DD">
      <w:pPr>
        <w:pStyle w:val="Default"/>
        <w:rPr>
          <w:color w:val="auto"/>
          <w:sz w:val="22"/>
          <w:szCs w:val="22"/>
        </w:rPr>
      </w:pPr>
      <w:r w:rsidRPr="00A715DD">
        <w:rPr>
          <w:color w:val="auto"/>
          <w:sz w:val="22"/>
          <w:szCs w:val="22"/>
        </w:rPr>
        <w:t>Vivanta Generics s.r.o.</w:t>
      </w:r>
    </w:p>
    <w:p w14:paraId="7173B44D" w14:textId="77777777" w:rsidR="00A715DD" w:rsidRPr="00A715DD" w:rsidRDefault="00A715DD" w:rsidP="00A715DD">
      <w:pPr>
        <w:pStyle w:val="Default"/>
        <w:rPr>
          <w:color w:val="auto"/>
          <w:sz w:val="22"/>
          <w:szCs w:val="22"/>
        </w:rPr>
      </w:pPr>
      <w:r w:rsidRPr="00A715DD">
        <w:rPr>
          <w:color w:val="auto"/>
          <w:sz w:val="22"/>
          <w:szCs w:val="22"/>
        </w:rPr>
        <w:t>Třtinová 260/1, Čakovice</w:t>
      </w:r>
    </w:p>
    <w:p w14:paraId="7ED8E3FB" w14:textId="77777777" w:rsidR="00A715DD" w:rsidRPr="00A715DD" w:rsidRDefault="00A715DD" w:rsidP="00A715DD">
      <w:pPr>
        <w:pStyle w:val="Default"/>
        <w:rPr>
          <w:color w:val="auto"/>
          <w:sz w:val="22"/>
          <w:szCs w:val="22"/>
        </w:rPr>
      </w:pPr>
      <w:r w:rsidRPr="00A715DD">
        <w:rPr>
          <w:color w:val="auto"/>
          <w:sz w:val="22"/>
          <w:szCs w:val="22"/>
        </w:rPr>
        <w:t>196 00, Praha 9</w:t>
      </w:r>
    </w:p>
    <w:p w14:paraId="16163DD7" w14:textId="61AF17AE" w:rsidR="002516B8" w:rsidRPr="004E1637" w:rsidRDefault="00A715DD" w:rsidP="00A715DD">
      <w:pPr>
        <w:pStyle w:val="Default"/>
        <w:rPr>
          <w:color w:val="auto"/>
          <w:sz w:val="22"/>
          <w:szCs w:val="22"/>
        </w:rPr>
      </w:pPr>
      <w:r w:rsidRPr="00A715DD">
        <w:rPr>
          <w:color w:val="auto"/>
          <w:sz w:val="22"/>
          <w:szCs w:val="22"/>
        </w:rPr>
        <w:t>Česká republika</w:t>
      </w:r>
    </w:p>
    <w:p w14:paraId="6E4F1E52" w14:textId="152C6606" w:rsidR="002516B8" w:rsidRDefault="002516B8" w:rsidP="002E340B">
      <w:pPr>
        <w:pStyle w:val="Default"/>
        <w:rPr>
          <w:color w:val="auto"/>
          <w:sz w:val="22"/>
          <w:szCs w:val="22"/>
        </w:rPr>
      </w:pPr>
    </w:p>
    <w:p w14:paraId="6352B8AA" w14:textId="77777777" w:rsidR="00A715DD" w:rsidRPr="004E1637" w:rsidRDefault="00A715DD" w:rsidP="002E340B">
      <w:pPr>
        <w:pStyle w:val="Default"/>
        <w:rPr>
          <w:color w:val="auto"/>
          <w:sz w:val="22"/>
          <w:szCs w:val="22"/>
        </w:rPr>
      </w:pPr>
    </w:p>
    <w:p w14:paraId="6C4B18FC" w14:textId="3E09F9B4" w:rsidR="00BE76D5" w:rsidRPr="004E1637" w:rsidRDefault="00BE76D5" w:rsidP="00C11B8A">
      <w:pPr>
        <w:pStyle w:val="CM100"/>
        <w:tabs>
          <w:tab w:val="left" w:pos="567"/>
        </w:tabs>
        <w:rPr>
          <w:sz w:val="22"/>
          <w:szCs w:val="22"/>
        </w:rPr>
      </w:pPr>
      <w:r w:rsidRPr="004E1637">
        <w:rPr>
          <w:b/>
          <w:bCs/>
          <w:sz w:val="22"/>
          <w:szCs w:val="22"/>
        </w:rPr>
        <w:t>8.</w:t>
      </w:r>
      <w:r w:rsidR="00C11B8A">
        <w:rPr>
          <w:b/>
          <w:bCs/>
          <w:sz w:val="22"/>
          <w:szCs w:val="22"/>
        </w:rPr>
        <w:tab/>
      </w:r>
      <w:r w:rsidR="00FD2240">
        <w:rPr>
          <w:b/>
          <w:bCs/>
          <w:sz w:val="22"/>
          <w:szCs w:val="22"/>
        </w:rPr>
        <w:t>REGISTRAČNÉ ČÍSLA</w:t>
      </w:r>
    </w:p>
    <w:p w14:paraId="180A7CA7" w14:textId="77777777" w:rsidR="002516B8" w:rsidRDefault="002516B8" w:rsidP="002516B8">
      <w:pPr>
        <w:pStyle w:val="Default"/>
        <w:rPr>
          <w:b/>
          <w:bCs/>
          <w:color w:val="auto"/>
          <w:sz w:val="22"/>
          <w:szCs w:val="22"/>
        </w:rPr>
      </w:pPr>
    </w:p>
    <w:p w14:paraId="080237DB" w14:textId="087E9A54" w:rsidR="00FD2240" w:rsidRPr="00FD2240" w:rsidRDefault="00FD2240" w:rsidP="00FD2240">
      <w:pPr>
        <w:pStyle w:val="CM101"/>
        <w:ind w:right="3447"/>
        <w:rPr>
          <w:color w:val="000000"/>
          <w:sz w:val="22"/>
          <w:szCs w:val="22"/>
        </w:rPr>
      </w:pPr>
      <w:r w:rsidRPr="00FD2240">
        <w:rPr>
          <w:color w:val="000000"/>
          <w:sz w:val="22"/>
          <w:szCs w:val="22"/>
        </w:rPr>
        <w:t>Dasatinib Vivanta Generics 20 mg</w:t>
      </w:r>
      <w:r>
        <w:rPr>
          <w:color w:val="000000"/>
          <w:sz w:val="22"/>
          <w:szCs w:val="22"/>
        </w:rPr>
        <w:t xml:space="preserve">: </w:t>
      </w:r>
      <w:r w:rsidRPr="00FD2240">
        <w:rPr>
          <w:color w:val="000000"/>
          <w:sz w:val="22"/>
          <w:szCs w:val="22"/>
        </w:rPr>
        <w:t>44/0006/20-S</w:t>
      </w:r>
    </w:p>
    <w:p w14:paraId="5825819B" w14:textId="03C26B9B" w:rsidR="00FD2240" w:rsidRPr="00FD2240" w:rsidRDefault="00FD2240" w:rsidP="00FD2240">
      <w:pPr>
        <w:pStyle w:val="CM101"/>
        <w:ind w:right="3447"/>
        <w:rPr>
          <w:color w:val="000000"/>
          <w:sz w:val="22"/>
          <w:szCs w:val="22"/>
        </w:rPr>
      </w:pPr>
      <w:r w:rsidRPr="00FD2240">
        <w:rPr>
          <w:color w:val="000000"/>
          <w:sz w:val="22"/>
          <w:szCs w:val="22"/>
        </w:rPr>
        <w:t>Dasatinib Vivanta Generics 50 mg</w:t>
      </w:r>
      <w:r>
        <w:rPr>
          <w:color w:val="000000"/>
          <w:sz w:val="22"/>
          <w:szCs w:val="22"/>
        </w:rPr>
        <w:t>: 44/0007</w:t>
      </w:r>
      <w:r w:rsidRPr="00FD2240">
        <w:rPr>
          <w:color w:val="000000"/>
          <w:sz w:val="22"/>
          <w:szCs w:val="22"/>
        </w:rPr>
        <w:t>/20-S</w:t>
      </w:r>
    </w:p>
    <w:p w14:paraId="31EA083A" w14:textId="1C789ECD" w:rsidR="00FD2240" w:rsidRPr="00FD2240" w:rsidRDefault="00FD2240" w:rsidP="00FD2240">
      <w:pPr>
        <w:pStyle w:val="CM101"/>
        <w:ind w:right="3447"/>
        <w:rPr>
          <w:color w:val="000000"/>
          <w:sz w:val="22"/>
          <w:szCs w:val="22"/>
        </w:rPr>
      </w:pPr>
      <w:r w:rsidRPr="00FD2240">
        <w:rPr>
          <w:color w:val="000000"/>
          <w:sz w:val="22"/>
          <w:szCs w:val="22"/>
        </w:rPr>
        <w:t>Dasatinib Vivanta Generics 70 mg</w:t>
      </w:r>
      <w:r>
        <w:rPr>
          <w:color w:val="000000"/>
          <w:sz w:val="22"/>
          <w:szCs w:val="22"/>
        </w:rPr>
        <w:t>: 44/0008</w:t>
      </w:r>
      <w:r w:rsidRPr="00FD2240">
        <w:rPr>
          <w:color w:val="000000"/>
          <w:sz w:val="22"/>
          <w:szCs w:val="22"/>
        </w:rPr>
        <w:t>/20-S</w:t>
      </w:r>
    </w:p>
    <w:p w14:paraId="7A4A68A4" w14:textId="355B6724" w:rsidR="00FD2240" w:rsidRPr="00FD2240" w:rsidRDefault="00FD2240" w:rsidP="00FD2240">
      <w:pPr>
        <w:pStyle w:val="Default"/>
        <w:rPr>
          <w:sz w:val="22"/>
          <w:szCs w:val="22"/>
        </w:rPr>
      </w:pPr>
      <w:r w:rsidRPr="00FD2240">
        <w:rPr>
          <w:sz w:val="22"/>
          <w:szCs w:val="22"/>
        </w:rPr>
        <w:t>Dasatinib Vivanta Generics 80 mg</w:t>
      </w:r>
      <w:r>
        <w:rPr>
          <w:sz w:val="22"/>
          <w:szCs w:val="22"/>
        </w:rPr>
        <w:t>: 44/0009</w:t>
      </w:r>
      <w:r w:rsidRPr="00FD2240">
        <w:rPr>
          <w:sz w:val="22"/>
          <w:szCs w:val="22"/>
        </w:rPr>
        <w:t>/20-S</w:t>
      </w:r>
    </w:p>
    <w:p w14:paraId="139D5809" w14:textId="24EAA3F2" w:rsidR="00FD2240" w:rsidRPr="00FD2240" w:rsidRDefault="00FD2240" w:rsidP="00FD2240">
      <w:pPr>
        <w:pStyle w:val="CM101"/>
        <w:ind w:right="3447"/>
        <w:rPr>
          <w:color w:val="000000"/>
          <w:sz w:val="22"/>
          <w:szCs w:val="22"/>
        </w:rPr>
      </w:pPr>
      <w:r w:rsidRPr="00FD2240">
        <w:rPr>
          <w:color w:val="000000"/>
          <w:sz w:val="22"/>
          <w:szCs w:val="22"/>
        </w:rPr>
        <w:t>Dasatinib Vivanta Generics 100 mg</w:t>
      </w:r>
      <w:r w:rsidR="007E125F">
        <w:rPr>
          <w:color w:val="000000"/>
          <w:sz w:val="22"/>
          <w:szCs w:val="22"/>
        </w:rPr>
        <w:t>: 44/00</w:t>
      </w:r>
      <w:bookmarkStart w:id="2" w:name="_GoBack"/>
      <w:bookmarkEnd w:id="2"/>
      <w:r>
        <w:rPr>
          <w:color w:val="000000"/>
          <w:sz w:val="22"/>
          <w:szCs w:val="22"/>
        </w:rPr>
        <w:t>10</w:t>
      </w:r>
      <w:r w:rsidRPr="00FD2240">
        <w:rPr>
          <w:color w:val="000000"/>
          <w:sz w:val="22"/>
          <w:szCs w:val="22"/>
        </w:rPr>
        <w:t>/20-S</w:t>
      </w:r>
    </w:p>
    <w:p w14:paraId="16471FDF" w14:textId="20A658B4" w:rsidR="00FD2240" w:rsidRPr="00FD2240" w:rsidRDefault="00FD2240" w:rsidP="00FD2240">
      <w:pPr>
        <w:pStyle w:val="Default"/>
        <w:rPr>
          <w:sz w:val="22"/>
          <w:szCs w:val="22"/>
        </w:rPr>
      </w:pPr>
      <w:r w:rsidRPr="00FD2240">
        <w:rPr>
          <w:sz w:val="22"/>
          <w:szCs w:val="22"/>
        </w:rPr>
        <w:t>Dasatinib Vivanta Generics 140 mg</w:t>
      </w:r>
      <w:r w:rsidR="00AB7756">
        <w:rPr>
          <w:sz w:val="22"/>
          <w:szCs w:val="22"/>
        </w:rPr>
        <w:t>: 44/0011</w:t>
      </w:r>
      <w:r w:rsidRPr="00FD2240">
        <w:rPr>
          <w:sz w:val="22"/>
          <w:szCs w:val="22"/>
        </w:rPr>
        <w:t>/20-S</w:t>
      </w:r>
    </w:p>
    <w:p w14:paraId="0DEAE93B" w14:textId="77777777" w:rsidR="00FD2240" w:rsidRPr="004E1637" w:rsidRDefault="00FD2240" w:rsidP="002516B8">
      <w:pPr>
        <w:pStyle w:val="Default"/>
        <w:rPr>
          <w:b/>
          <w:bCs/>
          <w:color w:val="auto"/>
          <w:sz w:val="22"/>
          <w:szCs w:val="22"/>
        </w:rPr>
      </w:pPr>
    </w:p>
    <w:p w14:paraId="2383FF15" w14:textId="77777777" w:rsidR="00847568" w:rsidRPr="00847568" w:rsidRDefault="00847568" w:rsidP="00847568">
      <w:pPr>
        <w:pStyle w:val="Default"/>
      </w:pPr>
    </w:p>
    <w:p w14:paraId="19DD8001" w14:textId="77777777" w:rsidR="002516B8" w:rsidRPr="004E1637" w:rsidRDefault="002516B8" w:rsidP="002516B8">
      <w:pPr>
        <w:pStyle w:val="Default"/>
        <w:rPr>
          <w:b/>
          <w:bCs/>
          <w:color w:val="auto"/>
          <w:sz w:val="22"/>
          <w:szCs w:val="22"/>
        </w:rPr>
      </w:pPr>
    </w:p>
    <w:p w14:paraId="618462C1" w14:textId="5FB53F8F" w:rsidR="00BE76D5" w:rsidRPr="004E1637" w:rsidRDefault="002516B8" w:rsidP="00C11B8A">
      <w:pPr>
        <w:pStyle w:val="Default"/>
        <w:tabs>
          <w:tab w:val="left" w:pos="567"/>
        </w:tabs>
        <w:rPr>
          <w:color w:val="auto"/>
          <w:sz w:val="22"/>
          <w:szCs w:val="22"/>
        </w:rPr>
      </w:pPr>
      <w:r w:rsidRPr="004E1637">
        <w:rPr>
          <w:b/>
          <w:bCs/>
          <w:color w:val="auto"/>
          <w:sz w:val="22"/>
          <w:szCs w:val="22"/>
        </w:rPr>
        <w:t>9.</w:t>
      </w:r>
      <w:r w:rsidR="00C11B8A">
        <w:rPr>
          <w:b/>
          <w:bCs/>
          <w:color w:val="auto"/>
          <w:sz w:val="22"/>
          <w:szCs w:val="22"/>
        </w:rPr>
        <w:tab/>
      </w:r>
      <w:r w:rsidR="00BE76D5" w:rsidRPr="004E1637">
        <w:rPr>
          <w:b/>
          <w:bCs/>
          <w:color w:val="auto"/>
          <w:sz w:val="22"/>
          <w:szCs w:val="22"/>
        </w:rPr>
        <w:t xml:space="preserve">DÁTUM PRVEJ REGISTRÁCIE/ PREDĹŽENIA REGISTRÁCIE </w:t>
      </w:r>
    </w:p>
    <w:p w14:paraId="2ECD6F64" w14:textId="77777777" w:rsidR="002516B8" w:rsidRPr="004E1637" w:rsidRDefault="002516B8" w:rsidP="002516B8">
      <w:pPr>
        <w:pStyle w:val="Default"/>
        <w:rPr>
          <w:b/>
          <w:bCs/>
          <w:color w:val="auto"/>
          <w:sz w:val="22"/>
          <w:szCs w:val="22"/>
        </w:rPr>
      </w:pPr>
    </w:p>
    <w:p w14:paraId="1A370AAD" w14:textId="77777777" w:rsidR="00AF75D7" w:rsidRPr="004E1637" w:rsidRDefault="00AF75D7" w:rsidP="00AF75D7">
      <w:pPr>
        <w:pStyle w:val="CM2"/>
        <w:spacing w:line="240" w:lineRule="auto"/>
        <w:rPr>
          <w:sz w:val="22"/>
          <w:szCs w:val="22"/>
        </w:rPr>
      </w:pPr>
      <w:r w:rsidRPr="004E1637">
        <w:rPr>
          <w:sz w:val="22"/>
          <w:szCs w:val="22"/>
        </w:rPr>
        <w:t xml:space="preserve">Dátum prvej registrácie: </w:t>
      </w:r>
    </w:p>
    <w:p w14:paraId="4CA13CEE" w14:textId="77777777" w:rsidR="002516B8" w:rsidRDefault="002516B8" w:rsidP="002516B8">
      <w:pPr>
        <w:pStyle w:val="Default"/>
        <w:rPr>
          <w:b/>
          <w:bCs/>
          <w:color w:val="auto"/>
          <w:sz w:val="22"/>
          <w:szCs w:val="22"/>
        </w:rPr>
      </w:pPr>
    </w:p>
    <w:p w14:paraId="60AB4522" w14:textId="77777777" w:rsidR="00AF75D7" w:rsidRPr="004E1637" w:rsidRDefault="00AF75D7" w:rsidP="002516B8">
      <w:pPr>
        <w:pStyle w:val="Default"/>
        <w:rPr>
          <w:b/>
          <w:bCs/>
          <w:color w:val="auto"/>
          <w:sz w:val="22"/>
          <w:szCs w:val="22"/>
        </w:rPr>
      </w:pPr>
    </w:p>
    <w:p w14:paraId="25881EEA" w14:textId="47543E0B" w:rsidR="00BE76D5" w:rsidRPr="004E1637" w:rsidRDefault="002516B8" w:rsidP="00C11B8A">
      <w:pPr>
        <w:pStyle w:val="Default"/>
        <w:tabs>
          <w:tab w:val="left" w:pos="567"/>
        </w:tabs>
        <w:rPr>
          <w:color w:val="auto"/>
          <w:sz w:val="22"/>
          <w:szCs w:val="22"/>
        </w:rPr>
      </w:pPr>
      <w:r w:rsidRPr="004E1637">
        <w:rPr>
          <w:b/>
          <w:bCs/>
          <w:color w:val="auto"/>
          <w:sz w:val="22"/>
          <w:szCs w:val="22"/>
        </w:rPr>
        <w:t>10.</w:t>
      </w:r>
      <w:r w:rsidR="00C11B8A">
        <w:rPr>
          <w:b/>
          <w:bCs/>
          <w:color w:val="auto"/>
          <w:sz w:val="22"/>
          <w:szCs w:val="22"/>
        </w:rPr>
        <w:tab/>
      </w:r>
      <w:r w:rsidR="00BE76D5" w:rsidRPr="004E1637">
        <w:rPr>
          <w:b/>
          <w:bCs/>
          <w:color w:val="auto"/>
          <w:sz w:val="22"/>
          <w:szCs w:val="22"/>
        </w:rPr>
        <w:t xml:space="preserve">DÁTUM REVÍZIE TEXTU </w:t>
      </w:r>
    </w:p>
    <w:p w14:paraId="7216D09F" w14:textId="71C626D7" w:rsidR="00BE76D5" w:rsidRDefault="00BE76D5" w:rsidP="002E340B">
      <w:pPr>
        <w:pStyle w:val="Default"/>
        <w:rPr>
          <w:color w:val="auto"/>
          <w:sz w:val="22"/>
          <w:szCs w:val="22"/>
        </w:rPr>
      </w:pPr>
    </w:p>
    <w:p w14:paraId="435DEEDB" w14:textId="4E61C99B" w:rsidR="002424BB" w:rsidRPr="004E1637" w:rsidRDefault="009131A4" w:rsidP="002E340B">
      <w:pPr>
        <w:pStyle w:val="Default"/>
        <w:rPr>
          <w:color w:val="auto"/>
          <w:sz w:val="22"/>
          <w:szCs w:val="22"/>
        </w:rPr>
      </w:pPr>
      <w:r>
        <w:rPr>
          <w:color w:val="auto"/>
          <w:sz w:val="22"/>
          <w:szCs w:val="22"/>
        </w:rPr>
        <w:t>01/2020</w:t>
      </w:r>
    </w:p>
    <w:sectPr w:rsidR="002424BB" w:rsidRPr="004E1637" w:rsidSect="00C11B8A">
      <w:headerReference w:type="default" r:id="rId9"/>
      <w:footerReference w:type="default" r:id="rId10"/>
      <w:type w:val="continuous"/>
      <w:pgSz w:w="11907" w:h="16839" w:code="9"/>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A211B" w14:textId="77777777" w:rsidR="000A393D" w:rsidRDefault="000A393D" w:rsidP="004B2A50">
      <w:pPr>
        <w:spacing w:after="0" w:line="240" w:lineRule="auto"/>
      </w:pPr>
      <w:r>
        <w:separator/>
      </w:r>
    </w:p>
  </w:endnote>
  <w:endnote w:type="continuationSeparator" w:id="0">
    <w:p w14:paraId="52BF6247" w14:textId="77777777" w:rsidR="000A393D" w:rsidRDefault="000A393D" w:rsidP="004B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altName w:val="Verdan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980690"/>
      <w:docPartObj>
        <w:docPartGallery w:val="Page Numbers (Bottom of Page)"/>
        <w:docPartUnique/>
      </w:docPartObj>
    </w:sdtPr>
    <w:sdtEndPr>
      <w:rPr>
        <w:rFonts w:ascii="Times New Roman" w:hAnsi="Times New Roman"/>
        <w:sz w:val="18"/>
        <w:szCs w:val="18"/>
      </w:rPr>
    </w:sdtEndPr>
    <w:sdtContent>
      <w:p w14:paraId="429E6D80" w14:textId="5240628A" w:rsidR="00A935A3" w:rsidRPr="00C11B8A" w:rsidRDefault="00A935A3">
        <w:pPr>
          <w:pStyle w:val="Pta"/>
          <w:jc w:val="center"/>
          <w:rPr>
            <w:rFonts w:ascii="Times New Roman" w:hAnsi="Times New Roman"/>
            <w:sz w:val="18"/>
            <w:szCs w:val="18"/>
          </w:rPr>
        </w:pPr>
        <w:r w:rsidRPr="00C11B8A">
          <w:rPr>
            <w:rFonts w:ascii="Times New Roman" w:hAnsi="Times New Roman"/>
            <w:sz w:val="18"/>
            <w:szCs w:val="18"/>
          </w:rPr>
          <w:fldChar w:fldCharType="begin"/>
        </w:r>
        <w:r w:rsidRPr="00C11B8A">
          <w:rPr>
            <w:rFonts w:ascii="Times New Roman" w:hAnsi="Times New Roman"/>
            <w:sz w:val="18"/>
            <w:szCs w:val="18"/>
          </w:rPr>
          <w:instrText>PAGE   \* MERGEFORMAT</w:instrText>
        </w:r>
        <w:r w:rsidRPr="00C11B8A">
          <w:rPr>
            <w:rFonts w:ascii="Times New Roman" w:hAnsi="Times New Roman"/>
            <w:sz w:val="18"/>
            <w:szCs w:val="18"/>
          </w:rPr>
          <w:fldChar w:fldCharType="separate"/>
        </w:r>
        <w:r w:rsidR="007E125F" w:rsidRPr="007E125F">
          <w:rPr>
            <w:rFonts w:ascii="Times New Roman" w:hAnsi="Times New Roman"/>
            <w:noProof/>
            <w:sz w:val="18"/>
            <w:szCs w:val="18"/>
            <w:lang w:val="sk-SK"/>
          </w:rPr>
          <w:t>23</w:t>
        </w:r>
        <w:r w:rsidRPr="00C11B8A">
          <w:rPr>
            <w:rFonts w:ascii="Times New Roman" w:hAnsi="Times New Roman"/>
            <w:sz w:val="18"/>
            <w:szCs w:val="18"/>
          </w:rPr>
          <w:fldChar w:fldCharType="end"/>
        </w:r>
      </w:p>
    </w:sdtContent>
  </w:sdt>
  <w:p w14:paraId="52DBA8FB" w14:textId="77777777" w:rsidR="00A935A3" w:rsidRDefault="00A935A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BDD23" w14:textId="77777777" w:rsidR="000A393D" w:rsidRDefault="000A393D" w:rsidP="004B2A50">
      <w:pPr>
        <w:spacing w:after="0" w:line="240" w:lineRule="auto"/>
      </w:pPr>
      <w:r>
        <w:separator/>
      </w:r>
    </w:p>
  </w:footnote>
  <w:footnote w:type="continuationSeparator" w:id="0">
    <w:p w14:paraId="69B88C1D" w14:textId="77777777" w:rsidR="000A393D" w:rsidRDefault="000A393D" w:rsidP="004B2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4DA5" w14:textId="25A82EC4" w:rsidR="00A935A3" w:rsidRPr="004B2A50" w:rsidRDefault="00A935A3" w:rsidP="004B2A50">
    <w:pPr>
      <w:pStyle w:val="Normlnywebov"/>
      <w:spacing w:before="126" w:beforeAutospacing="0" w:after="0" w:afterAutospacing="0"/>
      <w:jc w:val="both"/>
      <w:rPr>
        <w:sz w:val="18"/>
        <w:szCs w:val="18"/>
      </w:rPr>
    </w:pPr>
    <w:r w:rsidRPr="004B2A50">
      <w:rPr>
        <w:sz w:val="18"/>
        <w:szCs w:val="18"/>
      </w:rPr>
      <w:t>Schválený text k rozhodnutiu o registrácii, ev. č.:</w:t>
    </w:r>
    <w:r>
      <w:rPr>
        <w:sz w:val="18"/>
        <w:szCs w:val="18"/>
      </w:rPr>
      <w:t xml:space="preserve"> </w:t>
    </w:r>
    <w:r w:rsidRPr="00A1186A">
      <w:rPr>
        <w:sz w:val="18"/>
        <w:szCs w:val="18"/>
      </w:rPr>
      <w:t>2018/04097-REG</w:t>
    </w:r>
    <w:r>
      <w:rPr>
        <w:sz w:val="18"/>
        <w:szCs w:val="18"/>
      </w:rPr>
      <w:t xml:space="preserve">, </w:t>
    </w:r>
    <w:r w:rsidRPr="00A1186A">
      <w:rPr>
        <w:sz w:val="18"/>
        <w:szCs w:val="18"/>
      </w:rPr>
      <w:t>2018/0409</w:t>
    </w:r>
    <w:r>
      <w:rPr>
        <w:sz w:val="18"/>
        <w:szCs w:val="18"/>
      </w:rPr>
      <w:t>8</w:t>
    </w:r>
    <w:r w:rsidRPr="00A1186A">
      <w:rPr>
        <w:sz w:val="18"/>
        <w:szCs w:val="18"/>
      </w:rPr>
      <w:t>-REG</w:t>
    </w:r>
    <w:r>
      <w:rPr>
        <w:sz w:val="18"/>
        <w:szCs w:val="18"/>
      </w:rPr>
      <w:t xml:space="preserve">, </w:t>
    </w:r>
    <w:r w:rsidRPr="00A1186A">
      <w:rPr>
        <w:sz w:val="18"/>
        <w:szCs w:val="18"/>
      </w:rPr>
      <w:t>2018/0409</w:t>
    </w:r>
    <w:r>
      <w:rPr>
        <w:sz w:val="18"/>
        <w:szCs w:val="18"/>
      </w:rPr>
      <w:t>9</w:t>
    </w:r>
    <w:r w:rsidRPr="00A1186A">
      <w:rPr>
        <w:sz w:val="18"/>
        <w:szCs w:val="18"/>
      </w:rPr>
      <w:t>-REG</w:t>
    </w:r>
    <w:r>
      <w:rPr>
        <w:sz w:val="18"/>
        <w:szCs w:val="18"/>
      </w:rPr>
      <w:t xml:space="preserve">, </w:t>
    </w:r>
    <w:r w:rsidRPr="00A1186A">
      <w:rPr>
        <w:sz w:val="18"/>
        <w:szCs w:val="18"/>
      </w:rPr>
      <w:t>2018/04</w:t>
    </w:r>
    <w:r>
      <w:rPr>
        <w:sz w:val="18"/>
        <w:szCs w:val="18"/>
      </w:rPr>
      <w:t>100</w:t>
    </w:r>
    <w:r w:rsidRPr="00A1186A">
      <w:rPr>
        <w:sz w:val="18"/>
        <w:szCs w:val="18"/>
      </w:rPr>
      <w:t>-REG</w:t>
    </w:r>
    <w:r>
      <w:rPr>
        <w:sz w:val="18"/>
        <w:szCs w:val="18"/>
      </w:rPr>
      <w:t xml:space="preserve">, </w:t>
    </w:r>
    <w:r w:rsidRPr="00A26E10">
      <w:rPr>
        <w:sz w:val="18"/>
        <w:szCs w:val="18"/>
      </w:rPr>
      <w:t>2018/0410</w:t>
    </w:r>
    <w:r>
      <w:rPr>
        <w:sz w:val="18"/>
        <w:szCs w:val="18"/>
      </w:rPr>
      <w:t>1</w:t>
    </w:r>
    <w:r w:rsidRPr="00A26E10">
      <w:rPr>
        <w:sz w:val="18"/>
        <w:szCs w:val="18"/>
      </w:rPr>
      <w:t>-REG</w:t>
    </w:r>
    <w:r>
      <w:rPr>
        <w:sz w:val="18"/>
        <w:szCs w:val="18"/>
      </w:rPr>
      <w:t xml:space="preserve">, </w:t>
    </w:r>
    <w:r w:rsidRPr="00A26E10">
      <w:rPr>
        <w:sz w:val="18"/>
        <w:szCs w:val="18"/>
      </w:rPr>
      <w:t>2018/04102-REG</w:t>
    </w:r>
  </w:p>
  <w:p w14:paraId="32AFAF53" w14:textId="77777777" w:rsidR="00A935A3" w:rsidRDefault="00A935A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5B6BAC"/>
    <w:multiLevelType w:val="hybridMultilevel"/>
    <w:tmpl w:val="E219563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8495DED"/>
    <w:multiLevelType w:val="hybridMultilevel"/>
    <w:tmpl w:val="FDF68EFC"/>
    <w:lvl w:ilvl="0" w:tplc="B882FBD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9592DD5"/>
    <w:multiLevelType w:val="hybridMultilevel"/>
    <w:tmpl w:val="E67A9B16"/>
    <w:lvl w:ilvl="0" w:tplc="FFFFFFFF">
      <w:start w:val="1"/>
      <w:numFmt w:val="bullet"/>
      <w:lvlText w:val="-"/>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BBB594D"/>
    <w:multiLevelType w:val="hybridMultilevel"/>
    <w:tmpl w:val="2E06EF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4A9B60DD"/>
    <w:multiLevelType w:val="hybridMultilevel"/>
    <w:tmpl w:val="F878943A"/>
    <w:lvl w:ilvl="0" w:tplc="31FCE1B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27A56EB"/>
    <w:multiLevelType w:val="hybridMultilevel"/>
    <w:tmpl w:val="9D80D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39"/>
    <w:rsid w:val="0000668D"/>
    <w:rsid w:val="00027621"/>
    <w:rsid w:val="000349A0"/>
    <w:rsid w:val="000434EC"/>
    <w:rsid w:val="00043F2E"/>
    <w:rsid w:val="00060B0C"/>
    <w:rsid w:val="00064D83"/>
    <w:rsid w:val="000708E3"/>
    <w:rsid w:val="00074D2B"/>
    <w:rsid w:val="00083C8B"/>
    <w:rsid w:val="000952FF"/>
    <w:rsid w:val="0009699D"/>
    <w:rsid w:val="000A045D"/>
    <w:rsid w:val="000A0696"/>
    <w:rsid w:val="000A393D"/>
    <w:rsid w:val="000B2E55"/>
    <w:rsid w:val="000B3FA7"/>
    <w:rsid w:val="000C377C"/>
    <w:rsid w:val="000D2053"/>
    <w:rsid w:val="000D2F5E"/>
    <w:rsid w:val="000D6AE0"/>
    <w:rsid w:val="000E04BD"/>
    <w:rsid w:val="000E1353"/>
    <w:rsid w:val="000F7AB1"/>
    <w:rsid w:val="00100CE3"/>
    <w:rsid w:val="00101519"/>
    <w:rsid w:val="00126F80"/>
    <w:rsid w:val="0016272D"/>
    <w:rsid w:val="001650F4"/>
    <w:rsid w:val="001716E0"/>
    <w:rsid w:val="00184F5A"/>
    <w:rsid w:val="00185FD5"/>
    <w:rsid w:val="00191850"/>
    <w:rsid w:val="00191FB8"/>
    <w:rsid w:val="00192146"/>
    <w:rsid w:val="001C159C"/>
    <w:rsid w:val="001C3A2A"/>
    <w:rsid w:val="001E11D6"/>
    <w:rsid w:val="001E54E6"/>
    <w:rsid w:val="001E56A1"/>
    <w:rsid w:val="001F28FC"/>
    <w:rsid w:val="001F43FB"/>
    <w:rsid w:val="00200E07"/>
    <w:rsid w:val="00201DE4"/>
    <w:rsid w:val="00231C44"/>
    <w:rsid w:val="00241A76"/>
    <w:rsid w:val="00241C8B"/>
    <w:rsid w:val="002424BB"/>
    <w:rsid w:val="002445C4"/>
    <w:rsid w:val="002516B8"/>
    <w:rsid w:val="002538DA"/>
    <w:rsid w:val="00263B24"/>
    <w:rsid w:val="00266B19"/>
    <w:rsid w:val="00267FF5"/>
    <w:rsid w:val="00272429"/>
    <w:rsid w:val="00273272"/>
    <w:rsid w:val="00296AA1"/>
    <w:rsid w:val="002A356C"/>
    <w:rsid w:val="002A5E20"/>
    <w:rsid w:val="002A5EF4"/>
    <w:rsid w:val="002B1197"/>
    <w:rsid w:val="002B50B3"/>
    <w:rsid w:val="002C1152"/>
    <w:rsid w:val="002D17DD"/>
    <w:rsid w:val="002D17ED"/>
    <w:rsid w:val="002E340B"/>
    <w:rsid w:val="002F5120"/>
    <w:rsid w:val="0030596A"/>
    <w:rsid w:val="0030610C"/>
    <w:rsid w:val="00306934"/>
    <w:rsid w:val="00307C37"/>
    <w:rsid w:val="00314BE3"/>
    <w:rsid w:val="0032213E"/>
    <w:rsid w:val="00334C51"/>
    <w:rsid w:val="0034337A"/>
    <w:rsid w:val="003459A2"/>
    <w:rsid w:val="003549CA"/>
    <w:rsid w:val="00354A4A"/>
    <w:rsid w:val="003604DC"/>
    <w:rsid w:val="00363A3A"/>
    <w:rsid w:val="00364552"/>
    <w:rsid w:val="0038258D"/>
    <w:rsid w:val="00393438"/>
    <w:rsid w:val="00394417"/>
    <w:rsid w:val="003A2F58"/>
    <w:rsid w:val="003A3373"/>
    <w:rsid w:val="003D12AF"/>
    <w:rsid w:val="003E3FFF"/>
    <w:rsid w:val="003E4859"/>
    <w:rsid w:val="00407DD5"/>
    <w:rsid w:val="004157BC"/>
    <w:rsid w:val="00434833"/>
    <w:rsid w:val="00440644"/>
    <w:rsid w:val="00442A82"/>
    <w:rsid w:val="00452A2E"/>
    <w:rsid w:val="00453345"/>
    <w:rsid w:val="0046226C"/>
    <w:rsid w:val="0046331C"/>
    <w:rsid w:val="00475565"/>
    <w:rsid w:val="00476D90"/>
    <w:rsid w:val="004865BB"/>
    <w:rsid w:val="004937B3"/>
    <w:rsid w:val="00494552"/>
    <w:rsid w:val="004945D8"/>
    <w:rsid w:val="004B039D"/>
    <w:rsid w:val="004B1076"/>
    <w:rsid w:val="004B2A50"/>
    <w:rsid w:val="004C0F4A"/>
    <w:rsid w:val="004C7DF7"/>
    <w:rsid w:val="004D3316"/>
    <w:rsid w:val="004D3410"/>
    <w:rsid w:val="004E1637"/>
    <w:rsid w:val="004F37A9"/>
    <w:rsid w:val="0050045A"/>
    <w:rsid w:val="005072A9"/>
    <w:rsid w:val="00510D0D"/>
    <w:rsid w:val="00537322"/>
    <w:rsid w:val="00543609"/>
    <w:rsid w:val="00564C42"/>
    <w:rsid w:val="00566343"/>
    <w:rsid w:val="005666D3"/>
    <w:rsid w:val="00570ED6"/>
    <w:rsid w:val="00573376"/>
    <w:rsid w:val="00577427"/>
    <w:rsid w:val="00582805"/>
    <w:rsid w:val="00585A82"/>
    <w:rsid w:val="005925F2"/>
    <w:rsid w:val="005939DF"/>
    <w:rsid w:val="00597481"/>
    <w:rsid w:val="005A041C"/>
    <w:rsid w:val="005A14E7"/>
    <w:rsid w:val="005A1DAF"/>
    <w:rsid w:val="005A2DB4"/>
    <w:rsid w:val="005A4ECC"/>
    <w:rsid w:val="005A63E5"/>
    <w:rsid w:val="005B2884"/>
    <w:rsid w:val="005C4646"/>
    <w:rsid w:val="005C5774"/>
    <w:rsid w:val="005D4748"/>
    <w:rsid w:val="005E1228"/>
    <w:rsid w:val="005E4095"/>
    <w:rsid w:val="005F27EF"/>
    <w:rsid w:val="006015AF"/>
    <w:rsid w:val="00606594"/>
    <w:rsid w:val="00623577"/>
    <w:rsid w:val="00625AD4"/>
    <w:rsid w:val="00632752"/>
    <w:rsid w:val="00637884"/>
    <w:rsid w:val="00640455"/>
    <w:rsid w:val="0064407F"/>
    <w:rsid w:val="00655376"/>
    <w:rsid w:val="006608FF"/>
    <w:rsid w:val="00662FD5"/>
    <w:rsid w:val="00665E0F"/>
    <w:rsid w:val="006843FE"/>
    <w:rsid w:val="00696DD7"/>
    <w:rsid w:val="006D23C9"/>
    <w:rsid w:val="006E2B0E"/>
    <w:rsid w:val="006F1E9C"/>
    <w:rsid w:val="006F3E8B"/>
    <w:rsid w:val="006F64C3"/>
    <w:rsid w:val="00700897"/>
    <w:rsid w:val="00701EC4"/>
    <w:rsid w:val="00707B8C"/>
    <w:rsid w:val="007119B9"/>
    <w:rsid w:val="00720910"/>
    <w:rsid w:val="00723E71"/>
    <w:rsid w:val="00725AD1"/>
    <w:rsid w:val="00740FB8"/>
    <w:rsid w:val="00747FEC"/>
    <w:rsid w:val="00751EA5"/>
    <w:rsid w:val="007558B3"/>
    <w:rsid w:val="00755DFF"/>
    <w:rsid w:val="00765C9B"/>
    <w:rsid w:val="00765F16"/>
    <w:rsid w:val="007757FC"/>
    <w:rsid w:val="007758CD"/>
    <w:rsid w:val="007852D9"/>
    <w:rsid w:val="00790DDC"/>
    <w:rsid w:val="007931F5"/>
    <w:rsid w:val="007A36B4"/>
    <w:rsid w:val="007A7F4D"/>
    <w:rsid w:val="007B0FC4"/>
    <w:rsid w:val="007B3195"/>
    <w:rsid w:val="007C2A8E"/>
    <w:rsid w:val="007C7A34"/>
    <w:rsid w:val="007E0CF0"/>
    <w:rsid w:val="007E125F"/>
    <w:rsid w:val="007F0855"/>
    <w:rsid w:val="008059E2"/>
    <w:rsid w:val="00812FEF"/>
    <w:rsid w:val="00817F39"/>
    <w:rsid w:val="00821CBD"/>
    <w:rsid w:val="00822E40"/>
    <w:rsid w:val="00845877"/>
    <w:rsid w:val="00847568"/>
    <w:rsid w:val="00855BD9"/>
    <w:rsid w:val="0085645C"/>
    <w:rsid w:val="00871125"/>
    <w:rsid w:val="00874337"/>
    <w:rsid w:val="00875F05"/>
    <w:rsid w:val="00880039"/>
    <w:rsid w:val="0089322B"/>
    <w:rsid w:val="00895A04"/>
    <w:rsid w:val="008A1D43"/>
    <w:rsid w:val="008B23B4"/>
    <w:rsid w:val="008B2EDB"/>
    <w:rsid w:val="008D46EE"/>
    <w:rsid w:val="008D51B3"/>
    <w:rsid w:val="008E23E7"/>
    <w:rsid w:val="008E4903"/>
    <w:rsid w:val="008E6E92"/>
    <w:rsid w:val="008F1A28"/>
    <w:rsid w:val="009079E0"/>
    <w:rsid w:val="009131A4"/>
    <w:rsid w:val="009141E9"/>
    <w:rsid w:val="00927217"/>
    <w:rsid w:val="00937804"/>
    <w:rsid w:val="00940B7A"/>
    <w:rsid w:val="00942981"/>
    <w:rsid w:val="00946C18"/>
    <w:rsid w:val="00952169"/>
    <w:rsid w:val="00957211"/>
    <w:rsid w:val="009724D0"/>
    <w:rsid w:val="009735AC"/>
    <w:rsid w:val="009756E2"/>
    <w:rsid w:val="00977EA3"/>
    <w:rsid w:val="00997BC9"/>
    <w:rsid w:val="009A5771"/>
    <w:rsid w:val="009B7317"/>
    <w:rsid w:val="009D09DB"/>
    <w:rsid w:val="009D1239"/>
    <w:rsid w:val="009D7DFB"/>
    <w:rsid w:val="009E038C"/>
    <w:rsid w:val="009E38FB"/>
    <w:rsid w:val="009F0909"/>
    <w:rsid w:val="009F13FD"/>
    <w:rsid w:val="009F2F05"/>
    <w:rsid w:val="009F3559"/>
    <w:rsid w:val="009F4035"/>
    <w:rsid w:val="00A01C2C"/>
    <w:rsid w:val="00A07DBB"/>
    <w:rsid w:val="00A17E18"/>
    <w:rsid w:val="00A20997"/>
    <w:rsid w:val="00A221B9"/>
    <w:rsid w:val="00A26E10"/>
    <w:rsid w:val="00A314BF"/>
    <w:rsid w:val="00A55A09"/>
    <w:rsid w:val="00A60B21"/>
    <w:rsid w:val="00A715DD"/>
    <w:rsid w:val="00A870D8"/>
    <w:rsid w:val="00A873DB"/>
    <w:rsid w:val="00A935A3"/>
    <w:rsid w:val="00A95DA9"/>
    <w:rsid w:val="00AA023F"/>
    <w:rsid w:val="00AA0C54"/>
    <w:rsid w:val="00AA13BD"/>
    <w:rsid w:val="00AA21FC"/>
    <w:rsid w:val="00AA6695"/>
    <w:rsid w:val="00AA6A33"/>
    <w:rsid w:val="00AB2172"/>
    <w:rsid w:val="00AB7756"/>
    <w:rsid w:val="00AB7E5E"/>
    <w:rsid w:val="00AC2867"/>
    <w:rsid w:val="00AF54F9"/>
    <w:rsid w:val="00AF75D7"/>
    <w:rsid w:val="00B00FC2"/>
    <w:rsid w:val="00B066F0"/>
    <w:rsid w:val="00B07CF1"/>
    <w:rsid w:val="00B07F85"/>
    <w:rsid w:val="00B138A3"/>
    <w:rsid w:val="00B15CBF"/>
    <w:rsid w:val="00B2108E"/>
    <w:rsid w:val="00B34775"/>
    <w:rsid w:val="00B448E1"/>
    <w:rsid w:val="00B5614D"/>
    <w:rsid w:val="00B5665F"/>
    <w:rsid w:val="00B60EC9"/>
    <w:rsid w:val="00B67AD9"/>
    <w:rsid w:val="00B72A03"/>
    <w:rsid w:val="00B73239"/>
    <w:rsid w:val="00B7366B"/>
    <w:rsid w:val="00B742B3"/>
    <w:rsid w:val="00B76B62"/>
    <w:rsid w:val="00B77F6F"/>
    <w:rsid w:val="00B813F6"/>
    <w:rsid w:val="00B96F2B"/>
    <w:rsid w:val="00BA09CB"/>
    <w:rsid w:val="00BB0E7F"/>
    <w:rsid w:val="00BB130A"/>
    <w:rsid w:val="00BC6470"/>
    <w:rsid w:val="00BC6D3D"/>
    <w:rsid w:val="00BD096E"/>
    <w:rsid w:val="00BD3065"/>
    <w:rsid w:val="00BD3B74"/>
    <w:rsid w:val="00BD57DD"/>
    <w:rsid w:val="00BE6A92"/>
    <w:rsid w:val="00BE76D5"/>
    <w:rsid w:val="00C05AFB"/>
    <w:rsid w:val="00C10BD3"/>
    <w:rsid w:val="00C11B8A"/>
    <w:rsid w:val="00C11DFC"/>
    <w:rsid w:val="00C15559"/>
    <w:rsid w:val="00C21707"/>
    <w:rsid w:val="00C36519"/>
    <w:rsid w:val="00C436F5"/>
    <w:rsid w:val="00C44150"/>
    <w:rsid w:val="00C467EC"/>
    <w:rsid w:val="00C46A71"/>
    <w:rsid w:val="00C46F69"/>
    <w:rsid w:val="00C52354"/>
    <w:rsid w:val="00C531F6"/>
    <w:rsid w:val="00C827DF"/>
    <w:rsid w:val="00C9668F"/>
    <w:rsid w:val="00CB0D82"/>
    <w:rsid w:val="00CB253B"/>
    <w:rsid w:val="00CC20BD"/>
    <w:rsid w:val="00CC5B91"/>
    <w:rsid w:val="00CC6194"/>
    <w:rsid w:val="00CC77DF"/>
    <w:rsid w:val="00CD4C52"/>
    <w:rsid w:val="00CD5D41"/>
    <w:rsid w:val="00CE3A4C"/>
    <w:rsid w:val="00CF1877"/>
    <w:rsid w:val="00D12D25"/>
    <w:rsid w:val="00D22C9B"/>
    <w:rsid w:val="00D31566"/>
    <w:rsid w:val="00D345CB"/>
    <w:rsid w:val="00D3731D"/>
    <w:rsid w:val="00D61F65"/>
    <w:rsid w:val="00D72972"/>
    <w:rsid w:val="00D85C09"/>
    <w:rsid w:val="00D902AC"/>
    <w:rsid w:val="00D950C6"/>
    <w:rsid w:val="00DA1D0A"/>
    <w:rsid w:val="00DA37D0"/>
    <w:rsid w:val="00DA5066"/>
    <w:rsid w:val="00DA605E"/>
    <w:rsid w:val="00DA634C"/>
    <w:rsid w:val="00DB5651"/>
    <w:rsid w:val="00DB6268"/>
    <w:rsid w:val="00DB6403"/>
    <w:rsid w:val="00DB6683"/>
    <w:rsid w:val="00DC73B4"/>
    <w:rsid w:val="00DD2979"/>
    <w:rsid w:val="00DF489B"/>
    <w:rsid w:val="00DF4A41"/>
    <w:rsid w:val="00E068C0"/>
    <w:rsid w:val="00E06BCB"/>
    <w:rsid w:val="00E2165B"/>
    <w:rsid w:val="00E42562"/>
    <w:rsid w:val="00E42F66"/>
    <w:rsid w:val="00E44134"/>
    <w:rsid w:val="00E51527"/>
    <w:rsid w:val="00E54CF9"/>
    <w:rsid w:val="00E66F6B"/>
    <w:rsid w:val="00E70124"/>
    <w:rsid w:val="00E71B44"/>
    <w:rsid w:val="00E71F22"/>
    <w:rsid w:val="00E803AE"/>
    <w:rsid w:val="00E808A9"/>
    <w:rsid w:val="00E83FD3"/>
    <w:rsid w:val="00E861E1"/>
    <w:rsid w:val="00EA2D87"/>
    <w:rsid w:val="00EB1128"/>
    <w:rsid w:val="00EB72CC"/>
    <w:rsid w:val="00EC3BBF"/>
    <w:rsid w:val="00EC4CBB"/>
    <w:rsid w:val="00EE00EE"/>
    <w:rsid w:val="00EE5AB3"/>
    <w:rsid w:val="00EE60FE"/>
    <w:rsid w:val="00F014C2"/>
    <w:rsid w:val="00F1639C"/>
    <w:rsid w:val="00F22DFA"/>
    <w:rsid w:val="00F23991"/>
    <w:rsid w:val="00F36DE7"/>
    <w:rsid w:val="00F4202F"/>
    <w:rsid w:val="00F420E3"/>
    <w:rsid w:val="00F50D61"/>
    <w:rsid w:val="00F53CE1"/>
    <w:rsid w:val="00F81BD7"/>
    <w:rsid w:val="00F92ED6"/>
    <w:rsid w:val="00F93FFB"/>
    <w:rsid w:val="00F95FB3"/>
    <w:rsid w:val="00FB03E6"/>
    <w:rsid w:val="00FC3FDD"/>
    <w:rsid w:val="00FC7BE9"/>
    <w:rsid w:val="00FD2240"/>
    <w:rsid w:val="00FF349D"/>
    <w:rsid w:val="00FF3D69"/>
    <w:rsid w:val="00FF58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CDF00"/>
  <w14:defaultImageDpi w14:val="96"/>
  <w15:docId w15:val="{1474B83E-EE8F-47C3-9892-F9DF04CB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637884"/>
    <w:pPr>
      <w:tabs>
        <w:tab w:val="left" w:pos="567"/>
      </w:tabs>
      <w:spacing w:before="240" w:after="120" w:line="260" w:lineRule="exact"/>
      <w:ind w:left="357" w:hanging="357"/>
      <w:outlineLvl w:val="0"/>
    </w:pPr>
    <w:rPr>
      <w:rFonts w:ascii="Times New Roman" w:hAnsi="Times New Roman"/>
      <w:b/>
      <w:caps/>
      <w:sz w:val="26"/>
      <w:szCs w:val="20"/>
      <w:lang w:val="en-US" w:eastAsia="en-US"/>
    </w:rPr>
  </w:style>
  <w:style w:type="paragraph" w:styleId="Nadpis2">
    <w:name w:val="heading 2"/>
    <w:basedOn w:val="Normlny"/>
    <w:next w:val="Normlny"/>
    <w:link w:val="Nadpis2Char"/>
    <w:uiPriority w:val="9"/>
    <w:qFormat/>
    <w:rsid w:val="00637884"/>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uiPriority w:val="9"/>
    <w:qFormat/>
    <w:rsid w:val="00637884"/>
    <w:pPr>
      <w:keepNext/>
      <w:keepLines/>
      <w:tabs>
        <w:tab w:val="left" w:pos="567"/>
      </w:tabs>
      <w:spacing w:before="120" w:after="80" w:line="260" w:lineRule="exact"/>
      <w:outlineLvl w:val="2"/>
    </w:pPr>
    <w:rPr>
      <w:rFonts w:ascii="Times New Roman" w:hAnsi="Times New Roman"/>
      <w:b/>
      <w:kern w:val="28"/>
      <w:sz w:val="24"/>
      <w:szCs w:val="20"/>
      <w:lang w:val="en-US" w:eastAsia="en-US"/>
    </w:rPr>
  </w:style>
  <w:style w:type="paragraph" w:styleId="Nadpis4">
    <w:name w:val="heading 4"/>
    <w:basedOn w:val="Normlny"/>
    <w:next w:val="Normlny"/>
    <w:link w:val="Nadpis4Char"/>
    <w:uiPriority w:val="9"/>
    <w:qFormat/>
    <w:rsid w:val="00637884"/>
    <w:pPr>
      <w:keepNext/>
      <w:tabs>
        <w:tab w:val="left" w:pos="567"/>
      </w:tabs>
      <w:spacing w:after="0" w:line="260" w:lineRule="exact"/>
      <w:jc w:val="both"/>
      <w:outlineLvl w:val="3"/>
    </w:pPr>
    <w:rPr>
      <w:rFonts w:ascii="Times New Roman" w:hAnsi="Times New Roman"/>
      <w:b/>
      <w:noProof/>
      <w:szCs w:val="20"/>
      <w:lang w:val="en-GB" w:eastAsia="en-US"/>
    </w:rPr>
  </w:style>
  <w:style w:type="paragraph" w:styleId="Nadpis5">
    <w:name w:val="heading 5"/>
    <w:basedOn w:val="Normlny"/>
    <w:next w:val="Normlny"/>
    <w:link w:val="Nadpis5Char"/>
    <w:uiPriority w:val="9"/>
    <w:qFormat/>
    <w:rsid w:val="00637884"/>
    <w:pPr>
      <w:keepNext/>
      <w:tabs>
        <w:tab w:val="left" w:pos="567"/>
      </w:tabs>
      <w:spacing w:after="0" w:line="260" w:lineRule="exact"/>
      <w:jc w:val="both"/>
      <w:outlineLvl w:val="4"/>
    </w:pPr>
    <w:rPr>
      <w:rFonts w:ascii="Times New Roman" w:hAnsi="Times New Roman"/>
      <w:noProof/>
      <w:szCs w:val="20"/>
      <w:lang w:val="en-GB" w:eastAsia="en-US"/>
    </w:rPr>
  </w:style>
  <w:style w:type="paragraph" w:styleId="Nadpis6">
    <w:name w:val="heading 6"/>
    <w:basedOn w:val="Normlny"/>
    <w:next w:val="Normlny"/>
    <w:link w:val="Nadpis6Char"/>
    <w:uiPriority w:val="9"/>
    <w:qFormat/>
    <w:rsid w:val="00637884"/>
    <w:pPr>
      <w:keepNext/>
      <w:tabs>
        <w:tab w:val="left" w:pos="-720"/>
        <w:tab w:val="left" w:pos="567"/>
        <w:tab w:val="left" w:pos="4536"/>
      </w:tabs>
      <w:suppressAutoHyphens/>
      <w:spacing w:after="0" w:line="260" w:lineRule="exact"/>
      <w:outlineLvl w:val="5"/>
    </w:pPr>
    <w:rPr>
      <w:rFonts w:ascii="Times New Roman" w:hAnsi="Times New Roman"/>
      <w:i/>
      <w:szCs w:val="20"/>
      <w:lang w:val="en-GB" w:eastAsia="en-US"/>
    </w:rPr>
  </w:style>
  <w:style w:type="paragraph" w:styleId="Nadpis7">
    <w:name w:val="heading 7"/>
    <w:basedOn w:val="Normlny"/>
    <w:next w:val="Normlny"/>
    <w:link w:val="Nadpis7Char"/>
    <w:uiPriority w:val="9"/>
    <w:qFormat/>
    <w:rsid w:val="00637884"/>
    <w:pPr>
      <w:keepNext/>
      <w:tabs>
        <w:tab w:val="left" w:pos="-720"/>
        <w:tab w:val="left" w:pos="567"/>
        <w:tab w:val="left" w:pos="4536"/>
      </w:tabs>
      <w:suppressAutoHyphens/>
      <w:spacing w:after="0" w:line="260" w:lineRule="exact"/>
      <w:jc w:val="both"/>
      <w:outlineLvl w:val="6"/>
    </w:pPr>
    <w:rPr>
      <w:rFonts w:ascii="Times New Roman" w:hAnsi="Times New Roman"/>
      <w:i/>
      <w:szCs w:val="20"/>
      <w:lang w:val="en-GB" w:eastAsia="en-US"/>
    </w:rPr>
  </w:style>
  <w:style w:type="paragraph" w:styleId="Nadpis8">
    <w:name w:val="heading 8"/>
    <w:basedOn w:val="Normlny"/>
    <w:next w:val="Normlny"/>
    <w:link w:val="Nadpis8Char"/>
    <w:uiPriority w:val="9"/>
    <w:qFormat/>
    <w:rsid w:val="00637884"/>
    <w:pPr>
      <w:keepNext/>
      <w:tabs>
        <w:tab w:val="left" w:pos="567"/>
      </w:tabs>
      <w:spacing w:after="0" w:line="260" w:lineRule="exact"/>
      <w:ind w:left="567" w:hanging="567"/>
      <w:jc w:val="both"/>
      <w:outlineLvl w:val="7"/>
    </w:pPr>
    <w:rPr>
      <w:rFonts w:ascii="Times New Roman" w:hAnsi="Times New Roman"/>
      <w:b/>
      <w:i/>
      <w:szCs w:val="20"/>
      <w:lang w:val="en-GB" w:eastAsia="en-US"/>
    </w:rPr>
  </w:style>
  <w:style w:type="paragraph" w:styleId="Nadpis9">
    <w:name w:val="heading 9"/>
    <w:basedOn w:val="Normlny"/>
    <w:next w:val="Normlny"/>
    <w:link w:val="Nadpis9Char"/>
    <w:uiPriority w:val="9"/>
    <w:qFormat/>
    <w:rsid w:val="00637884"/>
    <w:pPr>
      <w:keepNext/>
      <w:tabs>
        <w:tab w:val="left" w:pos="567"/>
      </w:tabs>
      <w:spacing w:after="0" w:line="260" w:lineRule="exact"/>
      <w:jc w:val="both"/>
      <w:outlineLvl w:val="8"/>
    </w:pPr>
    <w:rPr>
      <w:rFonts w:ascii="Times New Roman" w:hAnsi="Times New Roman"/>
      <w:b/>
      <w:i/>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37884"/>
    <w:rPr>
      <w:rFonts w:ascii="Times New Roman" w:hAnsi="Times New Roman" w:cs="Times New Roman"/>
      <w:b/>
      <w:caps/>
      <w:sz w:val="20"/>
      <w:szCs w:val="20"/>
      <w:lang w:val="en-US" w:eastAsia="en-US"/>
    </w:rPr>
  </w:style>
  <w:style w:type="character" w:customStyle="1" w:styleId="Nadpis2Char">
    <w:name w:val="Nadpis 2 Char"/>
    <w:basedOn w:val="Predvolenpsmoodseku"/>
    <w:link w:val="Nadpis2"/>
    <w:uiPriority w:val="9"/>
    <w:locked/>
    <w:rsid w:val="00637884"/>
    <w:rPr>
      <w:rFonts w:ascii="Helvetica" w:hAnsi="Helvetica" w:cs="Times New Roman"/>
      <w:b/>
      <w:i/>
      <w:sz w:val="20"/>
      <w:szCs w:val="20"/>
      <w:lang w:val="en-GB" w:eastAsia="en-US"/>
    </w:rPr>
  </w:style>
  <w:style w:type="character" w:customStyle="1" w:styleId="Nadpis3Char">
    <w:name w:val="Nadpis 3 Char"/>
    <w:basedOn w:val="Predvolenpsmoodseku"/>
    <w:link w:val="Nadpis3"/>
    <w:uiPriority w:val="9"/>
    <w:locked/>
    <w:rsid w:val="00637884"/>
    <w:rPr>
      <w:rFonts w:ascii="Times New Roman" w:hAnsi="Times New Roman" w:cs="Times New Roman"/>
      <w:b/>
      <w:kern w:val="28"/>
      <w:sz w:val="20"/>
      <w:szCs w:val="20"/>
      <w:lang w:val="en-US" w:eastAsia="en-US"/>
    </w:rPr>
  </w:style>
  <w:style w:type="character" w:customStyle="1" w:styleId="Nadpis4Char">
    <w:name w:val="Nadpis 4 Char"/>
    <w:basedOn w:val="Predvolenpsmoodseku"/>
    <w:link w:val="Nadpis4"/>
    <w:uiPriority w:val="9"/>
    <w:locked/>
    <w:rsid w:val="00637884"/>
    <w:rPr>
      <w:rFonts w:ascii="Times New Roman" w:hAnsi="Times New Roman" w:cs="Times New Roman"/>
      <w:b/>
      <w:noProof/>
      <w:sz w:val="20"/>
      <w:szCs w:val="20"/>
      <w:lang w:val="en-GB" w:eastAsia="en-US"/>
    </w:rPr>
  </w:style>
  <w:style w:type="character" w:customStyle="1" w:styleId="Nadpis5Char">
    <w:name w:val="Nadpis 5 Char"/>
    <w:basedOn w:val="Predvolenpsmoodseku"/>
    <w:link w:val="Nadpis5"/>
    <w:uiPriority w:val="9"/>
    <w:locked/>
    <w:rsid w:val="00637884"/>
    <w:rPr>
      <w:rFonts w:ascii="Times New Roman" w:hAnsi="Times New Roman" w:cs="Times New Roman"/>
      <w:noProof/>
      <w:sz w:val="20"/>
      <w:szCs w:val="20"/>
      <w:lang w:val="en-GB" w:eastAsia="en-US"/>
    </w:rPr>
  </w:style>
  <w:style w:type="character" w:customStyle="1" w:styleId="Nadpis6Char">
    <w:name w:val="Nadpis 6 Char"/>
    <w:basedOn w:val="Predvolenpsmoodseku"/>
    <w:link w:val="Nadpis6"/>
    <w:uiPriority w:val="9"/>
    <w:locked/>
    <w:rsid w:val="00637884"/>
    <w:rPr>
      <w:rFonts w:ascii="Times New Roman" w:hAnsi="Times New Roman" w:cs="Times New Roman"/>
      <w:i/>
      <w:sz w:val="20"/>
      <w:szCs w:val="20"/>
      <w:lang w:val="en-GB" w:eastAsia="en-US"/>
    </w:rPr>
  </w:style>
  <w:style w:type="character" w:customStyle="1" w:styleId="Nadpis7Char">
    <w:name w:val="Nadpis 7 Char"/>
    <w:basedOn w:val="Predvolenpsmoodseku"/>
    <w:link w:val="Nadpis7"/>
    <w:uiPriority w:val="9"/>
    <w:locked/>
    <w:rsid w:val="00637884"/>
    <w:rPr>
      <w:rFonts w:ascii="Times New Roman" w:hAnsi="Times New Roman" w:cs="Times New Roman"/>
      <w:i/>
      <w:sz w:val="20"/>
      <w:szCs w:val="20"/>
      <w:lang w:val="en-GB" w:eastAsia="en-US"/>
    </w:rPr>
  </w:style>
  <w:style w:type="character" w:customStyle="1" w:styleId="Nadpis8Char">
    <w:name w:val="Nadpis 8 Char"/>
    <w:basedOn w:val="Predvolenpsmoodseku"/>
    <w:link w:val="Nadpis8"/>
    <w:uiPriority w:val="9"/>
    <w:locked/>
    <w:rsid w:val="00637884"/>
    <w:rPr>
      <w:rFonts w:ascii="Times New Roman" w:hAnsi="Times New Roman" w:cs="Times New Roman"/>
      <w:b/>
      <w:i/>
      <w:sz w:val="20"/>
      <w:szCs w:val="20"/>
      <w:lang w:val="en-GB" w:eastAsia="en-US"/>
    </w:rPr>
  </w:style>
  <w:style w:type="character" w:customStyle="1" w:styleId="Nadpis9Char">
    <w:name w:val="Nadpis 9 Char"/>
    <w:basedOn w:val="Predvolenpsmoodseku"/>
    <w:link w:val="Nadpis9"/>
    <w:uiPriority w:val="9"/>
    <w:locked/>
    <w:rsid w:val="00637884"/>
    <w:rPr>
      <w:rFonts w:ascii="Times New Roman" w:hAnsi="Times New Roman" w:cs="Times New Roman"/>
      <w:b/>
      <w:i/>
      <w:sz w:val="20"/>
      <w:szCs w:val="20"/>
      <w:lang w:val="en-GB" w:eastAsia="en-US"/>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478" w:lineRule="atLeast"/>
    </w:pPr>
    <w:rPr>
      <w:color w:val="auto"/>
    </w:rPr>
  </w:style>
  <w:style w:type="paragraph" w:customStyle="1" w:styleId="CM2">
    <w:name w:val="CM2"/>
    <w:basedOn w:val="Default"/>
    <w:next w:val="Default"/>
    <w:uiPriority w:val="99"/>
    <w:pPr>
      <w:spacing w:line="238" w:lineRule="atLeast"/>
    </w:pPr>
    <w:rPr>
      <w:color w:val="auto"/>
    </w:rPr>
  </w:style>
  <w:style w:type="paragraph" w:customStyle="1" w:styleId="CM100">
    <w:name w:val="CM100"/>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4">
    <w:name w:val="CM4"/>
    <w:basedOn w:val="Default"/>
    <w:next w:val="Default"/>
    <w:uiPriority w:val="99"/>
    <w:pPr>
      <w:spacing w:line="238" w:lineRule="atLeast"/>
    </w:pPr>
    <w:rPr>
      <w:color w:val="auto"/>
    </w:rPr>
  </w:style>
  <w:style w:type="paragraph" w:customStyle="1" w:styleId="CM103">
    <w:name w:val="CM103"/>
    <w:basedOn w:val="Default"/>
    <w:next w:val="Default"/>
    <w:uiPriority w:val="99"/>
    <w:rPr>
      <w:color w:val="auto"/>
    </w:rPr>
  </w:style>
  <w:style w:type="paragraph" w:customStyle="1" w:styleId="CM5">
    <w:name w:val="CM5"/>
    <w:basedOn w:val="Default"/>
    <w:next w:val="Default"/>
    <w:uiPriority w:val="99"/>
    <w:pPr>
      <w:spacing w:line="248" w:lineRule="atLeast"/>
    </w:pPr>
    <w:rPr>
      <w:color w:val="auto"/>
    </w:rPr>
  </w:style>
  <w:style w:type="paragraph" w:customStyle="1" w:styleId="CM104">
    <w:name w:val="CM10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238" w:lineRule="atLeast"/>
    </w:pPr>
    <w:rPr>
      <w:color w:val="auto"/>
    </w:rPr>
  </w:style>
  <w:style w:type="paragraph" w:customStyle="1" w:styleId="CM8">
    <w:name w:val="CM8"/>
    <w:basedOn w:val="Default"/>
    <w:next w:val="Default"/>
    <w:uiPriority w:val="99"/>
    <w:pPr>
      <w:spacing w:line="238" w:lineRule="atLeast"/>
    </w:pPr>
    <w:rPr>
      <w:color w:val="auto"/>
    </w:rPr>
  </w:style>
  <w:style w:type="paragraph" w:customStyle="1" w:styleId="CM9">
    <w:name w:val="CM9"/>
    <w:basedOn w:val="Default"/>
    <w:next w:val="Default"/>
    <w:uiPriority w:val="99"/>
    <w:pPr>
      <w:spacing w:line="238" w:lineRule="atLeast"/>
    </w:pPr>
    <w:rPr>
      <w:color w:val="auto"/>
    </w:rPr>
  </w:style>
  <w:style w:type="paragraph" w:customStyle="1" w:styleId="CM12">
    <w:name w:val="CM12"/>
    <w:basedOn w:val="Default"/>
    <w:next w:val="Default"/>
    <w:uiPriority w:val="99"/>
    <w:pPr>
      <w:spacing w:line="238" w:lineRule="atLeast"/>
    </w:pPr>
    <w:rPr>
      <w:color w:val="auto"/>
    </w:rPr>
  </w:style>
  <w:style w:type="paragraph" w:customStyle="1" w:styleId="CM13">
    <w:name w:val="CM13"/>
    <w:basedOn w:val="Default"/>
    <w:next w:val="Default"/>
    <w:uiPriority w:val="99"/>
    <w:pPr>
      <w:spacing w:line="238" w:lineRule="atLeast"/>
    </w:pPr>
    <w:rPr>
      <w:color w:val="auto"/>
    </w:rPr>
  </w:style>
  <w:style w:type="paragraph" w:customStyle="1" w:styleId="CM14">
    <w:name w:val="CM14"/>
    <w:basedOn w:val="Default"/>
    <w:next w:val="Default"/>
    <w:uiPriority w:val="99"/>
    <w:pPr>
      <w:spacing w:line="238" w:lineRule="atLeast"/>
    </w:pPr>
    <w:rPr>
      <w:color w:val="auto"/>
    </w:rPr>
  </w:style>
  <w:style w:type="paragraph" w:customStyle="1" w:styleId="CM110">
    <w:name w:val="CM110"/>
    <w:basedOn w:val="Default"/>
    <w:next w:val="Default"/>
    <w:uiPriority w:val="99"/>
    <w:rPr>
      <w:color w:val="auto"/>
    </w:rPr>
  </w:style>
  <w:style w:type="paragraph" w:customStyle="1" w:styleId="CM15">
    <w:name w:val="CM15"/>
    <w:basedOn w:val="Default"/>
    <w:next w:val="Default"/>
    <w:uiPriority w:val="99"/>
    <w:pPr>
      <w:spacing w:line="196" w:lineRule="atLeast"/>
    </w:pPr>
    <w:rPr>
      <w:color w:val="auto"/>
    </w:rPr>
  </w:style>
  <w:style w:type="paragraph" w:customStyle="1" w:styleId="CM16">
    <w:name w:val="CM16"/>
    <w:basedOn w:val="Default"/>
    <w:next w:val="Default"/>
    <w:uiPriority w:val="99"/>
    <w:pPr>
      <w:spacing w:line="196" w:lineRule="atLeast"/>
    </w:pPr>
    <w:rPr>
      <w:color w:val="auto"/>
    </w:rPr>
  </w:style>
  <w:style w:type="paragraph" w:customStyle="1" w:styleId="CM17">
    <w:name w:val="CM17"/>
    <w:basedOn w:val="Default"/>
    <w:next w:val="Default"/>
    <w:uiPriority w:val="99"/>
    <w:pPr>
      <w:spacing w:line="196" w:lineRule="atLeast"/>
    </w:pPr>
    <w:rPr>
      <w:color w:val="auto"/>
    </w:rPr>
  </w:style>
  <w:style w:type="paragraph" w:customStyle="1" w:styleId="CM18">
    <w:name w:val="CM18"/>
    <w:basedOn w:val="Default"/>
    <w:next w:val="Default"/>
    <w:uiPriority w:val="99"/>
    <w:pPr>
      <w:spacing w:line="196" w:lineRule="atLeast"/>
    </w:pPr>
    <w:rPr>
      <w:color w:val="auto"/>
    </w:rPr>
  </w:style>
  <w:style w:type="paragraph" w:customStyle="1" w:styleId="CM19">
    <w:name w:val="CM19"/>
    <w:basedOn w:val="Default"/>
    <w:next w:val="Default"/>
    <w:uiPriority w:val="99"/>
    <w:pPr>
      <w:spacing w:line="196" w:lineRule="atLeast"/>
    </w:pPr>
    <w:rPr>
      <w:color w:val="auto"/>
    </w:rPr>
  </w:style>
  <w:style w:type="paragraph" w:customStyle="1" w:styleId="CM20">
    <w:name w:val="CM20"/>
    <w:basedOn w:val="Default"/>
    <w:next w:val="Default"/>
    <w:uiPriority w:val="99"/>
    <w:pPr>
      <w:spacing w:line="196" w:lineRule="atLeast"/>
    </w:pPr>
    <w:rPr>
      <w:color w:val="auto"/>
    </w:rPr>
  </w:style>
  <w:style w:type="paragraph" w:customStyle="1" w:styleId="CM21">
    <w:name w:val="CM21"/>
    <w:basedOn w:val="Default"/>
    <w:next w:val="Default"/>
    <w:uiPriority w:val="99"/>
    <w:rPr>
      <w:color w:val="auto"/>
    </w:rPr>
  </w:style>
  <w:style w:type="paragraph" w:customStyle="1" w:styleId="CM22">
    <w:name w:val="CM22"/>
    <w:basedOn w:val="Default"/>
    <w:next w:val="Default"/>
    <w:uiPriority w:val="99"/>
    <w:pPr>
      <w:spacing w:line="240" w:lineRule="atLeast"/>
    </w:pPr>
    <w:rPr>
      <w:color w:val="auto"/>
    </w:rPr>
  </w:style>
  <w:style w:type="paragraph" w:customStyle="1" w:styleId="CM23">
    <w:name w:val="CM23"/>
    <w:basedOn w:val="Default"/>
    <w:next w:val="Default"/>
    <w:uiPriority w:val="99"/>
    <w:pPr>
      <w:spacing w:line="196" w:lineRule="atLeast"/>
    </w:pPr>
    <w:rPr>
      <w:color w:val="auto"/>
    </w:rPr>
  </w:style>
  <w:style w:type="paragraph" w:customStyle="1" w:styleId="CM115">
    <w:name w:val="CM115"/>
    <w:basedOn w:val="Default"/>
    <w:next w:val="Default"/>
    <w:uiPriority w:val="99"/>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38" w:lineRule="atLeast"/>
    </w:pPr>
    <w:rPr>
      <w:color w:val="auto"/>
    </w:rPr>
  </w:style>
  <w:style w:type="paragraph" w:customStyle="1" w:styleId="CM26">
    <w:name w:val="CM26"/>
    <w:basedOn w:val="Default"/>
    <w:next w:val="Default"/>
    <w:uiPriority w:val="99"/>
    <w:pPr>
      <w:spacing w:line="238" w:lineRule="atLeast"/>
    </w:pPr>
    <w:rPr>
      <w:color w:val="auto"/>
    </w:rPr>
  </w:style>
  <w:style w:type="paragraph" w:customStyle="1" w:styleId="CM27">
    <w:name w:val="CM27"/>
    <w:basedOn w:val="Default"/>
    <w:next w:val="Default"/>
    <w:uiPriority w:val="99"/>
    <w:pPr>
      <w:spacing w:line="196" w:lineRule="atLeast"/>
    </w:pPr>
    <w:rPr>
      <w:color w:val="auto"/>
    </w:rPr>
  </w:style>
  <w:style w:type="paragraph" w:customStyle="1" w:styleId="CM28">
    <w:name w:val="CM28"/>
    <w:basedOn w:val="Default"/>
    <w:next w:val="Default"/>
    <w:uiPriority w:val="99"/>
    <w:pPr>
      <w:spacing w:line="238" w:lineRule="atLeast"/>
    </w:pPr>
    <w:rPr>
      <w:color w:val="auto"/>
    </w:rPr>
  </w:style>
  <w:style w:type="paragraph" w:customStyle="1" w:styleId="CM29">
    <w:name w:val="CM29"/>
    <w:basedOn w:val="Default"/>
    <w:next w:val="Default"/>
    <w:uiPriority w:val="99"/>
    <w:pPr>
      <w:spacing w:line="238" w:lineRule="atLeast"/>
    </w:pPr>
    <w:rPr>
      <w:color w:val="auto"/>
    </w:rPr>
  </w:style>
  <w:style w:type="paragraph" w:customStyle="1" w:styleId="CM30">
    <w:name w:val="CM30"/>
    <w:basedOn w:val="Default"/>
    <w:next w:val="Default"/>
    <w:uiPriority w:val="99"/>
    <w:pPr>
      <w:spacing w:line="238" w:lineRule="atLeast"/>
    </w:pPr>
    <w:rPr>
      <w:color w:val="auto"/>
    </w:rPr>
  </w:style>
  <w:style w:type="paragraph" w:customStyle="1" w:styleId="CM31">
    <w:name w:val="CM31"/>
    <w:basedOn w:val="Default"/>
    <w:next w:val="Default"/>
    <w:uiPriority w:val="99"/>
    <w:pPr>
      <w:spacing w:line="240" w:lineRule="atLeast"/>
    </w:pPr>
    <w:rPr>
      <w:color w:val="auto"/>
    </w:rPr>
  </w:style>
  <w:style w:type="paragraph" w:customStyle="1" w:styleId="CM32">
    <w:name w:val="CM32"/>
    <w:basedOn w:val="Default"/>
    <w:next w:val="Default"/>
    <w:uiPriority w:val="99"/>
    <w:pPr>
      <w:spacing w:line="256" w:lineRule="atLeast"/>
    </w:pPr>
    <w:rPr>
      <w:color w:val="auto"/>
    </w:rPr>
  </w:style>
  <w:style w:type="paragraph" w:customStyle="1" w:styleId="CM33">
    <w:name w:val="CM33"/>
    <w:basedOn w:val="Default"/>
    <w:next w:val="Default"/>
    <w:uiPriority w:val="99"/>
    <w:pPr>
      <w:spacing w:line="238" w:lineRule="atLeast"/>
    </w:pPr>
    <w:rPr>
      <w:color w:val="auto"/>
    </w:rPr>
  </w:style>
  <w:style w:type="paragraph" w:customStyle="1" w:styleId="CM108">
    <w:name w:val="CM108"/>
    <w:basedOn w:val="Default"/>
    <w:next w:val="Default"/>
    <w:uiPriority w:val="99"/>
    <w:rPr>
      <w:color w:val="auto"/>
    </w:rPr>
  </w:style>
  <w:style w:type="paragraph" w:customStyle="1" w:styleId="CM34">
    <w:name w:val="CM34"/>
    <w:basedOn w:val="Default"/>
    <w:next w:val="Default"/>
    <w:uiPriority w:val="99"/>
    <w:pPr>
      <w:spacing w:line="198" w:lineRule="atLeast"/>
    </w:pPr>
    <w:rPr>
      <w:color w:val="auto"/>
    </w:rPr>
  </w:style>
  <w:style w:type="paragraph" w:customStyle="1" w:styleId="CM35">
    <w:name w:val="CM35"/>
    <w:basedOn w:val="Default"/>
    <w:next w:val="Default"/>
    <w:uiPriority w:val="99"/>
    <w:pPr>
      <w:spacing w:line="238" w:lineRule="atLeast"/>
    </w:pPr>
    <w:rPr>
      <w:color w:val="auto"/>
    </w:rPr>
  </w:style>
  <w:style w:type="paragraph" w:customStyle="1" w:styleId="CM36">
    <w:name w:val="CM36"/>
    <w:basedOn w:val="Default"/>
    <w:next w:val="Default"/>
    <w:uiPriority w:val="99"/>
    <w:rPr>
      <w:color w:val="auto"/>
    </w:rPr>
  </w:style>
  <w:style w:type="paragraph" w:customStyle="1" w:styleId="CM105">
    <w:name w:val="CM105"/>
    <w:basedOn w:val="Default"/>
    <w:next w:val="Default"/>
    <w:uiPriority w:val="99"/>
    <w:rPr>
      <w:color w:val="auto"/>
    </w:rPr>
  </w:style>
  <w:style w:type="paragraph" w:customStyle="1" w:styleId="CM37">
    <w:name w:val="CM37"/>
    <w:basedOn w:val="Default"/>
    <w:next w:val="Default"/>
    <w:uiPriority w:val="99"/>
    <w:pPr>
      <w:spacing w:line="243" w:lineRule="atLeast"/>
    </w:pPr>
    <w:rPr>
      <w:color w:val="auto"/>
    </w:rPr>
  </w:style>
  <w:style w:type="paragraph" w:customStyle="1" w:styleId="CM38">
    <w:name w:val="CM38"/>
    <w:basedOn w:val="Default"/>
    <w:next w:val="Default"/>
    <w:uiPriority w:val="99"/>
    <w:pPr>
      <w:spacing w:line="238" w:lineRule="atLeast"/>
    </w:pPr>
    <w:rPr>
      <w:color w:val="auto"/>
    </w:rPr>
  </w:style>
  <w:style w:type="paragraph" w:customStyle="1" w:styleId="CM39">
    <w:name w:val="CM39"/>
    <w:basedOn w:val="Default"/>
    <w:next w:val="Default"/>
    <w:uiPriority w:val="99"/>
    <w:pPr>
      <w:spacing w:line="196" w:lineRule="atLeast"/>
    </w:pPr>
    <w:rPr>
      <w:color w:val="auto"/>
    </w:rPr>
  </w:style>
  <w:style w:type="paragraph" w:customStyle="1" w:styleId="CM40">
    <w:name w:val="CM40"/>
    <w:basedOn w:val="Default"/>
    <w:next w:val="Default"/>
    <w:uiPriority w:val="99"/>
    <w:pPr>
      <w:spacing w:line="151" w:lineRule="atLeast"/>
    </w:pPr>
    <w:rPr>
      <w:color w:val="auto"/>
    </w:rPr>
  </w:style>
  <w:style w:type="paragraph" w:customStyle="1" w:styleId="CM41">
    <w:name w:val="CM41"/>
    <w:basedOn w:val="Default"/>
    <w:next w:val="Default"/>
    <w:uiPriority w:val="99"/>
    <w:pPr>
      <w:spacing w:line="196" w:lineRule="atLeast"/>
    </w:pPr>
    <w:rPr>
      <w:color w:val="auto"/>
    </w:rPr>
  </w:style>
  <w:style w:type="paragraph" w:customStyle="1" w:styleId="CM42">
    <w:name w:val="CM42"/>
    <w:basedOn w:val="Default"/>
    <w:next w:val="Default"/>
    <w:uiPriority w:val="99"/>
    <w:pPr>
      <w:spacing w:line="196" w:lineRule="atLeast"/>
    </w:pPr>
    <w:rPr>
      <w:color w:val="auto"/>
    </w:rPr>
  </w:style>
  <w:style w:type="paragraph" w:customStyle="1" w:styleId="CM43">
    <w:name w:val="CM43"/>
    <w:basedOn w:val="Default"/>
    <w:next w:val="Default"/>
    <w:uiPriority w:val="99"/>
    <w:pPr>
      <w:spacing w:line="240" w:lineRule="atLeast"/>
    </w:pPr>
    <w:rPr>
      <w:color w:val="auto"/>
    </w:rPr>
  </w:style>
  <w:style w:type="paragraph" w:customStyle="1" w:styleId="CM44">
    <w:name w:val="CM44"/>
    <w:basedOn w:val="Default"/>
    <w:next w:val="Default"/>
    <w:uiPriority w:val="99"/>
    <w:pPr>
      <w:spacing w:line="238" w:lineRule="atLeast"/>
    </w:pPr>
    <w:rPr>
      <w:color w:val="auto"/>
    </w:rPr>
  </w:style>
  <w:style w:type="paragraph" w:customStyle="1" w:styleId="CM45">
    <w:name w:val="CM45"/>
    <w:basedOn w:val="Default"/>
    <w:next w:val="Default"/>
    <w:uiPriority w:val="99"/>
    <w:pPr>
      <w:spacing w:line="238" w:lineRule="atLeast"/>
    </w:pPr>
    <w:rPr>
      <w:color w:val="auto"/>
    </w:rPr>
  </w:style>
  <w:style w:type="paragraph" w:customStyle="1" w:styleId="CM11">
    <w:name w:val="CM11"/>
    <w:basedOn w:val="Default"/>
    <w:next w:val="Default"/>
    <w:uiPriority w:val="99"/>
    <w:pPr>
      <w:spacing w:line="238" w:lineRule="atLeast"/>
    </w:pPr>
    <w:rPr>
      <w:color w:val="auto"/>
    </w:rPr>
  </w:style>
  <w:style w:type="paragraph" w:customStyle="1" w:styleId="CM46">
    <w:name w:val="CM46"/>
    <w:basedOn w:val="Default"/>
    <w:next w:val="Default"/>
    <w:uiPriority w:val="99"/>
    <w:pPr>
      <w:spacing w:line="238" w:lineRule="atLeast"/>
    </w:pPr>
    <w:rPr>
      <w:color w:val="auto"/>
    </w:rPr>
  </w:style>
  <w:style w:type="paragraph" w:customStyle="1" w:styleId="CM48">
    <w:name w:val="CM48"/>
    <w:basedOn w:val="Default"/>
    <w:next w:val="Default"/>
    <w:uiPriority w:val="99"/>
    <w:pPr>
      <w:spacing w:line="240" w:lineRule="atLeast"/>
    </w:pPr>
    <w:rPr>
      <w:color w:val="auto"/>
    </w:rPr>
  </w:style>
  <w:style w:type="paragraph" w:customStyle="1" w:styleId="CM49">
    <w:name w:val="CM49"/>
    <w:basedOn w:val="Default"/>
    <w:next w:val="Default"/>
    <w:uiPriority w:val="99"/>
    <w:pPr>
      <w:spacing w:line="238" w:lineRule="atLeast"/>
    </w:pPr>
    <w:rPr>
      <w:color w:val="auto"/>
    </w:rPr>
  </w:style>
  <w:style w:type="paragraph" w:customStyle="1" w:styleId="CM51">
    <w:name w:val="CM51"/>
    <w:basedOn w:val="Default"/>
    <w:next w:val="Default"/>
    <w:uiPriority w:val="99"/>
    <w:pPr>
      <w:spacing w:line="196" w:lineRule="atLeast"/>
    </w:pPr>
    <w:rPr>
      <w:color w:val="auto"/>
    </w:rPr>
  </w:style>
  <w:style w:type="paragraph" w:customStyle="1" w:styleId="CM52">
    <w:name w:val="CM52"/>
    <w:basedOn w:val="Default"/>
    <w:next w:val="Default"/>
    <w:uiPriority w:val="99"/>
    <w:pPr>
      <w:spacing w:line="238" w:lineRule="atLeast"/>
    </w:pPr>
    <w:rPr>
      <w:color w:val="auto"/>
    </w:rPr>
  </w:style>
  <w:style w:type="paragraph" w:customStyle="1" w:styleId="CM53">
    <w:name w:val="CM53"/>
    <w:basedOn w:val="Default"/>
    <w:next w:val="Default"/>
    <w:uiPriority w:val="99"/>
    <w:pPr>
      <w:spacing w:line="238" w:lineRule="atLeast"/>
    </w:pPr>
    <w:rPr>
      <w:color w:val="auto"/>
    </w:rPr>
  </w:style>
  <w:style w:type="paragraph" w:customStyle="1" w:styleId="CM54">
    <w:name w:val="CM54"/>
    <w:basedOn w:val="Default"/>
    <w:next w:val="Default"/>
    <w:uiPriority w:val="99"/>
    <w:pPr>
      <w:spacing w:line="246" w:lineRule="atLeast"/>
    </w:pPr>
    <w:rPr>
      <w:color w:val="auto"/>
    </w:rPr>
  </w:style>
  <w:style w:type="paragraph" w:customStyle="1" w:styleId="CM55">
    <w:name w:val="CM55"/>
    <w:basedOn w:val="Default"/>
    <w:next w:val="Default"/>
    <w:uiPriority w:val="99"/>
    <w:rPr>
      <w:color w:val="auto"/>
    </w:rPr>
  </w:style>
  <w:style w:type="paragraph" w:customStyle="1" w:styleId="CM56">
    <w:name w:val="CM56"/>
    <w:basedOn w:val="Default"/>
    <w:next w:val="Default"/>
    <w:uiPriority w:val="99"/>
    <w:pPr>
      <w:spacing w:line="196" w:lineRule="atLeast"/>
    </w:pPr>
    <w:rPr>
      <w:color w:val="auto"/>
    </w:rPr>
  </w:style>
  <w:style w:type="paragraph" w:customStyle="1" w:styleId="CM57">
    <w:name w:val="CM57"/>
    <w:basedOn w:val="Default"/>
    <w:next w:val="Default"/>
    <w:uiPriority w:val="99"/>
    <w:pPr>
      <w:spacing w:line="196" w:lineRule="atLeast"/>
    </w:pPr>
    <w:rPr>
      <w:color w:val="auto"/>
    </w:rPr>
  </w:style>
  <w:style w:type="paragraph" w:customStyle="1" w:styleId="CM58">
    <w:name w:val="CM58"/>
    <w:basedOn w:val="Default"/>
    <w:next w:val="Default"/>
    <w:uiPriority w:val="99"/>
    <w:pPr>
      <w:spacing w:line="196" w:lineRule="atLeast"/>
    </w:pPr>
    <w:rPr>
      <w:color w:val="auto"/>
    </w:rPr>
  </w:style>
  <w:style w:type="paragraph" w:customStyle="1" w:styleId="CM59">
    <w:name w:val="CM59"/>
    <w:basedOn w:val="Default"/>
    <w:next w:val="Default"/>
    <w:uiPriority w:val="99"/>
    <w:pPr>
      <w:spacing w:line="196" w:lineRule="atLeast"/>
    </w:pPr>
    <w:rPr>
      <w:color w:val="auto"/>
    </w:rPr>
  </w:style>
  <w:style w:type="paragraph" w:customStyle="1" w:styleId="CM60">
    <w:name w:val="CM60"/>
    <w:basedOn w:val="Default"/>
    <w:next w:val="Default"/>
    <w:uiPriority w:val="99"/>
    <w:pPr>
      <w:spacing w:line="236" w:lineRule="atLeast"/>
    </w:pPr>
    <w:rPr>
      <w:color w:val="auto"/>
    </w:rPr>
  </w:style>
  <w:style w:type="paragraph" w:customStyle="1" w:styleId="CM117">
    <w:name w:val="CM117"/>
    <w:basedOn w:val="Default"/>
    <w:next w:val="Default"/>
    <w:uiPriority w:val="99"/>
    <w:rPr>
      <w:color w:val="auto"/>
    </w:rPr>
  </w:style>
  <w:style w:type="paragraph" w:customStyle="1" w:styleId="CM61">
    <w:name w:val="CM61"/>
    <w:basedOn w:val="Default"/>
    <w:next w:val="Default"/>
    <w:uiPriority w:val="99"/>
    <w:pPr>
      <w:spacing w:line="240" w:lineRule="atLeast"/>
    </w:pPr>
    <w:rPr>
      <w:color w:val="auto"/>
    </w:rPr>
  </w:style>
  <w:style w:type="paragraph" w:customStyle="1" w:styleId="CM63">
    <w:name w:val="CM63"/>
    <w:basedOn w:val="Default"/>
    <w:next w:val="Default"/>
    <w:uiPriority w:val="99"/>
    <w:pPr>
      <w:spacing w:line="238" w:lineRule="atLeast"/>
    </w:pPr>
    <w:rPr>
      <w:color w:val="auto"/>
    </w:rPr>
  </w:style>
  <w:style w:type="paragraph" w:customStyle="1" w:styleId="CM64">
    <w:name w:val="CM64"/>
    <w:basedOn w:val="Default"/>
    <w:next w:val="Default"/>
    <w:uiPriority w:val="99"/>
    <w:pPr>
      <w:spacing w:line="238" w:lineRule="atLeast"/>
    </w:pPr>
    <w:rPr>
      <w:color w:val="auto"/>
    </w:rPr>
  </w:style>
  <w:style w:type="paragraph" w:customStyle="1" w:styleId="CM65">
    <w:name w:val="CM65"/>
    <w:basedOn w:val="Default"/>
    <w:next w:val="Default"/>
    <w:uiPriority w:val="99"/>
    <w:pPr>
      <w:spacing w:line="238" w:lineRule="atLeast"/>
    </w:pPr>
    <w:rPr>
      <w:color w:val="auto"/>
    </w:rPr>
  </w:style>
  <w:style w:type="paragraph" w:customStyle="1" w:styleId="CM66">
    <w:name w:val="CM66"/>
    <w:basedOn w:val="Default"/>
    <w:next w:val="Default"/>
    <w:uiPriority w:val="99"/>
    <w:pPr>
      <w:spacing w:line="196" w:lineRule="atLeast"/>
    </w:pPr>
    <w:rPr>
      <w:color w:val="auto"/>
    </w:rPr>
  </w:style>
  <w:style w:type="paragraph" w:customStyle="1" w:styleId="CM112">
    <w:name w:val="CM112"/>
    <w:basedOn w:val="Default"/>
    <w:next w:val="Default"/>
    <w:uiPriority w:val="99"/>
    <w:rPr>
      <w:color w:val="auto"/>
    </w:rPr>
  </w:style>
  <w:style w:type="paragraph" w:customStyle="1" w:styleId="CM67">
    <w:name w:val="CM67"/>
    <w:basedOn w:val="Default"/>
    <w:next w:val="Default"/>
    <w:uiPriority w:val="99"/>
    <w:pPr>
      <w:spacing w:line="238" w:lineRule="atLeast"/>
    </w:pPr>
    <w:rPr>
      <w:color w:val="auto"/>
    </w:rPr>
  </w:style>
  <w:style w:type="paragraph" w:customStyle="1" w:styleId="CM68">
    <w:name w:val="CM68"/>
    <w:basedOn w:val="Default"/>
    <w:next w:val="Default"/>
    <w:uiPriority w:val="99"/>
    <w:rPr>
      <w:color w:val="auto"/>
    </w:rPr>
  </w:style>
  <w:style w:type="paragraph" w:customStyle="1" w:styleId="CM70">
    <w:name w:val="CM70"/>
    <w:basedOn w:val="Default"/>
    <w:next w:val="Default"/>
    <w:uiPriority w:val="99"/>
    <w:pPr>
      <w:spacing w:line="238" w:lineRule="atLeast"/>
    </w:pPr>
    <w:rPr>
      <w:color w:val="auto"/>
    </w:rPr>
  </w:style>
  <w:style w:type="paragraph" w:customStyle="1" w:styleId="CM71">
    <w:name w:val="CM71"/>
    <w:basedOn w:val="Default"/>
    <w:next w:val="Default"/>
    <w:uiPriority w:val="99"/>
    <w:rPr>
      <w:color w:val="auto"/>
    </w:rPr>
  </w:style>
  <w:style w:type="paragraph" w:customStyle="1" w:styleId="CM72">
    <w:name w:val="CM72"/>
    <w:basedOn w:val="Default"/>
    <w:next w:val="Default"/>
    <w:uiPriority w:val="99"/>
    <w:pPr>
      <w:spacing w:line="238" w:lineRule="atLeast"/>
    </w:pPr>
    <w:rPr>
      <w:color w:val="auto"/>
    </w:rPr>
  </w:style>
  <w:style w:type="paragraph" w:customStyle="1" w:styleId="CM123">
    <w:name w:val="CM123"/>
    <w:basedOn w:val="Default"/>
    <w:next w:val="Default"/>
    <w:uiPriority w:val="99"/>
    <w:rPr>
      <w:color w:val="auto"/>
    </w:rPr>
  </w:style>
  <w:style w:type="paragraph" w:customStyle="1" w:styleId="CM73">
    <w:name w:val="CM73"/>
    <w:basedOn w:val="Default"/>
    <w:next w:val="Default"/>
    <w:uiPriority w:val="99"/>
    <w:pPr>
      <w:spacing w:line="238" w:lineRule="atLeast"/>
    </w:pPr>
    <w:rPr>
      <w:color w:val="auto"/>
    </w:rPr>
  </w:style>
  <w:style w:type="paragraph" w:customStyle="1" w:styleId="CM76">
    <w:name w:val="CM76"/>
    <w:basedOn w:val="Default"/>
    <w:next w:val="Default"/>
    <w:uiPriority w:val="99"/>
    <w:pPr>
      <w:spacing w:line="238" w:lineRule="atLeast"/>
    </w:pPr>
    <w:rPr>
      <w:color w:val="auto"/>
    </w:rPr>
  </w:style>
  <w:style w:type="paragraph" w:customStyle="1" w:styleId="CM62">
    <w:name w:val="CM62"/>
    <w:basedOn w:val="Default"/>
    <w:next w:val="Default"/>
    <w:uiPriority w:val="99"/>
    <w:pPr>
      <w:spacing w:line="238" w:lineRule="atLeast"/>
    </w:pPr>
    <w:rPr>
      <w:color w:val="auto"/>
    </w:rPr>
  </w:style>
  <w:style w:type="paragraph" w:customStyle="1" w:styleId="CM77">
    <w:name w:val="CM77"/>
    <w:basedOn w:val="Default"/>
    <w:next w:val="Default"/>
    <w:uiPriority w:val="99"/>
    <w:pPr>
      <w:spacing w:line="240" w:lineRule="atLeast"/>
    </w:pPr>
    <w:rPr>
      <w:color w:val="auto"/>
    </w:rPr>
  </w:style>
  <w:style w:type="paragraph" w:customStyle="1" w:styleId="CM79">
    <w:name w:val="CM79"/>
    <w:basedOn w:val="Default"/>
    <w:next w:val="Default"/>
    <w:uiPriority w:val="99"/>
    <w:pPr>
      <w:spacing w:line="240" w:lineRule="atLeast"/>
    </w:pPr>
    <w:rPr>
      <w:color w:val="auto"/>
    </w:rPr>
  </w:style>
  <w:style w:type="paragraph" w:customStyle="1" w:styleId="CM80">
    <w:name w:val="CM80"/>
    <w:basedOn w:val="Default"/>
    <w:next w:val="Default"/>
    <w:uiPriority w:val="99"/>
    <w:pPr>
      <w:spacing w:line="240" w:lineRule="atLeast"/>
    </w:pPr>
    <w:rPr>
      <w:color w:val="auto"/>
    </w:rPr>
  </w:style>
  <w:style w:type="paragraph" w:customStyle="1" w:styleId="CM83">
    <w:name w:val="CM83"/>
    <w:basedOn w:val="Default"/>
    <w:next w:val="Default"/>
    <w:uiPriority w:val="99"/>
    <w:pPr>
      <w:spacing w:line="238" w:lineRule="atLeast"/>
    </w:pPr>
    <w:rPr>
      <w:color w:val="auto"/>
    </w:rPr>
  </w:style>
  <w:style w:type="paragraph" w:customStyle="1" w:styleId="CM86">
    <w:name w:val="CM86"/>
    <w:basedOn w:val="Default"/>
    <w:next w:val="Default"/>
    <w:uiPriority w:val="99"/>
    <w:pPr>
      <w:spacing w:line="240" w:lineRule="atLeast"/>
    </w:pPr>
    <w:rPr>
      <w:color w:val="auto"/>
    </w:rPr>
  </w:style>
  <w:style w:type="paragraph" w:customStyle="1" w:styleId="CM10">
    <w:name w:val="CM10"/>
    <w:basedOn w:val="Default"/>
    <w:next w:val="Default"/>
    <w:uiPriority w:val="99"/>
    <w:pPr>
      <w:spacing w:line="238" w:lineRule="atLeast"/>
    </w:pPr>
    <w:rPr>
      <w:color w:val="auto"/>
    </w:rPr>
  </w:style>
  <w:style w:type="paragraph" w:customStyle="1" w:styleId="CM88">
    <w:name w:val="CM88"/>
    <w:basedOn w:val="Default"/>
    <w:next w:val="Default"/>
    <w:uiPriority w:val="99"/>
    <w:pPr>
      <w:spacing w:line="240" w:lineRule="atLeast"/>
    </w:pPr>
    <w:rPr>
      <w:color w:val="auto"/>
    </w:rPr>
  </w:style>
  <w:style w:type="paragraph" w:customStyle="1" w:styleId="CM89">
    <w:name w:val="CM89"/>
    <w:basedOn w:val="Default"/>
    <w:next w:val="Default"/>
    <w:uiPriority w:val="99"/>
    <w:pPr>
      <w:spacing w:line="238" w:lineRule="atLeast"/>
    </w:pPr>
    <w:rPr>
      <w:color w:val="auto"/>
    </w:rPr>
  </w:style>
  <w:style w:type="paragraph" w:customStyle="1" w:styleId="CM90">
    <w:name w:val="CM90"/>
    <w:basedOn w:val="Default"/>
    <w:next w:val="Default"/>
    <w:uiPriority w:val="99"/>
    <w:pPr>
      <w:spacing w:line="238" w:lineRule="atLeast"/>
    </w:pPr>
    <w:rPr>
      <w:color w:val="auto"/>
    </w:rPr>
  </w:style>
  <w:style w:type="paragraph" w:customStyle="1" w:styleId="CM91">
    <w:name w:val="CM91"/>
    <w:basedOn w:val="Default"/>
    <w:next w:val="Default"/>
    <w:uiPriority w:val="99"/>
    <w:pPr>
      <w:spacing w:line="240" w:lineRule="atLeast"/>
    </w:pPr>
    <w:rPr>
      <w:color w:val="auto"/>
    </w:rPr>
  </w:style>
  <w:style w:type="paragraph" w:customStyle="1" w:styleId="CM92">
    <w:name w:val="CM92"/>
    <w:basedOn w:val="Default"/>
    <w:next w:val="Default"/>
    <w:uiPriority w:val="99"/>
    <w:pPr>
      <w:spacing w:line="238" w:lineRule="atLeast"/>
    </w:pPr>
    <w:rPr>
      <w:color w:val="auto"/>
    </w:rPr>
  </w:style>
  <w:style w:type="paragraph" w:customStyle="1" w:styleId="CM93">
    <w:name w:val="CM93"/>
    <w:basedOn w:val="Default"/>
    <w:next w:val="Default"/>
    <w:uiPriority w:val="99"/>
    <w:pPr>
      <w:spacing w:line="238" w:lineRule="atLeast"/>
    </w:pPr>
    <w:rPr>
      <w:color w:val="auto"/>
    </w:rPr>
  </w:style>
  <w:style w:type="paragraph" w:customStyle="1" w:styleId="CM94">
    <w:name w:val="CM94"/>
    <w:basedOn w:val="Default"/>
    <w:next w:val="Default"/>
    <w:uiPriority w:val="99"/>
    <w:pPr>
      <w:spacing w:line="238" w:lineRule="atLeast"/>
    </w:pPr>
    <w:rPr>
      <w:color w:val="auto"/>
    </w:rPr>
  </w:style>
  <w:style w:type="paragraph" w:customStyle="1" w:styleId="CM95">
    <w:name w:val="CM95"/>
    <w:basedOn w:val="Default"/>
    <w:next w:val="Default"/>
    <w:uiPriority w:val="99"/>
    <w:pPr>
      <w:spacing w:line="240" w:lineRule="atLeast"/>
    </w:pPr>
    <w:rPr>
      <w:color w:val="auto"/>
    </w:rPr>
  </w:style>
  <w:style w:type="paragraph" w:customStyle="1" w:styleId="CM96">
    <w:name w:val="CM96"/>
    <w:basedOn w:val="Default"/>
    <w:next w:val="Default"/>
    <w:uiPriority w:val="99"/>
    <w:pPr>
      <w:spacing w:line="238" w:lineRule="atLeast"/>
    </w:pPr>
    <w:rPr>
      <w:color w:val="auto"/>
    </w:rPr>
  </w:style>
  <w:style w:type="paragraph" w:customStyle="1" w:styleId="CM78">
    <w:name w:val="CM78"/>
    <w:basedOn w:val="Default"/>
    <w:next w:val="Default"/>
    <w:uiPriority w:val="99"/>
    <w:rPr>
      <w:color w:val="auto"/>
    </w:rPr>
  </w:style>
  <w:style w:type="paragraph" w:customStyle="1" w:styleId="CM97">
    <w:name w:val="CM97"/>
    <w:basedOn w:val="Default"/>
    <w:next w:val="Default"/>
    <w:uiPriority w:val="99"/>
    <w:pPr>
      <w:spacing w:line="238" w:lineRule="atLeast"/>
    </w:pPr>
    <w:rPr>
      <w:color w:val="auto"/>
    </w:rPr>
  </w:style>
  <w:style w:type="paragraph" w:customStyle="1" w:styleId="CM98">
    <w:name w:val="CM98"/>
    <w:basedOn w:val="Default"/>
    <w:next w:val="Default"/>
    <w:uiPriority w:val="99"/>
    <w:pPr>
      <w:spacing w:line="240" w:lineRule="atLeast"/>
    </w:pPr>
    <w:rPr>
      <w:color w:val="auto"/>
    </w:rPr>
  </w:style>
  <w:style w:type="paragraph" w:styleId="Zarkazkladnhotextu">
    <w:name w:val="Body Text Indent"/>
    <w:basedOn w:val="Normlny"/>
    <w:link w:val="ZarkazkladnhotextuChar"/>
    <w:uiPriority w:val="99"/>
    <w:rsid w:val="00537322"/>
    <w:pPr>
      <w:autoSpaceDE w:val="0"/>
      <w:autoSpaceDN w:val="0"/>
      <w:adjustRightInd w:val="0"/>
      <w:spacing w:after="0" w:line="240" w:lineRule="auto"/>
      <w:ind w:left="720"/>
      <w:jc w:val="both"/>
    </w:pPr>
    <w:rPr>
      <w:rFonts w:ascii="Times New Roman" w:hAnsi="Times New Roman"/>
      <w:lang w:val="en-GB" w:eastAsia="en-GB"/>
    </w:rPr>
  </w:style>
  <w:style w:type="character" w:customStyle="1" w:styleId="ZarkazkladnhotextuChar">
    <w:name w:val="Zarážka základného textu Char"/>
    <w:basedOn w:val="Predvolenpsmoodseku"/>
    <w:link w:val="Zarkazkladnhotextu"/>
    <w:uiPriority w:val="99"/>
    <w:locked/>
    <w:rsid w:val="00537322"/>
    <w:rPr>
      <w:rFonts w:ascii="Times New Roman" w:hAnsi="Times New Roman" w:cs="Times New Roman"/>
      <w:lang w:val="en-GB" w:eastAsia="en-GB"/>
    </w:rPr>
  </w:style>
  <w:style w:type="paragraph" w:styleId="Odsekzoznamu">
    <w:name w:val="List Paragraph"/>
    <w:basedOn w:val="Normlny"/>
    <w:uiPriority w:val="34"/>
    <w:qFormat/>
    <w:rsid w:val="00DA5066"/>
    <w:pPr>
      <w:ind w:left="708"/>
    </w:pPr>
  </w:style>
  <w:style w:type="paragraph" w:styleId="Textbubliny">
    <w:name w:val="Balloon Text"/>
    <w:basedOn w:val="Normlny"/>
    <w:link w:val="TextbublinyChar"/>
    <w:uiPriority w:val="99"/>
    <w:semiHidden/>
    <w:unhideWhenUsed/>
    <w:rsid w:val="00DA50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DA5066"/>
    <w:rPr>
      <w:rFonts w:ascii="Segoe UI" w:hAnsi="Segoe UI" w:cs="Segoe UI"/>
      <w:sz w:val="18"/>
      <w:szCs w:val="18"/>
    </w:rPr>
  </w:style>
  <w:style w:type="paragraph" w:styleId="Hlavika">
    <w:name w:val="header"/>
    <w:basedOn w:val="Normlny"/>
    <w:link w:val="HlavikaChar"/>
    <w:uiPriority w:val="99"/>
    <w:rsid w:val="00637884"/>
    <w:pPr>
      <w:tabs>
        <w:tab w:val="left" w:pos="567"/>
        <w:tab w:val="center" w:pos="4153"/>
        <w:tab w:val="right" w:pos="8306"/>
      </w:tabs>
      <w:spacing w:after="0" w:line="240" w:lineRule="auto"/>
    </w:pPr>
    <w:rPr>
      <w:rFonts w:ascii="Helvetica" w:hAnsi="Helvetica"/>
      <w:sz w:val="20"/>
      <w:szCs w:val="20"/>
      <w:lang w:val="en-GB" w:eastAsia="en-US"/>
    </w:rPr>
  </w:style>
  <w:style w:type="character" w:customStyle="1" w:styleId="HlavikaChar">
    <w:name w:val="Hlavička Char"/>
    <w:basedOn w:val="Predvolenpsmoodseku"/>
    <w:link w:val="Hlavika"/>
    <w:uiPriority w:val="99"/>
    <w:locked/>
    <w:rsid w:val="00637884"/>
    <w:rPr>
      <w:rFonts w:ascii="Helvetica" w:hAnsi="Helvetica" w:cs="Times New Roman"/>
      <w:sz w:val="20"/>
      <w:szCs w:val="20"/>
      <w:lang w:val="en-GB" w:eastAsia="en-US"/>
    </w:rPr>
  </w:style>
  <w:style w:type="paragraph" w:styleId="Pta">
    <w:name w:val="footer"/>
    <w:basedOn w:val="Normlny"/>
    <w:link w:val="PtaChar"/>
    <w:uiPriority w:val="99"/>
    <w:rsid w:val="00637884"/>
    <w:pPr>
      <w:tabs>
        <w:tab w:val="left" w:pos="567"/>
        <w:tab w:val="center" w:pos="4536"/>
        <w:tab w:val="center" w:pos="8930"/>
      </w:tabs>
      <w:spacing w:after="0" w:line="240" w:lineRule="auto"/>
    </w:pPr>
    <w:rPr>
      <w:rFonts w:ascii="Helvetica" w:hAnsi="Helvetica"/>
      <w:sz w:val="16"/>
      <w:szCs w:val="20"/>
      <w:lang w:val="en-GB" w:eastAsia="en-US"/>
    </w:rPr>
  </w:style>
  <w:style w:type="character" w:customStyle="1" w:styleId="PtaChar">
    <w:name w:val="Päta Char"/>
    <w:basedOn w:val="Predvolenpsmoodseku"/>
    <w:link w:val="Pta"/>
    <w:uiPriority w:val="99"/>
    <w:locked/>
    <w:rsid w:val="00637884"/>
    <w:rPr>
      <w:rFonts w:ascii="Helvetica" w:hAnsi="Helvetica" w:cs="Times New Roman"/>
      <w:sz w:val="20"/>
      <w:szCs w:val="20"/>
      <w:lang w:val="en-GB" w:eastAsia="en-US"/>
    </w:rPr>
  </w:style>
  <w:style w:type="character" w:styleId="slostrany">
    <w:name w:val="page number"/>
    <w:basedOn w:val="Predvolenpsmoodseku"/>
    <w:uiPriority w:val="99"/>
    <w:rsid w:val="00637884"/>
    <w:rPr>
      <w:rFonts w:cs="Times New Roman"/>
    </w:rPr>
  </w:style>
  <w:style w:type="paragraph" w:styleId="Zkladntext3">
    <w:name w:val="Body Text 3"/>
    <w:basedOn w:val="Normlny"/>
    <w:link w:val="Zkladntext3Char"/>
    <w:uiPriority w:val="99"/>
    <w:rsid w:val="00637884"/>
    <w:pPr>
      <w:autoSpaceDE w:val="0"/>
      <w:autoSpaceDN w:val="0"/>
      <w:adjustRightInd w:val="0"/>
      <w:spacing w:after="0" w:line="240" w:lineRule="auto"/>
      <w:jc w:val="both"/>
    </w:pPr>
    <w:rPr>
      <w:rFonts w:ascii="Times New Roman" w:hAnsi="Times New Roman"/>
      <w:color w:val="0000FF"/>
      <w:lang w:val="en-GB" w:eastAsia="en-GB"/>
    </w:rPr>
  </w:style>
  <w:style w:type="character" w:customStyle="1" w:styleId="Zkladntext3Char">
    <w:name w:val="Základný text 3 Char"/>
    <w:basedOn w:val="Predvolenpsmoodseku"/>
    <w:link w:val="Zkladntext3"/>
    <w:uiPriority w:val="99"/>
    <w:locked/>
    <w:rsid w:val="00637884"/>
    <w:rPr>
      <w:rFonts w:ascii="Times New Roman" w:hAnsi="Times New Roman" w:cs="Times New Roman"/>
      <w:color w:val="0000FF"/>
      <w:lang w:val="en-GB" w:eastAsia="en-GB"/>
    </w:rPr>
  </w:style>
  <w:style w:type="paragraph" w:styleId="Zarkazkladnhotextu2">
    <w:name w:val="Body Text Indent 2"/>
    <w:basedOn w:val="Normlny"/>
    <w:link w:val="Zarkazkladnhotextu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b/>
      <w:bCs/>
      <w:color w:val="0000FF"/>
      <w:lang w:val="en-GB" w:eastAsia="en-US"/>
    </w:rPr>
  </w:style>
  <w:style w:type="character" w:customStyle="1" w:styleId="Zarkazkladnhotextu2Char">
    <w:name w:val="Zarážka základného textu 2 Char"/>
    <w:basedOn w:val="Predvolenpsmoodseku"/>
    <w:link w:val="Zarkazkladnhotextu2"/>
    <w:uiPriority w:val="99"/>
    <w:locked/>
    <w:rsid w:val="00637884"/>
    <w:rPr>
      <w:rFonts w:ascii="Times New Roman" w:hAnsi="Times New Roman" w:cs="Times New Roman"/>
      <w:b/>
      <w:bCs/>
      <w:color w:val="0000FF"/>
      <w:lang w:val="en-GB" w:eastAsia="en-US"/>
    </w:rPr>
  </w:style>
  <w:style w:type="paragraph" w:styleId="Zkladntext">
    <w:name w:val="Body Text"/>
    <w:basedOn w:val="Normlny"/>
    <w:link w:val="ZkladntextChar"/>
    <w:uiPriority w:val="99"/>
    <w:rsid w:val="00637884"/>
    <w:pPr>
      <w:spacing w:after="0" w:line="240" w:lineRule="auto"/>
    </w:pPr>
    <w:rPr>
      <w:rFonts w:ascii="Times New Roman" w:hAnsi="Times New Roman"/>
      <w:i/>
      <w:color w:val="008000"/>
      <w:szCs w:val="20"/>
      <w:lang w:val="en-GB" w:eastAsia="en-US"/>
    </w:rPr>
  </w:style>
  <w:style w:type="character" w:customStyle="1" w:styleId="ZkladntextChar">
    <w:name w:val="Základný text Char"/>
    <w:basedOn w:val="Predvolenpsmoodseku"/>
    <w:link w:val="Zkladntext"/>
    <w:uiPriority w:val="99"/>
    <w:locked/>
    <w:rsid w:val="00637884"/>
    <w:rPr>
      <w:rFonts w:ascii="Times New Roman" w:hAnsi="Times New Roman" w:cs="Times New Roman"/>
      <w:i/>
      <w:color w:val="008000"/>
      <w:sz w:val="20"/>
      <w:szCs w:val="20"/>
      <w:lang w:val="en-GB" w:eastAsia="en-US"/>
    </w:rPr>
  </w:style>
  <w:style w:type="paragraph" w:styleId="Zkladntext2">
    <w:name w:val="Body Text 2"/>
    <w:basedOn w:val="Normlny"/>
    <w:link w:val="Zkladntext2Char"/>
    <w:uiPriority w:val="99"/>
    <w:rsid w:val="0063788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val="en-GB" w:eastAsia="en-US"/>
    </w:rPr>
  </w:style>
  <w:style w:type="character" w:customStyle="1" w:styleId="Zkladntext2Char">
    <w:name w:val="Základný text 2 Char"/>
    <w:basedOn w:val="Predvolenpsmoodseku"/>
    <w:link w:val="Zkladntext2"/>
    <w:uiPriority w:val="99"/>
    <w:locked/>
    <w:rsid w:val="00637884"/>
    <w:rPr>
      <w:rFonts w:ascii="Times New Roman" w:hAnsi="Times New Roman" w:cs="Times New Roman"/>
      <w:b/>
      <w:bCs/>
      <w:color w:val="0000FF"/>
      <w:u w:val="single"/>
      <w:lang w:val="en-GB" w:eastAsia="en-US"/>
    </w:rPr>
  </w:style>
  <w:style w:type="character" w:styleId="Odkaznakomentr">
    <w:name w:val="annotation reference"/>
    <w:basedOn w:val="Predvolenpsmoodseku"/>
    <w:uiPriority w:val="99"/>
    <w:semiHidden/>
    <w:rsid w:val="00637884"/>
    <w:rPr>
      <w:rFonts w:cs="Times New Roman"/>
      <w:sz w:val="16"/>
    </w:rPr>
  </w:style>
  <w:style w:type="paragraph" w:styleId="Textkomentra">
    <w:name w:val="annotation text"/>
    <w:basedOn w:val="Normlny"/>
    <w:link w:val="TextkomentraChar"/>
    <w:uiPriority w:val="99"/>
    <w:semiHidden/>
    <w:rsid w:val="00637884"/>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basedOn w:val="Predvolenpsmoodseku"/>
    <w:link w:val="Textkomentra"/>
    <w:uiPriority w:val="99"/>
    <w:semiHidden/>
    <w:locked/>
    <w:rsid w:val="00637884"/>
    <w:rPr>
      <w:rFonts w:ascii="Times New Roman" w:hAnsi="Times New Roman" w:cs="Times New Roman"/>
      <w:sz w:val="20"/>
      <w:szCs w:val="20"/>
      <w:lang w:val="en-GB" w:eastAsia="en-US"/>
    </w:rPr>
  </w:style>
  <w:style w:type="paragraph" w:customStyle="1" w:styleId="EMEAEnBodyText">
    <w:name w:val="EMEA En Body Text"/>
    <w:basedOn w:val="Normlny"/>
    <w:rsid w:val="00637884"/>
    <w:pPr>
      <w:spacing w:before="120" w:after="120" w:line="240" w:lineRule="auto"/>
      <w:jc w:val="both"/>
    </w:pPr>
    <w:rPr>
      <w:rFonts w:ascii="Times New Roman" w:hAnsi="Times New Roman"/>
      <w:szCs w:val="20"/>
      <w:lang w:val="en-US" w:eastAsia="en-US"/>
    </w:rPr>
  </w:style>
  <w:style w:type="paragraph" w:styleId="truktradokumentu">
    <w:name w:val="Document Map"/>
    <w:basedOn w:val="Normlny"/>
    <w:link w:val="truktradokumentuChar"/>
    <w:uiPriority w:val="99"/>
    <w:semiHidden/>
    <w:rsid w:val="00637884"/>
    <w:pPr>
      <w:shd w:val="clear" w:color="auto" w:fill="000080"/>
      <w:tabs>
        <w:tab w:val="left" w:pos="567"/>
      </w:tabs>
      <w:spacing w:after="0" w:line="260" w:lineRule="exact"/>
    </w:pPr>
    <w:rPr>
      <w:rFonts w:ascii="Tahoma" w:hAnsi="Tahoma" w:cs="Tahoma"/>
      <w:szCs w:val="20"/>
      <w:lang w:val="en-GB" w:eastAsia="en-US"/>
    </w:rPr>
  </w:style>
  <w:style w:type="character" w:customStyle="1" w:styleId="truktradokumentuChar">
    <w:name w:val="Štruktúra dokumentu Char"/>
    <w:basedOn w:val="Predvolenpsmoodseku"/>
    <w:link w:val="truktradokumentu"/>
    <w:uiPriority w:val="99"/>
    <w:semiHidden/>
    <w:locked/>
    <w:rsid w:val="00637884"/>
    <w:rPr>
      <w:rFonts w:ascii="Tahoma" w:hAnsi="Tahoma" w:cs="Tahoma"/>
      <w:sz w:val="20"/>
      <w:szCs w:val="20"/>
      <w:shd w:val="clear" w:color="auto" w:fill="000080"/>
      <w:lang w:val="en-GB" w:eastAsia="en-US"/>
    </w:rPr>
  </w:style>
  <w:style w:type="character" w:styleId="Hypertextovprepojenie">
    <w:name w:val="Hyperlink"/>
    <w:basedOn w:val="Predvolenpsmoodseku"/>
    <w:uiPriority w:val="99"/>
    <w:rsid w:val="00637884"/>
    <w:rPr>
      <w:rFonts w:cs="Times New Roman"/>
      <w:color w:val="0000FF"/>
      <w:u w:val="single"/>
    </w:rPr>
  </w:style>
  <w:style w:type="paragraph" w:customStyle="1" w:styleId="AHeader1">
    <w:name w:val="AHeader 1"/>
    <w:basedOn w:val="Normlny"/>
    <w:rsid w:val="00637884"/>
    <w:pPr>
      <w:numPr>
        <w:numId w:val="6"/>
      </w:numPr>
      <w:spacing w:after="120" w:line="240" w:lineRule="auto"/>
    </w:pPr>
    <w:rPr>
      <w:rFonts w:ascii="Arial" w:hAnsi="Arial" w:cs="Arial"/>
      <w:b/>
      <w:bCs/>
      <w:sz w:val="24"/>
      <w:szCs w:val="20"/>
      <w:lang w:val="en-GB" w:eastAsia="en-US"/>
    </w:rPr>
  </w:style>
  <w:style w:type="paragraph" w:customStyle="1" w:styleId="AHeader2">
    <w:name w:val="AHeader 2"/>
    <w:basedOn w:val="AHeader1"/>
    <w:rsid w:val="00637884"/>
    <w:pPr>
      <w:numPr>
        <w:ilvl w:val="1"/>
      </w:numPr>
    </w:pPr>
    <w:rPr>
      <w:sz w:val="22"/>
    </w:rPr>
  </w:style>
  <w:style w:type="paragraph" w:customStyle="1" w:styleId="AHeader3">
    <w:name w:val="AHeader 3"/>
    <w:basedOn w:val="AHeader2"/>
    <w:rsid w:val="00637884"/>
    <w:pPr>
      <w:numPr>
        <w:ilvl w:val="2"/>
      </w:numPr>
    </w:pPr>
  </w:style>
  <w:style w:type="paragraph" w:customStyle="1" w:styleId="AHeader2abc">
    <w:name w:val="AHeader 2 abc"/>
    <w:basedOn w:val="AHeader3"/>
    <w:rsid w:val="00637884"/>
    <w:pPr>
      <w:numPr>
        <w:ilvl w:val="3"/>
      </w:numPr>
      <w:jc w:val="both"/>
    </w:pPr>
    <w:rPr>
      <w:b w:val="0"/>
      <w:bCs w:val="0"/>
    </w:rPr>
  </w:style>
  <w:style w:type="paragraph" w:customStyle="1" w:styleId="AHeader3abc">
    <w:name w:val="AHeader 3 abc"/>
    <w:basedOn w:val="AHeader2abc"/>
    <w:rsid w:val="00637884"/>
    <w:pPr>
      <w:numPr>
        <w:ilvl w:val="4"/>
      </w:numPr>
    </w:pPr>
  </w:style>
  <w:style w:type="paragraph" w:styleId="Zarkazkladnhotextu3">
    <w:name w:val="Body Text Indent 3"/>
    <w:basedOn w:val="Normlny"/>
    <w:link w:val="Zarkazkladnhotextu3Char"/>
    <w:uiPriority w:val="99"/>
    <w:rsid w:val="00637884"/>
    <w:pPr>
      <w:tabs>
        <w:tab w:val="left" w:pos="567"/>
        <w:tab w:val="left" w:pos="1134"/>
      </w:tabs>
      <w:autoSpaceDE w:val="0"/>
      <w:autoSpaceDN w:val="0"/>
      <w:adjustRightInd w:val="0"/>
      <w:spacing w:after="0" w:line="260" w:lineRule="exact"/>
      <w:ind w:left="633"/>
      <w:jc w:val="both"/>
    </w:pPr>
    <w:rPr>
      <w:rFonts w:ascii="Times New Roman" w:hAnsi="Times New Roman"/>
      <w:szCs w:val="21"/>
      <w:lang w:val="en-GB" w:eastAsia="en-US"/>
    </w:rPr>
  </w:style>
  <w:style w:type="character" w:customStyle="1" w:styleId="Zarkazkladnhotextu3Char">
    <w:name w:val="Zarážka základného textu 3 Char"/>
    <w:basedOn w:val="Predvolenpsmoodseku"/>
    <w:link w:val="Zarkazkladnhotextu3"/>
    <w:uiPriority w:val="99"/>
    <w:locked/>
    <w:rsid w:val="00637884"/>
    <w:rPr>
      <w:rFonts w:ascii="Times New Roman" w:hAnsi="Times New Roman" w:cs="Times New Roman"/>
      <w:sz w:val="21"/>
      <w:szCs w:val="21"/>
      <w:lang w:val="en-GB" w:eastAsia="en-US"/>
    </w:rPr>
  </w:style>
  <w:style w:type="character" w:styleId="PouitHypertextovPrepojenie">
    <w:name w:val="FollowedHyperlink"/>
    <w:basedOn w:val="Predvolenpsmoodseku"/>
    <w:uiPriority w:val="99"/>
    <w:rsid w:val="00637884"/>
    <w:rPr>
      <w:rFonts w:cs="Times New Roman"/>
      <w:color w:val="800080"/>
      <w:u w:val="single"/>
    </w:rPr>
  </w:style>
  <w:style w:type="paragraph" w:styleId="Predmetkomentra">
    <w:name w:val="annotation subject"/>
    <w:basedOn w:val="Textkomentra"/>
    <w:next w:val="Textkomentra"/>
    <w:link w:val="PredmetkomentraChar"/>
    <w:uiPriority w:val="99"/>
    <w:semiHidden/>
    <w:rsid w:val="00637884"/>
    <w:rPr>
      <w:b/>
      <w:bCs/>
    </w:rPr>
  </w:style>
  <w:style w:type="character" w:customStyle="1" w:styleId="PredmetkomentraChar">
    <w:name w:val="Predmet komentára Char"/>
    <w:basedOn w:val="TextkomentraChar"/>
    <w:link w:val="Predmetkomentra"/>
    <w:uiPriority w:val="99"/>
    <w:semiHidden/>
    <w:locked/>
    <w:rsid w:val="00637884"/>
    <w:rPr>
      <w:rFonts w:ascii="Times New Roman" w:hAnsi="Times New Roman" w:cs="Times New Roman"/>
      <w:b/>
      <w:bCs/>
      <w:sz w:val="20"/>
      <w:szCs w:val="20"/>
      <w:lang w:val="en-GB" w:eastAsia="en-US"/>
    </w:rPr>
  </w:style>
  <w:style w:type="paragraph" w:customStyle="1" w:styleId="BodytextAgency">
    <w:name w:val="Body text (Agency)"/>
    <w:basedOn w:val="Normlny"/>
    <w:link w:val="BodytextAgencyChar"/>
    <w:rsid w:val="00637884"/>
    <w:pPr>
      <w:spacing w:after="140" w:line="280" w:lineRule="atLeast"/>
    </w:pPr>
    <w:rPr>
      <w:rFonts w:ascii="Verdana" w:hAnsi="Verdana" w:cs="Verdana"/>
      <w:sz w:val="18"/>
      <w:szCs w:val="18"/>
      <w:lang w:val="en-GB" w:eastAsia="en-GB"/>
    </w:rPr>
  </w:style>
  <w:style w:type="character" w:customStyle="1" w:styleId="BodytextAgencyChar">
    <w:name w:val="Body text (Agency) Char"/>
    <w:link w:val="BodytextAgency"/>
    <w:locked/>
    <w:rsid w:val="00637884"/>
    <w:rPr>
      <w:rFonts w:ascii="Verdana" w:hAnsi="Verdana"/>
      <w:sz w:val="18"/>
      <w:lang w:val="en-GB" w:eastAsia="en-GB"/>
    </w:rPr>
  </w:style>
  <w:style w:type="table" w:styleId="Mriekatabuky">
    <w:name w:val="Table Grid"/>
    <w:basedOn w:val="Normlnatabuka"/>
    <w:uiPriority w:val="39"/>
    <w:rsid w:val="00637884"/>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4B2A50"/>
    <w:pPr>
      <w:spacing w:before="100" w:beforeAutospacing="1" w:after="100" w:afterAutospacing="1" w:line="240" w:lineRule="auto"/>
    </w:pPr>
    <w:rPr>
      <w:rFonts w:ascii="Times New Roman" w:hAnsi="Times New Roman"/>
      <w:sz w:val="24"/>
      <w:szCs w:val="24"/>
    </w:rPr>
  </w:style>
  <w:style w:type="paragraph" w:styleId="Revzia">
    <w:name w:val="Revision"/>
    <w:hidden/>
    <w:uiPriority w:val="99"/>
    <w:semiHidden/>
    <w:rsid w:val="00BD096E"/>
    <w:pPr>
      <w:spacing w:after="0" w:line="240" w:lineRule="auto"/>
    </w:pPr>
  </w:style>
  <w:style w:type="paragraph" w:customStyle="1" w:styleId="TableParagraph">
    <w:name w:val="Table Paragraph"/>
    <w:basedOn w:val="Normlny"/>
    <w:uiPriority w:val="1"/>
    <w:qFormat/>
    <w:rsid w:val="00740FB8"/>
    <w:pPr>
      <w:widowControl w:val="0"/>
      <w:autoSpaceDE w:val="0"/>
      <w:autoSpaceDN w:val="0"/>
      <w:spacing w:after="0" w:line="240" w:lineRule="auto"/>
    </w:pPr>
    <w:rPr>
      <w:rFonts w:ascii="Times New Roman" w:eastAsia="Times New Roman" w:hAnsi="Times New Roman"/>
      <w:lang w:val="en-US" w:eastAsia="en-US"/>
    </w:rPr>
  </w:style>
  <w:style w:type="table" w:customStyle="1" w:styleId="TableNormal">
    <w:name w:val="Table Normal"/>
    <w:uiPriority w:val="2"/>
    <w:semiHidden/>
    <w:qFormat/>
    <w:rsid w:val="00740FB8"/>
    <w:pPr>
      <w:widowControl w:val="0"/>
      <w:autoSpaceDE w:val="0"/>
      <w:autoSpaceDN w:val="0"/>
      <w:spacing w:after="0" w:line="240" w:lineRule="auto"/>
    </w:pPr>
    <w:rPr>
      <w:rFonts w:eastAsiaTheme="minorHAnsi" w:cstheme="minorBid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49163">
      <w:bodyDiv w:val="1"/>
      <w:marLeft w:val="0"/>
      <w:marRight w:val="0"/>
      <w:marTop w:val="0"/>
      <w:marBottom w:val="0"/>
      <w:divBdr>
        <w:top w:val="none" w:sz="0" w:space="0" w:color="auto"/>
        <w:left w:val="none" w:sz="0" w:space="0" w:color="auto"/>
        <w:bottom w:val="none" w:sz="0" w:space="0" w:color="auto"/>
        <w:right w:val="none" w:sz="0" w:space="0" w:color="auto"/>
      </w:divBdr>
    </w:div>
    <w:div w:id="10333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A9DBF-50ED-4FA5-8CB8-C301AF5D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10161</Words>
  <Characters>57921</Characters>
  <Application>Microsoft Office Word</Application>
  <DocSecurity>0</DocSecurity>
  <Lines>482</Lines>
  <Paragraphs>135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Sprycel, INN-dasatinib</vt:lpstr>
      <vt:lpstr>Sprycel, INN-dasatinib</vt:lpstr>
    </vt:vector>
  </TitlesOfParts>
  <Company>Teva</Company>
  <LinksUpToDate>false</LinksUpToDate>
  <CharactersWithSpaces>67947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Petriková, Miroslava</cp:lastModifiedBy>
  <cp:revision>5</cp:revision>
  <dcterms:created xsi:type="dcterms:W3CDTF">2020-01-13T08:50:00Z</dcterms:created>
  <dcterms:modified xsi:type="dcterms:W3CDTF">2020-01-16T09:28:00Z</dcterms:modified>
</cp:coreProperties>
</file>