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9C606" w14:textId="511E450D" w:rsidR="006021A7" w:rsidRPr="004473D9" w:rsidRDefault="006021A7" w:rsidP="004473D9">
      <w:pPr>
        <w:pStyle w:val="Bezriadkovania"/>
        <w:jc w:val="center"/>
        <w:rPr>
          <w:rFonts w:ascii="Times New Roman" w:hAnsi="Times New Roman" w:cs="Times New Roman"/>
          <w:b/>
          <w:lang w:val="sk"/>
        </w:rPr>
      </w:pPr>
      <w:r w:rsidRPr="004473D9">
        <w:rPr>
          <w:rFonts w:ascii="Times New Roman" w:hAnsi="Times New Roman" w:cs="Times New Roman"/>
          <w:b/>
          <w:lang w:val="sk"/>
        </w:rPr>
        <w:t>SÚHRN CHARAKTERISTICKÝCH VLASTNOSTÍ LIEKU</w:t>
      </w:r>
    </w:p>
    <w:p w14:paraId="28EEA255" w14:textId="77777777" w:rsidR="006021A7" w:rsidRDefault="006021A7" w:rsidP="0064086B">
      <w:pPr>
        <w:tabs>
          <w:tab w:val="left" w:pos="567"/>
        </w:tabs>
        <w:spacing w:before="60" w:after="0" w:line="240" w:lineRule="auto"/>
        <w:ind w:right="12"/>
        <w:rPr>
          <w:rFonts w:ascii="Times New Roman" w:eastAsia="Times New Roman" w:hAnsi="Times New Roman" w:cs="Times New Roman"/>
          <w:b/>
          <w:bCs/>
          <w:lang w:val="sk"/>
        </w:rPr>
      </w:pPr>
    </w:p>
    <w:p w14:paraId="617F7D7F" w14:textId="72FE601A" w:rsidR="006021A7" w:rsidRDefault="009926D1" w:rsidP="0064086B">
      <w:pPr>
        <w:tabs>
          <w:tab w:val="left" w:pos="567"/>
        </w:tabs>
        <w:spacing w:before="60"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1.</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NÁZOV LIEKU</w:t>
      </w:r>
    </w:p>
    <w:p w14:paraId="3D00288C" w14:textId="77777777" w:rsidR="002D601F" w:rsidRPr="0064086B" w:rsidRDefault="002D601F" w:rsidP="0064086B">
      <w:pPr>
        <w:spacing w:after="0" w:line="240" w:lineRule="auto"/>
        <w:ind w:right="12"/>
        <w:rPr>
          <w:rFonts w:ascii="Times New Roman" w:hAnsi="Times New Roman" w:cs="Times New Roman"/>
        </w:rPr>
      </w:pPr>
    </w:p>
    <w:p w14:paraId="3D00288D" w14:textId="0E20C15D" w:rsidR="002D601F" w:rsidRPr="0064086B" w:rsidRDefault="00A64AFB" w:rsidP="0064086B">
      <w:pPr>
        <w:spacing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13 </w:t>
      </w:r>
      <w:proofErr w:type="spellStart"/>
      <w:r w:rsidR="009926D1" w:rsidRPr="0064086B">
        <w:rPr>
          <w:rFonts w:ascii="Times New Roman" w:eastAsia="Times New Roman" w:hAnsi="Times New Roman" w:cs="Times New Roman"/>
          <w:lang w:val="sk"/>
        </w:rPr>
        <w:t>mikrogramov</w:t>
      </w:r>
      <w:proofErr w:type="spellEnd"/>
    </w:p>
    <w:p w14:paraId="3D00288E" w14:textId="19A6D5D8"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25 </w:t>
      </w:r>
      <w:proofErr w:type="spellStart"/>
      <w:r w:rsidR="009926D1" w:rsidRPr="0064086B">
        <w:rPr>
          <w:rFonts w:ascii="Times New Roman" w:eastAsia="Times New Roman" w:hAnsi="Times New Roman" w:cs="Times New Roman"/>
          <w:lang w:val="sk"/>
        </w:rPr>
        <w:t>mikrogramov</w:t>
      </w:r>
      <w:proofErr w:type="spellEnd"/>
    </w:p>
    <w:p w14:paraId="3D00288F" w14:textId="306676C4"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50 </w:t>
      </w:r>
      <w:proofErr w:type="spellStart"/>
      <w:r w:rsidR="009926D1" w:rsidRPr="0064086B">
        <w:rPr>
          <w:rFonts w:ascii="Times New Roman" w:eastAsia="Times New Roman" w:hAnsi="Times New Roman" w:cs="Times New Roman"/>
          <w:lang w:val="sk"/>
        </w:rPr>
        <w:t>mikrogramov</w:t>
      </w:r>
      <w:proofErr w:type="spellEnd"/>
    </w:p>
    <w:p w14:paraId="3D002890" w14:textId="65E718FD"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75 </w:t>
      </w:r>
      <w:proofErr w:type="spellStart"/>
      <w:r w:rsidR="009926D1" w:rsidRPr="0064086B">
        <w:rPr>
          <w:rFonts w:ascii="Times New Roman" w:eastAsia="Times New Roman" w:hAnsi="Times New Roman" w:cs="Times New Roman"/>
          <w:lang w:val="sk"/>
        </w:rPr>
        <w:t>mikrogramov</w:t>
      </w:r>
      <w:proofErr w:type="spellEnd"/>
    </w:p>
    <w:p w14:paraId="3D002891" w14:textId="6DB68F4E"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88 </w:t>
      </w:r>
      <w:proofErr w:type="spellStart"/>
      <w:r w:rsidR="009926D1" w:rsidRPr="0064086B">
        <w:rPr>
          <w:rFonts w:ascii="Times New Roman" w:eastAsia="Times New Roman" w:hAnsi="Times New Roman" w:cs="Times New Roman"/>
          <w:lang w:val="sk"/>
        </w:rPr>
        <w:t>mikrogramov</w:t>
      </w:r>
      <w:proofErr w:type="spellEnd"/>
    </w:p>
    <w:p w14:paraId="3D002892" w14:textId="0FA484AC"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100 </w:t>
      </w:r>
      <w:proofErr w:type="spellStart"/>
      <w:r w:rsidR="009926D1" w:rsidRPr="0064086B">
        <w:rPr>
          <w:rFonts w:ascii="Times New Roman" w:eastAsia="Times New Roman" w:hAnsi="Times New Roman" w:cs="Times New Roman"/>
          <w:lang w:val="sk"/>
        </w:rPr>
        <w:t>mikrogramov</w:t>
      </w:r>
      <w:proofErr w:type="spellEnd"/>
    </w:p>
    <w:p w14:paraId="3D002893" w14:textId="35826C2A"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112 </w:t>
      </w:r>
      <w:proofErr w:type="spellStart"/>
      <w:r w:rsidR="009926D1" w:rsidRPr="0064086B">
        <w:rPr>
          <w:rFonts w:ascii="Times New Roman" w:eastAsia="Times New Roman" w:hAnsi="Times New Roman" w:cs="Times New Roman"/>
          <w:lang w:val="sk"/>
        </w:rPr>
        <w:t>mikrogramov</w:t>
      </w:r>
      <w:proofErr w:type="spellEnd"/>
    </w:p>
    <w:p w14:paraId="3D002894" w14:textId="677C4B24"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125 </w:t>
      </w:r>
      <w:proofErr w:type="spellStart"/>
      <w:r w:rsidR="009926D1" w:rsidRPr="0064086B">
        <w:rPr>
          <w:rFonts w:ascii="Times New Roman" w:eastAsia="Times New Roman" w:hAnsi="Times New Roman" w:cs="Times New Roman"/>
          <w:lang w:val="sk"/>
        </w:rPr>
        <w:t>mikrogramov</w:t>
      </w:r>
      <w:proofErr w:type="spellEnd"/>
    </w:p>
    <w:p w14:paraId="3D002895" w14:textId="265B93A6"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137 </w:t>
      </w:r>
      <w:proofErr w:type="spellStart"/>
      <w:r w:rsidR="009926D1" w:rsidRPr="0064086B">
        <w:rPr>
          <w:rFonts w:ascii="Times New Roman" w:eastAsia="Times New Roman" w:hAnsi="Times New Roman" w:cs="Times New Roman"/>
          <w:lang w:val="sk"/>
        </w:rPr>
        <w:t>mikrogramov</w:t>
      </w:r>
      <w:proofErr w:type="spellEnd"/>
    </w:p>
    <w:p w14:paraId="3D002896" w14:textId="223C0C8A"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150 </w:t>
      </w:r>
      <w:proofErr w:type="spellStart"/>
      <w:r w:rsidR="009926D1" w:rsidRPr="0064086B">
        <w:rPr>
          <w:rFonts w:ascii="Times New Roman" w:eastAsia="Times New Roman" w:hAnsi="Times New Roman" w:cs="Times New Roman"/>
          <w:lang w:val="sk"/>
        </w:rPr>
        <w:t>mikrogramov</w:t>
      </w:r>
      <w:proofErr w:type="spellEnd"/>
    </w:p>
    <w:p w14:paraId="3D002897" w14:textId="74B9DDAD" w:rsidR="002D601F" w:rsidRPr="0064086B" w:rsidRDefault="00A64AFB" w:rsidP="0064086B">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175 </w:t>
      </w:r>
      <w:proofErr w:type="spellStart"/>
      <w:r w:rsidR="009926D1" w:rsidRPr="0064086B">
        <w:rPr>
          <w:rFonts w:ascii="Times New Roman" w:eastAsia="Times New Roman" w:hAnsi="Times New Roman" w:cs="Times New Roman"/>
          <w:lang w:val="sk"/>
        </w:rPr>
        <w:t>mikrogramov</w:t>
      </w:r>
      <w:proofErr w:type="spellEnd"/>
    </w:p>
    <w:p w14:paraId="72FEDF15" w14:textId="197A23FF" w:rsidR="00687A3C" w:rsidRDefault="00A64AFB" w:rsidP="0064086B">
      <w:pPr>
        <w:spacing w:before="6"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Tirosintsol</w:t>
      </w:r>
      <w:proofErr w:type="spellEnd"/>
      <w:r w:rsidR="009926D1" w:rsidRPr="0064086B">
        <w:rPr>
          <w:rFonts w:ascii="Times New Roman" w:eastAsia="Times New Roman" w:hAnsi="Times New Roman" w:cs="Times New Roman"/>
          <w:lang w:val="sk"/>
        </w:rPr>
        <w:t xml:space="preserve"> 200 </w:t>
      </w:r>
      <w:proofErr w:type="spellStart"/>
      <w:r w:rsidR="009926D1" w:rsidRPr="0064086B">
        <w:rPr>
          <w:rFonts w:ascii="Times New Roman" w:eastAsia="Times New Roman" w:hAnsi="Times New Roman" w:cs="Times New Roman"/>
          <w:lang w:val="sk"/>
        </w:rPr>
        <w:t>mikrogramov</w:t>
      </w:r>
      <w:proofErr w:type="spellEnd"/>
      <w:r w:rsidR="009926D1" w:rsidRPr="0064086B">
        <w:rPr>
          <w:rFonts w:ascii="Times New Roman" w:eastAsia="Times New Roman" w:hAnsi="Times New Roman" w:cs="Times New Roman"/>
          <w:lang w:val="sk"/>
        </w:rPr>
        <w:t xml:space="preserve"> </w:t>
      </w:r>
    </w:p>
    <w:p w14:paraId="3D002898" w14:textId="6FB7A341"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perorálny roztok v jednodávkovom obale</w:t>
      </w:r>
    </w:p>
    <w:p w14:paraId="3D00289B" w14:textId="77777777" w:rsidR="002D601F" w:rsidRPr="00BA4201" w:rsidRDefault="002D601F" w:rsidP="0064086B">
      <w:pPr>
        <w:spacing w:after="0" w:line="240" w:lineRule="auto"/>
        <w:ind w:right="12"/>
        <w:rPr>
          <w:rFonts w:ascii="Times New Roman" w:hAnsi="Times New Roman" w:cs="Times New Roman"/>
          <w:lang w:val="sk"/>
        </w:rPr>
      </w:pPr>
    </w:p>
    <w:p w14:paraId="3D00289C" w14:textId="77777777" w:rsidR="002D601F" w:rsidRPr="00BA4201" w:rsidRDefault="002D601F" w:rsidP="0064086B">
      <w:pPr>
        <w:spacing w:after="0" w:line="240" w:lineRule="auto"/>
        <w:ind w:right="12"/>
        <w:rPr>
          <w:rFonts w:ascii="Times New Roman" w:hAnsi="Times New Roman" w:cs="Times New Roman"/>
          <w:lang w:val="sk"/>
        </w:rPr>
      </w:pPr>
    </w:p>
    <w:p w14:paraId="3D00289D" w14:textId="3D77A452" w:rsidR="002D601F" w:rsidRPr="00BA4201"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2.</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KVALITATÍVNE A KVANTITATÍVNE ZLOŽENIE</w:t>
      </w:r>
    </w:p>
    <w:p w14:paraId="3D00289E" w14:textId="77777777" w:rsidR="002D601F" w:rsidRPr="00BA4201" w:rsidRDefault="002D601F" w:rsidP="0064086B">
      <w:pPr>
        <w:spacing w:before="8" w:after="0" w:line="240" w:lineRule="auto"/>
        <w:ind w:right="12"/>
        <w:rPr>
          <w:rFonts w:ascii="Times New Roman" w:hAnsi="Times New Roman" w:cs="Times New Roman"/>
          <w:lang w:val="sk"/>
        </w:rPr>
      </w:pPr>
    </w:p>
    <w:p w14:paraId="3D00289F" w14:textId="7DC3A1B5"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A64AF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13 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13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0" w14:textId="551FA62C"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25 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25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1" w14:textId="3A36C4EB"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50 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50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2" w14:textId="622D4A87"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75 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75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3" w14:textId="7E91111A"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88 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88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4" w14:textId="1E4A2083"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100 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100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5" w14:textId="1CCE040E"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112 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112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6" w14:textId="267E44FC"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125 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125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7" w14:textId="55293E5A"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137 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137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8" w14:textId="2A49F57D"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150 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150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9" w14:textId="725B7A60"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175 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175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3D0028AA" w14:textId="3A729708" w:rsidR="00702A7E"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200 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obsahuje 200 </w:t>
      </w:r>
      <w:proofErr w:type="spellStart"/>
      <w:r w:rsidRPr="0064086B">
        <w:rPr>
          <w:rFonts w:ascii="Times New Roman" w:eastAsia="Times New Roman" w:hAnsi="Times New Roman" w:cs="Times New Roman"/>
          <w:lang w:val="sk"/>
        </w:rPr>
        <w:t>mikrogramov</w:t>
      </w:r>
      <w:proofErr w:type="spellEnd"/>
      <w:r w:rsidRPr="0064086B">
        <w:rPr>
          <w:rFonts w:ascii="Times New Roman" w:eastAsia="Times New Roman" w:hAnsi="Times New Roman" w:cs="Times New Roman"/>
          <w:lang w:val="sk"/>
        </w:rPr>
        <w:t xml:space="preserve"> sodnej soli levotyroxínu.</w:t>
      </w:r>
    </w:p>
    <w:p w14:paraId="0F900F96" w14:textId="77777777" w:rsidR="00747BB9" w:rsidRPr="00BA4201" w:rsidRDefault="00747BB9" w:rsidP="0064086B">
      <w:pPr>
        <w:spacing w:before="6" w:after="0" w:line="240" w:lineRule="auto"/>
        <w:ind w:right="12"/>
        <w:rPr>
          <w:rFonts w:ascii="Times New Roman" w:eastAsia="Times New Roman" w:hAnsi="Times New Roman" w:cs="Times New Roman"/>
          <w:lang w:val="sk"/>
        </w:rPr>
      </w:pPr>
    </w:p>
    <w:p w14:paraId="3D0028AB" w14:textId="5928DC16" w:rsidR="002D601F" w:rsidRPr="0064086B" w:rsidRDefault="009926D1" w:rsidP="0064086B">
      <w:pPr>
        <w:spacing w:before="6"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Úplný zoznam pomocných látok, pozri časť 6.1.</w:t>
      </w:r>
    </w:p>
    <w:p w14:paraId="3D0028AC" w14:textId="70AB8BB3" w:rsidR="002D601F" w:rsidRDefault="002D601F" w:rsidP="0064086B">
      <w:pPr>
        <w:spacing w:before="12" w:after="0" w:line="240" w:lineRule="auto"/>
        <w:ind w:right="12"/>
        <w:rPr>
          <w:rFonts w:ascii="Times New Roman" w:hAnsi="Times New Roman" w:cs="Times New Roman"/>
          <w:lang w:val="pl-PL"/>
        </w:rPr>
      </w:pPr>
    </w:p>
    <w:p w14:paraId="001B529C" w14:textId="77777777" w:rsidR="0064086B" w:rsidRPr="0064086B" w:rsidRDefault="0064086B" w:rsidP="0064086B">
      <w:pPr>
        <w:spacing w:before="12" w:after="0" w:line="240" w:lineRule="auto"/>
        <w:ind w:right="12"/>
        <w:rPr>
          <w:rFonts w:ascii="Times New Roman" w:hAnsi="Times New Roman" w:cs="Times New Roman"/>
          <w:lang w:val="pl-PL"/>
        </w:rPr>
      </w:pPr>
    </w:p>
    <w:p w14:paraId="3D0028AD" w14:textId="10219F6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3.</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LIEKOVÁ FORMA</w:t>
      </w:r>
    </w:p>
    <w:p w14:paraId="3D0028AF" w14:textId="77777777" w:rsidR="002D601F" w:rsidRPr="0064086B" w:rsidRDefault="002D601F" w:rsidP="0064086B">
      <w:pPr>
        <w:spacing w:after="0" w:line="240" w:lineRule="auto"/>
        <w:ind w:right="12"/>
        <w:rPr>
          <w:rFonts w:ascii="Times New Roman" w:hAnsi="Times New Roman" w:cs="Times New Roman"/>
          <w:lang w:val="pl-PL"/>
        </w:rPr>
      </w:pPr>
    </w:p>
    <w:p w14:paraId="3D0028B0" w14:textId="77777777" w:rsidR="002D601F" w:rsidRPr="0064086B" w:rsidRDefault="00702A7E"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Perorálny roztok</w:t>
      </w:r>
    </w:p>
    <w:p w14:paraId="3D0028B1" w14:textId="5918E5F2" w:rsidR="00FC5FBF" w:rsidRPr="0064086B" w:rsidRDefault="00702A7E" w:rsidP="0064086B">
      <w:pPr>
        <w:spacing w:before="6"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lastRenderedPageBreak/>
        <w:t>Číry, bezfarebný až žltkastý roztok dodávaný v 1 ml bielom, nepriehľadnom jednodávkovom obale. Každý jednodávkový obal je označený farebným štítkom so silou dávky a názvom lieku (</w:t>
      </w:r>
      <w:proofErr w:type="spellStart"/>
      <w:r w:rsidR="0056391B">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w:t>
      </w:r>
    </w:p>
    <w:p w14:paraId="3D0028B2" w14:textId="77777777" w:rsidR="008E1063" w:rsidRPr="0064086B" w:rsidRDefault="008E1063" w:rsidP="0064086B">
      <w:pPr>
        <w:spacing w:before="6" w:after="0" w:line="240" w:lineRule="auto"/>
        <w:ind w:right="12"/>
        <w:rPr>
          <w:rFonts w:ascii="Times New Roman" w:eastAsia="Times New Roman" w:hAnsi="Times New Roman" w:cs="Times New Roman"/>
          <w:spacing w:val="-1"/>
          <w:lang w:val="sk"/>
        </w:rPr>
      </w:pPr>
    </w:p>
    <w:tbl>
      <w:tblPr>
        <w:tblStyle w:val="Mriekatabuky"/>
        <w:tblW w:w="0" w:type="auto"/>
        <w:tblInd w:w="115" w:type="dxa"/>
        <w:tblLook w:val="04A0" w:firstRow="1" w:lastRow="0" w:firstColumn="1" w:lastColumn="0" w:noHBand="0" w:noVBand="1"/>
      </w:tblPr>
      <w:tblGrid>
        <w:gridCol w:w="2477"/>
        <w:gridCol w:w="2478"/>
      </w:tblGrid>
      <w:tr w:rsidR="0064086B" w:rsidRPr="0064086B" w14:paraId="3D0028B5" w14:textId="77777777" w:rsidTr="000478B5">
        <w:tc>
          <w:tcPr>
            <w:tcW w:w="2477" w:type="dxa"/>
          </w:tcPr>
          <w:p w14:paraId="3D0028B3"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Sila [mikrogram]</w:t>
            </w:r>
          </w:p>
        </w:tc>
        <w:tc>
          <w:tcPr>
            <w:tcW w:w="2478" w:type="dxa"/>
          </w:tcPr>
          <w:p w14:paraId="3D0028B4"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Farba</w:t>
            </w:r>
          </w:p>
        </w:tc>
      </w:tr>
      <w:tr w:rsidR="0064086B" w:rsidRPr="0064086B" w14:paraId="3D0028B8" w14:textId="77777777" w:rsidTr="000478B5">
        <w:tc>
          <w:tcPr>
            <w:tcW w:w="2477" w:type="dxa"/>
          </w:tcPr>
          <w:p w14:paraId="3D0028B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w:t>
            </w:r>
          </w:p>
        </w:tc>
        <w:tc>
          <w:tcPr>
            <w:tcW w:w="2478" w:type="dxa"/>
          </w:tcPr>
          <w:p w14:paraId="3D0028B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Zelená</w:t>
            </w:r>
          </w:p>
        </w:tc>
      </w:tr>
      <w:tr w:rsidR="0064086B" w:rsidRPr="0064086B" w14:paraId="3D0028BB" w14:textId="77777777" w:rsidTr="000478B5">
        <w:tc>
          <w:tcPr>
            <w:tcW w:w="2477" w:type="dxa"/>
          </w:tcPr>
          <w:p w14:paraId="3D0028B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25</w:t>
            </w:r>
          </w:p>
        </w:tc>
        <w:tc>
          <w:tcPr>
            <w:tcW w:w="2478" w:type="dxa"/>
          </w:tcPr>
          <w:p w14:paraId="3D0028BA"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Oranžová</w:t>
            </w:r>
          </w:p>
        </w:tc>
      </w:tr>
      <w:tr w:rsidR="0064086B" w:rsidRPr="0064086B" w14:paraId="3D0028BE" w14:textId="77777777" w:rsidTr="000478B5">
        <w:tc>
          <w:tcPr>
            <w:tcW w:w="2477" w:type="dxa"/>
          </w:tcPr>
          <w:p w14:paraId="3D0028B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50</w:t>
            </w:r>
          </w:p>
        </w:tc>
        <w:tc>
          <w:tcPr>
            <w:tcW w:w="2478" w:type="dxa"/>
          </w:tcPr>
          <w:p w14:paraId="3D0028BD"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Biela</w:t>
            </w:r>
          </w:p>
        </w:tc>
      </w:tr>
      <w:tr w:rsidR="0064086B" w:rsidRPr="0064086B" w14:paraId="3D0028C1" w14:textId="77777777" w:rsidTr="000478B5">
        <w:tc>
          <w:tcPr>
            <w:tcW w:w="2477" w:type="dxa"/>
          </w:tcPr>
          <w:p w14:paraId="3D0028B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75</w:t>
            </w:r>
          </w:p>
        </w:tc>
        <w:tc>
          <w:tcPr>
            <w:tcW w:w="2478" w:type="dxa"/>
          </w:tcPr>
          <w:p w14:paraId="3D0028C0"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Fialová</w:t>
            </w:r>
          </w:p>
        </w:tc>
      </w:tr>
      <w:tr w:rsidR="0064086B" w:rsidRPr="0064086B" w14:paraId="3D0028C4" w14:textId="77777777" w:rsidTr="000478B5">
        <w:tc>
          <w:tcPr>
            <w:tcW w:w="2477" w:type="dxa"/>
          </w:tcPr>
          <w:p w14:paraId="3D0028C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88</w:t>
            </w:r>
          </w:p>
        </w:tc>
        <w:tc>
          <w:tcPr>
            <w:tcW w:w="2478" w:type="dxa"/>
          </w:tcPr>
          <w:p w14:paraId="3D0028C3"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Olivová</w:t>
            </w:r>
          </w:p>
        </w:tc>
      </w:tr>
      <w:tr w:rsidR="0064086B" w:rsidRPr="0064086B" w14:paraId="3D0028C7" w14:textId="77777777" w:rsidTr="000478B5">
        <w:tc>
          <w:tcPr>
            <w:tcW w:w="2477" w:type="dxa"/>
          </w:tcPr>
          <w:p w14:paraId="3D0028C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100</w:t>
            </w:r>
          </w:p>
        </w:tc>
        <w:tc>
          <w:tcPr>
            <w:tcW w:w="2478" w:type="dxa"/>
          </w:tcPr>
          <w:p w14:paraId="3D0028C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Žltá</w:t>
            </w:r>
          </w:p>
        </w:tc>
      </w:tr>
      <w:tr w:rsidR="0064086B" w:rsidRPr="0064086B" w14:paraId="3D0028CA" w14:textId="77777777" w:rsidTr="000478B5">
        <w:tc>
          <w:tcPr>
            <w:tcW w:w="2477" w:type="dxa"/>
          </w:tcPr>
          <w:p w14:paraId="3D0028C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112</w:t>
            </w:r>
          </w:p>
        </w:tc>
        <w:tc>
          <w:tcPr>
            <w:tcW w:w="2478" w:type="dxa"/>
          </w:tcPr>
          <w:p w14:paraId="3D0028C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Ružová</w:t>
            </w:r>
          </w:p>
        </w:tc>
      </w:tr>
      <w:tr w:rsidR="0064086B" w:rsidRPr="0064086B" w14:paraId="3D0028CD" w14:textId="77777777" w:rsidTr="000478B5">
        <w:tc>
          <w:tcPr>
            <w:tcW w:w="2477" w:type="dxa"/>
          </w:tcPr>
          <w:p w14:paraId="3D0028CB"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125</w:t>
            </w:r>
          </w:p>
        </w:tc>
        <w:tc>
          <w:tcPr>
            <w:tcW w:w="2478" w:type="dxa"/>
          </w:tcPr>
          <w:p w14:paraId="3D0028C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Hnedá</w:t>
            </w:r>
          </w:p>
        </w:tc>
      </w:tr>
      <w:tr w:rsidR="0064086B" w:rsidRPr="0064086B" w14:paraId="3D0028D0" w14:textId="77777777" w:rsidTr="000478B5">
        <w:tc>
          <w:tcPr>
            <w:tcW w:w="2477" w:type="dxa"/>
          </w:tcPr>
          <w:p w14:paraId="3D0028CE"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137</w:t>
            </w:r>
          </w:p>
        </w:tc>
        <w:tc>
          <w:tcPr>
            <w:tcW w:w="2478" w:type="dxa"/>
          </w:tcPr>
          <w:p w14:paraId="3D0028C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Tyrkysová</w:t>
            </w:r>
          </w:p>
        </w:tc>
      </w:tr>
      <w:tr w:rsidR="0064086B" w:rsidRPr="0064086B" w14:paraId="3D0028D3" w14:textId="77777777" w:rsidTr="000478B5">
        <w:tc>
          <w:tcPr>
            <w:tcW w:w="2477" w:type="dxa"/>
          </w:tcPr>
          <w:p w14:paraId="3D0028D1"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150</w:t>
            </w:r>
          </w:p>
        </w:tc>
        <w:tc>
          <w:tcPr>
            <w:tcW w:w="2478" w:type="dxa"/>
          </w:tcPr>
          <w:p w14:paraId="3D0028D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Modrá</w:t>
            </w:r>
          </w:p>
        </w:tc>
      </w:tr>
      <w:tr w:rsidR="0064086B" w:rsidRPr="0064086B" w14:paraId="3D0028D6" w14:textId="77777777" w:rsidTr="000478B5">
        <w:tc>
          <w:tcPr>
            <w:tcW w:w="2477" w:type="dxa"/>
          </w:tcPr>
          <w:p w14:paraId="3D0028D4"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175</w:t>
            </w:r>
          </w:p>
        </w:tc>
        <w:tc>
          <w:tcPr>
            <w:tcW w:w="2478" w:type="dxa"/>
          </w:tcPr>
          <w:p w14:paraId="3D0028D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Svetlofialová</w:t>
            </w:r>
          </w:p>
        </w:tc>
      </w:tr>
      <w:tr w:rsidR="0064086B" w:rsidRPr="0064086B" w14:paraId="3D0028D9" w14:textId="77777777" w:rsidTr="000478B5">
        <w:tc>
          <w:tcPr>
            <w:tcW w:w="2477" w:type="dxa"/>
          </w:tcPr>
          <w:p w14:paraId="3D0028D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200</w:t>
            </w:r>
          </w:p>
        </w:tc>
        <w:tc>
          <w:tcPr>
            <w:tcW w:w="2478" w:type="dxa"/>
          </w:tcPr>
          <w:p w14:paraId="3D0028D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Svetloružová</w:t>
            </w:r>
          </w:p>
        </w:tc>
      </w:tr>
    </w:tbl>
    <w:p w14:paraId="3D0028DA" w14:textId="4A128E27" w:rsidR="002D601F" w:rsidRDefault="002D601F" w:rsidP="0064086B">
      <w:pPr>
        <w:spacing w:before="8" w:after="0" w:line="240" w:lineRule="auto"/>
        <w:ind w:right="12"/>
        <w:rPr>
          <w:rFonts w:ascii="Times New Roman" w:hAnsi="Times New Roman" w:cs="Times New Roman"/>
        </w:rPr>
      </w:pPr>
    </w:p>
    <w:p w14:paraId="44E449E1" w14:textId="77777777" w:rsidR="0064086B" w:rsidRPr="0064086B" w:rsidRDefault="0064086B" w:rsidP="0064086B">
      <w:pPr>
        <w:spacing w:before="8" w:after="0" w:line="240" w:lineRule="auto"/>
        <w:ind w:right="12"/>
        <w:rPr>
          <w:rFonts w:ascii="Times New Roman" w:hAnsi="Times New Roman" w:cs="Times New Roman"/>
        </w:rPr>
      </w:pPr>
    </w:p>
    <w:p w14:paraId="3D0028DB" w14:textId="3AF3A2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 xml:space="preserve">KLINICKÉ ÚDAJE </w:t>
      </w:r>
    </w:p>
    <w:p w14:paraId="3D0028DC" w14:textId="77777777" w:rsidR="002D601F" w:rsidRPr="0064086B" w:rsidRDefault="002D601F" w:rsidP="0064086B">
      <w:pPr>
        <w:spacing w:after="0" w:line="240" w:lineRule="auto"/>
        <w:ind w:right="12"/>
        <w:rPr>
          <w:rFonts w:ascii="Times New Roman" w:hAnsi="Times New Roman" w:cs="Times New Roman"/>
        </w:rPr>
      </w:pPr>
    </w:p>
    <w:p w14:paraId="3D0028DD"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4.1</w:t>
      </w:r>
      <w:r w:rsidRPr="0064086B">
        <w:rPr>
          <w:rFonts w:ascii="Times New Roman" w:eastAsia="Times New Roman" w:hAnsi="Times New Roman" w:cs="Times New Roman"/>
          <w:b/>
          <w:bCs/>
          <w:lang w:val="sk"/>
        </w:rPr>
        <w:tab/>
        <w:t>Terapeutické indikácie</w:t>
      </w:r>
    </w:p>
    <w:p w14:paraId="3D0028DE" w14:textId="77777777" w:rsidR="002D601F" w:rsidRPr="0064086B" w:rsidRDefault="002D601F" w:rsidP="0064086B">
      <w:pPr>
        <w:spacing w:after="0" w:line="240" w:lineRule="auto"/>
        <w:ind w:right="12"/>
        <w:rPr>
          <w:rFonts w:ascii="Times New Roman" w:hAnsi="Times New Roman" w:cs="Times New Roman"/>
        </w:rPr>
      </w:pPr>
    </w:p>
    <w:p w14:paraId="3D0028DF" w14:textId="5E829325" w:rsidR="002D601F" w:rsidRPr="0064086B" w:rsidRDefault="009926D1" w:rsidP="0064086B">
      <w:pPr>
        <w:spacing w:before="1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Liečba benígnej strumy s eutyroidnou funkciou</w:t>
      </w:r>
    </w:p>
    <w:p w14:paraId="3D0028E0" w14:textId="04E96D07" w:rsidR="002D601F" w:rsidRPr="00BA4201" w:rsidRDefault="009926D1" w:rsidP="00D70882">
      <w:pPr>
        <w:spacing w:before="20"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Profylaxia rekurentnej strumy po resekcii štítnej žľazy s eutyreoidnou funkciou, v závislosti od</w:t>
      </w:r>
      <w:r w:rsidR="00D70882">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pooperačného hormonálneho stavu</w:t>
      </w:r>
    </w:p>
    <w:p w14:paraId="3D0028E1" w14:textId="2B04385B" w:rsidR="002D601F" w:rsidRPr="00BA4201" w:rsidRDefault="009926D1" w:rsidP="0064086B">
      <w:pPr>
        <w:spacing w:before="14"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Substitučná liečba hormónmi štítnej žľazy pri hypotyreóze</w:t>
      </w:r>
    </w:p>
    <w:p w14:paraId="3D0028E2" w14:textId="5BF2D81E" w:rsidR="002D601F" w:rsidRPr="00BA4201" w:rsidRDefault="009926D1" w:rsidP="0064086B">
      <w:pPr>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Supresívna liečba malígneho nádoru štítnej žľazy</w:t>
      </w:r>
    </w:p>
    <w:p w14:paraId="3D0028E3" w14:textId="0A084C22" w:rsidR="002D601F" w:rsidRPr="00BA4201" w:rsidRDefault="009926D1" w:rsidP="0064086B">
      <w:pPr>
        <w:tabs>
          <w:tab w:val="left" w:pos="9214"/>
        </w:tabs>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xml:space="preserve">− Podporná </w:t>
      </w:r>
      <w:r w:rsidR="005B658F">
        <w:rPr>
          <w:rFonts w:ascii="Times New Roman" w:eastAsia="Times New Roman" w:hAnsi="Times New Roman" w:cs="Times New Roman"/>
          <w:lang w:val="sk"/>
        </w:rPr>
        <w:t>liečba</w:t>
      </w:r>
      <w:r w:rsidR="005B658F"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 xml:space="preserve">k tyreostatickej liečbe hypertyreózy </w:t>
      </w:r>
    </w:p>
    <w:p w14:paraId="3D0028E4" w14:textId="2A194CC3" w:rsidR="002D601F" w:rsidRPr="00BA4201" w:rsidRDefault="009926D1" w:rsidP="0064086B">
      <w:pPr>
        <w:spacing w:before="20"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t xml:space="preserve">− Supresný test štítnej žľazy </w:t>
      </w:r>
    </w:p>
    <w:p w14:paraId="3D0028E5" w14:textId="77777777" w:rsidR="002D601F" w:rsidRPr="00BA4201" w:rsidRDefault="002D601F" w:rsidP="0064086B">
      <w:pPr>
        <w:spacing w:after="0" w:line="240" w:lineRule="auto"/>
        <w:ind w:right="12"/>
        <w:rPr>
          <w:rFonts w:ascii="Times New Roman" w:hAnsi="Times New Roman" w:cs="Times New Roman"/>
          <w:lang w:val="sk"/>
        </w:rPr>
      </w:pPr>
    </w:p>
    <w:p w14:paraId="3D0028E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4.2</w:t>
      </w:r>
      <w:r w:rsidRPr="0064086B">
        <w:rPr>
          <w:rFonts w:ascii="Times New Roman" w:eastAsia="Times New Roman" w:hAnsi="Times New Roman" w:cs="Times New Roman"/>
          <w:b/>
          <w:bCs/>
          <w:lang w:val="sk"/>
        </w:rPr>
        <w:tab/>
        <w:t>Dávkovanie a spôsob podávania</w:t>
      </w:r>
    </w:p>
    <w:p w14:paraId="3D0028E7" w14:textId="77777777" w:rsidR="002D601F" w:rsidRPr="00BA4201" w:rsidRDefault="002D601F" w:rsidP="0064086B">
      <w:pPr>
        <w:spacing w:before="5" w:after="0" w:line="240" w:lineRule="auto"/>
        <w:ind w:right="12"/>
        <w:rPr>
          <w:rFonts w:ascii="Times New Roman" w:hAnsi="Times New Roman" w:cs="Times New Roman"/>
          <w:lang w:val="sk"/>
        </w:rPr>
      </w:pPr>
    </w:p>
    <w:p w14:paraId="3D0028E8" w14:textId="77777777" w:rsidR="005B7ACA" w:rsidRPr="00BA4201" w:rsidRDefault="005B7ACA" w:rsidP="0064086B">
      <w:pPr>
        <w:spacing w:after="0" w:line="240" w:lineRule="auto"/>
        <w:ind w:right="12"/>
        <w:rPr>
          <w:rFonts w:ascii="Times New Roman" w:eastAsia="Times New Roman" w:hAnsi="Times New Roman" w:cs="Times New Roman"/>
          <w:spacing w:val="2"/>
          <w:u w:val="single"/>
          <w:lang w:val="sk"/>
        </w:rPr>
      </w:pPr>
      <w:r w:rsidRPr="0064086B">
        <w:rPr>
          <w:rFonts w:ascii="Times New Roman" w:eastAsia="Times New Roman" w:hAnsi="Times New Roman" w:cs="Times New Roman"/>
          <w:u w:val="single"/>
          <w:lang w:val="sk"/>
        </w:rPr>
        <w:t>Dávkovanie</w:t>
      </w:r>
    </w:p>
    <w:p w14:paraId="3D0028E9" w14:textId="77777777" w:rsidR="005B7ACA" w:rsidRPr="00BA4201" w:rsidRDefault="005B7ACA" w:rsidP="0064086B">
      <w:pPr>
        <w:spacing w:after="0" w:line="240" w:lineRule="auto"/>
        <w:ind w:right="12"/>
        <w:rPr>
          <w:rFonts w:ascii="Times New Roman" w:eastAsia="Times New Roman" w:hAnsi="Times New Roman" w:cs="Times New Roman"/>
          <w:spacing w:val="2"/>
          <w:lang w:val="sk"/>
        </w:rPr>
      </w:pPr>
    </w:p>
    <w:p w14:paraId="3D0028EA"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Na dosiahnutie individuálnych potrieb liečby pacientov sú k dispozícii jednodávkové obaly so silou v rozsahu od 13 do 200 mikrogramov sodnej soli levotyroxínu, takže pacientom v ideálnom prípade stačí užiť obsah jedného jednodávkového obalu.</w:t>
      </w:r>
    </w:p>
    <w:p w14:paraId="3D0028EB" w14:textId="77777777" w:rsidR="002D601F" w:rsidRPr="00BA4201" w:rsidRDefault="002D601F" w:rsidP="0064086B">
      <w:pPr>
        <w:spacing w:before="19" w:after="0" w:line="240" w:lineRule="auto"/>
        <w:ind w:right="12"/>
        <w:rPr>
          <w:rFonts w:ascii="Times New Roman" w:hAnsi="Times New Roman" w:cs="Times New Roman"/>
          <w:lang w:val="sk"/>
        </w:rPr>
      </w:pPr>
    </w:p>
    <w:p w14:paraId="3D0028EC"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Odporúčané dávkovanie slúži ako odborné usmernenie.</w:t>
      </w:r>
    </w:p>
    <w:p w14:paraId="3D0028ED" w14:textId="77777777" w:rsidR="002D601F" w:rsidRPr="00BA4201" w:rsidRDefault="002D601F" w:rsidP="0064086B">
      <w:pPr>
        <w:spacing w:before="5" w:after="0" w:line="240" w:lineRule="auto"/>
        <w:ind w:right="12"/>
        <w:rPr>
          <w:rFonts w:ascii="Times New Roman" w:hAnsi="Times New Roman" w:cs="Times New Roman"/>
          <w:lang w:val="sk"/>
        </w:rPr>
      </w:pPr>
    </w:p>
    <w:p w14:paraId="3D0028EE"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Individuálna denná dávka sa má stanoviť na základe diagnostických laboratórnych testov a klinických vyšetrení.</w:t>
      </w:r>
    </w:p>
    <w:p w14:paraId="3D0028EF" w14:textId="77777777" w:rsidR="002D601F" w:rsidRPr="00BA4201" w:rsidRDefault="002D601F" w:rsidP="0064086B">
      <w:pPr>
        <w:spacing w:before="19" w:after="0" w:line="240" w:lineRule="auto"/>
        <w:ind w:right="12"/>
        <w:rPr>
          <w:rFonts w:ascii="Times New Roman" w:hAnsi="Times New Roman" w:cs="Times New Roman"/>
          <w:lang w:val="sk"/>
        </w:rPr>
      </w:pPr>
    </w:p>
    <w:p w14:paraId="3D0028F0" w14:textId="7B5D7CBB" w:rsidR="002D601F" w:rsidRPr="00BA4201" w:rsidRDefault="00DA7B23"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Vzhľadom na to, že niektorí pacienti majú počas liečby zvýšené koncentrácie T4 a fT4, spoľahlivejším ukazovateľom pre ďalší priebeh liečby je bazálna sérová koncentrácia </w:t>
      </w:r>
      <w:r w:rsidR="005B658F">
        <w:rPr>
          <w:rFonts w:ascii="Times New Roman" w:eastAsia="Times New Roman" w:hAnsi="Times New Roman" w:cs="Times New Roman"/>
          <w:lang w:val="sk"/>
        </w:rPr>
        <w:t xml:space="preserve">tyreotropínu - </w:t>
      </w:r>
      <w:r w:rsidRPr="0064086B">
        <w:rPr>
          <w:rFonts w:ascii="Times New Roman" w:eastAsia="Times New Roman" w:hAnsi="Times New Roman" w:cs="Times New Roman"/>
          <w:lang w:val="sk"/>
        </w:rPr>
        <w:t>hormónu stimulujúceho štítnu žľazu (</w:t>
      </w:r>
      <w:r w:rsidR="005B658F" w:rsidRPr="0064086B">
        <w:rPr>
          <w:rFonts w:ascii="Times New Roman" w:eastAsia="Times New Roman" w:hAnsi="Times New Roman" w:cs="Times New Roman"/>
          <w:i/>
          <w:iCs/>
          <w:lang w:val="sk"/>
        </w:rPr>
        <w:t>thyro</w:t>
      </w:r>
      <w:r w:rsidR="005B658F">
        <w:rPr>
          <w:rFonts w:ascii="Times New Roman" w:eastAsia="Times New Roman" w:hAnsi="Times New Roman" w:cs="Times New Roman"/>
          <w:i/>
          <w:iCs/>
          <w:lang w:val="sk"/>
        </w:rPr>
        <w:t>id</w:t>
      </w:r>
      <w:r w:rsidRPr="0064086B">
        <w:rPr>
          <w:rFonts w:ascii="Times New Roman" w:eastAsia="Times New Roman" w:hAnsi="Times New Roman" w:cs="Times New Roman"/>
          <w:i/>
          <w:iCs/>
          <w:lang w:val="sk"/>
        </w:rPr>
        <w:t>-stimulating hormone</w:t>
      </w:r>
      <w:r w:rsidRPr="0064086B">
        <w:rPr>
          <w:rFonts w:ascii="Times New Roman" w:eastAsia="Times New Roman" w:hAnsi="Times New Roman" w:cs="Times New Roman"/>
          <w:lang w:val="sk"/>
        </w:rPr>
        <w:t>, TSH).</w:t>
      </w:r>
    </w:p>
    <w:p w14:paraId="3D0028F1" w14:textId="77777777" w:rsidR="002D601F" w:rsidRPr="00BA4201" w:rsidRDefault="002D601F" w:rsidP="0064086B">
      <w:pPr>
        <w:spacing w:before="19" w:after="0" w:line="240" w:lineRule="auto"/>
        <w:ind w:right="12"/>
        <w:rPr>
          <w:rFonts w:ascii="Times New Roman" w:hAnsi="Times New Roman" w:cs="Times New Roman"/>
          <w:lang w:val="sk"/>
        </w:rPr>
      </w:pPr>
    </w:p>
    <w:p w14:paraId="3D0028F2"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 výnimkou novorodencov, u ktorých je dôležitá rýchla substitúcia, má liečba hormónmi štítnej žľazy začať nízkou dávkou, ktorú je potrebné postupne zvyšovať každé 2 až 4 týždne, až kým sa nedosiahne plná udržiavacia dávka.</w:t>
      </w:r>
    </w:p>
    <w:p w14:paraId="3D0028F3" w14:textId="77777777" w:rsidR="002D601F" w:rsidRPr="00BA4201" w:rsidRDefault="002D601F" w:rsidP="0064086B">
      <w:pPr>
        <w:spacing w:before="3" w:after="0" w:line="240" w:lineRule="auto"/>
        <w:ind w:right="12"/>
        <w:rPr>
          <w:rFonts w:ascii="Times New Roman" w:hAnsi="Times New Roman" w:cs="Times New Roman"/>
          <w:lang w:val="sk"/>
        </w:rPr>
      </w:pPr>
    </w:p>
    <w:p w14:paraId="3D0028F4" w14:textId="4C86FD9B"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Starším pacientom, pacientom s </w:t>
      </w:r>
      <w:r w:rsidR="00262EBD">
        <w:rPr>
          <w:rFonts w:ascii="Times New Roman" w:eastAsia="Times New Roman" w:hAnsi="Times New Roman" w:cs="Times New Roman"/>
          <w:lang w:val="sk"/>
        </w:rPr>
        <w:t>ischemickou chorobou</w:t>
      </w:r>
      <w:r w:rsidRPr="00262EBD">
        <w:rPr>
          <w:rFonts w:ascii="Times New Roman" w:eastAsia="Times New Roman" w:hAnsi="Times New Roman" w:cs="Times New Roman"/>
          <w:lang w:val="sk"/>
        </w:rPr>
        <w:t xml:space="preserve"> srdca</w:t>
      </w:r>
      <w:r w:rsidRPr="0064086B">
        <w:rPr>
          <w:rFonts w:ascii="Times New Roman" w:eastAsia="Times New Roman" w:hAnsi="Times New Roman" w:cs="Times New Roman"/>
          <w:lang w:val="sk"/>
        </w:rPr>
        <w:t xml:space="preserve"> a pacientom so závažnou alebo </w:t>
      </w:r>
      <w:r w:rsidRPr="0064086B">
        <w:rPr>
          <w:rFonts w:ascii="Times New Roman" w:eastAsia="Times New Roman" w:hAnsi="Times New Roman" w:cs="Times New Roman"/>
          <w:lang w:val="sk"/>
        </w:rPr>
        <w:lastRenderedPageBreak/>
        <w:t>dlhotrvajúcou hypotyreózou je potrebné venovať zvláštnu pozornosť na začiatku liečby hormónmi štítnej žľazy. Má sa podať nízka počiatočná dávka (napr. 13 mikrogramov/deň) a táto dávka sa má pomaly zvyšovať v dlhších intervaloch (napr. postupné zvyšovanie dennej dávky o 13 mikrogramov každých 14 dní) pri častom monitorovaní hladín hormónov štítnej žľazy. Musí sa zvážiť podanie nižšej než optimálnej dávky poskytujúcej úplnú substitučnú liečbu.</w:t>
      </w:r>
    </w:p>
    <w:p w14:paraId="3D0028F5" w14:textId="77777777" w:rsidR="002D601F" w:rsidRPr="0064086B" w:rsidRDefault="002D601F" w:rsidP="0064086B">
      <w:pPr>
        <w:spacing w:before="2" w:after="0" w:line="240" w:lineRule="auto"/>
        <w:ind w:right="12"/>
        <w:rPr>
          <w:rFonts w:ascii="Times New Roman" w:hAnsi="Times New Roman" w:cs="Times New Roman"/>
          <w:lang w:val="sk"/>
        </w:rPr>
      </w:pPr>
    </w:p>
    <w:p w14:paraId="3D0028F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Skúsenosť ukázala, že nižšie dávky sú dostatočné aj u pacientov s nižšou telesnou hmotnosťou a u pacientov s veľkou adenomatóznou strumou.</w:t>
      </w:r>
    </w:p>
    <w:p w14:paraId="3D0028F7" w14:textId="77777777" w:rsidR="002D601F" w:rsidRPr="0064086B" w:rsidRDefault="002D601F" w:rsidP="0064086B">
      <w:pPr>
        <w:spacing w:before="19" w:after="0" w:line="240" w:lineRule="auto"/>
        <w:ind w:right="12"/>
        <w:rPr>
          <w:rFonts w:ascii="Times New Roman" w:hAnsi="Times New Roman" w:cs="Times New Roman"/>
          <w:lang w:val="sk"/>
        </w:rPr>
      </w:pPr>
    </w:p>
    <w:p w14:paraId="3D0028F8" w14:textId="77777777" w:rsidR="00AD5D79" w:rsidRPr="0064086B" w:rsidRDefault="00AD5D79" w:rsidP="0064086B">
      <w:pPr>
        <w:spacing w:after="0" w:line="240" w:lineRule="auto"/>
        <w:ind w:right="12"/>
        <w:rPr>
          <w:rFonts w:ascii="Times New Roman" w:eastAsia="Times New Roman" w:hAnsi="Times New Roman" w:cs="Times New Roman"/>
          <w:i/>
          <w:spacing w:val="-1"/>
        </w:rPr>
      </w:pPr>
      <w:r w:rsidRPr="0064086B">
        <w:rPr>
          <w:rFonts w:ascii="Times New Roman" w:eastAsia="Times New Roman" w:hAnsi="Times New Roman" w:cs="Times New Roman"/>
          <w:i/>
          <w:iCs/>
          <w:lang w:val="sk"/>
        </w:rPr>
        <w:t>Dospelí:</w:t>
      </w:r>
    </w:p>
    <w:p w14:paraId="3D0028F9" w14:textId="77777777" w:rsidR="00AD5D79" w:rsidRPr="0064086B" w:rsidRDefault="00AD5D79" w:rsidP="0064086B">
      <w:pPr>
        <w:spacing w:after="0" w:line="240" w:lineRule="auto"/>
        <w:ind w:right="12"/>
        <w:rPr>
          <w:rFonts w:ascii="Times New Roman" w:eastAsia="Times New Roman" w:hAnsi="Times New Roman" w:cs="Times New Roman"/>
          <w:spacing w:val="-1"/>
        </w:rPr>
      </w:pPr>
    </w:p>
    <w:p w14:paraId="3D0028FB" w14:textId="4AFE08B5"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Dávka: pozri tabuľku.</w:t>
      </w:r>
    </w:p>
    <w:p w14:paraId="3D0028FC" w14:textId="77777777" w:rsidR="002D601F" w:rsidRPr="0064086B" w:rsidRDefault="002D601F" w:rsidP="0064086B">
      <w:pPr>
        <w:spacing w:before="3" w:after="0" w:line="240" w:lineRule="auto"/>
        <w:ind w:right="12"/>
        <w:rPr>
          <w:rFonts w:ascii="Times New Roman" w:hAnsi="Times New Roman" w:cs="Times New Roman"/>
        </w:rPr>
      </w:pPr>
    </w:p>
    <w:tbl>
      <w:tblPr>
        <w:tblW w:w="9367" w:type="dxa"/>
        <w:tblInd w:w="96" w:type="dxa"/>
        <w:tblLayout w:type="fixed"/>
        <w:tblCellMar>
          <w:left w:w="0" w:type="dxa"/>
          <w:right w:w="0" w:type="dxa"/>
        </w:tblCellMar>
        <w:tblLook w:val="01E0" w:firstRow="1" w:lastRow="1" w:firstColumn="1" w:lastColumn="1" w:noHBand="0" w:noVBand="0"/>
      </w:tblPr>
      <w:tblGrid>
        <w:gridCol w:w="4683"/>
        <w:gridCol w:w="4684"/>
      </w:tblGrid>
      <w:tr w:rsidR="0064086B" w:rsidRPr="0064086B" w14:paraId="3D0028F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8F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Indikácia</w:t>
            </w:r>
          </w:p>
        </w:tc>
        <w:tc>
          <w:tcPr>
            <w:tcW w:w="4684" w:type="dxa"/>
            <w:tcBorders>
              <w:top w:val="single" w:sz="4" w:space="0" w:color="000000"/>
              <w:left w:val="single" w:sz="4" w:space="0" w:color="000000"/>
              <w:bottom w:val="single" w:sz="4" w:space="0" w:color="000000"/>
              <w:right w:val="single" w:sz="4" w:space="0" w:color="000000"/>
            </w:tcBorders>
          </w:tcPr>
          <w:p w14:paraId="3D0028FE"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Odporúčaná dávka (množstvo mikrogramov sodnej soli levotyroxínu/deň)</w:t>
            </w:r>
          </w:p>
        </w:tc>
      </w:tr>
      <w:tr w:rsidR="0064086B" w:rsidRPr="0064086B" w14:paraId="3D00290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0" w14:textId="77777777" w:rsidR="002D601F" w:rsidRPr="0064086B" w:rsidRDefault="009926D1" w:rsidP="0064086B">
            <w:pPr>
              <w:spacing w:before="2"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lang w:val="sk"/>
              </w:rPr>
              <w:t>Benígna struma s eutyroidnou funkciou</w:t>
            </w:r>
          </w:p>
        </w:tc>
        <w:tc>
          <w:tcPr>
            <w:tcW w:w="4684" w:type="dxa"/>
            <w:tcBorders>
              <w:top w:val="single" w:sz="4" w:space="0" w:color="000000"/>
              <w:left w:val="single" w:sz="4" w:space="0" w:color="000000"/>
              <w:bottom w:val="single" w:sz="4" w:space="0" w:color="000000"/>
              <w:right w:val="single" w:sz="4" w:space="0" w:color="000000"/>
            </w:tcBorders>
          </w:tcPr>
          <w:p w14:paraId="3D002901" w14:textId="6735B33C"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5"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3" w14:textId="77777777" w:rsidR="002D601F" w:rsidRPr="0064086B" w:rsidRDefault="009926D1" w:rsidP="0064086B">
            <w:pPr>
              <w:spacing w:before="2"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Profylaxia rekurentnej strumy po resekcii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04" w14:textId="168872B1"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b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C"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6"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Substitučná liečba hormónmi štítnej žľazy pri hypotyreóze</w:t>
            </w:r>
          </w:p>
          <w:p w14:paraId="3D002907"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počiatočná dávka</w:t>
            </w:r>
          </w:p>
          <w:p w14:paraId="3D002908"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udržiavacia dávka</w:t>
            </w:r>
          </w:p>
        </w:tc>
        <w:tc>
          <w:tcPr>
            <w:tcW w:w="4684" w:type="dxa"/>
            <w:tcBorders>
              <w:top w:val="single" w:sz="4" w:space="0" w:color="000000"/>
              <w:left w:val="single" w:sz="4" w:space="0" w:color="000000"/>
              <w:bottom w:val="single" w:sz="4" w:space="0" w:color="000000"/>
              <w:right w:val="single" w:sz="4" w:space="0" w:color="000000"/>
            </w:tcBorders>
          </w:tcPr>
          <w:p w14:paraId="3D002909" w14:textId="77777777" w:rsidR="002D601F" w:rsidRPr="0064086B" w:rsidRDefault="002D601F" w:rsidP="0064086B">
            <w:pPr>
              <w:spacing w:before="19" w:after="0" w:line="240" w:lineRule="auto"/>
              <w:ind w:right="12"/>
              <w:rPr>
                <w:rFonts w:ascii="Times New Roman" w:hAnsi="Times New Roman" w:cs="Times New Roman"/>
              </w:rPr>
            </w:pPr>
          </w:p>
          <w:p w14:paraId="53CB076F" w14:textId="77777777" w:rsidR="00D72148" w:rsidRDefault="00D72148" w:rsidP="0064086B">
            <w:pPr>
              <w:spacing w:after="0" w:line="240" w:lineRule="auto"/>
              <w:ind w:right="12"/>
              <w:rPr>
                <w:rFonts w:ascii="Times New Roman" w:eastAsia="Times New Roman" w:hAnsi="Times New Roman" w:cs="Times New Roman"/>
                <w:lang w:val="sk"/>
              </w:rPr>
            </w:pPr>
          </w:p>
          <w:p w14:paraId="3D00290A" w14:textId="002CDA9A"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25</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50</w:t>
            </w:r>
          </w:p>
          <w:p w14:paraId="3D00290B" w14:textId="0D47E70A"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100</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Podporná terapia k tyreostatickej liečbe hypertyreózy</w:t>
            </w:r>
          </w:p>
        </w:tc>
        <w:tc>
          <w:tcPr>
            <w:tcW w:w="4684" w:type="dxa"/>
            <w:tcBorders>
              <w:top w:val="single" w:sz="4" w:space="0" w:color="000000"/>
              <w:left w:val="single" w:sz="4" w:space="0" w:color="000000"/>
              <w:bottom w:val="single" w:sz="4" w:space="0" w:color="000000"/>
              <w:right w:val="single" w:sz="4" w:space="0" w:color="000000"/>
            </w:tcBorders>
          </w:tcPr>
          <w:p w14:paraId="3D00290E" w14:textId="4AD9DD27"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br/>
              <w:t>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100</w:t>
            </w:r>
          </w:p>
        </w:tc>
      </w:tr>
      <w:tr w:rsidR="0064086B" w:rsidRPr="0064086B" w14:paraId="3D00291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0"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Supresívna liečba malígneho nádoru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1" w14:textId="7D8996AD" w:rsidR="002D601F"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t>150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300</w:t>
            </w:r>
          </w:p>
        </w:tc>
      </w:tr>
      <w:tr w:rsidR="002D601F" w:rsidRPr="0064086B" w14:paraId="3D002917"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3"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Diagnostické použitie na supresný test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4" w14:textId="78AF4351"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2</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100 alebo 1</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p w14:paraId="3D002916" w14:textId="4CE72AF7"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(po dobu 14 dní pred scintigrafickým vyšetrením)</w:t>
            </w:r>
          </w:p>
        </w:tc>
      </w:tr>
    </w:tbl>
    <w:p w14:paraId="3D00291A" w14:textId="77777777" w:rsidR="000453F2" w:rsidRPr="0064086B" w:rsidRDefault="000453F2" w:rsidP="0064086B">
      <w:pPr>
        <w:spacing w:after="0" w:line="240" w:lineRule="auto"/>
        <w:ind w:right="12"/>
        <w:rPr>
          <w:rFonts w:ascii="Times New Roman" w:eastAsia="Times New Roman" w:hAnsi="Times New Roman" w:cs="Times New Roman"/>
          <w:i/>
          <w:spacing w:val="-4"/>
        </w:rPr>
      </w:pPr>
    </w:p>
    <w:p w14:paraId="3D00291B" w14:textId="77777777" w:rsidR="002D601F" w:rsidRPr="0064086B" w:rsidRDefault="005B7ACA" w:rsidP="0064086B">
      <w:pPr>
        <w:spacing w:after="0" w:line="240" w:lineRule="auto"/>
        <w:ind w:right="12"/>
        <w:rPr>
          <w:rFonts w:ascii="Times New Roman" w:eastAsia="Times New Roman" w:hAnsi="Times New Roman" w:cs="Times New Roman"/>
          <w:i/>
          <w:spacing w:val="-4"/>
        </w:rPr>
      </w:pPr>
      <w:r w:rsidRPr="0064086B">
        <w:rPr>
          <w:rFonts w:ascii="Times New Roman" w:eastAsia="Times New Roman" w:hAnsi="Times New Roman" w:cs="Times New Roman"/>
          <w:i/>
          <w:iCs/>
          <w:lang w:val="sk"/>
        </w:rPr>
        <w:t>Pediatrická populácia</w:t>
      </w:r>
    </w:p>
    <w:p w14:paraId="3D00291C" w14:textId="77777777" w:rsidR="002D601F" w:rsidRPr="0064086B" w:rsidRDefault="002D601F" w:rsidP="0064086B">
      <w:pPr>
        <w:spacing w:after="0" w:line="240" w:lineRule="auto"/>
        <w:ind w:right="12"/>
        <w:rPr>
          <w:rFonts w:ascii="Times New Roman" w:eastAsia="Times New Roman" w:hAnsi="Times New Roman" w:cs="Times New Roman"/>
          <w:spacing w:val="-4"/>
        </w:rPr>
      </w:pPr>
    </w:p>
    <w:p w14:paraId="3D00291D" w14:textId="77777777" w:rsidR="005B7ACA"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lang w:val="sk"/>
        </w:rPr>
        <w:t>Udržiavacia dávka je zvyčajne 100 až 150 mikrogramov na m² plochy povrchu tela.</w:t>
      </w:r>
    </w:p>
    <w:p w14:paraId="3D00291E" w14:textId="77777777" w:rsidR="005B7ACA" w:rsidRPr="0064086B" w:rsidRDefault="005B7ACA" w:rsidP="0064086B">
      <w:pPr>
        <w:spacing w:after="0" w:line="240" w:lineRule="auto"/>
        <w:ind w:right="12"/>
        <w:rPr>
          <w:rFonts w:ascii="Times New Roman" w:eastAsia="Times New Roman" w:hAnsi="Times New Roman" w:cs="Times New Roman"/>
          <w:spacing w:val="-4"/>
        </w:rPr>
      </w:pPr>
    </w:p>
    <w:p w14:paraId="3D00291F"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novorodencov a dojčatá s vrodenou hypotyreózou, u ktorých je dôležitá rýchla substitúcia, je počiatočná odporúčaná dávka 10 až 15 mikrogramov na kg telesnej hmotnosti (</w:t>
      </w:r>
      <w:r w:rsidRPr="0064086B">
        <w:rPr>
          <w:rFonts w:ascii="Times New Roman" w:eastAsia="Times New Roman" w:hAnsi="Times New Roman" w:cs="Times New Roman"/>
          <w:i/>
          <w:iCs/>
          <w:lang w:val="sk"/>
        </w:rPr>
        <w:t>body weight</w:t>
      </w:r>
      <w:r w:rsidRPr="0064086B">
        <w:rPr>
          <w:rFonts w:ascii="Times New Roman" w:eastAsia="Times New Roman" w:hAnsi="Times New Roman" w:cs="Times New Roman"/>
          <w:lang w:val="sk"/>
        </w:rPr>
        <w:t>, BW) denne počas prvých 3 mesiacov. Potom sa dávka upravuje individuálne na základe klinických nálezov a hladín hormónov štítnej žľazy a TSH.</w:t>
      </w:r>
    </w:p>
    <w:p w14:paraId="3D002920"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1" w14:textId="77777777" w:rsidR="002D601F"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deti so získanou hypotyreózou je počiatočná odporúčaná dávka 13 až 50 mikrogramov denne. Dávka sa má zvyšovať postupne každé 2 až 4 týždne na základe klinických nálezov a hladín hormónov štítnej žľazy a TSH, až kým sa nedosiahne dávka na úplnú substitúciu.</w:t>
      </w:r>
    </w:p>
    <w:p w14:paraId="3D002922"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3" w14:textId="77777777" w:rsidR="005B7ACA" w:rsidRPr="0064086B" w:rsidRDefault="005B7ACA" w:rsidP="0064086B">
      <w:pPr>
        <w:spacing w:after="0" w:line="240" w:lineRule="auto"/>
        <w:ind w:right="12"/>
        <w:rPr>
          <w:rFonts w:ascii="Times New Roman" w:eastAsia="Times New Roman" w:hAnsi="Times New Roman" w:cs="Times New Roman"/>
          <w:i/>
          <w:spacing w:val="1"/>
          <w:lang w:val="sk"/>
        </w:rPr>
      </w:pPr>
      <w:r w:rsidRPr="0064086B">
        <w:rPr>
          <w:rFonts w:ascii="Times New Roman" w:eastAsia="Times New Roman" w:hAnsi="Times New Roman" w:cs="Times New Roman"/>
          <w:i/>
          <w:iCs/>
          <w:lang w:val="sk"/>
        </w:rPr>
        <w:t>Dĺžka liečby</w:t>
      </w:r>
    </w:p>
    <w:p w14:paraId="3D002924"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5"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hypotyreóze, strumektómii alebo tyreoidektómii malígneho nádoru štítnej žľazy a profylaxii rekurentnej strumy po resekcii štítnej žľazy je liečba zvyčajne celoživotná. Podporná terapia k liečbe hypertyreózy je indikovaná na obdobie, počas ktorého sa podávajú tyreostatiká.</w:t>
      </w:r>
    </w:p>
    <w:p w14:paraId="3D002926"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7"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benígnej strume s eutyroidnou funkciou je potrebná dĺžka liečby 6 mesiacov až 2 roky. Ak nebola medikamentózna liečba počas tohto obdobia dostatočne účinná, je potrebné zvážiť chirurgickú liečbu strumy alebo liečbu rádiojódom.</w:t>
      </w:r>
    </w:p>
    <w:p w14:paraId="3D002928" w14:textId="77777777" w:rsidR="005B7ACA" w:rsidRPr="0064086B" w:rsidRDefault="005B7ACA" w:rsidP="0064086B">
      <w:pPr>
        <w:spacing w:after="0" w:line="240" w:lineRule="auto"/>
        <w:ind w:right="12"/>
        <w:rPr>
          <w:rFonts w:ascii="Times New Roman" w:eastAsia="Times New Roman" w:hAnsi="Times New Roman" w:cs="Times New Roman"/>
          <w:lang w:val="sk"/>
        </w:rPr>
      </w:pPr>
    </w:p>
    <w:p w14:paraId="3D002929" w14:textId="77777777" w:rsidR="005B7ACA" w:rsidRPr="0064086B" w:rsidRDefault="005B7ACA" w:rsidP="0064086B">
      <w:pPr>
        <w:spacing w:after="0" w:line="240" w:lineRule="auto"/>
        <w:ind w:right="12"/>
        <w:rPr>
          <w:rFonts w:ascii="Times New Roman" w:eastAsia="Times New Roman" w:hAnsi="Times New Roman" w:cs="Times New Roman"/>
          <w:u w:val="single"/>
          <w:lang w:val="sk"/>
        </w:rPr>
      </w:pPr>
      <w:r w:rsidRPr="0064086B">
        <w:rPr>
          <w:rFonts w:ascii="Times New Roman" w:eastAsia="Times New Roman" w:hAnsi="Times New Roman" w:cs="Times New Roman"/>
          <w:u w:val="single"/>
          <w:lang w:val="sk"/>
        </w:rPr>
        <w:t>Spôsob podávania</w:t>
      </w:r>
    </w:p>
    <w:p w14:paraId="3D00292A"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2B"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lastRenderedPageBreak/>
        <w:t>Celková denná dávka levotyroxínu sa najlepšie užíva ako jedna dávka, ráno nalačno, najmenej pol hodiny pred raňajkami.</w:t>
      </w:r>
    </w:p>
    <w:p w14:paraId="3D00292C"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Dojčatám sa podáva celková denná dávka najmenej pol hodiny pred prvým jedlom daného dňa.</w:t>
      </w:r>
    </w:p>
    <w:p w14:paraId="3D00292D" w14:textId="2B3A5F2A" w:rsidR="005B7ACA" w:rsidRPr="0064086B" w:rsidRDefault="00205C17" w:rsidP="0064086B">
      <w:pPr>
        <w:spacing w:after="0" w:line="240" w:lineRule="auto"/>
        <w:ind w:right="12"/>
        <w:rPr>
          <w:rFonts w:ascii="Times New Roman" w:eastAsia="Times New Roman" w:hAnsi="Times New Roman" w:cs="Times New Roman"/>
          <w:spacing w:val="-4"/>
          <w:lang w:val="pt-BR"/>
        </w:rPr>
      </w:pPr>
      <w:proofErr w:type="spellStart"/>
      <w:r>
        <w:rPr>
          <w:rFonts w:ascii="Times New Roman" w:eastAsia="Times New Roman" w:hAnsi="Times New Roman" w:cs="Times New Roman"/>
          <w:lang w:val="sk"/>
        </w:rPr>
        <w:t>Tirosintsol</w:t>
      </w:r>
      <w:proofErr w:type="spellEnd"/>
      <w:r w:rsidR="00016AF3" w:rsidRPr="0064086B">
        <w:rPr>
          <w:rFonts w:ascii="Times New Roman" w:eastAsia="Times New Roman" w:hAnsi="Times New Roman" w:cs="Times New Roman"/>
          <w:lang w:val="sk"/>
        </w:rPr>
        <w:t xml:space="preserve"> sa môže podávať vo vode alebo priamo do úst:</w:t>
      </w:r>
    </w:p>
    <w:p w14:paraId="3D00292E" w14:textId="79619776"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Pre podanie roztoku vo vode sa má obsah jedného jednodávkového obalu vytlačiť do pohára alebo šálky vody. Zriedený roztok sa má zamiešať a ihneď užiť. Pohár alebo šálka sa majú opláchnuť ďalšou vodou a obsah sa má užiť, aby sa zabezpečilo podanie celkovej dávky.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sa nesmie riediť v médiu inom ako voda. Jednodávkový obal sa má otvoriť a roztok pripraviť bezprostredne pred užitím.</w:t>
      </w:r>
    </w:p>
    <w:p w14:paraId="3D00292F" w14:textId="77777777"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priame podanie roztoku (bez vody) sa má obsah jednodávkového obalu buď vytlačiť do úst alebo na lyžicu a ihneď užiť; u novorodencov a dojčiat sa má obsah jednodávkového obalu vytlačiť na vnútornú stranu líca alebo na lyžičku a ihneď užiť.</w:t>
      </w:r>
    </w:p>
    <w:p w14:paraId="3D002930" w14:textId="77777777" w:rsidR="00F83558"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Pre uvoľnenie roztoku z jednodávkového obalu sa má po otočení vrchného uzáveru obal otočiť hore dnom a stredná, mäkšia časť obalu sa má stlačiť medzi prvým prstom a palcom, potom sa má tlak uvoľniť </w:t>
      </w:r>
      <w:r w:rsidRPr="0064086B">
        <w:rPr>
          <w:rFonts w:ascii="Times New Roman" w:eastAsia="Times New Roman" w:hAnsi="Times New Roman" w:cs="Times New Roman"/>
          <w:b/>
          <w:bCs/>
          <w:lang w:val="sk"/>
        </w:rPr>
        <w:t>na niekoľko sekúnd</w:t>
      </w:r>
      <w:r w:rsidRPr="0064086B">
        <w:rPr>
          <w:rFonts w:ascii="Times New Roman" w:eastAsia="Times New Roman" w:hAnsi="Times New Roman" w:cs="Times New Roman"/>
          <w:lang w:val="sk"/>
        </w:rPr>
        <w:t xml:space="preserve">. </w:t>
      </w:r>
    </w:p>
    <w:p w14:paraId="3D002931" w14:textId="4E244B58" w:rsidR="008E296D"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Pri držaní obalu hore dnom sa má tento krok opakovať </w:t>
      </w:r>
      <w:r w:rsidRPr="0064086B">
        <w:rPr>
          <w:rFonts w:ascii="Times New Roman" w:eastAsia="Times New Roman" w:hAnsi="Times New Roman" w:cs="Times New Roman"/>
          <w:b/>
          <w:bCs/>
          <w:lang w:val="sk"/>
        </w:rPr>
        <w:t>minimálne 5</w:t>
      </w:r>
      <w:r w:rsidR="002976EF" w:rsidRPr="002976EF">
        <w:rPr>
          <w:rFonts w:ascii="Times New Roman" w:eastAsia="Times New Roman" w:hAnsi="Times New Roman" w:cs="Times New Roman"/>
          <w:b/>
          <w:bCs/>
          <w:lang w:val="sk"/>
        </w:rPr>
        <w:noBreakHyphen/>
      </w:r>
      <w:r w:rsidRPr="0064086B">
        <w:rPr>
          <w:rFonts w:ascii="Times New Roman" w:eastAsia="Times New Roman" w:hAnsi="Times New Roman" w:cs="Times New Roman"/>
          <w:b/>
          <w:bCs/>
          <w:lang w:val="sk"/>
        </w:rPr>
        <w:t>krát, kým z obalu nevyjde žiadny tekutý liek</w:t>
      </w:r>
      <w:r w:rsidRPr="0064086B">
        <w:rPr>
          <w:rFonts w:ascii="Times New Roman" w:eastAsia="Times New Roman" w:hAnsi="Times New Roman" w:cs="Times New Roman"/>
          <w:lang w:val="sk"/>
        </w:rPr>
        <w:t>.</w:t>
      </w:r>
    </w:p>
    <w:p w14:paraId="3D002932" w14:textId="77777777" w:rsidR="002D601F" w:rsidRPr="0064086B" w:rsidRDefault="002D601F" w:rsidP="0064086B">
      <w:pPr>
        <w:spacing w:after="0" w:line="240" w:lineRule="auto"/>
        <w:ind w:right="12"/>
        <w:rPr>
          <w:rFonts w:ascii="Times New Roman" w:hAnsi="Times New Roman" w:cs="Times New Roman"/>
          <w:lang w:val="sk"/>
        </w:rPr>
      </w:pPr>
    </w:p>
    <w:p w14:paraId="3D00293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4.3</w:t>
      </w:r>
      <w:r w:rsidRPr="0064086B">
        <w:rPr>
          <w:rFonts w:ascii="Times New Roman" w:eastAsia="Times New Roman" w:hAnsi="Times New Roman" w:cs="Times New Roman"/>
          <w:b/>
          <w:bCs/>
          <w:lang w:val="sk"/>
        </w:rPr>
        <w:tab/>
        <w:t>Kontraindikácie</w:t>
      </w:r>
    </w:p>
    <w:p w14:paraId="3D002934" w14:textId="77777777" w:rsidR="002D601F" w:rsidRPr="0064086B" w:rsidRDefault="002D601F" w:rsidP="0064086B">
      <w:pPr>
        <w:spacing w:before="5" w:after="0" w:line="240" w:lineRule="auto"/>
        <w:ind w:right="12"/>
        <w:rPr>
          <w:rFonts w:ascii="Times New Roman" w:hAnsi="Times New Roman" w:cs="Times New Roman"/>
          <w:lang w:val="sk"/>
        </w:rPr>
      </w:pPr>
    </w:p>
    <w:p w14:paraId="3D002935" w14:textId="2FFC7577"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Intolerancia liečiva alebo jednej z pomocných látok obsiahnutých v</w:t>
      </w:r>
      <w:r w:rsidR="00BF1A5E">
        <w:rPr>
          <w:rFonts w:ascii="Times New Roman" w:eastAsia="Times New Roman" w:hAnsi="Times New Roman" w:cs="Times New Roman"/>
          <w:lang w:val="sk"/>
        </w:rPr>
        <w:t xml:space="preserve"> lieku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w:t>
      </w:r>
    </w:p>
    <w:p w14:paraId="3D002936" w14:textId="033329C8"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Neliečená adrenokortikálna insuficiencia, neliečený hypopituitarizmus a neliečená hypertyreóza. Liečba </w:t>
      </w:r>
      <w:r w:rsidR="000C7303">
        <w:rPr>
          <w:rFonts w:ascii="Times New Roman" w:eastAsia="Times New Roman" w:hAnsi="Times New Roman" w:cs="Times New Roman"/>
          <w:lang w:val="sk"/>
        </w:rPr>
        <w:t xml:space="preserve">liekom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sa nesmie začať pri akútnom infarkte myokardu, akútnej myokartitíde alebo akútnej pankartitíde.</w:t>
      </w:r>
    </w:p>
    <w:p w14:paraId="3D002937"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39" w14:textId="738BB69D"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Kombinovaná liečba hypertyreózy levotyroxínom a tyreostatikami nie je indikovaná počas gravidity (pozri časť 4.6).</w:t>
      </w:r>
    </w:p>
    <w:p w14:paraId="3D00293A" w14:textId="77777777" w:rsidR="002D601F" w:rsidRPr="0064086B" w:rsidRDefault="002D601F" w:rsidP="0064086B">
      <w:pPr>
        <w:spacing w:before="5" w:after="0" w:line="240" w:lineRule="auto"/>
        <w:ind w:right="12"/>
        <w:rPr>
          <w:rFonts w:ascii="Times New Roman" w:hAnsi="Times New Roman" w:cs="Times New Roman"/>
          <w:lang w:val="sk"/>
        </w:rPr>
      </w:pPr>
    </w:p>
    <w:p w14:paraId="3D00293B"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4.4</w:t>
      </w:r>
      <w:r w:rsidRPr="0064086B">
        <w:rPr>
          <w:rFonts w:ascii="Times New Roman" w:eastAsia="Times New Roman" w:hAnsi="Times New Roman" w:cs="Times New Roman"/>
          <w:b/>
          <w:bCs/>
          <w:lang w:val="sk"/>
        </w:rPr>
        <w:tab/>
        <w:t>Osobitné upozornenia a opatrenia pri používaní</w:t>
      </w:r>
    </w:p>
    <w:p w14:paraId="3D00293C"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začatím liečby hormónmi štítnej žľazy alebo vykonaním supresného testu štítnej žľazy sa musia vylúčiť alebo liečiť nasledujúce ochorenia alebo zdravotné stavy: koronárna insuficiencia, angína pektoris, artérioskleróza, hypertenzia, hypopituitarizmus a adrenokortikálna insuficiencia. Pred začatím liečby hormónmi štítnej žľazy je potrebné tiež vylúčiť alebo vyliečiť tyreoidálnu autonómiu.</w:t>
      </w:r>
    </w:p>
    <w:p w14:paraId="3D00293D" w14:textId="77777777" w:rsidR="0090745B" w:rsidRPr="0064086B" w:rsidRDefault="0090745B"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začatí liečby levotyroxínom u pacientov s rizikom psychotických porúch sa odporúča začať liečbu nízkou dávkou levotyroxínu a na začiatku liečby ju pomaly zvyšovať. Odporúča sa pacienta sledovať. Ak sa vyskytnú prejavy psychotických porúch, je potrebné zvážiť úpravu dávky levotyroxínu.</w:t>
      </w:r>
    </w:p>
    <w:p w14:paraId="3D00293E" w14:textId="77777777" w:rsidR="002D601F" w:rsidRPr="0064086B" w:rsidRDefault="002D601F" w:rsidP="0064086B">
      <w:pPr>
        <w:spacing w:before="19" w:after="0" w:line="240" w:lineRule="auto"/>
        <w:ind w:right="12"/>
        <w:rPr>
          <w:rFonts w:ascii="Times New Roman" w:hAnsi="Times New Roman" w:cs="Times New Roman"/>
          <w:lang w:val="sk"/>
        </w:rPr>
      </w:pPr>
    </w:p>
    <w:p w14:paraId="3D00293F" w14:textId="26005381"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s </w:t>
      </w:r>
      <w:r w:rsidRPr="00256BEB">
        <w:rPr>
          <w:rFonts w:ascii="Times New Roman" w:eastAsia="Times New Roman" w:hAnsi="Times New Roman" w:cs="Times New Roman"/>
          <w:lang w:val="sk"/>
        </w:rPr>
        <w:t>koronárnou insuficienciou</w:t>
      </w:r>
      <w:r w:rsidRPr="0064086B">
        <w:rPr>
          <w:rFonts w:ascii="Times New Roman" w:eastAsia="Times New Roman" w:hAnsi="Times New Roman" w:cs="Times New Roman"/>
          <w:lang w:val="sk"/>
        </w:rPr>
        <w:t>, zlyh</w:t>
      </w:r>
      <w:r w:rsidR="005D437A">
        <w:rPr>
          <w:rFonts w:ascii="Times New Roman" w:eastAsia="Times New Roman" w:hAnsi="Times New Roman" w:cs="Times New Roman"/>
          <w:lang w:val="sk"/>
        </w:rPr>
        <w:t>ávaním</w:t>
      </w:r>
      <w:r w:rsidRPr="0064086B">
        <w:rPr>
          <w:rFonts w:ascii="Times New Roman" w:eastAsia="Times New Roman" w:hAnsi="Times New Roman" w:cs="Times New Roman"/>
          <w:lang w:val="sk"/>
        </w:rPr>
        <w:t xml:space="preserve"> srdca alebo tachykardickými arytmiami je potrebné sa vyhnúť aj miernej, liekmi indukovanej hypertyreóze. V týchto prípadoch sú preto potrebné časté kontroly hladín hormónov štítnej žľazy.</w:t>
      </w:r>
    </w:p>
    <w:p w14:paraId="3D002940" w14:textId="77777777" w:rsidR="002D601F" w:rsidRPr="0064086B" w:rsidRDefault="002D601F" w:rsidP="0064086B">
      <w:pPr>
        <w:spacing w:before="19" w:after="0" w:line="240" w:lineRule="auto"/>
        <w:ind w:right="12"/>
        <w:rPr>
          <w:rFonts w:ascii="Times New Roman" w:hAnsi="Times New Roman" w:cs="Times New Roman"/>
          <w:lang w:val="sk"/>
        </w:rPr>
      </w:pPr>
    </w:p>
    <w:p w14:paraId="3D00294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sekundárnej hypotyreózy sa musí pred podaním substitučnej liečby najprv stanoviť príčina. V prípade diagnostikovania kompenzovanej adrenokortikálnej insuficiencie a ak je to potrebné, sa musí začať vhodná substitučná liečba.</w:t>
      </w:r>
    </w:p>
    <w:p w14:paraId="3D002942" w14:textId="77777777" w:rsidR="006D0BDA" w:rsidRPr="0064086B" w:rsidRDefault="006D0BDA" w:rsidP="0064086B">
      <w:pPr>
        <w:spacing w:after="0" w:line="240" w:lineRule="auto"/>
        <w:ind w:right="12"/>
        <w:rPr>
          <w:rFonts w:ascii="Times New Roman" w:eastAsia="Times New Roman" w:hAnsi="Times New Roman" w:cs="Times New Roman"/>
          <w:lang w:val="sk"/>
        </w:rPr>
      </w:pPr>
    </w:p>
    <w:p w14:paraId="3D002943" w14:textId="77777777" w:rsidR="006D0BDA" w:rsidRPr="0064086B" w:rsidRDefault="00C1536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Mimoriadna opatrnosť je potrebná pri začatí liečby levotyroxínom u predčasne narodených novorodencov s nízkou pôrodnou hmotnosťou. V dôsledku nezrelej funkcie nadobličiek môže dôjsť k cirkulačnému kolapsu.</w:t>
      </w:r>
    </w:p>
    <w:p w14:paraId="3D002944" w14:textId="77777777" w:rsidR="00EB4B91" w:rsidRPr="0064086B" w:rsidRDefault="00EB4B91" w:rsidP="0064086B">
      <w:pPr>
        <w:spacing w:before="5" w:after="0" w:line="240" w:lineRule="auto"/>
        <w:ind w:right="12"/>
        <w:rPr>
          <w:rFonts w:ascii="Times New Roman" w:hAnsi="Times New Roman" w:cs="Times New Roman"/>
          <w:lang w:val="sk"/>
        </w:rPr>
      </w:pPr>
    </w:p>
    <w:p w14:paraId="3D002945" w14:textId="77777777" w:rsidR="006D0BDA" w:rsidRPr="0064086B" w:rsidRDefault="006D0BD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Opatrnosť sa vyžaduje, ak sa levotyroxín podáva pacientom so známou anamnézou epilepsie. Zriedkavo boli hlásené záchvaty v súvislosti so začatím liečby levotyroxínom a môžu súvisieť s účinkom hormónov štítnej žľazy na prah vzniku záchvatov.</w:t>
      </w:r>
    </w:p>
    <w:p w14:paraId="3D002946" w14:textId="77777777" w:rsidR="002D601F" w:rsidRPr="0064086B" w:rsidRDefault="002D601F" w:rsidP="0064086B">
      <w:pPr>
        <w:spacing w:before="19" w:after="0" w:line="240" w:lineRule="auto"/>
        <w:ind w:right="12"/>
        <w:rPr>
          <w:rFonts w:ascii="Times New Roman" w:hAnsi="Times New Roman" w:cs="Times New Roman"/>
          <w:lang w:val="sk"/>
        </w:rPr>
      </w:pPr>
    </w:p>
    <w:p w14:paraId="3D00294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podozrení na tyreoidálnu autonómiu sa musí vykonať TRH test alebo supresný scintigram.</w:t>
      </w:r>
    </w:p>
    <w:p w14:paraId="3D002948" w14:textId="77777777" w:rsidR="002D601F" w:rsidRPr="0064086B" w:rsidRDefault="002D601F" w:rsidP="0064086B">
      <w:pPr>
        <w:spacing w:before="5" w:after="0" w:line="240" w:lineRule="auto"/>
        <w:ind w:right="12"/>
        <w:rPr>
          <w:rFonts w:ascii="Times New Roman" w:hAnsi="Times New Roman" w:cs="Times New Roman"/>
          <w:lang w:val="sk"/>
        </w:rPr>
      </w:pPr>
    </w:p>
    <w:p w14:paraId="3D00294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postmenopauzálnych žien s hypotyreózou a so zvýšeným rizikom osteoporózy, ktoré dostávajú liečbu levotyroxínom, je potrebné starostlivo sledovať činnosť ich štítnej žľazy, aby sa predišlo suprafyziologickým koncentráciám levotyroxínu v krvi.</w:t>
      </w:r>
    </w:p>
    <w:p w14:paraId="3D00294A" w14:textId="77777777" w:rsidR="002D601F" w:rsidRPr="0064086B" w:rsidRDefault="002D601F" w:rsidP="0064086B">
      <w:pPr>
        <w:spacing w:before="19" w:after="0" w:line="240" w:lineRule="auto"/>
        <w:ind w:right="12"/>
        <w:rPr>
          <w:rFonts w:ascii="Times New Roman" w:hAnsi="Times New Roman" w:cs="Times New Roman"/>
          <w:lang w:val="sk"/>
        </w:rPr>
      </w:pPr>
    </w:p>
    <w:p w14:paraId="3D00294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nesmie podávať pri hypertyroidných metabolických stavoch, s výnimkou podpornej terapie k tyreostatickej liečbe hypertyreózy.</w:t>
      </w:r>
    </w:p>
    <w:p w14:paraId="3D00294C" w14:textId="77777777" w:rsidR="002D601F" w:rsidRPr="0064086B" w:rsidRDefault="002D601F" w:rsidP="0064086B">
      <w:pPr>
        <w:spacing w:before="19" w:after="0" w:line="240" w:lineRule="auto"/>
        <w:ind w:right="12"/>
        <w:rPr>
          <w:rFonts w:ascii="Times New Roman" w:hAnsi="Times New Roman" w:cs="Times New Roman"/>
          <w:lang w:val="sk"/>
        </w:rPr>
      </w:pPr>
    </w:p>
    <w:p w14:paraId="3D00294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Hormóny štítnej žľazy nie sú vhodné na znižovanie telesnej hmotnosti. U eutyreoidných pacientov fyziologické dávky nespôsobujú redukciu telesnej hmotnosti. Suprafyziologické dávky môžu vyvolať závažné alebo dokonca život ohrozujúce nežiaduce účinky, najmä v kombinácii s niektorými liekmi na znižovanie telesnej hmotnosti, napr. sympatomimetikami (pozri časť 4.9).</w:t>
      </w:r>
    </w:p>
    <w:p w14:paraId="3D00294E" w14:textId="77777777" w:rsidR="002D601F" w:rsidRPr="0064086B" w:rsidRDefault="002D601F" w:rsidP="0064086B">
      <w:pPr>
        <w:spacing w:before="19" w:after="0" w:line="240" w:lineRule="auto"/>
        <w:ind w:right="12"/>
        <w:rPr>
          <w:rFonts w:ascii="Times New Roman" w:hAnsi="Times New Roman" w:cs="Times New Roman"/>
          <w:lang w:val="sk"/>
        </w:rPr>
      </w:pPr>
    </w:p>
    <w:p w14:paraId="3D00294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zmeny druhu lieku pri prebiehajúcej liečbe levotyroxínom sa odporúča nastaviť dávkovanie podľa klinickej odpovede pacienta a výsledkov laboratórnych vyšetrení.</w:t>
      </w:r>
    </w:p>
    <w:p w14:paraId="3D002950" w14:textId="77777777" w:rsidR="00C809C5" w:rsidRPr="0064086B" w:rsidRDefault="00C809C5" w:rsidP="0064086B">
      <w:pPr>
        <w:spacing w:after="0" w:line="240" w:lineRule="auto"/>
        <w:ind w:right="12"/>
        <w:rPr>
          <w:rFonts w:ascii="Times New Roman" w:eastAsia="Times New Roman" w:hAnsi="Times New Roman" w:cs="Times New Roman"/>
          <w:lang w:val="sk"/>
        </w:rPr>
      </w:pPr>
    </w:p>
    <w:p w14:paraId="3D002951" w14:textId="77777777" w:rsidR="00C809C5" w:rsidRPr="0064086B" w:rsidRDefault="00C809C5"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 / alebo slabšie kontrolovaná hypotyreóza môže nastať, ak sa súbežne podávajú orlistat a levotyroxín (pozri časť 4.5). Pacientom užívajúcim levotyroxín je vhodné odporučiť, aby sa poradili s lekárom predtým, ako začnú alebo prestanú užívať orlistat alebo zmenia liečbu orlistatom, pretože orlistat a levotyroxín môže byť potrebné užívať v rôznych časoch a môže byť potrebná úprava dávky levotyroxínu. Ďalej sa odporúča sledovať sérové hladiny hormónov.</w:t>
      </w:r>
    </w:p>
    <w:p w14:paraId="3D002952" w14:textId="77777777" w:rsidR="002D601F" w:rsidRPr="0064086B" w:rsidRDefault="002D601F" w:rsidP="0064086B">
      <w:pPr>
        <w:spacing w:before="19" w:after="0" w:line="240" w:lineRule="auto"/>
        <w:ind w:right="12"/>
        <w:rPr>
          <w:rFonts w:ascii="Times New Roman" w:hAnsi="Times New Roman" w:cs="Times New Roman"/>
          <w:lang w:val="sk"/>
        </w:rPr>
      </w:pPr>
    </w:p>
    <w:p w14:paraId="3D00295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Pokyny o diabetických pacientoch a pacientoch s antikoagulačnou liečbou, pozri časť 4.5.</w:t>
      </w:r>
    </w:p>
    <w:p w14:paraId="3D002954" w14:textId="77777777" w:rsidR="002D601F" w:rsidRPr="0064086B" w:rsidRDefault="002D601F" w:rsidP="0064086B">
      <w:pPr>
        <w:spacing w:before="5" w:after="0" w:line="240" w:lineRule="auto"/>
        <w:ind w:right="12"/>
        <w:rPr>
          <w:rFonts w:ascii="Times New Roman" w:hAnsi="Times New Roman" w:cs="Times New Roman"/>
          <w:lang w:val="sk"/>
        </w:rPr>
      </w:pPr>
    </w:p>
    <w:p w14:paraId="3D002955"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4.5</w:t>
      </w:r>
      <w:r w:rsidRPr="0064086B">
        <w:rPr>
          <w:rFonts w:ascii="Times New Roman" w:eastAsia="Times New Roman" w:hAnsi="Times New Roman" w:cs="Times New Roman"/>
          <w:b/>
          <w:bCs/>
          <w:lang w:val="sk"/>
        </w:rPr>
        <w:tab/>
        <w:t>Liekové a iné interakcie</w:t>
      </w:r>
    </w:p>
    <w:p w14:paraId="3D002956" w14:textId="77777777" w:rsidR="002D601F" w:rsidRPr="0064086B" w:rsidRDefault="002D601F" w:rsidP="0064086B">
      <w:pPr>
        <w:spacing w:before="5" w:after="0" w:line="240" w:lineRule="auto"/>
        <w:ind w:right="12"/>
        <w:rPr>
          <w:rFonts w:ascii="Times New Roman" w:hAnsi="Times New Roman" w:cs="Times New Roman"/>
          <w:lang w:val="pt-BR"/>
        </w:rPr>
      </w:pPr>
    </w:p>
    <w:p w14:paraId="3D002957" w14:textId="77777777" w:rsidR="002D601F" w:rsidRPr="0064086B" w:rsidRDefault="009926D1" w:rsidP="0064086B">
      <w:pPr>
        <w:spacing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i/>
          <w:iCs/>
          <w:lang w:val="sk"/>
        </w:rPr>
        <w:t>Antidiabetiká:</w:t>
      </w:r>
    </w:p>
    <w:p w14:paraId="3D002958"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môže znižovať účinok antidiabetík. Z tohto dôvodu sa musia na začiatku liečby hormónmi štítnej žľazy pravidelne kontrolovať hladiny glukózy v krvi a v prípade potreby upraviť dávku antidiabetického lieku.</w:t>
      </w:r>
    </w:p>
    <w:p w14:paraId="3D002959" w14:textId="77777777" w:rsidR="002D601F" w:rsidRPr="0064086B" w:rsidRDefault="002D601F" w:rsidP="0064086B">
      <w:pPr>
        <w:spacing w:before="19" w:after="0" w:line="240" w:lineRule="auto"/>
        <w:ind w:right="12"/>
        <w:rPr>
          <w:rFonts w:ascii="Times New Roman" w:hAnsi="Times New Roman" w:cs="Times New Roman"/>
          <w:lang w:val="sk"/>
        </w:rPr>
      </w:pPr>
    </w:p>
    <w:p w14:paraId="3D00295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Kumarínové deriváty:</w:t>
      </w:r>
    </w:p>
    <w:p w14:paraId="3D00295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Účinok antikoagulačnej liečby sa môže zvýšiť, pretože levotyroxín vytesňuje antikoagulanciá z väzby na plazmatické bielkoviny. Z tohto dôvodu sa musia na začiatku liečby hormónmi štítnej žľazy pravidelne kontrolovať koagulačné parametre a v prípade potreby upraviť dávku antikoagulancia.</w:t>
      </w:r>
    </w:p>
    <w:p w14:paraId="3D00295C" w14:textId="77777777" w:rsidR="002D601F" w:rsidRPr="0064086B" w:rsidRDefault="002D601F" w:rsidP="0064086B">
      <w:pPr>
        <w:spacing w:before="19" w:after="0" w:line="240" w:lineRule="auto"/>
        <w:ind w:right="12"/>
        <w:rPr>
          <w:rFonts w:ascii="Times New Roman" w:hAnsi="Times New Roman" w:cs="Times New Roman"/>
          <w:lang w:val="sk"/>
        </w:rPr>
      </w:pPr>
    </w:p>
    <w:p w14:paraId="3D00295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Kolestyramín, kolestipol:</w:t>
      </w:r>
    </w:p>
    <w:p w14:paraId="3D00295E" w14:textId="5F5EECB5"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Požitie živíc s vlastnosťami iónomeničov, ako je kolestyramín a kolestipol, inhibuje absorpciu levotyroxínu. Levotyroxín sa preto musí užívať 4</w:t>
      </w:r>
      <w:r w:rsidR="002976EF">
        <w:rPr>
          <w:rFonts w:ascii="Times New Roman" w:eastAsia="Times New Roman" w:hAnsi="Times New Roman" w:cs="Times New Roman"/>
          <w:lang w:val="sk"/>
        </w:rPr>
        <w:t> </w:t>
      </w:r>
      <w:r w:rsidR="002976EF">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hodín pred podaním takýchto liekov.</w:t>
      </w:r>
    </w:p>
    <w:p w14:paraId="3D00295F" w14:textId="77777777" w:rsidR="002D601F" w:rsidRPr="0064086B" w:rsidRDefault="002D601F" w:rsidP="0064086B">
      <w:pPr>
        <w:spacing w:before="19" w:after="0" w:line="240" w:lineRule="auto"/>
        <w:ind w:right="12"/>
        <w:rPr>
          <w:rFonts w:ascii="Times New Roman" w:hAnsi="Times New Roman" w:cs="Times New Roman"/>
          <w:lang w:val="sk"/>
        </w:rPr>
      </w:pPr>
    </w:p>
    <w:p w14:paraId="3D002960"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obsahujúce hliník, železo alebo vápnik:</w:t>
      </w:r>
    </w:p>
    <w:p w14:paraId="3D002961"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 liekoch obsahujúcich hliník (antacidá, sukralfát) sa v literatúre uvádza, že môžu znižovať účinok levotyroxínu. Levotyroxín sa preto má podávať najmenej dve hodiny pred podaním liekov obsahujúcich hliník.</w:t>
      </w:r>
    </w:p>
    <w:p w14:paraId="3D00296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To isté platí pre lieky obsahujúce železo a soli vápnika.</w:t>
      </w:r>
    </w:p>
    <w:p w14:paraId="3D002963" w14:textId="77777777" w:rsidR="00EB4B91" w:rsidRPr="0064086B" w:rsidRDefault="00EB4B91" w:rsidP="0064086B">
      <w:pPr>
        <w:spacing w:before="5" w:after="0" w:line="240" w:lineRule="auto"/>
        <w:ind w:right="12"/>
        <w:rPr>
          <w:rFonts w:ascii="Times New Roman" w:hAnsi="Times New Roman" w:cs="Times New Roman"/>
          <w:lang w:val="sk"/>
        </w:rPr>
      </w:pPr>
    </w:p>
    <w:p w14:paraId="3D002964"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Salicyláty, dikumarol, furosemid, klofibrát, fenytoín:</w:t>
      </w:r>
    </w:p>
    <w:p w14:paraId="3D002965"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Salicyláty, dikumarol, furosemid vo vysokých dávkach (250 mg), klofibrát, fenytoín a ďalšie liečivá môžu vytesniť levotyroxín z väzby na plazmatické bielkoviny, následkom čoho stúpne frakcia fT4.</w:t>
      </w:r>
    </w:p>
    <w:p w14:paraId="3D002966" w14:textId="77777777" w:rsidR="002D601F" w:rsidRPr="0064086B" w:rsidRDefault="002D601F" w:rsidP="0064086B">
      <w:pPr>
        <w:spacing w:before="17" w:after="0" w:line="240" w:lineRule="auto"/>
        <w:ind w:right="12"/>
        <w:rPr>
          <w:rFonts w:ascii="Times New Roman" w:hAnsi="Times New Roman" w:cs="Times New Roman"/>
          <w:lang w:val="sk"/>
        </w:rPr>
      </w:pPr>
    </w:p>
    <w:p w14:paraId="3D00296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lastRenderedPageBreak/>
        <w:t>Propyltiouracyl, glukokortikoidy, betasympatolytiká, amiodarón a jód obsahujúce kontrastné látky:</w:t>
      </w:r>
    </w:p>
    <w:p w14:paraId="3D002968" w14:textId="77777777" w:rsidR="002D601F" w:rsidRPr="0064086B" w:rsidRDefault="009926D1" w:rsidP="0064086B">
      <w:pPr>
        <w:spacing w:before="2"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Tieto liečivá inhibujú periférnu konverziu T4 na T3.</w:t>
      </w:r>
    </w:p>
    <w:p w14:paraId="3D002969" w14:textId="77777777" w:rsidR="002D601F" w:rsidRPr="0064086B" w:rsidRDefault="002D601F" w:rsidP="0064086B">
      <w:pPr>
        <w:spacing w:before="5" w:after="0" w:line="240" w:lineRule="auto"/>
        <w:ind w:right="12"/>
        <w:rPr>
          <w:rFonts w:ascii="Times New Roman" w:hAnsi="Times New Roman" w:cs="Times New Roman"/>
          <w:lang w:val="sk"/>
        </w:rPr>
      </w:pPr>
    </w:p>
    <w:p w14:paraId="3D00296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 xml:space="preserve">Amiodarón </w:t>
      </w:r>
      <w:r w:rsidRPr="0064086B">
        <w:rPr>
          <w:rFonts w:ascii="Times New Roman" w:eastAsia="Times New Roman" w:hAnsi="Times New Roman" w:cs="Times New Roman"/>
          <w:lang w:val="sk"/>
        </w:rPr>
        <w:t>môže vzhľadom na vysoký obsah jódu spôsobiť hypertyreózu alebo hypotyreózu. Zvláštna pozornosť sa odporúča v prípade nodulárnej strumy s možnou nerozpoznanou tyreoidálnou autonómiou.</w:t>
      </w:r>
    </w:p>
    <w:p w14:paraId="3D00296B" w14:textId="77777777" w:rsidR="002D601F" w:rsidRPr="0064086B" w:rsidRDefault="002D601F" w:rsidP="0064086B">
      <w:pPr>
        <w:spacing w:before="17" w:after="0" w:line="240" w:lineRule="auto"/>
        <w:ind w:right="12"/>
        <w:rPr>
          <w:rFonts w:ascii="Times New Roman" w:hAnsi="Times New Roman" w:cs="Times New Roman"/>
          <w:lang w:val="sk"/>
        </w:rPr>
      </w:pPr>
    </w:p>
    <w:p w14:paraId="3D00296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Sertralín, chlorochín/proguanil:</w:t>
      </w:r>
    </w:p>
    <w:p w14:paraId="3D00296D"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Tieto liečivá znižujú účinnosť levotyroxínu a zvyšujú hladinu TSH.</w:t>
      </w:r>
    </w:p>
    <w:p w14:paraId="3D00296E" w14:textId="77777777" w:rsidR="002D601F" w:rsidRPr="0064086B" w:rsidRDefault="002D601F" w:rsidP="0064086B">
      <w:pPr>
        <w:spacing w:before="3" w:after="0" w:line="240" w:lineRule="auto"/>
        <w:ind w:right="12"/>
        <w:rPr>
          <w:rFonts w:ascii="Times New Roman" w:hAnsi="Times New Roman" w:cs="Times New Roman"/>
          <w:lang w:val="sk"/>
        </w:rPr>
      </w:pPr>
    </w:p>
    <w:p w14:paraId="3D00296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indukujúce enzýmy:</w:t>
      </w:r>
    </w:p>
    <w:p w14:paraId="3D002970"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Lieky, ktoré môžu indukovať enzýmový systém v pečeni, ako napríklad barbituráty, môžu zvýšiť hepatálny klírens levotyroxínu.</w:t>
      </w:r>
    </w:p>
    <w:p w14:paraId="3D002971" w14:textId="77777777" w:rsidR="002D601F" w:rsidRPr="0064086B" w:rsidRDefault="002D601F" w:rsidP="0064086B">
      <w:pPr>
        <w:spacing w:before="17" w:after="0" w:line="240" w:lineRule="auto"/>
        <w:ind w:right="12"/>
        <w:rPr>
          <w:rFonts w:ascii="Times New Roman" w:hAnsi="Times New Roman" w:cs="Times New Roman"/>
          <w:lang w:val="sk"/>
        </w:rPr>
      </w:pPr>
    </w:p>
    <w:p w14:paraId="3D00297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Estrogény:</w:t>
      </w:r>
    </w:p>
    <w:p w14:paraId="3D002973"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Ženy užívajúce antikoncepčné lieky s obsahom estrogénu alebo ženy po menopauze užívajúce hormonálnu substitučnú liečbu môžu mať zvýšenú potrebu levotyroxínu.</w:t>
      </w:r>
    </w:p>
    <w:p w14:paraId="3D002974" w14:textId="77777777" w:rsidR="002D601F" w:rsidRPr="0064086B" w:rsidRDefault="002D601F" w:rsidP="0064086B">
      <w:pPr>
        <w:spacing w:before="19" w:after="0" w:line="240" w:lineRule="auto"/>
        <w:ind w:right="12"/>
        <w:rPr>
          <w:rFonts w:ascii="Times New Roman" w:hAnsi="Times New Roman" w:cs="Times New Roman"/>
          <w:lang w:val="sk"/>
        </w:rPr>
      </w:pPr>
    </w:p>
    <w:p w14:paraId="3D002975" w14:textId="77777777" w:rsidR="008E296D" w:rsidRPr="0064086B" w:rsidRDefault="008E296D" w:rsidP="0064086B">
      <w:pPr>
        <w:spacing w:before="6" w:after="0" w:line="240" w:lineRule="auto"/>
        <w:ind w:right="12"/>
        <w:rPr>
          <w:rFonts w:ascii="Times New Roman" w:eastAsia="Times New Roman" w:hAnsi="Times New Roman" w:cs="Times New Roman"/>
          <w:i/>
          <w:spacing w:val="2"/>
          <w:lang w:val="sk"/>
        </w:rPr>
      </w:pPr>
      <w:r w:rsidRPr="0064086B">
        <w:rPr>
          <w:rFonts w:ascii="Times New Roman" w:eastAsia="Times New Roman" w:hAnsi="Times New Roman" w:cs="Times New Roman"/>
          <w:i/>
          <w:iCs/>
          <w:lang w:val="sk"/>
        </w:rPr>
        <w:t>Inhibítory proteáz</w:t>
      </w:r>
    </w:p>
    <w:p w14:paraId="3D002976" w14:textId="77777777" w:rsidR="008E296D" w:rsidRPr="0064086B" w:rsidRDefault="008E296D" w:rsidP="0064086B">
      <w:pPr>
        <w:spacing w:before="6"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Inhibítory proteáz (napr. ritonavir, indinavir, lopinavir) môžu ovplyvniť účinok levotyroxínu. Odporúča sa starostlivé sledovanie parametrov hormónov štítnej žľazy. V prípade potreby sa musí upraviť dávka levotyroxínu.</w:t>
      </w:r>
    </w:p>
    <w:p w14:paraId="3D002978" w14:textId="77777777" w:rsidR="00EB4B91" w:rsidRPr="0064086B" w:rsidRDefault="00EB4B91" w:rsidP="0064086B">
      <w:pPr>
        <w:spacing w:before="5" w:after="0" w:line="240" w:lineRule="auto"/>
        <w:ind w:right="12"/>
        <w:rPr>
          <w:rFonts w:ascii="Times New Roman" w:hAnsi="Times New Roman" w:cs="Times New Roman"/>
          <w:lang w:val="sk"/>
        </w:rPr>
      </w:pPr>
    </w:p>
    <w:p w14:paraId="3D00297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Sevelamer</w:t>
      </w:r>
    </w:p>
    <w:p w14:paraId="3D00297A" w14:textId="77777777" w:rsidR="002D601F" w:rsidRPr="0064086B" w:rsidRDefault="009926D1" w:rsidP="0064086B">
      <w:pPr>
        <w:spacing w:before="6" w:after="0" w:line="240" w:lineRule="auto"/>
        <w:ind w:right="12"/>
        <w:rPr>
          <w:rFonts w:ascii="Times New Roman" w:eastAsia="Arial" w:hAnsi="Times New Roman" w:cs="Times New Roman"/>
          <w:lang w:val="sk"/>
        </w:rPr>
      </w:pPr>
      <w:r w:rsidRPr="0064086B">
        <w:rPr>
          <w:rFonts w:ascii="Times New Roman" w:hAnsi="Times New Roman" w:cs="Times New Roman"/>
          <w:lang w:val="sk"/>
        </w:rPr>
        <w:t>Existujú hlásenia, že sevelamer môže zvýšiť hladiny TSH u pacientov liečených súbežne sevelamerom a levotyroxínom. U pacientov užívajúcich oba lieky sa preto odporúča pozornejšie monitorovať hladiny TSH.</w:t>
      </w:r>
    </w:p>
    <w:p w14:paraId="3D00297B" w14:textId="77777777" w:rsidR="00A73217" w:rsidRPr="0064086B" w:rsidRDefault="00A73217" w:rsidP="0064086B">
      <w:pPr>
        <w:spacing w:before="6" w:after="0" w:line="240" w:lineRule="auto"/>
        <w:ind w:right="12"/>
        <w:rPr>
          <w:rFonts w:ascii="Times New Roman" w:eastAsia="Arial" w:hAnsi="Times New Roman" w:cs="Times New Roman"/>
          <w:lang w:val="sk"/>
        </w:rPr>
      </w:pPr>
    </w:p>
    <w:p w14:paraId="3D00297C" w14:textId="77777777" w:rsidR="00A73217" w:rsidRPr="0064086B" w:rsidRDefault="00A73217" w:rsidP="0064086B">
      <w:pPr>
        <w:spacing w:before="6" w:after="0" w:line="240" w:lineRule="auto"/>
        <w:ind w:right="12"/>
        <w:rPr>
          <w:rFonts w:ascii="Times New Roman" w:eastAsia="Arial" w:hAnsi="Times New Roman" w:cs="Times New Roman"/>
          <w:i/>
          <w:lang w:val="sk"/>
        </w:rPr>
      </w:pPr>
      <w:r w:rsidRPr="0064086B">
        <w:rPr>
          <w:rFonts w:ascii="Times New Roman" w:eastAsia="Arial" w:hAnsi="Times New Roman" w:cs="Times New Roman"/>
          <w:i/>
          <w:iCs/>
          <w:lang w:val="sk"/>
        </w:rPr>
        <w:t>Inhibítory tyrozínkinázy:</w:t>
      </w:r>
    </w:p>
    <w:p w14:paraId="3D00297D" w14:textId="77777777" w:rsidR="00A73217" w:rsidRPr="0064086B" w:rsidRDefault="00A73217" w:rsidP="0064086B">
      <w:pPr>
        <w:spacing w:before="6" w:after="0" w:line="240" w:lineRule="auto"/>
        <w:ind w:right="12"/>
        <w:rPr>
          <w:rFonts w:ascii="Times New Roman" w:eastAsia="Arial" w:hAnsi="Times New Roman" w:cs="Times New Roman"/>
          <w:lang w:val="sk"/>
        </w:rPr>
      </w:pPr>
      <w:r w:rsidRPr="0064086B">
        <w:rPr>
          <w:rFonts w:ascii="Times New Roman" w:eastAsia="Arial" w:hAnsi="Times New Roman" w:cs="Times New Roman"/>
          <w:lang w:val="sk"/>
        </w:rPr>
        <w:t>Inhibítory tyrozínkinázy (napr. imatinib, sunitinib, sorafenib, motesanib) môžu znižovať účinok levotyroxínu. U pacientov sa preto odporúča sledovať zmeny funkcie štítnej žľazy na začiatku a na konci súbežnej liečby. Ak je to potrebné, dávka sa musí upraviť.</w:t>
      </w:r>
    </w:p>
    <w:p w14:paraId="3D00297E" w14:textId="77777777" w:rsidR="002D601F" w:rsidRPr="0064086B" w:rsidRDefault="002D601F" w:rsidP="0064086B">
      <w:pPr>
        <w:spacing w:before="1" w:after="0" w:line="240" w:lineRule="auto"/>
        <w:ind w:right="12"/>
        <w:rPr>
          <w:rFonts w:ascii="Times New Roman" w:hAnsi="Times New Roman" w:cs="Times New Roman"/>
          <w:lang w:val="sk"/>
        </w:rPr>
      </w:pPr>
    </w:p>
    <w:p w14:paraId="3D00297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Orlistat</w:t>
      </w:r>
    </w:p>
    <w:p w14:paraId="3D002980"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a/alebo slabšie kontrolovaná hypotyreóza môže nastať, ak sa v rovnakom čase užívajú orlistat a levotyroxín. Môže to nastať z dôvodu zníženej absorpcie solí jódu a/alebo levotyroxínu.</w:t>
      </w:r>
    </w:p>
    <w:p w14:paraId="3D00298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začiatkom liečby liekmi s obsahom orlistatu (napr. alli) sa pacienti užívajúci levotyroxín majú poradiť s lekárom, pretože orlistat a levotyroxín môže byť potrebné užívať v rôznych časoch a dávku levotyroxínu bude možno potrebné upraviť.</w:t>
      </w:r>
    </w:p>
    <w:p w14:paraId="3D002982" w14:textId="77777777" w:rsidR="002D601F" w:rsidRPr="0064086B" w:rsidRDefault="002D601F" w:rsidP="0064086B">
      <w:pPr>
        <w:spacing w:before="17" w:after="0" w:line="240" w:lineRule="auto"/>
        <w:ind w:right="12"/>
        <w:rPr>
          <w:rFonts w:ascii="Times New Roman" w:hAnsi="Times New Roman" w:cs="Times New Roman"/>
          <w:lang w:val="sk"/>
        </w:rPr>
      </w:pPr>
    </w:p>
    <w:p w14:paraId="3D00298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Produkty s obsahom sóje:</w:t>
      </w:r>
    </w:p>
    <w:p w14:paraId="3D002984"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Produkty s obsahom sóje môžu znižovať intestinálnu absorpciu levotyroxínu. Môže byť potrebná úprava dávky levotyroxínu, obzvlášť na začiatku liečby alebo po jedle s obsahom sóje.</w:t>
      </w:r>
    </w:p>
    <w:p w14:paraId="3D002985" w14:textId="77777777" w:rsidR="002D601F" w:rsidRPr="0064086B" w:rsidRDefault="002D601F" w:rsidP="0064086B">
      <w:pPr>
        <w:spacing w:before="19" w:after="0" w:line="240" w:lineRule="auto"/>
        <w:ind w:right="12"/>
        <w:rPr>
          <w:rFonts w:ascii="Times New Roman" w:hAnsi="Times New Roman" w:cs="Times New Roman"/>
          <w:lang w:val="sk"/>
        </w:rPr>
      </w:pPr>
    </w:p>
    <w:p w14:paraId="3D00298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4.6</w:t>
      </w:r>
      <w:r w:rsidRPr="0064086B">
        <w:rPr>
          <w:rFonts w:ascii="Times New Roman" w:eastAsia="Times New Roman" w:hAnsi="Times New Roman" w:cs="Times New Roman"/>
          <w:b/>
          <w:bCs/>
          <w:lang w:val="sk"/>
        </w:rPr>
        <w:tab/>
        <w:t>Gravidita a laktácia</w:t>
      </w:r>
    </w:p>
    <w:p w14:paraId="3D002987" w14:textId="77777777" w:rsidR="002D601F" w:rsidRPr="0064086B" w:rsidRDefault="002D601F" w:rsidP="0064086B">
      <w:pPr>
        <w:spacing w:before="5" w:after="0" w:line="240" w:lineRule="auto"/>
        <w:ind w:right="12"/>
        <w:rPr>
          <w:rFonts w:ascii="Times New Roman" w:hAnsi="Times New Roman" w:cs="Times New Roman"/>
          <w:lang w:val="sk"/>
        </w:rPr>
      </w:pPr>
    </w:p>
    <w:p w14:paraId="3D002988" w14:textId="77777777" w:rsidR="00A73217" w:rsidRPr="0064086B" w:rsidRDefault="006A5AA9"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Liečba levotyroxínom sa má predovšetkým počas gravidity a dojčenia podávať dôsledne. Požiadavky na dávkovanie sa môžu počas gravidity dokonca zvýšiť.</w:t>
      </w:r>
    </w:p>
    <w:p w14:paraId="3D002989" w14:textId="77777777" w:rsidR="00A73217" w:rsidRPr="0064086B" w:rsidRDefault="00A73217" w:rsidP="0064086B">
      <w:pPr>
        <w:spacing w:after="0" w:line="240" w:lineRule="auto"/>
        <w:ind w:right="12"/>
        <w:rPr>
          <w:rFonts w:ascii="Times New Roman" w:eastAsia="Times New Roman" w:hAnsi="Times New Roman" w:cs="Times New Roman"/>
          <w:i/>
          <w:lang w:val="sk"/>
        </w:rPr>
      </w:pPr>
    </w:p>
    <w:p w14:paraId="3D00298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Gravidita</w:t>
      </w:r>
    </w:p>
    <w:p w14:paraId="3D00298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Skúsenosti ukázali, že pri odporúčanom dávkovacom rozmedzí počas gravidity nespôsobuje levotyroxín žiadne malformácie ani nemá fetálnu/neonatálnu toxicitu u ľudí. Neonatálny vývin závisí od činnosti štítnej žľazy matky. Tyroxín je nevyhnutný pre vývin mozgu dojčaťa. Z tohto dôvodu sa </w:t>
      </w:r>
      <w:r w:rsidRPr="0064086B">
        <w:rPr>
          <w:rFonts w:ascii="Times New Roman" w:eastAsia="Times New Roman" w:hAnsi="Times New Roman" w:cs="Times New Roman"/>
          <w:lang w:val="sk"/>
        </w:rPr>
        <w:lastRenderedPageBreak/>
        <w:t>v neprerušovanej liečbe hormónmi štítnej žľazy musí pokračovať najmä v gravidite. Počas gravidity môže byť potrebné dávku zvýšiť.</w:t>
      </w:r>
    </w:p>
    <w:p w14:paraId="3D00298C"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p>
    <w:p w14:paraId="3D00298D"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Vzhľadom na to, že zvýšenie sérového TSH sa môže vyskytnúť už v 4. týždni gravidity, u gravidných žien, ktoré užívajú levotyroxín, sa má počas každého trimestra vyšetriť TSH s cieľom potvrdiť, že hodnoty TSH v sére matky sú v rámci referenčného rozsahu špecifického pre každý trimester gravidity. Zvýšená hladina TSH v sére sa má upraviť zvýšením dávky levotyroxínu. Keďže hladiny TSH po pôrode sú podobné hodnotám ako pred počatím, dávka levotyroxínu sa má ihneď po pôrode upraviť na dávku podávanú pred graviditou. Sérová hladina TSH sa má vyšetriť 6 – 8 týždňov po pôrode.</w:t>
      </w:r>
    </w:p>
    <w:p w14:paraId="3D00298E" w14:textId="77777777" w:rsidR="002D601F" w:rsidRPr="0064086B" w:rsidRDefault="002D601F" w:rsidP="0064086B">
      <w:pPr>
        <w:spacing w:before="19" w:after="0" w:line="240" w:lineRule="auto"/>
        <w:ind w:right="12"/>
        <w:rPr>
          <w:rFonts w:ascii="Times New Roman" w:hAnsi="Times New Roman" w:cs="Times New Roman"/>
          <w:lang w:val="sk"/>
        </w:rPr>
      </w:pPr>
    </w:p>
    <w:p w14:paraId="3D00298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Dojčenie</w:t>
      </w:r>
    </w:p>
    <w:p w14:paraId="3D002990"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vylučuje do materského mlieka; avšak koncentrácie dosiahnuté pri odporúčanom rozsahu dávok nie sú dostatočné na vyvolanie hypertyreózy alebo supresie sekrécie TSH u novorodencov. Levotyroxín sa môže užívať počas laktácie.</w:t>
      </w:r>
    </w:p>
    <w:p w14:paraId="3D002991" w14:textId="77777777" w:rsidR="002D601F" w:rsidRPr="0064086B" w:rsidRDefault="002D601F" w:rsidP="0064086B">
      <w:pPr>
        <w:spacing w:before="19" w:after="0" w:line="240" w:lineRule="auto"/>
        <w:ind w:right="12"/>
        <w:rPr>
          <w:rFonts w:ascii="Times New Roman" w:hAnsi="Times New Roman" w:cs="Times New Roman"/>
          <w:lang w:val="sk"/>
        </w:rPr>
      </w:pPr>
    </w:p>
    <w:p w14:paraId="3D00299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Použitie ako podporná liečba s tyreostatikami</w:t>
      </w:r>
    </w:p>
    <w:p w14:paraId="3D002993"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nemá podávať spolu s tyreostatickým liekom pri hypertyreóze počas gravidity. Levotyroxín zvyšuje potrebnú dávku tyreostatík. Keďže tyreostatiká prechádzajú placentou ľahšie ako levotyroxín, kombinovaná liečba môže vyvolať hypotyreózu u plodu. Na liečbu hypertyreózy sa preto majú počas gravidity používať iba tyreostatiká.</w:t>
      </w:r>
    </w:p>
    <w:p w14:paraId="3D002995" w14:textId="77777777" w:rsidR="002D601F" w:rsidRPr="0064086B" w:rsidRDefault="002D601F" w:rsidP="0064086B">
      <w:pPr>
        <w:spacing w:after="0" w:line="240" w:lineRule="auto"/>
        <w:ind w:right="12"/>
        <w:rPr>
          <w:rFonts w:ascii="Times New Roman" w:hAnsi="Times New Roman" w:cs="Times New Roman"/>
          <w:lang w:val="sk"/>
        </w:rPr>
      </w:pPr>
    </w:p>
    <w:p w14:paraId="3D00299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4.7</w:t>
      </w:r>
      <w:r w:rsidRPr="0064086B">
        <w:rPr>
          <w:rFonts w:ascii="Times New Roman" w:eastAsia="Times New Roman" w:hAnsi="Times New Roman" w:cs="Times New Roman"/>
          <w:b/>
          <w:bCs/>
          <w:lang w:val="sk"/>
        </w:rPr>
        <w:tab/>
        <w:t>Ovplyvnenie schopnosti viesť vozidlá a obsluhovať stroje</w:t>
      </w:r>
    </w:p>
    <w:p w14:paraId="3D002997" w14:textId="77777777" w:rsidR="002D601F" w:rsidRPr="0064086B" w:rsidRDefault="002D601F" w:rsidP="0064086B">
      <w:pPr>
        <w:spacing w:before="5" w:after="0" w:line="240" w:lineRule="auto"/>
        <w:ind w:right="12"/>
        <w:rPr>
          <w:rFonts w:ascii="Times New Roman" w:hAnsi="Times New Roman" w:cs="Times New Roman"/>
          <w:lang w:val="sk"/>
        </w:rPr>
      </w:pPr>
    </w:p>
    <w:p w14:paraId="3D002998" w14:textId="5CD67F13"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štúdie o účinkoch na schopnosť viesť vozidlá a obsluhovať stroje. Keďže levotyroxín je identický s prirodzene sa vyskytujúcim hormónom štítnej žľazy, neočakáva sa, že by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mohol ovplyvniť schopnosť viesť vozidlá a obsluhovať stroje.</w:t>
      </w:r>
    </w:p>
    <w:p w14:paraId="3D002999" w14:textId="77777777" w:rsidR="002D601F" w:rsidRPr="0064086B" w:rsidRDefault="002D601F" w:rsidP="0064086B">
      <w:pPr>
        <w:spacing w:before="19" w:after="0" w:line="240" w:lineRule="auto"/>
        <w:ind w:right="12"/>
        <w:rPr>
          <w:rFonts w:ascii="Times New Roman" w:hAnsi="Times New Roman" w:cs="Times New Roman"/>
          <w:lang w:val="sk"/>
        </w:rPr>
      </w:pPr>
    </w:p>
    <w:p w14:paraId="3D00299A"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4.8</w:t>
      </w:r>
      <w:r w:rsidRPr="0064086B">
        <w:rPr>
          <w:rFonts w:ascii="Times New Roman" w:eastAsia="Times New Roman" w:hAnsi="Times New Roman" w:cs="Times New Roman"/>
          <w:b/>
          <w:bCs/>
          <w:lang w:val="sk"/>
        </w:rPr>
        <w:tab/>
        <w:t>Nežiaduce účinky</w:t>
      </w:r>
    </w:p>
    <w:p w14:paraId="3D00299B" w14:textId="77777777" w:rsidR="002D601F" w:rsidRPr="0064086B" w:rsidRDefault="002D601F" w:rsidP="0064086B">
      <w:pPr>
        <w:spacing w:before="5" w:after="0" w:line="240" w:lineRule="auto"/>
        <w:ind w:right="12"/>
        <w:rPr>
          <w:rFonts w:ascii="Times New Roman" w:hAnsi="Times New Roman" w:cs="Times New Roman"/>
          <w:lang w:val="sk"/>
        </w:rPr>
      </w:pPr>
    </w:p>
    <w:p w14:paraId="3D00299C" w14:textId="2BD5D632"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Pri správnom užívaní a sledovaní klinických nálezov a diagnostických laboratórnych hodnôt sa počas liečby </w:t>
      </w:r>
      <w:r w:rsidR="00CC6FA1">
        <w:rPr>
          <w:rFonts w:ascii="Times New Roman" w:eastAsia="Times New Roman" w:hAnsi="Times New Roman" w:cs="Times New Roman"/>
          <w:lang w:val="sk"/>
        </w:rPr>
        <w:t xml:space="preserve">liekom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očakávajú </w:t>
      </w:r>
      <w:r w:rsidR="00CC6FA1">
        <w:rPr>
          <w:rFonts w:ascii="Times New Roman" w:eastAsia="Times New Roman" w:hAnsi="Times New Roman" w:cs="Times New Roman"/>
          <w:lang w:val="sk"/>
        </w:rPr>
        <w:t>zanedbateľné</w:t>
      </w:r>
      <w:r w:rsidRPr="0064086B">
        <w:rPr>
          <w:rFonts w:ascii="Times New Roman" w:eastAsia="Times New Roman" w:hAnsi="Times New Roman" w:cs="Times New Roman"/>
          <w:lang w:val="sk"/>
        </w:rPr>
        <w:t xml:space="preserve"> nežiaduce účinky. Ak nie je tolerovaná sila dávky alebo ak sa kvôli individuálnej potrebe neúmyselne dosiahnu suprafyziologické dávky (t.j. predávkovanie), môžu sa vyskytnúť také príznaky, ktoré sa vyskytujú pri hypertyreóze, ako sú tachykardia, palpitácie, srdcové arytmie, angína pektoris, bolesť hlavy, svalová slabosť a kŕče, návaly tepla, horúčka, vracanie, poruchy menštruácie, pseudotumor cerebri, tremor, vnútorný nepokoj, insomnia, hyperhydróza, úbytok telesnej hmotnosti a hnačka. </w:t>
      </w:r>
    </w:p>
    <w:p w14:paraId="3D00299E" w14:textId="77777777" w:rsidR="002D601F" w:rsidRPr="0064086B" w:rsidRDefault="002D601F" w:rsidP="0064086B">
      <w:pPr>
        <w:spacing w:before="19" w:after="0" w:line="240" w:lineRule="auto"/>
        <w:ind w:right="12"/>
        <w:rPr>
          <w:rFonts w:ascii="Times New Roman" w:hAnsi="Times New Roman" w:cs="Times New Roman"/>
          <w:lang w:val="sk"/>
        </w:rPr>
      </w:pPr>
    </w:p>
    <w:p w14:paraId="3D0029A1" w14:textId="184D236D" w:rsidR="00C15360"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takýchto prípadoch je potrebné dennú dávku znížiť alebo liečbu na niekoľko dní prerušiť. Len čo nežiaduce účinky vymiznú, liečbu je možné obnoviť s opatrným titrovaním dávky.</w:t>
      </w:r>
    </w:p>
    <w:p w14:paraId="3D0029A2" w14:textId="77777777" w:rsidR="00EB4B91" w:rsidRPr="0064086B" w:rsidRDefault="00EB4B91" w:rsidP="0064086B">
      <w:pPr>
        <w:spacing w:after="0" w:line="240" w:lineRule="auto"/>
        <w:ind w:right="12"/>
        <w:rPr>
          <w:rFonts w:ascii="Times New Roman" w:eastAsia="Times New Roman" w:hAnsi="Times New Roman" w:cs="Times New Roman"/>
          <w:lang w:val="sk"/>
        </w:rPr>
      </w:pPr>
    </w:p>
    <w:p w14:paraId="3D0029A3" w14:textId="458701EC"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 prípade precitlivenosti na ktorúkoľvek zložku </w:t>
      </w:r>
      <w:r w:rsidR="00252D19">
        <w:rPr>
          <w:rFonts w:ascii="Times New Roman" w:eastAsia="Times New Roman" w:hAnsi="Times New Roman" w:cs="Times New Roman"/>
          <w:lang w:val="sk"/>
        </w:rPr>
        <w:t xml:space="preserve">lieku </w:t>
      </w:r>
      <w:proofErr w:type="spellStart"/>
      <w:r w:rsidR="00205C17">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sa môžu vyskytnúť alergické reakcie, najmä v oblasti kože a dýchacieho systému.</w:t>
      </w:r>
    </w:p>
    <w:p w14:paraId="3D0029A4" w14:textId="77777777" w:rsidR="003F6B10" w:rsidRPr="0064086B" w:rsidRDefault="003F6B10" w:rsidP="0064086B">
      <w:pPr>
        <w:spacing w:after="0" w:line="240" w:lineRule="auto"/>
        <w:ind w:right="12"/>
        <w:rPr>
          <w:rFonts w:ascii="Times New Roman" w:eastAsia="Times New Roman" w:hAnsi="Times New Roman" w:cs="Times New Roman"/>
          <w:lang w:val="sk"/>
        </w:rPr>
      </w:pPr>
    </w:p>
    <w:p w14:paraId="3D0029A5" w14:textId="77777777" w:rsidR="003F6B10" w:rsidRPr="0064086B" w:rsidRDefault="003F6B10" w:rsidP="0064086B">
      <w:pPr>
        <w:spacing w:after="0" w:line="240" w:lineRule="auto"/>
        <w:ind w:right="12"/>
        <w:rPr>
          <w:rFonts w:ascii="Times New Roman" w:eastAsia="Times New Roman" w:hAnsi="Times New Roman" w:cs="Times New Roman"/>
          <w:b/>
          <w:lang w:val="sk"/>
        </w:rPr>
      </w:pPr>
      <w:r w:rsidRPr="0064086B">
        <w:rPr>
          <w:rFonts w:ascii="Times New Roman" w:eastAsia="Times New Roman" w:hAnsi="Times New Roman" w:cs="Times New Roman"/>
          <w:b/>
          <w:bCs/>
          <w:lang w:val="sk"/>
        </w:rPr>
        <w:t>Hlásenie podozrení na nežiaduce reakcie</w:t>
      </w:r>
    </w:p>
    <w:p w14:paraId="3D0029A6" w14:textId="026E36E0" w:rsidR="003F6B10" w:rsidRPr="007007D1" w:rsidRDefault="003F6B1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Hlásenie podozrení na nežiaduce reakcie po registrácii lieku je dôležité. Umožňuje priebežné monitorovanie pomeru prínosu a rizika lieku. Od zdravotníckych pracovníkov sa vyžaduje, aby hlásili akékoľvek </w:t>
      </w:r>
      <w:r w:rsidRPr="007007D1">
        <w:rPr>
          <w:rFonts w:ascii="Times New Roman" w:eastAsia="Times New Roman" w:hAnsi="Times New Roman" w:cs="Times New Roman"/>
          <w:lang w:val="sk"/>
        </w:rPr>
        <w:t>podozrenia na</w:t>
      </w:r>
      <w:r w:rsidR="007007D1" w:rsidRPr="007007D1">
        <w:rPr>
          <w:rFonts w:ascii="Times New Roman" w:eastAsia="Times New Roman" w:hAnsi="Times New Roman" w:cs="Times New Roman"/>
          <w:lang w:val="sk"/>
        </w:rPr>
        <w:t xml:space="preserve"> </w:t>
      </w:r>
      <w:r w:rsidR="007007D1" w:rsidRPr="00F628D1">
        <w:rPr>
          <w:rFonts w:ascii="Times New Roman" w:hAnsi="Times New Roman" w:cs="Times New Roman"/>
          <w:noProof/>
          <w:highlight w:val="lightGray"/>
          <w:lang w:val="sk"/>
        </w:rPr>
        <w:t>národné centrum hlásenia uvedené v </w:t>
      </w:r>
      <w:hyperlink r:id="rId12" w:history="1">
        <w:r w:rsidR="007007D1" w:rsidRPr="00F628D1">
          <w:rPr>
            <w:rFonts w:ascii="Times New Roman" w:hAnsi="Times New Roman" w:cs="Times New Roman"/>
            <w:noProof/>
            <w:highlight w:val="lightGray"/>
            <w:lang w:val="sk"/>
          </w:rPr>
          <w:t>Prílohe V</w:t>
        </w:r>
      </w:hyperlink>
      <w:r w:rsidR="007007D1" w:rsidRPr="00F628D1">
        <w:rPr>
          <w:rFonts w:ascii="Times New Roman" w:hAnsi="Times New Roman" w:cs="Times New Roman"/>
          <w:noProof/>
          <w:lang w:val="sk"/>
        </w:rPr>
        <w:t>.</w:t>
      </w:r>
    </w:p>
    <w:p w14:paraId="3D0029A8" w14:textId="77777777" w:rsidR="002D601F" w:rsidRPr="0064086B" w:rsidRDefault="002D601F" w:rsidP="0064086B">
      <w:pPr>
        <w:spacing w:before="19" w:after="0" w:line="240" w:lineRule="auto"/>
        <w:ind w:right="12"/>
        <w:rPr>
          <w:rFonts w:ascii="Times New Roman" w:hAnsi="Times New Roman" w:cs="Times New Roman"/>
          <w:lang w:val="sk"/>
        </w:rPr>
      </w:pPr>
    </w:p>
    <w:p w14:paraId="3D0029A9"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4.9</w:t>
      </w:r>
      <w:r w:rsidRPr="0064086B">
        <w:rPr>
          <w:rFonts w:ascii="Times New Roman" w:eastAsia="Times New Roman" w:hAnsi="Times New Roman" w:cs="Times New Roman"/>
          <w:b/>
          <w:bCs/>
          <w:lang w:val="sk"/>
        </w:rPr>
        <w:tab/>
        <w:t>Predávkovanie</w:t>
      </w:r>
    </w:p>
    <w:p w14:paraId="3D0029AA" w14:textId="77777777" w:rsidR="002D601F" w:rsidRPr="0064086B" w:rsidRDefault="002D601F" w:rsidP="0064086B">
      <w:pPr>
        <w:spacing w:before="5" w:after="0" w:line="240" w:lineRule="auto"/>
        <w:ind w:right="12"/>
        <w:rPr>
          <w:rFonts w:ascii="Times New Roman" w:hAnsi="Times New Roman" w:cs="Times New Roman"/>
          <w:lang w:val="sk"/>
        </w:rPr>
      </w:pPr>
    </w:p>
    <w:p w14:paraId="3D0029A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Zvýšená hladina T3 je spoľahlivejším ukazovateľom predávkovania ako zvýšené hladiny T4 alebo fT4.</w:t>
      </w:r>
    </w:p>
    <w:p w14:paraId="3D0029AC" w14:textId="77777777" w:rsidR="002D601F" w:rsidRPr="0064086B" w:rsidRDefault="002D601F" w:rsidP="0064086B">
      <w:pPr>
        <w:spacing w:before="5" w:after="0" w:line="240" w:lineRule="auto"/>
        <w:ind w:right="12"/>
        <w:rPr>
          <w:rFonts w:ascii="Times New Roman" w:hAnsi="Times New Roman" w:cs="Times New Roman"/>
          <w:lang w:val="sk"/>
        </w:rPr>
      </w:pPr>
    </w:p>
    <w:p w14:paraId="3D0029A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predávkovania sa objavia príznaky, ktoré vykazujú výrazné zvýšenie metabolickej aktivity (pozri časť 4.8). V závislosti od rozsahu predávkovania sa odporúča, aby pacient prestal užívať perorálny roztok a podstúpil vyšetrenie.</w:t>
      </w:r>
    </w:p>
    <w:p w14:paraId="3D0029AE" w14:textId="77777777" w:rsidR="002D601F" w:rsidRPr="0064086B" w:rsidRDefault="002D601F" w:rsidP="0064086B">
      <w:pPr>
        <w:spacing w:before="19" w:after="0" w:line="240" w:lineRule="auto"/>
        <w:ind w:right="12"/>
        <w:rPr>
          <w:rFonts w:ascii="Times New Roman" w:hAnsi="Times New Roman" w:cs="Times New Roman"/>
          <w:lang w:val="sk"/>
        </w:rPr>
      </w:pPr>
    </w:p>
    <w:p w14:paraId="3D0029A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Príznaky sa môžu prejaviť ako výrazné betaadrenergné účinky, ako sú tachykardia, stavy úzkosti, nepokoj a hyperkinéza. Príznaky možno zmierniť betablokátormi. Pri extrémne vysokých dávkach môže pomôcť plazmaferéza.</w:t>
      </w:r>
    </w:p>
    <w:p w14:paraId="3D0029B0" w14:textId="77777777" w:rsidR="00F83558" w:rsidRPr="0064086B" w:rsidRDefault="00F83558" w:rsidP="0064086B">
      <w:pPr>
        <w:spacing w:before="19" w:after="0" w:line="240" w:lineRule="auto"/>
        <w:ind w:right="12"/>
        <w:rPr>
          <w:rFonts w:ascii="Times New Roman" w:hAnsi="Times New Roman" w:cs="Times New Roman"/>
          <w:lang w:val="sk"/>
        </w:rPr>
      </w:pPr>
    </w:p>
    <w:p w14:paraId="3D0029B1" w14:textId="3B9C240B"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U predisponovaných pacientov boli hlásené izolované prípady </w:t>
      </w:r>
      <w:r w:rsidR="00D65589">
        <w:rPr>
          <w:rFonts w:ascii="Times New Roman" w:eastAsia="Times New Roman" w:hAnsi="Times New Roman" w:cs="Times New Roman"/>
          <w:lang w:val="sk"/>
        </w:rPr>
        <w:t>záchvatov</w:t>
      </w:r>
      <w:r w:rsidR="00D65589"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po prekročení individuálneho tolerančného limitu dávky.</w:t>
      </w:r>
    </w:p>
    <w:p w14:paraId="3D0029B2" w14:textId="77777777" w:rsidR="00F83558" w:rsidRPr="0064086B" w:rsidRDefault="00F83558" w:rsidP="0064086B">
      <w:pPr>
        <w:spacing w:before="19" w:after="0" w:line="240" w:lineRule="auto"/>
        <w:ind w:right="12"/>
        <w:rPr>
          <w:rFonts w:ascii="Times New Roman" w:hAnsi="Times New Roman" w:cs="Times New Roman"/>
          <w:lang w:val="sk"/>
        </w:rPr>
      </w:pPr>
    </w:p>
    <w:p w14:paraId="3D0029B3" w14:textId="701F988E"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Predávkovanie levotyroxínom môže viesť k príznakom hypertyreózy a </w:t>
      </w:r>
      <w:r w:rsidR="00D65589">
        <w:rPr>
          <w:rFonts w:ascii="Times New Roman" w:eastAsia="Times New Roman" w:hAnsi="Times New Roman" w:cs="Times New Roman"/>
          <w:lang w:val="sk"/>
        </w:rPr>
        <w:t>môže</w:t>
      </w:r>
      <w:r w:rsidRPr="0064086B">
        <w:rPr>
          <w:rFonts w:ascii="Times New Roman" w:eastAsia="Times New Roman" w:hAnsi="Times New Roman" w:cs="Times New Roman"/>
          <w:lang w:val="sk"/>
        </w:rPr>
        <w:t xml:space="preserve"> viesť k akútnej psychóze, predovšetkým u pacientov s rizikom psychotických porúch.</w:t>
      </w:r>
    </w:p>
    <w:p w14:paraId="3D0029B4" w14:textId="77777777" w:rsidR="000453F2" w:rsidRPr="0064086B" w:rsidRDefault="000453F2" w:rsidP="0064086B">
      <w:pPr>
        <w:spacing w:after="0" w:line="240" w:lineRule="auto"/>
        <w:ind w:right="12"/>
        <w:rPr>
          <w:rFonts w:ascii="Times New Roman" w:eastAsia="Times New Roman" w:hAnsi="Times New Roman" w:cs="Times New Roman"/>
          <w:lang w:val="sk"/>
        </w:rPr>
      </w:pPr>
    </w:p>
    <w:p w14:paraId="3D0029B5"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predávkovaní (so suicidálnym úmyslom) bola bez komplikácií u ľudí tolerovaná dávka 10 mg levotyroxínu.</w:t>
      </w:r>
    </w:p>
    <w:p w14:paraId="3D0029B6" w14:textId="77777777" w:rsidR="002D601F" w:rsidRPr="0064086B" w:rsidRDefault="002D601F" w:rsidP="0064086B">
      <w:pPr>
        <w:spacing w:before="19" w:after="0" w:line="240" w:lineRule="auto"/>
        <w:ind w:right="12"/>
        <w:rPr>
          <w:rFonts w:ascii="Times New Roman" w:hAnsi="Times New Roman" w:cs="Times New Roman"/>
          <w:lang w:val="sk"/>
        </w:rPr>
      </w:pPr>
    </w:p>
    <w:p w14:paraId="3D0029B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ktorí dlhoročne zneužívali levotyroxín, bolo hlásených niekoľko prípadov náhleho zastavenia srdca.</w:t>
      </w:r>
    </w:p>
    <w:p w14:paraId="3D0029B8" w14:textId="1F5931F4" w:rsidR="001D02FA" w:rsidRDefault="001D02FA" w:rsidP="0064086B">
      <w:pPr>
        <w:spacing w:before="60" w:after="0" w:line="240" w:lineRule="auto"/>
        <w:ind w:right="12"/>
        <w:rPr>
          <w:rFonts w:ascii="Times New Roman" w:eastAsia="Times New Roman" w:hAnsi="Times New Roman" w:cs="Times New Roman"/>
          <w:b/>
          <w:bCs/>
          <w:lang w:val="sk"/>
        </w:rPr>
      </w:pPr>
    </w:p>
    <w:p w14:paraId="3BDE1CBB" w14:textId="77777777" w:rsidR="0064086B" w:rsidRPr="0064086B" w:rsidRDefault="0064086B" w:rsidP="0064086B">
      <w:pPr>
        <w:spacing w:before="60" w:after="0" w:line="240" w:lineRule="auto"/>
        <w:ind w:right="12"/>
        <w:rPr>
          <w:rFonts w:ascii="Times New Roman" w:eastAsia="Times New Roman" w:hAnsi="Times New Roman" w:cs="Times New Roman"/>
          <w:b/>
          <w:bCs/>
          <w:lang w:val="sk"/>
        </w:rPr>
      </w:pPr>
    </w:p>
    <w:p w14:paraId="3D0029B9" w14:textId="47D95B3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FARMAKOLOGICKÉ VLASTNOSTI</w:t>
      </w:r>
    </w:p>
    <w:p w14:paraId="3D0029BB" w14:textId="77777777" w:rsidR="002D601F" w:rsidRPr="0064086B" w:rsidRDefault="002D601F" w:rsidP="0064086B">
      <w:pPr>
        <w:spacing w:after="0" w:line="240" w:lineRule="auto"/>
        <w:ind w:right="12"/>
        <w:rPr>
          <w:rFonts w:ascii="Times New Roman" w:hAnsi="Times New Roman" w:cs="Times New Roman"/>
          <w:lang w:val="sk"/>
        </w:rPr>
      </w:pPr>
    </w:p>
    <w:p w14:paraId="3D0029B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5.1</w:t>
      </w:r>
      <w:r w:rsidRPr="0064086B">
        <w:rPr>
          <w:rFonts w:ascii="Times New Roman" w:eastAsia="Times New Roman" w:hAnsi="Times New Roman" w:cs="Times New Roman"/>
          <w:b/>
          <w:bCs/>
          <w:lang w:val="sk"/>
        </w:rPr>
        <w:tab/>
        <w:t>Farmakodynamické vlastnosti</w:t>
      </w:r>
    </w:p>
    <w:p w14:paraId="3D0029BD" w14:textId="77777777" w:rsidR="002D601F" w:rsidRPr="0064086B" w:rsidRDefault="002D601F" w:rsidP="0064086B">
      <w:pPr>
        <w:spacing w:before="5" w:after="0" w:line="240" w:lineRule="auto"/>
        <w:ind w:right="12"/>
        <w:rPr>
          <w:rFonts w:ascii="Times New Roman" w:hAnsi="Times New Roman" w:cs="Times New Roman"/>
          <w:lang w:val="sk"/>
        </w:rPr>
      </w:pPr>
    </w:p>
    <w:p w14:paraId="3D0029BE" w14:textId="072C624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Farmakoterapeutická skupina: hormóny štítnej žľazy</w:t>
      </w:r>
    </w:p>
    <w:p w14:paraId="3D0029BF" w14:textId="6E464CB2"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ATC kód: H03AA01</w:t>
      </w:r>
    </w:p>
    <w:p w14:paraId="3D0029C0" w14:textId="77777777" w:rsidR="002D601F" w:rsidRPr="0064086B" w:rsidRDefault="002D601F" w:rsidP="0064086B">
      <w:pPr>
        <w:spacing w:before="5" w:after="0" w:line="240" w:lineRule="auto"/>
        <w:ind w:right="12"/>
        <w:rPr>
          <w:rFonts w:ascii="Times New Roman" w:hAnsi="Times New Roman" w:cs="Times New Roman"/>
          <w:lang w:val="sk"/>
        </w:rPr>
      </w:pPr>
    </w:p>
    <w:p w14:paraId="3D0029C1" w14:textId="676198B1"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Syntetický </w:t>
      </w:r>
      <w:proofErr w:type="spellStart"/>
      <w:r w:rsidRPr="0064086B">
        <w:rPr>
          <w:rFonts w:ascii="Times New Roman" w:eastAsia="Times New Roman" w:hAnsi="Times New Roman" w:cs="Times New Roman"/>
          <w:lang w:val="sk"/>
        </w:rPr>
        <w:t>levotyroxín</w:t>
      </w:r>
      <w:proofErr w:type="spellEnd"/>
      <w:r w:rsidRPr="0064086B">
        <w:rPr>
          <w:rFonts w:ascii="Times New Roman" w:eastAsia="Times New Roman" w:hAnsi="Times New Roman" w:cs="Times New Roman"/>
          <w:lang w:val="sk"/>
        </w:rPr>
        <w:t xml:space="preserve">, ktorý </w:t>
      </w:r>
      <w:proofErr w:type="spellStart"/>
      <w:r w:rsidR="00E61792">
        <w:rPr>
          <w:rFonts w:ascii="Times New Roman" w:eastAsia="Times New Roman" w:hAnsi="Times New Roman" w:cs="Times New Roman"/>
          <w:lang w:val="sk"/>
        </w:rPr>
        <w:t>Tirosintsol</w:t>
      </w:r>
      <w:proofErr w:type="spellEnd"/>
      <w:r w:rsidRPr="0064086B">
        <w:rPr>
          <w:rFonts w:ascii="Times New Roman" w:eastAsia="Times New Roman" w:hAnsi="Times New Roman" w:cs="Times New Roman"/>
          <w:lang w:val="sk"/>
        </w:rPr>
        <w:t xml:space="preserve"> obsahuje, má rovnaký účinok ako prirodzene sa vyskytujúci hormón štítnej žľazy, ktorý sa prevažne tvorí v štítnej žľaze. V periférnych orgánoch sa konvertuje na T3 a rovnako ako endogénny hormón vyvoláva špecifické účinky na T3 receptoroch. Telo nie je schopné rozlíšiť endogénny a exogénny levotyroxín.</w:t>
      </w:r>
    </w:p>
    <w:p w14:paraId="3D0029C2" w14:textId="77777777" w:rsidR="002D601F" w:rsidRPr="0064086B" w:rsidRDefault="002D601F" w:rsidP="0064086B">
      <w:pPr>
        <w:spacing w:before="19" w:after="0" w:line="240" w:lineRule="auto"/>
        <w:ind w:right="12"/>
        <w:rPr>
          <w:rFonts w:ascii="Times New Roman" w:hAnsi="Times New Roman" w:cs="Times New Roman"/>
          <w:lang w:val="sk"/>
        </w:rPr>
      </w:pPr>
    </w:p>
    <w:p w14:paraId="3D0029C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5.2</w:t>
      </w:r>
      <w:r w:rsidRPr="0064086B">
        <w:rPr>
          <w:rFonts w:ascii="Times New Roman" w:eastAsia="Times New Roman" w:hAnsi="Times New Roman" w:cs="Times New Roman"/>
          <w:b/>
          <w:bCs/>
          <w:lang w:val="sk"/>
        </w:rPr>
        <w:tab/>
        <w:t>Farmakokinetické vlastnosti</w:t>
      </w:r>
    </w:p>
    <w:p w14:paraId="3D0029C4" w14:textId="77777777" w:rsidR="002D601F" w:rsidRPr="0064086B" w:rsidRDefault="002D601F" w:rsidP="0064086B">
      <w:pPr>
        <w:spacing w:before="5" w:after="0" w:line="240" w:lineRule="auto"/>
        <w:ind w:right="12"/>
        <w:rPr>
          <w:rFonts w:ascii="Times New Roman" w:hAnsi="Times New Roman" w:cs="Times New Roman"/>
          <w:lang w:val="sk"/>
        </w:rPr>
      </w:pPr>
    </w:p>
    <w:p w14:paraId="3D0029C5" w14:textId="77777777" w:rsidR="002D601F" w:rsidRPr="0064086B" w:rsidRDefault="009926D1"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Perorálne podaný levotyroxín sa vstrebáva takmer výlučne v hornej časti tenkého čreva. V závislosti na liekovej forme je absorpcia až do maximálne 80 %. Tmax je medzi 1 až 5 hodinami.</w:t>
      </w:r>
    </w:p>
    <w:p w14:paraId="3D0029C6" w14:textId="77777777" w:rsidR="002D601F" w:rsidRPr="0064086B" w:rsidRDefault="002D601F" w:rsidP="0064086B">
      <w:pPr>
        <w:spacing w:before="6" w:after="0" w:line="240" w:lineRule="auto"/>
        <w:ind w:right="12"/>
        <w:rPr>
          <w:rFonts w:ascii="Times New Roman" w:hAnsi="Times New Roman" w:cs="Times New Roman"/>
          <w:lang w:val="pl-PL"/>
        </w:rPr>
      </w:pPr>
    </w:p>
    <w:p w14:paraId="3D0029C7" w14:textId="1DC73429"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začatí perorálnej liečby nastupuje účinok po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dňoch. Levotyroxín vykazuje extrémne vysokú väzbu na plazmatické proteíny, až 99,97 %. Kovalentná väzba sa nevyskytuje; a tak sa hormón viazaný na plazmatické bielkoviny neustále a veľmi rýchlo vymieňa s frakciou voľného hormónu.</w:t>
      </w:r>
    </w:p>
    <w:p w14:paraId="3D0029C8" w14:textId="77777777" w:rsidR="002D601F" w:rsidRPr="0064086B" w:rsidRDefault="002D601F" w:rsidP="0064086B">
      <w:pPr>
        <w:spacing w:before="19" w:after="0" w:line="240" w:lineRule="auto"/>
        <w:ind w:right="12"/>
        <w:rPr>
          <w:rFonts w:ascii="Times New Roman" w:hAnsi="Times New Roman" w:cs="Times New Roman"/>
          <w:lang w:val="sk"/>
        </w:rPr>
      </w:pPr>
    </w:p>
    <w:p w14:paraId="3D0029C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Vzhľadom na svoju vysokú väzbovosť na bielkoviny nie je levotyroxín odstrániteľný z tela hemodialýzou ani hemoperfúziou.</w:t>
      </w:r>
    </w:p>
    <w:p w14:paraId="3D0029CA" w14:textId="77777777" w:rsidR="002D601F" w:rsidRPr="0064086B" w:rsidRDefault="002D601F" w:rsidP="0064086B">
      <w:pPr>
        <w:spacing w:before="19" w:after="0" w:line="240" w:lineRule="auto"/>
        <w:ind w:right="12"/>
        <w:rPr>
          <w:rFonts w:ascii="Times New Roman" w:hAnsi="Times New Roman" w:cs="Times New Roman"/>
          <w:lang w:val="sk"/>
        </w:rPr>
      </w:pPr>
    </w:p>
    <w:p w14:paraId="3D0029CB" w14:textId="44750B8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Eliminačný polčas levotyroxínu je priemerne približne 7 dní. Pri hypertyreóze je kratší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4 dni), zatiaľ čo pri hypotyreóze je dlhší (približne 9</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10 dní). Distribučný objem dosahuje 10</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12 l</w:t>
      </w:r>
      <w:r w:rsidR="00C002F5">
        <w:rPr>
          <w:rFonts w:ascii="Times New Roman" w:eastAsia="Times New Roman" w:hAnsi="Times New Roman" w:cs="Times New Roman"/>
          <w:lang w:val="sk"/>
        </w:rPr>
        <w:t>itrov</w:t>
      </w:r>
      <w:r w:rsidRPr="0064086B">
        <w:rPr>
          <w:rFonts w:ascii="Times New Roman" w:eastAsia="Times New Roman" w:hAnsi="Times New Roman" w:cs="Times New Roman"/>
          <w:lang w:val="sk"/>
        </w:rPr>
        <w:t>. Jedna tretina levotyroxínu vyskytujúceho sa mimo štítnej žľazy sa nachádza v pečeni a môže sa rýchlo vymieňať s levotyroxínom v sére. Hormóny štítnej žľazy sa metabolizujú najmä v pečeni, obličkách, mozgu a svaloch. Metabolity sa vylučujú močom a stolicou. Metabolický klírens je približne 1,2 l plazmy denne.</w:t>
      </w:r>
    </w:p>
    <w:p w14:paraId="3D0029CE" w14:textId="77777777" w:rsidR="002D601F" w:rsidRPr="0064086B" w:rsidRDefault="002D601F" w:rsidP="0064086B">
      <w:pPr>
        <w:spacing w:after="0" w:line="240" w:lineRule="auto"/>
        <w:ind w:right="12"/>
        <w:rPr>
          <w:rFonts w:ascii="Times New Roman" w:hAnsi="Times New Roman" w:cs="Times New Roman"/>
          <w:lang w:val="sk"/>
        </w:rPr>
      </w:pPr>
    </w:p>
    <w:p w14:paraId="3D0029D1" w14:textId="1D5FE628"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5.3</w:t>
      </w:r>
      <w:r w:rsidRPr="0064086B">
        <w:rPr>
          <w:rFonts w:ascii="Times New Roman" w:eastAsia="Times New Roman" w:hAnsi="Times New Roman" w:cs="Times New Roman"/>
          <w:b/>
          <w:bCs/>
          <w:lang w:val="sk"/>
        </w:rPr>
        <w:tab/>
        <w:t>Predklinické údaje o bezpečnosti</w:t>
      </w:r>
    </w:p>
    <w:p w14:paraId="3D0029D2" w14:textId="77777777" w:rsidR="002D601F" w:rsidRPr="0064086B" w:rsidRDefault="002D601F" w:rsidP="0064086B">
      <w:pPr>
        <w:spacing w:after="0" w:line="240" w:lineRule="auto"/>
        <w:ind w:right="12"/>
        <w:rPr>
          <w:rFonts w:ascii="Times New Roman" w:hAnsi="Times New Roman" w:cs="Times New Roman"/>
          <w:lang w:val="sk"/>
        </w:rPr>
      </w:pPr>
    </w:p>
    <w:p w14:paraId="3D0029D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Akútna toxicita:</w:t>
      </w:r>
    </w:p>
    <w:p w14:paraId="3D0029D4" w14:textId="01A75720" w:rsidR="002D601F" w:rsidRPr="0064086B" w:rsidRDefault="00FE218F" w:rsidP="0064086B">
      <w:pPr>
        <w:spacing w:before="8"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Levotyroxín má veľmi slabú akútnu toxicitu</w:t>
      </w:r>
      <w:r w:rsidR="009926D1" w:rsidRPr="0064086B">
        <w:rPr>
          <w:rFonts w:ascii="Times New Roman" w:eastAsia="Times New Roman" w:hAnsi="Times New Roman" w:cs="Times New Roman"/>
          <w:lang w:val="sk"/>
        </w:rPr>
        <w:t>.</w:t>
      </w:r>
    </w:p>
    <w:p w14:paraId="3D0029D5" w14:textId="77777777" w:rsidR="002D601F" w:rsidRPr="0064086B" w:rsidRDefault="002D601F" w:rsidP="0064086B">
      <w:pPr>
        <w:spacing w:before="3" w:after="0" w:line="240" w:lineRule="auto"/>
        <w:ind w:right="12"/>
        <w:rPr>
          <w:rFonts w:ascii="Times New Roman" w:hAnsi="Times New Roman" w:cs="Times New Roman"/>
          <w:lang w:val="sk"/>
        </w:rPr>
      </w:pPr>
    </w:p>
    <w:p w14:paraId="3D0029D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Chronická toxicita:</w:t>
      </w:r>
    </w:p>
    <w:p w14:paraId="6AB4EDD9" w14:textId="77777777" w:rsidR="00FE218F" w:rsidRDefault="00FE218F" w:rsidP="00FE218F">
      <w:pPr>
        <w:pStyle w:val="Zarkazkladnhotextu"/>
        <w:spacing w:line="240" w:lineRule="exact"/>
        <w:ind w:left="0"/>
        <w:jc w:val="both"/>
        <w:rPr>
          <w:noProof/>
          <w:sz w:val="22"/>
          <w:szCs w:val="22"/>
        </w:rPr>
      </w:pPr>
      <w:r>
        <w:rPr>
          <w:noProof/>
          <w:sz w:val="22"/>
          <w:szCs w:val="22"/>
        </w:rPr>
        <w:t>Chronická toxicita levotyroxínu bola skúmaná na rozličných druhoch zvierat (potkan, pes). Pri vysokých dávkach boli u potkanov pozorované prejavy hepatopatie, zvýšený výskyt spontánnych nefróz ako aj zmeny v hmotnosti orgánov.</w:t>
      </w:r>
    </w:p>
    <w:p w14:paraId="3D0029D8" w14:textId="77777777" w:rsidR="002D601F" w:rsidRPr="00FE218F" w:rsidRDefault="002D601F" w:rsidP="0064086B">
      <w:pPr>
        <w:spacing w:before="19" w:after="0" w:line="240" w:lineRule="auto"/>
        <w:ind w:right="12"/>
        <w:rPr>
          <w:rFonts w:ascii="Times New Roman" w:hAnsi="Times New Roman" w:cs="Times New Roman"/>
          <w:lang w:val="sk-SK"/>
        </w:rPr>
      </w:pPr>
    </w:p>
    <w:p w14:paraId="3D0029D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Reprodukčná toxicita:</w:t>
      </w:r>
    </w:p>
    <w:p w14:paraId="3D0029DA" w14:textId="75CA4DBE"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štúdie reprodukčnej toxicity </w:t>
      </w:r>
      <w:r w:rsidR="00FE218F">
        <w:rPr>
          <w:rFonts w:ascii="Times New Roman" w:eastAsia="Times New Roman" w:hAnsi="Times New Roman" w:cs="Times New Roman"/>
          <w:lang w:val="sk"/>
        </w:rPr>
        <w:t>u</w:t>
      </w:r>
      <w:r w:rsidRPr="0064086B">
        <w:rPr>
          <w:rFonts w:ascii="Times New Roman" w:eastAsia="Times New Roman" w:hAnsi="Times New Roman" w:cs="Times New Roman"/>
          <w:lang w:val="sk"/>
        </w:rPr>
        <w:t xml:space="preserve"> zvierat.</w:t>
      </w:r>
    </w:p>
    <w:p w14:paraId="3D0029DB" w14:textId="77777777" w:rsidR="002D601F" w:rsidRPr="0064086B" w:rsidRDefault="002D601F" w:rsidP="0064086B">
      <w:pPr>
        <w:spacing w:before="3" w:after="0" w:line="240" w:lineRule="auto"/>
        <w:ind w:right="12"/>
        <w:rPr>
          <w:rFonts w:ascii="Times New Roman" w:hAnsi="Times New Roman" w:cs="Times New Roman"/>
          <w:lang w:val="sk"/>
        </w:rPr>
      </w:pPr>
    </w:p>
    <w:p w14:paraId="3D0029D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Mutagenita:</w:t>
      </w:r>
    </w:p>
    <w:p w14:paraId="6BBBA851" w14:textId="77777777" w:rsidR="00C002F5" w:rsidRDefault="00C002F5" w:rsidP="00C002F5">
      <w:pPr>
        <w:pStyle w:val="Zarkazkladnhotextu"/>
        <w:spacing w:line="240" w:lineRule="exact"/>
        <w:ind w:left="0"/>
        <w:jc w:val="both"/>
        <w:rPr>
          <w:noProof/>
          <w:sz w:val="22"/>
          <w:szCs w:val="22"/>
        </w:rPr>
      </w:pPr>
      <w:r>
        <w:rPr>
          <w:noProof/>
          <w:sz w:val="22"/>
          <w:szCs w:val="22"/>
        </w:rPr>
        <w:t>Nie sú dostupné žiadne informácie o mutagénnom potenciále levotyroxínu. Doteraz však nie sú známe žiadne zistenia či dôkazy naznačujúce možnosť poškodenia potomstva zapríčineného zmenami v genóme spôsobenými hormónmi štítnej žľazy.</w:t>
      </w:r>
    </w:p>
    <w:p w14:paraId="3D0029DE" w14:textId="77777777" w:rsidR="002D601F" w:rsidRPr="00C002F5" w:rsidRDefault="002D601F" w:rsidP="0064086B">
      <w:pPr>
        <w:spacing w:before="17" w:after="0" w:line="240" w:lineRule="auto"/>
        <w:ind w:right="12"/>
        <w:rPr>
          <w:rFonts w:ascii="Times New Roman" w:hAnsi="Times New Roman" w:cs="Times New Roman"/>
          <w:lang w:val="sk-SK"/>
        </w:rPr>
      </w:pPr>
    </w:p>
    <w:p w14:paraId="3D0029D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Karcinogenita:</w:t>
      </w:r>
    </w:p>
    <w:p w14:paraId="3D0029E0" w14:textId="4E1D70B0"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w:t>
      </w:r>
      <w:r w:rsidR="00C002F5">
        <w:rPr>
          <w:rFonts w:ascii="Times New Roman" w:eastAsia="Times New Roman" w:hAnsi="Times New Roman" w:cs="Times New Roman"/>
          <w:lang w:val="sk"/>
        </w:rPr>
        <w:t>dlhodobé</w:t>
      </w:r>
      <w:r w:rsidRPr="0064086B">
        <w:rPr>
          <w:rFonts w:ascii="Times New Roman" w:eastAsia="Times New Roman" w:hAnsi="Times New Roman" w:cs="Times New Roman"/>
          <w:lang w:val="sk"/>
        </w:rPr>
        <w:t xml:space="preserve"> štúdie s levotyroxínom na zvieratách.</w:t>
      </w:r>
    </w:p>
    <w:p w14:paraId="3D0029E1" w14:textId="77777777" w:rsidR="002D601F" w:rsidRPr="0064086B" w:rsidRDefault="002D601F" w:rsidP="0064086B">
      <w:pPr>
        <w:spacing w:before="6" w:after="0" w:line="240" w:lineRule="auto"/>
        <w:ind w:right="12"/>
        <w:rPr>
          <w:rFonts w:ascii="Times New Roman" w:hAnsi="Times New Roman" w:cs="Times New Roman"/>
          <w:lang w:val="sk"/>
        </w:rPr>
      </w:pPr>
    </w:p>
    <w:p w14:paraId="3D0029E4" w14:textId="77777777" w:rsidR="00D57396" w:rsidRPr="0064086B" w:rsidRDefault="00D57396" w:rsidP="0064086B">
      <w:pPr>
        <w:spacing w:after="0" w:line="240" w:lineRule="auto"/>
        <w:ind w:right="12"/>
        <w:rPr>
          <w:rFonts w:ascii="Times New Roman" w:hAnsi="Times New Roman" w:cs="Times New Roman"/>
          <w:lang w:val="sk"/>
        </w:rPr>
      </w:pPr>
    </w:p>
    <w:p w14:paraId="3D0029E5" w14:textId="6BC7E729" w:rsidR="002D601F" w:rsidRPr="0064086B"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6.</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FARMACEUTICKÉ INFORMÁCIE</w:t>
      </w:r>
    </w:p>
    <w:p w14:paraId="3D0029E7" w14:textId="77777777" w:rsidR="002D601F" w:rsidRPr="0064086B" w:rsidRDefault="002D601F" w:rsidP="0064086B">
      <w:pPr>
        <w:spacing w:after="0" w:line="240" w:lineRule="auto"/>
        <w:ind w:right="12"/>
        <w:rPr>
          <w:rFonts w:ascii="Times New Roman" w:hAnsi="Times New Roman" w:cs="Times New Roman"/>
          <w:lang w:val="sk"/>
        </w:rPr>
      </w:pPr>
    </w:p>
    <w:p w14:paraId="3D0029E8"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6.1</w:t>
      </w:r>
      <w:r w:rsidRPr="0064086B">
        <w:rPr>
          <w:rFonts w:ascii="Times New Roman" w:eastAsia="Times New Roman" w:hAnsi="Times New Roman" w:cs="Times New Roman"/>
          <w:b/>
          <w:bCs/>
          <w:lang w:val="sk"/>
        </w:rPr>
        <w:tab/>
        <w:t>Zoznam pomocných látok</w:t>
      </w:r>
    </w:p>
    <w:p w14:paraId="3D0029E9" w14:textId="77777777" w:rsidR="002D601F" w:rsidRPr="0064086B" w:rsidRDefault="002D601F" w:rsidP="0064086B">
      <w:pPr>
        <w:spacing w:before="5" w:after="0" w:line="240" w:lineRule="auto"/>
        <w:ind w:right="12"/>
        <w:rPr>
          <w:rFonts w:ascii="Times New Roman" w:hAnsi="Times New Roman" w:cs="Times New Roman"/>
          <w:lang w:val="sk"/>
        </w:rPr>
      </w:pPr>
    </w:p>
    <w:p w14:paraId="3D0029EA" w14:textId="13E54E1D" w:rsidR="00192946"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Glycerol 85</w:t>
      </w:r>
      <w:r w:rsidR="00D00034">
        <w:rPr>
          <w:rFonts w:ascii="Times New Roman" w:eastAsia="Times New Roman" w:hAnsi="Times New Roman" w:cs="Times New Roman"/>
          <w:lang w:val="sk"/>
        </w:rPr>
        <w:t> </w:t>
      </w:r>
      <w:r w:rsidRPr="0064086B">
        <w:rPr>
          <w:rFonts w:ascii="Times New Roman" w:eastAsia="Times New Roman" w:hAnsi="Times New Roman" w:cs="Times New Roman"/>
          <w:lang w:val="sk"/>
        </w:rPr>
        <w:t>%</w:t>
      </w:r>
    </w:p>
    <w:p w14:paraId="3D0029EB" w14:textId="77777777" w:rsidR="002D601F" w:rsidRPr="0064086B" w:rsidRDefault="002D601F" w:rsidP="0064086B">
      <w:pPr>
        <w:spacing w:before="19" w:after="0" w:line="240" w:lineRule="auto"/>
        <w:ind w:right="12"/>
        <w:rPr>
          <w:rFonts w:ascii="Times New Roman" w:hAnsi="Times New Roman" w:cs="Times New Roman"/>
          <w:lang w:val="sk"/>
        </w:rPr>
      </w:pPr>
    </w:p>
    <w:p w14:paraId="3D0029E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6.2</w:t>
      </w:r>
      <w:r w:rsidRPr="0064086B">
        <w:rPr>
          <w:rFonts w:ascii="Times New Roman" w:eastAsia="Times New Roman" w:hAnsi="Times New Roman" w:cs="Times New Roman"/>
          <w:b/>
          <w:bCs/>
          <w:lang w:val="sk"/>
        </w:rPr>
        <w:tab/>
        <w:t>Inkompatibility</w:t>
      </w:r>
    </w:p>
    <w:p w14:paraId="3D0029ED" w14:textId="77777777" w:rsidR="002D601F" w:rsidRPr="0064086B" w:rsidRDefault="002D601F" w:rsidP="0064086B">
      <w:pPr>
        <w:spacing w:before="5" w:after="0" w:line="240" w:lineRule="auto"/>
        <w:ind w:right="12"/>
        <w:rPr>
          <w:rFonts w:ascii="Times New Roman" w:hAnsi="Times New Roman" w:cs="Times New Roman"/>
          <w:lang w:val="sk"/>
        </w:rPr>
      </w:pPr>
    </w:p>
    <w:p w14:paraId="3D0029EE"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Neaplikovateľné.</w:t>
      </w:r>
    </w:p>
    <w:p w14:paraId="3D0029EF" w14:textId="77777777" w:rsidR="002D601F" w:rsidRPr="0064086B" w:rsidRDefault="002D601F" w:rsidP="0064086B">
      <w:pPr>
        <w:spacing w:before="5" w:after="0" w:line="240" w:lineRule="auto"/>
        <w:ind w:right="12"/>
        <w:rPr>
          <w:rFonts w:ascii="Times New Roman" w:hAnsi="Times New Roman" w:cs="Times New Roman"/>
          <w:lang w:val="sk"/>
        </w:rPr>
      </w:pPr>
    </w:p>
    <w:p w14:paraId="3D0029F0"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6.3</w:t>
      </w:r>
      <w:r w:rsidRPr="0064086B">
        <w:rPr>
          <w:rFonts w:ascii="Times New Roman" w:eastAsia="Times New Roman" w:hAnsi="Times New Roman" w:cs="Times New Roman"/>
          <w:b/>
          <w:bCs/>
          <w:lang w:val="sk"/>
        </w:rPr>
        <w:tab/>
        <w:t>Čas použiteľnosti</w:t>
      </w:r>
    </w:p>
    <w:p w14:paraId="3D0029F1" w14:textId="77777777" w:rsidR="002D601F" w:rsidRPr="0064086B" w:rsidRDefault="002D601F" w:rsidP="0064086B">
      <w:pPr>
        <w:spacing w:before="5" w:after="0" w:line="240" w:lineRule="auto"/>
        <w:ind w:right="12"/>
        <w:rPr>
          <w:rFonts w:ascii="Times New Roman" w:hAnsi="Times New Roman" w:cs="Times New Roman"/>
          <w:lang w:val="sk"/>
        </w:rPr>
      </w:pPr>
    </w:p>
    <w:p w14:paraId="3D0029F2" w14:textId="77777777" w:rsidR="002D601F" w:rsidRPr="0064086B" w:rsidRDefault="00E06124"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18 mesiacov</w:t>
      </w:r>
    </w:p>
    <w:p w14:paraId="3D0029F3"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4" w14:textId="77777777" w:rsidR="00B41C00" w:rsidRPr="0064086B" w:rsidRDefault="00B41C0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vrecka: 15 dní</w:t>
      </w:r>
    </w:p>
    <w:p w14:paraId="3D0029F5" w14:textId="77777777" w:rsidR="00427AA7" w:rsidRPr="0064086B" w:rsidRDefault="00427AA7"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jednodávkového obalu: liek sa musí použiť okamžite.</w:t>
      </w:r>
    </w:p>
    <w:p w14:paraId="3D0029F6" w14:textId="77777777" w:rsidR="00EB4B91" w:rsidRPr="0064086B" w:rsidRDefault="00EB4B91" w:rsidP="0064086B">
      <w:pPr>
        <w:spacing w:before="5" w:after="0" w:line="240" w:lineRule="auto"/>
        <w:ind w:right="12"/>
        <w:rPr>
          <w:rFonts w:ascii="Times New Roman" w:hAnsi="Times New Roman" w:cs="Times New Roman"/>
          <w:lang w:val="sk"/>
        </w:rPr>
      </w:pPr>
    </w:p>
    <w:p w14:paraId="3D0029F7"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6.4</w:t>
      </w:r>
      <w:r w:rsidRPr="0064086B">
        <w:rPr>
          <w:rFonts w:ascii="Times New Roman" w:eastAsia="Times New Roman" w:hAnsi="Times New Roman" w:cs="Times New Roman"/>
          <w:b/>
          <w:bCs/>
          <w:lang w:val="sk"/>
        </w:rPr>
        <w:tab/>
        <w:t>Špeciálne upozornenia na uchovávanie</w:t>
      </w:r>
    </w:p>
    <w:p w14:paraId="3D0029F8" w14:textId="77777777" w:rsidR="002D601F" w:rsidRPr="0064086B" w:rsidRDefault="002D601F" w:rsidP="0064086B">
      <w:pPr>
        <w:spacing w:before="5" w:after="0" w:line="240" w:lineRule="auto"/>
        <w:ind w:right="12"/>
        <w:rPr>
          <w:rFonts w:ascii="Times New Roman" w:hAnsi="Times New Roman" w:cs="Times New Roman"/>
          <w:lang w:val="sk"/>
        </w:rPr>
      </w:pPr>
    </w:p>
    <w:p w14:paraId="3D0029F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Uchovávajte pri teplote neprevyšujúcej 25 °C.</w:t>
      </w:r>
    </w:p>
    <w:p w14:paraId="3D0029FA"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B" w14:textId="77777777" w:rsidR="000C0C5D" w:rsidRPr="0064086B" w:rsidRDefault="000C0C5D"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 xml:space="preserve">Uchovávajte v pôvodnom obale na ochranu pred svetlom. </w:t>
      </w:r>
    </w:p>
    <w:p w14:paraId="3D0029FC" w14:textId="77777777" w:rsidR="00B41C00" w:rsidRPr="0064086B" w:rsidRDefault="00B41C00" w:rsidP="0064086B">
      <w:pPr>
        <w:spacing w:after="0" w:line="240" w:lineRule="auto"/>
        <w:ind w:right="12"/>
        <w:rPr>
          <w:rFonts w:ascii="Times New Roman" w:eastAsia="Times New Roman" w:hAnsi="Times New Roman" w:cs="Times New Roman"/>
          <w:lang w:val="pl-PL"/>
        </w:rPr>
      </w:pPr>
    </w:p>
    <w:p w14:paraId="3D0029FD" w14:textId="77777777" w:rsidR="00B41C00" w:rsidRPr="0064086B" w:rsidRDefault="00B41C00"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Podmienky na uchovávanie otvoreného lieku, pozri časť 6.3.</w:t>
      </w:r>
    </w:p>
    <w:p w14:paraId="3D0029FE" w14:textId="77777777" w:rsidR="002D601F" w:rsidRPr="0064086B" w:rsidRDefault="002D601F" w:rsidP="0064086B">
      <w:pPr>
        <w:spacing w:before="5" w:after="0" w:line="240" w:lineRule="auto"/>
        <w:ind w:right="12"/>
        <w:rPr>
          <w:rFonts w:ascii="Times New Roman" w:hAnsi="Times New Roman" w:cs="Times New Roman"/>
          <w:lang w:val="pl-PL"/>
        </w:rPr>
      </w:pPr>
    </w:p>
    <w:p w14:paraId="3D0029FF"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6.5</w:t>
      </w:r>
      <w:r w:rsidRPr="0064086B">
        <w:rPr>
          <w:rFonts w:ascii="Times New Roman" w:eastAsia="Times New Roman" w:hAnsi="Times New Roman" w:cs="Times New Roman"/>
          <w:b/>
          <w:bCs/>
          <w:lang w:val="sk"/>
        </w:rPr>
        <w:tab/>
        <w:t>Druh obalu a obsah balenia</w:t>
      </w:r>
    </w:p>
    <w:p w14:paraId="3D002A00" w14:textId="77777777" w:rsidR="002D601F" w:rsidRPr="0064086B" w:rsidRDefault="002D601F" w:rsidP="0064086B">
      <w:pPr>
        <w:spacing w:before="5" w:after="0" w:line="240" w:lineRule="auto"/>
        <w:ind w:right="12"/>
        <w:rPr>
          <w:rFonts w:ascii="Times New Roman" w:hAnsi="Times New Roman" w:cs="Times New Roman"/>
          <w:lang w:val="pl-PL"/>
        </w:rPr>
      </w:pPr>
    </w:p>
    <w:p w14:paraId="3D002A02" w14:textId="0113C16F" w:rsidR="000C0C5D" w:rsidRPr="0064086B" w:rsidRDefault="000C0C5D" w:rsidP="0064086B">
      <w:pPr>
        <w:spacing w:after="0" w:line="240" w:lineRule="auto"/>
        <w:ind w:right="12"/>
        <w:rPr>
          <w:rFonts w:ascii="Times New Roman" w:eastAsia="Times New Roman" w:hAnsi="Times New Roman" w:cs="Times New Roman"/>
          <w:lang w:val="pl-PL"/>
        </w:rPr>
      </w:pPr>
      <w:r w:rsidRPr="00BA4201">
        <w:rPr>
          <w:rFonts w:ascii="Times New Roman" w:eastAsia="Times New Roman" w:hAnsi="Times New Roman" w:cs="Times New Roman"/>
          <w:lang w:val="sk"/>
        </w:rPr>
        <w:t xml:space="preserve">1 ml biely, nepriehľadný </w:t>
      </w:r>
      <w:r w:rsidR="00B36411" w:rsidRPr="00BA4201">
        <w:rPr>
          <w:rFonts w:ascii="Times New Roman" w:eastAsia="Times New Roman" w:hAnsi="Times New Roman" w:cs="Times New Roman"/>
          <w:lang w:val="sk"/>
        </w:rPr>
        <w:t xml:space="preserve">jednodávkový obal z polyetylénu </w:t>
      </w:r>
      <w:r w:rsidRPr="00BA4201">
        <w:rPr>
          <w:rFonts w:ascii="Times New Roman" w:eastAsia="Times New Roman" w:hAnsi="Times New Roman" w:cs="Times New Roman"/>
          <w:lang w:val="sk"/>
        </w:rPr>
        <w:t>s nízkou hustotou (LDPE)</w:t>
      </w:r>
      <w:r w:rsidRPr="0064086B">
        <w:rPr>
          <w:rFonts w:ascii="Times New Roman" w:eastAsia="Times New Roman" w:hAnsi="Times New Roman" w:cs="Times New Roman"/>
          <w:lang w:val="sk"/>
        </w:rPr>
        <w:t xml:space="preserve"> v polyetyléntereftalát/hliník/polyetylénovom (PET/Al</w:t>
      </w:r>
      <w:r w:rsidR="00C002F5">
        <w:rPr>
          <w:rFonts w:ascii="Times New Roman" w:eastAsia="Times New Roman" w:hAnsi="Times New Roman" w:cs="Times New Roman"/>
          <w:lang w:val="sk"/>
        </w:rPr>
        <w:t>U</w:t>
      </w:r>
      <w:r w:rsidRPr="0064086B">
        <w:rPr>
          <w:rFonts w:ascii="Times New Roman" w:eastAsia="Times New Roman" w:hAnsi="Times New Roman" w:cs="Times New Roman"/>
          <w:lang w:val="sk"/>
        </w:rPr>
        <w:t>/PE) vrecku obsahujúcom pásik s 5 jednodávkovými obalmi.</w:t>
      </w:r>
    </w:p>
    <w:p w14:paraId="3D002A03" w14:textId="77777777" w:rsidR="00FC5FBF" w:rsidRPr="0064086B" w:rsidRDefault="00FC5FBF" w:rsidP="0064086B">
      <w:pPr>
        <w:spacing w:after="0" w:line="240" w:lineRule="auto"/>
        <w:ind w:right="12"/>
        <w:rPr>
          <w:rFonts w:ascii="Times New Roman" w:eastAsia="Times New Roman" w:hAnsi="Times New Roman" w:cs="Times New Roman"/>
          <w:lang w:val="pl-PL"/>
        </w:rPr>
      </w:pPr>
    </w:p>
    <w:p w14:paraId="3D002A04" w14:textId="77777777" w:rsidR="00192946" w:rsidRPr="0064086B" w:rsidRDefault="00192946"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Veľkosť balenia: 30 jednodávkových obalov.</w:t>
      </w:r>
    </w:p>
    <w:p w14:paraId="3D002A05" w14:textId="77777777" w:rsidR="002D601F" w:rsidRPr="0064086B" w:rsidRDefault="002D601F" w:rsidP="0064086B">
      <w:pPr>
        <w:spacing w:before="8" w:after="0" w:line="240" w:lineRule="auto"/>
        <w:ind w:right="12"/>
        <w:rPr>
          <w:rFonts w:ascii="Times New Roman" w:hAnsi="Times New Roman" w:cs="Times New Roman"/>
          <w:lang w:val="pl-PL"/>
        </w:rPr>
      </w:pPr>
    </w:p>
    <w:p w14:paraId="3D002A06" w14:textId="7EF3A88F"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6.6</w:t>
      </w:r>
      <w:r w:rsidRPr="0064086B">
        <w:rPr>
          <w:rFonts w:ascii="Times New Roman" w:eastAsia="Times New Roman" w:hAnsi="Times New Roman" w:cs="Times New Roman"/>
          <w:b/>
          <w:bCs/>
          <w:lang w:val="sk"/>
        </w:rPr>
        <w:tab/>
        <w:t>Špeciálne opatrenia na likvidáciu a iné zaobchádzanie s liekom</w:t>
      </w:r>
    </w:p>
    <w:p w14:paraId="3D002A07" w14:textId="77777777" w:rsidR="002D601F" w:rsidRPr="0064086B" w:rsidRDefault="002D601F" w:rsidP="0064086B">
      <w:pPr>
        <w:spacing w:before="5" w:after="0" w:line="240" w:lineRule="auto"/>
        <w:ind w:right="12"/>
        <w:rPr>
          <w:rFonts w:ascii="Times New Roman" w:hAnsi="Times New Roman" w:cs="Times New Roman"/>
          <w:lang w:val="pl-PL"/>
        </w:rPr>
      </w:pPr>
    </w:p>
    <w:p w14:paraId="3D002A08" w14:textId="77777777" w:rsidR="002D601F" w:rsidRPr="0064086B" w:rsidRDefault="00F83558"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Všetok nepoužitý liek alebo odpad vzniknutý z lieku sa má zlikvidovať v súlade s národnými požiadavkami.</w:t>
      </w:r>
    </w:p>
    <w:p w14:paraId="3D002A0A" w14:textId="445D254C" w:rsidR="002D601F" w:rsidRDefault="002D601F" w:rsidP="0064086B">
      <w:pPr>
        <w:spacing w:before="8" w:after="0" w:line="240" w:lineRule="auto"/>
        <w:ind w:right="12"/>
        <w:rPr>
          <w:rFonts w:ascii="Times New Roman" w:hAnsi="Times New Roman" w:cs="Times New Roman"/>
          <w:lang w:val="pl-PL"/>
        </w:rPr>
      </w:pPr>
    </w:p>
    <w:p w14:paraId="446CA11C" w14:textId="77777777" w:rsidR="0064086B" w:rsidRPr="0064086B" w:rsidRDefault="0064086B" w:rsidP="0064086B">
      <w:pPr>
        <w:spacing w:before="8" w:after="0" w:line="240" w:lineRule="auto"/>
        <w:ind w:right="12"/>
        <w:rPr>
          <w:rFonts w:ascii="Times New Roman" w:hAnsi="Times New Roman" w:cs="Times New Roman"/>
          <w:lang w:val="pl-PL"/>
        </w:rPr>
      </w:pPr>
    </w:p>
    <w:p w14:paraId="3D002A0C" w14:textId="0553BDE6"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7.</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DRŽITEĽ ROZHODNUTIA O REGISTRÁCII</w:t>
      </w:r>
    </w:p>
    <w:p w14:paraId="3D002A0D" w14:textId="77777777" w:rsidR="002D601F" w:rsidRPr="0064086B" w:rsidRDefault="002D601F" w:rsidP="0064086B">
      <w:pPr>
        <w:spacing w:after="0" w:line="240" w:lineRule="auto"/>
        <w:ind w:right="12"/>
        <w:rPr>
          <w:rFonts w:ascii="Times New Roman" w:hAnsi="Times New Roman" w:cs="Times New Roman"/>
          <w:lang w:val="pl-PL"/>
        </w:rPr>
      </w:pPr>
    </w:p>
    <w:p w14:paraId="1074067D" w14:textId="262BB5F7" w:rsidR="00C002F5" w:rsidRPr="003F69E2" w:rsidRDefault="00FA7A31" w:rsidP="00C002F5">
      <w:pPr>
        <w:spacing w:after="0" w:line="240" w:lineRule="auto"/>
        <w:rPr>
          <w:rFonts w:ascii="Times New Roman" w:hAnsi="Times New Roman" w:cs="Times New Roman"/>
          <w:lang w:val="sk"/>
        </w:rPr>
      </w:pPr>
      <w:r>
        <w:rPr>
          <w:rFonts w:ascii="Times New Roman" w:hAnsi="Times New Roman" w:cs="Times New Roman"/>
          <w:lang w:val="sk"/>
        </w:rPr>
        <w:t>IBSA Slovakia s.r.o.</w:t>
      </w:r>
    </w:p>
    <w:p w14:paraId="3D002A0F" w14:textId="75F07B46" w:rsidR="002D601F" w:rsidRPr="00C002F5" w:rsidRDefault="00FA7A31" w:rsidP="00C002F5">
      <w:pPr>
        <w:spacing w:after="0" w:line="240" w:lineRule="auto"/>
        <w:rPr>
          <w:rFonts w:ascii="Times New Roman" w:hAnsi="Times New Roman" w:cs="Times New Roman"/>
          <w:noProof/>
          <w:lang w:val="sk"/>
        </w:rPr>
      </w:pPr>
      <w:r>
        <w:rPr>
          <w:rFonts w:ascii="Times New Roman" w:hAnsi="Times New Roman" w:cs="Times New Roman"/>
          <w:lang w:val="sk"/>
        </w:rPr>
        <w:t>Mýtna 42, 811 05 Bratislava, Slovenská republika</w:t>
      </w:r>
    </w:p>
    <w:p w14:paraId="05CBCBA2" w14:textId="3160DF2F" w:rsidR="0064086B" w:rsidRDefault="0064086B" w:rsidP="0064086B">
      <w:pPr>
        <w:spacing w:before="8" w:after="0" w:line="240" w:lineRule="auto"/>
        <w:ind w:right="12"/>
        <w:rPr>
          <w:rFonts w:ascii="Times New Roman" w:hAnsi="Times New Roman" w:cs="Times New Roman"/>
          <w:lang w:val="pl-PL"/>
        </w:rPr>
      </w:pPr>
    </w:p>
    <w:p w14:paraId="6C5ED182" w14:textId="77777777" w:rsidR="00C002F5" w:rsidRPr="0064086B" w:rsidRDefault="00C002F5" w:rsidP="0064086B">
      <w:pPr>
        <w:spacing w:before="8" w:after="0" w:line="240" w:lineRule="auto"/>
        <w:ind w:right="12"/>
        <w:rPr>
          <w:rFonts w:ascii="Times New Roman" w:hAnsi="Times New Roman" w:cs="Times New Roman"/>
          <w:lang w:val="pl-PL"/>
        </w:rPr>
      </w:pPr>
    </w:p>
    <w:p w14:paraId="3D002A10" w14:textId="63D03195"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8.</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REGISTRAČNÉ ČÍSLO (ČÍSLA)</w:t>
      </w:r>
    </w:p>
    <w:p w14:paraId="3D002A12" w14:textId="77777777" w:rsidR="002D601F" w:rsidRDefault="002D601F" w:rsidP="0064086B">
      <w:pPr>
        <w:spacing w:after="0" w:line="240" w:lineRule="auto"/>
        <w:ind w:right="12"/>
        <w:rPr>
          <w:rFonts w:ascii="Times New Roman" w:hAnsi="Times New Roman" w:cs="Times New Roman"/>
          <w:lang w:val="pl-PL"/>
        </w:rPr>
      </w:pPr>
    </w:p>
    <w:p w14:paraId="1B58049C" w14:textId="25B635A0" w:rsidR="00B36411" w:rsidRPr="0064086B" w:rsidRDefault="00B9495D" w:rsidP="00B36411">
      <w:pPr>
        <w:spacing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13 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56/0306/19-S</w:t>
      </w:r>
    </w:p>
    <w:p w14:paraId="1AB58BAC" w14:textId="5A340514"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25 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56/0307/19-S</w:t>
      </w:r>
    </w:p>
    <w:p w14:paraId="41BC0566" w14:textId="18B3B4D2"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50 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56/0308/19-S</w:t>
      </w:r>
    </w:p>
    <w:p w14:paraId="6527F192" w14:textId="412CACFD"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75 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56/0309/19-S</w:t>
      </w:r>
    </w:p>
    <w:p w14:paraId="486B4DDF" w14:textId="69F53170"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88 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56/0310/19-S</w:t>
      </w:r>
    </w:p>
    <w:p w14:paraId="57974A10" w14:textId="7E76731F"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100 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56/0311/19-S</w:t>
      </w:r>
    </w:p>
    <w:p w14:paraId="620130C9" w14:textId="212B5982"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112 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56/0312/19-S</w:t>
      </w:r>
    </w:p>
    <w:p w14:paraId="62B97B37" w14:textId="1715A3C6"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125 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56/0313/19-S</w:t>
      </w:r>
    </w:p>
    <w:p w14:paraId="00B8D1EA" w14:textId="3438AAB6"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137 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56/0314/19-S</w:t>
      </w:r>
    </w:p>
    <w:p w14:paraId="4D59A4D2" w14:textId="7CF9E267"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150 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w:t>
      </w:r>
      <w:r w:rsidR="00E33502" w:rsidRPr="00E33502">
        <w:t xml:space="preserve"> </w:t>
      </w:r>
      <w:r w:rsidR="00E33502" w:rsidRPr="00E33502">
        <w:rPr>
          <w:rFonts w:ascii="Times New Roman" w:eastAsia="Times New Roman" w:hAnsi="Times New Roman" w:cs="Times New Roman"/>
          <w:lang w:val="sk"/>
        </w:rPr>
        <w:t>56/0315/19-S</w:t>
      </w:r>
    </w:p>
    <w:p w14:paraId="0314E994" w14:textId="196F84E7" w:rsidR="00B36411" w:rsidRPr="0064086B" w:rsidRDefault="00B9495D" w:rsidP="00B36411">
      <w:pPr>
        <w:spacing w:before="6"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Tirosintsol</w:t>
      </w:r>
      <w:proofErr w:type="spellEnd"/>
      <w:r w:rsidR="00B36411" w:rsidRPr="0064086B">
        <w:rPr>
          <w:rFonts w:ascii="Times New Roman" w:eastAsia="Times New Roman" w:hAnsi="Times New Roman" w:cs="Times New Roman"/>
          <w:lang w:val="sk"/>
        </w:rPr>
        <w:t xml:space="preserve"> 175 </w:t>
      </w:r>
      <w:proofErr w:type="spellStart"/>
      <w:r w:rsidR="00B36411" w:rsidRPr="0064086B">
        <w:rPr>
          <w:rFonts w:ascii="Times New Roman" w:eastAsia="Times New Roman" w:hAnsi="Times New Roman" w:cs="Times New Roman"/>
          <w:lang w:val="sk"/>
        </w:rPr>
        <w:t>mikrogramov</w:t>
      </w:r>
      <w:proofErr w:type="spellEnd"/>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56/0316/19-S</w:t>
      </w:r>
    </w:p>
    <w:p w14:paraId="5451972D" w14:textId="664A5294" w:rsidR="00B36411" w:rsidRDefault="00B9495D" w:rsidP="00B36411">
      <w:pPr>
        <w:spacing w:before="6"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Tirosintsol</w:t>
      </w:r>
      <w:proofErr w:type="spellEnd"/>
      <w:r w:rsidR="00835FAC">
        <w:rPr>
          <w:rFonts w:ascii="Times New Roman" w:eastAsia="Times New Roman" w:hAnsi="Times New Roman" w:cs="Times New Roman"/>
          <w:lang w:val="sk"/>
        </w:rPr>
        <w:t xml:space="preserve"> 200 </w:t>
      </w:r>
      <w:proofErr w:type="spellStart"/>
      <w:r w:rsidR="00835FAC">
        <w:rPr>
          <w:rFonts w:ascii="Times New Roman" w:eastAsia="Times New Roman" w:hAnsi="Times New Roman" w:cs="Times New Roman"/>
          <w:lang w:val="sk"/>
        </w:rPr>
        <w:t>mikrogramov</w:t>
      </w:r>
      <w:proofErr w:type="spellEnd"/>
      <w:r w:rsidR="00835FAC">
        <w:rPr>
          <w:rFonts w:ascii="Times New Roman" w:eastAsia="Times New Roman" w:hAnsi="Times New Roman" w:cs="Times New Roman"/>
          <w:lang w:val="sk"/>
        </w:rPr>
        <w:t xml:space="preserve">: </w:t>
      </w:r>
      <w:r w:rsidR="00835FAC" w:rsidRPr="00835FAC">
        <w:rPr>
          <w:rFonts w:ascii="Times New Roman" w:eastAsia="Times New Roman" w:hAnsi="Times New Roman" w:cs="Times New Roman"/>
          <w:lang w:val="sk"/>
        </w:rPr>
        <w:t>56/0317/19-S</w:t>
      </w:r>
    </w:p>
    <w:p w14:paraId="3D002A14" w14:textId="77777777" w:rsidR="002D601F" w:rsidRPr="0064086B" w:rsidRDefault="002D601F" w:rsidP="0064086B">
      <w:pPr>
        <w:spacing w:after="0" w:line="240" w:lineRule="auto"/>
        <w:ind w:right="12"/>
        <w:rPr>
          <w:rFonts w:ascii="Times New Roman" w:hAnsi="Times New Roman" w:cs="Times New Roman"/>
          <w:lang w:val="pl-PL"/>
        </w:rPr>
      </w:pPr>
    </w:p>
    <w:p w14:paraId="3D002A15" w14:textId="77777777" w:rsidR="002D601F" w:rsidRPr="0064086B" w:rsidRDefault="002D601F" w:rsidP="0064086B">
      <w:pPr>
        <w:spacing w:before="8" w:after="0" w:line="240" w:lineRule="auto"/>
        <w:ind w:right="12"/>
        <w:rPr>
          <w:rFonts w:ascii="Times New Roman" w:hAnsi="Times New Roman" w:cs="Times New Roman"/>
          <w:lang w:val="pl-PL"/>
        </w:rPr>
      </w:pPr>
    </w:p>
    <w:p w14:paraId="3D002A17" w14:textId="2F3D5214"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9.</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DÁTUM PRVEJ REGISTRÁCIE/PREDĹŽENIA REGISTRÁCIE</w:t>
      </w:r>
    </w:p>
    <w:p w14:paraId="3D002A1B" w14:textId="6FE536E1" w:rsidR="00CD6463" w:rsidRDefault="00CD6463" w:rsidP="0064086B">
      <w:pPr>
        <w:spacing w:after="0" w:line="240" w:lineRule="auto"/>
        <w:ind w:right="12"/>
        <w:rPr>
          <w:rFonts w:ascii="Times New Roman" w:eastAsia="Times New Roman" w:hAnsi="Times New Roman" w:cs="Times New Roman"/>
          <w:b/>
          <w:bCs/>
          <w:lang w:val="pl-PL"/>
        </w:rPr>
      </w:pPr>
    </w:p>
    <w:p w14:paraId="47775B69" w14:textId="4C4EEE9A" w:rsidR="004205C6" w:rsidRDefault="004205C6" w:rsidP="0064086B">
      <w:pPr>
        <w:spacing w:after="0" w:line="240" w:lineRule="auto"/>
        <w:ind w:right="12"/>
        <w:rPr>
          <w:rFonts w:ascii="Times New Roman" w:eastAsia="Times New Roman" w:hAnsi="Times New Roman" w:cs="Times New Roman"/>
          <w:lang w:val="pl-PL"/>
        </w:rPr>
      </w:pPr>
      <w:r w:rsidRPr="004473D9">
        <w:rPr>
          <w:rFonts w:ascii="Times New Roman" w:eastAsia="Times New Roman" w:hAnsi="Times New Roman" w:cs="Times New Roman"/>
          <w:lang w:val="pl-PL"/>
        </w:rPr>
        <w:t>Dátum prvej registrácie:</w:t>
      </w:r>
      <w:r>
        <w:rPr>
          <w:rFonts w:ascii="Times New Roman" w:eastAsia="Times New Roman" w:hAnsi="Times New Roman" w:cs="Times New Roman"/>
          <w:lang w:val="pl-PL"/>
        </w:rPr>
        <w:t xml:space="preserve"> </w:t>
      </w:r>
      <w:r w:rsidR="0007799A">
        <w:rPr>
          <w:rFonts w:ascii="Times New Roman" w:eastAsia="Times New Roman" w:hAnsi="Times New Roman" w:cs="Times New Roman"/>
          <w:lang w:val="pl-PL"/>
        </w:rPr>
        <w:t>14</w:t>
      </w:r>
      <w:bookmarkStart w:id="0" w:name="_GoBack"/>
      <w:bookmarkEnd w:id="0"/>
      <w:r>
        <w:rPr>
          <w:rFonts w:ascii="Times New Roman" w:eastAsia="Times New Roman" w:hAnsi="Times New Roman" w:cs="Times New Roman"/>
          <w:lang w:val="pl-PL"/>
        </w:rPr>
        <w:t>.10.2019</w:t>
      </w:r>
    </w:p>
    <w:p w14:paraId="1D18C8A3" w14:textId="77777777" w:rsidR="004205C6" w:rsidRPr="004473D9" w:rsidRDefault="004205C6" w:rsidP="0064086B">
      <w:pPr>
        <w:spacing w:after="0" w:line="240" w:lineRule="auto"/>
        <w:ind w:right="12"/>
        <w:rPr>
          <w:rFonts w:ascii="Times New Roman" w:eastAsia="Times New Roman" w:hAnsi="Times New Roman" w:cs="Times New Roman"/>
          <w:lang w:val="pl-PL"/>
        </w:rPr>
      </w:pPr>
    </w:p>
    <w:p w14:paraId="5981C5ED" w14:textId="77777777" w:rsidR="0064086B" w:rsidRPr="0064086B" w:rsidRDefault="0064086B" w:rsidP="0064086B">
      <w:pPr>
        <w:spacing w:after="0" w:line="240" w:lineRule="auto"/>
        <w:ind w:right="12"/>
        <w:rPr>
          <w:rFonts w:ascii="Times New Roman" w:eastAsia="Times New Roman" w:hAnsi="Times New Roman" w:cs="Times New Roman"/>
          <w:b/>
          <w:bCs/>
          <w:lang w:val="pl-PL"/>
        </w:rPr>
      </w:pPr>
    </w:p>
    <w:p w14:paraId="3D002A1C" w14:textId="77777777" w:rsidR="002D601F" w:rsidRPr="0064086B" w:rsidRDefault="006512B9"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10.</w:t>
      </w:r>
      <w:r w:rsidRPr="0064086B">
        <w:rPr>
          <w:rFonts w:ascii="Times New Roman" w:eastAsia="Times New Roman" w:hAnsi="Times New Roman" w:cs="Times New Roman"/>
          <w:b/>
          <w:bCs/>
          <w:lang w:val="sk"/>
        </w:rPr>
        <w:tab/>
        <w:t>DÁTUM REVÍZIE TEXTU</w:t>
      </w:r>
    </w:p>
    <w:p w14:paraId="3D002A1E" w14:textId="77777777" w:rsidR="002D601F" w:rsidRPr="0064086B" w:rsidRDefault="002D601F" w:rsidP="0064086B">
      <w:pPr>
        <w:spacing w:after="0" w:line="240" w:lineRule="auto"/>
        <w:ind w:right="12"/>
        <w:rPr>
          <w:rFonts w:ascii="Times New Roman" w:hAnsi="Times New Roman" w:cs="Times New Roman"/>
          <w:lang w:val="pl-PL"/>
        </w:rPr>
      </w:pPr>
    </w:p>
    <w:p w14:paraId="3D002A1F" w14:textId="0E8DA243" w:rsidR="002D601F" w:rsidRPr="004473D9" w:rsidRDefault="0056391B" w:rsidP="0064086B">
      <w:pPr>
        <w:spacing w:after="0" w:line="240" w:lineRule="auto"/>
        <w:ind w:right="12"/>
        <w:rPr>
          <w:rFonts w:ascii="Times New Roman" w:eastAsia="Times New Roman" w:hAnsi="Times New Roman" w:cs="Times New Roman"/>
          <w:lang w:val="de-DE"/>
        </w:rPr>
      </w:pPr>
      <w:r>
        <w:rPr>
          <w:rFonts w:ascii="Times New Roman" w:eastAsia="Times New Roman" w:hAnsi="Times New Roman" w:cs="Times New Roman"/>
          <w:lang w:val="sk"/>
        </w:rPr>
        <w:t>0</w:t>
      </w:r>
      <w:r w:rsidR="00B36411" w:rsidRPr="00BA4201">
        <w:rPr>
          <w:rFonts w:ascii="Times New Roman" w:eastAsia="Times New Roman" w:hAnsi="Times New Roman" w:cs="Times New Roman"/>
          <w:lang w:val="sk"/>
        </w:rPr>
        <w:t>1</w:t>
      </w:r>
      <w:r w:rsidR="002A3C59" w:rsidRPr="00BA4201">
        <w:rPr>
          <w:rFonts w:ascii="Times New Roman" w:eastAsia="Times New Roman" w:hAnsi="Times New Roman" w:cs="Times New Roman"/>
          <w:lang w:val="sk"/>
        </w:rPr>
        <w:t>/20</w:t>
      </w:r>
      <w:r>
        <w:rPr>
          <w:rFonts w:ascii="Times New Roman" w:eastAsia="Times New Roman" w:hAnsi="Times New Roman" w:cs="Times New Roman"/>
          <w:lang w:val="sk"/>
        </w:rPr>
        <w:t>20</w:t>
      </w:r>
    </w:p>
    <w:sectPr w:rsidR="002D601F" w:rsidRPr="004473D9" w:rsidSect="00BA4201">
      <w:headerReference w:type="default" r:id="rId13"/>
      <w:footerReference w:type="default" r:id="rId14"/>
      <w:pgSz w:w="11920" w:h="16860"/>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149E" w14:textId="77777777" w:rsidR="00DD1AA8" w:rsidRDefault="00DD1AA8">
      <w:pPr>
        <w:spacing w:after="0" w:line="240" w:lineRule="auto"/>
      </w:pPr>
      <w:r>
        <w:separator/>
      </w:r>
    </w:p>
  </w:endnote>
  <w:endnote w:type="continuationSeparator" w:id="0">
    <w:p w14:paraId="6C317DC5" w14:textId="77777777" w:rsidR="00DD1AA8" w:rsidRDefault="00DD1AA8">
      <w:pPr>
        <w:spacing w:after="0" w:line="240" w:lineRule="auto"/>
      </w:pPr>
      <w:r>
        <w:continuationSeparator/>
      </w:r>
    </w:p>
  </w:endnote>
  <w:endnote w:type="continuationNotice" w:id="1">
    <w:p w14:paraId="07C3F5CC" w14:textId="77777777" w:rsidR="00DD1AA8" w:rsidRDefault="00DD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02A26" w14:textId="77777777" w:rsidR="005E7FF6" w:rsidRDefault="004473D9">
    <w:pPr>
      <w:spacing w:after="0" w:line="200" w:lineRule="exact"/>
      <w:rPr>
        <w:sz w:val="20"/>
        <w:szCs w:val="20"/>
      </w:rPr>
    </w:pPr>
    <w:r>
      <w:rPr>
        <w:noProof/>
      </w:rPr>
      <w:pict w14:anchorId="38268929">
        <v:shapetype id="_x0000_t202" coordsize="21600,21600" o:spt="202" path="m,l,21600r21600,l21600,xe">
          <v:stroke joinstyle="miter"/>
          <v:path gradientshapeok="t" o:connecttype="rect"/>
        </v:shapetype>
        <v:shape id="Text Box 1" o:spid="_x0000_s2049" type="#_x0000_t202" alt="" style="position:absolute;margin-left:289.55pt;margin-top:795.9pt;width:12.9pt;height:10.2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inset="0,0,0,0">
            <w:txbxContent>
              <w:p w14:paraId="3D002A28" w14:textId="77777777" w:rsidR="005E7FF6" w:rsidRDefault="005E7FF6">
                <w:pPr>
                  <w:spacing w:before="3" w:after="0" w:line="240" w:lineRule="auto"/>
                  <w:ind w:left="40" w:right="-20"/>
                  <w:rPr>
                    <w:rFonts w:ascii="Times New Roman" w:eastAsia="Times New Roman" w:hAnsi="Times New Roman" w:cs="Times New Roman"/>
                    <w:sz w:val="16"/>
                    <w:szCs w:val="16"/>
                  </w:rPr>
                </w:pPr>
                <w:r>
                  <w:rPr>
                    <w:rFonts w:ascii="Times New Roman" w:hAnsi="Times New Roman"/>
                    <w:lang w:val="sk"/>
                  </w:rPr>
                  <w:fldChar w:fldCharType="begin"/>
                </w:r>
                <w:r>
                  <w:rPr>
                    <w:rFonts w:ascii="Times New Roman" w:hAnsi="Times New Roman"/>
                    <w:color w:val="181818"/>
                    <w:sz w:val="16"/>
                    <w:szCs w:val="16"/>
                    <w:lang w:val="sk"/>
                  </w:rPr>
                  <w:instrText xml:space="preserve"> PAGE </w:instrText>
                </w:r>
                <w:r>
                  <w:rPr>
                    <w:rFonts w:ascii="Times New Roman" w:hAnsi="Times New Roman"/>
                    <w:lang w:val="sk"/>
                  </w:rPr>
                  <w:fldChar w:fldCharType="separate"/>
                </w:r>
                <w:r w:rsidR="004473D9">
                  <w:rPr>
                    <w:rFonts w:ascii="Times New Roman" w:hAnsi="Times New Roman"/>
                    <w:noProof/>
                    <w:color w:val="181818"/>
                    <w:sz w:val="16"/>
                    <w:szCs w:val="16"/>
                    <w:lang w:val="sk"/>
                  </w:rPr>
                  <w:t>1</w:t>
                </w:r>
                <w:r>
                  <w:rPr>
                    <w:rFonts w:ascii="Times New Roman" w:hAnsi="Times New Roman"/>
                    <w:lang w:val="sk"/>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88F2F" w14:textId="77777777" w:rsidR="00DD1AA8" w:rsidRDefault="00DD1AA8">
      <w:pPr>
        <w:spacing w:after="0" w:line="240" w:lineRule="auto"/>
      </w:pPr>
      <w:r>
        <w:separator/>
      </w:r>
    </w:p>
  </w:footnote>
  <w:footnote w:type="continuationSeparator" w:id="0">
    <w:p w14:paraId="2C7F4861" w14:textId="77777777" w:rsidR="00DD1AA8" w:rsidRDefault="00DD1AA8">
      <w:pPr>
        <w:spacing w:after="0" w:line="240" w:lineRule="auto"/>
      </w:pPr>
      <w:r>
        <w:continuationSeparator/>
      </w:r>
    </w:p>
  </w:footnote>
  <w:footnote w:type="continuationNotice" w:id="1">
    <w:p w14:paraId="24E34EE8" w14:textId="77777777" w:rsidR="00DD1AA8" w:rsidRDefault="00DD1A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465B" w14:textId="4A9C1239" w:rsidR="00053BD4" w:rsidRDefault="00053BD4">
    <w:pPr>
      <w:pStyle w:val="Hlavika"/>
      <w:rPr>
        <w:rFonts w:ascii="Times New Roman" w:hAnsi="Times New Roman" w:cs="Times New Roman"/>
        <w:sz w:val="18"/>
        <w:szCs w:val="18"/>
      </w:rPr>
    </w:pPr>
    <w:proofErr w:type="spellStart"/>
    <w:r w:rsidRPr="00F628D1">
      <w:rPr>
        <w:rFonts w:ascii="Times New Roman" w:hAnsi="Times New Roman" w:cs="Times New Roman"/>
        <w:sz w:val="18"/>
        <w:szCs w:val="18"/>
      </w:rPr>
      <w:t>Schválený</w:t>
    </w:r>
    <w:proofErr w:type="spellEnd"/>
    <w:r w:rsidRPr="00F628D1">
      <w:rPr>
        <w:rFonts w:ascii="Times New Roman" w:hAnsi="Times New Roman" w:cs="Times New Roman"/>
        <w:sz w:val="18"/>
        <w:szCs w:val="18"/>
      </w:rPr>
      <w:t xml:space="preserve"> text k </w:t>
    </w:r>
    <w:proofErr w:type="spellStart"/>
    <w:r w:rsidRPr="00F628D1">
      <w:rPr>
        <w:rFonts w:ascii="Times New Roman" w:hAnsi="Times New Roman" w:cs="Times New Roman"/>
        <w:sz w:val="18"/>
        <w:szCs w:val="18"/>
      </w:rPr>
      <w:t>rozhodnutiu</w:t>
    </w:r>
    <w:proofErr w:type="spellEnd"/>
    <w:r w:rsidRPr="00F628D1">
      <w:rPr>
        <w:rFonts w:ascii="Times New Roman" w:hAnsi="Times New Roman" w:cs="Times New Roman"/>
        <w:sz w:val="18"/>
        <w:szCs w:val="18"/>
      </w:rPr>
      <w:t xml:space="preserve"> o </w:t>
    </w:r>
    <w:proofErr w:type="spellStart"/>
    <w:r w:rsidR="00712B31">
      <w:rPr>
        <w:rFonts w:ascii="Times New Roman" w:hAnsi="Times New Roman" w:cs="Times New Roman"/>
        <w:sz w:val="18"/>
        <w:szCs w:val="18"/>
      </w:rPr>
      <w:t>prevode</w:t>
    </w:r>
    <w:proofErr w:type="spellEnd"/>
    <w:r w:rsidRPr="00F628D1">
      <w:rPr>
        <w:rFonts w:ascii="Times New Roman" w:hAnsi="Times New Roman" w:cs="Times New Roman"/>
        <w:sz w:val="18"/>
        <w:szCs w:val="18"/>
      </w:rPr>
      <w:t xml:space="preserve">, </w:t>
    </w:r>
    <w:proofErr w:type="spellStart"/>
    <w:proofErr w:type="gramStart"/>
    <w:r w:rsidRPr="00F628D1">
      <w:rPr>
        <w:rFonts w:ascii="Times New Roman" w:hAnsi="Times New Roman" w:cs="Times New Roman"/>
        <w:sz w:val="18"/>
        <w:szCs w:val="18"/>
      </w:rPr>
      <w:t>ev.č</w:t>
    </w:r>
    <w:proofErr w:type="spellEnd"/>
    <w:r w:rsidRPr="00F628D1">
      <w:rPr>
        <w:rFonts w:ascii="Times New Roman" w:hAnsi="Times New Roman" w:cs="Times New Roman"/>
        <w:sz w:val="18"/>
        <w:szCs w:val="18"/>
      </w:rPr>
      <w:t>.:</w:t>
    </w:r>
    <w:proofErr w:type="gramEnd"/>
    <w:r w:rsidRPr="00F628D1">
      <w:rPr>
        <w:rFonts w:ascii="Times New Roman" w:hAnsi="Times New Roman" w:cs="Times New Roman"/>
        <w:sz w:val="18"/>
        <w:szCs w:val="18"/>
      </w:rPr>
      <w:t xml:space="preserve"> 201</w:t>
    </w:r>
    <w:r w:rsidR="00712B31">
      <w:rPr>
        <w:rFonts w:ascii="Times New Roman" w:hAnsi="Times New Roman" w:cs="Times New Roman"/>
        <w:sz w:val="18"/>
        <w:szCs w:val="18"/>
      </w:rPr>
      <w:t>9</w:t>
    </w:r>
    <w:r w:rsidRPr="00F628D1">
      <w:rPr>
        <w:rFonts w:ascii="Times New Roman" w:hAnsi="Times New Roman" w:cs="Times New Roman"/>
        <w:sz w:val="18"/>
        <w:szCs w:val="18"/>
      </w:rPr>
      <w:t>/</w:t>
    </w:r>
    <w:r w:rsidR="00EE073D">
      <w:rPr>
        <w:rFonts w:ascii="Times New Roman" w:hAnsi="Times New Roman" w:cs="Times New Roman"/>
        <w:sz w:val="18"/>
        <w:szCs w:val="18"/>
      </w:rPr>
      <w:t>0</w:t>
    </w:r>
    <w:r w:rsidR="008B0FDE">
      <w:rPr>
        <w:rFonts w:ascii="Times New Roman" w:hAnsi="Times New Roman" w:cs="Times New Roman"/>
        <w:sz w:val="18"/>
        <w:szCs w:val="18"/>
      </w:rPr>
      <w:t>7105</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07106</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07107</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07108</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07109</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07110</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07111</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07112</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07113</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07114</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07115</w:t>
    </w:r>
    <w:r w:rsidR="00EE073D">
      <w:rPr>
        <w:rFonts w:ascii="Times New Roman" w:hAnsi="Times New Roman" w:cs="Times New Roman"/>
        <w:sz w:val="18"/>
        <w:szCs w:val="18"/>
      </w:rPr>
      <w:t>-</w:t>
    </w:r>
    <w:r w:rsidR="00712B31">
      <w:rPr>
        <w:rFonts w:ascii="Times New Roman" w:hAnsi="Times New Roman" w:cs="Times New Roman"/>
        <w:sz w:val="18"/>
        <w:szCs w:val="18"/>
      </w:rPr>
      <w:t>TR</w:t>
    </w:r>
    <w:r w:rsidR="00EE073D">
      <w:rPr>
        <w:rFonts w:ascii="Times New Roman" w:hAnsi="Times New Roman" w:cs="Times New Roman"/>
        <w:sz w:val="18"/>
        <w:szCs w:val="18"/>
      </w:rPr>
      <w:t>, 201</w:t>
    </w:r>
    <w:r w:rsidR="00712B31">
      <w:rPr>
        <w:rFonts w:ascii="Times New Roman" w:hAnsi="Times New Roman" w:cs="Times New Roman"/>
        <w:sz w:val="18"/>
        <w:szCs w:val="18"/>
      </w:rPr>
      <w:t>9</w:t>
    </w:r>
    <w:r w:rsidR="00EE073D">
      <w:rPr>
        <w:rFonts w:ascii="Times New Roman" w:hAnsi="Times New Roman" w:cs="Times New Roman"/>
        <w:sz w:val="18"/>
        <w:szCs w:val="18"/>
      </w:rPr>
      <w:t>/</w:t>
    </w:r>
    <w:r w:rsidR="008B0FDE">
      <w:rPr>
        <w:rFonts w:ascii="Times New Roman" w:hAnsi="Times New Roman" w:cs="Times New Roman"/>
        <w:sz w:val="18"/>
        <w:szCs w:val="18"/>
      </w:rPr>
      <w:t>0711</w:t>
    </w:r>
    <w:r w:rsidR="00693C76">
      <w:rPr>
        <w:rFonts w:ascii="Times New Roman" w:hAnsi="Times New Roman" w:cs="Times New Roman"/>
        <w:sz w:val="18"/>
        <w:szCs w:val="18"/>
      </w:rPr>
      <w:t>6</w:t>
    </w:r>
    <w:r w:rsidR="00EE073D">
      <w:rPr>
        <w:rFonts w:ascii="Times New Roman" w:hAnsi="Times New Roman" w:cs="Times New Roman"/>
        <w:sz w:val="18"/>
        <w:szCs w:val="18"/>
      </w:rPr>
      <w:t>-</w:t>
    </w:r>
    <w:r w:rsidR="00712B31">
      <w:rPr>
        <w:rFonts w:ascii="Times New Roman" w:hAnsi="Times New Roman" w:cs="Times New Roman"/>
        <w:sz w:val="18"/>
        <w:szCs w:val="18"/>
      </w:rPr>
      <w:t>TR</w:t>
    </w:r>
  </w:p>
  <w:p w14:paraId="789AF7A6" w14:textId="7954E58A" w:rsidR="00C26B1E" w:rsidRPr="005E3D0A" w:rsidRDefault="00C26B1E" w:rsidP="00C26B1E">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2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ev.č</w:t>
    </w:r>
    <w:proofErr w:type="spellEnd"/>
    <w:r>
      <w:rPr>
        <w:rFonts w:ascii="Times New Roman" w:hAnsi="Times New Roman"/>
        <w:sz w:val="18"/>
        <w:szCs w:val="18"/>
      </w:rPr>
      <w:t>. 2019/07083-Z1B</w:t>
    </w:r>
  </w:p>
  <w:p w14:paraId="2B4B08BD" w14:textId="77777777" w:rsidR="00C26B1E" w:rsidRPr="00F628D1" w:rsidRDefault="00C26B1E">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32E3F"/>
    <w:multiLevelType w:val="hybridMultilevel"/>
    <w:tmpl w:val="7F58D308"/>
    <w:lvl w:ilvl="0" w:tplc="04070001">
      <w:start w:val="1"/>
      <w:numFmt w:val="bullet"/>
      <w:lvlText w:val=""/>
      <w:lvlJc w:val="left"/>
      <w:pPr>
        <w:ind w:left="720" w:hanging="360"/>
      </w:pPr>
      <w:rPr>
        <w:rFonts w:ascii="Symbol" w:hAnsi="Symbol" w:hint="default"/>
      </w:rPr>
    </w:lvl>
    <w:lvl w:ilvl="1" w:tplc="83C0C3AC">
      <w:numFmt w:val="bullet"/>
      <w:lvlText w:val="•"/>
      <w:lvlJc w:val="left"/>
      <w:pPr>
        <w:ind w:left="1800" w:hanging="720"/>
      </w:pPr>
      <w:rPr>
        <w:rFonts w:ascii="Verdana" w:eastAsia="SimSun" w:hAnsi="Verdana"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1F"/>
    <w:rsid w:val="00016AF3"/>
    <w:rsid w:val="000300E8"/>
    <w:rsid w:val="0003321A"/>
    <w:rsid w:val="00042231"/>
    <w:rsid w:val="000453F2"/>
    <w:rsid w:val="000478B5"/>
    <w:rsid w:val="00053BD4"/>
    <w:rsid w:val="0007799A"/>
    <w:rsid w:val="000C0C5D"/>
    <w:rsid w:val="000C7303"/>
    <w:rsid w:val="000E6A2C"/>
    <w:rsid w:val="001463F5"/>
    <w:rsid w:val="00152CBA"/>
    <w:rsid w:val="00152E98"/>
    <w:rsid w:val="00156671"/>
    <w:rsid w:val="00180C5A"/>
    <w:rsid w:val="001817BD"/>
    <w:rsid w:val="00185EAF"/>
    <w:rsid w:val="00186754"/>
    <w:rsid w:val="00192946"/>
    <w:rsid w:val="001A2511"/>
    <w:rsid w:val="001A3429"/>
    <w:rsid w:val="001C2C8F"/>
    <w:rsid w:val="001C6725"/>
    <w:rsid w:val="001C6A4F"/>
    <w:rsid w:val="001C7771"/>
    <w:rsid w:val="001D02FA"/>
    <w:rsid w:val="00205C17"/>
    <w:rsid w:val="002247DC"/>
    <w:rsid w:val="00235CE9"/>
    <w:rsid w:val="00244051"/>
    <w:rsid w:val="00252D19"/>
    <w:rsid w:val="00256BEB"/>
    <w:rsid w:val="00262EBD"/>
    <w:rsid w:val="0026796E"/>
    <w:rsid w:val="00267DD0"/>
    <w:rsid w:val="00270695"/>
    <w:rsid w:val="00272380"/>
    <w:rsid w:val="00273027"/>
    <w:rsid w:val="002976EF"/>
    <w:rsid w:val="002A3C59"/>
    <w:rsid w:val="002C164E"/>
    <w:rsid w:val="002D165B"/>
    <w:rsid w:val="002D2EAE"/>
    <w:rsid w:val="002D601F"/>
    <w:rsid w:val="0030304B"/>
    <w:rsid w:val="00317BCB"/>
    <w:rsid w:val="00353739"/>
    <w:rsid w:val="003565BD"/>
    <w:rsid w:val="003772C8"/>
    <w:rsid w:val="00396D62"/>
    <w:rsid w:val="003A6D97"/>
    <w:rsid w:val="003B1DED"/>
    <w:rsid w:val="003B3D6B"/>
    <w:rsid w:val="003C2091"/>
    <w:rsid w:val="003D11D7"/>
    <w:rsid w:val="003E0A8B"/>
    <w:rsid w:val="003E2AFC"/>
    <w:rsid w:val="003E35A4"/>
    <w:rsid w:val="003F6B10"/>
    <w:rsid w:val="00406C4F"/>
    <w:rsid w:val="0041657A"/>
    <w:rsid w:val="004205C6"/>
    <w:rsid w:val="00427AA7"/>
    <w:rsid w:val="00441D36"/>
    <w:rsid w:val="004473D9"/>
    <w:rsid w:val="004717A0"/>
    <w:rsid w:val="00471DBE"/>
    <w:rsid w:val="00473E07"/>
    <w:rsid w:val="004E6969"/>
    <w:rsid w:val="005020F9"/>
    <w:rsid w:val="00524DC2"/>
    <w:rsid w:val="005370E7"/>
    <w:rsid w:val="00546201"/>
    <w:rsid w:val="00556A4B"/>
    <w:rsid w:val="0056391B"/>
    <w:rsid w:val="00564DEE"/>
    <w:rsid w:val="00584FB9"/>
    <w:rsid w:val="005950DA"/>
    <w:rsid w:val="005B43EB"/>
    <w:rsid w:val="005B658F"/>
    <w:rsid w:val="005B7ACA"/>
    <w:rsid w:val="005C2E70"/>
    <w:rsid w:val="005D1152"/>
    <w:rsid w:val="005D437A"/>
    <w:rsid w:val="005D5ACF"/>
    <w:rsid w:val="005D6910"/>
    <w:rsid w:val="005D7C10"/>
    <w:rsid w:val="005E7FF6"/>
    <w:rsid w:val="006021A7"/>
    <w:rsid w:val="00635DA4"/>
    <w:rsid w:val="0064086B"/>
    <w:rsid w:val="006512B9"/>
    <w:rsid w:val="006722C1"/>
    <w:rsid w:val="00687A3C"/>
    <w:rsid w:val="00687E3A"/>
    <w:rsid w:val="00693C76"/>
    <w:rsid w:val="006A5AA9"/>
    <w:rsid w:val="006D0BDA"/>
    <w:rsid w:val="007007D1"/>
    <w:rsid w:val="00702A7E"/>
    <w:rsid w:val="00707246"/>
    <w:rsid w:val="00712B31"/>
    <w:rsid w:val="00723DA2"/>
    <w:rsid w:val="00733C77"/>
    <w:rsid w:val="00736EC0"/>
    <w:rsid w:val="0074457C"/>
    <w:rsid w:val="00745B01"/>
    <w:rsid w:val="00746DB3"/>
    <w:rsid w:val="00747BB9"/>
    <w:rsid w:val="00752C1D"/>
    <w:rsid w:val="007A3471"/>
    <w:rsid w:val="007A3D43"/>
    <w:rsid w:val="007C284E"/>
    <w:rsid w:val="00816F68"/>
    <w:rsid w:val="00835FAC"/>
    <w:rsid w:val="00843E7D"/>
    <w:rsid w:val="008477B4"/>
    <w:rsid w:val="00850C46"/>
    <w:rsid w:val="00867297"/>
    <w:rsid w:val="008B0FDE"/>
    <w:rsid w:val="008C4D85"/>
    <w:rsid w:val="008D6392"/>
    <w:rsid w:val="008E1063"/>
    <w:rsid w:val="008E296D"/>
    <w:rsid w:val="008E2EC3"/>
    <w:rsid w:val="008E56F6"/>
    <w:rsid w:val="008F5517"/>
    <w:rsid w:val="0090745B"/>
    <w:rsid w:val="00962E17"/>
    <w:rsid w:val="0097166F"/>
    <w:rsid w:val="009926D1"/>
    <w:rsid w:val="009A0B7E"/>
    <w:rsid w:val="009A4B2E"/>
    <w:rsid w:val="009B2344"/>
    <w:rsid w:val="009C2B4E"/>
    <w:rsid w:val="009C7F9C"/>
    <w:rsid w:val="009D6C37"/>
    <w:rsid w:val="009F5D06"/>
    <w:rsid w:val="00A15976"/>
    <w:rsid w:val="00A33E44"/>
    <w:rsid w:val="00A62328"/>
    <w:rsid w:val="00A64AFB"/>
    <w:rsid w:val="00A65331"/>
    <w:rsid w:val="00A70A62"/>
    <w:rsid w:val="00A73217"/>
    <w:rsid w:val="00A96DB4"/>
    <w:rsid w:val="00AA4E78"/>
    <w:rsid w:val="00AB37B0"/>
    <w:rsid w:val="00AD5D79"/>
    <w:rsid w:val="00AD64C2"/>
    <w:rsid w:val="00AE13CA"/>
    <w:rsid w:val="00AE1518"/>
    <w:rsid w:val="00B03A28"/>
    <w:rsid w:val="00B1014B"/>
    <w:rsid w:val="00B36411"/>
    <w:rsid w:val="00B410FA"/>
    <w:rsid w:val="00B41C00"/>
    <w:rsid w:val="00B60314"/>
    <w:rsid w:val="00B6339B"/>
    <w:rsid w:val="00B67C42"/>
    <w:rsid w:val="00B73D29"/>
    <w:rsid w:val="00B743A2"/>
    <w:rsid w:val="00B75FBC"/>
    <w:rsid w:val="00B77126"/>
    <w:rsid w:val="00B83032"/>
    <w:rsid w:val="00B8541B"/>
    <w:rsid w:val="00B9495D"/>
    <w:rsid w:val="00BA4201"/>
    <w:rsid w:val="00BA5A52"/>
    <w:rsid w:val="00BC346D"/>
    <w:rsid w:val="00BC7C34"/>
    <w:rsid w:val="00BD6620"/>
    <w:rsid w:val="00BF1A5E"/>
    <w:rsid w:val="00C002F5"/>
    <w:rsid w:val="00C15360"/>
    <w:rsid w:val="00C21319"/>
    <w:rsid w:val="00C26B1E"/>
    <w:rsid w:val="00C43DB5"/>
    <w:rsid w:val="00C602AE"/>
    <w:rsid w:val="00C7168A"/>
    <w:rsid w:val="00C809C5"/>
    <w:rsid w:val="00C84F60"/>
    <w:rsid w:val="00C86CA1"/>
    <w:rsid w:val="00C96F20"/>
    <w:rsid w:val="00CA286D"/>
    <w:rsid w:val="00CA4D4A"/>
    <w:rsid w:val="00CC1855"/>
    <w:rsid w:val="00CC6FA1"/>
    <w:rsid w:val="00CD6463"/>
    <w:rsid w:val="00D00034"/>
    <w:rsid w:val="00D0065B"/>
    <w:rsid w:val="00D2721B"/>
    <w:rsid w:val="00D40C67"/>
    <w:rsid w:val="00D417AA"/>
    <w:rsid w:val="00D53DF8"/>
    <w:rsid w:val="00D55FB8"/>
    <w:rsid w:val="00D57396"/>
    <w:rsid w:val="00D602A3"/>
    <w:rsid w:val="00D65589"/>
    <w:rsid w:val="00D70882"/>
    <w:rsid w:val="00D72148"/>
    <w:rsid w:val="00D80680"/>
    <w:rsid w:val="00DA71A6"/>
    <w:rsid w:val="00DA7B23"/>
    <w:rsid w:val="00DD1AA8"/>
    <w:rsid w:val="00DD5DB3"/>
    <w:rsid w:val="00DF269F"/>
    <w:rsid w:val="00E06124"/>
    <w:rsid w:val="00E33502"/>
    <w:rsid w:val="00E52733"/>
    <w:rsid w:val="00E61792"/>
    <w:rsid w:val="00EA11A7"/>
    <w:rsid w:val="00EB2A72"/>
    <w:rsid w:val="00EB4B91"/>
    <w:rsid w:val="00EE073D"/>
    <w:rsid w:val="00EE7396"/>
    <w:rsid w:val="00F32864"/>
    <w:rsid w:val="00F50793"/>
    <w:rsid w:val="00F51052"/>
    <w:rsid w:val="00F53EEA"/>
    <w:rsid w:val="00F628D1"/>
    <w:rsid w:val="00F83558"/>
    <w:rsid w:val="00FA72A8"/>
    <w:rsid w:val="00FA7A31"/>
    <w:rsid w:val="00FB5B12"/>
    <w:rsid w:val="00FB79A2"/>
    <w:rsid w:val="00FC5FBF"/>
    <w:rsid w:val="00FE218F"/>
    <w:rsid w:val="00FF1682"/>
    <w:rsid w:val="00FF2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D0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 w:type="paragraph" w:styleId="Bezriadkovania">
    <w:name w:val="No Spacing"/>
    <w:uiPriority w:val="1"/>
    <w:qFormat/>
    <w:rsid w:val="008B0F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 w:type="paragraph" w:styleId="Bezriadkovania">
    <w:name w:val="No Spacing"/>
    <w:uiPriority w:val="1"/>
    <w:qFormat/>
    <w:rsid w:val="008B0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8965">
      <w:bodyDiv w:val="1"/>
      <w:marLeft w:val="0"/>
      <w:marRight w:val="0"/>
      <w:marTop w:val="0"/>
      <w:marBottom w:val="0"/>
      <w:divBdr>
        <w:top w:val="none" w:sz="0" w:space="0" w:color="auto"/>
        <w:left w:val="none" w:sz="0" w:space="0" w:color="auto"/>
        <w:bottom w:val="none" w:sz="0" w:space="0" w:color="auto"/>
        <w:right w:val="none" w:sz="0" w:space="0" w:color="auto"/>
      </w:divBdr>
    </w:div>
    <w:div w:id="1544247491">
      <w:bodyDiv w:val="1"/>
      <w:marLeft w:val="0"/>
      <w:marRight w:val="0"/>
      <w:marTop w:val="0"/>
      <w:marBottom w:val="0"/>
      <w:divBdr>
        <w:top w:val="none" w:sz="0" w:space="0" w:color="auto"/>
        <w:left w:val="none" w:sz="0" w:space="0" w:color="auto"/>
        <w:bottom w:val="none" w:sz="0" w:space="0" w:color="auto"/>
        <w:right w:val="none" w:sz="0" w:space="0" w:color="auto"/>
      </w:divBdr>
    </w:div>
    <w:div w:id="1557626692">
      <w:bodyDiv w:val="1"/>
      <w:marLeft w:val="0"/>
      <w:marRight w:val="0"/>
      <w:marTop w:val="0"/>
      <w:marBottom w:val="0"/>
      <w:divBdr>
        <w:top w:val="none" w:sz="0" w:space="0" w:color="auto"/>
        <w:left w:val="none" w:sz="0" w:space="0" w:color="auto"/>
        <w:bottom w:val="none" w:sz="0" w:space="0" w:color="auto"/>
        <w:right w:val="none" w:sz="0" w:space="0" w:color="auto"/>
      </w:divBdr>
    </w:div>
    <w:div w:id="1701710098">
      <w:bodyDiv w:val="1"/>
      <w:marLeft w:val="0"/>
      <w:marRight w:val="0"/>
      <w:marTop w:val="0"/>
      <w:marBottom w:val="0"/>
      <w:divBdr>
        <w:top w:val="none" w:sz="0" w:space="0" w:color="auto"/>
        <w:left w:val="none" w:sz="0" w:space="0" w:color="auto"/>
        <w:bottom w:val="none" w:sz="0" w:space="0" w:color="auto"/>
        <w:right w:val="none" w:sz="0" w:space="0" w:color="auto"/>
      </w:divBdr>
    </w:div>
    <w:div w:id="2123919929">
      <w:bodyDiv w:val="1"/>
      <w:marLeft w:val="0"/>
      <w:marRight w:val="0"/>
      <w:marTop w:val="0"/>
      <w:marBottom w:val="0"/>
      <w:divBdr>
        <w:top w:val="none" w:sz="0" w:space="0" w:color="auto"/>
        <w:left w:val="none" w:sz="0" w:space="0" w:color="auto"/>
        <w:bottom w:val="none" w:sz="0" w:space="0" w:color="auto"/>
        <w:right w:val="none" w:sz="0" w:space="0" w:color="auto"/>
      </w:divBdr>
    </w:div>
    <w:div w:id="213444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ADR reporting</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0038</Edizione>
    <Fornitore xmlns="79cf6245-33ce-491d-a1ea-4ae6a612d3aa" xsi:nil="true"/>
    <Invio_x002f_Deposito xmlns="79cf6245-33ce-491d-a1ea-4ae6a612d3aa">2016-10-17T22:00:00+00:00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A2BD-129D-4289-9F2E-625F88770BCF}">
  <ds:schemaRefs>
    <ds:schemaRef ds:uri="http://schemas.microsoft.com/office/2006/metadata/properties"/>
    <ds:schemaRef ds:uri="http://schemas.microsoft.com/office/infopath/2007/PartnerControls"/>
    <ds:schemaRef ds:uri="79cf6245-33ce-491d-a1ea-4ae6a612d3aa"/>
  </ds:schemaRefs>
</ds:datastoreItem>
</file>

<file path=customXml/itemProps2.xml><?xml version="1.0" encoding="utf-8"?>
<ds:datastoreItem xmlns:ds="http://schemas.openxmlformats.org/officeDocument/2006/customXml" ds:itemID="{85D00534-B92E-44C4-AC19-89C2D957611E}">
  <ds:schemaRefs>
    <ds:schemaRef ds:uri="http://schemas.microsoft.com/sharepoint/v3/contenttype/forms"/>
  </ds:schemaRefs>
</ds:datastoreItem>
</file>

<file path=customXml/itemProps3.xml><?xml version="1.0" encoding="utf-8"?>
<ds:datastoreItem xmlns:ds="http://schemas.openxmlformats.org/officeDocument/2006/customXml" ds:itemID="{31BC8655-59FD-4558-AE31-3CCE26CB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31F81-FE18-4F43-890F-B4C75B9D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10</Pages>
  <Words>3451</Words>
  <Characters>19676</Characters>
  <Application>Microsoft Office Word</Application>
  <DocSecurity>0</DocSecurity>
  <Lines>163</Lines>
  <Paragraphs>46</Paragraphs>
  <ScaleCrop>false</ScaleCrop>
  <HeadingPairs>
    <vt:vector size="10" baseType="variant">
      <vt:variant>
        <vt:lpstr>Názov</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23081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Valovičová, Monika</cp:lastModifiedBy>
  <cp:revision>45</cp:revision>
  <dcterms:created xsi:type="dcterms:W3CDTF">2019-07-01T08:02:00Z</dcterms:created>
  <dcterms:modified xsi:type="dcterms:W3CDTF">2020-01-27T09:16:00Z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