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1D" w:rsidRPr="00044184" w:rsidRDefault="0078151D" w:rsidP="00695459">
      <w:pPr>
        <w:spacing w:line="240" w:lineRule="auto"/>
        <w:jc w:val="center"/>
        <w:rPr>
          <w:b/>
          <w:bCs/>
          <w:szCs w:val="22"/>
          <w:lang w:val="sk-SK"/>
        </w:rPr>
      </w:pPr>
      <w:bookmarkStart w:id="0" w:name="_GoBack"/>
      <w:bookmarkEnd w:id="0"/>
      <w:r w:rsidRPr="00044184">
        <w:rPr>
          <w:b/>
          <w:bCs/>
          <w:szCs w:val="22"/>
          <w:lang w:val="sk-SK"/>
        </w:rPr>
        <w:t>SÚHRN CHARAKTERISTICKÝCH VLASTNOSTÍ LIEKU</w:t>
      </w:r>
    </w:p>
    <w:p w:rsidR="0078151D" w:rsidRPr="00044184" w:rsidRDefault="0078151D" w:rsidP="00695459">
      <w:pPr>
        <w:spacing w:line="240" w:lineRule="auto"/>
        <w:rPr>
          <w:iCs/>
          <w:szCs w:val="22"/>
          <w:lang w:val="sk-SK"/>
        </w:rPr>
      </w:pPr>
    </w:p>
    <w:p w:rsidR="00695459" w:rsidRPr="00044184" w:rsidRDefault="00695459" w:rsidP="00695459">
      <w:pPr>
        <w:spacing w:line="240" w:lineRule="auto"/>
        <w:rPr>
          <w:iCs/>
          <w:szCs w:val="22"/>
          <w:lang w:val="sk-SK"/>
        </w:rPr>
      </w:pPr>
    </w:p>
    <w:p w:rsidR="001D29E6" w:rsidRPr="00044184" w:rsidRDefault="001D29E6" w:rsidP="00695459">
      <w:pPr>
        <w:widowControl w:val="0"/>
        <w:spacing w:line="240" w:lineRule="auto"/>
        <w:rPr>
          <w:szCs w:val="22"/>
          <w:lang w:val="sk-SK"/>
        </w:rPr>
      </w:pPr>
      <w:r w:rsidRPr="00044184">
        <w:rPr>
          <w:b/>
          <w:bCs/>
          <w:iCs/>
          <w:szCs w:val="22"/>
          <w:lang w:val="sk-SK"/>
        </w:rPr>
        <w:t>1.</w:t>
      </w:r>
      <w:r w:rsidRPr="00044184">
        <w:rPr>
          <w:bCs/>
          <w:iCs/>
          <w:szCs w:val="22"/>
          <w:lang w:val="sk-SK"/>
        </w:rPr>
        <w:tab/>
      </w:r>
      <w:r w:rsidR="0078151D" w:rsidRPr="00044184">
        <w:rPr>
          <w:b/>
          <w:szCs w:val="22"/>
          <w:lang w:val="sk-SK"/>
        </w:rPr>
        <w:t>NÁZOV LIEKU</w:t>
      </w:r>
    </w:p>
    <w:p w:rsidR="001D29E6" w:rsidRPr="00044184" w:rsidRDefault="001D29E6" w:rsidP="00695459">
      <w:pPr>
        <w:spacing w:line="240" w:lineRule="auto"/>
        <w:rPr>
          <w:iCs/>
          <w:szCs w:val="22"/>
          <w:lang w:val="sk-SK"/>
        </w:rPr>
      </w:pPr>
    </w:p>
    <w:p w:rsidR="001D29E6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100 </w:t>
      </w:r>
      <w:r w:rsidR="004C0805" w:rsidRPr="00044184">
        <w:rPr>
          <w:szCs w:val="22"/>
          <w:lang w:val="sk-SK"/>
        </w:rPr>
        <w:t xml:space="preserve">mg </w:t>
      </w:r>
    </w:p>
    <w:p w:rsidR="00C671BD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</w:t>
      </w:r>
      <w:r w:rsidR="004C0805" w:rsidRPr="00044184">
        <w:rPr>
          <w:szCs w:val="22"/>
          <w:lang w:val="sk-SK"/>
        </w:rPr>
        <w:t>150</w:t>
      </w:r>
      <w:r w:rsidRPr="00044184">
        <w:rPr>
          <w:szCs w:val="22"/>
          <w:lang w:val="sk-SK"/>
        </w:rPr>
        <w:t> </w:t>
      </w:r>
      <w:r w:rsidR="004C0805" w:rsidRPr="00044184">
        <w:rPr>
          <w:szCs w:val="22"/>
          <w:lang w:val="sk-SK"/>
        </w:rPr>
        <w:t xml:space="preserve">mg </w:t>
      </w:r>
    </w:p>
    <w:p w:rsidR="004C0805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filmom obalené tablety</w:t>
      </w:r>
    </w:p>
    <w:p w:rsidR="004C0805" w:rsidRPr="00044184" w:rsidRDefault="004C0805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widowControl w:val="0"/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widowControl w:val="0"/>
        <w:spacing w:line="240" w:lineRule="auto"/>
        <w:rPr>
          <w:szCs w:val="22"/>
          <w:lang w:val="sk-SK"/>
        </w:rPr>
      </w:pPr>
      <w:r w:rsidRPr="00044184">
        <w:rPr>
          <w:b/>
          <w:szCs w:val="22"/>
          <w:lang w:val="sk-SK"/>
        </w:rPr>
        <w:t>2.</w:t>
      </w:r>
      <w:r w:rsidRPr="00044184">
        <w:rPr>
          <w:b/>
          <w:szCs w:val="22"/>
          <w:lang w:val="sk-SK"/>
        </w:rPr>
        <w:tab/>
      </w:r>
      <w:r w:rsidR="0078151D" w:rsidRPr="00044184">
        <w:rPr>
          <w:b/>
          <w:szCs w:val="22"/>
          <w:lang w:val="sk-SK"/>
        </w:rPr>
        <w:t>KVALITATÍVNE A KVANTITATÍVNE ZLOŽENIE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695459" w:rsidRPr="00044184" w:rsidRDefault="00695459" w:rsidP="00E32417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>Erlotinib STADA 100 mg</w:t>
      </w:r>
      <w:r w:rsidR="00E32417" w:rsidRPr="00E32417">
        <w:rPr>
          <w:i/>
          <w:szCs w:val="22"/>
          <w:lang w:val="sk-SK"/>
        </w:rPr>
        <w:t xml:space="preserve"> </w:t>
      </w:r>
      <w:r w:rsidR="00E32417">
        <w:rPr>
          <w:i/>
          <w:szCs w:val="22"/>
          <w:lang w:val="sk-SK"/>
        </w:rPr>
        <w:t>filmom obalené tablety</w:t>
      </w:r>
    </w:p>
    <w:p w:rsidR="00695459" w:rsidRPr="00044184" w:rsidRDefault="0069545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Každá filmom obalená tableta obsahuje 100 mg erlotinibu (vo forme erlotiníbiumchloridu).</w:t>
      </w:r>
    </w:p>
    <w:p w:rsidR="00E32417" w:rsidRPr="00044184" w:rsidRDefault="00695459" w:rsidP="00675F45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150 mg </w:t>
      </w:r>
      <w:r w:rsidR="00E32417">
        <w:rPr>
          <w:i/>
          <w:szCs w:val="22"/>
          <w:lang w:val="sk-SK"/>
        </w:rPr>
        <w:t>filmom obalené tablety</w:t>
      </w:r>
    </w:p>
    <w:p w:rsidR="004C0805" w:rsidRPr="00044184" w:rsidRDefault="0069545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Každá</w:t>
      </w:r>
      <w:r w:rsidR="0078151D" w:rsidRPr="00044184">
        <w:rPr>
          <w:szCs w:val="22"/>
          <w:lang w:val="sk-SK"/>
        </w:rPr>
        <w:t xml:space="preserve"> filmom obalená tableta obsahuje 150 mg erlotinibu (vo forme erlotiníbiumchloridu</w:t>
      </w:r>
      <w:r w:rsidR="009F233D" w:rsidRPr="00044184">
        <w:rPr>
          <w:szCs w:val="22"/>
          <w:lang w:val="sk-SK"/>
        </w:rPr>
        <w:t>)</w:t>
      </w:r>
      <w:r w:rsidR="0078151D" w:rsidRPr="00044184">
        <w:rPr>
          <w:szCs w:val="22"/>
          <w:lang w:val="sk-SK"/>
        </w:rPr>
        <w:t>.</w:t>
      </w:r>
    </w:p>
    <w:p w:rsidR="004C0805" w:rsidRPr="00044184" w:rsidRDefault="004C0805" w:rsidP="00695459">
      <w:pPr>
        <w:spacing w:line="240" w:lineRule="auto"/>
        <w:rPr>
          <w:szCs w:val="22"/>
          <w:lang w:val="sk-SK"/>
        </w:rPr>
      </w:pPr>
    </w:p>
    <w:p w:rsidR="004C0805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u w:val="single"/>
          <w:lang w:val="sk-SK"/>
        </w:rPr>
        <w:t>Pomocná látka so známym účinkom</w:t>
      </w:r>
      <w:r w:rsidR="00185851">
        <w:rPr>
          <w:szCs w:val="22"/>
          <w:u w:val="single"/>
          <w:lang w:val="sk-SK"/>
        </w:rPr>
        <w:t>:</w:t>
      </w:r>
    </w:p>
    <w:p w:rsidR="00695459" w:rsidRPr="00044184" w:rsidRDefault="00695459" w:rsidP="00E00F45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100 mg </w:t>
      </w:r>
      <w:r w:rsidR="00E00F45">
        <w:rPr>
          <w:i/>
          <w:szCs w:val="22"/>
          <w:lang w:val="sk-SK"/>
        </w:rPr>
        <w:t>filmom obalené tablety</w:t>
      </w:r>
    </w:p>
    <w:p w:rsidR="00695459" w:rsidRPr="00044184" w:rsidRDefault="00695459" w:rsidP="00695459">
      <w:pPr>
        <w:spacing w:line="240" w:lineRule="auto"/>
        <w:rPr>
          <w:i/>
          <w:szCs w:val="22"/>
          <w:lang w:val="sk-SK"/>
        </w:rPr>
      </w:pPr>
      <w:r w:rsidRPr="00044184">
        <w:rPr>
          <w:szCs w:val="22"/>
          <w:lang w:val="sk-SK"/>
        </w:rPr>
        <w:t>Každá filmom obalená tableta obsahuje 95,93 mg monohydrátu laktózy.</w:t>
      </w:r>
    </w:p>
    <w:p w:rsidR="00695459" w:rsidRPr="00044184" w:rsidRDefault="00695459" w:rsidP="00E00F45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150 mg </w:t>
      </w:r>
      <w:r w:rsidR="00E00F45">
        <w:rPr>
          <w:i/>
          <w:szCs w:val="22"/>
          <w:lang w:val="sk-SK"/>
        </w:rPr>
        <w:t>filmom obalené tablety</w:t>
      </w:r>
    </w:p>
    <w:p w:rsidR="004C0805" w:rsidRPr="00044184" w:rsidRDefault="0069545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Každá filmom obalená tableta obsahuje 143,90 mg monohydrátu laktózy.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1D29E6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Úplný zoznam pomocných látok, pozri časť 6.</w:t>
      </w:r>
      <w:r w:rsidR="004C0805" w:rsidRPr="00044184">
        <w:rPr>
          <w:szCs w:val="22"/>
          <w:lang w:val="sk-SK"/>
        </w:rPr>
        <w:t>1.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251ED6" w:rsidRPr="00044184" w:rsidRDefault="00251ED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caps/>
          <w:szCs w:val="22"/>
          <w:lang w:val="sk-SK"/>
        </w:rPr>
      </w:pPr>
      <w:r w:rsidRPr="00044184">
        <w:rPr>
          <w:b/>
          <w:szCs w:val="22"/>
          <w:lang w:val="sk-SK"/>
        </w:rPr>
        <w:t>3.</w:t>
      </w:r>
      <w:r w:rsidRPr="00044184">
        <w:rPr>
          <w:b/>
          <w:szCs w:val="22"/>
          <w:lang w:val="sk-SK"/>
        </w:rPr>
        <w:tab/>
      </w:r>
      <w:r w:rsidR="0078151D" w:rsidRPr="00044184">
        <w:rPr>
          <w:b/>
          <w:szCs w:val="22"/>
          <w:lang w:val="sk-SK"/>
        </w:rPr>
        <w:t>LIEKOVÁ FORMA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78151D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Filmom obalená tableta</w:t>
      </w:r>
      <w:r w:rsidR="00185851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AA6CA8" w:rsidRPr="00044184" w:rsidRDefault="00AA6CA8" w:rsidP="00E00F45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100 mg </w:t>
      </w:r>
      <w:r w:rsidR="00E00F45">
        <w:rPr>
          <w:i/>
          <w:szCs w:val="22"/>
          <w:lang w:val="sk-SK"/>
        </w:rPr>
        <w:t>filmom obalené tablety</w:t>
      </w:r>
    </w:p>
    <w:p w:rsidR="00AA6CA8" w:rsidRPr="00044184" w:rsidRDefault="00AA6CA8" w:rsidP="00AA6CA8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Biele až žltkasté okrúhle bikonvexné filmom obalené tablety s vyrazeným „100“ na jednej strane. Priemer tablety je 8,9 mm ± 5</w:t>
      </w:r>
      <w:r w:rsidR="00CC0B15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%.</w:t>
      </w:r>
    </w:p>
    <w:p w:rsidR="00AA6CA8" w:rsidRPr="00044184" w:rsidRDefault="00AA6CA8" w:rsidP="00AA6CA8">
      <w:pPr>
        <w:spacing w:line="240" w:lineRule="auto"/>
        <w:rPr>
          <w:i/>
          <w:szCs w:val="22"/>
          <w:lang w:val="sk-SK"/>
        </w:rPr>
      </w:pPr>
    </w:p>
    <w:p w:rsidR="00AA6CA8" w:rsidRPr="00044184" w:rsidRDefault="00AA6CA8" w:rsidP="00E00F45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150 mg </w:t>
      </w:r>
      <w:r w:rsidR="00E00F45">
        <w:rPr>
          <w:i/>
          <w:szCs w:val="22"/>
          <w:lang w:val="sk-SK"/>
        </w:rPr>
        <w:t>filmom obalené tablety</w:t>
      </w:r>
    </w:p>
    <w:p w:rsidR="00AA6CA8" w:rsidRPr="00044184" w:rsidRDefault="00AA6CA8" w:rsidP="00AA6CA8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Biele až žltkasté okrúhle bikonvexné filmom obalené tablety s vyrazeným „150“ na jednej strane. Priemer tablety je 10,5 mm ± 5</w:t>
      </w:r>
      <w:r w:rsidR="00CC0B15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%.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caps/>
          <w:szCs w:val="22"/>
          <w:lang w:val="sk-SK"/>
        </w:rPr>
      </w:pPr>
      <w:r w:rsidRPr="00044184">
        <w:rPr>
          <w:b/>
          <w:caps/>
          <w:szCs w:val="22"/>
          <w:lang w:val="sk-SK"/>
        </w:rPr>
        <w:t>4.</w:t>
      </w:r>
      <w:r w:rsidRPr="00044184">
        <w:rPr>
          <w:b/>
          <w:caps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KLINICKÉ ÚDAJE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4.1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Terapeutické indikácie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2108F2" w:rsidRPr="00044184" w:rsidRDefault="00566F94" w:rsidP="00695459">
      <w:pPr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u w:val="single"/>
          <w:lang w:val="sk-SK"/>
        </w:rPr>
        <w:t>Nemalobunkový karcinóm pľúc (NSCLC):</w:t>
      </w:r>
    </w:p>
    <w:p w:rsidR="002108F2" w:rsidRPr="00044184" w:rsidRDefault="00566F94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je indikovaný v prvej línii liečby pacientom s lokálne pokročilým alebo metastatickým nemalobunkovým karcinómom pľúc </w:t>
      </w:r>
      <w:r w:rsidR="002108F2" w:rsidRPr="00044184">
        <w:rPr>
          <w:szCs w:val="22"/>
          <w:lang w:val="sk-SK"/>
        </w:rPr>
        <w:t xml:space="preserve">(NSCLC) </w:t>
      </w:r>
      <w:r w:rsidRPr="00044184">
        <w:rPr>
          <w:szCs w:val="22"/>
          <w:lang w:val="sk-SK"/>
        </w:rPr>
        <w:t>s</w:t>
      </w:r>
      <w:r w:rsidR="009E58DB" w:rsidRPr="00044184">
        <w:rPr>
          <w:szCs w:val="22"/>
          <w:lang w:val="sk-SK"/>
        </w:rPr>
        <w:t> </w:t>
      </w:r>
      <w:r w:rsidRPr="00044184">
        <w:rPr>
          <w:szCs w:val="22"/>
          <w:lang w:val="sk-SK"/>
        </w:rPr>
        <w:t>aktivujúcimi mutáciami EGFR</w:t>
      </w:r>
      <w:r w:rsidR="002108F2" w:rsidRPr="00044184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2108F2" w:rsidRPr="00044184" w:rsidRDefault="00566F94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</w:t>
      </w:r>
      <w:r w:rsidR="00F035A9" w:rsidRPr="00044184">
        <w:rPr>
          <w:szCs w:val="22"/>
          <w:lang w:val="sk-SK"/>
        </w:rPr>
        <w:t xml:space="preserve">je tiež indikovaný na </w:t>
      </w:r>
      <w:r w:rsidR="000172DE" w:rsidRPr="00044184">
        <w:rPr>
          <w:szCs w:val="22"/>
          <w:lang w:val="sk-SK"/>
        </w:rPr>
        <w:t xml:space="preserve">prechod na </w:t>
      </w:r>
      <w:r w:rsidR="00F035A9" w:rsidRPr="00044184">
        <w:rPr>
          <w:szCs w:val="22"/>
          <w:lang w:val="sk-SK"/>
        </w:rPr>
        <w:t>udržiavaciu liečbu</w:t>
      </w:r>
      <w:r w:rsidR="000172DE" w:rsidRPr="00044184">
        <w:rPr>
          <w:szCs w:val="22"/>
          <w:lang w:val="sk-SK"/>
        </w:rPr>
        <w:t xml:space="preserve"> </w:t>
      </w:r>
      <w:r w:rsidR="009E58DB" w:rsidRPr="00044184">
        <w:rPr>
          <w:szCs w:val="22"/>
          <w:lang w:val="sk-SK"/>
        </w:rPr>
        <w:t xml:space="preserve">u pacientov s lokálne pokročilým alebo metastatickým </w:t>
      </w:r>
      <w:r w:rsidR="002108F2" w:rsidRPr="00044184">
        <w:rPr>
          <w:szCs w:val="22"/>
          <w:lang w:val="sk-SK"/>
        </w:rPr>
        <w:t xml:space="preserve">NSCLC </w:t>
      </w:r>
      <w:r w:rsidR="009E58DB" w:rsidRPr="00044184">
        <w:rPr>
          <w:szCs w:val="22"/>
          <w:lang w:val="sk-SK"/>
        </w:rPr>
        <w:t>s aktivujúcimi mutáciami EGFR a</w:t>
      </w:r>
      <w:r w:rsidR="00015A43" w:rsidRPr="00044184">
        <w:rPr>
          <w:szCs w:val="22"/>
          <w:lang w:val="sk-SK"/>
        </w:rPr>
        <w:t> </w:t>
      </w:r>
      <w:r w:rsidR="00611D68" w:rsidRPr="00044184">
        <w:rPr>
          <w:szCs w:val="22"/>
          <w:lang w:val="sk-SK"/>
        </w:rPr>
        <w:t>na</w:t>
      </w:r>
      <w:r w:rsidR="00015A43" w:rsidRPr="00044184">
        <w:rPr>
          <w:szCs w:val="22"/>
          <w:lang w:val="sk-SK"/>
        </w:rPr>
        <w:t> </w:t>
      </w:r>
      <w:r w:rsidR="00997F03" w:rsidRPr="00044184">
        <w:rPr>
          <w:szCs w:val="22"/>
          <w:lang w:val="sk-SK"/>
        </w:rPr>
        <w:t>stabiliz</w:t>
      </w:r>
      <w:r w:rsidR="00611D68" w:rsidRPr="00044184">
        <w:rPr>
          <w:szCs w:val="22"/>
          <w:lang w:val="sk-SK"/>
        </w:rPr>
        <w:t>áciu</w:t>
      </w:r>
      <w:r w:rsidR="00774AFE" w:rsidRPr="00044184">
        <w:rPr>
          <w:szCs w:val="22"/>
          <w:lang w:val="sk-SK"/>
        </w:rPr>
        <w:t xml:space="preserve"> </w:t>
      </w:r>
      <w:r w:rsidR="009E58DB" w:rsidRPr="00044184">
        <w:rPr>
          <w:szCs w:val="22"/>
          <w:lang w:val="sk-SK"/>
        </w:rPr>
        <w:t>ochoren</w:t>
      </w:r>
      <w:r w:rsidR="00611D68" w:rsidRPr="00044184">
        <w:rPr>
          <w:szCs w:val="22"/>
          <w:lang w:val="sk-SK"/>
        </w:rPr>
        <w:t>ia</w:t>
      </w:r>
      <w:r w:rsidR="009E58DB" w:rsidRPr="00044184">
        <w:rPr>
          <w:szCs w:val="22"/>
          <w:lang w:val="sk-SK"/>
        </w:rPr>
        <w:t xml:space="preserve"> po chemoterapii</w:t>
      </w:r>
      <w:r w:rsidR="00611D68" w:rsidRPr="00044184">
        <w:rPr>
          <w:szCs w:val="22"/>
          <w:lang w:val="sk-SK"/>
        </w:rPr>
        <w:t xml:space="preserve"> prvej línie</w:t>
      </w:r>
      <w:r w:rsidR="00422FEF" w:rsidRPr="00044184">
        <w:rPr>
          <w:szCs w:val="22"/>
          <w:lang w:val="sk-SK"/>
        </w:rPr>
        <w:t>.</w:t>
      </w:r>
    </w:p>
    <w:p w:rsidR="00AA6CA8" w:rsidRPr="00044184" w:rsidRDefault="00AA6CA8" w:rsidP="00695459">
      <w:pPr>
        <w:spacing w:line="240" w:lineRule="auto"/>
        <w:rPr>
          <w:szCs w:val="22"/>
          <w:lang w:val="sk-SK"/>
        </w:rPr>
      </w:pPr>
    </w:p>
    <w:p w:rsidR="002108F2" w:rsidRPr="00044184" w:rsidRDefault="009E58DB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je tiež indikovaný na liečbu pacientov s lokálne pokročilým alebo metastatickým NSCLC po zlyhaní </w:t>
      </w:r>
      <w:r w:rsidR="00774AFE" w:rsidRPr="00044184">
        <w:rPr>
          <w:szCs w:val="22"/>
          <w:lang w:val="sk-SK"/>
        </w:rPr>
        <w:t>aspoň jedného predchádzajúceho režimu chemoterapie</w:t>
      </w:r>
      <w:r w:rsidR="002108F2" w:rsidRPr="00044184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422FEF" w:rsidRPr="00044184" w:rsidRDefault="005173E4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Pri predpisovaní Erlotinibu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sa majú vziať do úvahy faktory sp</w:t>
      </w:r>
      <w:r w:rsidR="00611D68" w:rsidRPr="00044184">
        <w:rPr>
          <w:szCs w:val="22"/>
          <w:lang w:val="sk-SK"/>
        </w:rPr>
        <w:t>ojené</w:t>
      </w:r>
      <w:r w:rsidRPr="00044184">
        <w:rPr>
          <w:szCs w:val="22"/>
          <w:lang w:val="sk-SK"/>
        </w:rPr>
        <w:t xml:space="preserve"> s predĺžen</w:t>
      </w:r>
      <w:r w:rsidR="00611D68" w:rsidRPr="00044184">
        <w:rPr>
          <w:szCs w:val="22"/>
          <w:lang w:val="sk-SK"/>
        </w:rPr>
        <w:t>í</w:t>
      </w:r>
      <w:r w:rsidRPr="00044184">
        <w:rPr>
          <w:szCs w:val="22"/>
          <w:lang w:val="sk-SK"/>
        </w:rPr>
        <w:t>m prežívan</w:t>
      </w:r>
      <w:r w:rsidR="00611D68" w:rsidRPr="00044184">
        <w:rPr>
          <w:szCs w:val="22"/>
          <w:lang w:val="sk-SK"/>
        </w:rPr>
        <w:t>ia</w:t>
      </w:r>
      <w:r w:rsidRPr="00044184">
        <w:rPr>
          <w:szCs w:val="22"/>
          <w:lang w:val="sk-SK"/>
        </w:rPr>
        <w:t>.</w:t>
      </w:r>
    </w:p>
    <w:p w:rsidR="00422FEF" w:rsidRPr="00044184" w:rsidRDefault="00422FEF" w:rsidP="00695459">
      <w:pPr>
        <w:spacing w:line="240" w:lineRule="auto"/>
        <w:rPr>
          <w:szCs w:val="22"/>
          <w:lang w:val="sk-SK"/>
        </w:rPr>
      </w:pPr>
    </w:p>
    <w:p w:rsidR="002108F2" w:rsidRPr="00044184" w:rsidRDefault="005173E4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lastRenderedPageBreak/>
        <w:t xml:space="preserve">U pacientov s nádormi s imunohistochemickou (IHC) negativitou </w:t>
      </w:r>
      <w:r w:rsidR="003F54F3" w:rsidRPr="00044184">
        <w:rPr>
          <w:szCs w:val="22"/>
          <w:lang w:val="sk-SK"/>
        </w:rPr>
        <w:t>receptora pre epidermálny rastový faktor (Epidermal Growth Factor Receptor, EGFR) sa nepreukázal prínos liečby z hľadiska prežívania ani iné klinicky významné účinky liečby (pozri časť 5.1)</w:t>
      </w:r>
      <w:r w:rsidR="002108F2" w:rsidRPr="00044184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2108F2" w:rsidRPr="00044184" w:rsidRDefault="003F54F3" w:rsidP="00695459">
      <w:pPr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u w:val="single"/>
          <w:lang w:val="sk-SK"/>
        </w:rPr>
        <w:t>Karcinóm pankreasu</w:t>
      </w:r>
      <w:r w:rsidR="002108F2" w:rsidRPr="00044184">
        <w:rPr>
          <w:szCs w:val="22"/>
          <w:u w:val="single"/>
          <w:lang w:val="sk-SK"/>
        </w:rPr>
        <w:t>:</w:t>
      </w:r>
    </w:p>
    <w:p w:rsidR="002108F2" w:rsidRPr="00044184" w:rsidRDefault="003F54F3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v kombinácii s </w:t>
      </w:r>
      <w:r w:rsidR="002108F2" w:rsidRPr="00044184">
        <w:rPr>
          <w:szCs w:val="22"/>
          <w:lang w:val="sk-SK"/>
        </w:rPr>
        <w:t>gemcitab</w:t>
      </w:r>
      <w:r w:rsidRPr="00044184">
        <w:rPr>
          <w:szCs w:val="22"/>
          <w:lang w:val="sk-SK"/>
        </w:rPr>
        <w:t>ínom je indikovaný na liečbu pacientov s metastatickým karcinómom pankreasu</w:t>
      </w:r>
      <w:r w:rsidR="002108F2" w:rsidRPr="00044184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2108F2" w:rsidRPr="00044184" w:rsidRDefault="003F54F3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Pri predpisovaní Erlotinibu </w:t>
      </w:r>
      <w:r w:rsidR="00695459" w:rsidRPr="00044184">
        <w:rPr>
          <w:szCs w:val="22"/>
          <w:lang w:val="sk-SK"/>
        </w:rPr>
        <w:t>STADA</w:t>
      </w:r>
      <w:r w:rsidRPr="00044184">
        <w:rPr>
          <w:szCs w:val="22"/>
          <w:lang w:val="sk-SK"/>
        </w:rPr>
        <w:t xml:space="preserve"> sa majú vziať do úvahy faktory sp</w:t>
      </w:r>
      <w:r w:rsidR="00611D68" w:rsidRPr="00044184">
        <w:rPr>
          <w:szCs w:val="22"/>
          <w:lang w:val="sk-SK"/>
        </w:rPr>
        <w:t>ojené</w:t>
      </w:r>
      <w:r w:rsidRPr="00044184">
        <w:rPr>
          <w:szCs w:val="22"/>
          <w:lang w:val="sk-SK"/>
        </w:rPr>
        <w:t xml:space="preserve"> s predĺžen</w:t>
      </w:r>
      <w:r w:rsidR="00611D68" w:rsidRPr="00044184">
        <w:rPr>
          <w:szCs w:val="22"/>
          <w:lang w:val="sk-SK"/>
        </w:rPr>
        <w:t>ím</w:t>
      </w:r>
      <w:r w:rsidRPr="00044184">
        <w:rPr>
          <w:szCs w:val="22"/>
          <w:lang w:val="sk-SK"/>
        </w:rPr>
        <w:t xml:space="preserve"> prežívan</w:t>
      </w:r>
      <w:r w:rsidR="00611D68" w:rsidRPr="00044184">
        <w:rPr>
          <w:szCs w:val="22"/>
          <w:lang w:val="sk-SK"/>
        </w:rPr>
        <w:t>ia</w:t>
      </w:r>
      <w:r w:rsidRPr="00044184">
        <w:rPr>
          <w:szCs w:val="22"/>
          <w:lang w:val="sk-SK"/>
        </w:rPr>
        <w:t xml:space="preserve"> </w:t>
      </w:r>
      <w:r w:rsidR="002108F2" w:rsidRPr="00044184">
        <w:rPr>
          <w:szCs w:val="22"/>
          <w:lang w:val="sk-SK"/>
        </w:rPr>
        <w:t>(</w:t>
      </w:r>
      <w:r w:rsidR="003D7BE7" w:rsidRPr="00044184">
        <w:rPr>
          <w:szCs w:val="22"/>
          <w:lang w:val="sk-SK"/>
        </w:rPr>
        <w:t>pozri časti </w:t>
      </w:r>
      <w:r w:rsidR="002108F2" w:rsidRPr="00044184">
        <w:rPr>
          <w:szCs w:val="22"/>
          <w:lang w:val="sk-SK"/>
        </w:rPr>
        <w:t>4.2</w:t>
      </w:r>
      <w:r w:rsidR="003D7BE7" w:rsidRPr="00044184">
        <w:rPr>
          <w:szCs w:val="22"/>
          <w:lang w:val="sk-SK"/>
        </w:rPr>
        <w:t> </w:t>
      </w:r>
      <w:r w:rsidR="002108F2" w:rsidRPr="00044184">
        <w:rPr>
          <w:szCs w:val="22"/>
          <w:lang w:val="sk-SK"/>
        </w:rPr>
        <w:t>a</w:t>
      </w:r>
      <w:r w:rsidR="003D7BE7" w:rsidRPr="00044184">
        <w:rPr>
          <w:szCs w:val="22"/>
          <w:lang w:val="sk-SK"/>
        </w:rPr>
        <w:t> </w:t>
      </w:r>
      <w:r w:rsidR="002108F2" w:rsidRPr="00044184">
        <w:rPr>
          <w:szCs w:val="22"/>
          <w:lang w:val="sk-SK"/>
        </w:rPr>
        <w:t>5.1).</w:t>
      </w:r>
    </w:p>
    <w:p w:rsidR="002108F2" w:rsidRPr="00044184" w:rsidRDefault="002108F2" w:rsidP="00695459">
      <w:pPr>
        <w:spacing w:line="240" w:lineRule="auto"/>
        <w:rPr>
          <w:szCs w:val="22"/>
          <w:lang w:val="sk-SK"/>
        </w:rPr>
      </w:pPr>
    </w:p>
    <w:p w:rsidR="001D29E6" w:rsidRPr="00044184" w:rsidRDefault="003D7BE7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 xml:space="preserve">U pacientov s lokálne pokročilým ochorením </w:t>
      </w:r>
      <w:r w:rsidR="002556D8" w:rsidRPr="00044184">
        <w:rPr>
          <w:szCs w:val="22"/>
          <w:lang w:val="sk-SK"/>
        </w:rPr>
        <w:t xml:space="preserve">sa </w:t>
      </w:r>
      <w:r w:rsidRPr="00044184">
        <w:rPr>
          <w:szCs w:val="22"/>
          <w:lang w:val="sk-SK"/>
        </w:rPr>
        <w:t>ne</w:t>
      </w:r>
      <w:r w:rsidR="002556D8" w:rsidRPr="00044184">
        <w:rPr>
          <w:szCs w:val="22"/>
          <w:lang w:val="sk-SK"/>
        </w:rPr>
        <w:t>preukázal prínos z hľadiska prežívania</w:t>
      </w:r>
      <w:r w:rsidR="002108F2" w:rsidRPr="00044184">
        <w:rPr>
          <w:szCs w:val="22"/>
          <w:lang w:val="sk-SK"/>
        </w:rPr>
        <w:t>.</w:t>
      </w:r>
    </w:p>
    <w:p w:rsidR="002108F2" w:rsidRPr="00044184" w:rsidRDefault="002108F2" w:rsidP="00695459">
      <w:pPr>
        <w:spacing w:line="240" w:lineRule="auto"/>
        <w:ind w:left="567" w:hanging="567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4.2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Dávkovanie a spôsob podávania</w:t>
      </w: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</w:p>
    <w:p w:rsidR="00F74597" w:rsidRPr="00B05765" w:rsidRDefault="00F74597" w:rsidP="00695459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B05765">
        <w:rPr>
          <w:szCs w:val="22"/>
          <w:lang w:val="sk-SK" w:eastAsia="sk-SK"/>
        </w:rPr>
        <w:t>Lie</w:t>
      </w:r>
      <w:r w:rsidRPr="00675F45">
        <w:rPr>
          <w:szCs w:val="22"/>
          <w:lang w:val="sk-SK" w:eastAsia="sk-SK"/>
        </w:rPr>
        <w:t>č</w:t>
      </w:r>
      <w:r w:rsidRPr="00B05765">
        <w:rPr>
          <w:szCs w:val="22"/>
          <w:lang w:val="sk-SK" w:eastAsia="sk-SK"/>
        </w:rPr>
        <w:t xml:space="preserve">ba </w:t>
      </w:r>
      <w:r w:rsidRPr="006110A5">
        <w:rPr>
          <w:szCs w:val="22"/>
          <w:lang w:val="sk-SK" w:eastAsia="en-GB"/>
        </w:rPr>
        <w:t>Erlotinibom</w:t>
      </w:r>
      <w:r w:rsidRPr="00650557">
        <w:rPr>
          <w:szCs w:val="22"/>
          <w:lang w:val="sk-SK" w:eastAsia="en-GB"/>
        </w:rPr>
        <w:t xml:space="preserve"> STADA </w:t>
      </w:r>
      <w:r w:rsidRPr="00650557">
        <w:rPr>
          <w:szCs w:val="22"/>
          <w:lang w:val="sk-SK" w:eastAsia="sk-SK"/>
        </w:rPr>
        <w:t>má by</w:t>
      </w:r>
      <w:r w:rsidRPr="00675F45">
        <w:rPr>
          <w:szCs w:val="22"/>
          <w:lang w:val="sk-SK" w:eastAsia="sk-SK"/>
        </w:rPr>
        <w:t xml:space="preserve">ť </w:t>
      </w:r>
      <w:r w:rsidRPr="00B05765">
        <w:rPr>
          <w:szCs w:val="22"/>
          <w:lang w:val="sk-SK" w:eastAsia="sk-SK"/>
        </w:rPr>
        <w:t>pod doh</w:t>
      </w:r>
      <w:r w:rsidRPr="00675F45">
        <w:rPr>
          <w:szCs w:val="22"/>
          <w:lang w:val="sk-SK" w:eastAsia="sk-SK"/>
        </w:rPr>
        <w:t>ľ</w:t>
      </w:r>
      <w:r w:rsidRPr="00B05765">
        <w:rPr>
          <w:szCs w:val="22"/>
          <w:lang w:val="sk-SK" w:eastAsia="sk-SK"/>
        </w:rPr>
        <w:t>adom lekára so skúsenos</w:t>
      </w:r>
      <w:r w:rsidRPr="00675F45">
        <w:rPr>
          <w:szCs w:val="22"/>
          <w:lang w:val="sk-SK" w:eastAsia="sk-SK"/>
        </w:rPr>
        <w:t>ť</w:t>
      </w:r>
      <w:r w:rsidRPr="00B05765">
        <w:rPr>
          <w:szCs w:val="22"/>
          <w:lang w:val="sk-SK" w:eastAsia="sk-SK"/>
        </w:rPr>
        <w:t>ami s používaním protinádorovej lie</w:t>
      </w:r>
      <w:r w:rsidRPr="00675F45">
        <w:rPr>
          <w:szCs w:val="22"/>
          <w:lang w:val="sk-SK" w:eastAsia="sk-SK"/>
        </w:rPr>
        <w:t>č</w:t>
      </w:r>
      <w:r w:rsidRPr="00B05765">
        <w:rPr>
          <w:szCs w:val="22"/>
          <w:lang w:val="sk-SK" w:eastAsia="sk-SK"/>
        </w:rPr>
        <w:t>by.</w:t>
      </w:r>
    </w:p>
    <w:p w:rsidR="00F74597" w:rsidRPr="00044184" w:rsidRDefault="00F74597" w:rsidP="0069545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53ACC" w:rsidRPr="00044184" w:rsidRDefault="006B10E9" w:rsidP="00695459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u w:val="single"/>
          <w:lang w:val="sk-SK"/>
        </w:rPr>
        <w:t>Dávkovanie</w:t>
      </w:r>
    </w:p>
    <w:p w:rsidR="00C53ACC" w:rsidRPr="00044184" w:rsidRDefault="00C53ACC" w:rsidP="00695459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3E07C8" w:rsidRPr="00044184" w:rsidRDefault="003E07C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Pa</w:t>
      </w:r>
      <w:r w:rsidR="00543163" w:rsidRPr="00044184">
        <w:rPr>
          <w:szCs w:val="22"/>
          <w:u w:val="single"/>
          <w:lang w:val="sk-SK" w:eastAsia="en-GB"/>
        </w:rPr>
        <w:t>c</w:t>
      </w:r>
      <w:r w:rsidRPr="00044184">
        <w:rPr>
          <w:szCs w:val="22"/>
          <w:u w:val="single"/>
          <w:lang w:val="sk-SK" w:eastAsia="en-GB"/>
        </w:rPr>
        <w:t>ient</w:t>
      </w:r>
      <w:r w:rsidR="00543163" w:rsidRPr="00044184">
        <w:rPr>
          <w:szCs w:val="22"/>
          <w:u w:val="single"/>
          <w:lang w:val="sk-SK" w:eastAsia="en-GB"/>
        </w:rPr>
        <w:t>i</w:t>
      </w:r>
      <w:r w:rsidRPr="00044184">
        <w:rPr>
          <w:szCs w:val="22"/>
          <w:u w:val="single"/>
          <w:lang w:val="sk-SK" w:eastAsia="en-GB"/>
        </w:rPr>
        <w:t xml:space="preserve"> </w:t>
      </w:r>
      <w:r w:rsidR="00543163" w:rsidRPr="00044184">
        <w:rPr>
          <w:szCs w:val="22"/>
          <w:u w:val="single"/>
          <w:lang w:val="sk-SK" w:eastAsia="en-GB"/>
        </w:rPr>
        <w:t>s nemalobunkovým karcinómom pľúc</w:t>
      </w:r>
      <w:r w:rsidRPr="00044184">
        <w:rPr>
          <w:szCs w:val="22"/>
          <w:u w:val="single"/>
          <w:lang w:val="sk-SK" w:eastAsia="en-GB"/>
        </w:rPr>
        <w:t>:</w:t>
      </w:r>
    </w:p>
    <w:p w:rsidR="003E07C8" w:rsidRPr="00044184" w:rsidRDefault="00B468E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U pacientov s pokročilým alebo metastatickým NSCLC, ktorí doteraz neboli liečení chemoterapiou,</w:t>
      </w:r>
      <w:r w:rsidR="008D404A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sa</w:t>
      </w:r>
      <w:r w:rsidR="008D404A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má </w:t>
      </w:r>
      <w:r w:rsidR="00611D68" w:rsidRPr="00044184">
        <w:rPr>
          <w:szCs w:val="22"/>
          <w:lang w:val="sk-SK" w:eastAsia="en-GB"/>
        </w:rPr>
        <w:t>pred začiatkom liečby Erlotinibom </w:t>
      </w:r>
      <w:r w:rsidR="00695459" w:rsidRPr="00044184">
        <w:rPr>
          <w:szCs w:val="22"/>
          <w:lang w:val="sk-SK" w:eastAsia="en-GB"/>
        </w:rPr>
        <w:t>STADA</w:t>
      </w:r>
      <w:r w:rsidR="00611D68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vykonať vyšetrenie na prítomnosť mutácie </w:t>
      </w:r>
      <w:r w:rsidR="003E07C8" w:rsidRPr="00044184">
        <w:rPr>
          <w:szCs w:val="22"/>
          <w:lang w:val="sk-SK" w:eastAsia="en-GB"/>
        </w:rPr>
        <w:t>EGFR.</w:t>
      </w:r>
    </w:p>
    <w:p w:rsidR="003E07C8" w:rsidRPr="00044184" w:rsidRDefault="008D404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Odporúčaná denná dávka Erlotinibu </w:t>
      </w:r>
      <w:r w:rsidR="00695459" w:rsidRPr="00044184">
        <w:rPr>
          <w:szCs w:val="22"/>
          <w:lang w:val="sk-SK" w:eastAsia="en-GB"/>
        </w:rPr>
        <w:t>STADA</w:t>
      </w:r>
      <w:r w:rsidRPr="00044184">
        <w:rPr>
          <w:szCs w:val="22"/>
          <w:lang w:val="sk-SK" w:eastAsia="en-GB"/>
        </w:rPr>
        <w:t xml:space="preserve"> je </w:t>
      </w:r>
      <w:r w:rsidR="003E07C8" w:rsidRPr="00044184">
        <w:rPr>
          <w:szCs w:val="22"/>
          <w:lang w:val="sk-SK" w:eastAsia="en-GB"/>
        </w:rPr>
        <w:t>150</w:t>
      </w:r>
      <w:r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>mg</w:t>
      </w:r>
      <w:r w:rsidR="005D381E" w:rsidRPr="00044184">
        <w:rPr>
          <w:szCs w:val="22"/>
          <w:lang w:val="sk-SK" w:eastAsia="en-GB"/>
        </w:rPr>
        <w:t>, ktorá sa</w:t>
      </w:r>
      <w:r w:rsidR="00BA34FA" w:rsidRPr="00044184">
        <w:rPr>
          <w:szCs w:val="22"/>
          <w:lang w:val="sk-SK" w:eastAsia="en-GB"/>
        </w:rPr>
        <w:t xml:space="preserve"> užíva </w:t>
      </w:r>
      <w:r w:rsidRPr="00044184">
        <w:rPr>
          <w:szCs w:val="22"/>
          <w:lang w:val="sk-SK" w:eastAsia="en-GB"/>
        </w:rPr>
        <w:t xml:space="preserve">aspoň jednu hodinu pred alebo dve hodiny po </w:t>
      </w:r>
      <w:r w:rsidR="00650557">
        <w:rPr>
          <w:szCs w:val="22"/>
          <w:lang w:val="sk-SK" w:eastAsia="en-GB"/>
        </w:rPr>
        <w:t>po</w:t>
      </w:r>
      <w:r w:rsidRPr="00044184">
        <w:rPr>
          <w:szCs w:val="22"/>
          <w:lang w:val="sk-SK" w:eastAsia="en-GB"/>
        </w:rPr>
        <w:t>žití jedla.</w:t>
      </w:r>
    </w:p>
    <w:p w:rsidR="003E07C8" w:rsidRPr="00044184" w:rsidRDefault="003E07C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E07C8" w:rsidRPr="00044184" w:rsidRDefault="003E07C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Pa</w:t>
      </w:r>
      <w:r w:rsidR="00543163" w:rsidRPr="00044184">
        <w:rPr>
          <w:szCs w:val="22"/>
          <w:u w:val="single"/>
          <w:lang w:val="sk-SK" w:eastAsia="en-GB"/>
        </w:rPr>
        <w:t>c</w:t>
      </w:r>
      <w:r w:rsidRPr="00044184">
        <w:rPr>
          <w:szCs w:val="22"/>
          <w:u w:val="single"/>
          <w:lang w:val="sk-SK" w:eastAsia="en-GB"/>
        </w:rPr>
        <w:t>ient</w:t>
      </w:r>
      <w:r w:rsidR="00543163" w:rsidRPr="00044184">
        <w:rPr>
          <w:szCs w:val="22"/>
          <w:u w:val="single"/>
          <w:lang w:val="sk-SK" w:eastAsia="en-GB"/>
        </w:rPr>
        <w:t>i s karcinómom pankreasu</w:t>
      </w:r>
      <w:r w:rsidRPr="00044184">
        <w:rPr>
          <w:szCs w:val="22"/>
          <w:u w:val="single"/>
          <w:lang w:val="sk-SK" w:eastAsia="en-GB"/>
        </w:rPr>
        <w:t>:</w:t>
      </w:r>
    </w:p>
    <w:p w:rsidR="003E07C8" w:rsidRPr="00044184" w:rsidRDefault="00BA34F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Odporúčaná denná dávka Erlotinibu </w:t>
      </w:r>
      <w:r w:rsidR="00695459" w:rsidRPr="00044184">
        <w:rPr>
          <w:szCs w:val="22"/>
          <w:lang w:val="sk-SK" w:eastAsia="en-GB"/>
        </w:rPr>
        <w:t>STADA</w:t>
      </w:r>
      <w:r w:rsidRPr="00044184">
        <w:rPr>
          <w:szCs w:val="22"/>
          <w:lang w:val="sk-SK" w:eastAsia="en-GB"/>
        </w:rPr>
        <w:t xml:space="preserve"> je </w:t>
      </w:r>
      <w:r w:rsidR="003E07C8" w:rsidRPr="00044184">
        <w:rPr>
          <w:szCs w:val="22"/>
          <w:lang w:val="sk-SK" w:eastAsia="en-GB"/>
        </w:rPr>
        <w:t>100</w:t>
      </w:r>
      <w:r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>mg</w:t>
      </w:r>
      <w:r w:rsidR="005D381E" w:rsidRPr="00044184">
        <w:rPr>
          <w:szCs w:val="22"/>
          <w:lang w:val="sk-SK" w:eastAsia="en-GB"/>
        </w:rPr>
        <w:t>, ktorá sa</w:t>
      </w:r>
      <w:r w:rsidR="003E07C8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užíva aspoň jednu hodinu pred alebo dve hodiny po požití jedla </w:t>
      </w:r>
      <w:r w:rsidR="009279B7" w:rsidRPr="00044184">
        <w:rPr>
          <w:szCs w:val="22"/>
          <w:lang w:val="sk-SK" w:eastAsia="en-GB"/>
        </w:rPr>
        <w:t xml:space="preserve">a podáva sa </w:t>
      </w:r>
      <w:r w:rsidRPr="00044184">
        <w:rPr>
          <w:szCs w:val="22"/>
          <w:lang w:val="sk-SK" w:eastAsia="en-GB"/>
        </w:rPr>
        <w:t>v kombinácii s </w:t>
      </w:r>
      <w:r w:rsidR="003E07C8" w:rsidRPr="00044184">
        <w:rPr>
          <w:szCs w:val="22"/>
          <w:lang w:val="sk-SK" w:eastAsia="en-GB"/>
        </w:rPr>
        <w:t>gemcitab</w:t>
      </w:r>
      <w:r w:rsidRPr="00044184">
        <w:rPr>
          <w:szCs w:val="22"/>
          <w:lang w:val="sk-SK" w:eastAsia="en-GB"/>
        </w:rPr>
        <w:t>ínom</w:t>
      </w:r>
      <w:r w:rsidR="003E07C8" w:rsidRPr="00044184">
        <w:rPr>
          <w:szCs w:val="22"/>
          <w:lang w:val="sk-SK" w:eastAsia="en-GB"/>
        </w:rPr>
        <w:t xml:space="preserve"> (</w:t>
      </w:r>
      <w:r w:rsidR="002F2D2C" w:rsidRPr="00044184">
        <w:rPr>
          <w:szCs w:val="22"/>
          <w:lang w:val="sk-SK" w:eastAsia="en-GB"/>
        </w:rPr>
        <w:t>dávkovanie gemcitabínu v indikácii karcinómu pankreasu si pozrite v príslušnom súhrne charakteristických vlastností lieku)</w:t>
      </w:r>
      <w:r w:rsidR="003E07C8" w:rsidRPr="00044184">
        <w:rPr>
          <w:szCs w:val="22"/>
          <w:lang w:val="sk-SK" w:eastAsia="en-GB"/>
        </w:rPr>
        <w:t xml:space="preserve">. </w:t>
      </w:r>
      <w:r w:rsidR="005326B4" w:rsidRPr="00044184">
        <w:rPr>
          <w:szCs w:val="22"/>
          <w:lang w:val="sk-SK" w:eastAsia="en-GB"/>
        </w:rPr>
        <w:t>U pacientov, u ktorých nevznikne vyrážka počas prvých 4 </w:t>
      </w:r>
      <w:r w:rsidR="005D381E" w:rsidRPr="00044184">
        <w:rPr>
          <w:szCs w:val="22"/>
          <w:lang w:val="sk-SK" w:eastAsia="en-GB"/>
        </w:rPr>
        <w:t>–</w:t>
      </w:r>
      <w:r w:rsidR="005326B4" w:rsidRPr="00044184">
        <w:rPr>
          <w:szCs w:val="22"/>
          <w:lang w:val="sk-SK" w:eastAsia="en-GB"/>
        </w:rPr>
        <w:t xml:space="preserve"> 8 týždňov liečby, </w:t>
      </w:r>
      <w:r w:rsidR="00314E6A" w:rsidRPr="00044184">
        <w:rPr>
          <w:szCs w:val="22"/>
          <w:lang w:val="sk-SK" w:eastAsia="en-GB"/>
        </w:rPr>
        <w:t xml:space="preserve">sa má </w:t>
      </w:r>
      <w:r w:rsidR="007765AF" w:rsidRPr="00044184">
        <w:rPr>
          <w:szCs w:val="22"/>
          <w:lang w:val="sk-SK" w:eastAsia="en-GB"/>
        </w:rPr>
        <w:t>pokračovanie</w:t>
      </w:r>
      <w:r w:rsidR="00314E6A" w:rsidRPr="00044184">
        <w:rPr>
          <w:szCs w:val="22"/>
          <w:lang w:val="sk-SK" w:eastAsia="en-GB"/>
        </w:rPr>
        <w:t xml:space="preserve"> </w:t>
      </w:r>
      <w:r w:rsidR="005326B4" w:rsidRPr="00044184">
        <w:rPr>
          <w:szCs w:val="22"/>
          <w:lang w:val="sk-SK" w:eastAsia="en-GB"/>
        </w:rPr>
        <w:t>v liečbe Erlotinibom </w:t>
      </w:r>
      <w:r w:rsidR="00695459" w:rsidRPr="00044184">
        <w:rPr>
          <w:szCs w:val="22"/>
          <w:lang w:val="sk-SK" w:eastAsia="en-GB"/>
        </w:rPr>
        <w:t>STADA</w:t>
      </w:r>
      <w:r w:rsidR="005326B4" w:rsidRPr="00044184">
        <w:rPr>
          <w:szCs w:val="22"/>
          <w:lang w:val="sk-SK" w:eastAsia="en-GB"/>
        </w:rPr>
        <w:t xml:space="preserve"> </w:t>
      </w:r>
      <w:r w:rsidR="00B943A8" w:rsidRPr="00044184">
        <w:rPr>
          <w:szCs w:val="22"/>
          <w:lang w:val="sk-SK" w:eastAsia="en-GB"/>
        </w:rPr>
        <w:t xml:space="preserve">prehodnotiť </w:t>
      </w:r>
      <w:r w:rsidR="005326B4" w:rsidRPr="00044184">
        <w:rPr>
          <w:szCs w:val="22"/>
          <w:lang w:val="sk-SK" w:eastAsia="en-GB"/>
        </w:rPr>
        <w:t>(pozri časť 5.1).</w:t>
      </w:r>
    </w:p>
    <w:p w:rsidR="003E07C8" w:rsidRPr="00044184" w:rsidRDefault="003E07C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E07C8" w:rsidRPr="00044184" w:rsidRDefault="00244D3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 prípade potreby </w:t>
      </w:r>
      <w:r w:rsidR="00645A30" w:rsidRPr="00044184">
        <w:rPr>
          <w:szCs w:val="22"/>
          <w:lang w:val="sk-SK" w:eastAsia="en-GB"/>
        </w:rPr>
        <w:t xml:space="preserve">úpravy dávky </w:t>
      </w:r>
      <w:r w:rsidRPr="00044184">
        <w:rPr>
          <w:szCs w:val="22"/>
          <w:lang w:val="sk-SK" w:eastAsia="en-GB"/>
        </w:rPr>
        <w:t>sa má dávka postupn</w:t>
      </w:r>
      <w:r w:rsidR="00645A30" w:rsidRPr="00044184">
        <w:rPr>
          <w:szCs w:val="22"/>
          <w:lang w:val="sk-SK" w:eastAsia="en-GB"/>
        </w:rPr>
        <w:t xml:space="preserve">e </w:t>
      </w:r>
      <w:r w:rsidRPr="00044184">
        <w:rPr>
          <w:szCs w:val="22"/>
          <w:lang w:val="sk-SK" w:eastAsia="en-GB"/>
        </w:rPr>
        <w:t>znižova</w:t>
      </w:r>
      <w:r w:rsidR="00645A30" w:rsidRPr="00044184">
        <w:rPr>
          <w:szCs w:val="22"/>
          <w:lang w:val="sk-SK" w:eastAsia="en-GB"/>
        </w:rPr>
        <w:t>ť</w:t>
      </w:r>
      <w:r w:rsidRPr="00044184">
        <w:rPr>
          <w:szCs w:val="22"/>
          <w:lang w:val="sk-SK" w:eastAsia="en-GB"/>
        </w:rPr>
        <w:t xml:space="preserve"> o 50 mg</w:t>
      </w:r>
      <w:r w:rsidR="0025652B" w:rsidRPr="00044184">
        <w:rPr>
          <w:szCs w:val="22"/>
          <w:lang w:val="sk-SK" w:eastAsia="en-GB"/>
        </w:rPr>
        <w:t xml:space="preserve"> (pozri časť </w:t>
      </w:r>
      <w:r w:rsidR="003E07C8" w:rsidRPr="00044184">
        <w:rPr>
          <w:szCs w:val="22"/>
          <w:lang w:val="sk-SK" w:eastAsia="en-GB"/>
        </w:rPr>
        <w:t>4.4).</w:t>
      </w:r>
    </w:p>
    <w:p w:rsidR="003E07C8" w:rsidRPr="00044184" w:rsidRDefault="0025652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Erlotinib </w:t>
      </w:r>
      <w:r w:rsidR="00695459" w:rsidRPr="00044184">
        <w:rPr>
          <w:szCs w:val="22"/>
          <w:lang w:val="sk-SK" w:eastAsia="en-GB"/>
        </w:rPr>
        <w:t>STADA</w:t>
      </w:r>
      <w:r w:rsidRPr="00044184">
        <w:rPr>
          <w:szCs w:val="22"/>
          <w:lang w:val="sk-SK" w:eastAsia="en-GB"/>
        </w:rPr>
        <w:t xml:space="preserve"> </w:t>
      </w:r>
      <w:r w:rsidR="00F74597" w:rsidRPr="00044184">
        <w:rPr>
          <w:szCs w:val="22"/>
          <w:lang w:val="sk-SK" w:eastAsia="en-GB"/>
        </w:rPr>
        <w:t xml:space="preserve">nie </w:t>
      </w:r>
      <w:r w:rsidRPr="00044184">
        <w:rPr>
          <w:szCs w:val="22"/>
          <w:lang w:val="sk-SK" w:eastAsia="en-GB"/>
        </w:rPr>
        <w:t>je dostupný v</w:t>
      </w:r>
      <w:r w:rsidR="00F74597" w:rsidRPr="00044184">
        <w:rPr>
          <w:szCs w:val="22"/>
          <w:lang w:val="sk-SK" w:eastAsia="en-GB"/>
        </w:rPr>
        <w:t> silách 25 mg a 50 mg. Na toto dávkovanie máte použiť iné lieky dostupné na trhu.</w:t>
      </w:r>
    </w:p>
    <w:p w:rsidR="003E07C8" w:rsidRPr="00044184" w:rsidRDefault="0025652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Pri súbežnom podávaní substrátov a modulátorov </w:t>
      </w:r>
      <w:r w:rsidR="003E07C8" w:rsidRPr="00044184">
        <w:rPr>
          <w:szCs w:val="22"/>
          <w:lang w:val="sk-SK" w:eastAsia="en-GB"/>
        </w:rPr>
        <w:t xml:space="preserve">CYP3A4 </w:t>
      </w:r>
      <w:r w:rsidRPr="00044184">
        <w:rPr>
          <w:szCs w:val="22"/>
          <w:lang w:val="sk-SK" w:eastAsia="en-GB"/>
        </w:rPr>
        <w:t>môže byť potrebná úprava dávky (pozri časť </w:t>
      </w:r>
      <w:r w:rsidR="003E07C8" w:rsidRPr="00044184">
        <w:rPr>
          <w:szCs w:val="22"/>
          <w:lang w:val="sk-SK" w:eastAsia="en-GB"/>
        </w:rPr>
        <w:t>4.5).</w:t>
      </w:r>
    </w:p>
    <w:p w:rsidR="00044184" w:rsidRPr="00044184" w:rsidRDefault="00044184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E07C8" w:rsidRPr="00044184" w:rsidRDefault="0025652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Pacienti s poruchou funkcie pečene</w:t>
      </w:r>
      <w:r w:rsidR="003E07C8" w:rsidRPr="00044184">
        <w:rPr>
          <w:szCs w:val="22"/>
          <w:u w:val="single"/>
          <w:lang w:val="sk-SK" w:eastAsia="en-GB"/>
        </w:rPr>
        <w:t>:</w:t>
      </w:r>
      <w:r w:rsidR="003E07C8" w:rsidRPr="00044184">
        <w:rPr>
          <w:szCs w:val="22"/>
          <w:lang w:val="sk-SK" w:eastAsia="en-GB"/>
        </w:rPr>
        <w:t xml:space="preserve"> Erlotinib s</w:t>
      </w:r>
      <w:r w:rsidRPr="00044184">
        <w:rPr>
          <w:szCs w:val="22"/>
          <w:lang w:val="sk-SK" w:eastAsia="en-GB"/>
        </w:rPr>
        <w:t>a eliminuje hepatálnym metabolizmom a biliárnou exkréciou</w:t>
      </w:r>
      <w:r w:rsidR="003E07C8" w:rsidRPr="00044184">
        <w:rPr>
          <w:szCs w:val="22"/>
          <w:lang w:val="sk-SK" w:eastAsia="en-GB"/>
        </w:rPr>
        <w:t>.</w:t>
      </w:r>
      <w:r w:rsidR="006779B5" w:rsidRPr="00044184">
        <w:rPr>
          <w:szCs w:val="22"/>
          <w:lang w:val="sk-SK" w:eastAsia="en-GB"/>
        </w:rPr>
        <w:t xml:space="preserve"> </w:t>
      </w:r>
      <w:r w:rsidR="00215C65" w:rsidRPr="00044184">
        <w:rPr>
          <w:szCs w:val="22"/>
          <w:lang w:val="sk-SK" w:eastAsia="en-GB"/>
        </w:rPr>
        <w:t>I keď bola expozícia e</w:t>
      </w:r>
      <w:r w:rsidR="003E07C8" w:rsidRPr="00044184">
        <w:rPr>
          <w:szCs w:val="22"/>
          <w:lang w:val="sk-SK" w:eastAsia="en-GB"/>
        </w:rPr>
        <w:t>rlotinib</w:t>
      </w:r>
      <w:r w:rsidR="00215C65" w:rsidRPr="00044184">
        <w:rPr>
          <w:szCs w:val="22"/>
          <w:lang w:val="sk-SK" w:eastAsia="en-GB"/>
        </w:rPr>
        <w:t>u u pacientov so stredne ťažkou poruchou funkcie pečene (skóre 7 </w:t>
      </w:r>
      <w:r w:rsidR="005D381E" w:rsidRPr="00044184">
        <w:rPr>
          <w:szCs w:val="22"/>
          <w:lang w:val="sk-SK" w:eastAsia="en-GB"/>
        </w:rPr>
        <w:t>– </w:t>
      </w:r>
      <w:r w:rsidR="00215C65" w:rsidRPr="00044184">
        <w:rPr>
          <w:szCs w:val="22"/>
          <w:lang w:val="sk-SK" w:eastAsia="en-GB"/>
        </w:rPr>
        <w:t>9</w:t>
      </w:r>
      <w:r w:rsidR="003E07C8" w:rsidRPr="00044184">
        <w:rPr>
          <w:szCs w:val="22"/>
          <w:lang w:val="sk-SK" w:eastAsia="en-GB"/>
        </w:rPr>
        <w:t xml:space="preserve"> </w:t>
      </w:r>
      <w:r w:rsidR="00215C65" w:rsidRPr="00044184">
        <w:rPr>
          <w:szCs w:val="22"/>
          <w:lang w:val="sk-SK" w:eastAsia="en-GB"/>
        </w:rPr>
        <w:t>podľa Childovej</w:t>
      </w:r>
      <w:r w:rsidR="00215C65" w:rsidRPr="00044184">
        <w:rPr>
          <w:szCs w:val="22"/>
          <w:lang w:val="sk-SK" w:eastAsia="en-GB"/>
        </w:rPr>
        <w:noBreakHyphen/>
        <w:t>Pughovej klasifikácie) podobná ako u pacientov s adekvátnou funkciou pečene, pri podávaní Erlotinibu </w:t>
      </w:r>
      <w:r w:rsidR="00695459" w:rsidRPr="00044184">
        <w:rPr>
          <w:szCs w:val="22"/>
          <w:lang w:val="sk-SK" w:eastAsia="en-GB"/>
        </w:rPr>
        <w:t>STADA</w:t>
      </w:r>
      <w:r w:rsidR="00215C65" w:rsidRPr="00044184">
        <w:rPr>
          <w:szCs w:val="22"/>
          <w:lang w:val="sk-SK" w:eastAsia="en-GB"/>
        </w:rPr>
        <w:t xml:space="preserve"> pacientom s poruchou funkcie pečene je potrebná obozretnosť. Ak sa </w:t>
      </w:r>
      <w:r w:rsidR="00FD5DA8" w:rsidRPr="00044184">
        <w:rPr>
          <w:szCs w:val="22"/>
          <w:lang w:val="sk-SK" w:eastAsia="en-GB"/>
        </w:rPr>
        <w:t>vyskytnú závažné nežiaduce reakcie, má sa zvážiť zníženie dávky alebo prerušenie liečby Erlotinibom </w:t>
      </w:r>
      <w:r w:rsidR="00695459" w:rsidRPr="00044184">
        <w:rPr>
          <w:szCs w:val="22"/>
          <w:lang w:val="sk-SK" w:eastAsia="en-GB"/>
        </w:rPr>
        <w:t>STADA</w:t>
      </w:r>
      <w:r w:rsidR="003E07C8" w:rsidRPr="00044184">
        <w:rPr>
          <w:szCs w:val="22"/>
          <w:lang w:val="sk-SK" w:eastAsia="en-GB"/>
        </w:rPr>
        <w:t xml:space="preserve">. </w:t>
      </w:r>
      <w:r w:rsidR="00FD5DA8" w:rsidRPr="00044184">
        <w:rPr>
          <w:szCs w:val="22"/>
          <w:lang w:val="sk-SK" w:eastAsia="en-GB"/>
        </w:rPr>
        <w:t>U pacientov s ťažkou poruchou funkcie pečene (AST</w:t>
      </w:r>
      <w:r w:rsidR="005D381E" w:rsidRPr="00044184">
        <w:rPr>
          <w:szCs w:val="22"/>
          <w:lang w:val="sk-SK" w:eastAsia="en-GB"/>
        </w:rPr>
        <w:t>/SGOT</w:t>
      </w:r>
      <w:r w:rsidR="00FD5DA8" w:rsidRPr="00044184">
        <w:rPr>
          <w:szCs w:val="22"/>
          <w:lang w:val="sk-SK" w:eastAsia="en-GB"/>
        </w:rPr>
        <w:t xml:space="preserve"> a</w:t>
      </w:r>
      <w:r w:rsidR="005D381E" w:rsidRPr="00044184">
        <w:rPr>
          <w:szCs w:val="22"/>
          <w:lang w:val="sk-SK" w:eastAsia="en-GB"/>
        </w:rPr>
        <w:t> </w:t>
      </w:r>
      <w:r w:rsidR="00FD5DA8" w:rsidRPr="00044184">
        <w:rPr>
          <w:szCs w:val="22"/>
          <w:lang w:val="sk-SK" w:eastAsia="en-GB"/>
        </w:rPr>
        <w:t>ALT</w:t>
      </w:r>
      <w:r w:rsidR="005D381E" w:rsidRPr="00044184">
        <w:rPr>
          <w:szCs w:val="22"/>
          <w:lang w:val="sk-SK" w:eastAsia="en-GB"/>
        </w:rPr>
        <w:t>/SGPT</w:t>
      </w:r>
      <w:r w:rsidR="00FD5DA8" w:rsidRPr="00044184">
        <w:rPr>
          <w:szCs w:val="22"/>
          <w:lang w:val="sk-SK" w:eastAsia="en-GB"/>
        </w:rPr>
        <w:t> &gt; </w:t>
      </w:r>
      <w:r w:rsidR="00F74597" w:rsidRPr="00044184">
        <w:rPr>
          <w:szCs w:val="22"/>
          <w:lang w:val="sk-SK" w:eastAsia="en-GB"/>
        </w:rPr>
        <w:t>5x ULN (</w:t>
      </w:r>
      <w:r w:rsidR="00FD5DA8" w:rsidRPr="00044184">
        <w:rPr>
          <w:szCs w:val="22"/>
          <w:lang w:val="sk-SK" w:eastAsia="en-GB"/>
        </w:rPr>
        <w:t>5-násobok hornej hranice referenčného rozpätia (upper limit of normal, ULN)</w:t>
      </w:r>
      <w:r w:rsidR="005D381E" w:rsidRPr="00044184">
        <w:rPr>
          <w:szCs w:val="22"/>
          <w:lang w:val="sk-SK" w:eastAsia="en-GB"/>
        </w:rPr>
        <w:t>)</w:t>
      </w:r>
      <w:r w:rsidR="00FD5DA8" w:rsidRPr="00044184">
        <w:rPr>
          <w:szCs w:val="22"/>
          <w:lang w:val="sk-SK" w:eastAsia="en-GB"/>
        </w:rPr>
        <w:t xml:space="preserve"> sa bezpečnosť a účinnosť erlotinibu neskúmal</w:t>
      </w:r>
      <w:r w:rsidR="00111E8A" w:rsidRPr="00044184">
        <w:rPr>
          <w:szCs w:val="22"/>
          <w:lang w:val="sk-SK" w:eastAsia="en-GB"/>
        </w:rPr>
        <w:t>i</w:t>
      </w:r>
      <w:r w:rsidR="00FD5DA8" w:rsidRPr="00044184">
        <w:rPr>
          <w:szCs w:val="22"/>
          <w:lang w:val="sk-SK" w:eastAsia="en-GB"/>
        </w:rPr>
        <w:t>. Použitie Erlotinibu </w:t>
      </w:r>
      <w:r w:rsidR="00695459" w:rsidRPr="00044184">
        <w:rPr>
          <w:szCs w:val="22"/>
          <w:lang w:val="sk-SK" w:eastAsia="en-GB"/>
        </w:rPr>
        <w:t>STADA</w:t>
      </w:r>
      <w:r w:rsidR="00FD5DA8" w:rsidRPr="00044184">
        <w:rPr>
          <w:szCs w:val="22"/>
          <w:lang w:val="sk-SK" w:eastAsia="en-GB"/>
        </w:rPr>
        <w:t xml:space="preserve"> u pacientov s ťažkou poruchou funkcie pečene sa neodporúča (pozri časť </w:t>
      </w:r>
      <w:r w:rsidR="003E07C8" w:rsidRPr="00044184">
        <w:rPr>
          <w:szCs w:val="22"/>
          <w:lang w:val="sk-SK" w:eastAsia="en-GB"/>
        </w:rPr>
        <w:t>5.2).</w:t>
      </w:r>
    </w:p>
    <w:p w:rsidR="00940A35" w:rsidRPr="00044184" w:rsidRDefault="00940A3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E07C8" w:rsidRPr="00044184" w:rsidRDefault="0025652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Pacienti s poruchou funkcie obličiek</w:t>
      </w:r>
      <w:r w:rsidR="003E07C8" w:rsidRPr="00044184">
        <w:rPr>
          <w:szCs w:val="22"/>
          <w:u w:val="single"/>
          <w:lang w:val="sk-SK" w:eastAsia="en-GB"/>
        </w:rPr>
        <w:t>:</w:t>
      </w:r>
      <w:r w:rsidR="003E07C8" w:rsidRPr="00044184">
        <w:rPr>
          <w:szCs w:val="22"/>
          <w:lang w:val="sk-SK" w:eastAsia="en-GB"/>
        </w:rPr>
        <w:t xml:space="preserve"> </w:t>
      </w:r>
      <w:r w:rsidR="00FD5DA8" w:rsidRPr="00044184">
        <w:rPr>
          <w:szCs w:val="22"/>
          <w:lang w:val="sk-SK" w:eastAsia="en-GB"/>
        </w:rPr>
        <w:t>U pacientov s poruchou funkcie obličiek (koncentrácia kreatinínu v sére </w:t>
      </w:r>
      <w:r w:rsidR="003E07C8" w:rsidRPr="00044184">
        <w:rPr>
          <w:szCs w:val="22"/>
          <w:lang w:val="sk-SK" w:eastAsia="en-GB"/>
        </w:rPr>
        <w:t>&gt;</w:t>
      </w:r>
      <w:r w:rsidR="00FD5DA8"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>1</w:t>
      </w:r>
      <w:r w:rsidR="00FD5DA8" w:rsidRPr="00044184">
        <w:rPr>
          <w:szCs w:val="22"/>
          <w:lang w:val="sk-SK" w:eastAsia="en-GB"/>
        </w:rPr>
        <w:t>,</w:t>
      </w:r>
      <w:r w:rsidR="003E07C8" w:rsidRPr="00044184">
        <w:rPr>
          <w:szCs w:val="22"/>
          <w:lang w:val="sk-SK" w:eastAsia="en-GB"/>
        </w:rPr>
        <w:t>5</w:t>
      </w:r>
      <w:r w:rsidR="00FD5DA8" w:rsidRPr="00044184">
        <w:rPr>
          <w:szCs w:val="22"/>
          <w:lang w:val="sk-SK" w:eastAsia="en-GB"/>
        </w:rPr>
        <w:noBreakHyphen/>
        <w:t xml:space="preserve">násobok </w:t>
      </w:r>
      <w:r w:rsidR="008017D1" w:rsidRPr="00044184">
        <w:rPr>
          <w:szCs w:val="22"/>
          <w:lang w:val="sk-SK" w:eastAsia="en-GB"/>
        </w:rPr>
        <w:t>hornej hranice referenčného ro</w:t>
      </w:r>
      <w:r w:rsidR="007E1DD4">
        <w:rPr>
          <w:szCs w:val="22"/>
          <w:lang w:val="sk-SK" w:eastAsia="en-GB"/>
        </w:rPr>
        <w:t>zpätia</w:t>
      </w:r>
      <w:r w:rsidR="003E07C8" w:rsidRPr="00044184">
        <w:rPr>
          <w:szCs w:val="22"/>
          <w:lang w:val="sk-SK" w:eastAsia="en-GB"/>
        </w:rPr>
        <w:t>)</w:t>
      </w:r>
      <w:r w:rsidR="00FD5DA8" w:rsidRPr="00044184">
        <w:rPr>
          <w:szCs w:val="22"/>
          <w:lang w:val="sk-SK" w:eastAsia="en-GB"/>
        </w:rPr>
        <w:t xml:space="preserve"> sa bezpečnosť a účinnosť erlotinibu neskúmal</w:t>
      </w:r>
      <w:r w:rsidR="00111E8A" w:rsidRPr="00044184">
        <w:rPr>
          <w:szCs w:val="22"/>
          <w:lang w:val="sk-SK" w:eastAsia="en-GB"/>
        </w:rPr>
        <w:t>i</w:t>
      </w:r>
      <w:r w:rsidR="003E07C8" w:rsidRPr="00044184">
        <w:rPr>
          <w:szCs w:val="22"/>
          <w:lang w:val="sk-SK" w:eastAsia="en-GB"/>
        </w:rPr>
        <w:t xml:space="preserve">. </w:t>
      </w:r>
      <w:r w:rsidR="00FD5DA8" w:rsidRPr="00044184">
        <w:rPr>
          <w:szCs w:val="22"/>
          <w:lang w:val="sk-SK" w:eastAsia="en-GB"/>
        </w:rPr>
        <w:t xml:space="preserve">Na základe farmakokinetických údajov sa predpokladá, že u pacientov s miernou alebo stredne ťažkou poruchou funkcie obličiek nie </w:t>
      </w:r>
      <w:r w:rsidR="00C3013A">
        <w:rPr>
          <w:szCs w:val="22"/>
          <w:lang w:val="sk-SK" w:eastAsia="en-GB"/>
        </w:rPr>
        <w:t>sú</w:t>
      </w:r>
      <w:r w:rsidR="00FD5DA8" w:rsidRPr="00044184">
        <w:rPr>
          <w:szCs w:val="22"/>
          <w:lang w:val="sk-SK" w:eastAsia="en-GB"/>
        </w:rPr>
        <w:t xml:space="preserve"> potrebn</w:t>
      </w:r>
      <w:r w:rsidR="00C3013A">
        <w:rPr>
          <w:szCs w:val="22"/>
          <w:lang w:val="sk-SK" w:eastAsia="en-GB"/>
        </w:rPr>
        <w:t>é</w:t>
      </w:r>
      <w:r w:rsidR="00FD5DA8" w:rsidRPr="00044184">
        <w:rPr>
          <w:szCs w:val="22"/>
          <w:lang w:val="sk-SK" w:eastAsia="en-GB"/>
        </w:rPr>
        <w:t xml:space="preserve"> žiadn</w:t>
      </w:r>
      <w:r w:rsidR="00C3013A">
        <w:rPr>
          <w:szCs w:val="22"/>
          <w:lang w:val="sk-SK" w:eastAsia="en-GB"/>
        </w:rPr>
        <w:t>e</w:t>
      </w:r>
      <w:r w:rsidR="00FD5DA8" w:rsidRPr="00044184">
        <w:rPr>
          <w:szCs w:val="22"/>
          <w:lang w:val="sk-SK" w:eastAsia="en-GB"/>
        </w:rPr>
        <w:t xml:space="preserve"> úprav</w:t>
      </w:r>
      <w:r w:rsidR="00C3013A">
        <w:rPr>
          <w:szCs w:val="22"/>
          <w:lang w:val="sk-SK" w:eastAsia="en-GB"/>
        </w:rPr>
        <w:t>y</w:t>
      </w:r>
      <w:r w:rsidR="00FD5DA8" w:rsidRPr="00044184">
        <w:rPr>
          <w:szCs w:val="22"/>
          <w:lang w:val="sk-SK" w:eastAsia="en-GB"/>
        </w:rPr>
        <w:t xml:space="preserve"> dávky</w:t>
      </w:r>
      <w:r w:rsidR="003E07C8" w:rsidRPr="00044184">
        <w:rPr>
          <w:szCs w:val="22"/>
          <w:lang w:val="sk-SK" w:eastAsia="en-GB"/>
        </w:rPr>
        <w:t xml:space="preserve"> (</w:t>
      </w:r>
      <w:r w:rsidR="00FD5DA8" w:rsidRPr="00044184">
        <w:rPr>
          <w:szCs w:val="22"/>
          <w:lang w:val="sk-SK" w:eastAsia="en-GB"/>
        </w:rPr>
        <w:t>pozri časť </w:t>
      </w:r>
      <w:r w:rsidR="00940A35" w:rsidRPr="00044184">
        <w:rPr>
          <w:szCs w:val="22"/>
          <w:lang w:val="sk-SK" w:eastAsia="en-GB"/>
        </w:rPr>
        <w:t xml:space="preserve">5.2). </w:t>
      </w:r>
      <w:r w:rsidR="00FD5DA8" w:rsidRPr="00044184">
        <w:rPr>
          <w:szCs w:val="22"/>
          <w:lang w:val="sk-SK" w:eastAsia="en-GB"/>
        </w:rPr>
        <w:t>Použitie Erlotinibu </w:t>
      </w:r>
      <w:r w:rsidR="00695459" w:rsidRPr="00044184">
        <w:rPr>
          <w:szCs w:val="22"/>
          <w:lang w:val="sk-SK" w:eastAsia="en-GB"/>
        </w:rPr>
        <w:t>STADA</w:t>
      </w:r>
      <w:r w:rsidR="00FD5DA8" w:rsidRPr="00044184">
        <w:rPr>
          <w:szCs w:val="22"/>
          <w:lang w:val="sk-SK" w:eastAsia="en-GB"/>
        </w:rPr>
        <w:t xml:space="preserve"> u pacientov s ťažkou poruchou funkcie oblič</w:t>
      </w:r>
      <w:r w:rsidR="00CA615A" w:rsidRPr="00044184">
        <w:rPr>
          <w:szCs w:val="22"/>
          <w:lang w:val="sk-SK" w:eastAsia="en-GB"/>
        </w:rPr>
        <w:t>i</w:t>
      </w:r>
      <w:r w:rsidR="00FD5DA8" w:rsidRPr="00044184">
        <w:rPr>
          <w:szCs w:val="22"/>
          <w:lang w:val="sk-SK" w:eastAsia="en-GB"/>
        </w:rPr>
        <w:t>ek sa neodporúča</w:t>
      </w:r>
      <w:r w:rsidR="003E07C8" w:rsidRPr="00044184">
        <w:rPr>
          <w:szCs w:val="22"/>
          <w:lang w:val="sk-SK" w:eastAsia="en-GB"/>
        </w:rPr>
        <w:t>.</w:t>
      </w:r>
    </w:p>
    <w:p w:rsidR="00940A35" w:rsidRPr="00044184" w:rsidRDefault="00940A3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4597" w:rsidRPr="00044184" w:rsidRDefault="003E07C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 w:eastAsia="en-GB"/>
        </w:rPr>
      </w:pPr>
      <w:r w:rsidRPr="00044184">
        <w:rPr>
          <w:i/>
          <w:szCs w:val="22"/>
          <w:lang w:val="sk-SK" w:eastAsia="en-GB"/>
        </w:rPr>
        <w:t>Pediatric</w:t>
      </w:r>
      <w:r w:rsidR="006B10E9" w:rsidRPr="00044184">
        <w:rPr>
          <w:i/>
          <w:szCs w:val="22"/>
          <w:lang w:val="sk-SK" w:eastAsia="en-GB"/>
        </w:rPr>
        <w:t>ká</w:t>
      </w:r>
      <w:r w:rsidRPr="00044184">
        <w:rPr>
          <w:i/>
          <w:szCs w:val="22"/>
          <w:lang w:val="sk-SK" w:eastAsia="en-GB"/>
        </w:rPr>
        <w:t xml:space="preserve"> popul</w:t>
      </w:r>
      <w:r w:rsidR="006B10E9" w:rsidRPr="00044184">
        <w:rPr>
          <w:i/>
          <w:szCs w:val="22"/>
          <w:lang w:val="sk-SK" w:eastAsia="en-GB"/>
        </w:rPr>
        <w:t>ácia</w:t>
      </w:r>
      <w:r w:rsidRPr="00044184">
        <w:rPr>
          <w:i/>
          <w:szCs w:val="22"/>
          <w:lang w:val="sk-SK" w:eastAsia="en-GB"/>
        </w:rPr>
        <w:t xml:space="preserve"> </w:t>
      </w:r>
    </w:p>
    <w:p w:rsidR="003E07C8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lastRenderedPageBreak/>
        <w:t xml:space="preserve">Bezpečnosť a účinnosť </w:t>
      </w:r>
      <w:r w:rsidR="005D381E" w:rsidRPr="00044184">
        <w:rPr>
          <w:szCs w:val="22"/>
          <w:lang w:val="sk-SK" w:eastAsia="en-GB"/>
        </w:rPr>
        <w:t xml:space="preserve">erlotinibu </w:t>
      </w:r>
      <w:r w:rsidRPr="00044184">
        <w:rPr>
          <w:szCs w:val="22"/>
          <w:lang w:val="sk-SK" w:eastAsia="en-GB"/>
        </w:rPr>
        <w:t xml:space="preserve">u pacientov </w:t>
      </w:r>
      <w:r w:rsidR="00C308D3">
        <w:rPr>
          <w:szCs w:val="22"/>
          <w:lang w:val="sk-SK" w:eastAsia="en-GB"/>
        </w:rPr>
        <w:t>vo veku menej</w:t>
      </w:r>
      <w:r w:rsidRPr="00044184">
        <w:rPr>
          <w:szCs w:val="22"/>
          <w:lang w:val="sk-SK" w:eastAsia="en-GB"/>
        </w:rPr>
        <w:t xml:space="preserve"> ako </w:t>
      </w:r>
      <w:r w:rsidR="003E07C8" w:rsidRPr="00044184">
        <w:rPr>
          <w:szCs w:val="22"/>
          <w:lang w:val="sk-SK" w:eastAsia="en-GB"/>
        </w:rPr>
        <w:t>18</w:t>
      </w:r>
      <w:r w:rsidRPr="00044184">
        <w:rPr>
          <w:szCs w:val="22"/>
          <w:lang w:val="sk-SK" w:eastAsia="en-GB"/>
        </w:rPr>
        <w:t> rokov neboli stanovené</w:t>
      </w:r>
      <w:r w:rsidR="003E07C8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Použitie Erlotinibu </w:t>
      </w:r>
      <w:r w:rsidR="00695459" w:rsidRPr="00044184">
        <w:rPr>
          <w:szCs w:val="22"/>
          <w:lang w:val="sk-SK" w:eastAsia="en-GB"/>
        </w:rPr>
        <w:t>STADA</w:t>
      </w:r>
      <w:r w:rsidRPr="00044184">
        <w:rPr>
          <w:szCs w:val="22"/>
          <w:lang w:val="sk-SK" w:eastAsia="en-GB"/>
        </w:rPr>
        <w:t xml:space="preserve"> u pediatrických pacientov sa neodporúča</w:t>
      </w:r>
      <w:r w:rsidR="003E07C8" w:rsidRPr="00044184">
        <w:rPr>
          <w:szCs w:val="22"/>
          <w:lang w:val="sk-SK" w:eastAsia="en-GB"/>
        </w:rPr>
        <w:t>.</w:t>
      </w:r>
    </w:p>
    <w:p w:rsidR="00940A35" w:rsidRPr="00044184" w:rsidRDefault="00940A3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C53ACC" w:rsidRPr="00044184" w:rsidRDefault="00FD5DA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Fajčiari</w:t>
      </w:r>
      <w:r w:rsidR="003E07C8" w:rsidRPr="00044184">
        <w:rPr>
          <w:szCs w:val="22"/>
          <w:u w:val="single"/>
          <w:lang w:val="sk-SK" w:eastAsia="en-GB"/>
        </w:rPr>
        <w:t>:</w:t>
      </w:r>
      <w:r w:rsidR="003E07C8" w:rsidRPr="00044184">
        <w:rPr>
          <w:szCs w:val="22"/>
          <w:lang w:val="sk-SK" w:eastAsia="en-GB"/>
        </w:rPr>
        <w:t xml:space="preserve"> </w:t>
      </w:r>
      <w:r w:rsidR="00F74597" w:rsidRPr="00044184">
        <w:rPr>
          <w:szCs w:val="22"/>
          <w:lang w:val="sk-SK" w:eastAsia="en-GB"/>
        </w:rPr>
        <w:t>Do</w:t>
      </w:r>
      <w:r w:rsidRPr="00044184">
        <w:rPr>
          <w:szCs w:val="22"/>
          <w:lang w:val="sk-SK" w:eastAsia="en-GB"/>
        </w:rPr>
        <w:t>kázalo sa, že fajčenie cigariet znižuje expozíciu erlotinibu o </w:t>
      </w:r>
      <w:r w:rsidR="003E07C8" w:rsidRPr="00044184">
        <w:rPr>
          <w:szCs w:val="22"/>
          <w:lang w:val="sk-SK" w:eastAsia="en-GB"/>
        </w:rPr>
        <w:t>50</w:t>
      </w:r>
      <w:r w:rsidRPr="00044184">
        <w:rPr>
          <w:szCs w:val="22"/>
          <w:lang w:val="sk-SK" w:eastAsia="en-GB"/>
        </w:rPr>
        <w:t> </w:t>
      </w:r>
      <w:r w:rsidR="002F19CC" w:rsidRPr="00044184">
        <w:rPr>
          <w:szCs w:val="22"/>
          <w:lang w:val="sk-SK" w:eastAsia="en-GB"/>
        </w:rPr>
        <w:t>– </w:t>
      </w:r>
      <w:r w:rsidR="003E07C8" w:rsidRPr="00044184">
        <w:rPr>
          <w:szCs w:val="22"/>
          <w:lang w:val="sk-SK" w:eastAsia="en-GB"/>
        </w:rPr>
        <w:t>60</w:t>
      </w:r>
      <w:r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 xml:space="preserve">. </w:t>
      </w:r>
      <w:r w:rsidR="00F079F3" w:rsidRPr="00044184">
        <w:rPr>
          <w:szCs w:val="22"/>
          <w:lang w:val="sk-SK" w:eastAsia="en-GB"/>
        </w:rPr>
        <w:t>Najvyššia tolerovaná dávka Erlotinibu </w:t>
      </w:r>
      <w:r w:rsidR="00695459" w:rsidRPr="00044184">
        <w:rPr>
          <w:szCs w:val="22"/>
          <w:lang w:val="sk-SK" w:eastAsia="en-GB"/>
        </w:rPr>
        <w:t>STADA</w:t>
      </w:r>
      <w:r w:rsidR="00F079F3" w:rsidRPr="00044184">
        <w:rPr>
          <w:szCs w:val="22"/>
          <w:lang w:val="sk-SK" w:eastAsia="en-GB"/>
        </w:rPr>
        <w:t xml:space="preserve"> u pacientov s NSCLC, ktorí </w:t>
      </w:r>
      <w:r w:rsidR="00D57B7C">
        <w:rPr>
          <w:szCs w:val="22"/>
          <w:lang w:val="sk-SK" w:eastAsia="en-GB"/>
        </w:rPr>
        <w:t>súčasne</w:t>
      </w:r>
      <w:r w:rsidR="00F74597" w:rsidRPr="00044184">
        <w:rPr>
          <w:szCs w:val="22"/>
          <w:lang w:val="sk-SK" w:eastAsia="en-GB"/>
        </w:rPr>
        <w:t xml:space="preserve"> fajči</w:t>
      </w:r>
      <w:r w:rsidR="00271350">
        <w:rPr>
          <w:szCs w:val="22"/>
          <w:lang w:val="sk-SK" w:eastAsia="en-GB"/>
        </w:rPr>
        <w:t>li</w:t>
      </w:r>
      <w:r w:rsidR="006C03DC" w:rsidRPr="00044184">
        <w:rPr>
          <w:szCs w:val="22"/>
          <w:lang w:val="sk-SK" w:eastAsia="en-GB"/>
        </w:rPr>
        <w:t xml:space="preserve"> ciga</w:t>
      </w:r>
      <w:r w:rsidR="00F74597" w:rsidRPr="00044184">
        <w:rPr>
          <w:szCs w:val="22"/>
          <w:lang w:val="sk-SK" w:eastAsia="en-GB"/>
        </w:rPr>
        <w:t>rety</w:t>
      </w:r>
      <w:r w:rsidR="00F079F3" w:rsidRPr="00044184">
        <w:rPr>
          <w:szCs w:val="22"/>
          <w:lang w:val="sk-SK" w:eastAsia="en-GB"/>
        </w:rPr>
        <w:t xml:space="preserve">, bola </w:t>
      </w:r>
      <w:r w:rsidR="003E07C8" w:rsidRPr="00044184">
        <w:rPr>
          <w:szCs w:val="22"/>
          <w:lang w:val="sk-SK" w:eastAsia="en-GB"/>
        </w:rPr>
        <w:t>300</w:t>
      </w:r>
      <w:r w:rsidR="00F079F3"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 xml:space="preserve">mg. </w:t>
      </w:r>
      <w:r w:rsidR="00F079F3" w:rsidRPr="00044184">
        <w:rPr>
          <w:szCs w:val="22"/>
          <w:lang w:val="sk-SK" w:eastAsia="en-GB"/>
        </w:rPr>
        <w:t>Účinnosť a dlhodobá bezpečnosť dávky</w:t>
      </w:r>
      <w:r w:rsidR="008D0021" w:rsidRPr="00044184">
        <w:rPr>
          <w:szCs w:val="22"/>
          <w:lang w:val="sk-SK" w:eastAsia="en-GB"/>
        </w:rPr>
        <w:t xml:space="preserve"> </w:t>
      </w:r>
      <w:r w:rsidR="00F10D1F" w:rsidRPr="00044184">
        <w:rPr>
          <w:szCs w:val="22"/>
          <w:lang w:val="sk-SK" w:eastAsia="en-GB"/>
        </w:rPr>
        <w:t>vyššej ako sú</w:t>
      </w:r>
      <w:r w:rsidR="00111E8A" w:rsidRPr="00044184">
        <w:rPr>
          <w:szCs w:val="22"/>
          <w:lang w:val="sk-SK" w:eastAsia="en-GB"/>
        </w:rPr>
        <w:t xml:space="preserve"> </w:t>
      </w:r>
      <w:r w:rsidR="00F079F3" w:rsidRPr="00044184">
        <w:rPr>
          <w:szCs w:val="22"/>
          <w:lang w:val="sk-SK" w:eastAsia="en-GB"/>
        </w:rPr>
        <w:t xml:space="preserve">odporúčané začiatočné dávky </w:t>
      </w:r>
      <w:r w:rsidR="00EE0759" w:rsidRPr="00044184">
        <w:rPr>
          <w:szCs w:val="22"/>
          <w:lang w:val="sk-SK" w:eastAsia="en-GB"/>
        </w:rPr>
        <w:t xml:space="preserve">sa nestanovili </w:t>
      </w:r>
      <w:r w:rsidR="00F079F3" w:rsidRPr="00044184">
        <w:rPr>
          <w:szCs w:val="22"/>
          <w:lang w:val="sk-SK" w:eastAsia="en-GB"/>
        </w:rPr>
        <w:t>u pacientov, ktorí pokrač</w:t>
      </w:r>
      <w:r w:rsidR="008D0021" w:rsidRPr="00044184">
        <w:rPr>
          <w:szCs w:val="22"/>
          <w:lang w:val="sk-SK" w:eastAsia="en-GB"/>
        </w:rPr>
        <w:t>ovali</w:t>
      </w:r>
      <w:r w:rsidR="00F079F3" w:rsidRPr="00044184">
        <w:rPr>
          <w:szCs w:val="22"/>
          <w:lang w:val="sk-SK" w:eastAsia="en-GB"/>
        </w:rPr>
        <w:t xml:space="preserve"> vo fajčení cigariet</w:t>
      </w:r>
      <w:r w:rsidR="003E07C8" w:rsidRPr="00044184">
        <w:rPr>
          <w:szCs w:val="22"/>
          <w:lang w:val="sk-SK" w:eastAsia="en-GB"/>
        </w:rPr>
        <w:t xml:space="preserve"> (</w:t>
      </w:r>
      <w:r w:rsidR="00F079F3" w:rsidRPr="00044184">
        <w:rPr>
          <w:szCs w:val="22"/>
          <w:lang w:val="sk-SK" w:eastAsia="en-GB"/>
        </w:rPr>
        <w:t>pozri časti </w:t>
      </w:r>
      <w:r w:rsidR="003E07C8" w:rsidRPr="00044184">
        <w:rPr>
          <w:szCs w:val="22"/>
          <w:lang w:val="sk-SK" w:eastAsia="en-GB"/>
        </w:rPr>
        <w:t>4.5</w:t>
      </w:r>
      <w:r w:rsidR="00F079F3"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>a</w:t>
      </w:r>
      <w:r w:rsidR="00F079F3" w:rsidRPr="00044184">
        <w:rPr>
          <w:szCs w:val="22"/>
          <w:lang w:val="sk-SK" w:eastAsia="en-GB"/>
        </w:rPr>
        <w:t> </w:t>
      </w:r>
      <w:r w:rsidR="003E07C8" w:rsidRPr="00044184">
        <w:rPr>
          <w:szCs w:val="22"/>
          <w:lang w:val="sk-SK" w:eastAsia="en-GB"/>
        </w:rPr>
        <w:t xml:space="preserve">5.2). </w:t>
      </w:r>
      <w:r w:rsidR="00326C72" w:rsidRPr="00044184">
        <w:rPr>
          <w:szCs w:val="22"/>
          <w:lang w:val="sk-SK" w:eastAsia="en-GB"/>
        </w:rPr>
        <w:t xml:space="preserve">Súčasným fajčiarom sa má preto odporučiť, aby prestali fajčiť, pretože plazmatické koncentrácie erlotinibu </w:t>
      </w:r>
      <w:r w:rsidR="00C07FE4" w:rsidRPr="00044184">
        <w:rPr>
          <w:szCs w:val="22"/>
          <w:lang w:val="sk-SK" w:eastAsia="en-GB"/>
        </w:rPr>
        <w:t xml:space="preserve">sú </w:t>
      </w:r>
      <w:r w:rsidR="00326C72" w:rsidRPr="00044184">
        <w:rPr>
          <w:szCs w:val="22"/>
          <w:lang w:val="sk-SK" w:eastAsia="en-GB"/>
        </w:rPr>
        <w:t>u fajčiarov v porovnaní s nefajčiarmi znížené</w:t>
      </w:r>
      <w:r w:rsidR="003E07C8" w:rsidRPr="00044184">
        <w:rPr>
          <w:szCs w:val="22"/>
          <w:lang w:val="sk-SK" w:eastAsia="en-GB"/>
        </w:rPr>
        <w:t>.</w:t>
      </w:r>
    </w:p>
    <w:p w:rsidR="00F74597" w:rsidRPr="00044184" w:rsidRDefault="00F7459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4597" w:rsidRPr="00044184" w:rsidRDefault="00F7459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Spôsob podávania</w:t>
      </w:r>
    </w:p>
    <w:p w:rsidR="00F74597" w:rsidRPr="00044184" w:rsidRDefault="00F7459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>Na perorálne použitie.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4.3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Kontraindikácie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6B10E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 xml:space="preserve">Precitlivenosť na </w:t>
      </w:r>
      <w:r w:rsidR="00940A35" w:rsidRPr="00044184">
        <w:rPr>
          <w:szCs w:val="22"/>
          <w:lang w:val="sk-SK"/>
        </w:rPr>
        <w:t>erlotinib</w:t>
      </w:r>
      <w:r w:rsidR="001D29E6" w:rsidRPr="00044184">
        <w:rPr>
          <w:szCs w:val="22"/>
          <w:lang w:val="sk-SK"/>
        </w:rPr>
        <w:t xml:space="preserve"> </w:t>
      </w:r>
      <w:r w:rsidR="00E12E95" w:rsidRPr="00044184">
        <w:rPr>
          <w:szCs w:val="22"/>
          <w:lang w:val="sk-SK"/>
        </w:rPr>
        <w:t xml:space="preserve">alebo </w:t>
      </w:r>
      <w:r w:rsidRPr="00044184">
        <w:rPr>
          <w:szCs w:val="22"/>
          <w:lang w:val="sk-SK" w:eastAsia="en-GB"/>
        </w:rPr>
        <w:t>na ktorúkoľvek z pomocných látok uvedených v časti 6.</w:t>
      </w:r>
      <w:r w:rsidR="00940A35" w:rsidRPr="00044184">
        <w:rPr>
          <w:szCs w:val="22"/>
          <w:lang w:val="sk-SK"/>
        </w:rPr>
        <w:t>1.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4.4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Osobitné upozornenia a opatrenia pri používaní</w:t>
      </w:r>
    </w:p>
    <w:p w:rsidR="00C53ACC" w:rsidRPr="00044184" w:rsidRDefault="00C53ACC" w:rsidP="00695459">
      <w:pPr>
        <w:spacing w:line="240" w:lineRule="auto"/>
        <w:ind w:left="567" w:hanging="567"/>
        <w:rPr>
          <w:szCs w:val="22"/>
          <w:lang w:val="sk-SK"/>
        </w:rPr>
      </w:pPr>
    </w:p>
    <w:p w:rsidR="00940A35" w:rsidRPr="00044184" w:rsidRDefault="002822E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Hodnotenie stavu mutácie EGFR</w:t>
      </w:r>
    </w:p>
    <w:p w:rsidR="00940A35" w:rsidRPr="00044184" w:rsidRDefault="002822E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Pri hodnotení stavu mutácie EGFR </w:t>
      </w:r>
      <w:r w:rsidR="00707F53" w:rsidRPr="00044184">
        <w:rPr>
          <w:szCs w:val="22"/>
          <w:lang w:val="sk-SK" w:eastAsia="en-GB"/>
        </w:rPr>
        <w:t xml:space="preserve">u pacienta </w:t>
      </w:r>
      <w:r w:rsidRPr="00044184">
        <w:rPr>
          <w:szCs w:val="22"/>
          <w:lang w:val="sk-SK" w:eastAsia="en-GB"/>
        </w:rPr>
        <w:t xml:space="preserve">je dôležité zvoliť </w:t>
      </w:r>
      <w:r w:rsidR="002F19CC" w:rsidRPr="00044184">
        <w:rPr>
          <w:szCs w:val="22"/>
          <w:lang w:val="sk-SK" w:eastAsia="en-GB"/>
        </w:rPr>
        <w:t xml:space="preserve">dobre </w:t>
      </w:r>
      <w:r w:rsidRPr="00044184">
        <w:rPr>
          <w:szCs w:val="22"/>
          <w:lang w:val="sk-SK" w:eastAsia="en-GB"/>
        </w:rPr>
        <w:t>validovanú a </w:t>
      </w:r>
      <w:r w:rsidR="002F19CC" w:rsidRPr="00044184">
        <w:rPr>
          <w:szCs w:val="22"/>
          <w:lang w:val="sk-SK" w:eastAsia="en-GB"/>
        </w:rPr>
        <w:t>podrobnú</w:t>
      </w:r>
      <w:r w:rsidRPr="00044184">
        <w:rPr>
          <w:szCs w:val="22"/>
          <w:lang w:val="sk-SK" w:eastAsia="en-GB"/>
        </w:rPr>
        <w:t xml:space="preserve"> metódu, aby sa zabránilo falošne negatívn</w:t>
      </w:r>
      <w:r w:rsidR="00707F53" w:rsidRPr="00044184">
        <w:rPr>
          <w:szCs w:val="22"/>
          <w:lang w:val="sk-SK" w:eastAsia="en-GB"/>
        </w:rPr>
        <w:t>ym alebo falošne pozitívnym výsledkom.</w:t>
      </w:r>
    </w:p>
    <w:p w:rsidR="00940A35" w:rsidRPr="00044184" w:rsidRDefault="00940A3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40A35" w:rsidRPr="00044184" w:rsidRDefault="00707F5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Fajčiari</w:t>
      </w:r>
    </w:p>
    <w:p w:rsidR="00940A35" w:rsidRPr="00044184" w:rsidRDefault="00707F5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Súčasným fajčiarom sa má odporučiť, aby prestali fajčiť, pretože plazmatické koncentrácie erlotinibu </w:t>
      </w:r>
      <w:r w:rsidR="00C07FE4" w:rsidRPr="00044184">
        <w:rPr>
          <w:szCs w:val="22"/>
          <w:lang w:val="sk-SK" w:eastAsia="en-GB"/>
        </w:rPr>
        <w:t xml:space="preserve">sú </w:t>
      </w:r>
      <w:r w:rsidRPr="00044184">
        <w:rPr>
          <w:szCs w:val="22"/>
          <w:lang w:val="sk-SK" w:eastAsia="en-GB"/>
        </w:rPr>
        <w:t>u fajčiarov v porovnaní s nefajčiarmi znížené</w:t>
      </w:r>
      <w:r w:rsidR="00940A35" w:rsidRPr="00044184">
        <w:rPr>
          <w:szCs w:val="22"/>
          <w:lang w:val="sk-SK" w:eastAsia="en-GB"/>
        </w:rPr>
        <w:t xml:space="preserve">. </w:t>
      </w:r>
      <w:r w:rsidR="00950791" w:rsidRPr="00044184">
        <w:rPr>
          <w:szCs w:val="22"/>
          <w:lang w:val="sk-SK" w:eastAsia="en-GB"/>
        </w:rPr>
        <w:t>Rozsah</w:t>
      </w:r>
      <w:r w:rsidR="00FE03AB" w:rsidRPr="00044184">
        <w:rPr>
          <w:szCs w:val="22"/>
          <w:lang w:val="sk-SK" w:eastAsia="en-GB"/>
        </w:rPr>
        <w:t xml:space="preserve"> tohto zníženia </w:t>
      </w:r>
      <w:r w:rsidR="00487A07" w:rsidRPr="00044184">
        <w:rPr>
          <w:szCs w:val="22"/>
          <w:lang w:val="sk-SK" w:eastAsia="en-GB"/>
        </w:rPr>
        <w:t xml:space="preserve">je </w:t>
      </w:r>
      <w:r w:rsidR="00FE03AB" w:rsidRPr="00044184">
        <w:rPr>
          <w:szCs w:val="22"/>
          <w:lang w:val="sk-SK" w:eastAsia="en-GB"/>
        </w:rPr>
        <w:t>pravdepodobne klinicky významn</w:t>
      </w:r>
      <w:r w:rsidR="00042120" w:rsidRPr="00044184">
        <w:rPr>
          <w:szCs w:val="22"/>
          <w:lang w:val="sk-SK" w:eastAsia="en-GB"/>
        </w:rPr>
        <w:t>ý</w:t>
      </w:r>
      <w:r w:rsidR="00FE03AB" w:rsidRPr="00044184">
        <w:rPr>
          <w:szCs w:val="22"/>
          <w:lang w:val="sk-SK" w:eastAsia="en-GB"/>
        </w:rPr>
        <w:t xml:space="preserve"> </w:t>
      </w:r>
      <w:r w:rsidR="00940A35" w:rsidRPr="00044184">
        <w:rPr>
          <w:szCs w:val="22"/>
          <w:lang w:val="sk-SK" w:eastAsia="en-GB"/>
        </w:rPr>
        <w:t>(</w:t>
      </w:r>
      <w:r w:rsidR="00FE03AB" w:rsidRPr="00044184">
        <w:rPr>
          <w:szCs w:val="22"/>
          <w:lang w:val="sk-SK" w:eastAsia="en-GB"/>
        </w:rPr>
        <w:t>pozri časť </w:t>
      </w:r>
      <w:r w:rsidR="00940A35" w:rsidRPr="00044184">
        <w:rPr>
          <w:szCs w:val="22"/>
          <w:lang w:val="sk-SK" w:eastAsia="en-GB"/>
        </w:rPr>
        <w:t>4.5).</w:t>
      </w:r>
    </w:p>
    <w:p w:rsidR="00940A35" w:rsidRPr="00044184" w:rsidRDefault="00940A35" w:rsidP="00695459">
      <w:pPr>
        <w:spacing w:line="240" w:lineRule="auto"/>
        <w:ind w:left="567" w:hanging="567"/>
        <w:rPr>
          <w:szCs w:val="22"/>
          <w:lang w:val="sk-SK" w:eastAsia="en-GB"/>
        </w:rPr>
      </w:pPr>
    </w:p>
    <w:p w:rsidR="00940A35" w:rsidRPr="00044184" w:rsidRDefault="00940A3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Intersti</w:t>
      </w:r>
      <w:r w:rsidR="00ED07CB" w:rsidRPr="00044184">
        <w:rPr>
          <w:szCs w:val="22"/>
          <w:u w:val="single"/>
          <w:lang w:val="sk-SK" w:eastAsia="en-GB"/>
        </w:rPr>
        <w:t>c</w:t>
      </w:r>
      <w:r w:rsidRPr="00044184">
        <w:rPr>
          <w:szCs w:val="22"/>
          <w:u w:val="single"/>
          <w:lang w:val="sk-SK" w:eastAsia="en-GB"/>
        </w:rPr>
        <w:t>i</w:t>
      </w:r>
      <w:r w:rsidR="00ED07CB" w:rsidRPr="00044184">
        <w:rPr>
          <w:szCs w:val="22"/>
          <w:u w:val="single"/>
          <w:lang w:val="sk-SK" w:eastAsia="en-GB"/>
        </w:rPr>
        <w:t>álna choroba pľúc</w:t>
      </w:r>
    </w:p>
    <w:p w:rsidR="00DC2526" w:rsidRPr="00B6588C" w:rsidRDefault="00FE03AB" w:rsidP="004E3C8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sk-SK"/>
        </w:rPr>
      </w:pPr>
      <w:r w:rsidRPr="00044184">
        <w:rPr>
          <w:szCs w:val="22"/>
          <w:lang w:val="sk-SK" w:eastAsia="en-GB"/>
        </w:rPr>
        <w:t xml:space="preserve">U pacientov, ktorým sa erlotinib podával na liečbu nemalobunkového karcinómu pľúc (NSCLC), karcinómu pankreasu alebo iných pokročilých solídnych nádorov, boli </w:t>
      </w:r>
      <w:r w:rsidR="00B85039" w:rsidRPr="00044184">
        <w:rPr>
          <w:szCs w:val="22"/>
          <w:lang w:val="sk-SK" w:eastAsia="en-GB"/>
        </w:rPr>
        <w:t xml:space="preserve">menej často </w:t>
      </w:r>
      <w:r w:rsidRPr="00044184">
        <w:rPr>
          <w:szCs w:val="22"/>
          <w:lang w:val="sk-SK" w:eastAsia="en-GB"/>
        </w:rPr>
        <w:t>hlásené prípady udalostí podobných intersticiálnej chorobe pľúc (</w:t>
      </w:r>
      <w:r w:rsidR="00940A35" w:rsidRPr="00044184">
        <w:rPr>
          <w:szCs w:val="22"/>
          <w:lang w:val="sk-SK" w:eastAsia="en-GB"/>
        </w:rPr>
        <w:t>interstitial lung disease</w:t>
      </w:r>
      <w:r w:rsidRPr="00044184">
        <w:rPr>
          <w:szCs w:val="22"/>
          <w:lang w:val="sk-SK" w:eastAsia="en-GB"/>
        </w:rPr>
        <w:t>,</w:t>
      </w:r>
      <w:r w:rsidR="00940A35" w:rsidRPr="00044184">
        <w:rPr>
          <w:szCs w:val="22"/>
          <w:lang w:val="sk-SK" w:eastAsia="en-GB"/>
        </w:rPr>
        <w:t xml:space="preserve"> ILD)</w:t>
      </w:r>
      <w:r w:rsidRPr="00044184">
        <w:rPr>
          <w:szCs w:val="22"/>
          <w:lang w:val="sk-SK" w:eastAsia="en-GB"/>
        </w:rPr>
        <w:t xml:space="preserve"> vrátane smrteľných prípadov</w:t>
      </w:r>
      <w:r w:rsidR="00940A35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 pivotnej štúdii </w:t>
      </w:r>
      <w:r w:rsidR="00940A35" w:rsidRPr="00044184">
        <w:rPr>
          <w:szCs w:val="22"/>
          <w:lang w:val="sk-SK" w:eastAsia="en-GB"/>
        </w:rPr>
        <w:t xml:space="preserve">BR.21 </w:t>
      </w:r>
      <w:r w:rsidRPr="00044184">
        <w:rPr>
          <w:szCs w:val="22"/>
          <w:lang w:val="sk-SK" w:eastAsia="en-GB"/>
        </w:rPr>
        <w:t xml:space="preserve">zameranej na </w:t>
      </w:r>
      <w:r w:rsidR="00940A35" w:rsidRPr="00044184">
        <w:rPr>
          <w:szCs w:val="22"/>
          <w:lang w:val="sk-SK" w:eastAsia="en-GB"/>
        </w:rPr>
        <w:t>NSCLC</w:t>
      </w:r>
      <w:r w:rsidRPr="00044184">
        <w:rPr>
          <w:szCs w:val="22"/>
          <w:lang w:val="sk-SK" w:eastAsia="en-GB"/>
        </w:rPr>
        <w:t xml:space="preserve"> bol výskyt </w:t>
      </w:r>
      <w:r w:rsidR="00940A35" w:rsidRPr="00044184">
        <w:rPr>
          <w:szCs w:val="22"/>
          <w:lang w:val="sk-SK" w:eastAsia="en-GB"/>
        </w:rPr>
        <w:t>ILD (0</w:t>
      </w:r>
      <w:r w:rsidRPr="00044184">
        <w:rPr>
          <w:szCs w:val="22"/>
          <w:lang w:val="sk-SK" w:eastAsia="en-GB"/>
        </w:rPr>
        <w:t>,</w:t>
      </w:r>
      <w:r w:rsidR="00940A35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 </w:t>
      </w:r>
      <w:r w:rsidR="00940A35" w:rsidRPr="00044184">
        <w:rPr>
          <w:szCs w:val="22"/>
          <w:lang w:val="sk-SK" w:eastAsia="en-GB"/>
        </w:rPr>
        <w:t xml:space="preserve">%) </w:t>
      </w:r>
      <w:r w:rsidRPr="00044184">
        <w:rPr>
          <w:szCs w:val="22"/>
          <w:lang w:val="sk-SK" w:eastAsia="en-GB"/>
        </w:rPr>
        <w:t>v skupine s placebom a v skupine s erlotinibom rovnaký</w:t>
      </w:r>
      <w:r w:rsidR="00940A35" w:rsidRPr="00044184">
        <w:rPr>
          <w:szCs w:val="22"/>
          <w:lang w:val="sk-SK" w:eastAsia="en-GB"/>
        </w:rPr>
        <w:t xml:space="preserve">. </w:t>
      </w:r>
      <w:r w:rsidR="00C55BAE" w:rsidRPr="0085499D">
        <w:rPr>
          <w:szCs w:val="22"/>
          <w:lang w:val="sk-SK" w:eastAsia="sk-SK"/>
        </w:rPr>
        <w:t>Pri metaanalýzach NSCLC v randomizovaných kontrolných klinických</w:t>
      </w:r>
      <w:r w:rsidR="00C55BAE">
        <w:rPr>
          <w:szCs w:val="22"/>
          <w:lang w:val="sk-SK" w:eastAsia="sk-SK"/>
        </w:rPr>
        <w:t xml:space="preserve"> </w:t>
      </w:r>
      <w:r w:rsidR="00C55BAE" w:rsidRPr="0085499D">
        <w:rPr>
          <w:szCs w:val="22"/>
          <w:lang w:val="sk-SK" w:eastAsia="sk-SK"/>
        </w:rPr>
        <w:t>štúdiách (s výnimkou štúdií fázy I a fázy II s jedným ramenom lie</w:t>
      </w:r>
      <w:r w:rsidR="00C55BAE" w:rsidRPr="00FE0EF2">
        <w:rPr>
          <w:szCs w:val="22"/>
          <w:lang w:val="sk-SK" w:eastAsia="sk-SK"/>
        </w:rPr>
        <w:t>č</w:t>
      </w:r>
      <w:r w:rsidR="00C55BAE" w:rsidRPr="0085499D">
        <w:rPr>
          <w:szCs w:val="22"/>
          <w:lang w:val="sk-SK" w:eastAsia="sk-SK"/>
        </w:rPr>
        <w:t>by, vzh</w:t>
      </w:r>
      <w:r w:rsidR="00C55BAE" w:rsidRPr="00FE0EF2">
        <w:rPr>
          <w:szCs w:val="22"/>
          <w:lang w:val="sk-SK" w:eastAsia="sk-SK"/>
        </w:rPr>
        <w:t>ľ</w:t>
      </w:r>
      <w:r w:rsidR="00C55BAE" w:rsidRPr="0085499D">
        <w:rPr>
          <w:szCs w:val="22"/>
          <w:lang w:val="sk-SK" w:eastAsia="sk-SK"/>
        </w:rPr>
        <w:t>adom na</w:t>
      </w:r>
      <w:r w:rsidR="00C55BAE">
        <w:rPr>
          <w:szCs w:val="22"/>
          <w:lang w:val="sk-SK" w:eastAsia="sk-SK"/>
        </w:rPr>
        <w:t> </w:t>
      </w:r>
      <w:r w:rsidR="00C55BAE" w:rsidRPr="0085499D">
        <w:rPr>
          <w:szCs w:val="22"/>
          <w:lang w:val="sk-SK" w:eastAsia="sk-SK"/>
        </w:rPr>
        <w:t>chýbajúcu</w:t>
      </w:r>
      <w:r w:rsidR="00C55BAE">
        <w:rPr>
          <w:szCs w:val="22"/>
          <w:lang w:val="sk-SK" w:eastAsia="sk-SK"/>
        </w:rPr>
        <w:t xml:space="preserve"> </w:t>
      </w:r>
      <w:r w:rsidR="00C55BAE" w:rsidRPr="0085499D">
        <w:rPr>
          <w:szCs w:val="22"/>
          <w:lang w:val="sk-SK" w:eastAsia="sk-SK"/>
        </w:rPr>
        <w:t xml:space="preserve">kontrolnú skupinu) bol výskyt </w:t>
      </w:r>
      <w:r w:rsidR="00C55BAE">
        <w:rPr>
          <w:szCs w:val="22"/>
          <w:lang w:val="sk-SK" w:eastAsia="sk-SK"/>
        </w:rPr>
        <w:t>udalostí</w:t>
      </w:r>
      <w:r w:rsidR="00C55BAE" w:rsidRPr="0085499D">
        <w:rPr>
          <w:szCs w:val="22"/>
          <w:lang w:val="sk-SK" w:eastAsia="sk-SK"/>
        </w:rPr>
        <w:t xml:space="preserve"> podobných ILD u pacientov lie</w:t>
      </w:r>
      <w:r w:rsidR="00C55BAE" w:rsidRPr="00FE0EF2">
        <w:rPr>
          <w:szCs w:val="22"/>
          <w:lang w:val="sk-SK" w:eastAsia="sk-SK"/>
        </w:rPr>
        <w:t>č</w:t>
      </w:r>
      <w:r w:rsidR="00C55BAE" w:rsidRPr="0085499D">
        <w:rPr>
          <w:szCs w:val="22"/>
          <w:lang w:val="sk-SK" w:eastAsia="sk-SK"/>
        </w:rPr>
        <w:t xml:space="preserve">ených </w:t>
      </w:r>
      <w:r w:rsidR="00C55BAE">
        <w:rPr>
          <w:szCs w:val="22"/>
          <w:lang w:val="sk-SK" w:eastAsia="sk-SK"/>
        </w:rPr>
        <w:t>erlotinibom</w:t>
      </w:r>
      <w:r w:rsidR="00C55BAE" w:rsidRPr="0085499D">
        <w:rPr>
          <w:szCs w:val="22"/>
          <w:lang w:val="sk-SK" w:eastAsia="sk-SK"/>
        </w:rPr>
        <w:t xml:space="preserve"> 0,9 %,</w:t>
      </w:r>
      <w:r w:rsidR="00C55BAE">
        <w:rPr>
          <w:szCs w:val="22"/>
          <w:lang w:val="sk-SK" w:eastAsia="sk-SK"/>
        </w:rPr>
        <w:t xml:space="preserve"> </w:t>
      </w:r>
      <w:r w:rsidR="00C55BAE" w:rsidRPr="0085499D">
        <w:rPr>
          <w:szCs w:val="22"/>
          <w:lang w:val="sk-SK" w:eastAsia="sk-SK"/>
        </w:rPr>
        <w:t>v porovnaní s 0,4 % u pacientov v kontrolných ramenách</w:t>
      </w:r>
      <w:r w:rsidR="00C55BAE">
        <w:rPr>
          <w:szCs w:val="22"/>
          <w:lang w:val="sk-SK" w:eastAsia="sk-SK"/>
        </w:rPr>
        <w:t xml:space="preserve">. </w:t>
      </w:r>
      <w:r w:rsidRPr="00044184">
        <w:rPr>
          <w:szCs w:val="22"/>
          <w:lang w:val="sk-SK" w:eastAsia="en-GB"/>
        </w:rPr>
        <w:t>V štúdii zameranej na karcinóm pankreasu</w:t>
      </w:r>
      <w:r w:rsidR="00CA6C06" w:rsidRPr="00044184">
        <w:rPr>
          <w:szCs w:val="22"/>
          <w:lang w:val="sk-SK" w:eastAsia="en-GB"/>
        </w:rPr>
        <w:t>, v ktorej sa erlotinib podával v kombinácii s gemcitabínom</w:t>
      </w:r>
      <w:r w:rsidR="00940A35" w:rsidRPr="00044184">
        <w:rPr>
          <w:szCs w:val="22"/>
          <w:lang w:val="sk-SK" w:eastAsia="en-GB"/>
        </w:rPr>
        <w:t xml:space="preserve">, </w:t>
      </w:r>
      <w:r w:rsidR="00CA6C06" w:rsidRPr="00044184">
        <w:rPr>
          <w:szCs w:val="22"/>
          <w:lang w:val="sk-SK" w:eastAsia="en-GB"/>
        </w:rPr>
        <w:t>bol výskyt udalostí podobných</w:t>
      </w:r>
      <w:r w:rsidR="00940A35" w:rsidRPr="00044184">
        <w:rPr>
          <w:szCs w:val="22"/>
          <w:lang w:val="sk-SK" w:eastAsia="en-GB"/>
        </w:rPr>
        <w:t xml:space="preserve"> ILD 2</w:t>
      </w:r>
      <w:r w:rsidR="00CA6C06" w:rsidRPr="00044184">
        <w:rPr>
          <w:szCs w:val="22"/>
          <w:lang w:val="sk-SK" w:eastAsia="en-GB"/>
        </w:rPr>
        <w:t>,</w:t>
      </w:r>
      <w:r w:rsidR="00940A35" w:rsidRPr="00044184">
        <w:rPr>
          <w:szCs w:val="22"/>
          <w:lang w:val="sk-SK" w:eastAsia="en-GB"/>
        </w:rPr>
        <w:t>5</w:t>
      </w:r>
      <w:r w:rsidR="00CA6C06" w:rsidRPr="00044184">
        <w:rPr>
          <w:szCs w:val="22"/>
          <w:lang w:val="sk-SK" w:eastAsia="en-GB"/>
        </w:rPr>
        <w:t> </w:t>
      </w:r>
      <w:r w:rsidR="00940A35" w:rsidRPr="00044184">
        <w:rPr>
          <w:szCs w:val="22"/>
          <w:lang w:val="sk-SK" w:eastAsia="en-GB"/>
        </w:rPr>
        <w:t>%</w:t>
      </w:r>
      <w:r w:rsidR="00CA6C06" w:rsidRPr="00044184">
        <w:rPr>
          <w:szCs w:val="22"/>
          <w:lang w:val="sk-SK" w:eastAsia="en-GB"/>
        </w:rPr>
        <w:t> v skupine s erlotinibom a gemcitabínom v porovnaní s </w:t>
      </w:r>
      <w:r w:rsidR="00940A35" w:rsidRPr="00044184">
        <w:rPr>
          <w:szCs w:val="22"/>
          <w:lang w:val="sk-SK" w:eastAsia="en-GB"/>
        </w:rPr>
        <w:t>0</w:t>
      </w:r>
      <w:r w:rsidR="00CA6C06" w:rsidRPr="00044184">
        <w:rPr>
          <w:szCs w:val="22"/>
          <w:lang w:val="sk-SK" w:eastAsia="en-GB"/>
        </w:rPr>
        <w:t>,</w:t>
      </w:r>
      <w:r w:rsidR="00940A35" w:rsidRPr="00044184">
        <w:rPr>
          <w:szCs w:val="22"/>
          <w:lang w:val="sk-SK" w:eastAsia="en-GB"/>
        </w:rPr>
        <w:t>4</w:t>
      </w:r>
      <w:r w:rsidR="00CA6C06" w:rsidRPr="00044184">
        <w:rPr>
          <w:szCs w:val="22"/>
          <w:lang w:val="sk-SK" w:eastAsia="en-GB"/>
        </w:rPr>
        <w:t> </w:t>
      </w:r>
      <w:r w:rsidR="00940A35" w:rsidRPr="00044184">
        <w:rPr>
          <w:szCs w:val="22"/>
          <w:lang w:val="sk-SK" w:eastAsia="en-GB"/>
        </w:rPr>
        <w:t xml:space="preserve">% </w:t>
      </w:r>
      <w:r w:rsidR="00CA6C06" w:rsidRPr="00044184">
        <w:rPr>
          <w:szCs w:val="22"/>
          <w:lang w:val="sk-SK" w:eastAsia="en-GB"/>
        </w:rPr>
        <w:t>v skupine s placebom a </w:t>
      </w:r>
      <w:r w:rsidR="00940A35" w:rsidRPr="00044184">
        <w:rPr>
          <w:szCs w:val="22"/>
          <w:lang w:val="sk-SK" w:eastAsia="en-GB"/>
        </w:rPr>
        <w:t>gemcitab</w:t>
      </w:r>
      <w:r w:rsidR="00CA6C06" w:rsidRPr="00044184">
        <w:rPr>
          <w:szCs w:val="22"/>
          <w:lang w:val="sk-SK" w:eastAsia="en-GB"/>
        </w:rPr>
        <w:t xml:space="preserve">ínom. Hlásené diagnózy u pacientov, u ktorých bolo podozrenie, že majú udalosti podobné ILD, zahŕňali </w:t>
      </w:r>
      <w:r w:rsidR="00940A35" w:rsidRPr="00044184">
        <w:rPr>
          <w:szCs w:val="22"/>
          <w:lang w:val="sk-SK" w:eastAsia="en-GB"/>
        </w:rPr>
        <w:t>pneumonit</w:t>
      </w:r>
      <w:r w:rsidR="00CA6C06" w:rsidRPr="00044184">
        <w:rPr>
          <w:szCs w:val="22"/>
          <w:lang w:val="sk-SK" w:eastAsia="en-GB"/>
        </w:rPr>
        <w:t>ídu</w:t>
      </w:r>
      <w:r w:rsidR="00940A35" w:rsidRPr="00044184">
        <w:rPr>
          <w:szCs w:val="22"/>
          <w:lang w:val="sk-SK" w:eastAsia="en-GB"/>
        </w:rPr>
        <w:t>,</w:t>
      </w:r>
      <w:r w:rsidR="00407731" w:rsidRPr="00044184">
        <w:rPr>
          <w:szCs w:val="22"/>
          <w:lang w:val="sk-SK" w:eastAsia="en-GB"/>
        </w:rPr>
        <w:t xml:space="preserve"> </w:t>
      </w:r>
      <w:r w:rsidR="00940A35" w:rsidRPr="00044184">
        <w:rPr>
          <w:szCs w:val="22"/>
          <w:lang w:val="sk-SK" w:eastAsia="en-GB"/>
        </w:rPr>
        <w:t>radia</w:t>
      </w:r>
      <w:r w:rsidR="00CA6C06" w:rsidRPr="00044184">
        <w:rPr>
          <w:szCs w:val="22"/>
          <w:lang w:val="sk-SK" w:eastAsia="en-GB"/>
        </w:rPr>
        <w:t>č</w:t>
      </w:r>
      <w:r w:rsidR="00940A35" w:rsidRPr="00044184">
        <w:rPr>
          <w:szCs w:val="22"/>
          <w:lang w:val="sk-SK" w:eastAsia="en-GB"/>
        </w:rPr>
        <w:t>n</w:t>
      </w:r>
      <w:r w:rsidR="00476133" w:rsidRPr="00044184">
        <w:rPr>
          <w:szCs w:val="22"/>
          <w:lang w:val="sk-SK" w:eastAsia="en-GB"/>
        </w:rPr>
        <w:t>ú</w:t>
      </w:r>
      <w:r w:rsidR="00940A35" w:rsidRPr="00044184">
        <w:rPr>
          <w:szCs w:val="22"/>
          <w:lang w:val="sk-SK" w:eastAsia="en-GB"/>
        </w:rPr>
        <w:t xml:space="preserve"> pneumonit</w:t>
      </w:r>
      <w:r w:rsidR="00476133" w:rsidRPr="00044184">
        <w:rPr>
          <w:szCs w:val="22"/>
          <w:lang w:val="sk-SK" w:eastAsia="en-GB"/>
        </w:rPr>
        <w:t>ídu</w:t>
      </w:r>
      <w:r w:rsidR="00940A35" w:rsidRPr="00044184">
        <w:rPr>
          <w:szCs w:val="22"/>
          <w:lang w:val="sk-SK" w:eastAsia="en-GB"/>
        </w:rPr>
        <w:t>, hypersen</w:t>
      </w:r>
      <w:r w:rsidR="00476133" w:rsidRPr="00044184">
        <w:rPr>
          <w:szCs w:val="22"/>
          <w:lang w:val="sk-SK" w:eastAsia="en-GB"/>
        </w:rPr>
        <w:t>z</w:t>
      </w:r>
      <w:r w:rsidR="00940A35" w:rsidRPr="00044184">
        <w:rPr>
          <w:szCs w:val="22"/>
          <w:lang w:val="sk-SK" w:eastAsia="en-GB"/>
        </w:rPr>
        <w:t>it</w:t>
      </w:r>
      <w:r w:rsidR="00476133" w:rsidRPr="00044184">
        <w:rPr>
          <w:szCs w:val="22"/>
          <w:lang w:val="sk-SK" w:eastAsia="en-GB"/>
        </w:rPr>
        <w:t xml:space="preserve">ívnu </w:t>
      </w:r>
      <w:r w:rsidR="00940A35" w:rsidRPr="00044184">
        <w:rPr>
          <w:szCs w:val="22"/>
          <w:lang w:val="sk-SK" w:eastAsia="en-GB"/>
        </w:rPr>
        <w:t>pneumonit</w:t>
      </w:r>
      <w:r w:rsidR="00476133" w:rsidRPr="00044184">
        <w:rPr>
          <w:szCs w:val="22"/>
          <w:lang w:val="sk-SK" w:eastAsia="en-GB"/>
        </w:rPr>
        <w:t>ídu</w:t>
      </w:r>
      <w:r w:rsidR="00940A35" w:rsidRPr="00044184">
        <w:rPr>
          <w:szCs w:val="22"/>
          <w:lang w:val="sk-SK" w:eastAsia="en-GB"/>
        </w:rPr>
        <w:t>, intersti</w:t>
      </w:r>
      <w:r w:rsidR="00476133" w:rsidRPr="00044184">
        <w:rPr>
          <w:szCs w:val="22"/>
          <w:lang w:val="sk-SK" w:eastAsia="en-GB"/>
        </w:rPr>
        <w:t>c</w:t>
      </w:r>
      <w:r w:rsidR="00940A35" w:rsidRPr="00044184">
        <w:rPr>
          <w:szCs w:val="22"/>
          <w:lang w:val="sk-SK" w:eastAsia="en-GB"/>
        </w:rPr>
        <w:t>i</w:t>
      </w:r>
      <w:r w:rsidR="00476133" w:rsidRPr="00044184">
        <w:rPr>
          <w:szCs w:val="22"/>
          <w:lang w:val="sk-SK" w:eastAsia="en-GB"/>
        </w:rPr>
        <w:t>á</w:t>
      </w:r>
      <w:r w:rsidR="00940A35" w:rsidRPr="00044184">
        <w:rPr>
          <w:szCs w:val="22"/>
          <w:lang w:val="sk-SK" w:eastAsia="en-GB"/>
        </w:rPr>
        <w:t>l</w:t>
      </w:r>
      <w:r w:rsidR="00476133" w:rsidRPr="00044184">
        <w:rPr>
          <w:szCs w:val="22"/>
          <w:lang w:val="sk-SK" w:eastAsia="en-GB"/>
        </w:rPr>
        <w:t>nu</w:t>
      </w:r>
      <w:r w:rsidR="00940A35" w:rsidRPr="00044184">
        <w:rPr>
          <w:szCs w:val="22"/>
          <w:lang w:val="sk-SK" w:eastAsia="en-GB"/>
        </w:rPr>
        <w:t xml:space="preserve"> pneum</w:t>
      </w:r>
      <w:r w:rsidR="00476133" w:rsidRPr="00044184">
        <w:rPr>
          <w:szCs w:val="22"/>
          <w:lang w:val="sk-SK" w:eastAsia="en-GB"/>
        </w:rPr>
        <w:t>óniu</w:t>
      </w:r>
      <w:r w:rsidR="00940A35" w:rsidRPr="00044184">
        <w:rPr>
          <w:szCs w:val="22"/>
          <w:lang w:val="sk-SK" w:eastAsia="en-GB"/>
        </w:rPr>
        <w:t>, intersti</w:t>
      </w:r>
      <w:r w:rsidR="00476133" w:rsidRPr="00044184">
        <w:rPr>
          <w:szCs w:val="22"/>
          <w:lang w:val="sk-SK" w:eastAsia="en-GB"/>
        </w:rPr>
        <w:t>c</w:t>
      </w:r>
      <w:r w:rsidR="00940A35" w:rsidRPr="00044184">
        <w:rPr>
          <w:szCs w:val="22"/>
          <w:lang w:val="sk-SK" w:eastAsia="en-GB"/>
        </w:rPr>
        <w:t>i</w:t>
      </w:r>
      <w:r w:rsidR="00476133" w:rsidRPr="00044184">
        <w:rPr>
          <w:szCs w:val="22"/>
          <w:lang w:val="sk-SK" w:eastAsia="en-GB"/>
        </w:rPr>
        <w:t>álnu chorobu pľúc</w:t>
      </w:r>
      <w:r w:rsidR="00940A35" w:rsidRPr="00044184">
        <w:rPr>
          <w:szCs w:val="22"/>
          <w:lang w:val="sk-SK" w:eastAsia="en-GB"/>
        </w:rPr>
        <w:t>,</w:t>
      </w:r>
      <w:r w:rsidR="00407731" w:rsidRPr="00044184">
        <w:rPr>
          <w:szCs w:val="22"/>
          <w:lang w:val="sk-SK" w:eastAsia="en-GB"/>
        </w:rPr>
        <w:t xml:space="preserve"> </w:t>
      </w:r>
      <w:r w:rsidR="00940A35" w:rsidRPr="00044184">
        <w:rPr>
          <w:szCs w:val="22"/>
          <w:lang w:val="sk-SK" w:eastAsia="en-GB"/>
        </w:rPr>
        <w:t>obliter</w:t>
      </w:r>
      <w:r w:rsidR="00476133" w:rsidRPr="00044184">
        <w:rPr>
          <w:szCs w:val="22"/>
          <w:lang w:val="sk-SK" w:eastAsia="en-GB"/>
        </w:rPr>
        <w:t>ujúcu</w:t>
      </w:r>
      <w:r w:rsidR="00940A35" w:rsidRPr="00044184">
        <w:rPr>
          <w:szCs w:val="22"/>
          <w:lang w:val="sk-SK" w:eastAsia="en-GB"/>
        </w:rPr>
        <w:t xml:space="preserve"> bronchiolit</w:t>
      </w:r>
      <w:r w:rsidR="00476133" w:rsidRPr="00044184">
        <w:rPr>
          <w:szCs w:val="22"/>
          <w:lang w:val="sk-SK" w:eastAsia="en-GB"/>
        </w:rPr>
        <w:t>ídu</w:t>
      </w:r>
      <w:r w:rsidR="00940A35" w:rsidRPr="00044184">
        <w:rPr>
          <w:szCs w:val="22"/>
          <w:lang w:val="sk-SK" w:eastAsia="en-GB"/>
        </w:rPr>
        <w:t>, p</w:t>
      </w:r>
      <w:r w:rsidR="00476133" w:rsidRPr="00044184">
        <w:rPr>
          <w:szCs w:val="22"/>
          <w:lang w:val="sk-SK" w:eastAsia="en-GB"/>
        </w:rPr>
        <w:t xml:space="preserve">ľúcnu </w:t>
      </w:r>
      <w:r w:rsidR="00940A35" w:rsidRPr="00044184">
        <w:rPr>
          <w:szCs w:val="22"/>
          <w:lang w:val="sk-SK" w:eastAsia="en-GB"/>
        </w:rPr>
        <w:t>fibr</w:t>
      </w:r>
      <w:r w:rsidR="00476133" w:rsidRPr="00044184">
        <w:rPr>
          <w:szCs w:val="22"/>
          <w:lang w:val="sk-SK" w:eastAsia="en-GB"/>
        </w:rPr>
        <w:t>ózu</w:t>
      </w:r>
      <w:r w:rsidR="00940A35" w:rsidRPr="00044184">
        <w:rPr>
          <w:szCs w:val="22"/>
          <w:lang w:val="sk-SK" w:eastAsia="en-GB"/>
        </w:rPr>
        <w:t xml:space="preserve">, </w:t>
      </w:r>
      <w:r w:rsidR="00476133" w:rsidRPr="00044184">
        <w:rPr>
          <w:szCs w:val="22"/>
          <w:lang w:val="sk-SK" w:eastAsia="en-GB"/>
        </w:rPr>
        <w:t>syndróm akútnej respiračnej tiesne (</w:t>
      </w:r>
      <w:r w:rsidR="00940A35" w:rsidRPr="00044184">
        <w:rPr>
          <w:szCs w:val="22"/>
          <w:lang w:val="sk-SK" w:eastAsia="en-GB"/>
        </w:rPr>
        <w:t>Acute Respiratory Distress Syndrome</w:t>
      </w:r>
      <w:r w:rsidR="00476133" w:rsidRPr="00044184">
        <w:rPr>
          <w:szCs w:val="22"/>
          <w:lang w:val="sk-SK" w:eastAsia="en-GB"/>
        </w:rPr>
        <w:t>,</w:t>
      </w:r>
      <w:r w:rsidR="00940A35" w:rsidRPr="00044184">
        <w:rPr>
          <w:szCs w:val="22"/>
          <w:lang w:val="sk-SK" w:eastAsia="en-GB"/>
        </w:rPr>
        <w:t xml:space="preserve"> ARDS),</w:t>
      </w:r>
      <w:r w:rsidR="00407731" w:rsidRPr="00044184">
        <w:rPr>
          <w:szCs w:val="22"/>
          <w:lang w:val="sk-SK" w:eastAsia="en-GB"/>
        </w:rPr>
        <w:t xml:space="preserve"> </w:t>
      </w:r>
      <w:r w:rsidR="00940A35" w:rsidRPr="00044184">
        <w:rPr>
          <w:szCs w:val="22"/>
          <w:lang w:val="sk-SK" w:eastAsia="en-GB"/>
        </w:rPr>
        <w:t>alveolit</w:t>
      </w:r>
      <w:r w:rsidR="00476133" w:rsidRPr="00044184">
        <w:rPr>
          <w:szCs w:val="22"/>
          <w:lang w:val="sk-SK" w:eastAsia="en-GB"/>
        </w:rPr>
        <w:t>ídu a pľúcne infiltráty</w:t>
      </w:r>
      <w:r w:rsidR="00940A35" w:rsidRPr="00044184">
        <w:rPr>
          <w:szCs w:val="22"/>
          <w:lang w:val="sk-SK" w:eastAsia="en-GB"/>
        </w:rPr>
        <w:t xml:space="preserve">. </w:t>
      </w:r>
      <w:r w:rsidR="00476133" w:rsidRPr="00044184">
        <w:rPr>
          <w:szCs w:val="22"/>
          <w:lang w:val="sk-SK" w:eastAsia="en-GB"/>
        </w:rPr>
        <w:t xml:space="preserve">Príznaky sa objavili po niekoľkých dňoch až niekoľkých mesiacoch od začiatku liečby </w:t>
      </w:r>
      <w:r w:rsidR="0064350F" w:rsidRPr="00044184">
        <w:rPr>
          <w:szCs w:val="22"/>
          <w:lang w:val="sk-SK" w:eastAsia="en-GB"/>
        </w:rPr>
        <w:t>erlotinib</w:t>
      </w:r>
      <w:r w:rsidR="00476133" w:rsidRPr="00044184">
        <w:rPr>
          <w:szCs w:val="22"/>
          <w:lang w:val="sk-SK" w:eastAsia="en-GB"/>
        </w:rPr>
        <w:t>om</w:t>
      </w:r>
      <w:r w:rsidR="00940A35" w:rsidRPr="00044184">
        <w:rPr>
          <w:szCs w:val="22"/>
          <w:lang w:val="sk-SK" w:eastAsia="en-GB"/>
        </w:rPr>
        <w:t xml:space="preserve">. </w:t>
      </w:r>
      <w:r w:rsidR="00476133" w:rsidRPr="00044184">
        <w:rPr>
          <w:szCs w:val="22"/>
          <w:lang w:val="sk-SK" w:eastAsia="en-GB"/>
        </w:rPr>
        <w:t>Čast</w:t>
      </w:r>
      <w:r w:rsidR="00B6588C">
        <w:rPr>
          <w:szCs w:val="22"/>
          <w:lang w:val="sk-SK" w:eastAsia="en-GB"/>
        </w:rPr>
        <w:t>é</w:t>
      </w:r>
      <w:r w:rsidR="00476133" w:rsidRPr="00044184">
        <w:rPr>
          <w:szCs w:val="22"/>
          <w:lang w:val="sk-SK" w:eastAsia="en-GB"/>
        </w:rPr>
        <w:t xml:space="preserve"> boli </w:t>
      </w:r>
      <w:r w:rsidR="00B6588C" w:rsidRPr="00044184">
        <w:rPr>
          <w:szCs w:val="22"/>
          <w:lang w:val="sk-SK" w:eastAsia="en-GB"/>
        </w:rPr>
        <w:t xml:space="preserve"> </w:t>
      </w:r>
      <w:r w:rsidR="00476133" w:rsidRPr="00044184">
        <w:rPr>
          <w:szCs w:val="22"/>
          <w:lang w:val="sk-SK" w:eastAsia="en-GB"/>
        </w:rPr>
        <w:t>faktory</w:t>
      </w:r>
      <w:r w:rsidR="005A2F9E">
        <w:rPr>
          <w:szCs w:val="22"/>
          <w:lang w:val="sk-SK" w:eastAsia="en-GB"/>
        </w:rPr>
        <w:t xml:space="preserve"> sťažujúce posúdenie</w:t>
      </w:r>
      <w:r w:rsidR="001F50F5" w:rsidRPr="00044184">
        <w:rPr>
          <w:szCs w:val="22"/>
          <w:lang w:val="sk-SK" w:eastAsia="en-GB"/>
        </w:rPr>
        <w:t xml:space="preserve"> </w:t>
      </w:r>
      <w:r w:rsidR="00B6588C">
        <w:rPr>
          <w:szCs w:val="22"/>
          <w:lang w:val="sk-SK" w:eastAsia="en-GB"/>
        </w:rPr>
        <w:t>alebo faktory prispievajúce k zhoršeniu stavu</w:t>
      </w:r>
      <w:r w:rsidR="008655CD" w:rsidRPr="00044184">
        <w:rPr>
          <w:szCs w:val="22"/>
          <w:lang w:val="sk-SK" w:eastAsia="en-GB"/>
        </w:rPr>
        <w:t>, ako napríklad súbežná alebo predchádzajúca chemoterapia, predchádzajúca rádioterapia, už existujúce ochorenie pľúcneho parenchýmu, metastatické ochorenie pľúc</w:t>
      </w:r>
      <w:r w:rsidR="00E4049A" w:rsidRPr="00044184">
        <w:rPr>
          <w:szCs w:val="22"/>
          <w:lang w:val="sk-SK" w:eastAsia="en-GB"/>
        </w:rPr>
        <w:t xml:space="preserve"> alebo pľúcne infekcie. </w:t>
      </w:r>
      <w:r w:rsidR="004E3C8F" w:rsidRPr="00B6588C">
        <w:rPr>
          <w:szCs w:val="22"/>
          <w:lang w:val="sk-SK" w:eastAsia="sk-SK"/>
        </w:rPr>
        <w:t>Vyšší výskyt ILD (približne 5</w:t>
      </w:r>
      <w:r w:rsidR="00B6588C" w:rsidRPr="00B6588C">
        <w:rPr>
          <w:szCs w:val="22"/>
          <w:lang w:val="sk-SK" w:eastAsia="sk-SK"/>
        </w:rPr>
        <w:t xml:space="preserve"> </w:t>
      </w:r>
      <w:r w:rsidR="004E3C8F" w:rsidRPr="00B6588C">
        <w:rPr>
          <w:szCs w:val="22"/>
          <w:lang w:val="sk-SK" w:eastAsia="sk-SK"/>
        </w:rPr>
        <w:t>% s</w:t>
      </w:r>
      <w:r w:rsidR="00B6588C">
        <w:rPr>
          <w:szCs w:val="22"/>
          <w:lang w:val="sk-SK" w:eastAsia="sk-SK"/>
        </w:rPr>
        <w:t> </w:t>
      </w:r>
      <w:r w:rsidR="004E3C8F" w:rsidRPr="00B6588C">
        <w:rPr>
          <w:szCs w:val="22"/>
          <w:lang w:val="sk-SK" w:eastAsia="sk-SK"/>
        </w:rPr>
        <w:t>úmrtnos</w:t>
      </w:r>
      <w:r w:rsidR="004E3C8F" w:rsidRPr="00675F45">
        <w:rPr>
          <w:szCs w:val="22"/>
          <w:lang w:val="sk-SK" w:eastAsia="sk-SK"/>
        </w:rPr>
        <w:t>ť</w:t>
      </w:r>
      <w:r w:rsidR="004E3C8F" w:rsidRPr="00B6588C">
        <w:rPr>
          <w:szCs w:val="22"/>
          <w:lang w:val="sk-SK" w:eastAsia="sk-SK"/>
        </w:rPr>
        <w:t>ou 1,5</w:t>
      </w:r>
      <w:r w:rsidR="00B6588C" w:rsidRPr="00B6588C">
        <w:rPr>
          <w:szCs w:val="22"/>
          <w:lang w:val="sk-SK" w:eastAsia="sk-SK"/>
        </w:rPr>
        <w:t xml:space="preserve"> </w:t>
      </w:r>
      <w:r w:rsidR="004E3C8F" w:rsidRPr="00B6588C">
        <w:rPr>
          <w:szCs w:val="22"/>
          <w:lang w:val="sk-SK" w:eastAsia="sk-SK"/>
        </w:rPr>
        <w:t>%) bol pozorovaný u pacientov v štúdiách uskuto</w:t>
      </w:r>
      <w:r w:rsidR="004E3C8F" w:rsidRPr="00675F45">
        <w:rPr>
          <w:szCs w:val="22"/>
          <w:lang w:val="sk-SK" w:eastAsia="sk-SK"/>
        </w:rPr>
        <w:t>č</w:t>
      </w:r>
      <w:r w:rsidR="004E3C8F" w:rsidRPr="00B6588C">
        <w:rPr>
          <w:szCs w:val="22"/>
          <w:lang w:val="sk-SK" w:eastAsia="sk-SK"/>
        </w:rPr>
        <w:t>nených v</w:t>
      </w:r>
      <w:r w:rsidR="00B6588C">
        <w:rPr>
          <w:szCs w:val="22"/>
          <w:lang w:val="sk-SK" w:eastAsia="sk-SK"/>
        </w:rPr>
        <w:t> </w:t>
      </w:r>
      <w:r w:rsidR="004E3C8F" w:rsidRPr="00B6588C">
        <w:rPr>
          <w:szCs w:val="22"/>
          <w:lang w:val="sk-SK" w:eastAsia="sk-SK"/>
        </w:rPr>
        <w:t>Japonsku.</w:t>
      </w:r>
    </w:p>
    <w:p w:rsidR="004E3C8F" w:rsidRPr="00044184" w:rsidRDefault="004E3C8F" w:rsidP="004E3C8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40A35" w:rsidRPr="00044184" w:rsidRDefault="00D31BC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U</w:t>
      </w:r>
      <w:r w:rsidR="00B73FB6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pacientov</w:t>
      </w:r>
      <w:r w:rsidR="00B73FB6" w:rsidRPr="00044184">
        <w:rPr>
          <w:szCs w:val="22"/>
          <w:lang w:val="sk-SK" w:eastAsia="en-GB"/>
        </w:rPr>
        <w:t xml:space="preserve">, </w:t>
      </w:r>
      <w:r w:rsidR="00AA6058" w:rsidRPr="00044184">
        <w:rPr>
          <w:szCs w:val="22"/>
          <w:lang w:val="sk-SK" w:eastAsia="en-GB"/>
        </w:rPr>
        <w:t xml:space="preserve">u ktorých </w:t>
      </w:r>
      <w:r w:rsidR="00AD53B6" w:rsidRPr="00044184">
        <w:rPr>
          <w:szCs w:val="22"/>
          <w:lang w:val="sk-SK" w:eastAsia="en-GB"/>
        </w:rPr>
        <w:t xml:space="preserve">sa </w:t>
      </w:r>
      <w:r w:rsidR="00CC7AB6" w:rsidRPr="00044184">
        <w:rPr>
          <w:szCs w:val="22"/>
          <w:lang w:val="sk-SK" w:eastAsia="en-GB"/>
        </w:rPr>
        <w:t xml:space="preserve">náhle </w:t>
      </w:r>
      <w:r w:rsidR="0079132A" w:rsidRPr="00044184">
        <w:rPr>
          <w:szCs w:val="22"/>
          <w:lang w:val="sk-SK" w:eastAsia="en-GB"/>
        </w:rPr>
        <w:t>objavia</w:t>
      </w:r>
      <w:r w:rsidR="0039307A" w:rsidRPr="00044184">
        <w:rPr>
          <w:szCs w:val="22"/>
          <w:lang w:val="sk-SK" w:eastAsia="en-GB"/>
        </w:rPr>
        <w:t xml:space="preserve"> </w:t>
      </w:r>
      <w:r w:rsidR="00F36DBB" w:rsidRPr="00044184">
        <w:rPr>
          <w:szCs w:val="22"/>
          <w:lang w:val="sk-SK" w:eastAsia="en-GB"/>
        </w:rPr>
        <w:t xml:space="preserve">nové </w:t>
      </w:r>
      <w:r w:rsidR="00F607E8" w:rsidRPr="00044184">
        <w:rPr>
          <w:szCs w:val="22"/>
          <w:lang w:val="sk-SK" w:eastAsia="en-GB"/>
        </w:rPr>
        <w:t xml:space="preserve">a/alebo zhoršujúce sa nevysvetliteľné pľúcne príznaky, ako napríklad </w:t>
      </w:r>
      <w:r w:rsidR="00940A35" w:rsidRPr="00044184">
        <w:rPr>
          <w:szCs w:val="22"/>
          <w:lang w:val="sk-SK" w:eastAsia="en-GB"/>
        </w:rPr>
        <w:t xml:space="preserve">dyspnoe, </w:t>
      </w:r>
      <w:r w:rsidR="00F607E8" w:rsidRPr="00044184">
        <w:rPr>
          <w:szCs w:val="22"/>
          <w:lang w:val="sk-SK" w:eastAsia="en-GB"/>
        </w:rPr>
        <w:t xml:space="preserve">kašeľ a horúčka, sa má liečba </w:t>
      </w:r>
      <w:r w:rsidR="0064350F" w:rsidRPr="00044184">
        <w:rPr>
          <w:szCs w:val="22"/>
          <w:lang w:val="sk-SK" w:eastAsia="en-GB"/>
        </w:rPr>
        <w:t>erlotinib</w:t>
      </w:r>
      <w:r w:rsidR="00F607E8" w:rsidRPr="00044184">
        <w:rPr>
          <w:szCs w:val="22"/>
          <w:lang w:val="sk-SK" w:eastAsia="en-GB"/>
        </w:rPr>
        <w:t>om prerušiť až do stanovenia diagnózy</w:t>
      </w:r>
      <w:r w:rsidR="00940A35" w:rsidRPr="00044184">
        <w:rPr>
          <w:szCs w:val="22"/>
          <w:lang w:val="sk-SK" w:eastAsia="en-GB"/>
        </w:rPr>
        <w:t>.</w:t>
      </w:r>
      <w:r w:rsidR="00DC2526" w:rsidRPr="00044184">
        <w:rPr>
          <w:szCs w:val="22"/>
          <w:lang w:val="sk-SK" w:eastAsia="en-GB"/>
        </w:rPr>
        <w:t xml:space="preserve"> </w:t>
      </w:r>
      <w:r w:rsidR="00AD53B6" w:rsidRPr="00044184">
        <w:rPr>
          <w:szCs w:val="22"/>
          <w:lang w:val="sk-SK" w:eastAsia="en-GB"/>
        </w:rPr>
        <w:t xml:space="preserve">Pacientov, ktorí sú súbežne liečení </w:t>
      </w:r>
      <w:r w:rsidR="00940A35" w:rsidRPr="00044184">
        <w:rPr>
          <w:szCs w:val="22"/>
          <w:lang w:val="sk-SK" w:eastAsia="en-GB"/>
        </w:rPr>
        <w:t>erlotinib</w:t>
      </w:r>
      <w:r w:rsidR="00AD53B6" w:rsidRPr="00044184">
        <w:rPr>
          <w:szCs w:val="22"/>
          <w:lang w:val="sk-SK" w:eastAsia="en-GB"/>
        </w:rPr>
        <w:t>om</w:t>
      </w:r>
      <w:r w:rsidR="00940A35" w:rsidRPr="00044184">
        <w:rPr>
          <w:szCs w:val="22"/>
          <w:lang w:val="sk-SK" w:eastAsia="en-GB"/>
        </w:rPr>
        <w:t xml:space="preserve"> a</w:t>
      </w:r>
      <w:r w:rsidR="00AD53B6" w:rsidRPr="00044184">
        <w:rPr>
          <w:szCs w:val="22"/>
          <w:lang w:val="sk-SK" w:eastAsia="en-GB"/>
        </w:rPr>
        <w:t> </w:t>
      </w:r>
      <w:r w:rsidR="00940A35" w:rsidRPr="00044184">
        <w:rPr>
          <w:szCs w:val="22"/>
          <w:lang w:val="sk-SK" w:eastAsia="en-GB"/>
        </w:rPr>
        <w:t>gemcitab</w:t>
      </w:r>
      <w:r w:rsidR="00AD53B6" w:rsidRPr="00044184">
        <w:rPr>
          <w:szCs w:val="22"/>
          <w:lang w:val="sk-SK" w:eastAsia="en-GB"/>
        </w:rPr>
        <w:t xml:space="preserve">ínom, </w:t>
      </w:r>
      <w:r w:rsidR="00BD12B0" w:rsidRPr="00044184">
        <w:rPr>
          <w:szCs w:val="22"/>
          <w:lang w:val="sk-SK" w:eastAsia="en-GB"/>
        </w:rPr>
        <w:t>je potrebné</w:t>
      </w:r>
      <w:r w:rsidR="00AD53B6" w:rsidRPr="00044184">
        <w:rPr>
          <w:szCs w:val="22"/>
          <w:lang w:val="sk-SK" w:eastAsia="en-GB"/>
        </w:rPr>
        <w:t xml:space="preserve"> pozorne sledovať kvôli možnosti vzniku </w:t>
      </w:r>
      <w:r w:rsidR="00603AE0" w:rsidRPr="00044184">
        <w:rPr>
          <w:szCs w:val="22"/>
          <w:lang w:val="sk-SK" w:eastAsia="en-GB"/>
        </w:rPr>
        <w:t>toxicity podobn</w:t>
      </w:r>
      <w:r w:rsidR="00BD12B0" w:rsidRPr="00044184">
        <w:rPr>
          <w:szCs w:val="22"/>
          <w:lang w:val="sk-SK" w:eastAsia="en-GB"/>
        </w:rPr>
        <w:t xml:space="preserve">ej </w:t>
      </w:r>
      <w:r w:rsidR="00603AE0" w:rsidRPr="00044184">
        <w:rPr>
          <w:szCs w:val="22"/>
          <w:lang w:val="sk-SK" w:eastAsia="en-GB"/>
        </w:rPr>
        <w:t>ILD</w:t>
      </w:r>
      <w:r w:rsidR="00940A35" w:rsidRPr="00044184">
        <w:rPr>
          <w:szCs w:val="22"/>
          <w:lang w:val="sk-SK" w:eastAsia="en-GB"/>
        </w:rPr>
        <w:t xml:space="preserve">. </w:t>
      </w:r>
      <w:r w:rsidR="00ED07CB" w:rsidRPr="00044184">
        <w:rPr>
          <w:szCs w:val="22"/>
          <w:lang w:val="sk-SK" w:eastAsia="en-GB"/>
        </w:rPr>
        <w:t xml:space="preserve">Ak je </w:t>
      </w:r>
      <w:r w:rsidR="00940A35" w:rsidRPr="00044184">
        <w:rPr>
          <w:szCs w:val="22"/>
          <w:lang w:val="sk-SK" w:eastAsia="en-GB"/>
        </w:rPr>
        <w:t>ILD</w:t>
      </w:r>
      <w:r w:rsidR="00ED07CB" w:rsidRPr="00044184">
        <w:rPr>
          <w:szCs w:val="22"/>
          <w:lang w:val="sk-SK" w:eastAsia="en-GB"/>
        </w:rPr>
        <w:t xml:space="preserve"> diagnostikovaná</w:t>
      </w:r>
      <w:r w:rsidR="00940A35" w:rsidRPr="00044184">
        <w:rPr>
          <w:szCs w:val="22"/>
          <w:lang w:val="sk-SK" w:eastAsia="en-GB"/>
        </w:rPr>
        <w:t xml:space="preserve">, </w:t>
      </w:r>
      <w:r w:rsidR="00ED07CB" w:rsidRPr="00044184">
        <w:rPr>
          <w:szCs w:val="22"/>
          <w:lang w:val="sk-SK" w:eastAsia="en-GB"/>
        </w:rPr>
        <w:t>liečba Erlotini</w:t>
      </w:r>
      <w:r w:rsidR="00962635" w:rsidRPr="00044184">
        <w:rPr>
          <w:szCs w:val="22"/>
          <w:lang w:val="sk-SK" w:eastAsia="en-GB"/>
        </w:rPr>
        <w:t>b</w:t>
      </w:r>
      <w:r w:rsidR="00ED07CB" w:rsidRPr="00044184">
        <w:rPr>
          <w:szCs w:val="22"/>
          <w:lang w:val="sk-SK" w:eastAsia="en-GB"/>
        </w:rPr>
        <w:t>om</w:t>
      </w:r>
      <w:r w:rsidR="00B12DFB" w:rsidRPr="00044184">
        <w:rPr>
          <w:szCs w:val="22"/>
          <w:lang w:val="sk-SK" w:eastAsia="en-GB"/>
        </w:rPr>
        <w:t xml:space="preserve"> </w:t>
      </w:r>
      <w:r w:rsidR="00695459" w:rsidRPr="00044184">
        <w:rPr>
          <w:szCs w:val="22"/>
          <w:lang w:val="sk-SK" w:eastAsia="en-GB"/>
        </w:rPr>
        <w:t>STADA</w:t>
      </w:r>
      <w:r w:rsidR="00ED07CB" w:rsidRPr="00044184">
        <w:rPr>
          <w:szCs w:val="22"/>
          <w:lang w:val="sk-SK" w:eastAsia="en-GB"/>
        </w:rPr>
        <w:t xml:space="preserve"> sa má ukončiť a v prípade potreby začať vhodná liečba (pozri časť </w:t>
      </w:r>
      <w:r w:rsidR="00940A35" w:rsidRPr="00044184">
        <w:rPr>
          <w:szCs w:val="22"/>
          <w:lang w:val="sk-SK" w:eastAsia="en-GB"/>
        </w:rPr>
        <w:t>4.8).</w:t>
      </w:r>
    </w:p>
    <w:p w:rsidR="00DC2526" w:rsidRPr="00044184" w:rsidRDefault="00DC252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C2526" w:rsidRPr="00044184" w:rsidRDefault="00603AE0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lastRenderedPageBreak/>
        <w:t>Hnačka, dehydratácia, elektrolytová nerovnováha a zlyhanie obličiek</w:t>
      </w:r>
    </w:p>
    <w:p w:rsidR="00DC2526" w:rsidRPr="00044184" w:rsidRDefault="00603AE0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Približne u 50 % pacientov liečených erlotinibom sa vyskytla hnačka </w:t>
      </w:r>
      <w:r w:rsidR="00DC2526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>vrátane veľmi zriedkavých prípadov so smrteľným následk</w:t>
      </w:r>
      <w:r w:rsidR="00F36FB8" w:rsidRPr="00044184">
        <w:rPr>
          <w:szCs w:val="22"/>
          <w:lang w:val="sk-SK" w:eastAsia="en-GB"/>
        </w:rPr>
        <w:t>om</w:t>
      </w:r>
      <w:r w:rsidR="00DC2526" w:rsidRPr="00044184">
        <w:rPr>
          <w:szCs w:val="22"/>
          <w:lang w:val="sk-SK" w:eastAsia="en-GB"/>
        </w:rPr>
        <w:t xml:space="preserve">) </w:t>
      </w:r>
      <w:r w:rsidRPr="00044184">
        <w:rPr>
          <w:szCs w:val="22"/>
          <w:lang w:val="sk-SK" w:eastAsia="en-GB"/>
        </w:rPr>
        <w:t xml:space="preserve">a stredne </w:t>
      </w:r>
      <w:r w:rsidR="001E5E36">
        <w:rPr>
          <w:szCs w:val="22"/>
          <w:lang w:val="sk-SK" w:eastAsia="en-GB"/>
        </w:rPr>
        <w:t>závažn</w:t>
      </w:r>
      <w:r w:rsidRPr="00044184">
        <w:rPr>
          <w:szCs w:val="22"/>
          <w:lang w:val="sk-SK" w:eastAsia="en-GB"/>
        </w:rPr>
        <w:t xml:space="preserve">á alebo </w:t>
      </w:r>
      <w:r w:rsidR="001E5E36">
        <w:rPr>
          <w:szCs w:val="22"/>
          <w:lang w:val="sk-SK" w:eastAsia="en-GB"/>
        </w:rPr>
        <w:t>závažn</w:t>
      </w:r>
      <w:r w:rsidRPr="00044184">
        <w:rPr>
          <w:szCs w:val="22"/>
          <w:lang w:val="sk-SK" w:eastAsia="en-GB"/>
        </w:rPr>
        <w:t xml:space="preserve">á hnačka sa má liečiť napr. </w:t>
      </w:r>
      <w:r w:rsidR="00DC2526" w:rsidRPr="00044184">
        <w:rPr>
          <w:szCs w:val="22"/>
          <w:lang w:val="sk-SK" w:eastAsia="en-GB"/>
        </w:rPr>
        <w:t>loperamid</w:t>
      </w:r>
      <w:r w:rsidRPr="00044184">
        <w:rPr>
          <w:szCs w:val="22"/>
          <w:lang w:val="sk-SK" w:eastAsia="en-GB"/>
        </w:rPr>
        <w:t>om</w:t>
      </w:r>
      <w:r w:rsidR="00DC252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niektorých prípadoch môže byť potrebné zníženie dávky</w:t>
      </w:r>
      <w:r w:rsidR="00DC252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klinických štúdiách bol</w:t>
      </w:r>
      <w:r w:rsidR="001E5E36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 xml:space="preserve"> dávk</w:t>
      </w:r>
      <w:r w:rsidR="001E5E36">
        <w:rPr>
          <w:szCs w:val="22"/>
          <w:lang w:val="sk-SK" w:eastAsia="en-GB"/>
        </w:rPr>
        <w:t>y</w:t>
      </w:r>
      <w:r w:rsidRPr="00044184">
        <w:rPr>
          <w:szCs w:val="22"/>
          <w:lang w:val="sk-SK" w:eastAsia="en-GB"/>
        </w:rPr>
        <w:t xml:space="preserve"> znižovan</w:t>
      </w:r>
      <w:r w:rsidR="001E5E36">
        <w:rPr>
          <w:szCs w:val="22"/>
          <w:lang w:val="sk-SK" w:eastAsia="en-GB"/>
        </w:rPr>
        <w:t>é</w:t>
      </w:r>
      <w:r w:rsidRPr="00044184">
        <w:rPr>
          <w:szCs w:val="22"/>
          <w:lang w:val="sk-SK" w:eastAsia="en-GB"/>
        </w:rPr>
        <w:t xml:space="preserve"> postupne o </w:t>
      </w:r>
      <w:r w:rsidR="00DC2526" w:rsidRPr="00044184">
        <w:rPr>
          <w:szCs w:val="22"/>
          <w:lang w:val="sk-SK" w:eastAsia="en-GB"/>
        </w:rPr>
        <w:t>50</w:t>
      </w:r>
      <w:r w:rsidRPr="00044184">
        <w:rPr>
          <w:szCs w:val="22"/>
          <w:lang w:val="sk-SK" w:eastAsia="en-GB"/>
        </w:rPr>
        <w:t> </w:t>
      </w:r>
      <w:r w:rsidR="00DC2526" w:rsidRPr="00044184">
        <w:rPr>
          <w:szCs w:val="22"/>
          <w:lang w:val="sk-SK" w:eastAsia="en-GB"/>
        </w:rPr>
        <w:t>mg.</w:t>
      </w:r>
      <w:r w:rsidR="008F4F1B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Postupné znižovani</w:t>
      </w:r>
      <w:r w:rsidR="001E5E36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 xml:space="preserve"> dávky o </w:t>
      </w:r>
      <w:r w:rsidR="00DC2526" w:rsidRPr="00044184">
        <w:rPr>
          <w:szCs w:val="22"/>
          <w:lang w:val="sk-SK" w:eastAsia="en-GB"/>
        </w:rPr>
        <w:t>25</w:t>
      </w:r>
      <w:r w:rsidRPr="00044184">
        <w:rPr>
          <w:szCs w:val="22"/>
          <w:lang w:val="sk-SK" w:eastAsia="en-GB"/>
        </w:rPr>
        <w:t> </w:t>
      </w:r>
      <w:r w:rsidR="00DC2526" w:rsidRPr="00044184">
        <w:rPr>
          <w:szCs w:val="22"/>
          <w:lang w:val="sk-SK" w:eastAsia="en-GB"/>
        </w:rPr>
        <w:t>mg</w:t>
      </w:r>
      <w:r w:rsidRPr="00044184">
        <w:rPr>
          <w:szCs w:val="22"/>
          <w:lang w:val="sk-SK" w:eastAsia="en-GB"/>
        </w:rPr>
        <w:t xml:space="preserve"> sa neskúmal</w:t>
      </w:r>
      <w:r w:rsidR="008959FC">
        <w:rPr>
          <w:szCs w:val="22"/>
          <w:lang w:val="sk-SK" w:eastAsia="en-GB"/>
        </w:rPr>
        <w:t>i</w:t>
      </w:r>
      <w:r w:rsidR="00962635" w:rsidRPr="00044184">
        <w:rPr>
          <w:szCs w:val="22"/>
          <w:lang w:val="sk-SK" w:eastAsia="en-GB"/>
        </w:rPr>
        <w:t xml:space="preserve">. V prípade </w:t>
      </w:r>
      <w:r w:rsidR="008959FC">
        <w:rPr>
          <w:szCs w:val="22"/>
          <w:lang w:val="sk-SK" w:eastAsia="en-GB"/>
        </w:rPr>
        <w:t>závažn</w:t>
      </w:r>
      <w:r w:rsidR="00962635" w:rsidRPr="00044184">
        <w:rPr>
          <w:szCs w:val="22"/>
          <w:lang w:val="sk-SK" w:eastAsia="en-GB"/>
        </w:rPr>
        <w:t>ej alebo pretrvávajúcej hnačky, nauzey, anorexie alebo vracania</w:t>
      </w:r>
      <w:r w:rsidR="00C93541" w:rsidRPr="00044184">
        <w:rPr>
          <w:szCs w:val="22"/>
          <w:lang w:val="sk-SK" w:eastAsia="en-GB"/>
        </w:rPr>
        <w:t>, ktoré s</w:t>
      </w:r>
      <w:r w:rsidR="00F07455" w:rsidRPr="00044184">
        <w:rPr>
          <w:szCs w:val="22"/>
          <w:lang w:val="sk-SK" w:eastAsia="en-GB"/>
        </w:rPr>
        <w:t xml:space="preserve">ú spojené </w:t>
      </w:r>
      <w:r w:rsidR="00962635" w:rsidRPr="00044184">
        <w:rPr>
          <w:szCs w:val="22"/>
          <w:lang w:val="sk-SK" w:eastAsia="en-GB"/>
        </w:rPr>
        <w:t>s</w:t>
      </w:r>
      <w:r w:rsidR="00C93541" w:rsidRPr="00044184">
        <w:rPr>
          <w:szCs w:val="22"/>
          <w:lang w:val="sk-SK" w:eastAsia="en-GB"/>
        </w:rPr>
        <w:t> </w:t>
      </w:r>
      <w:r w:rsidR="00962635" w:rsidRPr="00044184">
        <w:rPr>
          <w:szCs w:val="22"/>
          <w:lang w:val="sk-SK" w:eastAsia="en-GB"/>
        </w:rPr>
        <w:t>dehydratáciou</w:t>
      </w:r>
      <w:r w:rsidR="00C93541" w:rsidRPr="00044184">
        <w:rPr>
          <w:szCs w:val="22"/>
          <w:lang w:val="sk-SK" w:eastAsia="en-GB"/>
        </w:rPr>
        <w:t>,</w:t>
      </w:r>
      <w:r w:rsidR="00962635" w:rsidRPr="00044184">
        <w:rPr>
          <w:szCs w:val="22"/>
          <w:lang w:val="sk-SK" w:eastAsia="en-GB"/>
        </w:rPr>
        <w:t xml:space="preserve"> sa má liečba </w:t>
      </w:r>
      <w:r w:rsidR="001D6844">
        <w:rPr>
          <w:szCs w:val="22"/>
          <w:lang w:val="sk-SK" w:eastAsia="en-GB"/>
        </w:rPr>
        <w:t>e</w:t>
      </w:r>
      <w:r w:rsidR="00962635" w:rsidRPr="00044184">
        <w:rPr>
          <w:szCs w:val="22"/>
          <w:lang w:val="sk-SK" w:eastAsia="en-GB"/>
        </w:rPr>
        <w:t>rlotinibom prerušiť a majú sa urobiť vhodné opatrenia na liečbu dehydratácie</w:t>
      </w:r>
      <w:r w:rsidR="00DC2526" w:rsidRPr="00044184">
        <w:rPr>
          <w:szCs w:val="22"/>
          <w:lang w:val="sk-SK" w:eastAsia="en-GB"/>
        </w:rPr>
        <w:t xml:space="preserve"> (</w:t>
      </w:r>
      <w:r w:rsidR="00962635" w:rsidRPr="00044184">
        <w:rPr>
          <w:szCs w:val="22"/>
          <w:lang w:val="sk-SK" w:eastAsia="en-GB"/>
        </w:rPr>
        <w:t>pozri časť </w:t>
      </w:r>
      <w:r w:rsidR="00DC2526" w:rsidRPr="00044184">
        <w:rPr>
          <w:szCs w:val="22"/>
          <w:lang w:val="sk-SK" w:eastAsia="en-GB"/>
        </w:rPr>
        <w:t xml:space="preserve">4.8). </w:t>
      </w:r>
      <w:r w:rsidR="00962635" w:rsidRPr="00044184">
        <w:rPr>
          <w:szCs w:val="22"/>
          <w:lang w:val="sk-SK" w:eastAsia="en-GB"/>
        </w:rPr>
        <w:t>Vyskytli sa zriedkavé hlásenia prípadov hypokalémie a zlyhania obličiek (vrátane smrteľných prípadov</w:t>
      </w:r>
      <w:r w:rsidR="00DC2526" w:rsidRPr="00044184">
        <w:rPr>
          <w:szCs w:val="22"/>
          <w:lang w:val="sk-SK" w:eastAsia="en-GB"/>
        </w:rPr>
        <w:t xml:space="preserve">). </w:t>
      </w:r>
      <w:r w:rsidR="00962635" w:rsidRPr="00044184">
        <w:rPr>
          <w:szCs w:val="22"/>
          <w:lang w:val="sk-SK" w:eastAsia="en-GB"/>
        </w:rPr>
        <w:t xml:space="preserve">Niektoré prípady boli sekundárnym dôsledkom </w:t>
      </w:r>
      <w:r w:rsidR="001D6844">
        <w:rPr>
          <w:szCs w:val="22"/>
          <w:lang w:val="sk-SK" w:eastAsia="en-GB"/>
        </w:rPr>
        <w:t>závažn</w:t>
      </w:r>
      <w:r w:rsidR="00962635" w:rsidRPr="00044184">
        <w:rPr>
          <w:szCs w:val="22"/>
          <w:lang w:val="sk-SK" w:eastAsia="en-GB"/>
        </w:rPr>
        <w:t xml:space="preserve">ej dehydratácie spôsobenej hnačkou, vracaním </w:t>
      </w:r>
      <w:r w:rsidR="00DC2526" w:rsidRPr="00044184">
        <w:rPr>
          <w:szCs w:val="22"/>
          <w:lang w:val="sk-SK" w:eastAsia="en-GB"/>
        </w:rPr>
        <w:t>a/</w:t>
      </w:r>
      <w:r w:rsidR="00962635" w:rsidRPr="00044184">
        <w:rPr>
          <w:szCs w:val="22"/>
          <w:lang w:val="sk-SK" w:eastAsia="en-GB"/>
        </w:rPr>
        <w:t>aleb</w:t>
      </w:r>
      <w:r w:rsidR="00DC2526" w:rsidRPr="00044184">
        <w:rPr>
          <w:szCs w:val="22"/>
          <w:lang w:val="sk-SK" w:eastAsia="en-GB"/>
        </w:rPr>
        <w:t>o anorexi</w:t>
      </w:r>
      <w:r w:rsidR="00962635" w:rsidRPr="00044184">
        <w:rPr>
          <w:szCs w:val="22"/>
          <w:lang w:val="sk-SK" w:eastAsia="en-GB"/>
        </w:rPr>
        <w:t xml:space="preserve">ou, zatiaľ čo v iných prípadoch </w:t>
      </w:r>
      <w:r w:rsidR="001F50F5" w:rsidRPr="00044184">
        <w:rPr>
          <w:szCs w:val="22"/>
          <w:lang w:val="sk-SK" w:eastAsia="en-GB"/>
        </w:rPr>
        <w:t xml:space="preserve">bolo posúdenie sťažené kvôli </w:t>
      </w:r>
      <w:r w:rsidR="00962635" w:rsidRPr="00044184">
        <w:rPr>
          <w:szCs w:val="22"/>
          <w:lang w:val="sk-SK" w:eastAsia="en-GB"/>
        </w:rPr>
        <w:t>súbežn</w:t>
      </w:r>
      <w:r w:rsidR="001F50F5" w:rsidRPr="00044184">
        <w:rPr>
          <w:szCs w:val="22"/>
          <w:lang w:val="sk-SK" w:eastAsia="en-GB"/>
        </w:rPr>
        <w:t>ej</w:t>
      </w:r>
      <w:r w:rsidR="00962635" w:rsidRPr="00044184">
        <w:rPr>
          <w:szCs w:val="22"/>
          <w:lang w:val="sk-SK" w:eastAsia="en-GB"/>
        </w:rPr>
        <w:t xml:space="preserve"> </w:t>
      </w:r>
      <w:r w:rsidR="00B21270" w:rsidRPr="00044184">
        <w:rPr>
          <w:szCs w:val="22"/>
          <w:lang w:val="sk-SK" w:eastAsia="en-GB"/>
        </w:rPr>
        <w:t>chemoterapi</w:t>
      </w:r>
      <w:r w:rsidR="001F50F5" w:rsidRPr="00044184">
        <w:rPr>
          <w:szCs w:val="22"/>
          <w:lang w:val="sk-SK" w:eastAsia="en-GB"/>
        </w:rPr>
        <w:t>i</w:t>
      </w:r>
      <w:r w:rsidR="00DC2526" w:rsidRPr="00044184">
        <w:rPr>
          <w:szCs w:val="22"/>
          <w:lang w:val="sk-SK" w:eastAsia="en-GB"/>
        </w:rPr>
        <w:t xml:space="preserve">. </w:t>
      </w:r>
      <w:r w:rsidR="00B21270" w:rsidRPr="00044184">
        <w:rPr>
          <w:szCs w:val="22"/>
          <w:lang w:val="sk-SK" w:eastAsia="en-GB"/>
        </w:rPr>
        <w:t>V závažnejš</w:t>
      </w:r>
      <w:r w:rsidR="00754393" w:rsidRPr="00044184">
        <w:rPr>
          <w:szCs w:val="22"/>
          <w:lang w:val="sk-SK" w:eastAsia="en-GB"/>
        </w:rPr>
        <w:t>ích</w:t>
      </w:r>
      <w:r w:rsidR="00B21270" w:rsidRPr="00044184">
        <w:rPr>
          <w:szCs w:val="22"/>
          <w:lang w:val="sk-SK" w:eastAsia="en-GB"/>
        </w:rPr>
        <w:t xml:space="preserve"> alebo pretrvávajúc</w:t>
      </w:r>
      <w:r w:rsidR="00754393" w:rsidRPr="00044184">
        <w:rPr>
          <w:szCs w:val="22"/>
          <w:lang w:val="sk-SK" w:eastAsia="en-GB"/>
        </w:rPr>
        <w:t>ich prípadoch</w:t>
      </w:r>
      <w:r w:rsidR="00B21270" w:rsidRPr="00044184">
        <w:rPr>
          <w:szCs w:val="22"/>
          <w:lang w:val="sk-SK" w:eastAsia="en-GB"/>
        </w:rPr>
        <w:t xml:space="preserve"> hnačky alebo </w:t>
      </w:r>
      <w:r w:rsidR="00754393" w:rsidRPr="00044184">
        <w:rPr>
          <w:szCs w:val="22"/>
          <w:lang w:val="sk-SK" w:eastAsia="en-GB"/>
        </w:rPr>
        <w:t>v prípadoch vedúcich k dehydratácii, hlavne v skupinách pacientov s priťažujúcimi rizikovými faktormi (najm</w:t>
      </w:r>
      <w:r w:rsidR="00BE2375" w:rsidRPr="00044184">
        <w:rPr>
          <w:szCs w:val="22"/>
          <w:lang w:val="sk-SK" w:eastAsia="en-GB"/>
        </w:rPr>
        <w:t>ä</w:t>
      </w:r>
      <w:r w:rsidR="00754393" w:rsidRPr="00044184">
        <w:rPr>
          <w:szCs w:val="22"/>
          <w:lang w:val="sk-SK" w:eastAsia="en-GB"/>
        </w:rPr>
        <w:t xml:space="preserve"> súbežná chemoterapia a iné lieky, príznaky alebo ochorenia alebo iné predispozície </w:t>
      </w:r>
      <w:r w:rsidR="00C51CD8" w:rsidRPr="00044184">
        <w:rPr>
          <w:szCs w:val="22"/>
          <w:lang w:val="sk-SK" w:eastAsia="en-GB"/>
        </w:rPr>
        <w:t>vrátane pokročilého veku), sa má liečba</w:t>
      </w:r>
      <w:r w:rsidR="00754393" w:rsidRPr="00044184">
        <w:rPr>
          <w:szCs w:val="22"/>
          <w:lang w:val="sk-SK" w:eastAsia="en-GB"/>
        </w:rPr>
        <w:t xml:space="preserve"> </w:t>
      </w:r>
      <w:r w:rsidR="001D6844">
        <w:rPr>
          <w:szCs w:val="22"/>
          <w:lang w:val="sk-SK" w:eastAsia="en-GB"/>
        </w:rPr>
        <w:t>e</w:t>
      </w:r>
      <w:r w:rsidR="00C51CD8" w:rsidRPr="00044184">
        <w:rPr>
          <w:szCs w:val="22"/>
          <w:lang w:val="sk-SK" w:eastAsia="en-GB"/>
        </w:rPr>
        <w:t>rlotinibom prerušiť a majú sa urobiť vhodné opatrenia na intenzívnu intravenóznu rehydratáciu pacientov</w:t>
      </w:r>
      <w:r w:rsidR="00DC2526" w:rsidRPr="00044184">
        <w:rPr>
          <w:szCs w:val="22"/>
          <w:lang w:val="sk-SK" w:eastAsia="en-GB"/>
        </w:rPr>
        <w:t xml:space="preserve">. </w:t>
      </w:r>
      <w:r w:rsidR="00C51CD8" w:rsidRPr="00044184">
        <w:rPr>
          <w:szCs w:val="22"/>
          <w:lang w:val="sk-SK" w:eastAsia="en-GB"/>
        </w:rPr>
        <w:t xml:space="preserve">U pacientov </w:t>
      </w:r>
      <w:r w:rsidR="00BD12B0" w:rsidRPr="00044184">
        <w:rPr>
          <w:szCs w:val="22"/>
          <w:lang w:val="sk-SK" w:eastAsia="en-GB"/>
        </w:rPr>
        <w:t xml:space="preserve">s rizikom </w:t>
      </w:r>
      <w:r w:rsidR="00C51CD8" w:rsidRPr="00044184">
        <w:rPr>
          <w:szCs w:val="22"/>
          <w:lang w:val="sk-SK" w:eastAsia="en-GB"/>
        </w:rPr>
        <w:t>dehydratácie sa má okrem toho kontrolovať funkcia obličiek a hladiny elektrolytov v</w:t>
      </w:r>
      <w:r w:rsidR="00AB3604" w:rsidRPr="00044184">
        <w:rPr>
          <w:szCs w:val="22"/>
          <w:lang w:val="sk-SK" w:eastAsia="en-GB"/>
        </w:rPr>
        <w:t> </w:t>
      </w:r>
      <w:r w:rsidR="00C51CD8" w:rsidRPr="00044184">
        <w:rPr>
          <w:szCs w:val="22"/>
          <w:lang w:val="sk-SK" w:eastAsia="en-GB"/>
        </w:rPr>
        <w:t>sére</w:t>
      </w:r>
      <w:r w:rsidR="00AB3604" w:rsidRPr="00044184">
        <w:rPr>
          <w:szCs w:val="22"/>
          <w:lang w:val="sk-SK" w:eastAsia="en-GB"/>
        </w:rPr>
        <w:t>,</w:t>
      </w:r>
      <w:r w:rsidR="00C51CD8" w:rsidRPr="00044184">
        <w:rPr>
          <w:szCs w:val="22"/>
          <w:lang w:val="sk-SK" w:eastAsia="en-GB"/>
        </w:rPr>
        <w:t xml:space="preserve"> vrátane draslíka.</w:t>
      </w:r>
    </w:p>
    <w:p w:rsidR="00DC2526" w:rsidRPr="00044184" w:rsidRDefault="00DC252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C2526" w:rsidRPr="00044184" w:rsidRDefault="00DC252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Hepatit</w:t>
      </w:r>
      <w:r w:rsidR="001F50F5" w:rsidRPr="00044184">
        <w:rPr>
          <w:szCs w:val="22"/>
          <w:u w:val="single"/>
          <w:lang w:val="sk-SK" w:eastAsia="en-GB"/>
        </w:rPr>
        <w:t>ída</w:t>
      </w:r>
      <w:r w:rsidRPr="00044184">
        <w:rPr>
          <w:szCs w:val="22"/>
          <w:u w:val="single"/>
          <w:lang w:val="sk-SK" w:eastAsia="en-GB"/>
        </w:rPr>
        <w:t xml:space="preserve">, </w:t>
      </w:r>
      <w:r w:rsidR="001F50F5" w:rsidRPr="00044184">
        <w:rPr>
          <w:szCs w:val="22"/>
          <w:u w:val="single"/>
          <w:lang w:val="sk-SK" w:eastAsia="en-GB"/>
        </w:rPr>
        <w:t>zlyhanie pečene</w:t>
      </w:r>
    </w:p>
    <w:p w:rsidR="00DC2526" w:rsidRPr="00044184" w:rsidRDefault="001F50F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Počas liečby erlotinibom boli hlásené zriedkavé prípady zlyhania pečene </w:t>
      </w:r>
      <w:r w:rsidR="00DC2526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>vrátane smrteľných prípadov</w:t>
      </w:r>
      <w:r w:rsidR="00DC2526" w:rsidRPr="00044184">
        <w:rPr>
          <w:szCs w:val="22"/>
          <w:lang w:val="sk-SK" w:eastAsia="en-GB"/>
        </w:rPr>
        <w:t>).</w:t>
      </w:r>
      <w:r w:rsidR="00BE2375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Faktory sťažujúce posúdenie zahŕňali už existujúce ochorenie pečene alebo súbežn</w:t>
      </w:r>
      <w:r w:rsidR="00D579A5" w:rsidRPr="00044184">
        <w:rPr>
          <w:szCs w:val="22"/>
          <w:lang w:val="sk-SK" w:eastAsia="en-GB"/>
        </w:rPr>
        <w:t>é podávanie</w:t>
      </w:r>
      <w:r w:rsidRPr="00044184">
        <w:rPr>
          <w:szCs w:val="22"/>
          <w:lang w:val="sk-SK" w:eastAsia="en-GB"/>
        </w:rPr>
        <w:t xml:space="preserve"> hepatotoxick</w:t>
      </w:r>
      <w:r w:rsidR="00D579A5" w:rsidRPr="00044184">
        <w:rPr>
          <w:szCs w:val="22"/>
          <w:lang w:val="sk-SK" w:eastAsia="en-GB"/>
        </w:rPr>
        <w:t xml:space="preserve">ých </w:t>
      </w:r>
      <w:r w:rsidRPr="00044184">
        <w:rPr>
          <w:szCs w:val="22"/>
          <w:lang w:val="sk-SK" w:eastAsia="en-GB"/>
        </w:rPr>
        <w:t>liek</w:t>
      </w:r>
      <w:r w:rsidR="00D579A5" w:rsidRPr="00044184">
        <w:rPr>
          <w:szCs w:val="22"/>
          <w:lang w:val="sk-SK" w:eastAsia="en-GB"/>
        </w:rPr>
        <w:t>ov</w:t>
      </w:r>
      <w:r w:rsidR="00DC2526" w:rsidRPr="00044184">
        <w:rPr>
          <w:szCs w:val="22"/>
          <w:lang w:val="sk-SK" w:eastAsia="en-GB"/>
        </w:rPr>
        <w:t>.</w:t>
      </w:r>
      <w:r w:rsidR="00D079D5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U takýchto pacientov </w:t>
      </w:r>
      <w:r w:rsidR="007C49E5" w:rsidRPr="00044184">
        <w:rPr>
          <w:szCs w:val="22"/>
          <w:lang w:val="sk-SK" w:eastAsia="en-GB"/>
        </w:rPr>
        <w:t>sa má</w:t>
      </w:r>
      <w:r w:rsidRPr="00044184">
        <w:rPr>
          <w:szCs w:val="22"/>
          <w:lang w:val="sk-SK" w:eastAsia="en-GB"/>
        </w:rPr>
        <w:t xml:space="preserve"> zvážiť pravidelné vykonávanie pečeňových testov</w:t>
      </w:r>
      <w:r w:rsidR="00DC252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Podávanie e</w:t>
      </w:r>
      <w:r w:rsidR="0049143F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>u sa má prerušiť, ak sú zmeny funkcie pečene závažné (pozri časť </w:t>
      </w:r>
      <w:r w:rsidR="00DC2526" w:rsidRPr="00044184">
        <w:rPr>
          <w:szCs w:val="22"/>
          <w:lang w:val="sk-SK" w:eastAsia="en-GB"/>
        </w:rPr>
        <w:t>4.8).</w:t>
      </w:r>
      <w:r w:rsidR="0049143F" w:rsidRPr="00044184">
        <w:rPr>
          <w:szCs w:val="22"/>
          <w:lang w:val="sk-SK" w:eastAsia="en-GB"/>
        </w:rPr>
        <w:t xml:space="preserve"> Erlotinib</w:t>
      </w:r>
      <w:r w:rsidR="00DC2526" w:rsidRPr="00044184">
        <w:rPr>
          <w:szCs w:val="22"/>
          <w:lang w:val="sk-SK" w:eastAsia="en-GB"/>
        </w:rPr>
        <w:t xml:space="preserve"> </w:t>
      </w:r>
      <w:r w:rsidR="008F7368">
        <w:rPr>
          <w:szCs w:val="22"/>
          <w:lang w:val="sk-SK" w:eastAsia="en-GB"/>
        </w:rPr>
        <w:t xml:space="preserve">STADA </w:t>
      </w:r>
      <w:r w:rsidR="00DC2526" w:rsidRPr="00044184">
        <w:rPr>
          <w:szCs w:val="22"/>
          <w:lang w:val="sk-SK" w:eastAsia="en-GB"/>
        </w:rPr>
        <w:t>s</w:t>
      </w:r>
      <w:r w:rsidR="00411E51" w:rsidRPr="00044184">
        <w:rPr>
          <w:szCs w:val="22"/>
          <w:lang w:val="sk-SK" w:eastAsia="en-GB"/>
        </w:rPr>
        <w:t xml:space="preserve">a neodporúča </w:t>
      </w:r>
      <w:r w:rsidR="00A02B83" w:rsidRPr="00044184">
        <w:rPr>
          <w:szCs w:val="22"/>
          <w:lang w:val="sk-SK" w:eastAsia="en-GB"/>
        </w:rPr>
        <w:t xml:space="preserve">používať u </w:t>
      </w:r>
      <w:r w:rsidR="00411E51" w:rsidRPr="00044184">
        <w:rPr>
          <w:szCs w:val="22"/>
          <w:lang w:val="sk-SK" w:eastAsia="en-GB"/>
        </w:rPr>
        <w:t>paciento</w:t>
      </w:r>
      <w:r w:rsidR="00A02B83" w:rsidRPr="00044184">
        <w:rPr>
          <w:szCs w:val="22"/>
          <w:lang w:val="sk-SK" w:eastAsia="en-GB"/>
        </w:rPr>
        <w:t>v</w:t>
      </w:r>
      <w:r w:rsidR="00411E51" w:rsidRPr="00044184">
        <w:rPr>
          <w:szCs w:val="22"/>
          <w:lang w:val="sk-SK" w:eastAsia="en-GB"/>
        </w:rPr>
        <w:t xml:space="preserve"> s ťažkou poruchou funkcie pečene</w:t>
      </w:r>
      <w:r w:rsidR="00DC2526" w:rsidRPr="00044184">
        <w:rPr>
          <w:szCs w:val="22"/>
          <w:lang w:val="sk-SK" w:eastAsia="en-GB"/>
        </w:rPr>
        <w:t>.</w:t>
      </w:r>
    </w:p>
    <w:p w:rsidR="00940A35" w:rsidRPr="00044184" w:rsidRDefault="00940A35" w:rsidP="00695459">
      <w:pPr>
        <w:spacing w:line="240" w:lineRule="auto"/>
        <w:ind w:left="567" w:hanging="567"/>
        <w:rPr>
          <w:szCs w:val="22"/>
          <w:lang w:val="sk-SK" w:eastAsia="en-GB"/>
        </w:rPr>
      </w:pPr>
    </w:p>
    <w:p w:rsidR="00DC2526" w:rsidRPr="00044184" w:rsidRDefault="00A8394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</w:t>
      </w:r>
      <w:r w:rsidR="00DC2526" w:rsidRPr="00044184">
        <w:rPr>
          <w:szCs w:val="22"/>
          <w:u w:val="single"/>
          <w:lang w:val="sk-SK" w:eastAsia="en-GB"/>
        </w:rPr>
        <w:t>erfor</w:t>
      </w:r>
      <w:r w:rsidR="00411E51" w:rsidRPr="00044184">
        <w:rPr>
          <w:szCs w:val="22"/>
          <w:u w:val="single"/>
          <w:lang w:val="sk-SK" w:eastAsia="en-GB"/>
        </w:rPr>
        <w:t>ácia</w:t>
      </w:r>
      <w:r w:rsidRPr="00044184">
        <w:rPr>
          <w:szCs w:val="22"/>
          <w:u w:val="single"/>
          <w:lang w:val="sk-SK" w:eastAsia="en-GB"/>
        </w:rPr>
        <w:t xml:space="preserve"> gastrointestinálneho traktu</w:t>
      </w:r>
    </w:p>
    <w:p w:rsidR="00DC2526" w:rsidRPr="00044184" w:rsidRDefault="00DC252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Pa</w:t>
      </w:r>
      <w:r w:rsidR="0095447A" w:rsidRPr="00044184">
        <w:rPr>
          <w:szCs w:val="22"/>
          <w:lang w:val="sk-SK" w:eastAsia="en-GB"/>
        </w:rPr>
        <w:t>c</w:t>
      </w:r>
      <w:r w:rsidRPr="00044184">
        <w:rPr>
          <w:szCs w:val="22"/>
          <w:lang w:val="sk-SK" w:eastAsia="en-GB"/>
        </w:rPr>
        <w:t>ient</w:t>
      </w:r>
      <w:r w:rsidR="0095447A" w:rsidRPr="00044184">
        <w:rPr>
          <w:szCs w:val="22"/>
          <w:lang w:val="sk-SK" w:eastAsia="en-GB"/>
        </w:rPr>
        <w:t xml:space="preserve">i liečení </w:t>
      </w:r>
      <w:r w:rsidR="004E3C8F" w:rsidRPr="00044184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>rlotinib</w:t>
      </w:r>
      <w:r w:rsidR="0095447A" w:rsidRPr="00044184">
        <w:rPr>
          <w:szCs w:val="22"/>
          <w:lang w:val="sk-SK" w:eastAsia="en-GB"/>
        </w:rPr>
        <w:t xml:space="preserve">om </w:t>
      </w:r>
      <w:r w:rsidR="004E3C8F" w:rsidRPr="00044184">
        <w:rPr>
          <w:szCs w:val="22"/>
          <w:lang w:val="sk-SK" w:eastAsia="en-GB"/>
        </w:rPr>
        <w:t xml:space="preserve">STADA </w:t>
      </w:r>
      <w:r w:rsidR="00DD25EE" w:rsidRPr="00044184">
        <w:rPr>
          <w:szCs w:val="22"/>
          <w:lang w:val="sk-SK" w:eastAsia="en-GB"/>
        </w:rPr>
        <w:t xml:space="preserve">sú vystavení </w:t>
      </w:r>
      <w:r w:rsidR="0095447A" w:rsidRPr="00044184">
        <w:rPr>
          <w:szCs w:val="22"/>
          <w:lang w:val="sk-SK" w:eastAsia="en-GB"/>
        </w:rPr>
        <w:t>zvýšené</w:t>
      </w:r>
      <w:r w:rsidR="00DD25EE" w:rsidRPr="00044184">
        <w:rPr>
          <w:szCs w:val="22"/>
          <w:lang w:val="sk-SK" w:eastAsia="en-GB"/>
        </w:rPr>
        <w:t>mu</w:t>
      </w:r>
      <w:r w:rsidR="0095447A" w:rsidRPr="00044184">
        <w:rPr>
          <w:szCs w:val="22"/>
          <w:lang w:val="sk-SK" w:eastAsia="en-GB"/>
        </w:rPr>
        <w:t xml:space="preserve"> rizik</w:t>
      </w:r>
      <w:r w:rsidR="00DD25EE" w:rsidRPr="00044184">
        <w:rPr>
          <w:szCs w:val="22"/>
          <w:lang w:val="sk-SK" w:eastAsia="en-GB"/>
        </w:rPr>
        <w:t>u</w:t>
      </w:r>
      <w:r w:rsidR="0095447A" w:rsidRPr="00044184">
        <w:rPr>
          <w:szCs w:val="22"/>
          <w:lang w:val="sk-SK" w:eastAsia="en-GB"/>
        </w:rPr>
        <w:t xml:space="preserve"> vzniku </w:t>
      </w:r>
      <w:r w:rsidRPr="00044184">
        <w:rPr>
          <w:szCs w:val="22"/>
          <w:lang w:val="sk-SK" w:eastAsia="en-GB"/>
        </w:rPr>
        <w:t>perfor</w:t>
      </w:r>
      <w:r w:rsidR="0095447A" w:rsidRPr="00044184">
        <w:rPr>
          <w:szCs w:val="22"/>
          <w:lang w:val="sk-SK" w:eastAsia="en-GB"/>
        </w:rPr>
        <w:t>ácie</w:t>
      </w:r>
      <w:r w:rsidR="00A83942" w:rsidRPr="00044184">
        <w:rPr>
          <w:szCs w:val="22"/>
          <w:lang w:val="sk-SK" w:eastAsia="en-GB"/>
        </w:rPr>
        <w:t xml:space="preserve"> gastrointestinálneho traktu</w:t>
      </w:r>
      <w:r w:rsidR="0095447A" w:rsidRPr="00044184">
        <w:rPr>
          <w:szCs w:val="22"/>
          <w:lang w:val="sk-SK" w:eastAsia="en-GB"/>
        </w:rPr>
        <w:t xml:space="preserve">, ktorá sa </w:t>
      </w:r>
      <w:r w:rsidR="001E7972" w:rsidRPr="00044184">
        <w:rPr>
          <w:szCs w:val="22"/>
          <w:lang w:val="sk-SK" w:eastAsia="en-GB"/>
        </w:rPr>
        <w:t>zaznamenala</w:t>
      </w:r>
      <w:r w:rsidR="0095447A" w:rsidRPr="00044184">
        <w:rPr>
          <w:szCs w:val="22"/>
          <w:lang w:val="sk-SK" w:eastAsia="en-GB"/>
        </w:rPr>
        <w:t xml:space="preserve"> menej často</w:t>
      </w:r>
      <w:r w:rsidRPr="00044184">
        <w:rPr>
          <w:szCs w:val="22"/>
          <w:lang w:val="sk-SK" w:eastAsia="en-GB"/>
        </w:rPr>
        <w:t xml:space="preserve"> (</w:t>
      </w:r>
      <w:r w:rsidR="0095447A" w:rsidRPr="00044184">
        <w:rPr>
          <w:szCs w:val="22"/>
          <w:lang w:val="sk-SK" w:eastAsia="en-GB"/>
        </w:rPr>
        <w:t>vrátane niekoľkých prípadov so</w:t>
      </w:r>
      <w:r w:rsidR="0012414E">
        <w:rPr>
          <w:szCs w:val="22"/>
          <w:lang w:val="sk-SK" w:eastAsia="en-GB"/>
        </w:rPr>
        <w:t> </w:t>
      </w:r>
      <w:r w:rsidR="0095447A" w:rsidRPr="00044184">
        <w:rPr>
          <w:szCs w:val="22"/>
          <w:lang w:val="sk-SK" w:eastAsia="en-GB"/>
        </w:rPr>
        <w:t>smrteľným následkom</w:t>
      </w:r>
      <w:r w:rsidRPr="00044184">
        <w:rPr>
          <w:szCs w:val="22"/>
          <w:lang w:val="sk-SK" w:eastAsia="en-GB"/>
        </w:rPr>
        <w:t>). Pa</w:t>
      </w:r>
      <w:r w:rsidR="0095447A" w:rsidRPr="00044184">
        <w:rPr>
          <w:szCs w:val="22"/>
          <w:lang w:val="sk-SK" w:eastAsia="en-GB"/>
        </w:rPr>
        <w:t>c</w:t>
      </w:r>
      <w:r w:rsidRPr="00044184">
        <w:rPr>
          <w:szCs w:val="22"/>
          <w:lang w:val="sk-SK" w:eastAsia="en-GB"/>
        </w:rPr>
        <w:t>ient</w:t>
      </w:r>
      <w:r w:rsidR="0095447A" w:rsidRPr="00044184">
        <w:rPr>
          <w:szCs w:val="22"/>
          <w:lang w:val="sk-SK" w:eastAsia="en-GB"/>
        </w:rPr>
        <w:t>i, ktorí sú súbežne liečení antiangiogénnymi liečivami, k</w:t>
      </w:r>
      <w:r w:rsidRPr="00044184">
        <w:rPr>
          <w:szCs w:val="22"/>
          <w:lang w:val="sk-SK" w:eastAsia="en-GB"/>
        </w:rPr>
        <w:t>orti</w:t>
      </w:r>
      <w:r w:rsidR="0095447A" w:rsidRPr="00044184">
        <w:rPr>
          <w:szCs w:val="22"/>
          <w:lang w:val="sk-SK" w:eastAsia="en-GB"/>
        </w:rPr>
        <w:t>k</w:t>
      </w:r>
      <w:r w:rsidRPr="00044184">
        <w:rPr>
          <w:szCs w:val="22"/>
          <w:lang w:val="sk-SK" w:eastAsia="en-GB"/>
        </w:rPr>
        <w:t>osteroid</w:t>
      </w:r>
      <w:r w:rsidR="0095447A" w:rsidRPr="00044184">
        <w:rPr>
          <w:szCs w:val="22"/>
          <w:lang w:val="sk-SK" w:eastAsia="en-GB"/>
        </w:rPr>
        <w:t>mi</w:t>
      </w:r>
      <w:r w:rsidRPr="00044184">
        <w:rPr>
          <w:szCs w:val="22"/>
          <w:lang w:val="sk-SK" w:eastAsia="en-GB"/>
        </w:rPr>
        <w:t xml:space="preserve">, NSAID </w:t>
      </w:r>
      <w:r w:rsidR="0095447A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>/</w:t>
      </w:r>
      <w:r w:rsidR="0095447A" w:rsidRPr="00044184">
        <w:rPr>
          <w:szCs w:val="22"/>
          <w:lang w:val="sk-SK" w:eastAsia="en-GB"/>
        </w:rPr>
        <w:t xml:space="preserve">alebo chemoterapiou na báze taxánov alebo ktorí </w:t>
      </w:r>
      <w:r w:rsidR="00CB19FB" w:rsidRPr="00044184">
        <w:rPr>
          <w:szCs w:val="22"/>
          <w:lang w:val="sk-SK" w:eastAsia="en-GB"/>
        </w:rPr>
        <w:t>majú peptické vredy alebo divertikulózu v anamnéze, sú vystavení zvýšenému riziku. U pacientov, u ktorých vznikne perforácia</w:t>
      </w:r>
      <w:r w:rsidR="00A83942" w:rsidRPr="00044184">
        <w:rPr>
          <w:szCs w:val="22"/>
          <w:lang w:val="sk-SK" w:eastAsia="en-GB"/>
        </w:rPr>
        <w:t xml:space="preserve"> gastrointestinálneho traktu</w:t>
      </w:r>
      <w:r w:rsidR="00CB19FB" w:rsidRPr="00044184">
        <w:rPr>
          <w:szCs w:val="22"/>
          <w:lang w:val="sk-SK" w:eastAsia="en-GB"/>
        </w:rPr>
        <w:t xml:space="preserve">, sa má liečba </w:t>
      </w:r>
      <w:r w:rsidR="004E3C8F" w:rsidRPr="00044184">
        <w:rPr>
          <w:szCs w:val="22"/>
          <w:lang w:val="sk-SK" w:eastAsia="en-GB"/>
        </w:rPr>
        <w:t>E</w:t>
      </w:r>
      <w:r w:rsidR="00CB19FB" w:rsidRPr="00044184">
        <w:rPr>
          <w:szCs w:val="22"/>
          <w:lang w:val="sk-SK" w:eastAsia="en-GB"/>
        </w:rPr>
        <w:t xml:space="preserve">rlotinibom </w:t>
      </w:r>
      <w:r w:rsidR="004E3C8F" w:rsidRPr="00044184">
        <w:rPr>
          <w:szCs w:val="22"/>
          <w:lang w:val="sk-SK" w:eastAsia="en-GB"/>
        </w:rPr>
        <w:t xml:space="preserve">STADA </w:t>
      </w:r>
      <w:r w:rsidR="00CB19FB" w:rsidRPr="00044184">
        <w:rPr>
          <w:szCs w:val="22"/>
          <w:lang w:val="sk-SK" w:eastAsia="en-GB"/>
        </w:rPr>
        <w:t>natrvalo ukončiť</w:t>
      </w:r>
      <w:r w:rsidRPr="00044184">
        <w:rPr>
          <w:szCs w:val="22"/>
          <w:lang w:val="sk-SK" w:eastAsia="en-GB"/>
        </w:rPr>
        <w:t xml:space="preserve"> (</w:t>
      </w:r>
      <w:r w:rsidR="00CB19FB" w:rsidRPr="00044184">
        <w:rPr>
          <w:szCs w:val="22"/>
          <w:lang w:val="sk-SK" w:eastAsia="en-GB"/>
        </w:rPr>
        <w:t>pozri časť </w:t>
      </w:r>
      <w:r w:rsidRPr="00044184">
        <w:rPr>
          <w:szCs w:val="22"/>
          <w:lang w:val="sk-SK" w:eastAsia="en-GB"/>
        </w:rPr>
        <w:t>4.8).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C2526" w:rsidRPr="00044184" w:rsidRDefault="00DC252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Bul</w:t>
      </w:r>
      <w:r w:rsidR="00D77466" w:rsidRPr="00044184">
        <w:rPr>
          <w:szCs w:val="22"/>
          <w:u w:val="single"/>
          <w:lang w:val="sk-SK" w:eastAsia="en-GB"/>
        </w:rPr>
        <w:t xml:space="preserve">ózne a exfoliatívne </w:t>
      </w:r>
      <w:r w:rsidR="00A655AD" w:rsidRPr="00044184">
        <w:rPr>
          <w:szCs w:val="22"/>
          <w:u w:val="single"/>
          <w:lang w:val="sk-SK" w:eastAsia="en-GB"/>
        </w:rPr>
        <w:t>kožné ochorenia</w:t>
      </w:r>
    </w:p>
    <w:p w:rsidR="00940A35" w:rsidRPr="00044184" w:rsidRDefault="00D7746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Hlásené boli bulózne, pľuzgierové a exfoliatívne </w:t>
      </w:r>
      <w:r w:rsidR="00A655AD" w:rsidRPr="00044184">
        <w:rPr>
          <w:szCs w:val="22"/>
          <w:lang w:val="sk-SK" w:eastAsia="en-GB"/>
        </w:rPr>
        <w:t>kožné o</w:t>
      </w:r>
      <w:r w:rsidRPr="00044184">
        <w:rPr>
          <w:szCs w:val="22"/>
          <w:lang w:val="sk-SK" w:eastAsia="en-GB"/>
        </w:rPr>
        <w:t>chor</w:t>
      </w:r>
      <w:r w:rsidR="00A655AD" w:rsidRPr="00044184">
        <w:rPr>
          <w:szCs w:val="22"/>
          <w:lang w:val="sk-SK" w:eastAsia="en-GB"/>
        </w:rPr>
        <w:t>enia</w:t>
      </w:r>
      <w:r w:rsidR="007C49E5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</w:t>
      </w:r>
      <w:r w:rsidR="00A02B83" w:rsidRPr="00044184">
        <w:rPr>
          <w:szCs w:val="22"/>
          <w:lang w:val="sk-SK" w:eastAsia="en-GB"/>
        </w:rPr>
        <w:t xml:space="preserve">vrátane </w:t>
      </w:r>
      <w:r w:rsidRPr="00044184">
        <w:rPr>
          <w:szCs w:val="22"/>
          <w:lang w:val="sk-SK" w:eastAsia="en-GB"/>
        </w:rPr>
        <w:t>veľmi zriedkavých prípadov p</w:t>
      </w:r>
      <w:r w:rsidR="00FF1C15">
        <w:rPr>
          <w:szCs w:val="22"/>
          <w:lang w:val="sk-SK" w:eastAsia="en-GB"/>
        </w:rPr>
        <w:t>oukazujú</w:t>
      </w:r>
      <w:r w:rsidR="00F019DA" w:rsidRPr="00044184">
        <w:rPr>
          <w:szCs w:val="22"/>
          <w:lang w:val="sk-SK" w:eastAsia="en-GB"/>
        </w:rPr>
        <w:t xml:space="preserve">cich </w:t>
      </w:r>
      <w:r w:rsidR="00FF1C15">
        <w:rPr>
          <w:szCs w:val="22"/>
          <w:lang w:val="sk-SK" w:eastAsia="en-GB"/>
        </w:rPr>
        <w:t xml:space="preserve">na </w:t>
      </w:r>
      <w:r w:rsidRPr="00044184">
        <w:rPr>
          <w:szCs w:val="22"/>
          <w:lang w:val="sk-SK" w:eastAsia="en-GB"/>
        </w:rPr>
        <w:t>Stevensov</w:t>
      </w:r>
      <w:r w:rsidRPr="00044184">
        <w:rPr>
          <w:szCs w:val="22"/>
          <w:lang w:val="sk-SK" w:eastAsia="en-GB"/>
        </w:rPr>
        <w:noBreakHyphen/>
        <w:t>Johnsonov syndróm</w:t>
      </w:r>
      <w:r w:rsidR="00F019DA" w:rsidRPr="00044184">
        <w:rPr>
          <w:szCs w:val="22"/>
          <w:lang w:val="sk-SK" w:eastAsia="en-GB"/>
        </w:rPr>
        <w:t xml:space="preserve">/toxickú </w:t>
      </w:r>
      <w:r w:rsidR="00DC2526" w:rsidRPr="00044184">
        <w:rPr>
          <w:szCs w:val="22"/>
          <w:lang w:val="sk-SK" w:eastAsia="en-GB"/>
        </w:rPr>
        <w:t>epiderm</w:t>
      </w:r>
      <w:r w:rsidR="00F019DA" w:rsidRPr="00044184">
        <w:rPr>
          <w:szCs w:val="22"/>
          <w:lang w:val="sk-SK" w:eastAsia="en-GB"/>
        </w:rPr>
        <w:t>álnu nekrolýzu, ktoré boli v niek</w:t>
      </w:r>
      <w:r w:rsidR="000F705B" w:rsidRPr="00044184">
        <w:rPr>
          <w:szCs w:val="22"/>
          <w:lang w:val="sk-SK" w:eastAsia="en-GB"/>
        </w:rPr>
        <w:t>t</w:t>
      </w:r>
      <w:r w:rsidR="00F019DA" w:rsidRPr="00044184">
        <w:rPr>
          <w:szCs w:val="22"/>
          <w:lang w:val="sk-SK" w:eastAsia="en-GB"/>
        </w:rPr>
        <w:t>o</w:t>
      </w:r>
      <w:r w:rsidR="000F705B" w:rsidRPr="00044184">
        <w:rPr>
          <w:szCs w:val="22"/>
          <w:lang w:val="sk-SK" w:eastAsia="en-GB"/>
        </w:rPr>
        <w:t>r</w:t>
      </w:r>
      <w:r w:rsidR="00F019DA" w:rsidRPr="00044184">
        <w:rPr>
          <w:szCs w:val="22"/>
          <w:lang w:val="sk-SK" w:eastAsia="en-GB"/>
        </w:rPr>
        <w:t>ých prípadoch smrteľné</w:t>
      </w:r>
      <w:r w:rsidR="00D079D5" w:rsidRPr="00044184">
        <w:rPr>
          <w:szCs w:val="22"/>
          <w:lang w:val="sk-SK" w:eastAsia="en-GB"/>
        </w:rPr>
        <w:t xml:space="preserve"> </w:t>
      </w:r>
      <w:r w:rsidR="00DC2526" w:rsidRPr="00044184">
        <w:rPr>
          <w:szCs w:val="22"/>
          <w:lang w:val="sk-SK" w:eastAsia="en-GB"/>
        </w:rPr>
        <w:t>(</w:t>
      </w:r>
      <w:r w:rsidR="00F019DA" w:rsidRPr="00044184">
        <w:rPr>
          <w:szCs w:val="22"/>
          <w:lang w:val="sk-SK" w:eastAsia="en-GB"/>
        </w:rPr>
        <w:t>pozri ča</w:t>
      </w:r>
      <w:r w:rsidR="00DC2526" w:rsidRPr="00044184">
        <w:rPr>
          <w:szCs w:val="22"/>
          <w:lang w:val="sk-SK" w:eastAsia="en-GB"/>
        </w:rPr>
        <w:t>s</w:t>
      </w:r>
      <w:r w:rsidR="00F019DA" w:rsidRPr="00044184">
        <w:rPr>
          <w:szCs w:val="22"/>
          <w:lang w:val="sk-SK" w:eastAsia="en-GB"/>
        </w:rPr>
        <w:t>ť </w:t>
      </w:r>
      <w:r w:rsidR="00DC2526" w:rsidRPr="00044184">
        <w:rPr>
          <w:szCs w:val="22"/>
          <w:lang w:val="sk-SK" w:eastAsia="en-GB"/>
        </w:rPr>
        <w:t xml:space="preserve">4.8). </w:t>
      </w:r>
      <w:r w:rsidR="00A655AD" w:rsidRPr="00044184">
        <w:rPr>
          <w:szCs w:val="22"/>
          <w:lang w:val="sk-SK" w:eastAsia="en-GB"/>
        </w:rPr>
        <w:t xml:space="preserve">Ak u pacienta vznikne závažné bulózne, pľuzgierové alebo exfoliatívne ochorenie, liečba </w:t>
      </w:r>
      <w:r w:rsidR="009B08FF">
        <w:rPr>
          <w:szCs w:val="22"/>
          <w:lang w:val="sk-SK" w:eastAsia="en-GB"/>
        </w:rPr>
        <w:t>E</w:t>
      </w:r>
      <w:r w:rsidR="0049143F" w:rsidRPr="00044184">
        <w:rPr>
          <w:szCs w:val="22"/>
          <w:lang w:val="sk-SK" w:eastAsia="en-GB"/>
        </w:rPr>
        <w:t>rlotinib</w:t>
      </w:r>
      <w:r w:rsidR="00A23D89" w:rsidRPr="00044184">
        <w:rPr>
          <w:szCs w:val="22"/>
          <w:lang w:val="sk-SK" w:eastAsia="en-GB"/>
        </w:rPr>
        <w:t>om</w:t>
      </w:r>
      <w:r w:rsidR="00DC2526" w:rsidRPr="00044184">
        <w:rPr>
          <w:szCs w:val="22"/>
          <w:lang w:val="sk-SK" w:eastAsia="en-GB"/>
        </w:rPr>
        <w:t xml:space="preserve"> </w:t>
      </w:r>
      <w:r w:rsidR="009B08FF">
        <w:rPr>
          <w:szCs w:val="22"/>
          <w:lang w:val="sk-SK" w:eastAsia="en-GB"/>
        </w:rPr>
        <w:t xml:space="preserve">STADA </w:t>
      </w:r>
      <w:r w:rsidR="00A655AD" w:rsidRPr="00044184">
        <w:rPr>
          <w:szCs w:val="22"/>
          <w:lang w:val="sk-SK" w:eastAsia="en-GB"/>
        </w:rPr>
        <w:t>sa má prerušiť alebo ukončiť</w:t>
      </w:r>
      <w:r w:rsidR="00DC2526" w:rsidRPr="00044184">
        <w:rPr>
          <w:szCs w:val="22"/>
          <w:lang w:val="sk-SK" w:eastAsia="en-GB"/>
        </w:rPr>
        <w:t xml:space="preserve">. </w:t>
      </w:r>
      <w:r w:rsidR="000020AD" w:rsidRPr="00044184">
        <w:rPr>
          <w:szCs w:val="22"/>
          <w:lang w:val="sk-SK" w:eastAsia="en-GB"/>
        </w:rPr>
        <w:t xml:space="preserve">Pacientov </w:t>
      </w:r>
      <w:r w:rsidR="00A655AD" w:rsidRPr="00044184">
        <w:rPr>
          <w:szCs w:val="22"/>
          <w:lang w:val="sk-SK" w:eastAsia="en-GB"/>
        </w:rPr>
        <w:t>s bulóznymi a exfoliatívnymi kožnými ochoreniami</w:t>
      </w:r>
      <w:r w:rsidR="000020AD" w:rsidRPr="00044184">
        <w:rPr>
          <w:szCs w:val="22"/>
          <w:lang w:val="sk-SK" w:eastAsia="en-GB"/>
        </w:rPr>
        <w:t xml:space="preserve"> je potrebné vyšetriť na prítomnosť kožnej infekcie a liečiť v s</w:t>
      </w:r>
      <w:r w:rsidR="00A655AD" w:rsidRPr="00044184">
        <w:rPr>
          <w:szCs w:val="22"/>
          <w:lang w:val="sk-SK" w:eastAsia="en-GB"/>
        </w:rPr>
        <w:t xml:space="preserve">úlade </w:t>
      </w:r>
      <w:r w:rsidR="000020AD" w:rsidRPr="00044184">
        <w:rPr>
          <w:szCs w:val="22"/>
          <w:lang w:val="sk-SK" w:eastAsia="en-GB"/>
        </w:rPr>
        <w:t xml:space="preserve">so štandardnými </w:t>
      </w:r>
      <w:r w:rsidR="00C526BA" w:rsidRPr="00044184">
        <w:rPr>
          <w:szCs w:val="22"/>
          <w:lang w:val="sk-SK" w:eastAsia="en-GB"/>
        </w:rPr>
        <w:t xml:space="preserve">lokálnymi </w:t>
      </w:r>
      <w:r w:rsidR="000020AD" w:rsidRPr="00044184">
        <w:rPr>
          <w:szCs w:val="22"/>
          <w:lang w:val="sk-SK" w:eastAsia="en-GB"/>
        </w:rPr>
        <w:t>terapeutickými postupmi.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A140DF" w:rsidRPr="00044184" w:rsidRDefault="000020A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Poruchy oka</w:t>
      </w:r>
    </w:p>
    <w:p w:rsidR="00A140DF" w:rsidRPr="00044184" w:rsidRDefault="000020A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Pacientov, u ktorých s</w:t>
      </w:r>
      <w:r w:rsidR="00A21F90" w:rsidRPr="00044184">
        <w:rPr>
          <w:szCs w:val="22"/>
          <w:lang w:val="sk-SK" w:eastAsia="en-GB"/>
        </w:rPr>
        <w:t>ú prítomné</w:t>
      </w:r>
      <w:r w:rsidRPr="00044184">
        <w:rPr>
          <w:szCs w:val="22"/>
          <w:lang w:val="sk-SK" w:eastAsia="en-GB"/>
        </w:rPr>
        <w:t xml:space="preserve"> prejavy a príznaky poukazujúce na keratitídu,</w:t>
      </w:r>
      <w:r w:rsidR="00D060E8" w:rsidRPr="00044184">
        <w:rPr>
          <w:szCs w:val="22"/>
          <w:lang w:val="sk-SK" w:eastAsia="en-GB"/>
        </w:rPr>
        <w:t xml:space="preserve"> </w:t>
      </w:r>
      <w:r w:rsidR="00150B0E" w:rsidRPr="00044184">
        <w:rPr>
          <w:szCs w:val="22"/>
          <w:lang w:val="sk-SK" w:eastAsia="en-GB"/>
        </w:rPr>
        <w:t xml:space="preserve">akými sú </w:t>
      </w:r>
      <w:r w:rsidR="00C526BA" w:rsidRPr="00044184">
        <w:rPr>
          <w:szCs w:val="22"/>
          <w:lang w:val="sk-SK" w:eastAsia="en-GB"/>
        </w:rPr>
        <w:t>akútne</w:t>
      </w:r>
      <w:r w:rsidR="00150B0E" w:rsidRPr="00044184">
        <w:rPr>
          <w:szCs w:val="22"/>
          <w:lang w:val="sk-SK" w:eastAsia="en-GB"/>
        </w:rPr>
        <w:t xml:space="preserve"> alebo zhoršujúce </w:t>
      </w:r>
      <w:r w:rsidR="0008461E" w:rsidRPr="00044184">
        <w:rPr>
          <w:szCs w:val="22"/>
          <w:lang w:val="sk-SK" w:eastAsia="en-GB"/>
        </w:rPr>
        <w:t>sa</w:t>
      </w:r>
      <w:r w:rsidR="00150B0E" w:rsidRPr="00044184">
        <w:rPr>
          <w:szCs w:val="22"/>
          <w:lang w:val="sk-SK" w:eastAsia="en-GB"/>
        </w:rPr>
        <w:t xml:space="preserve">: zápal oka, slzenie, citlivosť na svetlo, rozmazané videnie, bolesť oka a/alebo začervenanie oka, je potrebné </w:t>
      </w:r>
      <w:r w:rsidR="0008461E" w:rsidRPr="00044184">
        <w:rPr>
          <w:szCs w:val="22"/>
          <w:lang w:val="sk-SK" w:eastAsia="en-GB"/>
        </w:rPr>
        <w:t>ihneď</w:t>
      </w:r>
      <w:r w:rsidR="00150B0E" w:rsidRPr="00044184">
        <w:rPr>
          <w:szCs w:val="22"/>
          <w:lang w:val="sk-SK" w:eastAsia="en-GB"/>
        </w:rPr>
        <w:t xml:space="preserve"> </w:t>
      </w:r>
      <w:r w:rsidR="00ED10AA">
        <w:rPr>
          <w:szCs w:val="22"/>
          <w:lang w:val="sk-SK" w:eastAsia="en-GB"/>
        </w:rPr>
        <w:t>po</w:t>
      </w:r>
      <w:r w:rsidR="00150B0E" w:rsidRPr="00044184">
        <w:rPr>
          <w:szCs w:val="22"/>
          <w:lang w:val="sk-SK" w:eastAsia="en-GB"/>
        </w:rPr>
        <w:t xml:space="preserve">slať </w:t>
      </w:r>
      <w:r w:rsidR="003C1BE1" w:rsidRPr="00044184">
        <w:rPr>
          <w:szCs w:val="22"/>
          <w:lang w:val="sk-SK" w:eastAsia="en-GB"/>
        </w:rPr>
        <w:t xml:space="preserve">na vyšetrenie </w:t>
      </w:r>
      <w:r w:rsidR="00150B0E" w:rsidRPr="00044184">
        <w:rPr>
          <w:szCs w:val="22"/>
          <w:lang w:val="sk-SK" w:eastAsia="en-GB"/>
        </w:rPr>
        <w:t>k oftalmológovi</w:t>
      </w:r>
      <w:r w:rsidR="00A140DF" w:rsidRPr="00044184">
        <w:rPr>
          <w:szCs w:val="22"/>
          <w:lang w:val="sk-SK" w:eastAsia="en-GB"/>
        </w:rPr>
        <w:t xml:space="preserve">. </w:t>
      </w:r>
      <w:r w:rsidR="0008461E" w:rsidRPr="00044184">
        <w:rPr>
          <w:szCs w:val="22"/>
          <w:lang w:val="sk-SK" w:eastAsia="en-GB"/>
        </w:rPr>
        <w:t xml:space="preserve">Ak sa diagnóza ulceróznej keratitídy potvrdí, liečba </w:t>
      </w:r>
      <w:r w:rsidR="008442E6">
        <w:rPr>
          <w:szCs w:val="22"/>
          <w:lang w:val="sk-SK" w:eastAsia="en-GB"/>
        </w:rPr>
        <w:t>E</w:t>
      </w:r>
      <w:r w:rsidR="0049143F" w:rsidRPr="00044184">
        <w:rPr>
          <w:szCs w:val="22"/>
          <w:lang w:val="sk-SK" w:eastAsia="en-GB"/>
        </w:rPr>
        <w:t>rlotinib</w:t>
      </w:r>
      <w:r w:rsidR="0008461E" w:rsidRPr="00044184">
        <w:rPr>
          <w:szCs w:val="22"/>
          <w:lang w:val="sk-SK" w:eastAsia="en-GB"/>
        </w:rPr>
        <w:t xml:space="preserve">om </w:t>
      </w:r>
      <w:r w:rsidR="008442E6">
        <w:rPr>
          <w:szCs w:val="22"/>
          <w:lang w:val="sk-SK" w:eastAsia="en-GB"/>
        </w:rPr>
        <w:t xml:space="preserve">STADA </w:t>
      </w:r>
      <w:r w:rsidR="0008461E" w:rsidRPr="00044184">
        <w:rPr>
          <w:szCs w:val="22"/>
          <w:lang w:val="sk-SK" w:eastAsia="en-GB"/>
        </w:rPr>
        <w:t>sa má prerušiť alebo ukončiť</w:t>
      </w:r>
      <w:r w:rsidR="00A140DF" w:rsidRPr="00044184">
        <w:rPr>
          <w:szCs w:val="22"/>
          <w:lang w:val="sk-SK" w:eastAsia="en-GB"/>
        </w:rPr>
        <w:t xml:space="preserve">. </w:t>
      </w:r>
      <w:r w:rsidR="0008461E" w:rsidRPr="00044184">
        <w:rPr>
          <w:szCs w:val="22"/>
          <w:lang w:val="sk-SK" w:eastAsia="en-GB"/>
        </w:rPr>
        <w:t>Ak je diagnostikovaná keratitída, majú sa starostlivo zvážiť prínosy a riziká pokračovania v</w:t>
      </w:r>
      <w:r w:rsidR="00DE66F4" w:rsidRPr="00044184">
        <w:rPr>
          <w:szCs w:val="22"/>
          <w:lang w:val="sk-SK" w:eastAsia="en-GB"/>
        </w:rPr>
        <w:t> </w:t>
      </w:r>
      <w:r w:rsidR="0008461E" w:rsidRPr="00044184">
        <w:rPr>
          <w:szCs w:val="22"/>
          <w:lang w:val="sk-SK" w:eastAsia="en-GB"/>
        </w:rPr>
        <w:t>liečbe</w:t>
      </w:r>
      <w:r w:rsidR="00A140DF" w:rsidRPr="00044184">
        <w:rPr>
          <w:szCs w:val="22"/>
          <w:lang w:val="sk-SK" w:eastAsia="en-GB"/>
        </w:rPr>
        <w:t xml:space="preserve">. </w:t>
      </w:r>
      <w:r w:rsidR="0008461E" w:rsidRPr="00044184">
        <w:rPr>
          <w:szCs w:val="22"/>
          <w:lang w:val="sk-SK" w:eastAsia="en-GB"/>
        </w:rPr>
        <w:t xml:space="preserve">U pacientov, ktorí majú v anamnéze keratitídu, ulceróznu keratitídu alebo závažnú formu syndrómu suchého oka, sa má </w:t>
      </w:r>
      <w:r w:rsidR="008442E6">
        <w:rPr>
          <w:szCs w:val="22"/>
          <w:lang w:val="sk-SK" w:eastAsia="en-GB"/>
        </w:rPr>
        <w:t>E</w:t>
      </w:r>
      <w:r w:rsidR="0049143F" w:rsidRPr="00044184">
        <w:rPr>
          <w:szCs w:val="22"/>
          <w:lang w:val="sk-SK" w:eastAsia="en-GB"/>
        </w:rPr>
        <w:t>rlotinib</w:t>
      </w:r>
      <w:r w:rsidR="0008461E" w:rsidRPr="00044184">
        <w:rPr>
          <w:szCs w:val="22"/>
          <w:lang w:val="sk-SK" w:eastAsia="en-GB"/>
        </w:rPr>
        <w:t xml:space="preserve"> </w:t>
      </w:r>
      <w:r w:rsidR="008442E6">
        <w:rPr>
          <w:szCs w:val="22"/>
          <w:lang w:val="sk-SK" w:eastAsia="en-GB"/>
        </w:rPr>
        <w:t xml:space="preserve">STADA </w:t>
      </w:r>
      <w:r w:rsidR="0008461E" w:rsidRPr="00044184">
        <w:rPr>
          <w:szCs w:val="22"/>
          <w:lang w:val="sk-SK" w:eastAsia="en-GB"/>
        </w:rPr>
        <w:t>používať s obozretnosťou</w:t>
      </w:r>
      <w:r w:rsidR="00A140DF" w:rsidRPr="00044184">
        <w:rPr>
          <w:szCs w:val="22"/>
          <w:lang w:val="sk-SK" w:eastAsia="en-GB"/>
        </w:rPr>
        <w:t xml:space="preserve">. </w:t>
      </w:r>
      <w:r w:rsidR="0008461E" w:rsidRPr="00044184">
        <w:rPr>
          <w:szCs w:val="22"/>
          <w:lang w:val="sk-SK" w:eastAsia="en-GB"/>
        </w:rPr>
        <w:t>Používanie kontaktných šošoviek je tiež rizikovým faktorom vzniku keratitídy a</w:t>
      </w:r>
      <w:r w:rsidR="00C526BA" w:rsidRPr="00044184">
        <w:rPr>
          <w:szCs w:val="22"/>
          <w:lang w:val="sk-SK" w:eastAsia="en-GB"/>
        </w:rPr>
        <w:t> </w:t>
      </w:r>
      <w:r w:rsidR="0008461E" w:rsidRPr="00044184">
        <w:rPr>
          <w:szCs w:val="22"/>
          <w:lang w:val="sk-SK" w:eastAsia="en-GB"/>
        </w:rPr>
        <w:t>ulcerácie</w:t>
      </w:r>
      <w:r w:rsidR="00A140DF" w:rsidRPr="00044184">
        <w:rPr>
          <w:szCs w:val="22"/>
          <w:lang w:val="sk-SK" w:eastAsia="en-GB"/>
        </w:rPr>
        <w:t xml:space="preserve">. </w:t>
      </w:r>
      <w:r w:rsidR="0008461E" w:rsidRPr="00044184">
        <w:rPr>
          <w:szCs w:val="22"/>
          <w:lang w:val="sk-SK" w:eastAsia="en-GB"/>
        </w:rPr>
        <w:t>Počas liečby erlotinibom boli hlásené veľmi zriedkavé prípady perforácie alebo ulcerácie rohovky</w:t>
      </w:r>
      <w:r w:rsidR="00A140DF" w:rsidRPr="00044184">
        <w:rPr>
          <w:szCs w:val="22"/>
          <w:lang w:val="sk-SK" w:eastAsia="en-GB"/>
        </w:rPr>
        <w:t xml:space="preserve"> (</w:t>
      </w:r>
      <w:r w:rsidR="0008461E" w:rsidRPr="00044184">
        <w:rPr>
          <w:szCs w:val="22"/>
          <w:lang w:val="sk-SK" w:eastAsia="en-GB"/>
        </w:rPr>
        <w:t>pozri časť </w:t>
      </w:r>
      <w:r w:rsidR="00A140DF" w:rsidRPr="00044184">
        <w:rPr>
          <w:szCs w:val="22"/>
          <w:lang w:val="sk-SK" w:eastAsia="en-GB"/>
        </w:rPr>
        <w:t>4.8).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A140DF" w:rsidRPr="00044184" w:rsidRDefault="00E721AF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Liekové interakcie</w:t>
      </w:r>
    </w:p>
    <w:p w:rsidR="00A140DF" w:rsidRPr="00044184" w:rsidRDefault="00E721AF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Silné induktory </w:t>
      </w:r>
      <w:r w:rsidR="00A140DF" w:rsidRPr="00044184">
        <w:rPr>
          <w:szCs w:val="22"/>
          <w:lang w:val="sk-SK" w:eastAsia="en-GB"/>
        </w:rPr>
        <w:t>CYP3A4 m</w:t>
      </w:r>
      <w:r w:rsidRPr="00044184">
        <w:rPr>
          <w:szCs w:val="22"/>
          <w:lang w:val="sk-SK" w:eastAsia="en-GB"/>
        </w:rPr>
        <w:t>ôžu zn</w:t>
      </w:r>
      <w:r w:rsidR="00A23D89" w:rsidRPr="00044184">
        <w:rPr>
          <w:szCs w:val="22"/>
          <w:lang w:val="sk-SK" w:eastAsia="en-GB"/>
        </w:rPr>
        <w:t>ížiť</w:t>
      </w:r>
      <w:r w:rsidRPr="00044184">
        <w:rPr>
          <w:szCs w:val="22"/>
          <w:lang w:val="sk-SK" w:eastAsia="en-GB"/>
        </w:rPr>
        <w:t xml:space="preserve"> účinnosť </w:t>
      </w:r>
      <w:r w:rsidR="00A140DF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u, zatiaľ čo silné inhibítory </w:t>
      </w:r>
      <w:r w:rsidR="00A140DF" w:rsidRPr="00044184">
        <w:rPr>
          <w:szCs w:val="22"/>
          <w:lang w:val="sk-SK" w:eastAsia="en-GB"/>
        </w:rPr>
        <w:t>CYP3A4 m</w:t>
      </w:r>
      <w:r w:rsidRPr="00044184">
        <w:rPr>
          <w:szCs w:val="22"/>
          <w:lang w:val="sk-SK" w:eastAsia="en-GB"/>
        </w:rPr>
        <w:t>ôžu viesť k jeho zvýšenej toxicite</w:t>
      </w:r>
      <w:r w:rsidR="00A140D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Je potrebné vyhnúť sa súbežnej liečbe </w:t>
      </w:r>
      <w:r w:rsidR="00A52CB1" w:rsidRPr="00044184">
        <w:rPr>
          <w:szCs w:val="22"/>
          <w:lang w:val="sk-SK" w:eastAsia="en-GB"/>
        </w:rPr>
        <w:t>l</w:t>
      </w:r>
      <w:r w:rsidR="00C526BA" w:rsidRPr="00044184">
        <w:rPr>
          <w:szCs w:val="22"/>
          <w:lang w:val="sk-SK" w:eastAsia="en-GB"/>
        </w:rPr>
        <w:t>átkami</w:t>
      </w:r>
      <w:r w:rsidR="00A52CB1" w:rsidRPr="00044184">
        <w:rPr>
          <w:szCs w:val="22"/>
          <w:lang w:val="sk-SK" w:eastAsia="en-GB"/>
        </w:rPr>
        <w:t xml:space="preserve"> týchto typov</w:t>
      </w:r>
      <w:r w:rsidR="00A140DF" w:rsidRPr="00044184">
        <w:rPr>
          <w:szCs w:val="22"/>
          <w:lang w:val="sk-SK" w:eastAsia="en-GB"/>
        </w:rPr>
        <w:t xml:space="preserve"> (</w:t>
      </w:r>
      <w:r w:rsidR="00A52CB1" w:rsidRPr="00044184">
        <w:rPr>
          <w:szCs w:val="22"/>
          <w:lang w:val="sk-SK" w:eastAsia="en-GB"/>
        </w:rPr>
        <w:t>pozri časť </w:t>
      </w:r>
      <w:r w:rsidR="00A140DF" w:rsidRPr="00044184">
        <w:rPr>
          <w:szCs w:val="22"/>
          <w:lang w:val="sk-SK" w:eastAsia="en-GB"/>
        </w:rPr>
        <w:t>4.5).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</w:p>
    <w:p w:rsidR="00A140DF" w:rsidRPr="00044184" w:rsidRDefault="00E721A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lastRenderedPageBreak/>
        <w:t>Iné interakcie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Erlotinib </w:t>
      </w:r>
      <w:r w:rsidR="00A615CC" w:rsidRPr="00044184">
        <w:rPr>
          <w:szCs w:val="22"/>
          <w:lang w:val="sk-SK" w:eastAsia="en-GB"/>
        </w:rPr>
        <w:t xml:space="preserve">sa vyznačuje zníženou rozpustnosťou pri hodnote pH vyššej ako </w:t>
      </w:r>
      <w:r w:rsidRPr="00044184">
        <w:rPr>
          <w:szCs w:val="22"/>
          <w:lang w:val="sk-SK" w:eastAsia="en-GB"/>
        </w:rPr>
        <w:t xml:space="preserve">5. </w:t>
      </w:r>
      <w:r w:rsidR="00A615CC" w:rsidRPr="00044184">
        <w:rPr>
          <w:szCs w:val="22"/>
          <w:lang w:val="sk-SK" w:eastAsia="en-GB"/>
        </w:rPr>
        <w:t>Lieky, ktoré menia pH v hornej časti gastrointestinálneho traktu (GIT), ako napríklad inhibítory protónovej pumpy</w:t>
      </w:r>
      <w:r w:rsidRPr="00044184">
        <w:rPr>
          <w:szCs w:val="22"/>
          <w:lang w:val="sk-SK" w:eastAsia="en-GB"/>
        </w:rPr>
        <w:t xml:space="preserve">, </w:t>
      </w:r>
      <w:r w:rsidR="00A615CC" w:rsidRPr="00044184">
        <w:rPr>
          <w:szCs w:val="22"/>
          <w:lang w:val="sk-SK" w:eastAsia="en-GB"/>
        </w:rPr>
        <w:t xml:space="preserve">antagonisty </w:t>
      </w:r>
      <w:r w:rsidRPr="00044184">
        <w:rPr>
          <w:szCs w:val="22"/>
          <w:lang w:val="sk-SK" w:eastAsia="en-GB"/>
        </w:rPr>
        <w:t>H</w:t>
      </w:r>
      <w:r w:rsidRPr="00044184">
        <w:rPr>
          <w:szCs w:val="22"/>
          <w:vertAlign w:val="subscript"/>
          <w:lang w:val="sk-SK" w:eastAsia="en-GB"/>
        </w:rPr>
        <w:t>2</w:t>
      </w:r>
      <w:r w:rsidR="00A615CC" w:rsidRPr="00044184">
        <w:rPr>
          <w:szCs w:val="22"/>
          <w:lang w:val="sk-SK" w:eastAsia="en-GB"/>
        </w:rPr>
        <w:noBreakHyphen/>
        <w:t>receptorov a antacidá, môž</w:t>
      </w:r>
      <w:r w:rsidR="00B95C88" w:rsidRPr="00044184">
        <w:rPr>
          <w:szCs w:val="22"/>
          <w:lang w:val="sk-SK" w:eastAsia="en-GB"/>
        </w:rPr>
        <w:t>u</w:t>
      </w:r>
      <w:r w:rsidR="00A615CC" w:rsidRPr="00044184">
        <w:rPr>
          <w:szCs w:val="22"/>
          <w:lang w:val="sk-SK" w:eastAsia="en-GB"/>
        </w:rPr>
        <w:t xml:space="preserve"> zmeniť rozpustnosť </w:t>
      </w:r>
      <w:r w:rsidRPr="00044184">
        <w:rPr>
          <w:szCs w:val="22"/>
          <w:lang w:val="sk-SK" w:eastAsia="en-GB"/>
        </w:rPr>
        <w:t>erlotinib</w:t>
      </w:r>
      <w:r w:rsidR="00A02B83" w:rsidRPr="00044184">
        <w:rPr>
          <w:szCs w:val="22"/>
          <w:lang w:val="sk-SK" w:eastAsia="en-GB"/>
        </w:rPr>
        <w:t>u</w:t>
      </w:r>
      <w:r w:rsidR="00A615CC" w:rsidRPr="00044184">
        <w:rPr>
          <w:szCs w:val="22"/>
          <w:lang w:val="sk-SK" w:eastAsia="en-GB"/>
        </w:rPr>
        <w:t>, a t</w:t>
      </w:r>
      <w:r w:rsidR="008A7EC3" w:rsidRPr="00044184">
        <w:rPr>
          <w:szCs w:val="22"/>
          <w:lang w:val="sk-SK" w:eastAsia="en-GB"/>
        </w:rPr>
        <w:t>ým</w:t>
      </w:r>
      <w:r w:rsidR="00A615CC" w:rsidRPr="00044184">
        <w:rPr>
          <w:szCs w:val="22"/>
          <w:lang w:val="sk-SK" w:eastAsia="en-GB"/>
        </w:rPr>
        <w:t xml:space="preserve"> aj jeho biologickú dostupnosť. </w:t>
      </w:r>
      <w:r w:rsidR="00B95C88" w:rsidRPr="00044184">
        <w:rPr>
          <w:szCs w:val="22"/>
          <w:lang w:val="sk-SK" w:eastAsia="en-GB"/>
        </w:rPr>
        <w:t>Nie je pravdepodobné, že by z</w:t>
      </w:r>
      <w:r w:rsidR="00A615CC" w:rsidRPr="00044184">
        <w:rPr>
          <w:szCs w:val="22"/>
          <w:lang w:val="sk-SK" w:eastAsia="en-GB"/>
        </w:rPr>
        <w:t xml:space="preserve">výšenie dávky </w:t>
      </w:r>
      <w:r w:rsidR="004E3C8F" w:rsidRPr="00044184">
        <w:rPr>
          <w:szCs w:val="22"/>
          <w:lang w:val="sk-SK" w:eastAsia="en-GB"/>
        </w:rPr>
        <w:t>E</w:t>
      </w:r>
      <w:r w:rsidR="00A615CC" w:rsidRPr="00044184">
        <w:rPr>
          <w:szCs w:val="22"/>
          <w:lang w:val="sk-SK" w:eastAsia="en-GB"/>
        </w:rPr>
        <w:t xml:space="preserve">rlotinibu </w:t>
      </w:r>
      <w:r w:rsidR="004E3C8F" w:rsidRPr="00044184">
        <w:rPr>
          <w:szCs w:val="22"/>
          <w:lang w:val="sk-SK" w:eastAsia="en-GB"/>
        </w:rPr>
        <w:t xml:space="preserve">STADA </w:t>
      </w:r>
      <w:r w:rsidR="00A615CC" w:rsidRPr="00044184">
        <w:rPr>
          <w:szCs w:val="22"/>
          <w:lang w:val="sk-SK" w:eastAsia="en-GB"/>
        </w:rPr>
        <w:t xml:space="preserve">pri súbežnom podávaní </w:t>
      </w:r>
      <w:r w:rsidR="00B93B16">
        <w:rPr>
          <w:szCs w:val="22"/>
          <w:lang w:val="sk-SK" w:eastAsia="en-GB"/>
        </w:rPr>
        <w:t>s </w:t>
      </w:r>
      <w:r w:rsidR="00A615CC" w:rsidRPr="00044184">
        <w:rPr>
          <w:szCs w:val="22"/>
          <w:lang w:val="sk-SK" w:eastAsia="en-GB"/>
        </w:rPr>
        <w:t>taký</w:t>
      </w:r>
      <w:r w:rsidR="00B93B16">
        <w:rPr>
          <w:szCs w:val="22"/>
          <w:lang w:val="sk-SK" w:eastAsia="en-GB"/>
        </w:rPr>
        <w:t>mi</w:t>
      </w:r>
      <w:r w:rsidR="00A615CC" w:rsidRPr="00044184">
        <w:rPr>
          <w:szCs w:val="22"/>
          <w:lang w:val="sk-SK" w:eastAsia="en-GB"/>
        </w:rPr>
        <w:t xml:space="preserve">to </w:t>
      </w:r>
      <w:r w:rsidR="00B95C88" w:rsidRPr="00044184">
        <w:rPr>
          <w:szCs w:val="22"/>
          <w:lang w:val="sk-SK" w:eastAsia="en-GB"/>
        </w:rPr>
        <w:t>liek</w:t>
      </w:r>
      <w:r w:rsidR="00B93B16">
        <w:rPr>
          <w:szCs w:val="22"/>
          <w:lang w:val="sk-SK" w:eastAsia="en-GB"/>
        </w:rPr>
        <w:t>mi</w:t>
      </w:r>
      <w:r w:rsidR="00B95C88" w:rsidRPr="00044184">
        <w:rPr>
          <w:szCs w:val="22"/>
          <w:lang w:val="sk-SK" w:eastAsia="en-GB"/>
        </w:rPr>
        <w:t xml:space="preserve"> kompenzovalo pokles expozície. Je potrebné vyhnúť sa podávaniu erlotinibu v kombinácii s inhibítormi protónovej pumpy</w:t>
      </w:r>
      <w:r w:rsidRPr="00044184">
        <w:rPr>
          <w:szCs w:val="22"/>
          <w:lang w:val="sk-SK" w:eastAsia="en-GB"/>
        </w:rPr>
        <w:t xml:space="preserve">. </w:t>
      </w:r>
      <w:r w:rsidR="00B95C88" w:rsidRPr="00044184">
        <w:rPr>
          <w:szCs w:val="22"/>
          <w:lang w:val="sk-SK" w:eastAsia="en-GB"/>
        </w:rPr>
        <w:t>Vplyv súbežného podávania erlotinibu s </w:t>
      </w:r>
      <w:r w:rsidRPr="00044184">
        <w:rPr>
          <w:szCs w:val="22"/>
          <w:lang w:val="sk-SK" w:eastAsia="en-GB"/>
        </w:rPr>
        <w:t>antagonist</w:t>
      </w:r>
      <w:r w:rsidR="00B95C88" w:rsidRPr="00044184">
        <w:rPr>
          <w:szCs w:val="22"/>
          <w:lang w:val="sk-SK" w:eastAsia="en-GB"/>
        </w:rPr>
        <w:t>ami H</w:t>
      </w:r>
      <w:r w:rsidR="00B95C88" w:rsidRPr="00044184">
        <w:rPr>
          <w:szCs w:val="22"/>
          <w:vertAlign w:val="subscript"/>
          <w:lang w:val="sk-SK" w:eastAsia="en-GB"/>
        </w:rPr>
        <w:t>2</w:t>
      </w:r>
      <w:r w:rsidR="00B95C88" w:rsidRPr="00044184">
        <w:rPr>
          <w:szCs w:val="22"/>
          <w:lang w:val="sk-SK" w:eastAsia="en-GB"/>
        </w:rPr>
        <w:noBreakHyphen/>
        <w:t>receptorov a s antacidmi nie je známy</w:t>
      </w:r>
      <w:r w:rsidRPr="00044184">
        <w:rPr>
          <w:szCs w:val="22"/>
          <w:lang w:val="sk-SK" w:eastAsia="en-GB"/>
        </w:rPr>
        <w:t xml:space="preserve">; </w:t>
      </w:r>
      <w:r w:rsidR="00B95C88" w:rsidRPr="00044184">
        <w:rPr>
          <w:szCs w:val="22"/>
          <w:lang w:val="sk-SK" w:eastAsia="en-GB"/>
        </w:rPr>
        <w:t>je však pravdepodobné zníženie biologickej dostupnosti</w:t>
      </w:r>
      <w:r w:rsidRPr="00044184">
        <w:rPr>
          <w:szCs w:val="22"/>
          <w:lang w:val="sk-SK" w:eastAsia="en-GB"/>
        </w:rPr>
        <w:t xml:space="preserve">. </w:t>
      </w:r>
      <w:r w:rsidR="00B95C88" w:rsidRPr="00044184">
        <w:rPr>
          <w:szCs w:val="22"/>
          <w:lang w:val="sk-SK" w:eastAsia="en-GB"/>
        </w:rPr>
        <w:t>Preto je potrebné vyhnúť sa podávaniu týchto kombinácií</w:t>
      </w:r>
      <w:r w:rsidRPr="00044184">
        <w:rPr>
          <w:szCs w:val="22"/>
          <w:lang w:val="sk-SK" w:eastAsia="en-GB"/>
        </w:rPr>
        <w:t xml:space="preserve"> (</w:t>
      </w:r>
      <w:r w:rsidR="00B95C88" w:rsidRPr="00044184">
        <w:rPr>
          <w:szCs w:val="22"/>
          <w:lang w:val="sk-SK" w:eastAsia="en-GB"/>
        </w:rPr>
        <w:t>pozri časť </w:t>
      </w:r>
      <w:r w:rsidRPr="00044184">
        <w:rPr>
          <w:szCs w:val="22"/>
          <w:lang w:val="sk-SK" w:eastAsia="en-GB"/>
        </w:rPr>
        <w:t xml:space="preserve">4.5). </w:t>
      </w:r>
      <w:r w:rsidR="003B61C0" w:rsidRPr="00044184">
        <w:rPr>
          <w:szCs w:val="22"/>
          <w:lang w:val="sk-SK" w:eastAsia="en-GB"/>
        </w:rPr>
        <w:t>A</w:t>
      </w:r>
      <w:r w:rsidR="00343A1A" w:rsidRPr="00044184">
        <w:rPr>
          <w:szCs w:val="22"/>
          <w:lang w:val="sk-SK" w:eastAsia="en-GB"/>
        </w:rPr>
        <w:t>k sa použitie antac</w:t>
      </w:r>
      <w:r w:rsidR="00BB1520" w:rsidRPr="00044184">
        <w:rPr>
          <w:szCs w:val="22"/>
          <w:lang w:val="sk-SK" w:eastAsia="en-GB"/>
        </w:rPr>
        <w:t>í</w:t>
      </w:r>
      <w:r w:rsidR="00343A1A" w:rsidRPr="00044184">
        <w:rPr>
          <w:szCs w:val="22"/>
          <w:lang w:val="sk-SK" w:eastAsia="en-GB"/>
        </w:rPr>
        <w:t xml:space="preserve">d počas liečby </w:t>
      </w:r>
      <w:r w:rsidR="004E3C8F" w:rsidRPr="00044184">
        <w:rPr>
          <w:szCs w:val="22"/>
          <w:lang w:val="sk-SK" w:eastAsia="en-GB"/>
        </w:rPr>
        <w:t>E</w:t>
      </w:r>
      <w:r w:rsidR="00343A1A" w:rsidRPr="00044184">
        <w:rPr>
          <w:szCs w:val="22"/>
          <w:lang w:val="sk-SK" w:eastAsia="en-GB"/>
        </w:rPr>
        <w:t xml:space="preserve">rlotinibom </w:t>
      </w:r>
      <w:r w:rsidR="004E3C8F" w:rsidRPr="00044184">
        <w:rPr>
          <w:szCs w:val="22"/>
          <w:lang w:val="sk-SK" w:eastAsia="en-GB"/>
        </w:rPr>
        <w:t xml:space="preserve">STADA </w:t>
      </w:r>
      <w:r w:rsidR="00343A1A" w:rsidRPr="00044184">
        <w:rPr>
          <w:szCs w:val="22"/>
          <w:lang w:val="sk-SK" w:eastAsia="en-GB"/>
        </w:rPr>
        <w:t>považuje za nevyhnutné, majú sa užívať aspoň 4 hodiny pred</w:t>
      </w:r>
      <w:r w:rsidR="00B93B16">
        <w:rPr>
          <w:szCs w:val="22"/>
          <w:lang w:val="sk-SK" w:eastAsia="en-GB"/>
        </w:rPr>
        <w:t> </w:t>
      </w:r>
      <w:r w:rsidR="00343A1A" w:rsidRPr="00044184">
        <w:rPr>
          <w:szCs w:val="22"/>
          <w:lang w:val="sk-SK" w:eastAsia="en-GB"/>
        </w:rPr>
        <w:t>podaním dennej dávky Erlotinibu </w:t>
      </w:r>
      <w:r w:rsidR="00695459" w:rsidRPr="00044184">
        <w:rPr>
          <w:szCs w:val="22"/>
          <w:lang w:val="sk-SK" w:eastAsia="en-GB"/>
        </w:rPr>
        <w:t>STADA</w:t>
      </w:r>
      <w:r w:rsidR="00343A1A" w:rsidRPr="00044184">
        <w:rPr>
          <w:szCs w:val="22"/>
          <w:lang w:val="sk-SK" w:eastAsia="en-GB"/>
        </w:rPr>
        <w:t xml:space="preserve"> alebo 2 hodiny po jej podaní</w:t>
      </w:r>
      <w:r w:rsidRPr="00044184">
        <w:rPr>
          <w:szCs w:val="22"/>
          <w:lang w:val="sk-SK" w:eastAsia="en-GB"/>
        </w:rPr>
        <w:t>.</w:t>
      </w: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 w:eastAsia="en-GB"/>
        </w:rPr>
      </w:pPr>
    </w:p>
    <w:p w:rsidR="004E3C8F" w:rsidRPr="00044184" w:rsidRDefault="004E3C8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 w:eastAsia="en-GB"/>
        </w:rPr>
      </w:pPr>
      <w:r w:rsidRPr="00044184">
        <w:rPr>
          <w:b/>
          <w:szCs w:val="22"/>
          <w:lang w:val="sk-SK" w:eastAsia="en-GB"/>
        </w:rPr>
        <w:t>Tablety obsahujú laktózu</w:t>
      </w:r>
    </w:p>
    <w:p w:rsidR="00A140DF" w:rsidRPr="00044184" w:rsidRDefault="004E3C8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044184">
        <w:rPr>
          <w:lang w:val="sk-SK"/>
        </w:rPr>
        <w:t>Pacienti so zriedkavými dedičnými problémami galaktózovej intolerancie, lapónskeho deficitu laktázy alebo glukózo-galaktózovej malabsorpcie nesmú užívať tento liek.</w:t>
      </w:r>
    </w:p>
    <w:p w:rsidR="004E3C8F" w:rsidRPr="00044184" w:rsidRDefault="004E3C8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4.5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Liekové a iné interakcie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6B10E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Interakčné štúdie sa uskutočnili len u dospelých</w:t>
      </w:r>
      <w:r w:rsidR="00A140DF" w:rsidRPr="00044184">
        <w:rPr>
          <w:szCs w:val="22"/>
          <w:lang w:val="sk-SK"/>
        </w:rPr>
        <w:t>.</w:t>
      </w:r>
    </w:p>
    <w:p w:rsidR="00A140DF" w:rsidRPr="00044184" w:rsidRDefault="00A140DF" w:rsidP="00695459">
      <w:pPr>
        <w:spacing w:line="240" w:lineRule="auto"/>
        <w:rPr>
          <w:szCs w:val="22"/>
          <w:lang w:val="sk-SK"/>
        </w:rPr>
      </w:pPr>
    </w:p>
    <w:p w:rsidR="00A140DF" w:rsidRPr="00044184" w:rsidRDefault="00A140D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</w:t>
      </w:r>
      <w:r w:rsidR="00A02B83" w:rsidRPr="00044184">
        <w:rPr>
          <w:szCs w:val="22"/>
          <w:u w:val="single"/>
          <w:lang w:val="sk-SK" w:eastAsia="en-GB"/>
        </w:rPr>
        <w:t> iné substráty</w:t>
      </w:r>
      <w:r w:rsidRPr="00044184">
        <w:rPr>
          <w:szCs w:val="22"/>
          <w:u w:val="single"/>
          <w:lang w:val="sk-SK" w:eastAsia="en-GB"/>
        </w:rPr>
        <w:t xml:space="preserve"> CYP</w:t>
      </w:r>
    </w:p>
    <w:p w:rsidR="00A140DF" w:rsidRPr="00044184" w:rsidRDefault="00A02B8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 podmienkach </w:t>
      </w:r>
      <w:r w:rsidRPr="00044184">
        <w:rPr>
          <w:i/>
          <w:szCs w:val="22"/>
          <w:lang w:val="sk-SK" w:eastAsia="en-GB"/>
        </w:rPr>
        <w:t xml:space="preserve">in vitro </w:t>
      </w:r>
      <w:r w:rsidR="00A36E35" w:rsidRPr="00044184">
        <w:rPr>
          <w:szCs w:val="22"/>
          <w:lang w:val="sk-SK" w:eastAsia="en-GB"/>
        </w:rPr>
        <w:t>je e</w:t>
      </w:r>
      <w:r w:rsidR="00A140DF" w:rsidRPr="00044184">
        <w:rPr>
          <w:szCs w:val="22"/>
          <w:lang w:val="sk-SK" w:eastAsia="en-GB"/>
        </w:rPr>
        <w:t xml:space="preserve">rlotinib </w:t>
      </w:r>
      <w:r w:rsidR="00A36E35" w:rsidRPr="00044184">
        <w:rPr>
          <w:szCs w:val="22"/>
          <w:lang w:val="sk-SK" w:eastAsia="en-GB"/>
        </w:rPr>
        <w:t>s</w:t>
      </w:r>
      <w:r w:rsidRPr="00044184">
        <w:rPr>
          <w:szCs w:val="22"/>
          <w:lang w:val="sk-SK" w:eastAsia="en-GB"/>
        </w:rPr>
        <w:t>ilný</w:t>
      </w:r>
      <w:r w:rsidR="00086AB7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 xml:space="preserve"> inhibítor</w:t>
      </w:r>
      <w:r w:rsidR="00086AB7" w:rsidRPr="00044184">
        <w:rPr>
          <w:szCs w:val="22"/>
          <w:lang w:val="sk-SK" w:eastAsia="en-GB"/>
        </w:rPr>
        <w:t>om</w:t>
      </w:r>
      <w:r w:rsidRPr="00044184">
        <w:rPr>
          <w:szCs w:val="22"/>
          <w:lang w:val="sk-SK" w:eastAsia="en-GB"/>
        </w:rPr>
        <w:t xml:space="preserve"> </w:t>
      </w:r>
      <w:r w:rsidR="00A140DF" w:rsidRPr="00044184">
        <w:rPr>
          <w:szCs w:val="22"/>
          <w:lang w:val="sk-SK" w:eastAsia="en-GB"/>
        </w:rPr>
        <w:t>CYP1A1 a</w:t>
      </w:r>
      <w:r w:rsidRPr="00044184">
        <w:rPr>
          <w:szCs w:val="22"/>
          <w:lang w:val="sk-SK" w:eastAsia="en-GB"/>
        </w:rPr>
        <w:t> stredne silný</w:t>
      </w:r>
      <w:r w:rsidR="00086AB7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 xml:space="preserve"> </w:t>
      </w:r>
      <w:r w:rsidR="00A140DF" w:rsidRPr="00044184">
        <w:rPr>
          <w:szCs w:val="22"/>
          <w:lang w:val="sk-SK" w:eastAsia="en-GB"/>
        </w:rPr>
        <w:t>inhib</w:t>
      </w:r>
      <w:r w:rsidRPr="00044184">
        <w:rPr>
          <w:szCs w:val="22"/>
          <w:lang w:val="sk-SK" w:eastAsia="en-GB"/>
        </w:rPr>
        <w:t>í</w:t>
      </w:r>
      <w:r w:rsidR="00A140DF" w:rsidRPr="00044184">
        <w:rPr>
          <w:szCs w:val="22"/>
          <w:lang w:val="sk-SK" w:eastAsia="en-GB"/>
        </w:rPr>
        <w:t>tor</w:t>
      </w:r>
      <w:r w:rsidR="00086AB7" w:rsidRPr="00044184">
        <w:rPr>
          <w:szCs w:val="22"/>
          <w:lang w:val="sk-SK" w:eastAsia="en-GB"/>
        </w:rPr>
        <w:t>om</w:t>
      </w:r>
      <w:r w:rsidR="00A140DF" w:rsidRPr="00044184">
        <w:rPr>
          <w:szCs w:val="22"/>
          <w:lang w:val="sk-SK" w:eastAsia="en-GB"/>
        </w:rPr>
        <w:t xml:space="preserve"> CYP3A4 a CYP2C8, a</w:t>
      </w:r>
      <w:r w:rsidRPr="00044184">
        <w:rPr>
          <w:szCs w:val="22"/>
          <w:lang w:val="sk-SK" w:eastAsia="en-GB"/>
        </w:rPr>
        <w:t>ko aj silný</w:t>
      </w:r>
      <w:r w:rsidR="00086AB7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 xml:space="preserve"> </w:t>
      </w:r>
      <w:r w:rsidR="00A140DF" w:rsidRPr="00044184">
        <w:rPr>
          <w:szCs w:val="22"/>
          <w:lang w:val="sk-SK" w:eastAsia="en-GB"/>
        </w:rPr>
        <w:t>inhib</w:t>
      </w:r>
      <w:r w:rsidRPr="00044184">
        <w:rPr>
          <w:szCs w:val="22"/>
          <w:lang w:val="sk-SK" w:eastAsia="en-GB"/>
        </w:rPr>
        <w:t>í</w:t>
      </w:r>
      <w:r w:rsidR="00A140DF" w:rsidRPr="00044184">
        <w:rPr>
          <w:szCs w:val="22"/>
          <w:lang w:val="sk-SK" w:eastAsia="en-GB"/>
        </w:rPr>
        <w:t>tor</w:t>
      </w:r>
      <w:r w:rsidR="00086AB7" w:rsidRPr="00044184">
        <w:rPr>
          <w:szCs w:val="22"/>
          <w:lang w:val="sk-SK" w:eastAsia="en-GB"/>
        </w:rPr>
        <w:t>om</w:t>
      </w:r>
      <w:r w:rsidR="00A140DF" w:rsidRPr="00044184">
        <w:rPr>
          <w:szCs w:val="22"/>
          <w:lang w:val="sk-SK" w:eastAsia="en-GB"/>
        </w:rPr>
        <w:t xml:space="preserve"> glu</w:t>
      </w:r>
      <w:r w:rsidRPr="00044184">
        <w:rPr>
          <w:szCs w:val="22"/>
          <w:lang w:val="sk-SK" w:eastAsia="en-GB"/>
        </w:rPr>
        <w:t>k</w:t>
      </w:r>
      <w:r w:rsidR="00A140DF" w:rsidRPr="00044184">
        <w:rPr>
          <w:szCs w:val="22"/>
          <w:lang w:val="sk-SK" w:eastAsia="en-GB"/>
        </w:rPr>
        <w:t>uronid</w:t>
      </w:r>
      <w:r w:rsidRPr="00044184">
        <w:rPr>
          <w:szCs w:val="22"/>
          <w:lang w:val="sk-SK" w:eastAsia="en-GB"/>
        </w:rPr>
        <w:t xml:space="preserve">ácie sprostredkovanej </w:t>
      </w:r>
      <w:r w:rsidR="00A140DF" w:rsidRPr="00044184">
        <w:rPr>
          <w:szCs w:val="22"/>
          <w:lang w:val="sk-SK" w:eastAsia="en-GB"/>
        </w:rPr>
        <w:t>UGT1A1.</w:t>
      </w:r>
    </w:p>
    <w:p w:rsidR="00A140DF" w:rsidRPr="00044184" w:rsidRDefault="00086AB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Fyziologický význam silnej inhibície </w:t>
      </w:r>
      <w:r w:rsidR="00A140DF" w:rsidRPr="00044184">
        <w:rPr>
          <w:szCs w:val="22"/>
          <w:lang w:val="sk-SK" w:eastAsia="en-GB"/>
        </w:rPr>
        <w:t>CYP1A1</w:t>
      </w:r>
      <w:r w:rsidRPr="00044184">
        <w:rPr>
          <w:szCs w:val="22"/>
          <w:lang w:val="sk-SK" w:eastAsia="en-GB"/>
        </w:rPr>
        <w:t xml:space="preserve"> nie je známy z dôvodu veľmi obmedzenej expresie</w:t>
      </w:r>
      <w:r w:rsidR="00A140DF" w:rsidRPr="00044184">
        <w:rPr>
          <w:szCs w:val="22"/>
          <w:lang w:val="sk-SK" w:eastAsia="en-GB"/>
        </w:rPr>
        <w:t xml:space="preserve"> CYP1A1 </w:t>
      </w:r>
      <w:r w:rsidRPr="00044184">
        <w:rPr>
          <w:szCs w:val="22"/>
          <w:lang w:val="sk-SK" w:eastAsia="en-GB"/>
        </w:rPr>
        <w:t>v ľudských tkanivách</w:t>
      </w:r>
      <w:r w:rsidR="00A140DF" w:rsidRPr="00044184">
        <w:rPr>
          <w:szCs w:val="22"/>
          <w:lang w:val="sk-SK" w:eastAsia="en-GB"/>
        </w:rPr>
        <w:t>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A140DF" w:rsidRPr="00044184" w:rsidRDefault="00086AB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Keď sa erlotinib podával súbežne s </w:t>
      </w:r>
      <w:r w:rsidR="00A140DF" w:rsidRPr="00044184">
        <w:rPr>
          <w:szCs w:val="22"/>
          <w:lang w:val="sk-SK" w:eastAsia="en-GB"/>
        </w:rPr>
        <w:t>ciprofloxac</w:t>
      </w:r>
      <w:r w:rsidRPr="00044184">
        <w:rPr>
          <w:szCs w:val="22"/>
          <w:lang w:val="sk-SK" w:eastAsia="en-GB"/>
        </w:rPr>
        <w:t>ínom, stredne silným inhibítorom</w:t>
      </w:r>
      <w:r w:rsidR="00A140DF" w:rsidRPr="00044184">
        <w:rPr>
          <w:szCs w:val="22"/>
          <w:lang w:val="sk-SK" w:eastAsia="en-GB"/>
        </w:rPr>
        <w:t xml:space="preserve"> CYP1A2, </w:t>
      </w:r>
      <w:r w:rsidRPr="00044184">
        <w:rPr>
          <w:szCs w:val="22"/>
          <w:lang w:val="sk-SK" w:eastAsia="en-GB"/>
        </w:rPr>
        <w:t>expozíci</w:t>
      </w:r>
      <w:r w:rsidR="00D52D09" w:rsidRPr="00044184">
        <w:rPr>
          <w:szCs w:val="22"/>
          <w:lang w:val="sk-SK" w:eastAsia="en-GB"/>
        </w:rPr>
        <w:t>a</w:t>
      </w:r>
      <w:r w:rsidR="00A140DF" w:rsidRPr="00044184">
        <w:rPr>
          <w:szCs w:val="22"/>
          <w:lang w:val="sk-SK" w:eastAsia="en-GB"/>
        </w:rPr>
        <w:t xml:space="preserve"> erlotinib</w:t>
      </w:r>
      <w:r w:rsidRPr="00044184">
        <w:rPr>
          <w:szCs w:val="22"/>
          <w:lang w:val="sk-SK" w:eastAsia="en-GB"/>
        </w:rPr>
        <w:t>u</w:t>
      </w:r>
      <w:r w:rsidR="00A140DF" w:rsidRPr="00044184">
        <w:rPr>
          <w:szCs w:val="22"/>
          <w:lang w:val="sk-SK" w:eastAsia="en-GB"/>
        </w:rPr>
        <w:t xml:space="preserve"> [AUC] </w:t>
      </w:r>
      <w:r w:rsidR="00D52D09" w:rsidRPr="00044184">
        <w:rPr>
          <w:szCs w:val="22"/>
          <w:lang w:val="sk-SK" w:eastAsia="en-GB"/>
        </w:rPr>
        <w:t xml:space="preserve">sa významne zvýšila </w:t>
      </w:r>
      <w:r w:rsidRPr="00044184">
        <w:rPr>
          <w:szCs w:val="22"/>
          <w:lang w:val="sk-SK" w:eastAsia="en-GB"/>
        </w:rPr>
        <w:t>o </w:t>
      </w:r>
      <w:r w:rsidR="00A140DF" w:rsidRPr="00044184">
        <w:rPr>
          <w:szCs w:val="22"/>
          <w:lang w:val="sk-SK" w:eastAsia="en-GB"/>
        </w:rPr>
        <w:t>39</w:t>
      </w:r>
      <w:r w:rsidRPr="00044184">
        <w:rPr>
          <w:szCs w:val="22"/>
          <w:lang w:val="sk-SK" w:eastAsia="en-GB"/>
        </w:rPr>
        <w:t> </w:t>
      </w:r>
      <w:r w:rsidR="00A140DF" w:rsidRPr="00044184">
        <w:rPr>
          <w:szCs w:val="22"/>
          <w:lang w:val="sk-SK" w:eastAsia="en-GB"/>
        </w:rPr>
        <w:t xml:space="preserve">%, </w:t>
      </w:r>
      <w:r w:rsidR="00D52D09" w:rsidRPr="00044184">
        <w:rPr>
          <w:szCs w:val="22"/>
          <w:lang w:val="sk-SK" w:eastAsia="en-GB"/>
        </w:rPr>
        <w:t xml:space="preserve">ale nezistila sa žiadna štatisticky významná zmena </w:t>
      </w:r>
      <w:r w:rsidR="00A140DF" w:rsidRPr="00044184">
        <w:rPr>
          <w:szCs w:val="22"/>
          <w:lang w:val="sk-SK" w:eastAsia="en-GB"/>
        </w:rPr>
        <w:t>C</w:t>
      </w:r>
      <w:r w:rsidR="00A140DF" w:rsidRPr="00044184">
        <w:rPr>
          <w:szCs w:val="22"/>
          <w:vertAlign w:val="subscript"/>
          <w:lang w:val="sk-SK" w:eastAsia="en-GB"/>
        </w:rPr>
        <w:t>max</w:t>
      </w:r>
      <w:r w:rsidR="00D52D09" w:rsidRPr="00044184">
        <w:rPr>
          <w:szCs w:val="22"/>
          <w:lang w:val="sk-SK" w:eastAsia="en-GB"/>
        </w:rPr>
        <w:t>.</w:t>
      </w:r>
      <w:r w:rsidR="00A140DF" w:rsidRPr="00044184">
        <w:rPr>
          <w:szCs w:val="22"/>
          <w:lang w:val="sk-SK" w:eastAsia="en-GB"/>
        </w:rPr>
        <w:t xml:space="preserve"> </w:t>
      </w:r>
      <w:r w:rsidR="003532C8" w:rsidRPr="00044184">
        <w:rPr>
          <w:szCs w:val="22"/>
          <w:lang w:val="sk-SK" w:eastAsia="en-GB"/>
        </w:rPr>
        <w:t>Podobne</w:t>
      </w:r>
      <w:r w:rsidR="006C7354" w:rsidRPr="00044184">
        <w:rPr>
          <w:szCs w:val="22"/>
          <w:lang w:val="sk-SK" w:eastAsia="en-GB"/>
        </w:rPr>
        <w:t xml:space="preserve"> sa zvýšila expozícia aktívnemu metabolitu, a to </w:t>
      </w:r>
      <w:r w:rsidR="00C615DF" w:rsidRPr="00044184">
        <w:rPr>
          <w:szCs w:val="22"/>
          <w:lang w:val="sk-SK" w:eastAsia="en-GB"/>
        </w:rPr>
        <w:t xml:space="preserve">približne o 60 % </w:t>
      </w:r>
      <w:r w:rsidR="006C7354" w:rsidRPr="00044184">
        <w:rPr>
          <w:szCs w:val="22"/>
          <w:lang w:val="sk-SK" w:eastAsia="en-GB"/>
        </w:rPr>
        <w:t xml:space="preserve">v prípade AUC </w:t>
      </w:r>
      <w:r w:rsidR="00C615DF" w:rsidRPr="00044184">
        <w:rPr>
          <w:szCs w:val="22"/>
          <w:lang w:val="sk-SK" w:eastAsia="en-GB"/>
        </w:rPr>
        <w:t xml:space="preserve">a približne o 48 % v prípade </w:t>
      </w:r>
      <w:r w:rsidR="00A140DF" w:rsidRPr="00044184">
        <w:rPr>
          <w:szCs w:val="22"/>
          <w:lang w:val="sk-SK" w:eastAsia="en-GB"/>
        </w:rPr>
        <w:t>C</w:t>
      </w:r>
      <w:r w:rsidR="00A140DF" w:rsidRPr="00044184">
        <w:rPr>
          <w:szCs w:val="22"/>
          <w:vertAlign w:val="subscript"/>
          <w:lang w:val="sk-SK" w:eastAsia="en-GB"/>
        </w:rPr>
        <w:t>max</w:t>
      </w:r>
      <w:r w:rsidR="00A140DF" w:rsidRPr="00044184">
        <w:rPr>
          <w:szCs w:val="22"/>
          <w:lang w:val="sk-SK" w:eastAsia="en-GB"/>
        </w:rPr>
        <w:t xml:space="preserve">. </w:t>
      </w:r>
      <w:r w:rsidR="006B70E2" w:rsidRPr="00044184">
        <w:rPr>
          <w:szCs w:val="22"/>
          <w:lang w:val="sk-SK" w:eastAsia="en-GB"/>
        </w:rPr>
        <w:t>Klinický význam tohto zvýšenia nebol stanovený</w:t>
      </w:r>
      <w:r w:rsidR="00A140DF" w:rsidRPr="00044184">
        <w:rPr>
          <w:szCs w:val="22"/>
          <w:lang w:val="sk-SK" w:eastAsia="en-GB"/>
        </w:rPr>
        <w:t xml:space="preserve">. </w:t>
      </w:r>
      <w:r w:rsidR="006B70E2" w:rsidRPr="00044184">
        <w:rPr>
          <w:szCs w:val="22"/>
          <w:lang w:val="sk-SK" w:eastAsia="en-GB"/>
        </w:rPr>
        <w:t xml:space="preserve">Pri podávaní </w:t>
      </w:r>
      <w:r w:rsidR="00C615DF" w:rsidRPr="00044184">
        <w:rPr>
          <w:szCs w:val="22"/>
          <w:lang w:val="sk-SK" w:eastAsia="en-GB"/>
        </w:rPr>
        <w:t>erlotinibu v kombinácii s </w:t>
      </w:r>
      <w:r w:rsidR="00A140DF" w:rsidRPr="00044184">
        <w:rPr>
          <w:szCs w:val="22"/>
          <w:lang w:val="sk-SK" w:eastAsia="en-GB"/>
        </w:rPr>
        <w:t>ciprofloxac</w:t>
      </w:r>
      <w:r w:rsidR="00C615DF" w:rsidRPr="00044184">
        <w:rPr>
          <w:szCs w:val="22"/>
          <w:lang w:val="sk-SK" w:eastAsia="en-GB"/>
        </w:rPr>
        <w:t>í</w:t>
      </w:r>
      <w:r w:rsidR="00A140DF" w:rsidRPr="00044184">
        <w:rPr>
          <w:szCs w:val="22"/>
          <w:lang w:val="sk-SK" w:eastAsia="en-GB"/>
        </w:rPr>
        <w:t>n</w:t>
      </w:r>
      <w:r w:rsidR="00C615DF" w:rsidRPr="00044184">
        <w:rPr>
          <w:szCs w:val="22"/>
          <w:lang w:val="sk-SK" w:eastAsia="en-GB"/>
        </w:rPr>
        <w:t>om alebo silnými inhibítormi</w:t>
      </w:r>
      <w:r w:rsidR="00A140DF" w:rsidRPr="00044184">
        <w:rPr>
          <w:szCs w:val="22"/>
          <w:lang w:val="sk-SK" w:eastAsia="en-GB"/>
        </w:rPr>
        <w:t xml:space="preserve"> CYP1A2 (</w:t>
      </w:r>
      <w:r w:rsidR="00C615DF" w:rsidRPr="00044184">
        <w:rPr>
          <w:szCs w:val="22"/>
          <w:lang w:val="sk-SK" w:eastAsia="en-GB"/>
        </w:rPr>
        <w:t>napr.</w:t>
      </w:r>
      <w:r w:rsidR="00A140DF" w:rsidRPr="00044184">
        <w:rPr>
          <w:szCs w:val="22"/>
          <w:lang w:val="sk-SK" w:eastAsia="en-GB"/>
        </w:rPr>
        <w:t xml:space="preserve"> fluvoxam</w:t>
      </w:r>
      <w:r w:rsidR="00C615DF" w:rsidRPr="00044184">
        <w:rPr>
          <w:szCs w:val="22"/>
          <w:lang w:val="sk-SK" w:eastAsia="en-GB"/>
        </w:rPr>
        <w:t>í</w:t>
      </w:r>
      <w:r w:rsidR="00A140DF" w:rsidRPr="00044184">
        <w:rPr>
          <w:szCs w:val="22"/>
          <w:lang w:val="sk-SK" w:eastAsia="en-GB"/>
        </w:rPr>
        <w:t>n</w:t>
      </w:r>
      <w:r w:rsidR="00C615DF" w:rsidRPr="00044184">
        <w:rPr>
          <w:szCs w:val="22"/>
          <w:lang w:val="sk-SK" w:eastAsia="en-GB"/>
        </w:rPr>
        <w:t>om</w:t>
      </w:r>
      <w:r w:rsidR="00A140DF" w:rsidRPr="00044184">
        <w:rPr>
          <w:szCs w:val="22"/>
          <w:lang w:val="sk-SK" w:eastAsia="en-GB"/>
        </w:rPr>
        <w:t>)</w:t>
      </w:r>
      <w:r w:rsidR="00C615DF" w:rsidRPr="00044184">
        <w:rPr>
          <w:szCs w:val="22"/>
          <w:lang w:val="sk-SK" w:eastAsia="en-GB"/>
        </w:rPr>
        <w:t xml:space="preserve"> je potrebná obozretnosť</w:t>
      </w:r>
      <w:r w:rsidR="00A140DF" w:rsidRPr="00044184">
        <w:rPr>
          <w:szCs w:val="22"/>
          <w:lang w:val="sk-SK" w:eastAsia="en-GB"/>
        </w:rPr>
        <w:t xml:space="preserve">. </w:t>
      </w:r>
      <w:r w:rsidR="00C615DF" w:rsidRPr="00044184">
        <w:rPr>
          <w:szCs w:val="22"/>
          <w:lang w:val="sk-SK" w:eastAsia="en-GB"/>
        </w:rPr>
        <w:t>Ak sa vyskytnú nežiaduce reakcie súvisiace s erlotinibom, dávka erlotinibu sa môže znížiť</w:t>
      </w:r>
      <w:r w:rsidR="00A140DF" w:rsidRPr="00044184">
        <w:rPr>
          <w:szCs w:val="22"/>
          <w:lang w:val="sk-SK" w:eastAsia="en-GB"/>
        </w:rPr>
        <w:t>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A140DF" w:rsidRPr="00044184" w:rsidRDefault="00760BF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 xml:space="preserve">Predchádzajúca alebo súbežná liečba </w:t>
      </w:r>
      <w:r w:rsidR="00630AB1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>rlotinib</w:t>
      </w:r>
      <w:r w:rsidR="00825A68">
        <w:rPr>
          <w:szCs w:val="22"/>
          <w:lang w:val="sk-SK" w:eastAsia="en-GB"/>
        </w:rPr>
        <w:t>om</w:t>
      </w:r>
      <w:r w:rsidR="00630AB1">
        <w:rPr>
          <w:szCs w:val="22"/>
          <w:lang w:val="sk-SK" w:eastAsia="en-GB"/>
        </w:rPr>
        <w:t xml:space="preserve"> STADA</w:t>
      </w:r>
      <w:r w:rsidRPr="00044184">
        <w:rPr>
          <w:szCs w:val="22"/>
          <w:lang w:val="sk-SK" w:eastAsia="en-GB"/>
        </w:rPr>
        <w:t xml:space="preserve"> nezmenila klírens prototypických substrátov </w:t>
      </w:r>
      <w:r w:rsidR="00A140DF" w:rsidRPr="00044184">
        <w:rPr>
          <w:szCs w:val="22"/>
          <w:lang w:val="sk-SK" w:eastAsia="en-GB"/>
        </w:rPr>
        <w:t>CYP3A4</w:t>
      </w:r>
      <w:r w:rsidRPr="00044184">
        <w:rPr>
          <w:szCs w:val="22"/>
          <w:lang w:val="sk-SK" w:eastAsia="en-GB"/>
        </w:rPr>
        <w:t xml:space="preserve"> midazolamu a erytromycínu, ale zrejme znížila perorálnu biologickú dostupnosť </w:t>
      </w:r>
      <w:r w:rsidR="00A140DF" w:rsidRPr="00044184">
        <w:rPr>
          <w:szCs w:val="22"/>
          <w:lang w:val="sk-SK" w:eastAsia="en-GB"/>
        </w:rPr>
        <w:t>midazolam</w:t>
      </w:r>
      <w:r w:rsidRPr="00044184">
        <w:rPr>
          <w:szCs w:val="22"/>
          <w:lang w:val="sk-SK" w:eastAsia="en-GB"/>
        </w:rPr>
        <w:t>u až o </w:t>
      </w:r>
      <w:r w:rsidR="00A140DF" w:rsidRPr="00044184">
        <w:rPr>
          <w:szCs w:val="22"/>
          <w:lang w:val="sk-SK" w:eastAsia="en-GB"/>
        </w:rPr>
        <w:t>24</w:t>
      </w:r>
      <w:r w:rsidRPr="00044184">
        <w:rPr>
          <w:szCs w:val="22"/>
          <w:lang w:val="sk-SK" w:eastAsia="en-GB"/>
        </w:rPr>
        <w:t> </w:t>
      </w:r>
      <w:r w:rsidR="00A140DF" w:rsidRPr="00044184">
        <w:rPr>
          <w:szCs w:val="22"/>
          <w:lang w:val="sk-SK" w:eastAsia="en-GB"/>
        </w:rPr>
        <w:t xml:space="preserve">%. </w:t>
      </w:r>
      <w:r w:rsidRPr="00044184">
        <w:rPr>
          <w:szCs w:val="22"/>
          <w:lang w:val="sk-SK" w:eastAsia="en-GB"/>
        </w:rPr>
        <w:t xml:space="preserve">V ďalšej klinickej štúdii sa preukázalo, že </w:t>
      </w:r>
      <w:r w:rsidR="00A140DF" w:rsidRPr="00044184">
        <w:rPr>
          <w:szCs w:val="22"/>
          <w:lang w:val="sk-SK" w:eastAsia="en-GB"/>
        </w:rPr>
        <w:t xml:space="preserve">erlotinib </w:t>
      </w:r>
      <w:r w:rsidRPr="00044184">
        <w:rPr>
          <w:szCs w:val="22"/>
          <w:lang w:val="sk-SK" w:eastAsia="en-GB"/>
        </w:rPr>
        <w:t>neovplyvňuje far</w:t>
      </w:r>
      <w:r w:rsidR="00A140DF" w:rsidRPr="00044184">
        <w:rPr>
          <w:szCs w:val="22"/>
          <w:lang w:val="sk-SK" w:eastAsia="en-GB"/>
        </w:rPr>
        <w:t>ma</w:t>
      </w:r>
      <w:r w:rsidRPr="00044184">
        <w:rPr>
          <w:szCs w:val="22"/>
          <w:lang w:val="sk-SK" w:eastAsia="en-GB"/>
        </w:rPr>
        <w:t>k</w:t>
      </w:r>
      <w:r w:rsidR="00A140DF" w:rsidRPr="00044184">
        <w:rPr>
          <w:szCs w:val="22"/>
          <w:lang w:val="sk-SK" w:eastAsia="en-GB"/>
        </w:rPr>
        <w:t>okineti</w:t>
      </w:r>
      <w:r w:rsidRPr="00044184">
        <w:rPr>
          <w:szCs w:val="22"/>
          <w:lang w:val="sk-SK" w:eastAsia="en-GB"/>
        </w:rPr>
        <w:t xml:space="preserve">ku súbežne podávaného substrátu </w:t>
      </w:r>
      <w:r w:rsidR="00A140DF" w:rsidRPr="00044184">
        <w:rPr>
          <w:szCs w:val="22"/>
          <w:lang w:val="sk-SK" w:eastAsia="en-GB"/>
        </w:rPr>
        <w:t>CYP3A4/2C8 pa</w:t>
      </w:r>
      <w:r w:rsidRPr="00044184">
        <w:rPr>
          <w:szCs w:val="22"/>
          <w:lang w:val="sk-SK" w:eastAsia="en-GB"/>
        </w:rPr>
        <w:t>k</w:t>
      </w:r>
      <w:r w:rsidR="00A140DF" w:rsidRPr="00044184">
        <w:rPr>
          <w:szCs w:val="22"/>
          <w:lang w:val="sk-SK" w:eastAsia="en-GB"/>
        </w:rPr>
        <w:t>litaxel</w:t>
      </w:r>
      <w:r w:rsidRPr="00044184">
        <w:rPr>
          <w:szCs w:val="22"/>
          <w:lang w:val="sk-SK" w:eastAsia="en-GB"/>
        </w:rPr>
        <w:t>u</w:t>
      </w:r>
      <w:r w:rsidR="00A140D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Významné interakcie na</w:t>
      </w:r>
      <w:r w:rsidR="006622A9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úrovni klírensu s inými substrátmi </w:t>
      </w:r>
      <w:r w:rsidR="00A140DF" w:rsidRPr="00044184">
        <w:rPr>
          <w:szCs w:val="22"/>
          <w:lang w:val="sk-SK" w:eastAsia="en-GB"/>
        </w:rPr>
        <w:t xml:space="preserve">CYP3A4 </w:t>
      </w:r>
      <w:r w:rsidRPr="00044184">
        <w:rPr>
          <w:szCs w:val="22"/>
          <w:lang w:val="sk-SK" w:eastAsia="en-GB"/>
        </w:rPr>
        <w:t>preto nie sú pravdepodobné</w:t>
      </w:r>
      <w:r w:rsidR="00A140DF" w:rsidRPr="00044184">
        <w:rPr>
          <w:szCs w:val="22"/>
          <w:lang w:val="sk-SK" w:eastAsia="en-GB"/>
        </w:rPr>
        <w:t>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951376" w:rsidRPr="00044184" w:rsidRDefault="00760BF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Inhibícia glukuronidácie môže spôsobiť interakcie s liekmi, ktoré sú </w:t>
      </w:r>
      <w:r w:rsidR="00951376" w:rsidRPr="00044184">
        <w:rPr>
          <w:szCs w:val="22"/>
          <w:lang w:val="sk-SK" w:eastAsia="en-GB"/>
        </w:rPr>
        <w:t>substr</w:t>
      </w:r>
      <w:r w:rsidRPr="00044184">
        <w:rPr>
          <w:szCs w:val="22"/>
          <w:lang w:val="sk-SK" w:eastAsia="en-GB"/>
        </w:rPr>
        <w:t>á</w:t>
      </w:r>
      <w:r w:rsidR="00951376" w:rsidRPr="00044184">
        <w:rPr>
          <w:szCs w:val="22"/>
          <w:lang w:val="sk-SK" w:eastAsia="en-GB"/>
        </w:rPr>
        <w:t>t</w:t>
      </w:r>
      <w:r w:rsidRPr="00044184">
        <w:rPr>
          <w:szCs w:val="22"/>
          <w:lang w:val="sk-SK" w:eastAsia="en-GB"/>
        </w:rPr>
        <w:t>mi</w:t>
      </w:r>
      <w:r w:rsidR="00951376" w:rsidRPr="00044184">
        <w:rPr>
          <w:szCs w:val="22"/>
          <w:lang w:val="sk-SK" w:eastAsia="en-GB"/>
        </w:rPr>
        <w:t xml:space="preserve"> UGT1A1 a</w:t>
      </w:r>
      <w:r w:rsidRPr="00044184">
        <w:rPr>
          <w:szCs w:val="22"/>
          <w:lang w:val="sk-SK" w:eastAsia="en-GB"/>
        </w:rPr>
        <w:t> ktoré sa vylučujú výhradne touto dráhou</w:t>
      </w:r>
      <w:r w:rsidR="00951376" w:rsidRPr="00044184">
        <w:rPr>
          <w:szCs w:val="22"/>
          <w:lang w:val="sk-SK" w:eastAsia="en-GB"/>
        </w:rPr>
        <w:t>. Pa</w:t>
      </w:r>
      <w:r w:rsidR="003446FB" w:rsidRPr="00044184">
        <w:rPr>
          <w:szCs w:val="22"/>
          <w:lang w:val="sk-SK" w:eastAsia="en-GB"/>
        </w:rPr>
        <w:t>c</w:t>
      </w:r>
      <w:r w:rsidR="00951376" w:rsidRPr="00044184">
        <w:rPr>
          <w:szCs w:val="22"/>
          <w:lang w:val="sk-SK" w:eastAsia="en-GB"/>
        </w:rPr>
        <w:t>ient</w:t>
      </w:r>
      <w:r w:rsidR="003446FB" w:rsidRPr="00044184">
        <w:rPr>
          <w:szCs w:val="22"/>
          <w:lang w:val="sk-SK" w:eastAsia="en-GB"/>
        </w:rPr>
        <w:t xml:space="preserve">i s nízkou hladinou expresie </w:t>
      </w:r>
      <w:r w:rsidR="00951376" w:rsidRPr="00044184">
        <w:rPr>
          <w:szCs w:val="22"/>
          <w:lang w:val="sk-SK" w:eastAsia="en-GB"/>
        </w:rPr>
        <w:t xml:space="preserve">UGT1A1 </w:t>
      </w:r>
      <w:r w:rsidR="003446FB" w:rsidRPr="00044184">
        <w:rPr>
          <w:szCs w:val="22"/>
          <w:lang w:val="sk-SK" w:eastAsia="en-GB"/>
        </w:rPr>
        <w:t xml:space="preserve">alebo s geneticky podmienenými poruchami </w:t>
      </w:r>
      <w:r w:rsidR="00951376" w:rsidRPr="00044184">
        <w:rPr>
          <w:szCs w:val="22"/>
          <w:lang w:val="sk-SK" w:eastAsia="en-GB"/>
        </w:rPr>
        <w:t>glu</w:t>
      </w:r>
      <w:r w:rsidR="003446FB"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uronid</w:t>
      </w:r>
      <w:r w:rsidR="003446FB" w:rsidRPr="00044184">
        <w:rPr>
          <w:szCs w:val="22"/>
          <w:lang w:val="sk-SK" w:eastAsia="en-GB"/>
        </w:rPr>
        <w:t>ácie</w:t>
      </w:r>
      <w:r w:rsidR="00951376" w:rsidRPr="00044184">
        <w:rPr>
          <w:szCs w:val="22"/>
          <w:lang w:val="sk-SK" w:eastAsia="en-GB"/>
        </w:rPr>
        <w:t xml:space="preserve"> (</w:t>
      </w:r>
      <w:r w:rsidR="003446FB" w:rsidRPr="00044184">
        <w:rPr>
          <w:szCs w:val="22"/>
          <w:lang w:val="sk-SK" w:eastAsia="en-GB"/>
        </w:rPr>
        <w:t xml:space="preserve">napr. </w:t>
      </w:r>
      <w:r w:rsidR="003B1E17" w:rsidRPr="00044184">
        <w:rPr>
          <w:szCs w:val="22"/>
          <w:lang w:val="sk-SK" w:eastAsia="en-GB"/>
        </w:rPr>
        <w:t xml:space="preserve">s </w:t>
      </w:r>
      <w:r w:rsidR="00951376" w:rsidRPr="00044184">
        <w:rPr>
          <w:szCs w:val="22"/>
          <w:lang w:val="sk-SK" w:eastAsia="en-GB"/>
        </w:rPr>
        <w:t>Gilbert</w:t>
      </w:r>
      <w:r w:rsidR="003446FB" w:rsidRPr="00044184">
        <w:rPr>
          <w:szCs w:val="22"/>
          <w:lang w:val="sk-SK" w:eastAsia="en-GB"/>
        </w:rPr>
        <w:t>ov</w:t>
      </w:r>
      <w:r w:rsidR="003B1E17" w:rsidRPr="00044184">
        <w:rPr>
          <w:szCs w:val="22"/>
          <w:lang w:val="sk-SK" w:eastAsia="en-GB"/>
        </w:rPr>
        <w:t>ou</w:t>
      </w:r>
      <w:r w:rsidR="003446FB" w:rsidRPr="00044184">
        <w:rPr>
          <w:szCs w:val="22"/>
          <w:lang w:val="sk-SK" w:eastAsia="en-GB"/>
        </w:rPr>
        <w:t xml:space="preserve"> chorob</w:t>
      </w:r>
      <w:r w:rsidR="003B1E17" w:rsidRPr="00044184">
        <w:rPr>
          <w:szCs w:val="22"/>
          <w:lang w:val="sk-SK" w:eastAsia="en-GB"/>
        </w:rPr>
        <w:t>ou</w:t>
      </w:r>
      <w:r w:rsidR="00951376" w:rsidRPr="00044184">
        <w:rPr>
          <w:szCs w:val="22"/>
          <w:lang w:val="sk-SK" w:eastAsia="en-GB"/>
        </w:rPr>
        <w:t xml:space="preserve">) </w:t>
      </w:r>
      <w:r w:rsidR="006622A9" w:rsidRPr="00044184">
        <w:rPr>
          <w:szCs w:val="22"/>
          <w:lang w:val="sk-SK" w:eastAsia="en-GB"/>
        </w:rPr>
        <w:t>môžu mať zvýšené koncentrácie bilirubínu v sére a musia byť liečení s obozretnosťou</w:t>
      </w:r>
      <w:r w:rsidR="00951376" w:rsidRPr="00044184">
        <w:rPr>
          <w:szCs w:val="22"/>
          <w:lang w:val="sk-SK" w:eastAsia="en-GB"/>
        </w:rPr>
        <w:t>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E506D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U ľudí sa e</w:t>
      </w:r>
      <w:r w:rsidR="00951376" w:rsidRPr="00044184">
        <w:rPr>
          <w:szCs w:val="22"/>
          <w:lang w:val="sk-SK" w:eastAsia="en-GB"/>
        </w:rPr>
        <w:t xml:space="preserve">rlotinib </w:t>
      </w:r>
      <w:r w:rsidR="006622A9" w:rsidRPr="00044184">
        <w:rPr>
          <w:szCs w:val="22"/>
          <w:lang w:val="sk-SK" w:eastAsia="en-GB"/>
        </w:rPr>
        <w:t>metabolizuje v</w:t>
      </w:r>
      <w:r w:rsidRPr="00044184">
        <w:rPr>
          <w:szCs w:val="22"/>
          <w:lang w:val="sk-SK" w:eastAsia="en-GB"/>
        </w:rPr>
        <w:t> </w:t>
      </w:r>
      <w:r w:rsidR="006622A9" w:rsidRPr="00044184">
        <w:rPr>
          <w:szCs w:val="22"/>
          <w:lang w:val="sk-SK" w:eastAsia="en-GB"/>
        </w:rPr>
        <w:t>pečeni</w:t>
      </w:r>
      <w:r w:rsidRPr="00044184">
        <w:rPr>
          <w:szCs w:val="22"/>
          <w:lang w:val="sk-SK" w:eastAsia="en-GB"/>
        </w:rPr>
        <w:t xml:space="preserve"> </w:t>
      </w:r>
      <w:r w:rsidR="005A3EBF" w:rsidRPr="00044184">
        <w:rPr>
          <w:szCs w:val="22"/>
          <w:lang w:val="sk-SK" w:eastAsia="en-GB"/>
        </w:rPr>
        <w:t xml:space="preserve">prostredníctvom </w:t>
      </w:r>
      <w:r w:rsidRPr="00044184">
        <w:rPr>
          <w:szCs w:val="22"/>
          <w:lang w:val="sk-SK" w:eastAsia="en-GB"/>
        </w:rPr>
        <w:t>pečeňových cytochrómov</w:t>
      </w:r>
      <w:r w:rsidR="00951376" w:rsidRPr="00044184">
        <w:rPr>
          <w:szCs w:val="22"/>
          <w:lang w:val="sk-SK" w:eastAsia="en-GB"/>
        </w:rPr>
        <w:t xml:space="preserve">, </w:t>
      </w:r>
      <w:r w:rsidRPr="00044184">
        <w:rPr>
          <w:szCs w:val="22"/>
          <w:lang w:val="sk-SK" w:eastAsia="en-GB"/>
        </w:rPr>
        <w:t xml:space="preserve">hlavne </w:t>
      </w:r>
      <w:r w:rsidR="005A3EBF" w:rsidRPr="00044184">
        <w:rPr>
          <w:szCs w:val="22"/>
          <w:lang w:val="sk-SK" w:eastAsia="en-GB"/>
        </w:rPr>
        <w:t xml:space="preserve">pomocou </w:t>
      </w:r>
      <w:r w:rsidR="00951376" w:rsidRPr="00044184">
        <w:rPr>
          <w:szCs w:val="22"/>
          <w:lang w:val="sk-SK" w:eastAsia="en-GB"/>
        </w:rPr>
        <w:t>CYP3A4 a</w:t>
      </w:r>
      <w:r w:rsidRPr="00044184">
        <w:rPr>
          <w:szCs w:val="22"/>
          <w:lang w:val="sk-SK" w:eastAsia="en-GB"/>
        </w:rPr>
        <w:t> v menšej miere</w:t>
      </w:r>
      <w:r w:rsidR="00951376" w:rsidRPr="00044184">
        <w:rPr>
          <w:szCs w:val="22"/>
          <w:lang w:val="sk-SK" w:eastAsia="en-GB"/>
        </w:rPr>
        <w:t xml:space="preserve"> </w:t>
      </w:r>
      <w:r w:rsidR="005A3EBF" w:rsidRPr="00044184">
        <w:rPr>
          <w:szCs w:val="22"/>
          <w:lang w:val="sk-SK" w:eastAsia="en-GB"/>
        </w:rPr>
        <w:t xml:space="preserve">pomocou </w:t>
      </w:r>
      <w:r w:rsidR="00951376" w:rsidRPr="00044184">
        <w:rPr>
          <w:szCs w:val="22"/>
          <w:lang w:val="sk-SK" w:eastAsia="en-GB"/>
        </w:rPr>
        <w:t xml:space="preserve">CYP1A2. </w:t>
      </w:r>
      <w:r w:rsidRPr="00044184">
        <w:rPr>
          <w:szCs w:val="22"/>
          <w:lang w:val="sk-SK" w:eastAsia="en-GB"/>
        </w:rPr>
        <w:t xml:space="preserve">Extrahepatálny metabolizmus </w:t>
      </w:r>
      <w:r w:rsidR="00EE7858" w:rsidRPr="00044184">
        <w:rPr>
          <w:szCs w:val="22"/>
          <w:lang w:val="sk-SK" w:eastAsia="en-GB"/>
        </w:rPr>
        <w:t xml:space="preserve">sprostredkovaný </w:t>
      </w:r>
      <w:r w:rsidR="00951376" w:rsidRPr="00044184">
        <w:rPr>
          <w:szCs w:val="22"/>
          <w:lang w:val="sk-SK" w:eastAsia="en-GB"/>
        </w:rPr>
        <w:t>CYP3A4</w:t>
      </w:r>
      <w:r w:rsidR="00EE7858" w:rsidRPr="00044184">
        <w:rPr>
          <w:szCs w:val="22"/>
          <w:lang w:val="sk-SK" w:eastAsia="en-GB"/>
        </w:rPr>
        <w:t xml:space="preserve"> v črev</w:t>
      </w:r>
      <w:r w:rsidR="00E658F2" w:rsidRPr="00044184">
        <w:rPr>
          <w:szCs w:val="22"/>
          <w:lang w:val="sk-SK" w:eastAsia="en-GB"/>
        </w:rPr>
        <w:t>ách</w:t>
      </w:r>
      <w:r w:rsidR="00951376" w:rsidRPr="00044184">
        <w:rPr>
          <w:szCs w:val="22"/>
          <w:lang w:val="sk-SK" w:eastAsia="en-GB"/>
        </w:rPr>
        <w:t xml:space="preserve">, CYP1A1 </w:t>
      </w:r>
      <w:r w:rsidR="00EE7858" w:rsidRPr="00044184">
        <w:rPr>
          <w:szCs w:val="22"/>
          <w:lang w:val="sk-SK" w:eastAsia="en-GB"/>
        </w:rPr>
        <w:t xml:space="preserve">v pľúcach a </w:t>
      </w:r>
      <w:r w:rsidR="00951376" w:rsidRPr="00044184">
        <w:rPr>
          <w:szCs w:val="22"/>
          <w:lang w:val="sk-SK" w:eastAsia="en-GB"/>
        </w:rPr>
        <w:t xml:space="preserve">CYP1B1 </w:t>
      </w:r>
      <w:r w:rsidR="00EE7858" w:rsidRPr="00044184">
        <w:rPr>
          <w:szCs w:val="22"/>
          <w:lang w:val="sk-SK" w:eastAsia="en-GB"/>
        </w:rPr>
        <w:t xml:space="preserve">v nádorovom tkanive tiež </w:t>
      </w:r>
      <w:r w:rsidR="003B1E17" w:rsidRPr="00044184">
        <w:rPr>
          <w:szCs w:val="22"/>
          <w:lang w:val="sk-SK" w:eastAsia="en-GB"/>
        </w:rPr>
        <w:t>môže</w:t>
      </w:r>
      <w:r w:rsidR="00EE7858" w:rsidRPr="00044184">
        <w:rPr>
          <w:szCs w:val="22"/>
          <w:lang w:val="sk-SK" w:eastAsia="en-GB"/>
        </w:rPr>
        <w:t xml:space="preserve"> prispieva</w:t>
      </w:r>
      <w:r w:rsidR="003B1E17" w:rsidRPr="00044184">
        <w:rPr>
          <w:szCs w:val="22"/>
          <w:lang w:val="sk-SK" w:eastAsia="en-GB"/>
        </w:rPr>
        <w:t>ť</w:t>
      </w:r>
      <w:r w:rsidR="00EE7858" w:rsidRPr="00044184">
        <w:rPr>
          <w:szCs w:val="22"/>
          <w:lang w:val="sk-SK" w:eastAsia="en-GB"/>
        </w:rPr>
        <w:t xml:space="preserve"> k metabolickému klírensu </w:t>
      </w:r>
      <w:r w:rsidR="00951376" w:rsidRPr="00044184">
        <w:rPr>
          <w:szCs w:val="22"/>
          <w:lang w:val="sk-SK" w:eastAsia="en-GB"/>
        </w:rPr>
        <w:t>erlotinib</w:t>
      </w:r>
      <w:r w:rsidR="00EE7858" w:rsidRPr="00044184">
        <w:rPr>
          <w:szCs w:val="22"/>
          <w:lang w:val="sk-SK" w:eastAsia="en-GB"/>
        </w:rPr>
        <w:t>u. Môžu sa vyskytnúť potenciálne interakcie s liečivami, ktoré sú metabolizované pomocou týchto enzýmov alebo ktoré sú inhibítormi alebo induktormi týchto enzýmov</w:t>
      </w:r>
      <w:r w:rsidR="00951376" w:rsidRPr="00044184">
        <w:rPr>
          <w:szCs w:val="22"/>
          <w:lang w:val="sk-SK" w:eastAsia="en-GB"/>
        </w:rPr>
        <w:t>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EE785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Silné inhibítory aktivity </w:t>
      </w:r>
      <w:r w:rsidR="00951376" w:rsidRPr="00044184">
        <w:rPr>
          <w:szCs w:val="22"/>
          <w:lang w:val="sk-SK" w:eastAsia="en-GB"/>
        </w:rPr>
        <w:t>CYP3A4</w:t>
      </w:r>
      <w:r w:rsidRPr="00044184">
        <w:rPr>
          <w:szCs w:val="22"/>
          <w:lang w:val="sk-SK" w:eastAsia="en-GB"/>
        </w:rPr>
        <w:t xml:space="preserve"> znižuj</w:t>
      </w:r>
      <w:r w:rsidR="003B1E17" w:rsidRPr="00044184">
        <w:rPr>
          <w:szCs w:val="22"/>
          <w:lang w:val="sk-SK" w:eastAsia="en-GB"/>
        </w:rPr>
        <w:t>ú</w:t>
      </w:r>
      <w:r w:rsidRPr="00044184">
        <w:rPr>
          <w:szCs w:val="22"/>
          <w:lang w:val="sk-SK" w:eastAsia="en-GB"/>
        </w:rPr>
        <w:t xml:space="preserve"> metabolizmus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u a zvyšujú plazmatické koncentrácie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95137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klinickej štúdii viedlo súbežné po</w:t>
      </w:r>
      <w:r w:rsidR="000F7885" w:rsidRPr="00044184">
        <w:rPr>
          <w:szCs w:val="22"/>
          <w:lang w:val="sk-SK" w:eastAsia="en-GB"/>
        </w:rPr>
        <w:t>dávanie</w:t>
      </w:r>
      <w:r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s </w:t>
      </w:r>
      <w:r w:rsidR="00951376" w:rsidRPr="00044184">
        <w:rPr>
          <w:szCs w:val="22"/>
          <w:lang w:val="sk-SK" w:eastAsia="en-GB"/>
        </w:rPr>
        <w:t>keto</w:t>
      </w:r>
      <w:r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onazol</w:t>
      </w:r>
      <w:r w:rsidRPr="00044184">
        <w:rPr>
          <w:szCs w:val="22"/>
          <w:lang w:val="sk-SK" w:eastAsia="en-GB"/>
        </w:rPr>
        <w:t>om</w:t>
      </w:r>
      <w:r w:rsidR="00951376" w:rsidRPr="00044184">
        <w:rPr>
          <w:szCs w:val="22"/>
          <w:lang w:val="sk-SK" w:eastAsia="en-GB"/>
        </w:rPr>
        <w:t xml:space="preserve"> (200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mg </w:t>
      </w:r>
      <w:r w:rsidRPr="00044184">
        <w:rPr>
          <w:szCs w:val="22"/>
          <w:lang w:val="sk-SK" w:eastAsia="en-GB"/>
        </w:rPr>
        <w:t>per</w:t>
      </w:r>
      <w:r w:rsidR="00951376" w:rsidRPr="00044184">
        <w:rPr>
          <w:szCs w:val="22"/>
          <w:lang w:val="sk-SK" w:eastAsia="en-GB"/>
        </w:rPr>
        <w:t>or</w:t>
      </w:r>
      <w:r w:rsidRPr="00044184">
        <w:rPr>
          <w:szCs w:val="22"/>
          <w:lang w:val="sk-SK" w:eastAsia="en-GB"/>
        </w:rPr>
        <w:t xml:space="preserve">álne dvakrát denne počas </w:t>
      </w:r>
      <w:r w:rsidR="00951376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d</w:t>
      </w:r>
      <w:r w:rsidRPr="00044184">
        <w:rPr>
          <w:szCs w:val="22"/>
          <w:lang w:val="sk-SK" w:eastAsia="en-GB"/>
        </w:rPr>
        <w:t>ní</w:t>
      </w:r>
      <w:r w:rsidR="00951376" w:rsidRPr="00044184">
        <w:rPr>
          <w:szCs w:val="22"/>
          <w:lang w:val="sk-SK" w:eastAsia="en-GB"/>
        </w:rPr>
        <w:t xml:space="preserve">), </w:t>
      </w:r>
      <w:r w:rsidRPr="00044184">
        <w:rPr>
          <w:szCs w:val="22"/>
          <w:lang w:val="sk-SK" w:eastAsia="en-GB"/>
        </w:rPr>
        <w:t>silným inhibítorom</w:t>
      </w:r>
      <w:r w:rsidR="00951376" w:rsidRPr="00044184">
        <w:rPr>
          <w:szCs w:val="22"/>
          <w:lang w:val="sk-SK" w:eastAsia="en-GB"/>
        </w:rPr>
        <w:t xml:space="preserve"> CYP3A4, </w:t>
      </w:r>
      <w:r w:rsidRPr="00044184">
        <w:rPr>
          <w:szCs w:val="22"/>
          <w:lang w:val="sk-SK" w:eastAsia="en-GB"/>
        </w:rPr>
        <w:t xml:space="preserve">k zvýšeniu expozície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u </w:t>
      </w:r>
      <w:r w:rsidR="00951376" w:rsidRPr="00044184">
        <w:rPr>
          <w:szCs w:val="22"/>
          <w:lang w:val="sk-SK" w:eastAsia="en-GB"/>
        </w:rPr>
        <w:t>(</w:t>
      </w:r>
      <w:r w:rsidR="008A7EC3" w:rsidRPr="00044184">
        <w:rPr>
          <w:szCs w:val="22"/>
          <w:lang w:val="sk-SK" w:eastAsia="en-GB"/>
        </w:rPr>
        <w:t>o </w:t>
      </w:r>
      <w:r w:rsidR="00951376" w:rsidRPr="00044184">
        <w:rPr>
          <w:szCs w:val="22"/>
          <w:lang w:val="sk-SK" w:eastAsia="en-GB"/>
        </w:rPr>
        <w:t>86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%</w:t>
      </w:r>
      <w:r w:rsidR="008A7EC3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v prípade </w:t>
      </w:r>
      <w:r w:rsidR="00951376" w:rsidRPr="00044184">
        <w:rPr>
          <w:szCs w:val="22"/>
          <w:lang w:val="sk-SK" w:eastAsia="en-GB"/>
        </w:rPr>
        <w:t>AUC a</w:t>
      </w:r>
      <w:r w:rsidR="008A7EC3" w:rsidRPr="00044184">
        <w:rPr>
          <w:szCs w:val="22"/>
          <w:lang w:val="sk-SK" w:eastAsia="en-GB"/>
        </w:rPr>
        <w:t> o </w:t>
      </w:r>
      <w:r w:rsidR="00951376" w:rsidRPr="00044184">
        <w:rPr>
          <w:szCs w:val="22"/>
          <w:lang w:val="sk-SK" w:eastAsia="en-GB"/>
        </w:rPr>
        <w:t>69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% </w:t>
      </w:r>
      <w:r w:rsidRPr="00044184">
        <w:rPr>
          <w:szCs w:val="22"/>
          <w:lang w:val="sk-SK" w:eastAsia="en-GB"/>
        </w:rPr>
        <w:t>v prípade</w:t>
      </w:r>
      <w:r w:rsidR="00951376" w:rsidRPr="00044184">
        <w:rPr>
          <w:szCs w:val="22"/>
          <w:lang w:val="sk-SK" w:eastAsia="en-GB"/>
        </w:rPr>
        <w:t xml:space="preserve"> C</w:t>
      </w:r>
      <w:r w:rsidR="00951376" w:rsidRPr="00044184">
        <w:rPr>
          <w:szCs w:val="22"/>
          <w:vertAlign w:val="subscript"/>
          <w:lang w:val="sk-SK" w:eastAsia="en-GB"/>
        </w:rPr>
        <w:t>max</w:t>
      </w:r>
      <w:r w:rsidR="00951376" w:rsidRPr="00044184">
        <w:rPr>
          <w:szCs w:val="22"/>
          <w:lang w:val="sk-SK" w:eastAsia="en-GB"/>
        </w:rPr>
        <w:t xml:space="preserve">). </w:t>
      </w:r>
      <w:r w:rsidRPr="00044184">
        <w:rPr>
          <w:szCs w:val="22"/>
          <w:lang w:val="sk-SK" w:eastAsia="en-GB"/>
        </w:rPr>
        <w:t xml:space="preserve">Preto je potrebná obozretnosť, keď sa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 podáva v kombinácii so silným</w:t>
      </w:r>
      <w:r w:rsidR="008A7EC3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 xml:space="preserve"> inhibítorm</w:t>
      </w:r>
      <w:r w:rsidR="008A7EC3" w:rsidRPr="00044184">
        <w:rPr>
          <w:szCs w:val="22"/>
          <w:lang w:val="sk-SK" w:eastAsia="en-GB"/>
        </w:rPr>
        <w:t>i</w:t>
      </w:r>
      <w:r w:rsidR="00951376" w:rsidRPr="00044184">
        <w:rPr>
          <w:szCs w:val="22"/>
          <w:lang w:val="sk-SK" w:eastAsia="en-GB"/>
        </w:rPr>
        <w:t xml:space="preserve"> CYP3A4, </w:t>
      </w:r>
      <w:r w:rsidRPr="00044184">
        <w:rPr>
          <w:szCs w:val="22"/>
          <w:lang w:val="sk-SK" w:eastAsia="en-GB"/>
        </w:rPr>
        <w:t>napr. s antimykotikami azolového typu</w:t>
      </w:r>
      <w:r w:rsidR="00951376"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lastRenderedPageBreak/>
        <w:t>(</w:t>
      </w:r>
      <w:r w:rsidRPr="00044184">
        <w:rPr>
          <w:szCs w:val="22"/>
          <w:lang w:val="sk-SK" w:eastAsia="en-GB"/>
        </w:rPr>
        <w:t>t. j. </w:t>
      </w:r>
      <w:r w:rsidR="00951376" w:rsidRPr="00044184">
        <w:rPr>
          <w:szCs w:val="22"/>
          <w:lang w:val="sk-SK" w:eastAsia="en-GB"/>
        </w:rPr>
        <w:t>keto</w:t>
      </w:r>
      <w:r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onazol, itra</w:t>
      </w:r>
      <w:r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onazol, vori</w:t>
      </w:r>
      <w:r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onazol),</w:t>
      </w:r>
      <w:r w:rsidRPr="00044184">
        <w:rPr>
          <w:szCs w:val="22"/>
          <w:lang w:val="sk-SK" w:eastAsia="en-GB"/>
        </w:rPr>
        <w:t xml:space="preserve"> </w:t>
      </w:r>
      <w:r w:rsidR="003B1E17" w:rsidRPr="00044184">
        <w:rPr>
          <w:szCs w:val="22"/>
          <w:lang w:val="sk-SK" w:eastAsia="en-GB"/>
        </w:rPr>
        <w:t>s </w:t>
      </w:r>
      <w:r w:rsidRPr="00044184">
        <w:rPr>
          <w:szCs w:val="22"/>
          <w:lang w:val="sk-SK" w:eastAsia="en-GB"/>
        </w:rPr>
        <w:t xml:space="preserve">inhibítormi proteáz, </w:t>
      </w:r>
      <w:r w:rsidR="00951376" w:rsidRPr="00044184">
        <w:rPr>
          <w:szCs w:val="22"/>
          <w:lang w:val="sk-SK" w:eastAsia="en-GB"/>
        </w:rPr>
        <w:t>erytromyc</w:t>
      </w:r>
      <w:r w:rsidRPr="00044184">
        <w:rPr>
          <w:szCs w:val="22"/>
          <w:lang w:val="sk-SK" w:eastAsia="en-GB"/>
        </w:rPr>
        <w:t>í</w:t>
      </w:r>
      <w:r w:rsidR="00951376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>om alebo s</w:t>
      </w:r>
      <w:r w:rsidR="008A7EC3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klaritromycínom</w:t>
      </w:r>
      <w:r w:rsidR="0095137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 prípade potreby sa má dávka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znížiť, najmä ak sa</w:t>
      </w:r>
      <w:r w:rsidR="004B26A8" w:rsidRPr="00044184">
        <w:rPr>
          <w:szCs w:val="22"/>
          <w:lang w:val="sk-SK" w:eastAsia="en-GB"/>
        </w:rPr>
        <w:t xml:space="preserve"> zistí</w:t>
      </w:r>
      <w:r w:rsidRPr="00044184">
        <w:rPr>
          <w:szCs w:val="22"/>
          <w:lang w:val="sk-SK" w:eastAsia="en-GB"/>
        </w:rPr>
        <w:t xml:space="preserve"> toxicit</w:t>
      </w:r>
      <w:r w:rsidR="008A7EC3" w:rsidRPr="00044184">
        <w:rPr>
          <w:szCs w:val="22"/>
          <w:lang w:val="sk-SK" w:eastAsia="en-GB"/>
        </w:rPr>
        <w:t>a</w:t>
      </w:r>
      <w:r w:rsidR="00951376" w:rsidRPr="00044184">
        <w:rPr>
          <w:szCs w:val="22"/>
          <w:lang w:val="sk-SK" w:eastAsia="en-GB"/>
        </w:rPr>
        <w:t>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2361D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Silné induktory aktivity</w:t>
      </w:r>
      <w:r w:rsidR="00951376" w:rsidRPr="00044184">
        <w:rPr>
          <w:szCs w:val="22"/>
          <w:lang w:val="sk-SK" w:eastAsia="en-GB"/>
        </w:rPr>
        <w:t xml:space="preserve"> CYP3A4 </w:t>
      </w:r>
      <w:r w:rsidRPr="00044184">
        <w:rPr>
          <w:szCs w:val="22"/>
          <w:lang w:val="sk-SK" w:eastAsia="en-GB"/>
        </w:rPr>
        <w:t xml:space="preserve">zvyšujú metabolizmus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951376" w:rsidRPr="00044184">
        <w:rPr>
          <w:szCs w:val="22"/>
          <w:lang w:val="sk-SK" w:eastAsia="en-GB"/>
        </w:rPr>
        <w:t xml:space="preserve"> a</w:t>
      </w:r>
      <w:r w:rsidRPr="00044184">
        <w:rPr>
          <w:szCs w:val="22"/>
          <w:lang w:val="sk-SK" w:eastAsia="en-GB"/>
        </w:rPr>
        <w:t> významne znižujú plazmatické koncentrácie erlotinibu</w:t>
      </w:r>
      <w:r w:rsidR="0095137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klinickej štúdii viedlo súbežné po</w:t>
      </w:r>
      <w:r w:rsidR="000F7885" w:rsidRPr="00044184">
        <w:rPr>
          <w:szCs w:val="22"/>
          <w:lang w:val="sk-SK" w:eastAsia="en-GB"/>
        </w:rPr>
        <w:t>dávanie</w:t>
      </w:r>
      <w:r w:rsidRPr="00044184">
        <w:rPr>
          <w:szCs w:val="22"/>
          <w:lang w:val="sk-SK" w:eastAsia="en-GB"/>
        </w:rPr>
        <w:t xml:space="preserve"> erlotinibu </w:t>
      </w:r>
      <w:r w:rsidR="00951376" w:rsidRPr="00044184">
        <w:rPr>
          <w:szCs w:val="22"/>
          <w:lang w:val="sk-SK" w:eastAsia="en-GB"/>
        </w:rPr>
        <w:t>a rifampic</w:t>
      </w:r>
      <w:r w:rsidRPr="00044184">
        <w:rPr>
          <w:szCs w:val="22"/>
          <w:lang w:val="sk-SK" w:eastAsia="en-GB"/>
        </w:rPr>
        <w:t>í</w:t>
      </w:r>
      <w:r w:rsidR="00951376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>u</w:t>
      </w:r>
      <w:r w:rsidR="00951376" w:rsidRPr="00044184">
        <w:rPr>
          <w:szCs w:val="22"/>
          <w:lang w:val="sk-SK" w:eastAsia="en-GB"/>
        </w:rPr>
        <w:t xml:space="preserve"> (600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mg</w:t>
      </w:r>
      <w:r w:rsidR="00EF66D6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perorálne </w:t>
      </w:r>
      <w:r w:rsidR="00D93148" w:rsidRPr="00044184">
        <w:rPr>
          <w:szCs w:val="22"/>
          <w:lang w:val="sk-SK" w:eastAsia="en-GB"/>
        </w:rPr>
        <w:t>jeden</w:t>
      </w:r>
      <w:r w:rsidRPr="00044184">
        <w:rPr>
          <w:szCs w:val="22"/>
          <w:lang w:val="sk-SK" w:eastAsia="en-GB"/>
        </w:rPr>
        <w:t xml:space="preserve">krát denne počas </w:t>
      </w:r>
      <w:r w:rsidR="00951376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d</w:t>
      </w:r>
      <w:r w:rsidRPr="00044184">
        <w:rPr>
          <w:szCs w:val="22"/>
          <w:lang w:val="sk-SK" w:eastAsia="en-GB"/>
        </w:rPr>
        <w:t>ní</w:t>
      </w:r>
      <w:r w:rsidR="00951376" w:rsidRPr="00044184">
        <w:rPr>
          <w:szCs w:val="22"/>
          <w:lang w:val="sk-SK" w:eastAsia="en-GB"/>
        </w:rPr>
        <w:t xml:space="preserve">), </w:t>
      </w:r>
      <w:r w:rsidRPr="00044184">
        <w:rPr>
          <w:szCs w:val="22"/>
          <w:lang w:val="sk-SK" w:eastAsia="en-GB"/>
        </w:rPr>
        <w:t xml:space="preserve">silného induktora </w:t>
      </w:r>
      <w:r w:rsidR="00951376" w:rsidRPr="00044184">
        <w:rPr>
          <w:szCs w:val="22"/>
          <w:lang w:val="sk-SK" w:eastAsia="en-GB"/>
        </w:rPr>
        <w:t xml:space="preserve">CYP3A4, </w:t>
      </w:r>
      <w:r w:rsidRPr="00044184">
        <w:rPr>
          <w:szCs w:val="22"/>
          <w:lang w:val="sk-SK" w:eastAsia="en-GB"/>
        </w:rPr>
        <w:t>k </w:t>
      </w:r>
      <w:r w:rsidR="00951376" w:rsidRPr="00044184">
        <w:rPr>
          <w:szCs w:val="22"/>
          <w:lang w:val="sk-SK" w:eastAsia="en-GB"/>
        </w:rPr>
        <w:t>69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zníženiu mediánu AUC</w:t>
      </w:r>
      <w:r w:rsidR="00EF66D6"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951376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Súbežné podanie </w:t>
      </w:r>
      <w:r w:rsidR="00951376" w:rsidRPr="00044184">
        <w:rPr>
          <w:szCs w:val="22"/>
          <w:lang w:val="sk-SK" w:eastAsia="en-GB"/>
        </w:rPr>
        <w:t>rifampic</w:t>
      </w:r>
      <w:r w:rsidRPr="00044184">
        <w:rPr>
          <w:szCs w:val="22"/>
          <w:lang w:val="sk-SK" w:eastAsia="en-GB"/>
        </w:rPr>
        <w:t xml:space="preserve">ínu s jednorazovou </w:t>
      </w:r>
      <w:r w:rsidR="00951376" w:rsidRPr="00044184">
        <w:rPr>
          <w:szCs w:val="22"/>
          <w:lang w:val="sk-SK" w:eastAsia="en-GB"/>
        </w:rPr>
        <w:t>450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>mg d</w:t>
      </w:r>
      <w:r w:rsidRPr="00044184">
        <w:rPr>
          <w:szCs w:val="22"/>
          <w:lang w:val="sk-SK" w:eastAsia="en-GB"/>
        </w:rPr>
        <w:t>ávkou</w:t>
      </w:r>
      <w:r w:rsidR="00951376" w:rsidRPr="00044184">
        <w:rPr>
          <w:szCs w:val="22"/>
          <w:lang w:val="sk-SK" w:eastAsia="en-GB"/>
        </w:rPr>
        <w:t xml:space="preserve"> </w:t>
      </w:r>
      <w:r w:rsidR="00490DEC">
        <w:rPr>
          <w:szCs w:val="22"/>
          <w:lang w:val="sk-SK" w:eastAsia="en-GB"/>
        </w:rPr>
        <w:t>E</w:t>
      </w:r>
      <w:r w:rsidR="00951376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u </w:t>
      </w:r>
      <w:r w:rsidR="00490DEC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 xml:space="preserve">viedlo </w:t>
      </w:r>
      <w:r w:rsidR="00CD3955" w:rsidRPr="00044184">
        <w:rPr>
          <w:szCs w:val="22"/>
          <w:lang w:val="sk-SK" w:eastAsia="en-GB"/>
        </w:rPr>
        <w:t xml:space="preserve">k priemernej </w:t>
      </w:r>
      <w:r w:rsidRPr="00044184">
        <w:rPr>
          <w:szCs w:val="22"/>
          <w:lang w:val="sk-SK" w:eastAsia="en-GB"/>
        </w:rPr>
        <w:t>expozícii erlotinibu</w:t>
      </w:r>
      <w:r w:rsidR="00951376" w:rsidRPr="00044184">
        <w:rPr>
          <w:szCs w:val="22"/>
          <w:lang w:val="sk-SK" w:eastAsia="en-GB"/>
        </w:rPr>
        <w:t xml:space="preserve"> (AUC)</w:t>
      </w:r>
      <w:r w:rsidR="003B1E17" w:rsidRPr="00044184">
        <w:rPr>
          <w:szCs w:val="22"/>
          <w:lang w:val="sk-SK" w:eastAsia="en-GB"/>
        </w:rPr>
        <w:t xml:space="preserve"> zodpovedajúcej</w:t>
      </w:r>
      <w:r w:rsidR="000F7885"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57</w:t>
      </w:r>
      <w:r w:rsidR="000F7885" w:rsidRPr="00044184">
        <w:rPr>
          <w:szCs w:val="22"/>
          <w:lang w:val="sk-SK" w:eastAsia="en-GB"/>
        </w:rPr>
        <w:t>,</w:t>
      </w:r>
      <w:r w:rsidR="00951376" w:rsidRPr="00044184">
        <w:rPr>
          <w:szCs w:val="22"/>
          <w:lang w:val="sk-SK" w:eastAsia="en-GB"/>
        </w:rPr>
        <w:t>5</w:t>
      </w:r>
      <w:r w:rsidR="000F7885"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% </w:t>
      </w:r>
      <w:r w:rsidR="00213531" w:rsidRPr="00044184">
        <w:rPr>
          <w:szCs w:val="22"/>
          <w:lang w:val="sk-SK" w:eastAsia="en-GB"/>
        </w:rPr>
        <w:t xml:space="preserve">hodnoty </w:t>
      </w:r>
      <w:r w:rsidR="000F7885" w:rsidRPr="00044184">
        <w:rPr>
          <w:szCs w:val="22"/>
          <w:lang w:val="sk-SK" w:eastAsia="en-GB"/>
        </w:rPr>
        <w:t xml:space="preserve">expozície </w:t>
      </w:r>
      <w:r w:rsidR="00AD2099" w:rsidRPr="00044184">
        <w:rPr>
          <w:szCs w:val="22"/>
          <w:lang w:val="sk-SK" w:eastAsia="en-GB"/>
        </w:rPr>
        <w:t xml:space="preserve">dosiahnutej </w:t>
      </w:r>
      <w:r w:rsidR="000F7885" w:rsidRPr="00044184">
        <w:rPr>
          <w:szCs w:val="22"/>
          <w:lang w:val="sk-SK" w:eastAsia="en-GB"/>
        </w:rPr>
        <w:t>po</w:t>
      </w:r>
      <w:r w:rsidR="00571350" w:rsidRPr="00044184">
        <w:rPr>
          <w:szCs w:val="22"/>
          <w:lang w:val="sk-SK" w:eastAsia="en-GB"/>
        </w:rPr>
        <w:t> </w:t>
      </w:r>
      <w:r w:rsidR="00AD2099" w:rsidRPr="00044184">
        <w:rPr>
          <w:szCs w:val="22"/>
          <w:lang w:val="sk-SK" w:eastAsia="en-GB"/>
        </w:rPr>
        <w:t xml:space="preserve">podaní </w:t>
      </w:r>
      <w:r w:rsidR="000F7885" w:rsidRPr="00044184">
        <w:rPr>
          <w:szCs w:val="22"/>
          <w:lang w:val="sk-SK" w:eastAsia="en-GB"/>
        </w:rPr>
        <w:t xml:space="preserve">jednorazovej </w:t>
      </w:r>
      <w:r w:rsidR="00951376" w:rsidRPr="00044184">
        <w:rPr>
          <w:szCs w:val="22"/>
          <w:lang w:val="sk-SK" w:eastAsia="en-GB"/>
        </w:rPr>
        <w:t>150</w:t>
      </w:r>
      <w:r w:rsidR="000F7885"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mg </w:t>
      </w:r>
      <w:r w:rsidR="000F7885" w:rsidRPr="00044184">
        <w:rPr>
          <w:szCs w:val="22"/>
          <w:lang w:val="sk-SK" w:eastAsia="en-GB"/>
        </w:rPr>
        <w:t>dávk</w:t>
      </w:r>
      <w:r w:rsidR="00AD2099" w:rsidRPr="00044184">
        <w:rPr>
          <w:szCs w:val="22"/>
          <w:lang w:val="sk-SK" w:eastAsia="en-GB"/>
        </w:rPr>
        <w:t>y</w:t>
      </w:r>
      <w:r w:rsidR="000F7885" w:rsidRPr="00044184">
        <w:rPr>
          <w:szCs w:val="22"/>
          <w:lang w:val="sk-SK" w:eastAsia="en-GB"/>
        </w:rPr>
        <w:t xml:space="preserve"> </w:t>
      </w:r>
      <w:r w:rsidR="00826C0D">
        <w:rPr>
          <w:szCs w:val="22"/>
          <w:lang w:val="sk-SK" w:eastAsia="en-GB"/>
        </w:rPr>
        <w:t>E</w:t>
      </w:r>
      <w:r w:rsidR="000F7885" w:rsidRPr="00044184">
        <w:rPr>
          <w:szCs w:val="22"/>
          <w:lang w:val="sk-SK" w:eastAsia="en-GB"/>
        </w:rPr>
        <w:t>rlotinibu</w:t>
      </w:r>
      <w:r w:rsidR="00AD2099" w:rsidRPr="00044184">
        <w:rPr>
          <w:szCs w:val="22"/>
          <w:lang w:val="sk-SK" w:eastAsia="en-GB"/>
        </w:rPr>
        <w:t xml:space="preserve"> </w:t>
      </w:r>
      <w:r w:rsidR="00826C0D">
        <w:rPr>
          <w:szCs w:val="22"/>
          <w:lang w:val="sk-SK" w:eastAsia="en-GB"/>
        </w:rPr>
        <w:t xml:space="preserve">STADA </w:t>
      </w:r>
      <w:r w:rsidR="00AD2099" w:rsidRPr="00044184">
        <w:rPr>
          <w:szCs w:val="22"/>
          <w:lang w:val="sk-SK" w:eastAsia="en-GB"/>
        </w:rPr>
        <w:t xml:space="preserve">bez </w:t>
      </w:r>
      <w:r w:rsidR="00F8293C" w:rsidRPr="00044184">
        <w:rPr>
          <w:szCs w:val="22"/>
          <w:lang w:val="sk-SK" w:eastAsia="en-GB"/>
        </w:rPr>
        <w:t>rifampicín</w:t>
      </w:r>
      <w:r w:rsidR="00AD2099" w:rsidRPr="00044184">
        <w:rPr>
          <w:szCs w:val="22"/>
          <w:lang w:val="sk-SK" w:eastAsia="en-GB"/>
        </w:rPr>
        <w:t>u</w:t>
      </w:r>
      <w:r w:rsidR="00254557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Preto je potrebné vyhnúť sa súbežnému podávaniu </w:t>
      </w:r>
      <w:r w:rsidR="00826C0D">
        <w:rPr>
          <w:szCs w:val="22"/>
          <w:lang w:val="sk-SK" w:eastAsia="en-GB"/>
        </w:rPr>
        <w:t>E</w:t>
      </w:r>
      <w:r w:rsidR="00951376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u </w:t>
      </w:r>
      <w:r w:rsidR="00826C0D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 xml:space="preserve">s induktormi </w:t>
      </w:r>
      <w:r w:rsidR="00951376" w:rsidRPr="00044184">
        <w:rPr>
          <w:szCs w:val="22"/>
          <w:lang w:val="sk-SK" w:eastAsia="en-GB"/>
        </w:rPr>
        <w:t xml:space="preserve">CYP3A4. </w:t>
      </w:r>
      <w:r w:rsidRPr="00044184">
        <w:rPr>
          <w:szCs w:val="22"/>
          <w:lang w:val="sk-SK" w:eastAsia="en-GB"/>
        </w:rPr>
        <w:t xml:space="preserve">U pacientov, u ktorých je potrebná súbežná liečba </w:t>
      </w:r>
      <w:r w:rsidR="00826C0D">
        <w:rPr>
          <w:szCs w:val="22"/>
          <w:lang w:val="sk-SK" w:eastAsia="en-GB"/>
        </w:rPr>
        <w:t>E</w:t>
      </w:r>
      <w:r w:rsidR="00951376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om </w:t>
      </w:r>
      <w:r w:rsidR="00826C0D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>a silným induktorom</w:t>
      </w:r>
      <w:r w:rsidR="00951376" w:rsidRPr="00044184">
        <w:rPr>
          <w:szCs w:val="22"/>
          <w:lang w:val="sk-SK" w:eastAsia="en-GB"/>
        </w:rPr>
        <w:t xml:space="preserve"> CYP3A4</w:t>
      </w:r>
      <w:r w:rsidRPr="00044184">
        <w:rPr>
          <w:szCs w:val="22"/>
          <w:lang w:val="sk-SK" w:eastAsia="en-GB"/>
        </w:rPr>
        <w:t xml:space="preserve">, akým je </w:t>
      </w:r>
      <w:r w:rsidR="00951376" w:rsidRPr="00044184">
        <w:rPr>
          <w:szCs w:val="22"/>
          <w:lang w:val="sk-SK" w:eastAsia="en-GB"/>
        </w:rPr>
        <w:t>rifampic</w:t>
      </w:r>
      <w:r w:rsidRPr="00044184">
        <w:rPr>
          <w:szCs w:val="22"/>
          <w:lang w:val="sk-SK" w:eastAsia="en-GB"/>
        </w:rPr>
        <w:t>í</w:t>
      </w:r>
      <w:r w:rsidR="00951376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 xml:space="preserve">, sa má zvážiť zvýšenie dávky erlotinibu na </w:t>
      </w:r>
      <w:r w:rsidR="00951376" w:rsidRPr="00044184">
        <w:rPr>
          <w:szCs w:val="22"/>
          <w:lang w:val="sk-SK" w:eastAsia="en-GB"/>
        </w:rPr>
        <w:t>300</w:t>
      </w:r>
      <w:r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mg </w:t>
      </w:r>
      <w:r w:rsidR="00D5438F" w:rsidRPr="00044184">
        <w:rPr>
          <w:szCs w:val="22"/>
          <w:lang w:val="sk-SK" w:eastAsia="en-GB"/>
        </w:rPr>
        <w:t>a počas jej podávania pozorne sledovať bezpečnos</w:t>
      </w:r>
      <w:r w:rsidR="00AA308D" w:rsidRPr="00044184">
        <w:rPr>
          <w:szCs w:val="22"/>
          <w:lang w:val="sk-SK" w:eastAsia="en-GB"/>
        </w:rPr>
        <w:t>ť</w:t>
      </w:r>
      <w:r w:rsidR="00D5438F"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(</w:t>
      </w:r>
      <w:r w:rsidR="00D5438F" w:rsidRPr="00044184">
        <w:rPr>
          <w:szCs w:val="22"/>
          <w:lang w:val="sk-SK" w:eastAsia="en-GB"/>
        </w:rPr>
        <w:t>vrátane funkcie obličiek</w:t>
      </w:r>
      <w:r w:rsidR="00083B6F" w:rsidRPr="00044184">
        <w:rPr>
          <w:szCs w:val="22"/>
          <w:lang w:val="sk-SK" w:eastAsia="en-GB"/>
        </w:rPr>
        <w:t>,</w:t>
      </w:r>
      <w:r w:rsidR="00D5438F" w:rsidRPr="00044184">
        <w:rPr>
          <w:szCs w:val="22"/>
          <w:lang w:val="sk-SK" w:eastAsia="en-GB"/>
        </w:rPr>
        <w:t xml:space="preserve"> </w:t>
      </w:r>
      <w:r w:rsidR="00083B6F" w:rsidRPr="00044184">
        <w:rPr>
          <w:szCs w:val="22"/>
          <w:lang w:val="sk-SK" w:eastAsia="en-GB"/>
        </w:rPr>
        <w:t xml:space="preserve">funkcie </w:t>
      </w:r>
      <w:r w:rsidR="00D5438F" w:rsidRPr="00044184">
        <w:rPr>
          <w:szCs w:val="22"/>
          <w:lang w:val="sk-SK" w:eastAsia="en-GB"/>
        </w:rPr>
        <w:t>pečene a hladín elektrolytov v sére). A</w:t>
      </w:r>
      <w:r w:rsidR="000F7885" w:rsidRPr="00044184">
        <w:rPr>
          <w:szCs w:val="22"/>
          <w:lang w:val="sk-SK" w:eastAsia="en-GB"/>
        </w:rPr>
        <w:t xml:space="preserve">k je táto dávka dobre znášaná viac ako </w:t>
      </w:r>
      <w:r w:rsidR="00951376" w:rsidRPr="00044184">
        <w:rPr>
          <w:szCs w:val="22"/>
          <w:lang w:val="sk-SK" w:eastAsia="en-GB"/>
        </w:rPr>
        <w:t>2</w:t>
      </w:r>
      <w:r w:rsidR="000F7885" w:rsidRPr="00044184">
        <w:rPr>
          <w:szCs w:val="22"/>
          <w:lang w:val="sk-SK" w:eastAsia="en-GB"/>
        </w:rPr>
        <w:t> týždne</w:t>
      </w:r>
      <w:r w:rsidR="00951376" w:rsidRPr="00044184">
        <w:rPr>
          <w:szCs w:val="22"/>
          <w:lang w:val="sk-SK" w:eastAsia="en-GB"/>
        </w:rPr>
        <w:t xml:space="preserve">, </w:t>
      </w:r>
      <w:r w:rsidR="000F7885" w:rsidRPr="00044184">
        <w:rPr>
          <w:szCs w:val="22"/>
          <w:lang w:val="sk-SK" w:eastAsia="en-GB"/>
        </w:rPr>
        <w:t xml:space="preserve">môže sa zvážiť ďalšie zvýšenie na </w:t>
      </w:r>
      <w:r w:rsidR="00951376" w:rsidRPr="00044184">
        <w:rPr>
          <w:szCs w:val="22"/>
          <w:lang w:val="sk-SK" w:eastAsia="en-GB"/>
        </w:rPr>
        <w:t>450</w:t>
      </w:r>
      <w:r w:rsidR="000F7885" w:rsidRPr="00044184">
        <w:rPr>
          <w:szCs w:val="22"/>
          <w:lang w:val="sk-SK" w:eastAsia="en-GB"/>
        </w:rPr>
        <w:t> </w:t>
      </w:r>
      <w:r w:rsidR="00951376" w:rsidRPr="00044184">
        <w:rPr>
          <w:szCs w:val="22"/>
          <w:lang w:val="sk-SK" w:eastAsia="en-GB"/>
        </w:rPr>
        <w:t xml:space="preserve">mg </w:t>
      </w:r>
      <w:r w:rsidR="000F7885" w:rsidRPr="00044184">
        <w:rPr>
          <w:szCs w:val="22"/>
          <w:lang w:val="sk-SK" w:eastAsia="en-GB"/>
        </w:rPr>
        <w:t>za pozorného sledovania bezpečnosti</w:t>
      </w:r>
      <w:r w:rsidR="00951376" w:rsidRPr="00044184">
        <w:rPr>
          <w:szCs w:val="22"/>
          <w:lang w:val="sk-SK" w:eastAsia="en-GB"/>
        </w:rPr>
        <w:t xml:space="preserve">. </w:t>
      </w:r>
      <w:r w:rsidR="00D5438F" w:rsidRPr="00044184">
        <w:rPr>
          <w:szCs w:val="22"/>
          <w:lang w:val="sk-SK" w:eastAsia="en-GB"/>
        </w:rPr>
        <w:t xml:space="preserve">K zníženiu expozície erlotinibu môže dôjsť aj pri podávaní iných induktorov, napr. fenytoínu, karbamazepínu, barbiturátov alebo ľubovníka bodkovaného </w:t>
      </w:r>
      <w:r w:rsidR="00951376" w:rsidRPr="00044184">
        <w:rPr>
          <w:szCs w:val="22"/>
          <w:lang w:val="sk-SK" w:eastAsia="en-GB"/>
        </w:rPr>
        <w:t>(</w:t>
      </w:r>
      <w:r w:rsidR="00951376" w:rsidRPr="00044184">
        <w:rPr>
          <w:i/>
          <w:iCs/>
          <w:szCs w:val="22"/>
          <w:lang w:val="sk-SK" w:eastAsia="en-GB"/>
        </w:rPr>
        <w:t>hypericum perforatum</w:t>
      </w:r>
      <w:r w:rsidR="00951376" w:rsidRPr="00044184">
        <w:rPr>
          <w:szCs w:val="22"/>
          <w:lang w:val="sk-SK" w:eastAsia="en-GB"/>
        </w:rPr>
        <w:t xml:space="preserve">). </w:t>
      </w:r>
      <w:r w:rsidR="00D5438F" w:rsidRPr="00044184">
        <w:rPr>
          <w:szCs w:val="22"/>
          <w:lang w:val="sk-SK" w:eastAsia="en-GB"/>
        </w:rPr>
        <w:t xml:space="preserve">Pri podávaní erlotinibu v kombinácii s týmito </w:t>
      </w:r>
      <w:r w:rsidR="00291492" w:rsidRPr="00044184">
        <w:rPr>
          <w:szCs w:val="22"/>
          <w:lang w:val="sk-SK" w:eastAsia="en-GB"/>
        </w:rPr>
        <w:t>liečivami je potrebná obozretnosť</w:t>
      </w:r>
      <w:r w:rsidR="00951376" w:rsidRPr="00044184">
        <w:rPr>
          <w:szCs w:val="22"/>
          <w:lang w:val="sk-SK" w:eastAsia="en-GB"/>
        </w:rPr>
        <w:t xml:space="preserve">. </w:t>
      </w:r>
      <w:r w:rsidR="00291492" w:rsidRPr="00044184">
        <w:rPr>
          <w:szCs w:val="22"/>
          <w:lang w:val="sk-SK" w:eastAsia="en-GB"/>
        </w:rPr>
        <w:t xml:space="preserve">Ak je to možné, má sa zvážiť alternatívna liečba bez použitia silného induktora aktivity </w:t>
      </w:r>
      <w:r w:rsidR="00951376" w:rsidRPr="00044184">
        <w:rPr>
          <w:szCs w:val="22"/>
          <w:lang w:val="sk-SK" w:eastAsia="en-GB"/>
        </w:rPr>
        <w:t>CYP3A4.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</w:t>
      </w:r>
      <w:r w:rsidR="00F232F8" w:rsidRPr="00044184">
        <w:rPr>
          <w:szCs w:val="22"/>
          <w:u w:val="single"/>
          <w:lang w:val="sk-SK" w:eastAsia="en-GB"/>
        </w:rPr>
        <w:t> kumarínové antikoagulanciá</w:t>
      </w:r>
    </w:p>
    <w:p w:rsidR="00951376" w:rsidRPr="00044184" w:rsidRDefault="00F232F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U pacientov liečených </w:t>
      </w:r>
      <w:r w:rsidR="00FA280B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 xml:space="preserve">rlotinibom </w:t>
      </w:r>
      <w:r w:rsidR="00FA280B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 xml:space="preserve">bola hlásená interakcia s kumarínovými </w:t>
      </w:r>
      <w:r w:rsidR="00951376" w:rsidRPr="00044184">
        <w:rPr>
          <w:szCs w:val="22"/>
          <w:lang w:val="sk-SK" w:eastAsia="en-GB"/>
        </w:rPr>
        <w:t>anti</w:t>
      </w:r>
      <w:r w:rsidRPr="00044184">
        <w:rPr>
          <w:szCs w:val="22"/>
          <w:lang w:val="sk-SK" w:eastAsia="en-GB"/>
        </w:rPr>
        <w:t>k</w:t>
      </w:r>
      <w:r w:rsidR="00951376" w:rsidRPr="00044184">
        <w:rPr>
          <w:szCs w:val="22"/>
          <w:lang w:val="sk-SK" w:eastAsia="en-GB"/>
        </w:rPr>
        <w:t>oagulan</w:t>
      </w:r>
      <w:r w:rsidRPr="00044184">
        <w:rPr>
          <w:szCs w:val="22"/>
          <w:lang w:val="sk-SK" w:eastAsia="en-GB"/>
        </w:rPr>
        <w:t>ciami</w:t>
      </w:r>
      <w:r w:rsidR="00636953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vrátane warfarínu, ktorá viedla k zvýšeniu hodnoty medzinárodného normalizovaného pomeru (</w:t>
      </w:r>
      <w:r w:rsidR="00951376" w:rsidRPr="00044184">
        <w:rPr>
          <w:szCs w:val="22"/>
          <w:lang w:val="sk-SK" w:eastAsia="en-GB"/>
        </w:rPr>
        <w:t>International</w:t>
      </w:r>
      <w:r w:rsidR="00992973"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Normalized Ratio</w:t>
      </w:r>
      <w:r w:rsidRPr="00044184">
        <w:rPr>
          <w:szCs w:val="22"/>
          <w:lang w:val="sk-SK" w:eastAsia="en-GB"/>
        </w:rPr>
        <w:t>,</w:t>
      </w:r>
      <w:r w:rsidR="00951376" w:rsidRPr="00044184">
        <w:rPr>
          <w:szCs w:val="22"/>
          <w:lang w:val="sk-SK" w:eastAsia="en-GB"/>
        </w:rPr>
        <w:t xml:space="preserve"> INR) a</w:t>
      </w:r>
      <w:r w:rsidRPr="00044184">
        <w:rPr>
          <w:szCs w:val="22"/>
          <w:lang w:val="sk-SK" w:eastAsia="en-GB"/>
        </w:rPr>
        <w:t> ku krvácavým príhodám, ktoré boli v niek</w:t>
      </w:r>
      <w:r w:rsidR="00AA308D" w:rsidRPr="00044184">
        <w:rPr>
          <w:szCs w:val="22"/>
          <w:lang w:val="sk-SK" w:eastAsia="en-GB"/>
        </w:rPr>
        <w:t>t</w:t>
      </w:r>
      <w:r w:rsidRPr="00044184">
        <w:rPr>
          <w:szCs w:val="22"/>
          <w:lang w:val="sk-SK" w:eastAsia="en-GB"/>
        </w:rPr>
        <w:t>o</w:t>
      </w:r>
      <w:r w:rsidR="00AA308D" w:rsidRPr="00044184">
        <w:rPr>
          <w:szCs w:val="22"/>
          <w:lang w:val="sk-SK" w:eastAsia="en-GB"/>
        </w:rPr>
        <w:t>r</w:t>
      </w:r>
      <w:r w:rsidRPr="00044184">
        <w:rPr>
          <w:szCs w:val="22"/>
          <w:lang w:val="sk-SK" w:eastAsia="en-GB"/>
        </w:rPr>
        <w:t>ých prípadoch smrteľné</w:t>
      </w:r>
      <w:r w:rsidR="00951376" w:rsidRPr="00044184">
        <w:rPr>
          <w:szCs w:val="22"/>
          <w:lang w:val="sk-SK" w:eastAsia="en-GB"/>
        </w:rPr>
        <w:t>.</w:t>
      </w:r>
      <w:r w:rsidRPr="00044184">
        <w:rPr>
          <w:szCs w:val="22"/>
          <w:lang w:val="sk-SK" w:eastAsia="en-GB"/>
        </w:rPr>
        <w:t xml:space="preserve"> Pacientov užívajúcich</w:t>
      </w:r>
      <w:r w:rsidR="00951376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kumarínové antikoagulanciá je potrebné pravidelne kontrolovať kvôli zmenám protrombínového času alebo INR</w:t>
      </w:r>
      <w:r w:rsidR="00951376" w:rsidRPr="00044184">
        <w:rPr>
          <w:szCs w:val="22"/>
          <w:lang w:val="sk-SK" w:eastAsia="en-GB"/>
        </w:rPr>
        <w:t>.</w:t>
      </w:r>
    </w:p>
    <w:p w:rsidR="00D14F59" w:rsidRPr="00044184" w:rsidRDefault="00D14F5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 stat</w:t>
      </w:r>
      <w:r w:rsidR="00F232F8" w:rsidRPr="00044184">
        <w:rPr>
          <w:szCs w:val="22"/>
          <w:u w:val="single"/>
          <w:lang w:val="sk-SK" w:eastAsia="en-GB"/>
        </w:rPr>
        <w:t>í</w:t>
      </w:r>
      <w:r w:rsidRPr="00044184">
        <w:rPr>
          <w:szCs w:val="22"/>
          <w:u w:val="single"/>
          <w:lang w:val="sk-SK" w:eastAsia="en-GB"/>
        </w:rPr>
        <w:t>n</w:t>
      </w:r>
      <w:r w:rsidR="00F232F8" w:rsidRPr="00044184">
        <w:rPr>
          <w:szCs w:val="22"/>
          <w:u w:val="single"/>
          <w:lang w:val="sk-SK" w:eastAsia="en-GB"/>
        </w:rPr>
        <w:t>y</w:t>
      </w:r>
    </w:p>
    <w:p w:rsidR="00951376" w:rsidRPr="00044184" w:rsidRDefault="0075321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Podávanie </w:t>
      </w:r>
      <w:r w:rsidR="00F87242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 xml:space="preserve">rlotinibu </w:t>
      </w:r>
      <w:r w:rsidR="00F87242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 xml:space="preserve">v kombinácii so statínom môže zvýšiť </w:t>
      </w:r>
      <w:r w:rsidR="00D257CE" w:rsidRPr="00044184">
        <w:rPr>
          <w:szCs w:val="22"/>
          <w:lang w:val="sk-SK" w:eastAsia="en-GB"/>
        </w:rPr>
        <w:t>možnosť vzniku myopatie vyvolanej statínmi</w:t>
      </w:r>
      <w:r w:rsidR="00636953" w:rsidRPr="00044184">
        <w:rPr>
          <w:szCs w:val="22"/>
          <w:lang w:val="sk-SK" w:eastAsia="en-GB"/>
        </w:rPr>
        <w:t>,</w:t>
      </w:r>
      <w:r w:rsidR="00D257CE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vrátane rabdomyolýzy, ktorá sa pozorovala zriedkavo</w:t>
      </w:r>
      <w:r w:rsidR="00951376" w:rsidRPr="00044184">
        <w:rPr>
          <w:szCs w:val="22"/>
          <w:lang w:val="sk-SK" w:eastAsia="en-GB"/>
        </w:rPr>
        <w:t>.</w:t>
      </w:r>
    </w:p>
    <w:p w:rsidR="00D14F59" w:rsidRPr="00044184" w:rsidRDefault="00D14F5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</w:t>
      </w:r>
      <w:r w:rsidR="00F232F8" w:rsidRPr="00044184">
        <w:rPr>
          <w:szCs w:val="22"/>
          <w:u w:val="single"/>
          <w:lang w:val="sk-SK" w:eastAsia="en-GB"/>
        </w:rPr>
        <w:t xml:space="preserve"> fajčiari</w:t>
      </w:r>
    </w:p>
    <w:p w:rsidR="00951376" w:rsidRPr="00044184" w:rsidRDefault="00D257C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Výsledky farmakokinetickej</w:t>
      </w:r>
      <w:r w:rsidR="00636953" w:rsidRPr="00044184">
        <w:rPr>
          <w:szCs w:val="22"/>
          <w:lang w:val="sk-SK" w:eastAsia="en-GB"/>
        </w:rPr>
        <w:t xml:space="preserve"> interakčnej</w:t>
      </w:r>
      <w:r w:rsidRPr="00044184">
        <w:rPr>
          <w:szCs w:val="22"/>
          <w:lang w:val="sk-SK" w:eastAsia="en-GB"/>
        </w:rPr>
        <w:t xml:space="preserve"> štúdie ukázali</w:t>
      </w:r>
      <w:r w:rsidR="00F20613" w:rsidRPr="00044184">
        <w:rPr>
          <w:szCs w:val="22"/>
          <w:lang w:val="sk-SK" w:eastAsia="en-GB"/>
        </w:rPr>
        <w:t xml:space="preserve">, že po podaní </w:t>
      </w:r>
      <w:r w:rsidR="00F87242">
        <w:rPr>
          <w:szCs w:val="22"/>
          <w:lang w:val="sk-SK" w:eastAsia="en-GB"/>
        </w:rPr>
        <w:t>E</w:t>
      </w:r>
      <w:r w:rsidR="00F20613" w:rsidRPr="00044184">
        <w:rPr>
          <w:szCs w:val="22"/>
          <w:lang w:val="sk-SK" w:eastAsia="en-GB"/>
        </w:rPr>
        <w:t xml:space="preserve">rlotinibu </w:t>
      </w:r>
      <w:r w:rsidR="00F87242">
        <w:rPr>
          <w:szCs w:val="22"/>
          <w:lang w:val="sk-SK" w:eastAsia="en-GB"/>
        </w:rPr>
        <w:t xml:space="preserve">STADA </w:t>
      </w:r>
      <w:r w:rsidR="00F20613" w:rsidRPr="00044184">
        <w:rPr>
          <w:szCs w:val="22"/>
          <w:lang w:val="sk-SK" w:eastAsia="en-GB"/>
        </w:rPr>
        <w:t>sa u fajčiarov v porovnaní s nefajčiarmi zistilo významné 2,8</w:t>
      </w:r>
      <w:r w:rsidR="00F20613" w:rsidRPr="00044184">
        <w:rPr>
          <w:szCs w:val="22"/>
          <w:lang w:val="sk-SK" w:eastAsia="en-GB"/>
        </w:rPr>
        <w:noBreakHyphen/>
        <w:t>násobné zníženie AUC</w:t>
      </w:r>
      <w:r w:rsidR="00F20613" w:rsidRPr="00044184">
        <w:rPr>
          <w:szCs w:val="22"/>
          <w:vertAlign w:val="subscript"/>
          <w:lang w:val="sk-SK" w:eastAsia="en-GB"/>
        </w:rPr>
        <w:t>inf</w:t>
      </w:r>
      <w:r w:rsidR="00F20613" w:rsidRPr="00044184">
        <w:rPr>
          <w:szCs w:val="22"/>
          <w:lang w:val="sk-SK" w:eastAsia="en-GB"/>
        </w:rPr>
        <w:t>, 1,5</w:t>
      </w:r>
      <w:r w:rsidR="00F20613" w:rsidRPr="00044184">
        <w:rPr>
          <w:szCs w:val="22"/>
          <w:lang w:val="sk-SK" w:eastAsia="en-GB"/>
        </w:rPr>
        <w:noBreakHyphen/>
        <w:t>násobné zníženie C</w:t>
      </w:r>
      <w:r w:rsidR="00F20613" w:rsidRPr="00044184">
        <w:rPr>
          <w:szCs w:val="22"/>
          <w:vertAlign w:val="subscript"/>
          <w:lang w:val="sk-SK" w:eastAsia="en-GB"/>
        </w:rPr>
        <w:t>max</w:t>
      </w:r>
      <w:r w:rsidR="00F20613" w:rsidRPr="00044184">
        <w:rPr>
          <w:szCs w:val="22"/>
          <w:lang w:val="sk-SK" w:eastAsia="en-GB"/>
        </w:rPr>
        <w:t xml:space="preserve"> a 9</w:t>
      </w:r>
      <w:r w:rsidR="00F20613" w:rsidRPr="00044184">
        <w:rPr>
          <w:szCs w:val="22"/>
          <w:lang w:val="sk-SK" w:eastAsia="en-GB"/>
        </w:rPr>
        <w:noBreakHyphen/>
        <w:t>násobné zníženie </w:t>
      </w:r>
      <w:r w:rsidR="00BD2621" w:rsidRPr="00044184">
        <w:rPr>
          <w:szCs w:val="22"/>
          <w:lang w:val="sk-SK" w:eastAsia="en-GB"/>
        </w:rPr>
        <w:t>plazmatick</w:t>
      </w:r>
      <w:r w:rsidR="00F20613" w:rsidRPr="00044184">
        <w:rPr>
          <w:szCs w:val="22"/>
          <w:lang w:val="sk-SK" w:eastAsia="en-GB"/>
        </w:rPr>
        <w:t xml:space="preserve">ej koncentrácie </w:t>
      </w:r>
      <w:r w:rsidR="000100B7">
        <w:rPr>
          <w:szCs w:val="22"/>
          <w:lang w:val="sk-SK" w:eastAsia="en-GB"/>
        </w:rPr>
        <w:t>za</w:t>
      </w:r>
      <w:r w:rsidR="00F20613" w:rsidRPr="00044184">
        <w:rPr>
          <w:szCs w:val="22"/>
          <w:lang w:val="sk-SK" w:eastAsia="en-GB"/>
        </w:rPr>
        <w:t xml:space="preserve"> </w:t>
      </w:r>
      <w:r w:rsidR="00BD2621" w:rsidRPr="00044184">
        <w:rPr>
          <w:szCs w:val="22"/>
          <w:lang w:val="sk-SK" w:eastAsia="en-GB"/>
        </w:rPr>
        <w:t>24</w:t>
      </w:r>
      <w:r w:rsidR="00F20613" w:rsidRPr="00044184">
        <w:rPr>
          <w:szCs w:val="22"/>
          <w:lang w:val="sk-SK" w:eastAsia="en-GB"/>
        </w:rPr>
        <w:t> hod</w:t>
      </w:r>
      <w:r w:rsidR="007A2972">
        <w:rPr>
          <w:szCs w:val="22"/>
          <w:lang w:val="sk-SK" w:eastAsia="en-GB"/>
        </w:rPr>
        <w:t>ín</w:t>
      </w:r>
      <w:r w:rsidR="00F20613" w:rsidRPr="00044184">
        <w:rPr>
          <w:szCs w:val="22"/>
          <w:lang w:val="sk-SK" w:eastAsia="en-GB"/>
        </w:rPr>
        <w:t xml:space="preserve"> od podania dávky</w:t>
      </w:r>
      <w:r w:rsidR="00D151A9" w:rsidRPr="00044184">
        <w:rPr>
          <w:szCs w:val="22"/>
          <w:lang w:val="sk-SK" w:eastAsia="en-GB"/>
        </w:rPr>
        <w:t xml:space="preserve"> </w:t>
      </w:r>
      <w:r w:rsidR="00951376" w:rsidRPr="00044184">
        <w:rPr>
          <w:szCs w:val="22"/>
          <w:lang w:val="sk-SK" w:eastAsia="en-GB"/>
        </w:rPr>
        <w:t>(</w:t>
      </w:r>
      <w:r w:rsidR="00D151A9" w:rsidRPr="00044184">
        <w:rPr>
          <w:szCs w:val="22"/>
          <w:lang w:val="sk-SK" w:eastAsia="en-GB"/>
        </w:rPr>
        <w:t>pozri časť </w:t>
      </w:r>
      <w:r w:rsidR="00951376" w:rsidRPr="00044184">
        <w:rPr>
          <w:szCs w:val="22"/>
          <w:lang w:val="sk-SK" w:eastAsia="en-GB"/>
        </w:rPr>
        <w:t xml:space="preserve">5.2). </w:t>
      </w:r>
      <w:r w:rsidRPr="00044184">
        <w:rPr>
          <w:szCs w:val="22"/>
          <w:lang w:val="sk-SK" w:eastAsia="en-GB"/>
        </w:rPr>
        <w:t xml:space="preserve">Preto </w:t>
      </w:r>
      <w:r w:rsidR="00913D7E" w:rsidRPr="00044184">
        <w:rPr>
          <w:szCs w:val="22"/>
          <w:lang w:val="sk-SK" w:eastAsia="en-GB"/>
        </w:rPr>
        <w:t>je potrebné odporučiť</w:t>
      </w:r>
      <w:r w:rsidR="00A91C62" w:rsidRPr="00044184">
        <w:rPr>
          <w:szCs w:val="22"/>
          <w:lang w:val="sk-SK" w:eastAsia="en-GB"/>
        </w:rPr>
        <w:t xml:space="preserve"> pacientom</w:t>
      </w:r>
      <w:r w:rsidR="00D151A9" w:rsidRPr="00044184">
        <w:rPr>
          <w:szCs w:val="22"/>
          <w:lang w:val="sk-SK" w:eastAsia="en-GB"/>
        </w:rPr>
        <w:t xml:space="preserve">, ktorí </w:t>
      </w:r>
      <w:r w:rsidR="00C9087F" w:rsidRPr="00044184">
        <w:rPr>
          <w:szCs w:val="22"/>
          <w:lang w:val="sk-SK" w:eastAsia="en-GB"/>
        </w:rPr>
        <w:t>stále</w:t>
      </w:r>
      <w:r w:rsidR="00D151A9" w:rsidRPr="00044184">
        <w:rPr>
          <w:szCs w:val="22"/>
          <w:lang w:val="sk-SK" w:eastAsia="en-GB"/>
        </w:rPr>
        <w:t xml:space="preserve"> fajčia, aby prestali fajčiť</w:t>
      </w:r>
      <w:r w:rsidR="00A91C62" w:rsidRPr="00044184">
        <w:rPr>
          <w:szCs w:val="22"/>
          <w:lang w:val="sk-SK" w:eastAsia="en-GB"/>
        </w:rPr>
        <w:t xml:space="preserve"> ešte pred</w:t>
      </w:r>
      <w:r w:rsidR="00636953" w:rsidRPr="00044184">
        <w:rPr>
          <w:szCs w:val="22"/>
          <w:lang w:val="sk-SK" w:eastAsia="en-GB"/>
        </w:rPr>
        <w:t> </w:t>
      </w:r>
      <w:r w:rsidR="00A91C62" w:rsidRPr="00044184">
        <w:rPr>
          <w:szCs w:val="22"/>
          <w:lang w:val="sk-SK" w:eastAsia="en-GB"/>
        </w:rPr>
        <w:t xml:space="preserve">začiatkom liečby </w:t>
      </w:r>
      <w:r w:rsidR="00F87242">
        <w:rPr>
          <w:szCs w:val="22"/>
          <w:lang w:val="sk-SK" w:eastAsia="en-GB"/>
        </w:rPr>
        <w:t>E</w:t>
      </w:r>
      <w:r w:rsidR="00A91C62" w:rsidRPr="00044184">
        <w:rPr>
          <w:szCs w:val="22"/>
          <w:lang w:val="sk-SK" w:eastAsia="en-GB"/>
        </w:rPr>
        <w:t>rlotinibom</w:t>
      </w:r>
      <w:r w:rsidR="00F87242">
        <w:rPr>
          <w:szCs w:val="22"/>
          <w:lang w:val="sk-SK" w:eastAsia="en-GB"/>
        </w:rPr>
        <w:t xml:space="preserve"> STADA</w:t>
      </w:r>
      <w:r w:rsidR="00D151A9" w:rsidRPr="00044184">
        <w:rPr>
          <w:szCs w:val="22"/>
          <w:lang w:val="sk-SK" w:eastAsia="en-GB"/>
        </w:rPr>
        <w:t xml:space="preserve">, </w:t>
      </w:r>
      <w:r w:rsidR="00C07FE4" w:rsidRPr="00044184">
        <w:rPr>
          <w:szCs w:val="22"/>
          <w:lang w:val="sk-SK" w:eastAsia="en-GB"/>
        </w:rPr>
        <w:t xml:space="preserve">pretože inak </w:t>
      </w:r>
      <w:r w:rsidR="00997B0A" w:rsidRPr="00044184">
        <w:rPr>
          <w:szCs w:val="22"/>
          <w:lang w:val="sk-SK" w:eastAsia="en-GB"/>
        </w:rPr>
        <w:t xml:space="preserve">budú </w:t>
      </w:r>
      <w:r w:rsidR="00C07FE4" w:rsidRPr="00044184">
        <w:rPr>
          <w:szCs w:val="22"/>
          <w:lang w:val="sk-SK" w:eastAsia="en-GB"/>
        </w:rPr>
        <w:t>plazmatick</w:t>
      </w:r>
      <w:r w:rsidR="00997B0A" w:rsidRPr="00044184">
        <w:rPr>
          <w:szCs w:val="22"/>
          <w:lang w:val="sk-SK" w:eastAsia="en-GB"/>
        </w:rPr>
        <w:t>é</w:t>
      </w:r>
      <w:r w:rsidR="00C07FE4" w:rsidRPr="00044184">
        <w:rPr>
          <w:szCs w:val="22"/>
          <w:lang w:val="sk-SK" w:eastAsia="en-GB"/>
        </w:rPr>
        <w:t xml:space="preserve"> koncentráci</w:t>
      </w:r>
      <w:r w:rsidR="00997B0A" w:rsidRPr="00044184">
        <w:rPr>
          <w:szCs w:val="22"/>
          <w:lang w:val="sk-SK" w:eastAsia="en-GB"/>
        </w:rPr>
        <w:t xml:space="preserve">e </w:t>
      </w:r>
      <w:r w:rsidR="001C2273" w:rsidRPr="00044184">
        <w:rPr>
          <w:szCs w:val="22"/>
          <w:lang w:val="sk-SK" w:eastAsia="en-GB"/>
        </w:rPr>
        <w:t xml:space="preserve">erlotinibu </w:t>
      </w:r>
      <w:r w:rsidR="00997B0A" w:rsidRPr="00044184">
        <w:rPr>
          <w:szCs w:val="22"/>
          <w:lang w:val="sk-SK" w:eastAsia="en-GB"/>
        </w:rPr>
        <w:t>znížené</w:t>
      </w:r>
      <w:r w:rsidR="00C07FE4" w:rsidRPr="00044184">
        <w:rPr>
          <w:szCs w:val="22"/>
          <w:lang w:val="sk-SK" w:eastAsia="en-GB"/>
        </w:rPr>
        <w:t>.</w:t>
      </w:r>
      <w:r w:rsidR="00951376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Klinický vplyv zníženej expozície sa formálne nehodnotil, ale pravdepodobne je klinicky významný</w:t>
      </w:r>
      <w:r w:rsidR="00951376" w:rsidRPr="00044184">
        <w:rPr>
          <w:szCs w:val="22"/>
          <w:lang w:val="sk-SK" w:eastAsia="en-GB"/>
        </w:rPr>
        <w:t>.</w:t>
      </w:r>
    </w:p>
    <w:p w:rsidR="00D14F59" w:rsidRPr="00044184" w:rsidRDefault="00D14F5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</w:t>
      </w:r>
      <w:r w:rsidR="00F232F8" w:rsidRPr="00044184">
        <w:rPr>
          <w:szCs w:val="22"/>
          <w:u w:val="single"/>
          <w:lang w:val="sk-SK" w:eastAsia="en-GB"/>
        </w:rPr>
        <w:t xml:space="preserve"> inhibítory</w:t>
      </w:r>
      <w:r w:rsidRPr="00044184">
        <w:rPr>
          <w:szCs w:val="22"/>
          <w:u w:val="single"/>
          <w:lang w:val="sk-SK" w:eastAsia="en-GB"/>
        </w:rPr>
        <w:t xml:space="preserve"> P</w:t>
      </w:r>
      <w:r w:rsidR="00F232F8" w:rsidRPr="00044184">
        <w:rPr>
          <w:szCs w:val="22"/>
          <w:u w:val="single"/>
          <w:lang w:val="sk-SK" w:eastAsia="en-GB"/>
        </w:rPr>
        <w:noBreakHyphen/>
      </w:r>
      <w:r w:rsidRPr="00044184">
        <w:rPr>
          <w:szCs w:val="22"/>
          <w:u w:val="single"/>
          <w:lang w:val="sk-SK" w:eastAsia="en-GB"/>
        </w:rPr>
        <w:t>gly</w:t>
      </w:r>
      <w:r w:rsidR="00F232F8" w:rsidRPr="00044184">
        <w:rPr>
          <w:szCs w:val="22"/>
          <w:u w:val="single"/>
          <w:lang w:val="sk-SK" w:eastAsia="en-GB"/>
        </w:rPr>
        <w:t>k</w:t>
      </w:r>
      <w:r w:rsidRPr="00044184">
        <w:rPr>
          <w:szCs w:val="22"/>
          <w:u w:val="single"/>
          <w:lang w:val="sk-SK" w:eastAsia="en-GB"/>
        </w:rPr>
        <w:t>oprote</w:t>
      </w:r>
      <w:r w:rsidR="00F232F8" w:rsidRPr="00044184">
        <w:rPr>
          <w:szCs w:val="22"/>
          <w:u w:val="single"/>
          <w:lang w:val="sk-SK" w:eastAsia="en-GB"/>
        </w:rPr>
        <w:t>í</w:t>
      </w:r>
      <w:r w:rsidRPr="00044184">
        <w:rPr>
          <w:szCs w:val="22"/>
          <w:u w:val="single"/>
          <w:lang w:val="sk-SK" w:eastAsia="en-GB"/>
        </w:rPr>
        <w:t>n</w:t>
      </w:r>
      <w:r w:rsidR="00F232F8" w:rsidRPr="00044184">
        <w:rPr>
          <w:szCs w:val="22"/>
          <w:u w:val="single"/>
          <w:lang w:val="sk-SK" w:eastAsia="en-GB"/>
        </w:rPr>
        <w:t>u</w:t>
      </w:r>
    </w:p>
    <w:p w:rsidR="00951376" w:rsidRPr="00044184" w:rsidRDefault="0095137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Erlotinib </w:t>
      </w:r>
      <w:r w:rsidR="00E36CD7" w:rsidRPr="00044184">
        <w:rPr>
          <w:szCs w:val="22"/>
          <w:lang w:val="sk-SK" w:eastAsia="en-GB"/>
        </w:rPr>
        <w:t xml:space="preserve">je substrátom </w:t>
      </w:r>
      <w:r w:rsidR="004615AA">
        <w:rPr>
          <w:szCs w:val="22"/>
          <w:lang w:val="sk-SK" w:eastAsia="en-GB"/>
        </w:rPr>
        <w:t>pre</w:t>
      </w:r>
      <w:r w:rsidR="004615AA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P</w:t>
      </w:r>
      <w:r w:rsidR="00E36CD7" w:rsidRPr="00044184">
        <w:rPr>
          <w:szCs w:val="22"/>
          <w:lang w:val="sk-SK" w:eastAsia="en-GB"/>
        </w:rPr>
        <w:noBreakHyphen/>
        <w:t>glykoproteín</w:t>
      </w:r>
      <w:r w:rsidR="004615AA">
        <w:rPr>
          <w:szCs w:val="22"/>
          <w:lang w:val="sk-SK" w:eastAsia="en-GB"/>
        </w:rPr>
        <w:t>, transportný proteín prenášajúci liečivo</w:t>
      </w:r>
      <w:r w:rsidR="00E36CD7" w:rsidRPr="00044184">
        <w:rPr>
          <w:szCs w:val="22"/>
          <w:lang w:val="sk-SK" w:eastAsia="en-GB"/>
        </w:rPr>
        <w:t>. Súbežné podávanie inhibítorov P</w:t>
      </w:r>
      <w:r w:rsidR="00E36CD7" w:rsidRPr="00044184">
        <w:rPr>
          <w:szCs w:val="22"/>
          <w:lang w:val="sk-SK" w:eastAsia="en-GB"/>
        </w:rPr>
        <w:noBreakHyphen/>
        <w:t xml:space="preserve">gp, napr. cyklosporínu a verapamilu, môže viesť k zmenenej distribúcii a/alebo </w:t>
      </w:r>
      <w:r w:rsidR="002E6C14" w:rsidRPr="00044184">
        <w:rPr>
          <w:szCs w:val="22"/>
          <w:lang w:val="sk-SK" w:eastAsia="en-GB"/>
        </w:rPr>
        <w:t>k </w:t>
      </w:r>
      <w:r w:rsidR="00E36CD7" w:rsidRPr="00044184">
        <w:rPr>
          <w:szCs w:val="22"/>
          <w:lang w:val="sk-SK" w:eastAsia="en-GB"/>
        </w:rPr>
        <w:t>zmenenej eliminácii erlotinibu</w:t>
      </w:r>
      <w:r w:rsidRPr="00044184">
        <w:rPr>
          <w:szCs w:val="22"/>
          <w:lang w:val="sk-SK" w:eastAsia="en-GB"/>
        </w:rPr>
        <w:t xml:space="preserve">. </w:t>
      </w:r>
      <w:r w:rsidR="00E36CD7" w:rsidRPr="00044184">
        <w:rPr>
          <w:szCs w:val="22"/>
          <w:lang w:val="sk-SK" w:eastAsia="en-GB"/>
        </w:rPr>
        <w:t xml:space="preserve">Dôsledky tejto interakcie, napr. </w:t>
      </w:r>
      <w:r w:rsidR="0075588E" w:rsidRPr="00044184">
        <w:rPr>
          <w:szCs w:val="22"/>
          <w:lang w:val="sk-SK" w:eastAsia="en-GB"/>
        </w:rPr>
        <w:t>v zmysle</w:t>
      </w:r>
      <w:r w:rsidR="00390C15" w:rsidRPr="00044184">
        <w:rPr>
          <w:szCs w:val="22"/>
          <w:lang w:val="sk-SK" w:eastAsia="en-GB"/>
        </w:rPr>
        <w:t xml:space="preserve"> </w:t>
      </w:r>
      <w:r w:rsidR="00E36CD7" w:rsidRPr="00044184">
        <w:rPr>
          <w:szCs w:val="22"/>
          <w:lang w:val="sk-SK" w:eastAsia="en-GB"/>
        </w:rPr>
        <w:t>toxické</w:t>
      </w:r>
      <w:r w:rsidR="00390C15" w:rsidRPr="00044184">
        <w:rPr>
          <w:szCs w:val="22"/>
          <w:lang w:val="sk-SK" w:eastAsia="en-GB"/>
        </w:rPr>
        <w:t>ho</w:t>
      </w:r>
      <w:r w:rsidR="00E36CD7" w:rsidRPr="00044184">
        <w:rPr>
          <w:szCs w:val="22"/>
          <w:lang w:val="sk-SK" w:eastAsia="en-GB"/>
        </w:rPr>
        <w:t xml:space="preserve"> pôsobeni</w:t>
      </w:r>
      <w:r w:rsidR="00390C15" w:rsidRPr="00044184">
        <w:rPr>
          <w:szCs w:val="22"/>
          <w:lang w:val="sk-SK" w:eastAsia="en-GB"/>
        </w:rPr>
        <w:t>a</w:t>
      </w:r>
      <w:r w:rsidR="00E36CD7" w:rsidRPr="00044184">
        <w:rPr>
          <w:szCs w:val="22"/>
          <w:lang w:val="sk-SK" w:eastAsia="en-GB"/>
        </w:rPr>
        <w:t xml:space="preserve"> na CNS, neboli stanovené. V takýchto prípadoch je potrebná obozretnosť</w:t>
      </w:r>
      <w:r w:rsidRPr="00044184">
        <w:rPr>
          <w:szCs w:val="22"/>
          <w:lang w:val="sk-SK" w:eastAsia="en-GB"/>
        </w:rPr>
        <w:t>.</w:t>
      </w:r>
    </w:p>
    <w:p w:rsidR="00D14F59" w:rsidRPr="00044184" w:rsidRDefault="00D14F5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14F59" w:rsidRPr="00044184" w:rsidRDefault="00D14F59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lastRenderedPageBreak/>
        <w:t>Erlotinib a</w:t>
      </w:r>
      <w:r w:rsidR="00F232F8" w:rsidRPr="00044184">
        <w:rPr>
          <w:szCs w:val="22"/>
          <w:u w:val="single"/>
          <w:lang w:val="sk-SK" w:eastAsia="en-GB"/>
        </w:rPr>
        <w:t> lieky, ktoré menia pH</w:t>
      </w:r>
    </w:p>
    <w:p w:rsidR="00D14F59" w:rsidRPr="00044184" w:rsidRDefault="00E36CD7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Erlotinib sa vyznačuje zníženou rozpustnosťou pri hodnote pH vyššej ako 5. Lieky, ktoré menia pH v hornej časti gastrointestinálneho traktu (GIT)</w:t>
      </w:r>
      <w:r w:rsidR="0075588E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môžu zmeniť rozpustnosť erlotinibu, a t</w:t>
      </w:r>
      <w:r w:rsidR="00326805" w:rsidRPr="00044184">
        <w:rPr>
          <w:szCs w:val="22"/>
          <w:lang w:val="sk-SK" w:eastAsia="en-GB"/>
        </w:rPr>
        <w:t>ým</w:t>
      </w:r>
      <w:r w:rsidRPr="00044184">
        <w:rPr>
          <w:szCs w:val="22"/>
          <w:lang w:val="sk-SK" w:eastAsia="en-GB"/>
        </w:rPr>
        <w:t xml:space="preserve"> aj jeho biologickú dostupnosť. </w:t>
      </w:r>
      <w:r w:rsidR="00326805" w:rsidRPr="00044184">
        <w:rPr>
          <w:szCs w:val="22"/>
          <w:lang w:val="sk-SK" w:eastAsia="en-GB"/>
        </w:rPr>
        <w:t xml:space="preserve">Súbežné podanie </w:t>
      </w:r>
      <w:r w:rsidR="00D14F59" w:rsidRPr="00044184">
        <w:rPr>
          <w:szCs w:val="22"/>
          <w:lang w:val="sk-SK" w:eastAsia="en-GB"/>
        </w:rPr>
        <w:t>erlotinib</w:t>
      </w:r>
      <w:r w:rsidR="00326805"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 </w:t>
      </w:r>
      <w:r w:rsidR="00326805" w:rsidRPr="00044184">
        <w:rPr>
          <w:szCs w:val="22"/>
          <w:lang w:val="sk-SK" w:eastAsia="en-GB"/>
        </w:rPr>
        <w:t>s </w:t>
      </w:r>
      <w:r w:rsidR="00D14F59" w:rsidRPr="00044184">
        <w:rPr>
          <w:szCs w:val="22"/>
          <w:lang w:val="sk-SK" w:eastAsia="en-GB"/>
        </w:rPr>
        <w:t>omeprazol</w:t>
      </w:r>
      <w:r w:rsidR="00326805" w:rsidRPr="00044184">
        <w:rPr>
          <w:szCs w:val="22"/>
          <w:lang w:val="sk-SK" w:eastAsia="en-GB"/>
        </w:rPr>
        <w:t>om</w:t>
      </w:r>
      <w:r w:rsidR="00D14F59" w:rsidRPr="00044184">
        <w:rPr>
          <w:szCs w:val="22"/>
          <w:lang w:val="sk-SK" w:eastAsia="en-GB"/>
        </w:rPr>
        <w:t>,</w:t>
      </w:r>
      <w:r w:rsidR="00326805" w:rsidRPr="00044184">
        <w:rPr>
          <w:szCs w:val="22"/>
          <w:lang w:val="sk-SK" w:eastAsia="en-GB"/>
        </w:rPr>
        <w:t xml:space="preserve"> inhibítorom</w:t>
      </w:r>
      <w:r w:rsidR="00D14F59" w:rsidRPr="00044184">
        <w:rPr>
          <w:szCs w:val="22"/>
          <w:lang w:val="sk-SK" w:eastAsia="en-GB"/>
        </w:rPr>
        <w:t xml:space="preserve"> prot</w:t>
      </w:r>
      <w:r w:rsidR="00326805" w:rsidRPr="00044184">
        <w:rPr>
          <w:szCs w:val="22"/>
          <w:lang w:val="sk-SK" w:eastAsia="en-GB"/>
        </w:rPr>
        <w:t>ó</w:t>
      </w:r>
      <w:r w:rsidR="00D14F59" w:rsidRPr="00044184">
        <w:rPr>
          <w:szCs w:val="22"/>
          <w:lang w:val="sk-SK" w:eastAsia="en-GB"/>
        </w:rPr>
        <w:t>n</w:t>
      </w:r>
      <w:r w:rsidR="00326805" w:rsidRPr="00044184">
        <w:rPr>
          <w:szCs w:val="22"/>
          <w:lang w:val="sk-SK" w:eastAsia="en-GB"/>
        </w:rPr>
        <w:t>ovej</w:t>
      </w:r>
      <w:r w:rsidR="00D14F59" w:rsidRPr="00044184">
        <w:rPr>
          <w:szCs w:val="22"/>
          <w:lang w:val="sk-SK" w:eastAsia="en-GB"/>
        </w:rPr>
        <w:t xml:space="preserve"> pump</w:t>
      </w:r>
      <w:r w:rsidR="00326805" w:rsidRPr="00044184">
        <w:rPr>
          <w:szCs w:val="22"/>
          <w:lang w:val="sk-SK" w:eastAsia="en-GB"/>
        </w:rPr>
        <w:t>y</w:t>
      </w:r>
      <w:r w:rsidR="00D14F59" w:rsidRPr="00044184">
        <w:rPr>
          <w:szCs w:val="22"/>
          <w:lang w:val="sk-SK" w:eastAsia="en-GB"/>
        </w:rPr>
        <w:t xml:space="preserve"> (</w:t>
      </w:r>
      <w:r w:rsidR="00326805" w:rsidRPr="00044184">
        <w:rPr>
          <w:szCs w:val="22"/>
          <w:lang w:val="sk-SK" w:eastAsia="en-GB"/>
        </w:rPr>
        <w:t>I</w:t>
      </w:r>
      <w:r w:rsidR="00D14F59" w:rsidRPr="00044184">
        <w:rPr>
          <w:szCs w:val="22"/>
          <w:lang w:val="sk-SK" w:eastAsia="en-GB"/>
        </w:rPr>
        <w:t>PP),</w:t>
      </w:r>
      <w:r w:rsidR="00992973" w:rsidRPr="00044184">
        <w:rPr>
          <w:szCs w:val="22"/>
          <w:lang w:val="sk-SK" w:eastAsia="en-GB"/>
        </w:rPr>
        <w:t xml:space="preserve"> </w:t>
      </w:r>
      <w:r w:rsidR="00326805" w:rsidRPr="00044184">
        <w:rPr>
          <w:szCs w:val="22"/>
          <w:lang w:val="sk-SK" w:eastAsia="en-GB"/>
        </w:rPr>
        <w:t xml:space="preserve">znížilo expozíciu </w:t>
      </w:r>
      <w:r w:rsidR="00D14F59" w:rsidRPr="00044184">
        <w:rPr>
          <w:szCs w:val="22"/>
          <w:lang w:val="sk-SK" w:eastAsia="en-GB"/>
        </w:rPr>
        <w:t xml:space="preserve">[AUC] </w:t>
      </w:r>
      <w:r w:rsidR="00326805" w:rsidRPr="00044184">
        <w:rPr>
          <w:szCs w:val="22"/>
          <w:lang w:val="sk-SK" w:eastAsia="en-GB"/>
        </w:rPr>
        <w:t xml:space="preserve">erlotinibu o 46 % a jeho maximálnu koncentráciu </w:t>
      </w:r>
      <w:r w:rsidR="00D14F59" w:rsidRPr="00044184">
        <w:rPr>
          <w:szCs w:val="22"/>
          <w:lang w:val="sk-SK" w:eastAsia="en-GB"/>
        </w:rPr>
        <w:t>[C</w:t>
      </w:r>
      <w:r w:rsidR="00D14F59" w:rsidRPr="00044184">
        <w:rPr>
          <w:szCs w:val="22"/>
          <w:vertAlign w:val="subscript"/>
          <w:lang w:val="sk-SK" w:eastAsia="en-GB"/>
        </w:rPr>
        <w:t>max</w:t>
      </w:r>
      <w:r w:rsidR="00D14F59" w:rsidRPr="00044184">
        <w:rPr>
          <w:szCs w:val="22"/>
          <w:lang w:val="sk-SK" w:eastAsia="en-GB"/>
        </w:rPr>
        <w:t xml:space="preserve">] </w:t>
      </w:r>
      <w:r w:rsidR="00326805" w:rsidRPr="00044184">
        <w:rPr>
          <w:szCs w:val="22"/>
          <w:lang w:val="sk-SK" w:eastAsia="en-GB"/>
        </w:rPr>
        <w:t>o </w:t>
      </w:r>
      <w:r w:rsidR="00D14F59" w:rsidRPr="00044184">
        <w:rPr>
          <w:szCs w:val="22"/>
          <w:lang w:val="sk-SK" w:eastAsia="en-GB"/>
        </w:rPr>
        <w:t>61</w:t>
      </w:r>
      <w:r w:rsidR="00326805" w:rsidRPr="00044184">
        <w:rPr>
          <w:szCs w:val="22"/>
          <w:lang w:val="sk-SK" w:eastAsia="en-GB"/>
        </w:rPr>
        <w:t> </w:t>
      </w:r>
      <w:r w:rsidR="00D14F59" w:rsidRPr="00044184">
        <w:rPr>
          <w:szCs w:val="22"/>
          <w:lang w:val="sk-SK" w:eastAsia="en-GB"/>
        </w:rPr>
        <w:t xml:space="preserve">%. </w:t>
      </w:r>
      <w:r w:rsidR="00326805" w:rsidRPr="00044184">
        <w:rPr>
          <w:szCs w:val="22"/>
          <w:lang w:val="sk-SK" w:eastAsia="en-GB"/>
        </w:rPr>
        <w:t xml:space="preserve">Nezistila sa žiadna zmena </w:t>
      </w:r>
      <w:r w:rsidR="00D14F59" w:rsidRPr="00044184">
        <w:rPr>
          <w:szCs w:val="22"/>
          <w:lang w:val="sk-SK" w:eastAsia="en-GB"/>
        </w:rPr>
        <w:t>T</w:t>
      </w:r>
      <w:r w:rsidR="00D14F59" w:rsidRPr="00044184">
        <w:rPr>
          <w:szCs w:val="22"/>
          <w:vertAlign w:val="subscript"/>
          <w:lang w:val="sk-SK" w:eastAsia="en-GB"/>
        </w:rPr>
        <w:t>max</w:t>
      </w:r>
      <w:r w:rsidR="00D14F59" w:rsidRPr="00044184">
        <w:rPr>
          <w:szCs w:val="22"/>
          <w:lang w:val="sk-SK" w:eastAsia="en-GB"/>
        </w:rPr>
        <w:t xml:space="preserve"> </w:t>
      </w:r>
      <w:r w:rsidR="00326805" w:rsidRPr="00044184">
        <w:rPr>
          <w:szCs w:val="22"/>
          <w:lang w:val="sk-SK" w:eastAsia="en-GB"/>
        </w:rPr>
        <w:t>alebo polčasu</w:t>
      </w:r>
      <w:r w:rsidR="005B7902" w:rsidRPr="00044184">
        <w:rPr>
          <w:szCs w:val="22"/>
          <w:lang w:val="sk-SK" w:eastAsia="en-GB"/>
        </w:rPr>
        <w:t xml:space="preserve">. </w:t>
      </w:r>
      <w:r w:rsidR="00326805" w:rsidRPr="00044184">
        <w:rPr>
          <w:szCs w:val="22"/>
          <w:lang w:val="sk-SK" w:eastAsia="en-GB"/>
        </w:rPr>
        <w:t xml:space="preserve">Súbežné podanie </w:t>
      </w:r>
      <w:r w:rsidR="00305614">
        <w:rPr>
          <w:szCs w:val="22"/>
          <w:lang w:val="sk-SK" w:eastAsia="en-GB"/>
        </w:rPr>
        <w:t>E</w:t>
      </w:r>
      <w:r w:rsidR="00326805" w:rsidRPr="00044184">
        <w:rPr>
          <w:szCs w:val="22"/>
          <w:lang w:val="sk-SK" w:eastAsia="en-GB"/>
        </w:rPr>
        <w:t xml:space="preserve">rlotinibu </w:t>
      </w:r>
      <w:r w:rsidR="00305614">
        <w:rPr>
          <w:szCs w:val="22"/>
          <w:lang w:val="sk-SK" w:eastAsia="en-GB"/>
        </w:rPr>
        <w:t xml:space="preserve">STADA </w:t>
      </w:r>
      <w:r w:rsidR="0075588E" w:rsidRPr="00044184">
        <w:rPr>
          <w:szCs w:val="22"/>
          <w:lang w:val="sk-SK" w:eastAsia="en-GB"/>
        </w:rPr>
        <w:t>a</w:t>
      </w:r>
      <w:r w:rsidR="00326805" w:rsidRPr="00044184">
        <w:rPr>
          <w:szCs w:val="22"/>
          <w:lang w:val="sk-SK" w:eastAsia="en-GB"/>
        </w:rPr>
        <w:t> </w:t>
      </w:r>
      <w:r w:rsidR="00D14F59" w:rsidRPr="00044184">
        <w:rPr>
          <w:szCs w:val="22"/>
          <w:lang w:val="sk-SK" w:eastAsia="en-GB"/>
        </w:rPr>
        <w:t>300</w:t>
      </w:r>
      <w:r w:rsidR="00326805" w:rsidRPr="00044184">
        <w:rPr>
          <w:szCs w:val="22"/>
          <w:lang w:val="sk-SK" w:eastAsia="en-GB"/>
        </w:rPr>
        <w:t> </w:t>
      </w:r>
      <w:r w:rsidR="00D14F59" w:rsidRPr="00044184">
        <w:rPr>
          <w:szCs w:val="22"/>
          <w:lang w:val="sk-SK" w:eastAsia="en-GB"/>
        </w:rPr>
        <w:t>mg ranitid</w:t>
      </w:r>
      <w:r w:rsidR="00326805" w:rsidRPr="00044184">
        <w:rPr>
          <w:szCs w:val="22"/>
          <w:lang w:val="sk-SK" w:eastAsia="en-GB"/>
        </w:rPr>
        <w:t>í</w:t>
      </w:r>
      <w:r w:rsidR="00D14F59" w:rsidRPr="00044184">
        <w:rPr>
          <w:szCs w:val="22"/>
          <w:lang w:val="sk-SK" w:eastAsia="en-GB"/>
        </w:rPr>
        <w:t>n</w:t>
      </w:r>
      <w:r w:rsidR="00326805"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, </w:t>
      </w:r>
      <w:r w:rsidR="00326805" w:rsidRPr="00044184">
        <w:rPr>
          <w:szCs w:val="22"/>
          <w:lang w:val="sk-SK" w:eastAsia="en-GB"/>
        </w:rPr>
        <w:t>antagonist</w:t>
      </w:r>
      <w:r w:rsidR="0075588E"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 H</w:t>
      </w:r>
      <w:r w:rsidR="00D14F59" w:rsidRPr="00044184">
        <w:rPr>
          <w:szCs w:val="22"/>
          <w:vertAlign w:val="subscript"/>
          <w:lang w:val="sk-SK" w:eastAsia="en-GB"/>
        </w:rPr>
        <w:t>2</w:t>
      </w:r>
      <w:r w:rsidR="00326805" w:rsidRPr="00044184">
        <w:rPr>
          <w:szCs w:val="22"/>
          <w:lang w:val="sk-SK" w:eastAsia="en-GB"/>
        </w:rPr>
        <w:noBreakHyphen/>
      </w:r>
      <w:r w:rsidR="00D14F59" w:rsidRPr="00044184">
        <w:rPr>
          <w:szCs w:val="22"/>
          <w:lang w:val="sk-SK" w:eastAsia="en-GB"/>
        </w:rPr>
        <w:t>receptor</w:t>
      </w:r>
      <w:r w:rsidR="00326805" w:rsidRPr="00044184">
        <w:rPr>
          <w:szCs w:val="22"/>
          <w:lang w:val="sk-SK" w:eastAsia="en-GB"/>
        </w:rPr>
        <w:t>ov</w:t>
      </w:r>
      <w:r w:rsidR="00D14F59" w:rsidRPr="00044184">
        <w:rPr>
          <w:szCs w:val="22"/>
          <w:lang w:val="sk-SK" w:eastAsia="en-GB"/>
        </w:rPr>
        <w:t xml:space="preserve">, </w:t>
      </w:r>
      <w:r w:rsidR="00326805" w:rsidRPr="00044184">
        <w:rPr>
          <w:szCs w:val="22"/>
          <w:lang w:val="sk-SK" w:eastAsia="en-GB"/>
        </w:rPr>
        <w:t>znížilo expozíciu [AUC] erlotinibu o 33 % a jeho maximálnu koncentráciu [C</w:t>
      </w:r>
      <w:r w:rsidR="00326805" w:rsidRPr="00044184">
        <w:rPr>
          <w:szCs w:val="22"/>
          <w:vertAlign w:val="subscript"/>
          <w:lang w:val="sk-SK" w:eastAsia="en-GB"/>
        </w:rPr>
        <w:t>max</w:t>
      </w:r>
      <w:r w:rsidR="00326805" w:rsidRPr="00044184">
        <w:rPr>
          <w:szCs w:val="22"/>
          <w:lang w:val="sk-SK" w:eastAsia="en-GB"/>
        </w:rPr>
        <w:t>] o </w:t>
      </w:r>
      <w:r w:rsidR="00D14F59" w:rsidRPr="00044184">
        <w:rPr>
          <w:szCs w:val="22"/>
          <w:lang w:val="sk-SK" w:eastAsia="en-GB"/>
        </w:rPr>
        <w:t>54</w:t>
      </w:r>
      <w:r w:rsidR="00326805" w:rsidRPr="00044184">
        <w:rPr>
          <w:szCs w:val="22"/>
          <w:lang w:val="sk-SK" w:eastAsia="en-GB"/>
        </w:rPr>
        <w:t> </w:t>
      </w:r>
      <w:r w:rsidR="00D14F59" w:rsidRPr="00044184">
        <w:rPr>
          <w:szCs w:val="22"/>
          <w:lang w:val="sk-SK" w:eastAsia="en-GB"/>
        </w:rPr>
        <w:t xml:space="preserve">%. </w:t>
      </w:r>
      <w:r w:rsidR="00C37EED" w:rsidRPr="00044184">
        <w:rPr>
          <w:szCs w:val="22"/>
          <w:lang w:val="sk-SK" w:eastAsia="en-GB"/>
        </w:rPr>
        <w:t xml:space="preserve">Nie je pravdepodobné, že by zvýšenie dávky </w:t>
      </w:r>
      <w:r w:rsidR="00305614">
        <w:rPr>
          <w:szCs w:val="22"/>
          <w:lang w:val="sk-SK" w:eastAsia="en-GB"/>
        </w:rPr>
        <w:t>E</w:t>
      </w:r>
      <w:r w:rsidR="00C37EED" w:rsidRPr="00044184">
        <w:rPr>
          <w:szCs w:val="22"/>
          <w:lang w:val="sk-SK" w:eastAsia="en-GB"/>
        </w:rPr>
        <w:t xml:space="preserve">rlotinibu </w:t>
      </w:r>
      <w:r w:rsidR="00305614">
        <w:rPr>
          <w:szCs w:val="22"/>
          <w:lang w:val="sk-SK" w:eastAsia="en-GB"/>
        </w:rPr>
        <w:t xml:space="preserve">STADA </w:t>
      </w:r>
      <w:r w:rsidR="00C37EED" w:rsidRPr="00044184">
        <w:rPr>
          <w:szCs w:val="22"/>
          <w:lang w:val="sk-SK" w:eastAsia="en-GB"/>
        </w:rPr>
        <w:t>pri</w:t>
      </w:r>
      <w:r w:rsidR="00305614">
        <w:rPr>
          <w:szCs w:val="22"/>
          <w:lang w:val="sk-SK" w:eastAsia="en-GB"/>
        </w:rPr>
        <w:t> </w:t>
      </w:r>
      <w:r w:rsidR="00C37EED" w:rsidRPr="00044184">
        <w:rPr>
          <w:szCs w:val="22"/>
          <w:lang w:val="sk-SK" w:eastAsia="en-GB"/>
        </w:rPr>
        <w:t xml:space="preserve">súbežnom podávaní </w:t>
      </w:r>
      <w:r w:rsidR="00305614">
        <w:rPr>
          <w:szCs w:val="22"/>
          <w:lang w:val="sk-SK" w:eastAsia="en-GB"/>
        </w:rPr>
        <w:t xml:space="preserve">s </w:t>
      </w:r>
      <w:r w:rsidR="00C37EED" w:rsidRPr="00044184">
        <w:rPr>
          <w:szCs w:val="22"/>
          <w:lang w:val="sk-SK" w:eastAsia="en-GB"/>
        </w:rPr>
        <w:t>taký</w:t>
      </w:r>
      <w:r w:rsidR="00305614">
        <w:rPr>
          <w:szCs w:val="22"/>
          <w:lang w:val="sk-SK" w:eastAsia="en-GB"/>
        </w:rPr>
        <w:t>mi</w:t>
      </w:r>
      <w:r w:rsidR="00C37EED" w:rsidRPr="00044184">
        <w:rPr>
          <w:szCs w:val="22"/>
          <w:lang w:val="sk-SK" w:eastAsia="en-GB"/>
        </w:rPr>
        <w:t>to l</w:t>
      </w:r>
      <w:r w:rsidR="009450BC" w:rsidRPr="00044184">
        <w:rPr>
          <w:szCs w:val="22"/>
          <w:lang w:val="sk-SK" w:eastAsia="en-GB"/>
        </w:rPr>
        <w:t>át</w:t>
      </w:r>
      <w:r w:rsidR="00305614">
        <w:rPr>
          <w:szCs w:val="22"/>
          <w:lang w:val="sk-SK" w:eastAsia="en-GB"/>
        </w:rPr>
        <w:t>kami</w:t>
      </w:r>
      <w:r w:rsidR="00C37EED" w:rsidRPr="00044184">
        <w:rPr>
          <w:szCs w:val="22"/>
          <w:lang w:val="sk-SK" w:eastAsia="en-GB"/>
        </w:rPr>
        <w:t xml:space="preserve"> kompenzovalo pokles expozície</w:t>
      </w:r>
      <w:r w:rsidR="00D14F59" w:rsidRPr="00044184">
        <w:rPr>
          <w:szCs w:val="22"/>
          <w:lang w:val="sk-SK" w:eastAsia="en-GB"/>
        </w:rPr>
        <w:t xml:space="preserve">. </w:t>
      </w:r>
      <w:r w:rsidR="00DE6696" w:rsidRPr="00044184">
        <w:rPr>
          <w:szCs w:val="22"/>
          <w:lang w:val="sk-SK" w:eastAsia="en-GB"/>
        </w:rPr>
        <w:t xml:space="preserve">Keď sa však podanie </w:t>
      </w:r>
      <w:r w:rsidR="00305614">
        <w:rPr>
          <w:szCs w:val="22"/>
          <w:lang w:val="sk-SK" w:eastAsia="en-GB"/>
        </w:rPr>
        <w:t>E</w:t>
      </w:r>
      <w:r w:rsidR="00DE6696" w:rsidRPr="00044184">
        <w:rPr>
          <w:szCs w:val="22"/>
          <w:lang w:val="sk-SK" w:eastAsia="en-GB"/>
        </w:rPr>
        <w:t xml:space="preserve">rlotinibu </w:t>
      </w:r>
      <w:r w:rsidR="00305614">
        <w:rPr>
          <w:szCs w:val="22"/>
          <w:lang w:val="sk-SK" w:eastAsia="en-GB"/>
        </w:rPr>
        <w:t xml:space="preserve">STADA </w:t>
      </w:r>
      <w:r w:rsidR="000331D9" w:rsidRPr="00044184">
        <w:rPr>
          <w:szCs w:val="22"/>
          <w:lang w:val="sk-SK" w:eastAsia="en-GB"/>
        </w:rPr>
        <w:t>časovo rozvrhlo</w:t>
      </w:r>
      <w:r w:rsidR="00DE6696" w:rsidRPr="00044184">
        <w:rPr>
          <w:szCs w:val="22"/>
          <w:lang w:val="sk-SK" w:eastAsia="en-GB"/>
        </w:rPr>
        <w:t xml:space="preserve"> tak, že sa užíval </w:t>
      </w:r>
      <w:r w:rsidR="00D14F59" w:rsidRPr="00044184">
        <w:rPr>
          <w:szCs w:val="22"/>
          <w:lang w:val="sk-SK" w:eastAsia="en-GB"/>
        </w:rPr>
        <w:t>2</w:t>
      </w:r>
      <w:r w:rsidR="00DE6696" w:rsidRPr="00044184">
        <w:rPr>
          <w:szCs w:val="22"/>
          <w:lang w:val="sk-SK" w:eastAsia="en-GB"/>
        </w:rPr>
        <w:t xml:space="preserve"> hodiny </w:t>
      </w:r>
      <w:r w:rsidR="000331D9" w:rsidRPr="00044184">
        <w:rPr>
          <w:szCs w:val="22"/>
          <w:lang w:val="sk-SK" w:eastAsia="en-GB"/>
        </w:rPr>
        <w:t xml:space="preserve">pred </w:t>
      </w:r>
      <w:r w:rsidR="000401B1" w:rsidRPr="00044184">
        <w:rPr>
          <w:szCs w:val="22"/>
          <w:lang w:val="sk-SK" w:eastAsia="en-GB"/>
        </w:rPr>
        <w:t xml:space="preserve">alebo 10 hodín po </w:t>
      </w:r>
      <w:r w:rsidR="000331D9" w:rsidRPr="00044184">
        <w:rPr>
          <w:szCs w:val="22"/>
          <w:lang w:val="sk-SK" w:eastAsia="en-GB"/>
        </w:rPr>
        <w:t>ranitidín</w:t>
      </w:r>
      <w:r w:rsidR="000401B1" w:rsidRPr="00044184">
        <w:rPr>
          <w:szCs w:val="22"/>
          <w:lang w:val="sk-SK" w:eastAsia="en-GB"/>
        </w:rPr>
        <w:t>e</w:t>
      </w:r>
      <w:r w:rsidR="000331D9" w:rsidRPr="00044184">
        <w:rPr>
          <w:szCs w:val="22"/>
          <w:lang w:val="sk-SK" w:eastAsia="en-GB"/>
        </w:rPr>
        <w:t xml:space="preserve"> podávan</w:t>
      </w:r>
      <w:r w:rsidR="000401B1" w:rsidRPr="00044184">
        <w:rPr>
          <w:szCs w:val="22"/>
          <w:lang w:val="sk-SK" w:eastAsia="en-GB"/>
        </w:rPr>
        <w:t>o</w:t>
      </w:r>
      <w:r w:rsidR="000331D9" w:rsidRPr="00044184">
        <w:rPr>
          <w:szCs w:val="22"/>
          <w:lang w:val="sk-SK" w:eastAsia="en-GB"/>
        </w:rPr>
        <w:t xml:space="preserve">m v dávke </w:t>
      </w:r>
      <w:r w:rsidR="00DE6696" w:rsidRPr="00044184">
        <w:rPr>
          <w:szCs w:val="22"/>
          <w:lang w:val="sk-SK" w:eastAsia="en-GB"/>
        </w:rPr>
        <w:t xml:space="preserve">150 mg </w:t>
      </w:r>
      <w:r w:rsidR="000331D9" w:rsidRPr="00044184">
        <w:rPr>
          <w:szCs w:val="22"/>
          <w:lang w:val="sk-SK" w:eastAsia="en-GB"/>
        </w:rPr>
        <w:t xml:space="preserve">dvakrát denne, expozícia [AUC] erlotinibu </w:t>
      </w:r>
      <w:r w:rsidR="00BD6046" w:rsidRPr="00044184">
        <w:rPr>
          <w:szCs w:val="22"/>
          <w:lang w:val="sk-SK" w:eastAsia="en-GB"/>
        </w:rPr>
        <w:t>s</w:t>
      </w:r>
      <w:r w:rsidR="00225AAB" w:rsidRPr="00044184">
        <w:rPr>
          <w:szCs w:val="22"/>
          <w:lang w:val="sk-SK" w:eastAsia="en-GB"/>
        </w:rPr>
        <w:t xml:space="preserve">a znížila iba o 15 % a jeho maximálna koncentrácia </w:t>
      </w:r>
      <w:r w:rsidR="00D14F59" w:rsidRPr="00044184">
        <w:rPr>
          <w:szCs w:val="22"/>
          <w:lang w:val="sk-SK" w:eastAsia="en-GB"/>
        </w:rPr>
        <w:t>[C</w:t>
      </w:r>
      <w:r w:rsidR="00D14F59" w:rsidRPr="00044184">
        <w:rPr>
          <w:szCs w:val="22"/>
          <w:vertAlign w:val="subscript"/>
          <w:lang w:val="sk-SK" w:eastAsia="en-GB"/>
        </w:rPr>
        <w:t>max</w:t>
      </w:r>
      <w:r w:rsidR="00D14F59" w:rsidRPr="00044184">
        <w:rPr>
          <w:szCs w:val="22"/>
          <w:lang w:val="sk-SK" w:eastAsia="en-GB"/>
        </w:rPr>
        <w:t xml:space="preserve">] </w:t>
      </w:r>
      <w:r w:rsidR="00225AAB" w:rsidRPr="00044184">
        <w:rPr>
          <w:szCs w:val="22"/>
          <w:lang w:val="sk-SK" w:eastAsia="en-GB"/>
        </w:rPr>
        <w:t>iba o </w:t>
      </w:r>
      <w:r w:rsidR="00D14F59" w:rsidRPr="00044184">
        <w:rPr>
          <w:szCs w:val="22"/>
          <w:lang w:val="sk-SK" w:eastAsia="en-GB"/>
        </w:rPr>
        <w:t>17</w:t>
      </w:r>
      <w:r w:rsidR="00225AAB" w:rsidRPr="00044184">
        <w:rPr>
          <w:szCs w:val="22"/>
          <w:lang w:val="sk-SK" w:eastAsia="en-GB"/>
        </w:rPr>
        <w:t> </w:t>
      </w:r>
      <w:r w:rsidR="00D14F59" w:rsidRPr="00044184">
        <w:rPr>
          <w:szCs w:val="22"/>
          <w:lang w:val="sk-SK" w:eastAsia="en-GB"/>
        </w:rPr>
        <w:t xml:space="preserve">%. </w:t>
      </w:r>
      <w:r w:rsidR="00B9447C" w:rsidRPr="00044184">
        <w:rPr>
          <w:szCs w:val="22"/>
          <w:lang w:val="sk-SK" w:eastAsia="en-GB"/>
        </w:rPr>
        <w:t xml:space="preserve">Vplyv antacíd na </w:t>
      </w:r>
      <w:r w:rsidR="00D14F59" w:rsidRPr="00044184">
        <w:rPr>
          <w:szCs w:val="22"/>
          <w:lang w:val="sk-SK" w:eastAsia="en-GB"/>
        </w:rPr>
        <w:t>absorp</w:t>
      </w:r>
      <w:r w:rsidR="00B9447C" w:rsidRPr="00044184">
        <w:rPr>
          <w:szCs w:val="22"/>
          <w:lang w:val="sk-SK" w:eastAsia="en-GB"/>
        </w:rPr>
        <w:t>c</w:t>
      </w:r>
      <w:r w:rsidR="00D14F59" w:rsidRPr="00044184">
        <w:rPr>
          <w:szCs w:val="22"/>
          <w:lang w:val="sk-SK" w:eastAsia="en-GB"/>
        </w:rPr>
        <w:t>i</w:t>
      </w:r>
      <w:r w:rsidR="00B9447C"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 erlotinib</w:t>
      </w:r>
      <w:r w:rsidR="00B9447C" w:rsidRPr="00044184">
        <w:rPr>
          <w:szCs w:val="22"/>
          <w:lang w:val="sk-SK" w:eastAsia="en-GB"/>
        </w:rPr>
        <w:t xml:space="preserve">u sa neskúmal, ale absorpcia môže byť zhoršená a viesť k nižším </w:t>
      </w:r>
      <w:r w:rsidR="006618AC">
        <w:rPr>
          <w:szCs w:val="22"/>
          <w:lang w:val="sk-SK" w:eastAsia="en-GB"/>
        </w:rPr>
        <w:t>plazmatickým hladinám</w:t>
      </w:r>
      <w:r w:rsidR="00D14F59" w:rsidRPr="00044184">
        <w:rPr>
          <w:szCs w:val="22"/>
          <w:lang w:val="sk-SK" w:eastAsia="en-GB"/>
        </w:rPr>
        <w:t xml:space="preserve">. </w:t>
      </w:r>
      <w:r w:rsidR="00A63583" w:rsidRPr="00044184">
        <w:rPr>
          <w:szCs w:val="22"/>
          <w:lang w:val="sk-SK" w:eastAsia="en-GB"/>
        </w:rPr>
        <w:t>Celkovo je možné zhrnúť, že je potrebné vyhnúť sa podávaniu erlotinibu v kombinácii s inhibítormi protónovej pumpy</w:t>
      </w:r>
      <w:r w:rsidR="00D14F59" w:rsidRPr="00044184">
        <w:rPr>
          <w:szCs w:val="22"/>
          <w:lang w:val="sk-SK" w:eastAsia="en-GB"/>
        </w:rPr>
        <w:t xml:space="preserve">. </w:t>
      </w:r>
      <w:r w:rsidR="00B9447C" w:rsidRPr="00044184">
        <w:rPr>
          <w:szCs w:val="22"/>
          <w:lang w:val="sk-SK" w:eastAsia="en-GB"/>
        </w:rPr>
        <w:t>Ak sa použitie antac</w:t>
      </w:r>
      <w:r w:rsidR="00BB1520" w:rsidRPr="00044184">
        <w:rPr>
          <w:szCs w:val="22"/>
          <w:lang w:val="sk-SK" w:eastAsia="en-GB"/>
        </w:rPr>
        <w:t>í</w:t>
      </w:r>
      <w:r w:rsidR="00B9447C" w:rsidRPr="00044184">
        <w:rPr>
          <w:szCs w:val="22"/>
          <w:lang w:val="sk-SK" w:eastAsia="en-GB"/>
        </w:rPr>
        <w:t xml:space="preserve">d počas liečby </w:t>
      </w:r>
      <w:r w:rsidR="006618AC">
        <w:rPr>
          <w:szCs w:val="22"/>
          <w:lang w:val="sk-SK" w:eastAsia="en-GB"/>
        </w:rPr>
        <w:t>E</w:t>
      </w:r>
      <w:r w:rsidR="00B9447C" w:rsidRPr="00044184">
        <w:rPr>
          <w:szCs w:val="22"/>
          <w:lang w:val="sk-SK" w:eastAsia="en-GB"/>
        </w:rPr>
        <w:t xml:space="preserve">rlotinibom </w:t>
      </w:r>
      <w:r w:rsidR="006618AC">
        <w:rPr>
          <w:szCs w:val="22"/>
          <w:lang w:val="sk-SK" w:eastAsia="en-GB"/>
        </w:rPr>
        <w:t xml:space="preserve">STADA </w:t>
      </w:r>
      <w:r w:rsidR="00B9447C" w:rsidRPr="00044184">
        <w:rPr>
          <w:szCs w:val="22"/>
          <w:lang w:val="sk-SK" w:eastAsia="en-GB"/>
        </w:rPr>
        <w:t xml:space="preserve">považuje za nevyhnutné, majú sa užívať aspoň 4 hodiny pred podaním dennej dávky </w:t>
      </w:r>
      <w:r w:rsidR="006618AC">
        <w:rPr>
          <w:szCs w:val="22"/>
          <w:lang w:val="sk-SK" w:eastAsia="en-GB"/>
        </w:rPr>
        <w:t>E</w:t>
      </w:r>
      <w:r w:rsidR="00B9447C" w:rsidRPr="00044184">
        <w:rPr>
          <w:szCs w:val="22"/>
          <w:lang w:val="sk-SK" w:eastAsia="en-GB"/>
        </w:rPr>
        <w:t xml:space="preserve">rlotinibu </w:t>
      </w:r>
      <w:r w:rsidR="006618AC">
        <w:rPr>
          <w:szCs w:val="22"/>
          <w:lang w:val="sk-SK" w:eastAsia="en-GB"/>
        </w:rPr>
        <w:t xml:space="preserve">STADA </w:t>
      </w:r>
      <w:r w:rsidR="00B9447C" w:rsidRPr="00044184">
        <w:rPr>
          <w:szCs w:val="22"/>
          <w:lang w:val="sk-SK" w:eastAsia="en-GB"/>
        </w:rPr>
        <w:t>alebo 2 hodiny po jej podaní</w:t>
      </w:r>
      <w:r w:rsidR="00D14F59" w:rsidRPr="00044184">
        <w:rPr>
          <w:szCs w:val="22"/>
          <w:lang w:val="sk-SK" w:eastAsia="en-GB"/>
        </w:rPr>
        <w:t>.</w:t>
      </w:r>
      <w:r w:rsidR="00B9447C" w:rsidRPr="00044184">
        <w:rPr>
          <w:szCs w:val="22"/>
          <w:lang w:val="sk-SK" w:eastAsia="en-GB"/>
        </w:rPr>
        <w:t xml:space="preserve"> Ak sa uvažuje o použití ranitidínu, jeho podávanie sa má </w:t>
      </w:r>
      <w:r w:rsidR="00A63583" w:rsidRPr="00044184">
        <w:rPr>
          <w:szCs w:val="22"/>
          <w:lang w:val="sk-SK" w:eastAsia="en-GB"/>
        </w:rPr>
        <w:t>časovo rozvrhnúť</w:t>
      </w:r>
      <w:r w:rsidR="00B9447C" w:rsidRPr="00044184">
        <w:rPr>
          <w:szCs w:val="22"/>
          <w:lang w:val="sk-SK" w:eastAsia="en-GB"/>
        </w:rPr>
        <w:t>; t. j. </w:t>
      </w:r>
      <w:r w:rsidR="006618AC">
        <w:rPr>
          <w:szCs w:val="22"/>
          <w:lang w:val="sk-SK" w:eastAsia="en-GB"/>
        </w:rPr>
        <w:t>E</w:t>
      </w:r>
      <w:r w:rsidR="00B9447C" w:rsidRPr="00044184">
        <w:rPr>
          <w:szCs w:val="22"/>
          <w:lang w:val="sk-SK" w:eastAsia="en-GB"/>
        </w:rPr>
        <w:t xml:space="preserve">rlotinib </w:t>
      </w:r>
      <w:r w:rsidR="006618AC">
        <w:rPr>
          <w:szCs w:val="22"/>
          <w:lang w:val="sk-SK" w:eastAsia="en-GB"/>
        </w:rPr>
        <w:t xml:space="preserve">STADA </w:t>
      </w:r>
      <w:r w:rsidR="00B9447C" w:rsidRPr="00044184">
        <w:rPr>
          <w:szCs w:val="22"/>
          <w:lang w:val="sk-SK" w:eastAsia="en-GB"/>
        </w:rPr>
        <w:t>sa musí už</w:t>
      </w:r>
      <w:r w:rsidR="000636A7" w:rsidRPr="00044184">
        <w:rPr>
          <w:szCs w:val="22"/>
          <w:lang w:val="sk-SK" w:eastAsia="en-GB"/>
        </w:rPr>
        <w:t>ívať</w:t>
      </w:r>
      <w:r w:rsidR="00B9447C" w:rsidRPr="00044184">
        <w:rPr>
          <w:szCs w:val="22"/>
          <w:lang w:val="sk-SK" w:eastAsia="en-GB"/>
        </w:rPr>
        <w:t xml:space="preserve"> aspoň</w:t>
      </w:r>
      <w:r w:rsidR="00D14F59" w:rsidRPr="00044184">
        <w:rPr>
          <w:szCs w:val="22"/>
          <w:lang w:val="sk-SK" w:eastAsia="en-GB"/>
        </w:rPr>
        <w:t xml:space="preserve"> </w:t>
      </w:r>
      <w:r w:rsidR="00B9447C" w:rsidRPr="00044184">
        <w:rPr>
          <w:szCs w:val="22"/>
          <w:lang w:val="sk-SK" w:eastAsia="en-GB"/>
        </w:rPr>
        <w:t>2 hodiny pred podaním ranitidí</w:t>
      </w:r>
      <w:r w:rsidR="00D2218C" w:rsidRPr="00044184">
        <w:rPr>
          <w:szCs w:val="22"/>
          <w:lang w:val="sk-SK" w:eastAsia="en-GB"/>
        </w:rPr>
        <w:t>n</w:t>
      </w:r>
      <w:r w:rsidR="00B9447C" w:rsidRPr="00044184">
        <w:rPr>
          <w:szCs w:val="22"/>
          <w:lang w:val="sk-SK" w:eastAsia="en-GB"/>
        </w:rPr>
        <w:t>u alebo 10 hodín po jeho podaní</w:t>
      </w:r>
      <w:r w:rsidR="00D14F59" w:rsidRPr="00044184">
        <w:rPr>
          <w:szCs w:val="22"/>
          <w:lang w:val="sk-SK" w:eastAsia="en-GB"/>
        </w:rPr>
        <w:t>.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14F59" w:rsidRPr="00044184" w:rsidRDefault="00D14F5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 xml:space="preserve">Erlotinib a </w:t>
      </w:r>
      <w:r w:rsidR="00C6146C" w:rsidRPr="00044184">
        <w:rPr>
          <w:szCs w:val="22"/>
          <w:u w:val="single"/>
          <w:lang w:val="sk-SK" w:eastAsia="en-GB"/>
        </w:rPr>
        <w:t>g</w:t>
      </w:r>
      <w:r w:rsidRPr="00044184">
        <w:rPr>
          <w:szCs w:val="22"/>
          <w:u w:val="single"/>
          <w:lang w:val="sk-SK" w:eastAsia="en-GB"/>
        </w:rPr>
        <w:t>emcitab</w:t>
      </w:r>
      <w:r w:rsidR="00C6146C" w:rsidRPr="00044184">
        <w:rPr>
          <w:szCs w:val="22"/>
          <w:u w:val="single"/>
          <w:lang w:val="sk-SK" w:eastAsia="en-GB"/>
        </w:rPr>
        <w:t>í</w:t>
      </w:r>
      <w:r w:rsidRPr="00044184">
        <w:rPr>
          <w:szCs w:val="22"/>
          <w:u w:val="single"/>
          <w:lang w:val="sk-SK" w:eastAsia="en-GB"/>
        </w:rPr>
        <w:t>n</w:t>
      </w:r>
    </w:p>
    <w:p w:rsidR="00D14F59" w:rsidRPr="00044184" w:rsidRDefault="001D4A1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V štúdii fázy </w:t>
      </w:r>
      <w:r w:rsidR="00D14F59" w:rsidRPr="00044184">
        <w:rPr>
          <w:szCs w:val="22"/>
          <w:lang w:val="sk-SK" w:eastAsia="en-GB"/>
        </w:rPr>
        <w:t xml:space="preserve">Ib </w:t>
      </w:r>
      <w:r w:rsidRPr="00044184">
        <w:rPr>
          <w:szCs w:val="22"/>
          <w:lang w:val="sk-SK" w:eastAsia="en-GB"/>
        </w:rPr>
        <w:t xml:space="preserve">sa nezistil významný vplyv </w:t>
      </w:r>
      <w:r w:rsidR="00D14F59" w:rsidRPr="00044184">
        <w:rPr>
          <w:szCs w:val="22"/>
          <w:lang w:val="sk-SK" w:eastAsia="en-GB"/>
        </w:rPr>
        <w:t>gemcitab</w:t>
      </w:r>
      <w:r w:rsidRPr="00044184">
        <w:rPr>
          <w:szCs w:val="22"/>
          <w:lang w:val="sk-SK" w:eastAsia="en-GB"/>
        </w:rPr>
        <w:t>í</w:t>
      </w:r>
      <w:r w:rsidR="00D14F59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 n</w:t>
      </w:r>
      <w:r w:rsidRPr="00044184">
        <w:rPr>
          <w:szCs w:val="22"/>
          <w:lang w:val="sk-SK" w:eastAsia="en-GB"/>
        </w:rPr>
        <w:t>a</w:t>
      </w:r>
      <w:r w:rsidR="00D14F59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f</w:t>
      </w:r>
      <w:r w:rsidR="00D14F59" w:rsidRPr="00044184">
        <w:rPr>
          <w:szCs w:val="22"/>
          <w:lang w:val="sk-SK" w:eastAsia="en-GB"/>
        </w:rPr>
        <w:t>arma</w:t>
      </w:r>
      <w:r w:rsidRPr="00044184">
        <w:rPr>
          <w:szCs w:val="22"/>
          <w:lang w:val="sk-SK" w:eastAsia="en-GB"/>
        </w:rPr>
        <w:t>k</w:t>
      </w:r>
      <w:r w:rsidR="00D14F59" w:rsidRPr="00044184">
        <w:rPr>
          <w:szCs w:val="22"/>
          <w:lang w:val="sk-SK" w:eastAsia="en-GB"/>
        </w:rPr>
        <w:t>okineti</w:t>
      </w:r>
      <w:r w:rsidRPr="00044184">
        <w:rPr>
          <w:szCs w:val="22"/>
          <w:lang w:val="sk-SK" w:eastAsia="en-GB"/>
        </w:rPr>
        <w:t>ku</w:t>
      </w:r>
      <w:r w:rsidR="00F24D6B" w:rsidRPr="00044184">
        <w:rPr>
          <w:szCs w:val="22"/>
          <w:lang w:val="sk-SK" w:eastAsia="en-GB"/>
        </w:rPr>
        <w:t xml:space="preserve"> </w:t>
      </w:r>
      <w:r w:rsidR="00D14F59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u ani významný vplyv </w:t>
      </w:r>
      <w:r w:rsidR="00D14F59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 xml:space="preserve"> n</w:t>
      </w:r>
      <w:r w:rsidRPr="00044184">
        <w:rPr>
          <w:szCs w:val="22"/>
          <w:lang w:val="sk-SK" w:eastAsia="en-GB"/>
        </w:rPr>
        <w:t>a</w:t>
      </w:r>
      <w:r w:rsidR="00D14F59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f</w:t>
      </w:r>
      <w:r w:rsidR="00D14F59" w:rsidRPr="00044184">
        <w:rPr>
          <w:szCs w:val="22"/>
          <w:lang w:val="sk-SK" w:eastAsia="en-GB"/>
        </w:rPr>
        <w:t>arma</w:t>
      </w:r>
      <w:r w:rsidRPr="00044184">
        <w:rPr>
          <w:szCs w:val="22"/>
          <w:lang w:val="sk-SK" w:eastAsia="en-GB"/>
        </w:rPr>
        <w:t>k</w:t>
      </w:r>
      <w:r w:rsidR="00D14F59" w:rsidRPr="00044184">
        <w:rPr>
          <w:szCs w:val="22"/>
          <w:lang w:val="sk-SK" w:eastAsia="en-GB"/>
        </w:rPr>
        <w:t>okineti</w:t>
      </w:r>
      <w:r w:rsidRPr="00044184">
        <w:rPr>
          <w:szCs w:val="22"/>
          <w:lang w:val="sk-SK" w:eastAsia="en-GB"/>
        </w:rPr>
        <w:t>ku</w:t>
      </w:r>
      <w:r w:rsidR="00D14F59" w:rsidRPr="00044184">
        <w:rPr>
          <w:szCs w:val="22"/>
          <w:lang w:val="sk-SK" w:eastAsia="en-GB"/>
        </w:rPr>
        <w:t xml:space="preserve"> gemcitab</w:t>
      </w:r>
      <w:r w:rsidRPr="00044184">
        <w:rPr>
          <w:szCs w:val="22"/>
          <w:lang w:val="sk-SK" w:eastAsia="en-GB"/>
        </w:rPr>
        <w:t>í</w:t>
      </w:r>
      <w:r w:rsidR="00D14F59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>u</w:t>
      </w:r>
      <w:r w:rsidR="00D14F59" w:rsidRPr="00044184">
        <w:rPr>
          <w:szCs w:val="22"/>
          <w:lang w:val="sk-SK" w:eastAsia="en-GB"/>
        </w:rPr>
        <w:t>.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 xml:space="preserve">Erlotinib a </w:t>
      </w:r>
      <w:r w:rsidR="003119BB" w:rsidRPr="00044184">
        <w:rPr>
          <w:szCs w:val="22"/>
          <w:u w:val="single"/>
          <w:lang w:val="sk-SK" w:eastAsia="en-GB"/>
        </w:rPr>
        <w:t>k</w:t>
      </w:r>
      <w:r w:rsidRPr="00044184">
        <w:rPr>
          <w:szCs w:val="22"/>
          <w:u w:val="single"/>
          <w:lang w:val="sk-SK" w:eastAsia="en-GB"/>
        </w:rPr>
        <w:t>arboplatin</w:t>
      </w:r>
      <w:r w:rsidR="003119BB" w:rsidRPr="00044184">
        <w:rPr>
          <w:szCs w:val="22"/>
          <w:u w:val="single"/>
          <w:lang w:val="sk-SK" w:eastAsia="en-GB"/>
        </w:rPr>
        <w:t>a</w:t>
      </w:r>
      <w:r w:rsidRPr="00044184">
        <w:rPr>
          <w:szCs w:val="22"/>
          <w:u w:val="single"/>
          <w:lang w:val="sk-SK" w:eastAsia="en-GB"/>
        </w:rPr>
        <w:t>/</w:t>
      </w:r>
      <w:r w:rsidR="003119BB" w:rsidRPr="00044184">
        <w:rPr>
          <w:szCs w:val="22"/>
          <w:u w:val="single"/>
          <w:lang w:val="sk-SK" w:eastAsia="en-GB"/>
        </w:rPr>
        <w:t>p</w:t>
      </w:r>
      <w:r w:rsidRPr="00044184">
        <w:rPr>
          <w:szCs w:val="22"/>
          <w:u w:val="single"/>
          <w:lang w:val="sk-SK" w:eastAsia="en-GB"/>
        </w:rPr>
        <w:t>a</w:t>
      </w:r>
      <w:r w:rsidR="003119BB" w:rsidRPr="00044184">
        <w:rPr>
          <w:szCs w:val="22"/>
          <w:u w:val="single"/>
          <w:lang w:val="sk-SK" w:eastAsia="en-GB"/>
        </w:rPr>
        <w:t>k</w:t>
      </w:r>
      <w:r w:rsidRPr="00044184">
        <w:rPr>
          <w:szCs w:val="22"/>
          <w:u w:val="single"/>
          <w:lang w:val="sk-SK" w:eastAsia="en-GB"/>
        </w:rPr>
        <w:t>litaxel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Erlotinib </w:t>
      </w:r>
      <w:r w:rsidR="002451C8" w:rsidRPr="00044184">
        <w:rPr>
          <w:szCs w:val="22"/>
          <w:lang w:val="sk-SK" w:eastAsia="en-GB"/>
        </w:rPr>
        <w:t>zvyšuje koncentrácie platiny</w:t>
      </w:r>
      <w:r w:rsidRPr="00044184">
        <w:rPr>
          <w:szCs w:val="22"/>
          <w:lang w:val="sk-SK" w:eastAsia="en-GB"/>
        </w:rPr>
        <w:t xml:space="preserve">. </w:t>
      </w:r>
      <w:r w:rsidR="004357EC" w:rsidRPr="00044184">
        <w:rPr>
          <w:szCs w:val="22"/>
          <w:lang w:val="sk-SK" w:eastAsia="en-GB"/>
        </w:rPr>
        <w:t xml:space="preserve">V klinickej štúdii viedlo súbežné podávanie erlotinibu s karboplatinou a paklitaxelom k zvýšeniu </w:t>
      </w:r>
      <w:r w:rsidR="00CB5810" w:rsidRPr="00044184">
        <w:rPr>
          <w:szCs w:val="22"/>
          <w:lang w:val="sk-SK" w:eastAsia="en-GB"/>
        </w:rPr>
        <w:t xml:space="preserve">hodnoty </w:t>
      </w:r>
      <w:r w:rsidR="001511E9" w:rsidRPr="00044184">
        <w:rPr>
          <w:szCs w:val="22"/>
          <w:lang w:val="sk-SK" w:eastAsia="en-GB"/>
        </w:rPr>
        <w:t>celkovej AUC</w:t>
      </w:r>
      <w:r w:rsidR="001511E9" w:rsidRPr="00044184">
        <w:rPr>
          <w:szCs w:val="22"/>
          <w:vertAlign w:val="subscript"/>
          <w:lang w:val="sk-SK" w:eastAsia="en-GB"/>
        </w:rPr>
        <w:t>0-48</w:t>
      </w:r>
      <w:r w:rsidR="001511E9" w:rsidRPr="00044184">
        <w:rPr>
          <w:szCs w:val="22"/>
          <w:lang w:val="sk-SK" w:eastAsia="en-GB"/>
        </w:rPr>
        <w:t xml:space="preserve"> platiny o </w:t>
      </w:r>
      <w:r w:rsidRPr="00044184">
        <w:rPr>
          <w:szCs w:val="22"/>
          <w:lang w:val="sk-SK" w:eastAsia="en-GB"/>
        </w:rPr>
        <w:t>10</w:t>
      </w:r>
      <w:r w:rsidR="001511E9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>6</w:t>
      </w:r>
      <w:r w:rsidR="001511E9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%. </w:t>
      </w:r>
      <w:r w:rsidR="001511E9" w:rsidRPr="00044184">
        <w:rPr>
          <w:szCs w:val="22"/>
          <w:lang w:val="sk-SK" w:eastAsia="en-GB"/>
        </w:rPr>
        <w:t xml:space="preserve">Hoci </w:t>
      </w:r>
      <w:r w:rsidR="003D69B4" w:rsidRPr="00044184">
        <w:rPr>
          <w:szCs w:val="22"/>
          <w:lang w:val="sk-SK" w:eastAsia="en-GB"/>
        </w:rPr>
        <w:t>bol</w:t>
      </w:r>
      <w:r w:rsidR="001511E9" w:rsidRPr="00044184">
        <w:rPr>
          <w:szCs w:val="22"/>
          <w:lang w:val="sk-SK" w:eastAsia="en-GB"/>
        </w:rPr>
        <w:t xml:space="preserve"> </w:t>
      </w:r>
      <w:r w:rsidR="003247A1" w:rsidRPr="00044184">
        <w:rPr>
          <w:szCs w:val="22"/>
          <w:lang w:val="sk-SK" w:eastAsia="en-GB"/>
        </w:rPr>
        <w:t xml:space="preserve">rozdiel v tejto hodnote </w:t>
      </w:r>
      <w:r w:rsidR="001511E9" w:rsidRPr="00044184">
        <w:rPr>
          <w:szCs w:val="22"/>
          <w:lang w:val="sk-SK" w:eastAsia="en-GB"/>
        </w:rPr>
        <w:t>štatisticky významn</w:t>
      </w:r>
      <w:r w:rsidR="003247A1" w:rsidRPr="00044184">
        <w:rPr>
          <w:szCs w:val="22"/>
          <w:lang w:val="sk-SK" w:eastAsia="en-GB"/>
        </w:rPr>
        <w:t>ý</w:t>
      </w:r>
      <w:r w:rsidR="001511E9" w:rsidRPr="00044184">
        <w:rPr>
          <w:szCs w:val="22"/>
          <w:lang w:val="sk-SK" w:eastAsia="en-GB"/>
        </w:rPr>
        <w:t xml:space="preserve">, </w:t>
      </w:r>
      <w:r w:rsidR="003D69B4" w:rsidRPr="00044184">
        <w:rPr>
          <w:szCs w:val="22"/>
          <w:lang w:val="sk-SK" w:eastAsia="en-GB"/>
        </w:rPr>
        <w:t xml:space="preserve">takéto zvýšenie </w:t>
      </w:r>
      <w:r w:rsidR="00146E9A" w:rsidRPr="00044184">
        <w:rPr>
          <w:szCs w:val="22"/>
          <w:lang w:val="sk-SK" w:eastAsia="en-GB"/>
        </w:rPr>
        <w:t xml:space="preserve">sa </w:t>
      </w:r>
      <w:r w:rsidR="001511E9" w:rsidRPr="00044184">
        <w:rPr>
          <w:szCs w:val="22"/>
          <w:lang w:val="sk-SK" w:eastAsia="en-GB"/>
        </w:rPr>
        <w:t>nepovažuje za klinicky významn</w:t>
      </w:r>
      <w:r w:rsidR="00146E9A" w:rsidRPr="00044184">
        <w:rPr>
          <w:szCs w:val="22"/>
          <w:lang w:val="sk-SK" w:eastAsia="en-GB"/>
        </w:rPr>
        <w:t>é</w:t>
      </w:r>
      <w:r w:rsidRPr="00044184">
        <w:rPr>
          <w:szCs w:val="22"/>
          <w:lang w:val="sk-SK" w:eastAsia="en-GB"/>
        </w:rPr>
        <w:t xml:space="preserve">. </w:t>
      </w:r>
      <w:r w:rsidR="001511E9" w:rsidRPr="00044184">
        <w:rPr>
          <w:szCs w:val="22"/>
          <w:lang w:val="sk-SK" w:eastAsia="en-GB"/>
        </w:rPr>
        <w:t xml:space="preserve">V klinickej praxi môžu byť </w:t>
      </w:r>
      <w:r w:rsidR="00146E9A" w:rsidRPr="00044184">
        <w:rPr>
          <w:szCs w:val="22"/>
          <w:lang w:val="sk-SK" w:eastAsia="en-GB"/>
        </w:rPr>
        <w:t>prítomné ďalšie faktory</w:t>
      </w:r>
      <w:r w:rsidR="003D69B4" w:rsidRPr="00044184">
        <w:rPr>
          <w:szCs w:val="22"/>
          <w:lang w:val="sk-SK" w:eastAsia="en-GB"/>
        </w:rPr>
        <w:t xml:space="preserve"> vedúce k zvýšenej expozícii karboplatiny, ako napríklad porucha funkcia obličiek</w:t>
      </w:r>
      <w:r w:rsidRPr="00044184">
        <w:rPr>
          <w:szCs w:val="22"/>
          <w:lang w:val="sk-SK" w:eastAsia="en-GB"/>
        </w:rPr>
        <w:t xml:space="preserve">. </w:t>
      </w:r>
      <w:r w:rsidR="001A51A9" w:rsidRPr="00044184">
        <w:rPr>
          <w:szCs w:val="22"/>
          <w:lang w:val="sk-SK" w:eastAsia="en-GB"/>
        </w:rPr>
        <w:t>Nezistil sa žiadny významný vplyv ka</w:t>
      </w:r>
      <w:r w:rsidRPr="00044184">
        <w:rPr>
          <w:szCs w:val="22"/>
          <w:lang w:val="sk-SK" w:eastAsia="en-GB"/>
        </w:rPr>
        <w:t>rboplatin</w:t>
      </w:r>
      <w:r w:rsidR="001A51A9" w:rsidRPr="00044184">
        <w:rPr>
          <w:szCs w:val="22"/>
          <w:lang w:val="sk-SK" w:eastAsia="en-GB"/>
        </w:rPr>
        <w:t>y alebo</w:t>
      </w:r>
      <w:r w:rsidRPr="00044184">
        <w:rPr>
          <w:szCs w:val="22"/>
          <w:lang w:val="sk-SK" w:eastAsia="en-GB"/>
        </w:rPr>
        <w:t xml:space="preserve"> pa</w:t>
      </w:r>
      <w:r w:rsidR="001A51A9" w:rsidRPr="00044184">
        <w:rPr>
          <w:szCs w:val="22"/>
          <w:lang w:val="sk-SK" w:eastAsia="en-GB"/>
        </w:rPr>
        <w:t>k</w:t>
      </w:r>
      <w:r w:rsidRPr="00044184">
        <w:rPr>
          <w:szCs w:val="22"/>
          <w:lang w:val="sk-SK" w:eastAsia="en-GB"/>
        </w:rPr>
        <w:t>litaxel</w:t>
      </w:r>
      <w:r w:rsidR="001A51A9" w:rsidRPr="00044184">
        <w:rPr>
          <w:szCs w:val="22"/>
          <w:lang w:val="sk-SK" w:eastAsia="en-GB"/>
        </w:rPr>
        <w:t>u</w:t>
      </w:r>
      <w:r w:rsidRPr="00044184">
        <w:rPr>
          <w:szCs w:val="22"/>
          <w:lang w:val="sk-SK" w:eastAsia="en-GB"/>
        </w:rPr>
        <w:t xml:space="preserve"> n</w:t>
      </w:r>
      <w:r w:rsidR="001A51A9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 xml:space="preserve"> </w:t>
      </w:r>
      <w:r w:rsidR="001A51A9" w:rsidRPr="00044184">
        <w:rPr>
          <w:szCs w:val="22"/>
          <w:lang w:val="sk-SK" w:eastAsia="en-GB"/>
        </w:rPr>
        <w:t>f</w:t>
      </w:r>
      <w:r w:rsidRPr="00044184">
        <w:rPr>
          <w:szCs w:val="22"/>
          <w:lang w:val="sk-SK" w:eastAsia="en-GB"/>
        </w:rPr>
        <w:t>arma</w:t>
      </w:r>
      <w:r w:rsidR="001A51A9" w:rsidRPr="00044184">
        <w:rPr>
          <w:szCs w:val="22"/>
          <w:lang w:val="sk-SK" w:eastAsia="en-GB"/>
        </w:rPr>
        <w:t>k</w:t>
      </w:r>
      <w:r w:rsidRPr="00044184">
        <w:rPr>
          <w:szCs w:val="22"/>
          <w:lang w:val="sk-SK" w:eastAsia="en-GB"/>
        </w:rPr>
        <w:t>okineti</w:t>
      </w:r>
      <w:r w:rsidR="001A51A9" w:rsidRPr="00044184">
        <w:rPr>
          <w:szCs w:val="22"/>
          <w:lang w:val="sk-SK" w:eastAsia="en-GB"/>
        </w:rPr>
        <w:t>ku</w:t>
      </w:r>
      <w:r w:rsidR="00F24D6B" w:rsidRPr="00044184">
        <w:rPr>
          <w:szCs w:val="22"/>
          <w:lang w:val="sk-SK" w:eastAsia="en-GB"/>
        </w:rPr>
        <w:t xml:space="preserve"> </w:t>
      </w:r>
      <w:r w:rsidR="00566F94" w:rsidRPr="00044184">
        <w:rPr>
          <w:szCs w:val="22"/>
          <w:lang w:val="sk-SK" w:eastAsia="en-GB"/>
        </w:rPr>
        <w:t>erlotinib</w:t>
      </w:r>
      <w:r w:rsidR="001A51A9" w:rsidRPr="00044184">
        <w:rPr>
          <w:szCs w:val="22"/>
          <w:lang w:val="sk-SK" w:eastAsia="en-GB"/>
        </w:rPr>
        <w:t>u.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 xml:space="preserve">Erlotinib a </w:t>
      </w:r>
      <w:r w:rsidR="005D3DDC" w:rsidRPr="00044184">
        <w:rPr>
          <w:szCs w:val="22"/>
          <w:u w:val="single"/>
          <w:lang w:val="sk-SK" w:eastAsia="en-GB"/>
        </w:rPr>
        <w:t>k</w:t>
      </w:r>
      <w:r w:rsidRPr="00044184">
        <w:rPr>
          <w:szCs w:val="22"/>
          <w:u w:val="single"/>
          <w:lang w:val="sk-SK" w:eastAsia="en-GB"/>
        </w:rPr>
        <w:t>apecitab</w:t>
      </w:r>
      <w:r w:rsidR="005D3DDC" w:rsidRPr="00044184">
        <w:rPr>
          <w:szCs w:val="22"/>
          <w:u w:val="single"/>
          <w:lang w:val="sk-SK" w:eastAsia="en-GB"/>
        </w:rPr>
        <w:t>í</w:t>
      </w:r>
      <w:r w:rsidRPr="00044184">
        <w:rPr>
          <w:szCs w:val="22"/>
          <w:u w:val="single"/>
          <w:lang w:val="sk-SK" w:eastAsia="en-GB"/>
        </w:rPr>
        <w:t>n</w:t>
      </w:r>
    </w:p>
    <w:p w:rsidR="005B7902" w:rsidRPr="00044184" w:rsidRDefault="005D3DD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Kapecitabín môže zvýšiť koncentrácie </w:t>
      </w:r>
      <w:r w:rsidR="005B7902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5B7902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Keď sa e</w:t>
      </w:r>
      <w:r w:rsidR="005B7902" w:rsidRPr="00044184">
        <w:rPr>
          <w:szCs w:val="22"/>
          <w:lang w:val="sk-SK" w:eastAsia="en-GB"/>
        </w:rPr>
        <w:t xml:space="preserve">rlotinib </w:t>
      </w:r>
      <w:r w:rsidRPr="00044184">
        <w:rPr>
          <w:szCs w:val="22"/>
          <w:lang w:val="sk-SK" w:eastAsia="en-GB"/>
        </w:rPr>
        <w:t>podával v kombinácii s k</w:t>
      </w:r>
      <w:r w:rsidR="005B7902" w:rsidRPr="00044184">
        <w:rPr>
          <w:szCs w:val="22"/>
          <w:lang w:val="sk-SK" w:eastAsia="en-GB"/>
        </w:rPr>
        <w:t>apecitab</w:t>
      </w:r>
      <w:r w:rsidRPr="00044184">
        <w:rPr>
          <w:szCs w:val="22"/>
          <w:lang w:val="sk-SK" w:eastAsia="en-GB"/>
        </w:rPr>
        <w:t>í</w:t>
      </w:r>
      <w:r w:rsidR="005B7902" w:rsidRPr="00044184">
        <w:rPr>
          <w:szCs w:val="22"/>
          <w:lang w:val="sk-SK" w:eastAsia="en-GB"/>
        </w:rPr>
        <w:t>n</w:t>
      </w:r>
      <w:r w:rsidRPr="00044184">
        <w:rPr>
          <w:szCs w:val="22"/>
          <w:lang w:val="sk-SK" w:eastAsia="en-GB"/>
        </w:rPr>
        <w:t xml:space="preserve">om, zistilo sa štatisticky významné zvýšenie AUC erlotinibu a hraničné zvýšenie jeho </w:t>
      </w:r>
      <w:r w:rsidR="005B7902" w:rsidRPr="00044184">
        <w:rPr>
          <w:szCs w:val="22"/>
          <w:lang w:val="sk-SK" w:eastAsia="en-GB"/>
        </w:rPr>
        <w:t>C</w:t>
      </w:r>
      <w:r w:rsidR="005B7902" w:rsidRPr="00044184">
        <w:rPr>
          <w:szCs w:val="22"/>
          <w:vertAlign w:val="subscript"/>
          <w:lang w:val="sk-SK" w:eastAsia="en-GB"/>
        </w:rPr>
        <w:t>max</w:t>
      </w:r>
      <w:r w:rsidR="005B7902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v porovnaní s hodnotami </w:t>
      </w:r>
      <w:r w:rsidR="00B60FA0" w:rsidRPr="00044184">
        <w:rPr>
          <w:szCs w:val="22"/>
          <w:lang w:val="sk-SK" w:eastAsia="en-GB"/>
        </w:rPr>
        <w:t>zistenými v inej štúdii, v ktorej sa erlotinib podával v monoterapii</w:t>
      </w:r>
      <w:r w:rsidR="005B7902" w:rsidRPr="00044184">
        <w:rPr>
          <w:szCs w:val="22"/>
          <w:lang w:val="sk-SK" w:eastAsia="en-GB"/>
        </w:rPr>
        <w:t xml:space="preserve">. </w:t>
      </w:r>
      <w:r w:rsidR="00B60FA0" w:rsidRPr="00044184">
        <w:rPr>
          <w:szCs w:val="22"/>
          <w:lang w:val="sk-SK" w:eastAsia="en-GB"/>
        </w:rPr>
        <w:t xml:space="preserve">Nezistil sa žiadny významný vplyv </w:t>
      </w:r>
      <w:r w:rsidR="005B7902" w:rsidRPr="00044184">
        <w:rPr>
          <w:szCs w:val="22"/>
          <w:lang w:val="sk-SK" w:eastAsia="en-GB"/>
        </w:rPr>
        <w:t>erlotinib</w:t>
      </w:r>
      <w:r w:rsidR="00B60FA0" w:rsidRPr="00044184">
        <w:rPr>
          <w:szCs w:val="22"/>
          <w:lang w:val="sk-SK" w:eastAsia="en-GB"/>
        </w:rPr>
        <w:t>u</w:t>
      </w:r>
      <w:r w:rsidR="005B7902" w:rsidRPr="00044184">
        <w:rPr>
          <w:szCs w:val="22"/>
          <w:lang w:val="sk-SK" w:eastAsia="en-GB"/>
        </w:rPr>
        <w:t xml:space="preserve"> n</w:t>
      </w:r>
      <w:r w:rsidR="00B60FA0" w:rsidRPr="00044184">
        <w:rPr>
          <w:szCs w:val="22"/>
          <w:lang w:val="sk-SK" w:eastAsia="en-GB"/>
        </w:rPr>
        <w:t>a</w:t>
      </w:r>
      <w:r w:rsidR="005B7902" w:rsidRPr="00044184">
        <w:rPr>
          <w:szCs w:val="22"/>
          <w:lang w:val="sk-SK" w:eastAsia="en-GB"/>
        </w:rPr>
        <w:t xml:space="preserve"> </w:t>
      </w:r>
      <w:r w:rsidR="00B60FA0" w:rsidRPr="00044184">
        <w:rPr>
          <w:szCs w:val="22"/>
          <w:lang w:val="sk-SK" w:eastAsia="en-GB"/>
        </w:rPr>
        <w:t>farmakokinetiku k</w:t>
      </w:r>
      <w:r w:rsidR="005B7902" w:rsidRPr="00044184">
        <w:rPr>
          <w:szCs w:val="22"/>
          <w:lang w:val="sk-SK" w:eastAsia="en-GB"/>
        </w:rPr>
        <w:t>apecitab</w:t>
      </w:r>
      <w:r w:rsidR="00B60FA0" w:rsidRPr="00044184">
        <w:rPr>
          <w:szCs w:val="22"/>
          <w:lang w:val="sk-SK" w:eastAsia="en-GB"/>
        </w:rPr>
        <w:t>í</w:t>
      </w:r>
      <w:r w:rsidR="005B7902" w:rsidRPr="00044184">
        <w:rPr>
          <w:szCs w:val="22"/>
          <w:lang w:val="sk-SK" w:eastAsia="en-GB"/>
        </w:rPr>
        <w:t>n</w:t>
      </w:r>
      <w:r w:rsidR="00B60FA0" w:rsidRPr="00044184">
        <w:rPr>
          <w:szCs w:val="22"/>
          <w:lang w:val="sk-SK" w:eastAsia="en-GB"/>
        </w:rPr>
        <w:t>u</w:t>
      </w:r>
      <w:r w:rsidR="005B7902" w:rsidRPr="00044184">
        <w:rPr>
          <w:szCs w:val="22"/>
          <w:lang w:val="sk-SK" w:eastAsia="en-GB"/>
        </w:rPr>
        <w:t>.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Erlotinib a</w:t>
      </w:r>
      <w:r w:rsidR="00C47F5A" w:rsidRPr="00044184">
        <w:rPr>
          <w:szCs w:val="22"/>
          <w:u w:val="single"/>
          <w:lang w:val="sk-SK" w:eastAsia="en-GB"/>
        </w:rPr>
        <w:t> inhibítory proteazómu</w:t>
      </w:r>
    </w:p>
    <w:p w:rsidR="005B7902" w:rsidRPr="00044184" w:rsidRDefault="00C47F5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Vzhľadom na mechanizmus účinku </w:t>
      </w:r>
      <w:r w:rsidR="009E646D" w:rsidRPr="00044184">
        <w:rPr>
          <w:szCs w:val="22"/>
          <w:lang w:val="sk-SK" w:eastAsia="en-GB"/>
        </w:rPr>
        <w:t>sa predpokladá</w:t>
      </w:r>
      <w:r w:rsidRPr="00044184">
        <w:rPr>
          <w:szCs w:val="22"/>
          <w:lang w:val="sk-SK" w:eastAsia="en-GB"/>
        </w:rPr>
        <w:t>, že inhibítory proteazómu</w:t>
      </w:r>
      <w:r w:rsidR="00636953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vrátane</w:t>
      </w:r>
      <w:r w:rsidR="005B7902" w:rsidRPr="00044184">
        <w:rPr>
          <w:szCs w:val="22"/>
          <w:lang w:val="sk-SK" w:eastAsia="en-GB"/>
        </w:rPr>
        <w:t xml:space="preserve"> bortezomib</w:t>
      </w:r>
      <w:r w:rsidR="00DE4730" w:rsidRPr="00044184">
        <w:rPr>
          <w:szCs w:val="22"/>
          <w:lang w:val="sk-SK" w:eastAsia="en-GB"/>
        </w:rPr>
        <w:t>u</w:t>
      </w:r>
      <w:r w:rsidR="00636953" w:rsidRPr="00044184">
        <w:rPr>
          <w:szCs w:val="22"/>
          <w:lang w:val="sk-SK" w:eastAsia="en-GB"/>
        </w:rPr>
        <w:t>,</w:t>
      </w:r>
      <w:r w:rsidR="005B7902" w:rsidRPr="00044184">
        <w:rPr>
          <w:szCs w:val="22"/>
          <w:lang w:val="sk-SK" w:eastAsia="en-GB"/>
        </w:rPr>
        <w:t xml:space="preserve"> </w:t>
      </w:r>
      <w:r w:rsidR="009E646D" w:rsidRPr="00044184">
        <w:rPr>
          <w:szCs w:val="22"/>
          <w:lang w:val="sk-SK" w:eastAsia="en-GB"/>
        </w:rPr>
        <w:t xml:space="preserve">môžu mať </w:t>
      </w:r>
      <w:r w:rsidR="00DE4730" w:rsidRPr="00044184">
        <w:rPr>
          <w:szCs w:val="22"/>
          <w:lang w:val="sk-SK" w:eastAsia="en-GB"/>
        </w:rPr>
        <w:t xml:space="preserve">vplyv na účinok inhibítorov </w:t>
      </w:r>
      <w:r w:rsidR="005B7902" w:rsidRPr="00044184">
        <w:rPr>
          <w:szCs w:val="22"/>
          <w:lang w:val="sk-SK" w:eastAsia="en-GB"/>
        </w:rPr>
        <w:t>EGFR</w:t>
      </w:r>
      <w:r w:rsidR="00636953" w:rsidRPr="00044184">
        <w:rPr>
          <w:szCs w:val="22"/>
          <w:lang w:val="sk-SK" w:eastAsia="en-GB"/>
        </w:rPr>
        <w:t>,</w:t>
      </w:r>
      <w:r w:rsidR="00DE4730" w:rsidRPr="00044184">
        <w:rPr>
          <w:szCs w:val="22"/>
          <w:lang w:val="sk-SK" w:eastAsia="en-GB"/>
        </w:rPr>
        <w:t xml:space="preserve"> vrátane </w:t>
      </w:r>
      <w:r w:rsidR="005B7902" w:rsidRPr="00044184">
        <w:rPr>
          <w:szCs w:val="22"/>
          <w:lang w:val="sk-SK" w:eastAsia="en-GB"/>
        </w:rPr>
        <w:t>erlotinib</w:t>
      </w:r>
      <w:r w:rsidR="00DE4730" w:rsidRPr="00044184">
        <w:rPr>
          <w:szCs w:val="22"/>
          <w:lang w:val="sk-SK" w:eastAsia="en-GB"/>
        </w:rPr>
        <w:t>u</w:t>
      </w:r>
      <w:r w:rsidR="005B7902" w:rsidRPr="00044184">
        <w:rPr>
          <w:szCs w:val="22"/>
          <w:lang w:val="sk-SK" w:eastAsia="en-GB"/>
        </w:rPr>
        <w:t xml:space="preserve">. </w:t>
      </w:r>
      <w:r w:rsidR="008376FB" w:rsidRPr="00044184">
        <w:rPr>
          <w:szCs w:val="22"/>
          <w:lang w:val="sk-SK" w:eastAsia="en-GB"/>
        </w:rPr>
        <w:t xml:space="preserve">Možnosť takéhoto vplyvu podporujú </w:t>
      </w:r>
      <w:r w:rsidR="00924450" w:rsidRPr="00044184">
        <w:rPr>
          <w:szCs w:val="22"/>
          <w:lang w:val="sk-SK" w:eastAsia="en-GB"/>
        </w:rPr>
        <w:t xml:space="preserve">obmedzené klinické údaje a predklinické štúdie, ktoré </w:t>
      </w:r>
      <w:r w:rsidR="006B3BA1" w:rsidRPr="00044184">
        <w:rPr>
          <w:szCs w:val="22"/>
          <w:lang w:val="sk-SK" w:eastAsia="en-GB"/>
        </w:rPr>
        <w:t>pou</w:t>
      </w:r>
      <w:r w:rsidR="00924450" w:rsidRPr="00044184">
        <w:rPr>
          <w:szCs w:val="22"/>
          <w:lang w:val="sk-SK" w:eastAsia="en-GB"/>
        </w:rPr>
        <w:t xml:space="preserve">kazujú </w:t>
      </w:r>
      <w:r w:rsidR="006B3BA1" w:rsidRPr="00044184">
        <w:rPr>
          <w:szCs w:val="22"/>
          <w:lang w:val="sk-SK" w:eastAsia="en-GB"/>
        </w:rPr>
        <w:t xml:space="preserve">na </w:t>
      </w:r>
      <w:r w:rsidR="00924450" w:rsidRPr="00044184">
        <w:rPr>
          <w:szCs w:val="22"/>
          <w:lang w:val="sk-SK" w:eastAsia="en-GB"/>
        </w:rPr>
        <w:t>degradáciu EGFR prostredníctvom proteazómu</w:t>
      </w:r>
      <w:r w:rsidR="005B7902" w:rsidRPr="00044184">
        <w:rPr>
          <w:szCs w:val="22"/>
          <w:lang w:val="sk-SK" w:eastAsia="en-GB"/>
        </w:rPr>
        <w:t>.</w:t>
      </w:r>
    </w:p>
    <w:p w:rsidR="005B7902" w:rsidRPr="00044184" w:rsidRDefault="005B79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4.6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bCs/>
          <w:szCs w:val="22"/>
          <w:lang w:val="sk-SK" w:eastAsia="en-GB"/>
        </w:rPr>
        <w:t>Fertilita, gravidita a laktácia</w:t>
      </w:r>
    </w:p>
    <w:p w:rsidR="00C53ACC" w:rsidRPr="00044184" w:rsidRDefault="00C53ACC" w:rsidP="00695459">
      <w:pPr>
        <w:spacing w:line="240" w:lineRule="auto"/>
        <w:rPr>
          <w:i/>
          <w:szCs w:val="22"/>
          <w:lang w:val="sk-SK"/>
        </w:rPr>
      </w:pPr>
    </w:p>
    <w:p w:rsidR="00D7376F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Gravidita</w:t>
      </w:r>
    </w:p>
    <w:p w:rsidR="00D7376F" w:rsidRPr="00044184" w:rsidRDefault="00BD65B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K dispozícii nie sú dostatočné údaje o použití </w:t>
      </w:r>
      <w:r w:rsidR="00D7376F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u gravidných žien</w:t>
      </w:r>
      <w:r w:rsidR="00D7376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Š</w:t>
      </w:r>
      <w:r w:rsidR="00D7376F" w:rsidRPr="00044184">
        <w:rPr>
          <w:szCs w:val="22"/>
          <w:lang w:val="sk-SK" w:eastAsia="en-GB"/>
        </w:rPr>
        <w:t>t</w:t>
      </w:r>
      <w:r w:rsidRPr="00044184">
        <w:rPr>
          <w:szCs w:val="22"/>
          <w:lang w:val="sk-SK" w:eastAsia="en-GB"/>
        </w:rPr>
        <w:t>ú</w:t>
      </w:r>
      <w:r w:rsidR="00D7376F" w:rsidRPr="00044184">
        <w:rPr>
          <w:szCs w:val="22"/>
          <w:lang w:val="sk-SK" w:eastAsia="en-GB"/>
        </w:rPr>
        <w:t>die</w:t>
      </w:r>
      <w:r w:rsidRPr="00044184">
        <w:rPr>
          <w:szCs w:val="22"/>
          <w:lang w:val="sk-SK" w:eastAsia="en-GB"/>
        </w:rPr>
        <w:t xml:space="preserve"> na zvieratách nepreukáz</w:t>
      </w:r>
      <w:r w:rsidR="00CD25EF" w:rsidRPr="00044184">
        <w:rPr>
          <w:szCs w:val="22"/>
          <w:lang w:val="sk-SK" w:eastAsia="en-GB"/>
        </w:rPr>
        <w:t>ali teratogenitu ani abnormálne pôrody</w:t>
      </w:r>
      <w:r w:rsidR="00D7376F" w:rsidRPr="00044184">
        <w:rPr>
          <w:szCs w:val="22"/>
          <w:lang w:val="sk-SK" w:eastAsia="en-GB"/>
        </w:rPr>
        <w:t xml:space="preserve">. </w:t>
      </w:r>
      <w:r w:rsidR="00C44A9D" w:rsidRPr="00044184">
        <w:rPr>
          <w:szCs w:val="22"/>
          <w:lang w:val="sk-SK" w:eastAsia="en-GB"/>
        </w:rPr>
        <w:t>Nežiaduci vplyv na graviditu však nie je možné vylúčiť, pretože štúdie na potkanoch a králikoch preukázali zvýšenú úmrtnosť embryí/plodov (pozri časť </w:t>
      </w:r>
      <w:r w:rsidR="00D7376F" w:rsidRPr="00044184">
        <w:rPr>
          <w:szCs w:val="22"/>
          <w:lang w:val="sk-SK" w:eastAsia="en-GB"/>
        </w:rPr>
        <w:t xml:space="preserve">5.3). </w:t>
      </w:r>
      <w:bookmarkStart w:id="1" w:name="OLE_LINK1"/>
      <w:bookmarkStart w:id="2" w:name="OLE_LINK2"/>
      <w:r w:rsidR="00C44A9D" w:rsidRPr="00044184">
        <w:rPr>
          <w:szCs w:val="22"/>
          <w:lang w:val="sk-SK" w:eastAsia="en-GB"/>
        </w:rPr>
        <w:t>Potenciálne riziko pre ľudí nie je známe</w:t>
      </w:r>
      <w:bookmarkEnd w:id="1"/>
      <w:bookmarkEnd w:id="2"/>
      <w:r w:rsidR="00D7376F" w:rsidRPr="00044184">
        <w:rPr>
          <w:szCs w:val="22"/>
          <w:lang w:val="sk-SK" w:eastAsia="en-GB"/>
        </w:rPr>
        <w:t>.</w:t>
      </w:r>
    </w:p>
    <w:p w:rsidR="00D7376F" w:rsidRPr="00044184" w:rsidRDefault="00D7376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7376F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Ženy vo fertilnom veku</w:t>
      </w:r>
    </w:p>
    <w:p w:rsidR="00D7376F" w:rsidRPr="00044184" w:rsidRDefault="00C44A9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Ženám vo fertilnom veku sa musí odporučiť, aby </w:t>
      </w:r>
      <w:r w:rsidRPr="00044184">
        <w:rPr>
          <w:szCs w:val="22"/>
          <w:lang w:val="sk-SK"/>
        </w:rPr>
        <w:t>sa vyhli gravidite počas liečby</w:t>
      </w:r>
      <w:r w:rsidR="00C557CC" w:rsidRPr="00044184">
        <w:rPr>
          <w:szCs w:val="22"/>
          <w:lang w:val="sk-SK" w:eastAsia="en-GB"/>
        </w:rPr>
        <w:t xml:space="preserve"> </w:t>
      </w:r>
      <w:r w:rsidR="00845D2F">
        <w:rPr>
          <w:szCs w:val="22"/>
          <w:lang w:val="sk-SK" w:eastAsia="en-GB"/>
        </w:rPr>
        <w:t>E</w:t>
      </w:r>
      <w:r w:rsidR="00C557CC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>om</w:t>
      </w:r>
      <w:r w:rsidR="00845D2F">
        <w:rPr>
          <w:szCs w:val="22"/>
          <w:lang w:val="sk-SK" w:eastAsia="en-GB"/>
        </w:rPr>
        <w:t xml:space="preserve"> STADA</w:t>
      </w:r>
      <w:r w:rsidR="00D7376F" w:rsidRPr="00044184">
        <w:rPr>
          <w:szCs w:val="22"/>
          <w:lang w:val="sk-SK" w:eastAsia="en-GB"/>
        </w:rPr>
        <w:t xml:space="preserve">. </w:t>
      </w:r>
      <w:r w:rsidR="00AD4C42" w:rsidRPr="00044184">
        <w:rPr>
          <w:szCs w:val="22"/>
          <w:lang w:val="sk-SK" w:eastAsia="en-GB"/>
        </w:rPr>
        <w:t>Počas liečby a aspoň 2 týždne po ukončení liečby</w:t>
      </w:r>
      <w:r w:rsidR="00AD4C42" w:rsidRPr="00044184" w:rsidDel="00AD4C42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sa </w:t>
      </w:r>
      <w:r w:rsidR="00AD4C42" w:rsidRPr="00044184">
        <w:rPr>
          <w:szCs w:val="22"/>
          <w:lang w:val="sk-SK" w:eastAsia="en-GB"/>
        </w:rPr>
        <w:t xml:space="preserve">majú </w:t>
      </w:r>
      <w:r w:rsidRPr="00044184">
        <w:rPr>
          <w:szCs w:val="22"/>
          <w:lang w:val="sk-SK" w:eastAsia="en-GB"/>
        </w:rPr>
        <w:t>používať účinn</w:t>
      </w:r>
      <w:r w:rsidR="00AD4C42" w:rsidRPr="00044184">
        <w:rPr>
          <w:szCs w:val="22"/>
          <w:lang w:val="sk-SK" w:eastAsia="en-GB"/>
        </w:rPr>
        <w:t>é</w:t>
      </w:r>
      <w:r w:rsidRPr="00044184">
        <w:rPr>
          <w:szCs w:val="22"/>
          <w:lang w:val="sk-SK" w:eastAsia="en-GB"/>
        </w:rPr>
        <w:t xml:space="preserve"> spôsob</w:t>
      </w:r>
      <w:r w:rsidR="00AD4C42" w:rsidRPr="00044184">
        <w:rPr>
          <w:szCs w:val="22"/>
          <w:lang w:val="sk-SK" w:eastAsia="en-GB"/>
        </w:rPr>
        <w:t>y</w:t>
      </w:r>
      <w:r w:rsidRPr="00044184">
        <w:rPr>
          <w:szCs w:val="22"/>
          <w:lang w:val="sk-SK" w:eastAsia="en-GB"/>
        </w:rPr>
        <w:t xml:space="preserve"> antikoncepcie</w:t>
      </w:r>
      <w:r w:rsidR="00D7376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U gravidných žien sa má pokračovať v liečbe, iba ak možný prínos pre matku prevažuje riziko pre plod.</w:t>
      </w:r>
    </w:p>
    <w:p w:rsidR="006B10E9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7376F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lastRenderedPageBreak/>
        <w:t>Dojčenie</w:t>
      </w:r>
    </w:p>
    <w:p w:rsidR="00D7376F" w:rsidRPr="00044184" w:rsidRDefault="00C44A9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/>
        </w:rPr>
        <w:t>Nie je známe, či sa</w:t>
      </w:r>
      <w:r w:rsidRPr="00044184">
        <w:rPr>
          <w:szCs w:val="22"/>
          <w:lang w:val="sk-SK" w:eastAsia="en-GB"/>
        </w:rPr>
        <w:t xml:space="preserve"> </w:t>
      </w:r>
      <w:r w:rsidR="00D7376F" w:rsidRPr="00044184">
        <w:rPr>
          <w:szCs w:val="22"/>
          <w:lang w:val="sk-SK" w:eastAsia="en-GB"/>
        </w:rPr>
        <w:t xml:space="preserve">erlotinib </w:t>
      </w:r>
      <w:r w:rsidRPr="00044184">
        <w:rPr>
          <w:szCs w:val="22"/>
          <w:lang w:val="sk-SK"/>
        </w:rPr>
        <w:t>vylučuje do ľudského mlieka</w:t>
      </w:r>
      <w:r w:rsidR="00D7376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Vzhľadom na možné poškodenie dojčaťa sa má matkám odporučiť, aby počas liečby </w:t>
      </w:r>
      <w:r w:rsidR="00845D2F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>rlotin</w:t>
      </w:r>
      <w:r w:rsidR="00461782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 xml:space="preserve">bom </w:t>
      </w:r>
      <w:r w:rsidR="00845D2F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>nedojčili.</w:t>
      </w:r>
    </w:p>
    <w:p w:rsidR="00D7376F" w:rsidRPr="00044184" w:rsidRDefault="00D7376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D7376F" w:rsidRPr="00044184" w:rsidRDefault="00D7376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Fertilit</w:t>
      </w:r>
      <w:r w:rsidR="006B10E9" w:rsidRPr="00044184">
        <w:rPr>
          <w:szCs w:val="22"/>
          <w:u w:val="single"/>
          <w:lang w:val="sk-SK" w:eastAsia="en-GB"/>
        </w:rPr>
        <w:t>a</w:t>
      </w:r>
    </w:p>
    <w:p w:rsidR="00D7376F" w:rsidRPr="00044184" w:rsidRDefault="007C056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Š</w:t>
      </w:r>
      <w:r w:rsidR="00D7376F" w:rsidRPr="00044184">
        <w:rPr>
          <w:szCs w:val="22"/>
          <w:lang w:val="sk-SK" w:eastAsia="en-GB"/>
        </w:rPr>
        <w:t>t</w:t>
      </w:r>
      <w:r w:rsidRPr="00044184">
        <w:rPr>
          <w:szCs w:val="22"/>
          <w:lang w:val="sk-SK" w:eastAsia="en-GB"/>
        </w:rPr>
        <w:t>ú</w:t>
      </w:r>
      <w:r w:rsidR="00D7376F" w:rsidRPr="00044184">
        <w:rPr>
          <w:szCs w:val="22"/>
          <w:lang w:val="sk-SK" w:eastAsia="en-GB"/>
        </w:rPr>
        <w:t>die n</w:t>
      </w:r>
      <w:r w:rsidRPr="00044184">
        <w:rPr>
          <w:szCs w:val="22"/>
          <w:lang w:val="sk-SK" w:eastAsia="en-GB"/>
        </w:rPr>
        <w:t>a zvieratách nepreukázali po</w:t>
      </w:r>
      <w:r w:rsidR="00845D2F">
        <w:rPr>
          <w:szCs w:val="22"/>
          <w:lang w:val="sk-SK" w:eastAsia="en-GB"/>
        </w:rPr>
        <w:t>ruchu</w:t>
      </w:r>
      <w:r w:rsidRPr="00044184">
        <w:rPr>
          <w:szCs w:val="22"/>
          <w:lang w:val="sk-SK" w:eastAsia="en-GB"/>
        </w:rPr>
        <w:t xml:space="preserve"> </w:t>
      </w:r>
      <w:r w:rsidR="00D7376F" w:rsidRPr="00044184">
        <w:rPr>
          <w:szCs w:val="22"/>
          <w:lang w:val="sk-SK" w:eastAsia="en-GB"/>
        </w:rPr>
        <w:t xml:space="preserve">fertility. </w:t>
      </w:r>
      <w:r w:rsidRPr="00044184">
        <w:rPr>
          <w:szCs w:val="22"/>
          <w:lang w:val="sk-SK" w:eastAsia="en-GB"/>
        </w:rPr>
        <w:t xml:space="preserve">Nežiaduci vplyv na </w:t>
      </w:r>
      <w:r w:rsidR="00D7376F" w:rsidRPr="00044184">
        <w:rPr>
          <w:szCs w:val="22"/>
          <w:lang w:val="sk-SK" w:eastAsia="en-GB"/>
        </w:rPr>
        <w:t>fertilit</w:t>
      </w:r>
      <w:r w:rsidRPr="00044184">
        <w:rPr>
          <w:szCs w:val="22"/>
          <w:lang w:val="sk-SK" w:eastAsia="en-GB"/>
        </w:rPr>
        <w:t xml:space="preserve">u však nie je možné vylúčiť, pretože štúdie na zvieratách preukázali vplyv na </w:t>
      </w:r>
      <w:r w:rsidR="00D7376F" w:rsidRPr="00044184">
        <w:rPr>
          <w:szCs w:val="22"/>
          <w:lang w:val="sk-SK" w:eastAsia="en-GB"/>
        </w:rPr>
        <w:t>reprodu</w:t>
      </w:r>
      <w:r w:rsidRPr="00044184">
        <w:rPr>
          <w:szCs w:val="22"/>
          <w:lang w:val="sk-SK" w:eastAsia="en-GB"/>
        </w:rPr>
        <w:t>kčné</w:t>
      </w:r>
      <w:r w:rsidR="00D7376F" w:rsidRPr="00044184">
        <w:rPr>
          <w:szCs w:val="22"/>
          <w:lang w:val="sk-SK" w:eastAsia="en-GB"/>
        </w:rPr>
        <w:t xml:space="preserve"> parametr</w:t>
      </w:r>
      <w:r w:rsidRPr="00044184">
        <w:rPr>
          <w:szCs w:val="22"/>
          <w:lang w:val="sk-SK" w:eastAsia="en-GB"/>
        </w:rPr>
        <w:t>e</w:t>
      </w:r>
      <w:r w:rsidR="00D7376F" w:rsidRPr="00044184">
        <w:rPr>
          <w:szCs w:val="22"/>
          <w:lang w:val="sk-SK" w:eastAsia="en-GB"/>
        </w:rPr>
        <w:t xml:space="preserve"> (</w:t>
      </w:r>
      <w:r w:rsidRPr="00044184">
        <w:rPr>
          <w:szCs w:val="22"/>
          <w:lang w:val="sk-SK" w:eastAsia="en-GB"/>
        </w:rPr>
        <w:t>pozri časť </w:t>
      </w:r>
      <w:r w:rsidR="00D7376F" w:rsidRPr="00044184">
        <w:rPr>
          <w:szCs w:val="22"/>
          <w:lang w:val="sk-SK" w:eastAsia="en-GB"/>
        </w:rPr>
        <w:t>5.3).</w:t>
      </w:r>
      <w:r w:rsidRPr="00044184">
        <w:rPr>
          <w:szCs w:val="22"/>
          <w:lang w:val="sk-SK" w:eastAsia="en-GB"/>
        </w:rPr>
        <w:t xml:space="preserve"> Potenciálne riziko pre ľudí nie je známe</w:t>
      </w:r>
      <w:r w:rsidR="00D7376F" w:rsidRPr="00044184">
        <w:rPr>
          <w:szCs w:val="22"/>
          <w:lang w:val="sk-SK" w:eastAsia="en-GB"/>
        </w:rPr>
        <w:t>.</w:t>
      </w:r>
    </w:p>
    <w:p w:rsidR="00D7376F" w:rsidRPr="00044184" w:rsidRDefault="00D7376F" w:rsidP="00695459">
      <w:pPr>
        <w:spacing w:line="240" w:lineRule="auto"/>
        <w:ind w:left="567" w:hanging="567"/>
        <w:rPr>
          <w:szCs w:val="22"/>
          <w:lang w:val="sk-SK" w:eastAsia="en-GB"/>
        </w:rPr>
      </w:pPr>
    </w:p>
    <w:p w:rsidR="001D29E6" w:rsidRPr="00044184" w:rsidRDefault="001D29E6" w:rsidP="00695459">
      <w:pPr>
        <w:keepNext/>
        <w:keepLines/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4.7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bCs/>
          <w:szCs w:val="22"/>
          <w:lang w:val="sk-SK" w:eastAsia="en-GB"/>
        </w:rPr>
        <w:t>Ovplyvnenie schopnosti viesť vozidlá a obsluhovať stroje</w:t>
      </w:r>
    </w:p>
    <w:p w:rsidR="001D29E6" w:rsidRPr="00044184" w:rsidRDefault="001D29E6" w:rsidP="00695459">
      <w:pPr>
        <w:keepNext/>
        <w:keepLines/>
        <w:spacing w:line="240" w:lineRule="auto"/>
        <w:rPr>
          <w:szCs w:val="22"/>
          <w:lang w:val="sk-SK"/>
        </w:rPr>
      </w:pPr>
    </w:p>
    <w:p w:rsidR="001D29E6" w:rsidRPr="00044184" w:rsidRDefault="00B77C8B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/>
        </w:rPr>
        <w:t xml:space="preserve">Neuskutočnili sa žiadne štúdie </w:t>
      </w:r>
      <w:r w:rsidR="009657CF" w:rsidRPr="00044184">
        <w:rPr>
          <w:szCs w:val="22"/>
          <w:lang w:val="sk-SK"/>
        </w:rPr>
        <w:t xml:space="preserve">hodnotiace vplyv </w:t>
      </w:r>
      <w:r w:rsidRPr="00044184">
        <w:rPr>
          <w:szCs w:val="22"/>
          <w:lang w:val="sk-SK"/>
        </w:rPr>
        <w:t>na schopnosť viesť vozidlá a obsluhovať stroje</w:t>
      </w:r>
      <w:r w:rsidR="00CA21D8" w:rsidRPr="00044184">
        <w:rPr>
          <w:szCs w:val="22"/>
          <w:lang w:val="sk-SK" w:eastAsia="en-GB"/>
        </w:rPr>
        <w:t xml:space="preserve">; </w:t>
      </w:r>
      <w:r w:rsidRPr="00044184">
        <w:rPr>
          <w:szCs w:val="22"/>
          <w:lang w:val="sk-SK" w:eastAsia="en-GB"/>
        </w:rPr>
        <w:t xml:space="preserve">užívanie </w:t>
      </w:r>
      <w:r w:rsidR="00CA21D8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sa však nespája so zhoršením mentálnych schopností</w:t>
      </w:r>
      <w:r w:rsidR="00CA21D8" w:rsidRPr="00044184">
        <w:rPr>
          <w:szCs w:val="22"/>
          <w:lang w:val="sk-SK" w:eastAsia="en-GB"/>
        </w:rPr>
        <w:t>.</w:t>
      </w:r>
    </w:p>
    <w:p w:rsidR="00D42889" w:rsidRPr="00044184" w:rsidRDefault="00D4288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1D29E6" w:rsidRPr="00044184" w:rsidRDefault="00B350B2" w:rsidP="0069545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44184">
        <w:rPr>
          <w:b/>
          <w:bCs/>
          <w:szCs w:val="22"/>
          <w:lang w:val="sk-SK" w:eastAsia="en-GB"/>
        </w:rPr>
        <w:t>4.8</w:t>
      </w:r>
      <w:r w:rsidRPr="00044184">
        <w:rPr>
          <w:b/>
          <w:bCs/>
          <w:szCs w:val="22"/>
          <w:lang w:val="sk-SK" w:eastAsia="en-GB"/>
        </w:rPr>
        <w:tab/>
      </w:r>
      <w:r w:rsidR="006B10E9" w:rsidRPr="00044184">
        <w:rPr>
          <w:b/>
          <w:bCs/>
          <w:szCs w:val="22"/>
          <w:lang w:val="sk-SK" w:eastAsia="en-GB"/>
        </w:rPr>
        <w:t>Nežiaduce účinky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CA21D8" w:rsidRPr="00044184" w:rsidRDefault="00CA21D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N</w:t>
      </w:r>
      <w:r w:rsidR="00E7396F" w:rsidRPr="00044184">
        <w:rPr>
          <w:szCs w:val="22"/>
          <w:u w:val="single"/>
          <w:lang w:val="sk-SK" w:eastAsia="en-GB"/>
        </w:rPr>
        <w:t>emalobunkový karcinóm pľúc</w:t>
      </w:r>
      <w:r w:rsidR="0021717F" w:rsidRPr="00044184">
        <w:rPr>
          <w:szCs w:val="22"/>
          <w:u w:val="single"/>
          <w:lang w:val="sk-SK" w:eastAsia="en-GB"/>
        </w:rPr>
        <w:t xml:space="preserve"> (</w:t>
      </w:r>
      <w:r w:rsidR="00F5695C">
        <w:rPr>
          <w:szCs w:val="22"/>
          <w:u w:val="single"/>
          <w:lang w:val="sk-SK" w:eastAsia="en-GB"/>
        </w:rPr>
        <w:t>E</w:t>
      </w:r>
      <w:r w:rsidR="0021717F" w:rsidRPr="00044184">
        <w:rPr>
          <w:szCs w:val="22"/>
          <w:u w:val="single"/>
          <w:lang w:val="sk-SK" w:eastAsia="en-GB"/>
        </w:rPr>
        <w:t xml:space="preserve">rlotinib </w:t>
      </w:r>
      <w:r w:rsidR="00F5695C">
        <w:rPr>
          <w:szCs w:val="22"/>
          <w:u w:val="single"/>
          <w:lang w:val="sk-SK" w:eastAsia="en-GB"/>
        </w:rPr>
        <w:t xml:space="preserve">STADA </w:t>
      </w:r>
      <w:r w:rsidR="00E7396F" w:rsidRPr="00044184">
        <w:rPr>
          <w:szCs w:val="22"/>
          <w:u w:val="single"/>
          <w:lang w:val="sk-SK" w:eastAsia="en-GB"/>
        </w:rPr>
        <w:t>podávaný v monoterapii</w:t>
      </w:r>
      <w:r w:rsidRPr="00044184">
        <w:rPr>
          <w:szCs w:val="22"/>
          <w:u w:val="single"/>
          <w:lang w:val="sk-SK" w:eastAsia="en-GB"/>
        </w:rPr>
        <w:t>):</w:t>
      </w:r>
    </w:p>
    <w:p w:rsidR="00CA21D8" w:rsidRPr="00044184" w:rsidRDefault="00CA21D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</w:p>
    <w:p w:rsidR="00CA21D8" w:rsidRPr="00044184" w:rsidRDefault="004B33D4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 randomizovanej dvojito zaslepenej štúdii </w:t>
      </w:r>
      <w:r w:rsidR="00CA21D8" w:rsidRPr="00044184">
        <w:rPr>
          <w:szCs w:val="22"/>
          <w:lang w:val="sk-SK" w:eastAsia="en-GB"/>
        </w:rPr>
        <w:t>(</w:t>
      </w:r>
      <w:r w:rsidR="0021717F" w:rsidRPr="00044184">
        <w:rPr>
          <w:szCs w:val="22"/>
          <w:lang w:val="sk-SK" w:eastAsia="en-GB"/>
        </w:rPr>
        <w:t xml:space="preserve">BR.21: </w:t>
      </w:r>
      <w:r w:rsidR="00CA21D8" w:rsidRPr="00044184">
        <w:rPr>
          <w:szCs w:val="22"/>
          <w:lang w:val="sk-SK" w:eastAsia="en-GB"/>
        </w:rPr>
        <w:t xml:space="preserve">erlotinib </w:t>
      </w:r>
      <w:r w:rsidRPr="00044184">
        <w:rPr>
          <w:szCs w:val="22"/>
          <w:lang w:val="sk-SK" w:eastAsia="en-GB"/>
        </w:rPr>
        <w:t>podávaný v druhej línii liečby</w:t>
      </w:r>
      <w:r w:rsidR="00CA21D8" w:rsidRPr="00044184">
        <w:rPr>
          <w:szCs w:val="22"/>
          <w:lang w:val="sk-SK" w:eastAsia="en-GB"/>
        </w:rPr>
        <w:t>)</w:t>
      </w:r>
      <w:r w:rsidRPr="00044184">
        <w:rPr>
          <w:szCs w:val="22"/>
          <w:lang w:val="sk-SK" w:eastAsia="en-GB"/>
        </w:rPr>
        <w:t xml:space="preserve"> boli najčastejšie hlásenými nežiaducimi reakciami na liek vyrážka </w:t>
      </w:r>
      <w:r w:rsidR="00CA21D8" w:rsidRPr="00044184">
        <w:rPr>
          <w:szCs w:val="22"/>
          <w:lang w:val="sk-SK" w:eastAsia="en-GB"/>
        </w:rPr>
        <w:t>(75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%)</w:t>
      </w:r>
      <w:r w:rsidR="0021717F" w:rsidRPr="00044184">
        <w:rPr>
          <w:szCs w:val="22"/>
          <w:lang w:val="sk-SK" w:eastAsia="en-GB"/>
        </w:rPr>
        <w:t xml:space="preserve"> </w:t>
      </w:r>
      <w:r w:rsidR="00CA21D8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> hnačka</w:t>
      </w:r>
      <w:r w:rsidR="00CA21D8" w:rsidRPr="00044184">
        <w:rPr>
          <w:szCs w:val="22"/>
          <w:lang w:val="sk-SK" w:eastAsia="en-GB"/>
        </w:rPr>
        <w:t xml:space="preserve"> (54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%). </w:t>
      </w:r>
      <w:r w:rsidR="003E75AB" w:rsidRPr="00044184">
        <w:rPr>
          <w:szCs w:val="22"/>
          <w:lang w:val="sk-SK" w:eastAsia="en-GB"/>
        </w:rPr>
        <w:t>Vo väčšine prípadov boli 1./2. stupňa závažnosti a dali sa zvládnuť bez lekárskeho zásahu</w:t>
      </w:r>
      <w:r w:rsidR="00CA21D8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Vyrážka 3./4. stupňa </w:t>
      </w:r>
      <w:r w:rsidR="003E75AB" w:rsidRPr="00044184">
        <w:rPr>
          <w:szCs w:val="22"/>
          <w:lang w:val="sk-SK" w:eastAsia="en-GB"/>
        </w:rPr>
        <w:t xml:space="preserve">a hnačka 3./4. stupňa sa </w:t>
      </w:r>
      <w:r w:rsidR="00F825AA" w:rsidRPr="00044184">
        <w:rPr>
          <w:szCs w:val="22"/>
          <w:lang w:val="sk-SK" w:eastAsia="en-GB"/>
        </w:rPr>
        <w:t xml:space="preserve">v uvedenom poradí </w:t>
      </w:r>
      <w:r w:rsidR="003E75AB" w:rsidRPr="00044184">
        <w:rPr>
          <w:szCs w:val="22"/>
          <w:lang w:val="sk-SK" w:eastAsia="en-GB"/>
        </w:rPr>
        <w:t>vyskytli u</w:t>
      </w:r>
      <w:r w:rsidR="00F164B0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9 % </w:t>
      </w:r>
      <w:r w:rsidR="0029023C" w:rsidRPr="00044184">
        <w:rPr>
          <w:szCs w:val="22"/>
          <w:lang w:val="sk-SK" w:eastAsia="en-GB"/>
        </w:rPr>
        <w:t>a 6 % pacientov liečených erlotinibom</w:t>
      </w:r>
      <w:r w:rsidR="00F825AA" w:rsidRPr="00044184">
        <w:rPr>
          <w:szCs w:val="22"/>
          <w:lang w:val="sk-SK" w:eastAsia="en-GB"/>
        </w:rPr>
        <w:t xml:space="preserve"> </w:t>
      </w:r>
      <w:r w:rsidR="00CA21D8" w:rsidRPr="00044184">
        <w:rPr>
          <w:szCs w:val="22"/>
          <w:lang w:val="sk-SK" w:eastAsia="en-GB"/>
        </w:rPr>
        <w:t>a</w:t>
      </w:r>
      <w:r w:rsidR="00F164B0" w:rsidRPr="00044184">
        <w:rPr>
          <w:szCs w:val="22"/>
          <w:lang w:val="sk-SK" w:eastAsia="en-GB"/>
        </w:rPr>
        <w:t> </w:t>
      </w:r>
      <w:r w:rsidR="00A42691" w:rsidRPr="00044184">
        <w:rPr>
          <w:szCs w:val="22"/>
          <w:lang w:val="sk-SK" w:eastAsia="en-GB"/>
        </w:rPr>
        <w:t xml:space="preserve">obe </w:t>
      </w:r>
      <w:r w:rsidR="00F164B0" w:rsidRPr="00044184">
        <w:rPr>
          <w:szCs w:val="22"/>
          <w:lang w:val="sk-SK" w:eastAsia="en-GB"/>
        </w:rPr>
        <w:t>viedli k predčasnému ukončeniu štúdie u 1 % pacientov.</w:t>
      </w:r>
      <w:r w:rsidR="00CA21D8" w:rsidRPr="00044184">
        <w:rPr>
          <w:szCs w:val="22"/>
          <w:lang w:val="sk-SK" w:eastAsia="en-GB"/>
        </w:rPr>
        <w:t xml:space="preserve"> </w:t>
      </w:r>
      <w:r w:rsidR="00F164B0" w:rsidRPr="00044184">
        <w:rPr>
          <w:szCs w:val="22"/>
          <w:lang w:val="sk-SK" w:eastAsia="en-GB"/>
        </w:rPr>
        <w:t xml:space="preserve">Zníženie dávky </w:t>
      </w:r>
      <w:r w:rsidR="00EA78EC" w:rsidRPr="00044184">
        <w:rPr>
          <w:szCs w:val="22"/>
          <w:lang w:val="sk-SK" w:eastAsia="en-GB"/>
        </w:rPr>
        <w:t xml:space="preserve">bolo </w:t>
      </w:r>
      <w:r w:rsidR="00F164B0" w:rsidRPr="00044184">
        <w:rPr>
          <w:szCs w:val="22"/>
          <w:lang w:val="sk-SK" w:eastAsia="en-GB"/>
        </w:rPr>
        <w:t>kvôli vyrážke potrebné u 6 % pacientov a kvôli hnačke u 1 % pacientov</w:t>
      </w:r>
      <w:r w:rsidR="00CA21D8" w:rsidRPr="00044184">
        <w:rPr>
          <w:szCs w:val="22"/>
          <w:lang w:val="sk-SK" w:eastAsia="en-GB"/>
        </w:rPr>
        <w:t>.</w:t>
      </w:r>
      <w:r w:rsidR="0021717F" w:rsidRPr="00044184">
        <w:rPr>
          <w:szCs w:val="22"/>
          <w:lang w:val="sk-SK" w:eastAsia="en-GB"/>
        </w:rPr>
        <w:t xml:space="preserve"> </w:t>
      </w:r>
      <w:r w:rsidR="00F164B0" w:rsidRPr="00044184">
        <w:rPr>
          <w:szCs w:val="22"/>
          <w:lang w:val="sk-SK" w:eastAsia="en-GB"/>
        </w:rPr>
        <w:t xml:space="preserve">V štúdii </w:t>
      </w:r>
      <w:r w:rsidR="00C557CC" w:rsidRPr="00044184">
        <w:rPr>
          <w:szCs w:val="22"/>
          <w:lang w:val="sk-SK" w:eastAsia="en-GB"/>
        </w:rPr>
        <w:t>BR.21</w:t>
      </w:r>
      <w:r w:rsidR="00F164B0" w:rsidRPr="00044184">
        <w:rPr>
          <w:szCs w:val="22"/>
          <w:lang w:val="sk-SK" w:eastAsia="en-GB"/>
        </w:rPr>
        <w:t xml:space="preserve"> bol medián času do </w:t>
      </w:r>
      <w:r w:rsidR="00B56F40" w:rsidRPr="00044184">
        <w:rPr>
          <w:szCs w:val="22"/>
          <w:lang w:val="sk-SK" w:eastAsia="en-GB"/>
        </w:rPr>
        <w:t>nástupu</w:t>
      </w:r>
      <w:r w:rsidR="00F164B0" w:rsidRPr="00044184">
        <w:rPr>
          <w:szCs w:val="22"/>
          <w:lang w:val="sk-SK" w:eastAsia="en-GB"/>
        </w:rPr>
        <w:t xml:space="preserve"> vyrážky </w:t>
      </w:r>
      <w:r w:rsidR="00CA21D8" w:rsidRPr="00044184">
        <w:rPr>
          <w:szCs w:val="22"/>
          <w:lang w:val="sk-SK" w:eastAsia="en-GB"/>
        </w:rPr>
        <w:t>8</w:t>
      </w:r>
      <w:r w:rsidR="00F164B0" w:rsidRPr="00044184">
        <w:rPr>
          <w:szCs w:val="22"/>
          <w:lang w:val="sk-SK" w:eastAsia="en-GB"/>
        </w:rPr>
        <w:t xml:space="preserve"> dní a medián času do </w:t>
      </w:r>
      <w:r w:rsidR="00B56F40" w:rsidRPr="00044184">
        <w:rPr>
          <w:szCs w:val="22"/>
          <w:lang w:val="sk-SK" w:eastAsia="en-GB"/>
        </w:rPr>
        <w:t>nástupu</w:t>
      </w:r>
      <w:r w:rsidR="00F164B0" w:rsidRPr="00044184">
        <w:rPr>
          <w:szCs w:val="22"/>
          <w:lang w:val="sk-SK" w:eastAsia="en-GB"/>
        </w:rPr>
        <w:t xml:space="preserve"> hnačky bol</w:t>
      </w:r>
      <w:r w:rsidR="00CA21D8" w:rsidRPr="00044184">
        <w:rPr>
          <w:szCs w:val="22"/>
          <w:lang w:val="sk-SK" w:eastAsia="en-GB"/>
        </w:rPr>
        <w:t xml:space="preserve"> 12</w:t>
      </w:r>
      <w:r w:rsidR="00F164B0"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d</w:t>
      </w:r>
      <w:r w:rsidR="00F164B0" w:rsidRPr="00044184">
        <w:rPr>
          <w:szCs w:val="22"/>
          <w:lang w:val="sk-SK" w:eastAsia="en-GB"/>
        </w:rPr>
        <w:t>ní</w:t>
      </w:r>
      <w:r w:rsidR="00CA21D8" w:rsidRPr="00044184">
        <w:rPr>
          <w:szCs w:val="22"/>
          <w:lang w:val="sk-SK" w:eastAsia="en-GB"/>
        </w:rPr>
        <w:t>.</w:t>
      </w:r>
    </w:p>
    <w:p w:rsidR="00CA21D8" w:rsidRPr="00044184" w:rsidRDefault="00CA21D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CA21D8" w:rsidRPr="00044184" w:rsidRDefault="0077368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Vyrážka sa zvyčajne prejavuje vo forme miernej alebo stredne </w:t>
      </w:r>
      <w:r w:rsidR="00F5695C">
        <w:rPr>
          <w:szCs w:val="22"/>
          <w:lang w:val="sk-SK" w:eastAsia="en-GB"/>
        </w:rPr>
        <w:t>závažn</w:t>
      </w:r>
      <w:r w:rsidRPr="00044184">
        <w:rPr>
          <w:szCs w:val="22"/>
          <w:lang w:val="sk-SK" w:eastAsia="en-GB"/>
        </w:rPr>
        <w:t xml:space="preserve">ej erytematóznej a papulopustulóznej vyrážky, ktorá sa môže vyskytnúť alebo zhoršiť na miestach vystavených slnku. </w:t>
      </w:r>
      <w:r w:rsidR="00546B5C" w:rsidRPr="00044184">
        <w:rPr>
          <w:szCs w:val="22"/>
          <w:lang w:val="sk-SK" w:eastAsia="en-GB"/>
        </w:rPr>
        <w:t xml:space="preserve">Odporúča sa, aby pacienti, ktorí sa vystavujú slnku, nosili ochranný odev a/alebo používali </w:t>
      </w:r>
      <w:r w:rsidR="00C30FCC" w:rsidRPr="00044184">
        <w:rPr>
          <w:szCs w:val="22"/>
          <w:lang w:val="sk-SK" w:eastAsia="en-GB"/>
        </w:rPr>
        <w:t>prípravky na opaľovanie (napr. s obsahom minerálov).</w:t>
      </w:r>
    </w:p>
    <w:p w:rsidR="000E232D" w:rsidRPr="00044184" w:rsidRDefault="000E232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CA21D8" w:rsidRPr="00044184" w:rsidRDefault="00C30FC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Nežiaduce reakcie, ktoré sa v</w:t>
      </w:r>
      <w:r w:rsidR="00A42691" w:rsidRPr="00044184">
        <w:rPr>
          <w:szCs w:val="22"/>
          <w:lang w:val="sk-SK" w:eastAsia="en-GB"/>
        </w:rPr>
        <w:t xml:space="preserve"> pivotnej </w:t>
      </w:r>
      <w:r w:rsidRPr="00044184">
        <w:rPr>
          <w:szCs w:val="22"/>
          <w:lang w:val="sk-SK" w:eastAsia="en-GB"/>
        </w:rPr>
        <w:t xml:space="preserve">štúdii BR.21 vyskytli častejšie </w:t>
      </w:r>
      <w:r w:rsidR="00CA21D8" w:rsidRPr="00044184">
        <w:rPr>
          <w:szCs w:val="22"/>
          <w:lang w:val="sk-SK" w:eastAsia="en-GB"/>
        </w:rPr>
        <w:t>(</w:t>
      </w:r>
      <w:r w:rsidR="000E232D" w:rsidRPr="00044184">
        <w:rPr>
          <w:rFonts w:eastAsia="TimesNewRomanPSMT"/>
          <w:szCs w:val="22"/>
          <w:lang w:val="sk-SK" w:eastAsia="en-GB"/>
        </w:rPr>
        <w:t>≥</w:t>
      </w:r>
      <w:r w:rsidRPr="00044184">
        <w:rPr>
          <w:rFonts w:eastAsia="TimesNewRomanPSMT"/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3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%)</w:t>
      </w:r>
      <w:r w:rsidRPr="00044184">
        <w:rPr>
          <w:szCs w:val="22"/>
          <w:lang w:val="sk-SK" w:eastAsia="en-GB"/>
        </w:rPr>
        <w:t xml:space="preserve"> u pacientov liečených </w:t>
      </w:r>
      <w:r w:rsidR="000E232D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om ako v skupine s</w:t>
      </w:r>
      <w:r w:rsidR="00A42691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placebom</w:t>
      </w:r>
      <w:r w:rsidR="00A42691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a ktoré sa vyskytli najmenej u 10 % pacientov v skupine s</w:t>
      </w:r>
      <w:r w:rsidR="00DC024F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erlotinibom</w:t>
      </w:r>
      <w:r w:rsidR="00DC024F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sú zhrnuté </w:t>
      </w:r>
      <w:r w:rsidR="00E544CA" w:rsidRPr="00044184">
        <w:rPr>
          <w:szCs w:val="22"/>
          <w:lang w:val="sk-SK" w:eastAsia="en-GB"/>
        </w:rPr>
        <w:t xml:space="preserve">podľa stupňa toxicity určeného </w:t>
      </w:r>
      <w:r w:rsidR="002945E4" w:rsidRPr="00044184">
        <w:rPr>
          <w:szCs w:val="22"/>
          <w:lang w:val="sk-SK" w:eastAsia="en-GB"/>
        </w:rPr>
        <w:t>pomocou</w:t>
      </w:r>
      <w:r w:rsidR="00E544CA" w:rsidRPr="00044184">
        <w:rPr>
          <w:szCs w:val="22"/>
          <w:lang w:val="sk-SK" w:eastAsia="en-GB"/>
        </w:rPr>
        <w:t xml:space="preserve"> Všeobecných kritérií toxicity Národného onkologického ústavu (National Cancer Institute-Common Toxicity Criteria, NCI</w:t>
      </w:r>
      <w:r w:rsidR="00E544CA" w:rsidRPr="00044184">
        <w:rPr>
          <w:szCs w:val="22"/>
          <w:lang w:val="sk-SK" w:eastAsia="en-GB"/>
        </w:rPr>
        <w:noBreakHyphen/>
        <w:t>CTC) v tabuľke 1.</w:t>
      </w:r>
    </w:p>
    <w:p w:rsidR="000E232D" w:rsidRPr="00044184" w:rsidRDefault="000E232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CA21D8" w:rsidRPr="00044184" w:rsidRDefault="0001225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Nasled</w:t>
      </w:r>
      <w:r w:rsidR="008456D6" w:rsidRPr="00044184">
        <w:rPr>
          <w:szCs w:val="22"/>
          <w:lang w:val="sk-SK" w:eastAsia="en-GB"/>
        </w:rPr>
        <w:t>ovné</w:t>
      </w:r>
      <w:r w:rsidRPr="00044184">
        <w:rPr>
          <w:szCs w:val="22"/>
          <w:lang w:val="sk-SK" w:eastAsia="en-GB"/>
        </w:rPr>
        <w:t xml:space="preserve"> výraz</w:t>
      </w:r>
      <w:r w:rsidR="00DC024F" w:rsidRPr="00044184">
        <w:rPr>
          <w:szCs w:val="22"/>
          <w:lang w:val="sk-SK" w:eastAsia="en-GB"/>
        </w:rPr>
        <w:t>y</w:t>
      </w:r>
      <w:r w:rsidRPr="00044184">
        <w:rPr>
          <w:szCs w:val="22"/>
          <w:lang w:val="sk-SK" w:eastAsia="en-GB"/>
        </w:rPr>
        <w:t xml:space="preserve"> s</w:t>
      </w:r>
      <w:r w:rsidR="00852A10" w:rsidRPr="00044184">
        <w:rPr>
          <w:szCs w:val="22"/>
          <w:lang w:val="sk-SK" w:eastAsia="en-GB"/>
        </w:rPr>
        <w:t xml:space="preserve">ú použité </w:t>
      </w:r>
      <w:r w:rsidRPr="00044184">
        <w:rPr>
          <w:szCs w:val="22"/>
          <w:lang w:val="sk-SK" w:eastAsia="en-GB"/>
        </w:rPr>
        <w:t>na zoradenie nežiaducich účinkov podľa frekvencie výskytu:</w:t>
      </w:r>
      <w:r w:rsidR="00CA21D8" w:rsidRPr="00044184">
        <w:rPr>
          <w:szCs w:val="22"/>
          <w:lang w:val="sk-SK" w:eastAsia="en-GB"/>
        </w:rPr>
        <w:t xml:space="preserve"> ve</w:t>
      </w:r>
      <w:r w:rsidRPr="00044184">
        <w:rPr>
          <w:szCs w:val="22"/>
          <w:lang w:val="sk-SK" w:eastAsia="en-GB"/>
        </w:rPr>
        <w:t>ľmi časté</w:t>
      </w:r>
      <w:r w:rsidR="00CA21D8" w:rsidRPr="00044184">
        <w:rPr>
          <w:szCs w:val="22"/>
          <w:lang w:val="sk-SK" w:eastAsia="en-GB"/>
        </w:rPr>
        <w:t xml:space="preserve"> (</w:t>
      </w:r>
      <w:r w:rsidR="000E232D" w:rsidRPr="00044184">
        <w:rPr>
          <w:rFonts w:eastAsia="TimesNewRomanPSMT"/>
          <w:szCs w:val="22"/>
          <w:lang w:val="sk-SK" w:eastAsia="en-GB"/>
        </w:rPr>
        <w:t>≥</w:t>
      </w:r>
      <w:r w:rsidRPr="00044184">
        <w:rPr>
          <w:rFonts w:eastAsia="TimesNewRomanPSMT"/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1/10);</w:t>
      </w:r>
      <w:r w:rsidR="00F51737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časté</w:t>
      </w:r>
      <w:r w:rsidR="00CA21D8" w:rsidRPr="00044184">
        <w:rPr>
          <w:szCs w:val="22"/>
          <w:lang w:val="sk-SK" w:eastAsia="en-GB"/>
        </w:rPr>
        <w:t xml:space="preserve"> (</w:t>
      </w:r>
      <w:r w:rsidR="000E232D" w:rsidRPr="00044184">
        <w:rPr>
          <w:szCs w:val="22"/>
          <w:lang w:val="sk-SK" w:eastAsia="en-GB"/>
        </w:rPr>
        <w:t>≥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1/100 </w:t>
      </w:r>
      <w:r w:rsidRPr="00044184">
        <w:rPr>
          <w:szCs w:val="22"/>
          <w:lang w:val="sk-SK" w:eastAsia="en-GB"/>
        </w:rPr>
        <w:t>až </w:t>
      </w:r>
      <w:r w:rsidR="00CA21D8" w:rsidRPr="00044184">
        <w:rPr>
          <w:szCs w:val="22"/>
          <w:lang w:val="sk-SK" w:eastAsia="en-GB"/>
        </w:rPr>
        <w:t>&lt;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1/10); </w:t>
      </w:r>
      <w:r w:rsidRPr="00044184">
        <w:rPr>
          <w:szCs w:val="22"/>
          <w:lang w:val="sk-SK" w:eastAsia="en-GB"/>
        </w:rPr>
        <w:t>menej časté</w:t>
      </w:r>
      <w:r w:rsidR="00CA21D8" w:rsidRPr="00044184">
        <w:rPr>
          <w:szCs w:val="22"/>
          <w:lang w:val="sk-SK" w:eastAsia="en-GB"/>
        </w:rPr>
        <w:t xml:space="preserve"> (</w:t>
      </w:r>
      <w:r w:rsidR="000E232D" w:rsidRPr="00044184">
        <w:rPr>
          <w:rFonts w:eastAsia="TimesNewRomanPSMT"/>
          <w:szCs w:val="22"/>
          <w:lang w:val="sk-SK" w:eastAsia="en-GB"/>
        </w:rPr>
        <w:t>≥</w:t>
      </w:r>
      <w:r w:rsidRPr="00044184">
        <w:rPr>
          <w:rFonts w:eastAsia="TimesNewRomanPSMT"/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1/1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000 </w:t>
      </w:r>
      <w:r w:rsidRPr="00044184">
        <w:rPr>
          <w:szCs w:val="22"/>
          <w:lang w:val="sk-SK" w:eastAsia="en-GB"/>
        </w:rPr>
        <w:t>až </w:t>
      </w:r>
      <w:r w:rsidR="00CA21D8" w:rsidRPr="00044184">
        <w:rPr>
          <w:szCs w:val="22"/>
          <w:lang w:val="sk-SK" w:eastAsia="en-GB"/>
        </w:rPr>
        <w:t>&lt;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1/100); </w:t>
      </w:r>
      <w:r w:rsidRPr="00044184">
        <w:rPr>
          <w:szCs w:val="22"/>
          <w:lang w:val="sk-SK" w:eastAsia="en-GB"/>
        </w:rPr>
        <w:t>z</w:t>
      </w:r>
      <w:r w:rsidR="00CA21D8" w:rsidRPr="00044184">
        <w:rPr>
          <w:szCs w:val="22"/>
          <w:lang w:val="sk-SK" w:eastAsia="en-GB"/>
        </w:rPr>
        <w:t>r</w:t>
      </w:r>
      <w:r w:rsidRPr="00044184">
        <w:rPr>
          <w:szCs w:val="22"/>
          <w:lang w:val="sk-SK" w:eastAsia="en-GB"/>
        </w:rPr>
        <w:t>i</w:t>
      </w:r>
      <w:r w:rsidR="00CA21D8" w:rsidRPr="00044184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>dkavé</w:t>
      </w:r>
      <w:r w:rsidR="00CA21D8" w:rsidRPr="00044184">
        <w:rPr>
          <w:szCs w:val="22"/>
          <w:lang w:val="sk-SK" w:eastAsia="en-GB"/>
        </w:rPr>
        <w:t xml:space="preserve"> (</w:t>
      </w:r>
      <w:r w:rsidR="000E232D" w:rsidRPr="00044184">
        <w:rPr>
          <w:rFonts w:eastAsia="TimesNewRomanPSMT"/>
          <w:szCs w:val="22"/>
          <w:lang w:val="sk-SK" w:eastAsia="en-GB"/>
        </w:rPr>
        <w:t>≥</w:t>
      </w:r>
      <w:r w:rsidRPr="00044184">
        <w:rPr>
          <w:rFonts w:eastAsia="TimesNewRomanPSMT"/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1/10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 xml:space="preserve">000 </w:t>
      </w:r>
      <w:r w:rsidRPr="00044184">
        <w:rPr>
          <w:szCs w:val="22"/>
          <w:lang w:val="sk-SK" w:eastAsia="en-GB"/>
        </w:rPr>
        <w:t>až </w:t>
      </w:r>
      <w:r w:rsidR="00CA21D8" w:rsidRPr="00044184">
        <w:rPr>
          <w:szCs w:val="22"/>
          <w:lang w:val="sk-SK" w:eastAsia="en-GB"/>
        </w:rPr>
        <w:t>&lt;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1/1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000); ve</w:t>
      </w:r>
      <w:r w:rsidRPr="00044184">
        <w:rPr>
          <w:szCs w:val="22"/>
          <w:lang w:val="sk-SK" w:eastAsia="en-GB"/>
        </w:rPr>
        <w:t>ľmi zriedkavé</w:t>
      </w:r>
      <w:r w:rsidR="00F51737" w:rsidRPr="00044184">
        <w:rPr>
          <w:szCs w:val="22"/>
          <w:lang w:val="sk-SK" w:eastAsia="en-GB"/>
        </w:rPr>
        <w:t xml:space="preserve"> </w:t>
      </w:r>
      <w:r w:rsidR="00CA21D8" w:rsidRPr="00044184">
        <w:rPr>
          <w:szCs w:val="22"/>
          <w:lang w:val="sk-SK" w:eastAsia="en-GB"/>
        </w:rPr>
        <w:t>(&lt;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1/10</w:t>
      </w:r>
      <w:r w:rsidRPr="00044184">
        <w:rPr>
          <w:szCs w:val="22"/>
          <w:lang w:val="sk-SK" w:eastAsia="en-GB"/>
        </w:rPr>
        <w:t> </w:t>
      </w:r>
      <w:r w:rsidR="00CA21D8" w:rsidRPr="00044184">
        <w:rPr>
          <w:szCs w:val="22"/>
          <w:lang w:val="sk-SK" w:eastAsia="en-GB"/>
        </w:rPr>
        <w:t>000)</w:t>
      </w:r>
      <w:r w:rsidRPr="00044184">
        <w:rPr>
          <w:szCs w:val="22"/>
          <w:lang w:val="sk-SK" w:eastAsia="en-GB"/>
        </w:rPr>
        <w:t xml:space="preserve"> vrátane </w:t>
      </w:r>
      <w:r w:rsidR="00A42691" w:rsidRPr="00044184">
        <w:rPr>
          <w:szCs w:val="22"/>
          <w:lang w:val="sk-SK" w:eastAsia="en-GB"/>
        </w:rPr>
        <w:t>o</w:t>
      </w:r>
      <w:r w:rsidRPr="00044184">
        <w:rPr>
          <w:szCs w:val="22"/>
          <w:lang w:val="sk-SK" w:eastAsia="en-GB"/>
        </w:rPr>
        <w:t>jed</w:t>
      </w:r>
      <w:r w:rsidR="00A42691" w:rsidRPr="00044184">
        <w:rPr>
          <w:szCs w:val="22"/>
          <w:lang w:val="sk-SK" w:eastAsia="en-GB"/>
        </w:rPr>
        <w:t>inelých</w:t>
      </w:r>
      <w:r w:rsidRPr="00044184">
        <w:rPr>
          <w:szCs w:val="22"/>
          <w:lang w:val="sk-SK" w:eastAsia="en-GB"/>
        </w:rPr>
        <w:t xml:space="preserve"> hlásení</w:t>
      </w:r>
      <w:r w:rsidR="00CA21D8" w:rsidRPr="00044184">
        <w:rPr>
          <w:szCs w:val="22"/>
          <w:lang w:val="sk-SK" w:eastAsia="en-GB"/>
        </w:rPr>
        <w:t>.</w:t>
      </w:r>
    </w:p>
    <w:p w:rsidR="000E232D" w:rsidRPr="00044184" w:rsidRDefault="000E232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24A74" w:rsidRPr="00044184" w:rsidRDefault="006B10E9" w:rsidP="00695459">
      <w:pPr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/>
        </w:rPr>
        <w:t>V rámci jednotlivých skupín frekvencií sú nežiaduce reakcie usporiadané v poradí klesajúcej závažnosti</w:t>
      </w:r>
      <w:r w:rsidR="00CA21D8" w:rsidRPr="00044184">
        <w:rPr>
          <w:szCs w:val="22"/>
          <w:lang w:val="sk-SK" w:eastAsia="en-GB"/>
        </w:rPr>
        <w:t>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B6A37" w:rsidRPr="00044184" w:rsidRDefault="003B6A37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lastRenderedPageBreak/>
        <w:t>Tab</w:t>
      </w:r>
      <w:r w:rsidR="004B33D4" w:rsidRPr="00044184">
        <w:rPr>
          <w:szCs w:val="22"/>
          <w:lang w:val="sk-SK" w:eastAsia="en-GB"/>
        </w:rPr>
        <w:t>uľka </w:t>
      </w:r>
      <w:r w:rsidRPr="00044184">
        <w:rPr>
          <w:szCs w:val="22"/>
          <w:lang w:val="sk-SK" w:eastAsia="en-GB"/>
        </w:rPr>
        <w:t>1:</w:t>
      </w:r>
      <w:r w:rsidR="0021717F" w:rsidRPr="00044184">
        <w:rPr>
          <w:szCs w:val="22"/>
          <w:lang w:val="sk-SK" w:eastAsia="en-GB"/>
        </w:rPr>
        <w:t xml:space="preserve"> Ve</w:t>
      </w:r>
      <w:r w:rsidR="004B33D4" w:rsidRPr="00044184">
        <w:rPr>
          <w:szCs w:val="22"/>
          <w:lang w:val="sk-SK" w:eastAsia="en-GB"/>
        </w:rPr>
        <w:t xml:space="preserve">ľmi časté </w:t>
      </w:r>
      <w:r w:rsidR="006653F5" w:rsidRPr="00044184">
        <w:rPr>
          <w:szCs w:val="22"/>
          <w:lang w:val="sk-SK" w:eastAsia="en-GB"/>
        </w:rPr>
        <w:t xml:space="preserve">nežiaduce reakcie </w:t>
      </w:r>
      <w:r w:rsidR="000660E4" w:rsidRPr="00044184">
        <w:rPr>
          <w:szCs w:val="22"/>
          <w:lang w:val="sk-SK" w:eastAsia="en-GB"/>
        </w:rPr>
        <w:t>v štúdii</w:t>
      </w:r>
      <w:r w:rsidR="0021717F" w:rsidRPr="00044184">
        <w:rPr>
          <w:szCs w:val="22"/>
          <w:lang w:val="sk-SK" w:eastAsia="en-GB"/>
        </w:rPr>
        <w:t xml:space="preserve"> BR.21</w:t>
      </w:r>
    </w:p>
    <w:p w:rsidR="008456D6" w:rsidRPr="00044184" w:rsidRDefault="008456D6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1165"/>
        <w:gridCol w:w="897"/>
        <w:gridCol w:w="899"/>
        <w:gridCol w:w="1165"/>
        <w:gridCol w:w="897"/>
        <w:gridCol w:w="898"/>
      </w:tblGrid>
      <w:tr w:rsidR="007349B2" w:rsidRPr="00044184" w:rsidTr="00DA05E4">
        <w:tc>
          <w:tcPr>
            <w:tcW w:w="3214" w:type="dxa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3037" w:type="dxa"/>
            <w:gridSpan w:val="3"/>
          </w:tcPr>
          <w:p w:rsidR="00563420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Erlotinib</w:t>
            </w:r>
          </w:p>
          <w:p w:rsidR="007349B2" w:rsidRPr="00044184" w:rsidRDefault="00A21A5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>
              <w:rPr>
                <w:b/>
                <w:szCs w:val="22"/>
                <w:lang w:val="sk-SK" w:eastAsia="en-GB"/>
              </w:rPr>
              <w:t>n</w:t>
            </w:r>
            <w:r w:rsidR="007349B2" w:rsidRPr="00044184">
              <w:rPr>
                <w:b/>
                <w:szCs w:val="22"/>
                <w:lang w:val="sk-SK" w:eastAsia="en-GB"/>
              </w:rPr>
              <w:t> = 485</w:t>
            </w:r>
          </w:p>
        </w:tc>
        <w:tc>
          <w:tcPr>
            <w:tcW w:w="3036" w:type="dxa"/>
            <w:gridSpan w:val="3"/>
          </w:tcPr>
          <w:p w:rsidR="00563420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Placebo</w:t>
            </w:r>
          </w:p>
          <w:p w:rsidR="007349B2" w:rsidRPr="00044184" w:rsidRDefault="00A21A5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>
              <w:rPr>
                <w:b/>
                <w:szCs w:val="22"/>
                <w:lang w:val="sk-SK" w:eastAsia="en-GB"/>
              </w:rPr>
              <w:t>n</w:t>
            </w:r>
            <w:r w:rsidR="007349B2" w:rsidRPr="00044184">
              <w:rPr>
                <w:b/>
                <w:szCs w:val="22"/>
                <w:lang w:val="sk-SK" w:eastAsia="en-GB"/>
              </w:rPr>
              <w:t> = 242</w:t>
            </w:r>
          </w:p>
        </w:tc>
      </w:tr>
      <w:tr w:rsidR="00DD2525" w:rsidRPr="00044184" w:rsidTr="00DA05E4">
        <w:tc>
          <w:tcPr>
            <w:tcW w:w="3214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Stupeň toxicity podľa NCI</w:t>
            </w:r>
            <w:r w:rsidRPr="00044184">
              <w:rPr>
                <w:b/>
                <w:szCs w:val="22"/>
                <w:lang w:val="sk-SK" w:eastAsia="en-GB"/>
              </w:rPr>
              <w:noBreakHyphen/>
              <w:t>CTC</w:t>
            </w:r>
          </w:p>
        </w:tc>
        <w:tc>
          <w:tcPr>
            <w:tcW w:w="1177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Akýkoľ</w:t>
            </w:r>
            <w:r w:rsidR="00E047CE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vek</w:t>
            </w:r>
            <w:r w:rsidRPr="00044184">
              <w:rPr>
                <w:b/>
                <w:szCs w:val="22"/>
                <w:lang w:val="sk-SK" w:eastAsia="en-GB"/>
              </w:rPr>
              <w:br/>
              <w:t>stupeň</w:t>
            </w:r>
          </w:p>
        </w:tc>
        <w:tc>
          <w:tcPr>
            <w:tcW w:w="929" w:type="dxa"/>
            <w:vAlign w:val="center"/>
          </w:tcPr>
          <w:p w:rsidR="007349B2" w:rsidRPr="00044184" w:rsidRDefault="0070001B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3.</w:t>
            </w:r>
          </w:p>
        </w:tc>
        <w:tc>
          <w:tcPr>
            <w:tcW w:w="931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4</w:t>
            </w:r>
            <w:r w:rsidR="00DD2525" w:rsidRPr="00044184">
              <w:rPr>
                <w:b/>
                <w:szCs w:val="22"/>
                <w:lang w:val="sk-SK" w:eastAsia="en-GB"/>
              </w:rPr>
              <w:t>.</w:t>
            </w:r>
          </w:p>
        </w:tc>
        <w:tc>
          <w:tcPr>
            <w:tcW w:w="1177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Akýkoľ</w:t>
            </w:r>
            <w:r w:rsidR="00E047CE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vek</w:t>
            </w:r>
            <w:r w:rsidRPr="00044184">
              <w:rPr>
                <w:b/>
                <w:szCs w:val="22"/>
                <w:lang w:val="sk-SK" w:eastAsia="en-GB"/>
              </w:rPr>
              <w:br/>
              <w:t>stupeň</w:t>
            </w:r>
          </w:p>
        </w:tc>
        <w:tc>
          <w:tcPr>
            <w:tcW w:w="929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3</w:t>
            </w:r>
            <w:r w:rsidR="00DD2525" w:rsidRPr="00044184">
              <w:rPr>
                <w:b/>
                <w:szCs w:val="22"/>
                <w:lang w:val="sk-SK" w:eastAsia="en-GB"/>
              </w:rPr>
              <w:t>.</w:t>
            </w:r>
          </w:p>
        </w:tc>
        <w:tc>
          <w:tcPr>
            <w:tcW w:w="930" w:type="dxa"/>
            <w:vAlign w:val="center"/>
          </w:tcPr>
          <w:p w:rsidR="007349B2" w:rsidRPr="00044184" w:rsidRDefault="007349B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4</w:t>
            </w:r>
            <w:r w:rsidR="00DD2525" w:rsidRPr="00044184">
              <w:rPr>
                <w:b/>
                <w:szCs w:val="22"/>
                <w:lang w:val="sk-SK" w:eastAsia="en-GB"/>
              </w:rPr>
              <w:t>.</w:t>
            </w:r>
          </w:p>
        </w:tc>
      </w:tr>
      <w:tr w:rsidR="00DD2525" w:rsidRPr="00044184" w:rsidTr="00DA05E4">
        <w:tc>
          <w:tcPr>
            <w:tcW w:w="3214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Preferovaný výraz podľa MedDRA</w:t>
            </w:r>
          </w:p>
        </w:tc>
        <w:tc>
          <w:tcPr>
            <w:tcW w:w="1177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29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31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1177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29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30" w:type="dxa"/>
            <w:vAlign w:val="center"/>
          </w:tcPr>
          <w:p w:rsidR="007349B2" w:rsidRPr="00044184" w:rsidRDefault="00DD252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Celkový počet pacientov s akoukoľvek</w:t>
            </w:r>
            <w:r w:rsidR="006653F5" w:rsidRPr="00044184">
              <w:rPr>
                <w:szCs w:val="22"/>
                <w:lang w:val="sk-SK" w:eastAsia="en-GB"/>
              </w:rPr>
              <w:t xml:space="preserve"> nežiaducou udalosťou</w:t>
            </w:r>
          </w:p>
        </w:tc>
        <w:tc>
          <w:tcPr>
            <w:tcW w:w="1177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99</w:t>
            </w:r>
          </w:p>
        </w:tc>
        <w:tc>
          <w:tcPr>
            <w:tcW w:w="929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40</w:t>
            </w:r>
          </w:p>
        </w:tc>
        <w:tc>
          <w:tcPr>
            <w:tcW w:w="931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22</w:t>
            </w:r>
          </w:p>
        </w:tc>
        <w:tc>
          <w:tcPr>
            <w:tcW w:w="1177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96</w:t>
            </w:r>
          </w:p>
        </w:tc>
        <w:tc>
          <w:tcPr>
            <w:tcW w:w="929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36</w:t>
            </w:r>
          </w:p>
        </w:tc>
        <w:tc>
          <w:tcPr>
            <w:tcW w:w="930" w:type="dxa"/>
            <w:vAlign w:val="center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22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Infekcie a nákazy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Infekcia*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24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15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044184">
              <w:rPr>
                <w:i/>
                <w:iCs/>
                <w:szCs w:val="22"/>
                <w:lang w:val="sk-SK"/>
              </w:rPr>
              <w:t>Poruchy metabolizmu a</w:t>
            </w:r>
            <w:r w:rsidRPr="00044184">
              <w:rPr>
                <w:i/>
                <w:iCs/>
                <w:spacing w:val="-14"/>
                <w:szCs w:val="22"/>
                <w:lang w:val="sk-SK"/>
              </w:rPr>
              <w:t xml:space="preserve"> </w:t>
            </w:r>
            <w:r w:rsidRPr="00044184">
              <w:rPr>
                <w:i/>
                <w:iCs/>
                <w:szCs w:val="22"/>
                <w:lang w:val="sk-SK"/>
              </w:rPr>
              <w:t>výživy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iCs/>
                <w:szCs w:val="22"/>
                <w:lang w:val="sk-SK"/>
              </w:rPr>
              <w:t>Anorexia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52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38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oka</w:t>
            </w:r>
          </w:p>
          <w:p w:rsidR="00F62AF4" w:rsidRPr="00675F45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i/>
                <w:szCs w:val="22"/>
                <w:lang w:val="sk-SK" w:eastAsia="en-GB"/>
              </w:rPr>
            </w:pPr>
            <w:r w:rsidRPr="00675F45">
              <w:rPr>
                <w:i/>
                <w:szCs w:val="22"/>
                <w:lang w:val="sk-SK" w:eastAsia="en-GB"/>
              </w:rPr>
              <w:t>Kera</w:t>
            </w:r>
            <w:r w:rsidRPr="00675F45">
              <w:rPr>
                <w:i/>
                <w:spacing w:val="-2"/>
                <w:szCs w:val="22"/>
                <w:lang w:val="sk-SK" w:eastAsia="en-GB"/>
              </w:rPr>
              <w:t>t</w:t>
            </w:r>
            <w:r w:rsidRPr="00675F45">
              <w:rPr>
                <w:i/>
                <w:spacing w:val="1"/>
                <w:szCs w:val="22"/>
                <w:lang w:val="sk-SK" w:eastAsia="en-GB"/>
              </w:rPr>
              <w:t>o</w:t>
            </w:r>
            <w:r w:rsidRPr="00675F45">
              <w:rPr>
                <w:i/>
                <w:szCs w:val="22"/>
                <w:lang w:val="sk-SK" w:eastAsia="en-GB"/>
              </w:rPr>
              <w:t>con</w:t>
            </w:r>
            <w:r w:rsidRPr="00675F45">
              <w:rPr>
                <w:i/>
                <w:spacing w:val="1"/>
                <w:szCs w:val="22"/>
                <w:lang w:val="sk-SK" w:eastAsia="en-GB"/>
              </w:rPr>
              <w:t>j</w:t>
            </w:r>
            <w:r w:rsidRPr="00675F45">
              <w:rPr>
                <w:i/>
                <w:szCs w:val="22"/>
                <w:lang w:val="sk-SK" w:eastAsia="en-GB"/>
              </w:rPr>
              <w:t>un</w:t>
            </w:r>
            <w:r w:rsidRPr="00675F45">
              <w:rPr>
                <w:i/>
                <w:spacing w:val="-1"/>
                <w:szCs w:val="22"/>
                <w:lang w:val="sk-SK" w:eastAsia="en-GB"/>
              </w:rPr>
              <w:t>c</w:t>
            </w:r>
            <w:r w:rsidRPr="00675F45">
              <w:rPr>
                <w:i/>
                <w:szCs w:val="22"/>
                <w:lang w:val="sk-SK" w:eastAsia="en-GB"/>
              </w:rPr>
              <w:t>tivitis sicca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Konjunktivitída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12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12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dýchacej sústavy, hrudníka a mediastína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Dyspnoe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Kašeľ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33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17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35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29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15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gastrointestinálneho traktu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Hnačka**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Nauzea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Vracanie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St</w:t>
            </w:r>
            <w:r w:rsidRPr="00044184">
              <w:rPr>
                <w:spacing w:val="1"/>
                <w:szCs w:val="22"/>
                <w:lang w:val="sk-SK" w:eastAsia="en-GB"/>
              </w:rPr>
              <w:t>o</w:t>
            </w:r>
            <w:r w:rsidRPr="00044184">
              <w:rPr>
                <w:spacing w:val="-2"/>
                <w:szCs w:val="22"/>
                <w:lang w:val="sk-SK" w:eastAsia="en-GB"/>
              </w:rPr>
              <w:t>m</w:t>
            </w:r>
            <w:r w:rsidRPr="00044184">
              <w:rPr>
                <w:szCs w:val="22"/>
                <w:lang w:val="sk-SK" w:eastAsia="en-GB"/>
              </w:rPr>
              <w:t>a</w:t>
            </w:r>
            <w:r w:rsidRPr="00044184">
              <w:rPr>
                <w:spacing w:val="1"/>
                <w:szCs w:val="22"/>
                <w:lang w:val="sk-SK" w:eastAsia="en-GB"/>
              </w:rPr>
              <w:t>t</w:t>
            </w:r>
            <w:r w:rsidRPr="00044184">
              <w:rPr>
                <w:szCs w:val="22"/>
                <w:lang w:val="sk-SK" w:eastAsia="en-GB"/>
              </w:rPr>
              <w:t>itída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Bolesť brucha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54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17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11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18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24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19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7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D777B4" w:rsidRDefault="00D777B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kože a podkožného tkaniva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Vyrážka***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Prurit</w:t>
            </w:r>
            <w:r w:rsidRPr="00044184">
              <w:rPr>
                <w:spacing w:val="1"/>
                <w:szCs w:val="22"/>
                <w:lang w:val="sk-SK" w:eastAsia="en-GB"/>
              </w:rPr>
              <w:t>u</w:t>
            </w:r>
            <w:r w:rsidRPr="00044184">
              <w:rPr>
                <w:szCs w:val="22"/>
                <w:lang w:val="sk-SK" w:eastAsia="en-GB"/>
              </w:rPr>
              <w:t>s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Such</w:t>
            </w:r>
            <w:r w:rsidR="003D5C27">
              <w:rPr>
                <w:szCs w:val="22"/>
                <w:lang w:val="sk-SK" w:eastAsia="en-GB"/>
              </w:rPr>
              <w:t>á</w:t>
            </w:r>
            <w:r w:rsidRPr="00044184">
              <w:rPr>
                <w:szCs w:val="22"/>
                <w:lang w:val="sk-SK" w:eastAsia="en-GB"/>
              </w:rPr>
              <w:t xml:space="preserve"> kož</w:t>
            </w:r>
            <w:r w:rsidR="003D5C27">
              <w:rPr>
                <w:szCs w:val="22"/>
                <w:lang w:val="sk-SK" w:eastAsia="en-GB"/>
              </w:rPr>
              <w:t>a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75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13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12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17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3D5C27" w:rsidRDefault="003D5C27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F62AF4" w:rsidRPr="00044184" w:rsidTr="00DA05E4">
        <w:tc>
          <w:tcPr>
            <w:tcW w:w="3214" w:type="dxa"/>
          </w:tcPr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Celkové poruchy a reakcie v mieste podania</w:t>
            </w:r>
          </w:p>
          <w:p w:rsidR="00F62AF4" w:rsidRPr="00044184" w:rsidRDefault="00F62AF4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Únava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52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14</w:t>
            </w:r>
          </w:p>
        </w:tc>
        <w:tc>
          <w:tcPr>
            <w:tcW w:w="931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</w:tc>
        <w:tc>
          <w:tcPr>
            <w:tcW w:w="1177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45</w:t>
            </w:r>
          </w:p>
        </w:tc>
        <w:tc>
          <w:tcPr>
            <w:tcW w:w="929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16</w:t>
            </w:r>
          </w:p>
        </w:tc>
        <w:tc>
          <w:tcPr>
            <w:tcW w:w="930" w:type="dxa"/>
          </w:tcPr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F62AF4" w:rsidRPr="00044184" w:rsidRDefault="00F62AF4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</w:tc>
      </w:tr>
    </w:tbl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* </w:t>
      </w:r>
      <w:r w:rsidR="008456D6" w:rsidRPr="00044184">
        <w:rPr>
          <w:szCs w:val="22"/>
          <w:lang w:val="sk-SK" w:eastAsia="en-GB"/>
        </w:rPr>
        <w:t xml:space="preserve">   </w:t>
      </w:r>
      <w:r w:rsidR="00A2473E" w:rsidRPr="00044184">
        <w:rPr>
          <w:szCs w:val="22"/>
          <w:lang w:val="sk-SK" w:eastAsia="en-GB"/>
        </w:rPr>
        <w:t>Závažné infekcie s neutropéniou alebo bez nej zahŕňali pneumóniu, sepsu a celulitídu</w:t>
      </w:r>
      <w:r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** </w:t>
      </w:r>
      <w:r w:rsidR="008456D6" w:rsidRPr="00044184">
        <w:rPr>
          <w:szCs w:val="22"/>
          <w:lang w:val="sk-SK" w:eastAsia="en-GB"/>
        </w:rPr>
        <w:t xml:space="preserve"> </w:t>
      </w:r>
      <w:r w:rsidR="00A2473E" w:rsidRPr="00044184">
        <w:rPr>
          <w:szCs w:val="22"/>
          <w:lang w:val="sk-SK" w:eastAsia="en-GB"/>
        </w:rPr>
        <w:t>Môže viesť k dehydratácii, hypokalémii a zlyhaniu obličiek</w:t>
      </w:r>
      <w:r w:rsidRPr="00044184">
        <w:rPr>
          <w:szCs w:val="22"/>
          <w:lang w:val="sk-SK" w:eastAsia="en-GB"/>
        </w:rPr>
        <w:t>.</w:t>
      </w:r>
    </w:p>
    <w:p w:rsidR="000E232D" w:rsidRPr="00044184" w:rsidRDefault="003B6A37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 w:eastAsia="en-GB"/>
        </w:rPr>
        <w:t xml:space="preserve">*** </w:t>
      </w:r>
      <w:r w:rsidR="00A2473E" w:rsidRPr="00044184">
        <w:rPr>
          <w:szCs w:val="22"/>
          <w:lang w:val="sk-SK" w:eastAsia="en-GB"/>
        </w:rPr>
        <w:t>Vyrážka zahŕňala akneiformnú d</w:t>
      </w:r>
      <w:r w:rsidRPr="00044184">
        <w:rPr>
          <w:szCs w:val="22"/>
          <w:lang w:val="sk-SK" w:eastAsia="en-GB"/>
        </w:rPr>
        <w:t>ermatit</w:t>
      </w:r>
      <w:r w:rsidR="00A2473E" w:rsidRPr="00044184">
        <w:rPr>
          <w:szCs w:val="22"/>
          <w:lang w:val="sk-SK" w:eastAsia="en-GB"/>
        </w:rPr>
        <w:t>ídu</w:t>
      </w:r>
      <w:r w:rsidRPr="00044184">
        <w:rPr>
          <w:szCs w:val="22"/>
          <w:lang w:val="sk-SK" w:eastAsia="en-GB"/>
        </w:rPr>
        <w:t>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B6A37" w:rsidRPr="00044184" w:rsidRDefault="000660E4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V</w:t>
      </w:r>
      <w:r w:rsidR="00A2473E" w:rsidRPr="00044184">
        <w:rPr>
          <w:szCs w:val="22"/>
          <w:lang w:val="sk-SK" w:eastAsia="en-GB"/>
        </w:rPr>
        <w:t xml:space="preserve"> ďalších </w:t>
      </w:r>
      <w:r w:rsidRPr="00044184">
        <w:rPr>
          <w:szCs w:val="22"/>
          <w:lang w:val="sk-SK" w:eastAsia="en-GB"/>
        </w:rPr>
        <w:t xml:space="preserve">dvoch dvojito zaslepených, randomizovaných, placebom kontrolovaných štúdiách fázy III, </w:t>
      </w:r>
      <w:r w:rsidR="003B6A37" w:rsidRPr="00044184">
        <w:rPr>
          <w:szCs w:val="22"/>
          <w:lang w:val="sk-SK" w:eastAsia="en-GB"/>
        </w:rPr>
        <w:t>BO18192 (SATURN)</w:t>
      </w:r>
      <w:r w:rsidR="00093FCA" w:rsidRPr="00044184">
        <w:rPr>
          <w:szCs w:val="22"/>
          <w:lang w:val="sk-SK" w:eastAsia="en-GB"/>
        </w:rPr>
        <w:t xml:space="preserve"> a BO25460 (IUNO)</w:t>
      </w:r>
      <w:r w:rsidRPr="00044184">
        <w:rPr>
          <w:szCs w:val="22"/>
          <w:lang w:val="sk-SK" w:eastAsia="en-GB"/>
        </w:rPr>
        <w:t>,</w:t>
      </w:r>
      <w:r w:rsidR="00093FCA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sa </w:t>
      </w:r>
      <w:r w:rsidR="00093FCA" w:rsidRPr="00044184">
        <w:rPr>
          <w:szCs w:val="22"/>
          <w:lang w:val="sk-SK" w:eastAsia="en-GB"/>
        </w:rPr>
        <w:t>e</w:t>
      </w:r>
      <w:r w:rsidR="003B6A37" w:rsidRPr="00044184">
        <w:rPr>
          <w:szCs w:val="22"/>
          <w:lang w:val="sk-SK" w:eastAsia="en-GB"/>
        </w:rPr>
        <w:t xml:space="preserve">rlotinib </w:t>
      </w:r>
      <w:r w:rsidRPr="00044184">
        <w:rPr>
          <w:szCs w:val="22"/>
          <w:lang w:val="sk-SK" w:eastAsia="en-GB"/>
        </w:rPr>
        <w:t>podával ako udržiavacia liečba po prvolíniovej chemoterapii</w:t>
      </w:r>
      <w:r w:rsidR="003B6A37" w:rsidRPr="00044184">
        <w:rPr>
          <w:szCs w:val="22"/>
          <w:lang w:val="sk-SK" w:eastAsia="en-GB"/>
        </w:rPr>
        <w:t xml:space="preserve">. </w:t>
      </w:r>
      <w:r w:rsidR="00F330FC" w:rsidRPr="00044184">
        <w:rPr>
          <w:szCs w:val="22"/>
          <w:lang w:val="sk-SK" w:eastAsia="en-GB"/>
        </w:rPr>
        <w:t>T</w:t>
      </w:r>
      <w:r w:rsidRPr="00044184">
        <w:rPr>
          <w:szCs w:val="22"/>
          <w:lang w:val="sk-SK" w:eastAsia="en-GB"/>
        </w:rPr>
        <w:t xml:space="preserve">ieto štúdie sa uskutočnili u celkovo </w:t>
      </w:r>
      <w:r w:rsidR="00F330FC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F330FC" w:rsidRPr="00044184">
        <w:rPr>
          <w:szCs w:val="22"/>
          <w:lang w:val="sk-SK" w:eastAsia="en-GB"/>
        </w:rPr>
        <w:t>532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c</w:t>
      </w:r>
      <w:r w:rsidR="003B6A37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>ov s pokročilým, recidivujúcim alebo</w:t>
      </w:r>
      <w:r w:rsidR="0075145C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metastatickým </w:t>
      </w:r>
      <w:r w:rsidR="003B6A37" w:rsidRPr="00044184">
        <w:rPr>
          <w:szCs w:val="22"/>
          <w:lang w:val="sk-SK" w:eastAsia="en-GB"/>
        </w:rPr>
        <w:t xml:space="preserve">NSCLC </w:t>
      </w:r>
      <w:r w:rsidRPr="00044184">
        <w:rPr>
          <w:szCs w:val="22"/>
          <w:lang w:val="sk-SK" w:eastAsia="en-GB"/>
        </w:rPr>
        <w:t>po prvolíniovej štandardnej chemoterapii na báze platiny a</w:t>
      </w:r>
      <w:r w:rsidR="0075145C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ne</w:t>
      </w:r>
      <w:r w:rsidR="0075145C" w:rsidRPr="00044184">
        <w:rPr>
          <w:szCs w:val="22"/>
          <w:lang w:val="sk-SK" w:eastAsia="en-GB"/>
        </w:rPr>
        <w:t>identifikovali sa v nich</w:t>
      </w:r>
      <w:r w:rsidRPr="00044184">
        <w:rPr>
          <w:szCs w:val="22"/>
          <w:lang w:val="sk-SK" w:eastAsia="en-GB"/>
        </w:rPr>
        <w:t xml:space="preserve"> žiadne nové bezpečnostné signály</w:t>
      </w:r>
      <w:r w:rsidR="003B6A37"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0660E4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 w:eastAsia="en-GB"/>
        </w:rPr>
        <w:t xml:space="preserve">Najčastejšie </w:t>
      </w:r>
      <w:r w:rsidR="006653F5" w:rsidRPr="00044184">
        <w:rPr>
          <w:szCs w:val="22"/>
          <w:lang w:val="sk-SK" w:eastAsia="en-GB"/>
        </w:rPr>
        <w:t>nežiaduce reakcie</w:t>
      </w:r>
      <w:r w:rsidRPr="00044184">
        <w:rPr>
          <w:szCs w:val="22"/>
          <w:lang w:val="sk-SK" w:eastAsia="en-GB"/>
        </w:rPr>
        <w:t xml:space="preserve"> pozorované u pacientov liečených </w:t>
      </w:r>
      <w:r w:rsidR="0049143F" w:rsidRPr="00044184">
        <w:rPr>
          <w:szCs w:val="22"/>
          <w:lang w:val="sk-SK" w:eastAsia="en-GB"/>
        </w:rPr>
        <w:t>e</w:t>
      </w:r>
      <w:r w:rsidR="003B6A37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om v štúdiách </w:t>
      </w:r>
      <w:r w:rsidR="003B6A37" w:rsidRPr="00044184">
        <w:rPr>
          <w:szCs w:val="22"/>
          <w:lang w:val="sk-SK" w:eastAsia="en-GB"/>
        </w:rPr>
        <w:t>BO18192</w:t>
      </w:r>
      <w:r w:rsidR="00F330FC" w:rsidRPr="00044184">
        <w:rPr>
          <w:szCs w:val="22"/>
          <w:lang w:val="sk-SK" w:eastAsia="en-GB"/>
        </w:rPr>
        <w:t xml:space="preserve"> a</w:t>
      </w:r>
      <w:r w:rsidR="00B329FD" w:rsidRPr="00044184">
        <w:rPr>
          <w:szCs w:val="22"/>
          <w:lang w:val="sk-SK" w:eastAsia="en-GB"/>
        </w:rPr>
        <w:t> </w:t>
      </w:r>
      <w:r w:rsidR="00F330FC" w:rsidRPr="00044184">
        <w:rPr>
          <w:szCs w:val="22"/>
          <w:lang w:val="sk-SK" w:eastAsia="en-GB"/>
        </w:rPr>
        <w:t>BO25460</w:t>
      </w:r>
      <w:r w:rsidR="003B6A37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boli vyrážka a hnačka </w:t>
      </w:r>
      <w:r w:rsidR="003B6A37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>pozri tabuľku </w:t>
      </w:r>
      <w:r w:rsidR="00F330FC" w:rsidRPr="00044184">
        <w:rPr>
          <w:szCs w:val="22"/>
          <w:lang w:val="sk-SK" w:eastAsia="en-GB"/>
        </w:rPr>
        <w:t>2</w:t>
      </w:r>
      <w:r w:rsidR="003B6A37" w:rsidRPr="00044184">
        <w:rPr>
          <w:szCs w:val="22"/>
          <w:lang w:val="sk-SK" w:eastAsia="en-GB"/>
        </w:rPr>
        <w:t>)</w:t>
      </w:r>
      <w:r w:rsidR="00BD1CEF" w:rsidRPr="00044184">
        <w:rPr>
          <w:szCs w:val="22"/>
          <w:lang w:val="sk-SK" w:eastAsia="en-GB"/>
        </w:rPr>
        <w:t>.</w:t>
      </w:r>
      <w:r w:rsidR="003B6A37" w:rsidRPr="00044184">
        <w:rPr>
          <w:szCs w:val="22"/>
          <w:lang w:val="sk-SK" w:eastAsia="en-GB"/>
        </w:rPr>
        <w:t xml:space="preserve"> </w:t>
      </w:r>
      <w:r w:rsidR="0075145C" w:rsidRPr="00044184">
        <w:rPr>
          <w:szCs w:val="22"/>
          <w:lang w:val="sk-SK" w:eastAsia="en-GB"/>
        </w:rPr>
        <w:t>V ani jednej zo štúdií sa nezistila v</w:t>
      </w:r>
      <w:r w:rsidR="00251EDB" w:rsidRPr="00044184">
        <w:rPr>
          <w:szCs w:val="22"/>
          <w:lang w:val="sk-SK" w:eastAsia="en-GB"/>
        </w:rPr>
        <w:t>yrážka alebo hnačka 4. stupňa</w:t>
      </w:r>
      <w:r w:rsidR="003B6A37" w:rsidRPr="00044184">
        <w:rPr>
          <w:szCs w:val="22"/>
          <w:lang w:val="sk-SK" w:eastAsia="en-GB"/>
        </w:rPr>
        <w:t xml:space="preserve">. </w:t>
      </w:r>
      <w:r w:rsidR="0075145C" w:rsidRPr="00044184">
        <w:rPr>
          <w:szCs w:val="22"/>
          <w:lang w:val="sk-SK" w:eastAsia="en-GB"/>
        </w:rPr>
        <w:t>V štúdii BO18192 viedla v</w:t>
      </w:r>
      <w:r w:rsidRPr="00044184">
        <w:rPr>
          <w:szCs w:val="22"/>
          <w:lang w:val="sk-SK" w:eastAsia="en-GB"/>
        </w:rPr>
        <w:t>yrážka k predčasnému ukončeniu liečby erlotinibom u </w:t>
      </w:r>
      <w:r w:rsidR="003B6A37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%</w:t>
      </w:r>
      <w:r w:rsidR="00884C75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pacientov </w:t>
      </w:r>
      <w:r w:rsidR="003B6A37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> hnačka u </w:t>
      </w:r>
      <w:r w:rsidR="003B6A37" w:rsidRPr="00044184">
        <w:rPr>
          <w:szCs w:val="22"/>
          <w:lang w:val="sk-SK" w:eastAsia="en-GB"/>
        </w:rPr>
        <w:t>&lt;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pacientov</w:t>
      </w:r>
      <w:r w:rsidR="00F330FC" w:rsidRPr="00044184">
        <w:rPr>
          <w:szCs w:val="22"/>
          <w:lang w:val="sk-SK" w:eastAsia="en-GB"/>
        </w:rPr>
        <w:t xml:space="preserve">, </w:t>
      </w:r>
      <w:r w:rsidRPr="00044184">
        <w:rPr>
          <w:szCs w:val="22"/>
          <w:lang w:val="sk-SK" w:eastAsia="en-GB"/>
        </w:rPr>
        <w:t xml:space="preserve">zatiaľ čo v štúdii BO25460 </w:t>
      </w:r>
      <w:r w:rsidR="00884C75" w:rsidRPr="00044184">
        <w:rPr>
          <w:szCs w:val="22"/>
          <w:lang w:val="sk-SK" w:eastAsia="en-GB"/>
        </w:rPr>
        <w:t>nebola vyrážka alebo hnačka dôvodom predčasného ukončenia liečby u </w:t>
      </w:r>
      <w:r w:rsidR="00BA0304" w:rsidRPr="00044184">
        <w:rPr>
          <w:szCs w:val="22"/>
          <w:lang w:val="sk-SK" w:eastAsia="en-GB"/>
        </w:rPr>
        <w:t>žiadneho</w:t>
      </w:r>
      <w:r w:rsidR="00884C75" w:rsidRPr="00044184">
        <w:rPr>
          <w:szCs w:val="22"/>
          <w:lang w:val="sk-SK" w:eastAsia="en-GB"/>
        </w:rPr>
        <w:t xml:space="preserve"> pacient</w:t>
      </w:r>
      <w:r w:rsidR="00BA0304" w:rsidRPr="00044184">
        <w:rPr>
          <w:szCs w:val="22"/>
          <w:lang w:val="sk-SK" w:eastAsia="en-GB"/>
        </w:rPr>
        <w:t>a</w:t>
      </w:r>
      <w:r w:rsidR="006341BC" w:rsidRPr="00044184">
        <w:rPr>
          <w:szCs w:val="22"/>
          <w:lang w:val="sk-SK" w:eastAsia="en-GB"/>
        </w:rPr>
        <w:t>.</w:t>
      </w:r>
      <w:r w:rsidR="00F330FC" w:rsidRPr="00044184">
        <w:rPr>
          <w:szCs w:val="22"/>
          <w:lang w:val="sk-SK" w:eastAsia="en-GB"/>
        </w:rPr>
        <w:t xml:space="preserve"> </w:t>
      </w:r>
      <w:r w:rsidR="00884C75" w:rsidRPr="00044184">
        <w:rPr>
          <w:szCs w:val="22"/>
          <w:lang w:val="sk-SK" w:eastAsia="en-GB"/>
        </w:rPr>
        <w:t>V štúdii BO18192 boli ú</w:t>
      </w:r>
      <w:r w:rsidR="00251EDB" w:rsidRPr="00044184">
        <w:rPr>
          <w:szCs w:val="22"/>
          <w:lang w:val="sk-SK" w:eastAsia="en-GB"/>
        </w:rPr>
        <w:t xml:space="preserve">pravy dávky </w:t>
      </w:r>
      <w:r w:rsidR="003B6A37" w:rsidRPr="00044184">
        <w:rPr>
          <w:szCs w:val="22"/>
          <w:lang w:val="sk-SK" w:eastAsia="en-GB"/>
        </w:rPr>
        <w:t>(</w:t>
      </w:r>
      <w:r w:rsidR="00251EDB" w:rsidRPr="00044184">
        <w:rPr>
          <w:szCs w:val="22"/>
          <w:lang w:val="sk-SK" w:eastAsia="en-GB"/>
        </w:rPr>
        <w:t>prerušenie podávania alebo zníženie dávky</w:t>
      </w:r>
      <w:r w:rsidR="003B6A37" w:rsidRPr="00044184">
        <w:rPr>
          <w:szCs w:val="22"/>
          <w:lang w:val="sk-SK" w:eastAsia="en-GB"/>
        </w:rPr>
        <w:t xml:space="preserve">) </w:t>
      </w:r>
      <w:r w:rsidR="00251EDB" w:rsidRPr="00044184">
        <w:rPr>
          <w:szCs w:val="22"/>
          <w:lang w:val="sk-SK" w:eastAsia="en-GB"/>
        </w:rPr>
        <w:t>kvôli vyrážke potrebné u 8,3 % pacientov a kvôli hnačke u </w:t>
      </w:r>
      <w:r w:rsidR="003B6A37" w:rsidRPr="00044184">
        <w:rPr>
          <w:szCs w:val="22"/>
          <w:lang w:val="sk-SK" w:eastAsia="en-GB"/>
        </w:rPr>
        <w:t>3</w:t>
      </w:r>
      <w:r w:rsidR="00251EDB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 xml:space="preserve">% </w:t>
      </w:r>
      <w:r w:rsidR="005604D5" w:rsidRPr="00044184">
        <w:rPr>
          <w:szCs w:val="22"/>
          <w:lang w:val="sk-SK" w:eastAsia="en-GB"/>
        </w:rPr>
        <w:t>a</w:t>
      </w:r>
      <w:r w:rsidR="00331AB4" w:rsidRPr="00044184">
        <w:rPr>
          <w:szCs w:val="22"/>
          <w:lang w:val="sk-SK" w:eastAsia="en-GB"/>
        </w:rPr>
        <w:t xml:space="preserve"> v </w:t>
      </w:r>
      <w:r w:rsidR="00251EDB" w:rsidRPr="00044184">
        <w:rPr>
          <w:szCs w:val="22"/>
          <w:lang w:val="sk-SK" w:eastAsia="en-GB"/>
        </w:rPr>
        <w:t xml:space="preserve">štúdii </w:t>
      </w:r>
      <w:r w:rsidR="005604D5" w:rsidRPr="00044184">
        <w:rPr>
          <w:szCs w:val="22"/>
          <w:lang w:val="sk-SK" w:eastAsia="en-GB"/>
        </w:rPr>
        <w:t>BO25460</w:t>
      </w:r>
      <w:r w:rsidR="00251EDB" w:rsidRPr="00044184">
        <w:rPr>
          <w:szCs w:val="22"/>
          <w:lang w:val="sk-SK" w:eastAsia="en-GB"/>
        </w:rPr>
        <w:t> </w:t>
      </w:r>
      <w:r w:rsidR="00331AB4" w:rsidRPr="00044184">
        <w:rPr>
          <w:szCs w:val="22"/>
          <w:lang w:val="sk-SK" w:eastAsia="en-GB"/>
        </w:rPr>
        <w:t xml:space="preserve">boli potrebné </w:t>
      </w:r>
      <w:r w:rsidR="00251EDB" w:rsidRPr="00044184">
        <w:rPr>
          <w:szCs w:val="22"/>
          <w:lang w:val="sk-SK" w:eastAsia="en-GB"/>
        </w:rPr>
        <w:t>u </w:t>
      </w:r>
      <w:r w:rsidR="00F330FC" w:rsidRPr="00044184">
        <w:rPr>
          <w:szCs w:val="22"/>
          <w:lang w:val="sk-SK" w:eastAsia="en-GB"/>
        </w:rPr>
        <w:t>5</w:t>
      </w:r>
      <w:r w:rsidR="00251EDB" w:rsidRPr="00044184">
        <w:rPr>
          <w:szCs w:val="22"/>
          <w:lang w:val="sk-SK" w:eastAsia="en-GB"/>
        </w:rPr>
        <w:t>,</w:t>
      </w:r>
      <w:r w:rsidR="00F330FC" w:rsidRPr="00044184">
        <w:rPr>
          <w:szCs w:val="22"/>
          <w:lang w:val="sk-SK" w:eastAsia="en-GB"/>
        </w:rPr>
        <w:t>6</w:t>
      </w:r>
      <w:r w:rsidR="00251EDB" w:rsidRPr="00044184">
        <w:rPr>
          <w:szCs w:val="22"/>
          <w:lang w:val="sk-SK" w:eastAsia="en-GB"/>
        </w:rPr>
        <w:t> </w:t>
      </w:r>
      <w:r w:rsidR="00F330FC" w:rsidRPr="00044184">
        <w:rPr>
          <w:szCs w:val="22"/>
          <w:lang w:val="sk-SK" w:eastAsia="en-GB"/>
        </w:rPr>
        <w:t>%</w:t>
      </w:r>
      <w:r w:rsidR="00331AB4" w:rsidRPr="00044184">
        <w:rPr>
          <w:szCs w:val="22"/>
          <w:lang w:val="sk-SK" w:eastAsia="en-GB"/>
        </w:rPr>
        <w:t xml:space="preserve"> pacientov kvôli vyrážke</w:t>
      </w:r>
      <w:r w:rsidR="00F330FC" w:rsidRPr="00044184">
        <w:rPr>
          <w:szCs w:val="22"/>
          <w:lang w:val="sk-SK" w:eastAsia="en-GB"/>
        </w:rPr>
        <w:t xml:space="preserve"> a</w:t>
      </w:r>
      <w:r w:rsidR="00331AB4" w:rsidRPr="00044184">
        <w:rPr>
          <w:szCs w:val="22"/>
          <w:lang w:val="sk-SK" w:eastAsia="en-GB"/>
        </w:rPr>
        <w:t xml:space="preserve"> u </w:t>
      </w:r>
      <w:r w:rsidR="00F330FC" w:rsidRPr="00044184">
        <w:rPr>
          <w:szCs w:val="22"/>
          <w:lang w:val="sk-SK" w:eastAsia="en-GB"/>
        </w:rPr>
        <w:t>2</w:t>
      </w:r>
      <w:r w:rsidR="00251EDB" w:rsidRPr="00044184">
        <w:rPr>
          <w:szCs w:val="22"/>
          <w:lang w:val="sk-SK" w:eastAsia="en-GB"/>
        </w:rPr>
        <w:t>,</w:t>
      </w:r>
      <w:r w:rsidR="00F330FC" w:rsidRPr="00044184">
        <w:rPr>
          <w:szCs w:val="22"/>
          <w:lang w:val="sk-SK" w:eastAsia="en-GB"/>
        </w:rPr>
        <w:t>8</w:t>
      </w:r>
      <w:r w:rsidR="00251EDB" w:rsidRPr="00044184">
        <w:rPr>
          <w:szCs w:val="22"/>
          <w:lang w:val="sk-SK" w:eastAsia="en-GB"/>
        </w:rPr>
        <w:t> </w:t>
      </w:r>
      <w:r w:rsidR="00F330FC" w:rsidRPr="00044184">
        <w:rPr>
          <w:szCs w:val="22"/>
          <w:lang w:val="sk-SK" w:eastAsia="en-GB"/>
        </w:rPr>
        <w:t>%</w:t>
      </w:r>
      <w:r w:rsidR="00251EDB" w:rsidRPr="00044184">
        <w:rPr>
          <w:szCs w:val="22"/>
          <w:lang w:val="sk-SK" w:eastAsia="en-GB"/>
        </w:rPr>
        <w:t xml:space="preserve"> pacientov</w:t>
      </w:r>
      <w:r w:rsidR="00331AB4" w:rsidRPr="00044184">
        <w:rPr>
          <w:szCs w:val="22"/>
          <w:lang w:val="sk-SK" w:eastAsia="en-GB"/>
        </w:rPr>
        <w:t xml:space="preserve"> kvôli hnačke.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F330FC" w:rsidRPr="00044184" w:rsidRDefault="00F330FC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Tab</w:t>
      </w:r>
      <w:r w:rsidR="000660E4" w:rsidRPr="00044184">
        <w:rPr>
          <w:szCs w:val="22"/>
          <w:lang w:val="sk-SK" w:eastAsia="en-GB"/>
        </w:rPr>
        <w:t>uľka </w:t>
      </w:r>
      <w:r w:rsidRPr="00044184">
        <w:rPr>
          <w:szCs w:val="22"/>
          <w:lang w:val="sk-SK" w:eastAsia="en-GB"/>
        </w:rPr>
        <w:t>2:</w:t>
      </w:r>
      <w:r w:rsidR="000660E4" w:rsidRPr="00044184">
        <w:rPr>
          <w:szCs w:val="22"/>
          <w:lang w:val="sk-SK" w:eastAsia="en-GB"/>
        </w:rPr>
        <w:t xml:space="preserve"> Najčastejšie </w:t>
      </w:r>
      <w:r w:rsidR="006653F5" w:rsidRPr="00044184">
        <w:rPr>
          <w:szCs w:val="22"/>
          <w:lang w:val="sk-SK" w:eastAsia="en-GB"/>
        </w:rPr>
        <w:t>nežiaduce reakcie</w:t>
      </w:r>
      <w:r w:rsidR="000660E4" w:rsidRPr="00044184">
        <w:rPr>
          <w:szCs w:val="22"/>
          <w:lang w:val="sk-SK" w:eastAsia="en-GB"/>
        </w:rPr>
        <w:t xml:space="preserve"> v štúdiách </w:t>
      </w:r>
      <w:r w:rsidRPr="00044184">
        <w:rPr>
          <w:szCs w:val="22"/>
          <w:lang w:val="sk-SK" w:eastAsia="en-GB"/>
        </w:rPr>
        <w:t>BO18192 (SATURN) a BO25460 (IUNO)</w:t>
      </w:r>
    </w:p>
    <w:p w:rsidR="008456D6" w:rsidRPr="00044184" w:rsidRDefault="008456D6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1692"/>
        <w:gridCol w:w="1686"/>
        <w:gridCol w:w="1693"/>
        <w:gridCol w:w="1686"/>
      </w:tblGrid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3455" w:type="dxa"/>
            <w:gridSpan w:val="2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BO18192 (SATURN)*</w:t>
            </w:r>
          </w:p>
        </w:tc>
        <w:tc>
          <w:tcPr>
            <w:tcW w:w="3456" w:type="dxa"/>
            <w:gridSpan w:val="2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BO25460 (IUNO)*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Erlotinib</w:t>
            </w:r>
          </w:p>
          <w:p w:rsidR="00A2473E" w:rsidRPr="00044184" w:rsidRDefault="005816D3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n</w:t>
            </w:r>
            <w:r w:rsidR="00A2473E" w:rsidRPr="00044184">
              <w:rPr>
                <w:b/>
                <w:bCs/>
                <w:szCs w:val="22"/>
                <w:lang w:val="sk-SK" w:eastAsia="en-GB"/>
              </w:rPr>
              <w:t> = 433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Placebo</w:t>
            </w:r>
          </w:p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n = 445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Erlotinib</w:t>
            </w:r>
          </w:p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n = 322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Placebo</w:t>
            </w:r>
          </w:p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n = 319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 xml:space="preserve">Vyrážka, </w:t>
            </w:r>
            <w:r w:rsidRPr="00044184">
              <w:rPr>
                <w:szCs w:val="22"/>
                <w:lang w:val="sk-SK" w:eastAsia="en-GB"/>
              </w:rPr>
              <w:t>všetky stupne</w:t>
            </w: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49,2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5,8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39,4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</w:t>
            </w:r>
            <w:r w:rsidR="00BB244D" w:rsidRPr="00044184">
              <w:rPr>
                <w:szCs w:val="22"/>
                <w:lang w:val="sk-SK" w:eastAsia="en-GB"/>
              </w:rPr>
              <w:t>,</w:t>
            </w: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3.</w:t>
            </w:r>
            <w:r w:rsidR="005F56C3" w:rsidRPr="00044184">
              <w:rPr>
                <w:szCs w:val="22"/>
                <w:lang w:val="sk-SK" w:eastAsia="en-GB"/>
              </w:rPr>
              <w:t> </w:t>
            </w:r>
            <w:r w:rsidRPr="00044184">
              <w:rPr>
                <w:szCs w:val="22"/>
                <w:lang w:val="sk-SK" w:eastAsia="en-GB"/>
              </w:rPr>
              <w:t>stupeň</w:t>
            </w: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6,0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5,0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</w:t>
            </w:r>
            <w:r w:rsidR="00BB244D" w:rsidRPr="00044184">
              <w:rPr>
                <w:szCs w:val="22"/>
                <w:lang w:val="sk-SK" w:eastAsia="en-GB"/>
              </w:rPr>
              <w:t>,</w:t>
            </w:r>
            <w:r w:rsidRPr="00044184">
              <w:rPr>
                <w:szCs w:val="22"/>
                <w:lang w:val="sk-SK" w:eastAsia="en-GB"/>
              </w:rPr>
              <w:t>6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 xml:space="preserve">Hnačka, </w:t>
            </w:r>
            <w:r w:rsidRPr="00044184">
              <w:rPr>
                <w:szCs w:val="22"/>
                <w:lang w:val="sk-SK" w:eastAsia="en-GB"/>
              </w:rPr>
              <w:t>všetky stupne</w:t>
            </w: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20,3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4,5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24,2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  <w:r w:rsidR="00BB244D" w:rsidRPr="00044184">
              <w:rPr>
                <w:szCs w:val="22"/>
                <w:lang w:val="sk-SK" w:eastAsia="en-GB"/>
              </w:rPr>
              <w:t>,</w:t>
            </w:r>
            <w:r w:rsidRPr="00044184">
              <w:rPr>
                <w:szCs w:val="22"/>
                <w:lang w:val="sk-SK" w:eastAsia="en-GB"/>
              </w:rPr>
              <w:t>4</w:t>
            </w:r>
          </w:p>
        </w:tc>
      </w:tr>
      <w:tr w:rsidR="00A2473E" w:rsidRPr="00044184" w:rsidTr="00DA05E4">
        <w:tc>
          <w:tcPr>
            <w:tcW w:w="2376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3.</w:t>
            </w:r>
            <w:r w:rsidR="005F56C3" w:rsidRPr="00044184">
              <w:rPr>
                <w:szCs w:val="22"/>
                <w:lang w:val="sk-SK" w:eastAsia="en-GB"/>
              </w:rPr>
              <w:t> </w:t>
            </w:r>
            <w:r w:rsidRPr="00044184">
              <w:rPr>
                <w:szCs w:val="22"/>
                <w:lang w:val="sk-SK" w:eastAsia="en-GB"/>
              </w:rPr>
              <w:t>stupeň</w:t>
            </w:r>
          </w:p>
        </w:tc>
        <w:tc>
          <w:tcPr>
            <w:tcW w:w="1727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1,8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2,5</w:t>
            </w:r>
          </w:p>
        </w:tc>
        <w:tc>
          <w:tcPr>
            <w:tcW w:w="1728" w:type="dxa"/>
          </w:tcPr>
          <w:p w:rsidR="00A2473E" w:rsidRPr="00044184" w:rsidRDefault="00A2473E" w:rsidP="00695459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  <w:r w:rsidR="00BB244D" w:rsidRPr="00044184">
              <w:rPr>
                <w:szCs w:val="22"/>
                <w:lang w:val="sk-SK" w:eastAsia="en-GB"/>
              </w:rPr>
              <w:t>,</w:t>
            </w:r>
            <w:r w:rsidRPr="00044184">
              <w:rPr>
                <w:szCs w:val="22"/>
                <w:lang w:val="sk-SK" w:eastAsia="en-GB"/>
              </w:rPr>
              <w:t>3</w:t>
            </w:r>
          </w:p>
        </w:tc>
      </w:tr>
    </w:tbl>
    <w:p w:rsidR="00A2473E" w:rsidRPr="00044184" w:rsidRDefault="00BB244D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*Populácia pacientov pre analýzu bezpečnosti</w:t>
      </w:r>
    </w:p>
    <w:p w:rsidR="00F330FC" w:rsidRPr="00044184" w:rsidRDefault="00F330F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5F56C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V otvorenej, randomizovanej štúdii fázy </w:t>
      </w:r>
      <w:r w:rsidR="00267541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II</w:t>
      </w:r>
      <w:r w:rsidR="003B6A37" w:rsidRPr="00044184">
        <w:rPr>
          <w:szCs w:val="22"/>
          <w:lang w:val="sk-SK" w:eastAsia="en-GB"/>
        </w:rPr>
        <w:t>, ML20650</w:t>
      </w:r>
      <w:r w:rsidRPr="00044184">
        <w:rPr>
          <w:szCs w:val="22"/>
          <w:lang w:val="sk-SK" w:eastAsia="en-GB"/>
        </w:rPr>
        <w:t xml:space="preserve">, </w:t>
      </w:r>
      <w:r w:rsidR="0057244C" w:rsidRPr="00044184">
        <w:rPr>
          <w:szCs w:val="22"/>
          <w:lang w:val="sk-SK" w:eastAsia="en-GB"/>
        </w:rPr>
        <w:t xml:space="preserve">ktorá sa </w:t>
      </w:r>
      <w:r w:rsidRPr="00044184">
        <w:rPr>
          <w:szCs w:val="22"/>
          <w:lang w:val="sk-SK" w:eastAsia="en-GB"/>
        </w:rPr>
        <w:t>uskutočn</w:t>
      </w:r>
      <w:r w:rsidR="0057244C" w:rsidRPr="00044184">
        <w:rPr>
          <w:szCs w:val="22"/>
          <w:lang w:val="sk-SK" w:eastAsia="en-GB"/>
        </w:rPr>
        <w:t>ila</w:t>
      </w:r>
      <w:r w:rsidRPr="00044184">
        <w:rPr>
          <w:szCs w:val="22"/>
          <w:lang w:val="sk-SK" w:eastAsia="en-GB"/>
        </w:rPr>
        <w:t xml:space="preserve"> u </w:t>
      </w:r>
      <w:r w:rsidR="003B6A37" w:rsidRPr="00044184">
        <w:rPr>
          <w:szCs w:val="22"/>
          <w:lang w:val="sk-SK" w:eastAsia="en-GB"/>
        </w:rPr>
        <w:t>154</w:t>
      </w:r>
      <w:r w:rsidRPr="00044184">
        <w:rPr>
          <w:szCs w:val="22"/>
          <w:lang w:val="sk-SK" w:eastAsia="en-GB"/>
        </w:rPr>
        <w:t> pacientov, sa</w:t>
      </w:r>
      <w:r w:rsidR="0057244C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bezpečnosť </w:t>
      </w:r>
      <w:r w:rsidR="00DC7A9E" w:rsidRPr="00044184">
        <w:rPr>
          <w:szCs w:val="22"/>
          <w:lang w:val="sk-SK" w:eastAsia="en-GB"/>
        </w:rPr>
        <w:t>e</w:t>
      </w:r>
      <w:r w:rsidR="003B6A37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u v prvej línii liečby </w:t>
      </w:r>
      <w:r w:rsidR="003B6A37" w:rsidRPr="00044184">
        <w:rPr>
          <w:szCs w:val="22"/>
          <w:lang w:val="sk-SK" w:eastAsia="en-GB"/>
        </w:rPr>
        <w:t xml:space="preserve">NSCLC </w:t>
      </w:r>
      <w:r w:rsidRPr="00044184">
        <w:rPr>
          <w:szCs w:val="22"/>
          <w:lang w:val="sk-SK" w:eastAsia="en-GB"/>
        </w:rPr>
        <w:t xml:space="preserve">s aktivujúcimi mutáciami </w:t>
      </w:r>
      <w:r w:rsidR="003B6A37" w:rsidRPr="00044184">
        <w:rPr>
          <w:szCs w:val="22"/>
          <w:lang w:val="sk-SK" w:eastAsia="en-GB"/>
        </w:rPr>
        <w:t xml:space="preserve">EGFR </w:t>
      </w:r>
      <w:r w:rsidRPr="00044184">
        <w:rPr>
          <w:szCs w:val="22"/>
          <w:lang w:val="sk-SK" w:eastAsia="en-GB"/>
        </w:rPr>
        <w:t xml:space="preserve">hodnotila </w:t>
      </w:r>
      <w:r w:rsidR="006542D9" w:rsidRPr="00044184">
        <w:rPr>
          <w:szCs w:val="22"/>
          <w:lang w:val="sk-SK" w:eastAsia="en-GB"/>
        </w:rPr>
        <w:t>u </w:t>
      </w:r>
      <w:r w:rsidR="003B6A37" w:rsidRPr="00044184">
        <w:rPr>
          <w:szCs w:val="22"/>
          <w:lang w:val="sk-SK" w:eastAsia="en-GB"/>
        </w:rPr>
        <w:t>75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c</w:t>
      </w:r>
      <w:r w:rsidR="003B6A37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>ov</w:t>
      </w:r>
      <w:r w:rsidR="003B6A37" w:rsidRPr="00044184">
        <w:rPr>
          <w:szCs w:val="22"/>
          <w:lang w:val="sk-SK" w:eastAsia="en-GB"/>
        </w:rPr>
        <w:t xml:space="preserve">; </w:t>
      </w:r>
      <w:r w:rsidRPr="00044184">
        <w:rPr>
          <w:szCs w:val="22"/>
          <w:lang w:val="sk-SK" w:eastAsia="en-GB"/>
        </w:rPr>
        <w:t>u týchto pacientov sa nezistili žiadne nové bezpečnostné signály</w:t>
      </w:r>
      <w:r w:rsidR="003B6A37"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E232D" w:rsidRPr="00044184" w:rsidRDefault="00945CB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 w:eastAsia="en-GB"/>
        </w:rPr>
        <w:t xml:space="preserve">Najčastejšie </w:t>
      </w:r>
      <w:r w:rsidR="006653F5" w:rsidRPr="00044184">
        <w:rPr>
          <w:szCs w:val="22"/>
          <w:lang w:val="sk-SK" w:eastAsia="en-GB"/>
        </w:rPr>
        <w:t>nežiaduce reakcie</w:t>
      </w:r>
      <w:r w:rsidRPr="00044184">
        <w:rPr>
          <w:szCs w:val="22"/>
          <w:lang w:val="sk-SK" w:eastAsia="en-GB"/>
        </w:rPr>
        <w:t xml:space="preserve"> pozorované u pacientov liečených </w:t>
      </w:r>
      <w:r w:rsidR="00DC7A9E" w:rsidRPr="00044184">
        <w:rPr>
          <w:szCs w:val="22"/>
          <w:lang w:val="sk-SK" w:eastAsia="en-GB"/>
        </w:rPr>
        <w:t>e</w:t>
      </w:r>
      <w:r w:rsidR="003B6A37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>om v štúdii</w:t>
      </w:r>
      <w:r w:rsidR="003B6A37" w:rsidRPr="00044184">
        <w:rPr>
          <w:szCs w:val="22"/>
          <w:lang w:val="sk-SK" w:eastAsia="en-GB"/>
        </w:rPr>
        <w:t xml:space="preserve"> ML20650 </w:t>
      </w:r>
      <w:r w:rsidRPr="00044184">
        <w:rPr>
          <w:szCs w:val="22"/>
          <w:lang w:val="sk-SK" w:eastAsia="en-GB"/>
        </w:rPr>
        <w:t>boli vyrážka</w:t>
      </w:r>
      <w:r w:rsidR="003B6A37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(akéhokoľvek stupňa u 80 %) </w:t>
      </w:r>
      <w:r w:rsidR="003B6A37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> hnačka</w:t>
      </w:r>
      <w:r w:rsidR="003B6A37" w:rsidRPr="00044184">
        <w:rPr>
          <w:szCs w:val="22"/>
          <w:lang w:val="sk-SK" w:eastAsia="en-GB"/>
        </w:rPr>
        <w:t xml:space="preserve"> (</w:t>
      </w:r>
      <w:r w:rsidRPr="00044184">
        <w:rPr>
          <w:szCs w:val="22"/>
          <w:lang w:val="sk-SK" w:eastAsia="en-GB"/>
        </w:rPr>
        <w:t>akéhokoľvek stupňa u </w:t>
      </w:r>
      <w:r w:rsidR="003B6A37" w:rsidRPr="00044184">
        <w:rPr>
          <w:szCs w:val="22"/>
          <w:lang w:val="sk-SK" w:eastAsia="en-GB"/>
        </w:rPr>
        <w:t>57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 xml:space="preserve">%), </w:t>
      </w:r>
      <w:r w:rsidR="00EA78EC" w:rsidRPr="00044184">
        <w:rPr>
          <w:szCs w:val="22"/>
          <w:lang w:val="sk-SK" w:eastAsia="en-GB"/>
        </w:rPr>
        <w:t>pričom vo väčšine prípadov boli 1./2. stupňa závažnosti a dali sa zvládnuť bez lekárskeho zásahu</w:t>
      </w:r>
      <w:r w:rsidR="003B6A37" w:rsidRPr="00044184">
        <w:rPr>
          <w:szCs w:val="22"/>
          <w:lang w:val="sk-SK" w:eastAsia="en-GB"/>
        </w:rPr>
        <w:t xml:space="preserve">. </w:t>
      </w:r>
      <w:r w:rsidR="00EA78EC" w:rsidRPr="00044184">
        <w:rPr>
          <w:szCs w:val="22"/>
          <w:lang w:val="sk-SK" w:eastAsia="en-GB"/>
        </w:rPr>
        <w:t>Vyrážka 3. stupňa sa vyskytla u 9 % pacientov a hnačka 3. stupňa sa vyskytla u </w:t>
      </w:r>
      <w:r w:rsidR="003B6A37" w:rsidRPr="00044184">
        <w:rPr>
          <w:szCs w:val="22"/>
          <w:lang w:val="sk-SK" w:eastAsia="en-GB"/>
        </w:rPr>
        <w:t>4</w:t>
      </w:r>
      <w:r w:rsidR="00EA78EC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% pa</w:t>
      </w:r>
      <w:r w:rsidR="00EA78EC" w:rsidRPr="00044184">
        <w:rPr>
          <w:szCs w:val="22"/>
          <w:lang w:val="sk-SK" w:eastAsia="en-GB"/>
        </w:rPr>
        <w:t>c</w:t>
      </w:r>
      <w:r w:rsidR="003B6A37" w:rsidRPr="00044184">
        <w:rPr>
          <w:szCs w:val="22"/>
          <w:lang w:val="sk-SK" w:eastAsia="en-GB"/>
        </w:rPr>
        <w:t>ient</w:t>
      </w:r>
      <w:r w:rsidR="00EA78EC" w:rsidRPr="00044184">
        <w:rPr>
          <w:szCs w:val="22"/>
          <w:lang w:val="sk-SK" w:eastAsia="en-GB"/>
        </w:rPr>
        <w:t>ov</w:t>
      </w:r>
      <w:r w:rsidR="003B6A37" w:rsidRPr="00044184">
        <w:rPr>
          <w:szCs w:val="22"/>
          <w:lang w:val="sk-SK" w:eastAsia="en-GB"/>
        </w:rPr>
        <w:t xml:space="preserve">. </w:t>
      </w:r>
      <w:r w:rsidR="00EA78EC" w:rsidRPr="00044184">
        <w:rPr>
          <w:szCs w:val="22"/>
          <w:lang w:val="sk-SK" w:eastAsia="en-GB"/>
        </w:rPr>
        <w:t>Vyrážka alebo hnačka 4. stupňa sa nezistil</w:t>
      </w:r>
      <w:r w:rsidR="00CB59F4">
        <w:rPr>
          <w:szCs w:val="22"/>
          <w:lang w:val="sk-SK" w:eastAsia="en-GB"/>
        </w:rPr>
        <w:t>i</w:t>
      </w:r>
      <w:r w:rsidR="003B6A37" w:rsidRPr="00044184">
        <w:rPr>
          <w:szCs w:val="22"/>
          <w:lang w:val="sk-SK" w:eastAsia="en-GB"/>
        </w:rPr>
        <w:t xml:space="preserve">. </w:t>
      </w:r>
      <w:r w:rsidR="00EA78EC" w:rsidRPr="00044184">
        <w:rPr>
          <w:szCs w:val="22"/>
          <w:lang w:val="sk-SK" w:eastAsia="en-GB"/>
        </w:rPr>
        <w:t>Tak vyrážka, ako aj hnačka viedl</w:t>
      </w:r>
      <w:r w:rsidR="00267541" w:rsidRPr="00044184">
        <w:rPr>
          <w:szCs w:val="22"/>
          <w:lang w:val="sk-SK" w:eastAsia="en-GB"/>
        </w:rPr>
        <w:t>a</w:t>
      </w:r>
      <w:r w:rsidR="00EA78EC" w:rsidRPr="00044184">
        <w:rPr>
          <w:szCs w:val="22"/>
          <w:lang w:val="sk-SK" w:eastAsia="en-GB"/>
        </w:rPr>
        <w:t xml:space="preserve"> k predčasnému ukončeniu liečby </w:t>
      </w:r>
      <w:r w:rsidR="00DC7A9E" w:rsidRPr="00044184">
        <w:rPr>
          <w:szCs w:val="22"/>
          <w:lang w:val="sk-SK" w:eastAsia="en-GB"/>
        </w:rPr>
        <w:t>e</w:t>
      </w:r>
      <w:r w:rsidR="003B6A37" w:rsidRPr="00044184">
        <w:rPr>
          <w:szCs w:val="22"/>
          <w:lang w:val="sk-SK" w:eastAsia="en-GB"/>
        </w:rPr>
        <w:t>rlotinib</w:t>
      </w:r>
      <w:r w:rsidR="00EA78EC" w:rsidRPr="00044184">
        <w:rPr>
          <w:szCs w:val="22"/>
          <w:lang w:val="sk-SK" w:eastAsia="en-GB"/>
        </w:rPr>
        <w:t>om u </w:t>
      </w:r>
      <w:r w:rsidR="003B6A37" w:rsidRPr="00044184">
        <w:rPr>
          <w:szCs w:val="22"/>
          <w:lang w:val="sk-SK" w:eastAsia="en-GB"/>
        </w:rPr>
        <w:t>1</w:t>
      </w:r>
      <w:r w:rsidR="00EA78EC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%</w:t>
      </w:r>
      <w:r w:rsidR="00EA78EC" w:rsidRPr="00044184">
        <w:rPr>
          <w:szCs w:val="22"/>
          <w:lang w:val="sk-SK" w:eastAsia="en-GB"/>
        </w:rPr>
        <w:t> pacientov</w:t>
      </w:r>
      <w:r w:rsidR="003B6A37" w:rsidRPr="00044184">
        <w:rPr>
          <w:szCs w:val="22"/>
          <w:lang w:val="sk-SK" w:eastAsia="en-GB"/>
        </w:rPr>
        <w:t xml:space="preserve">. </w:t>
      </w:r>
      <w:r w:rsidR="00EA78EC" w:rsidRPr="00044184">
        <w:rPr>
          <w:szCs w:val="22"/>
          <w:lang w:val="sk-SK" w:eastAsia="en-GB"/>
        </w:rPr>
        <w:t>Úpravy dávky (prerušenie podávania alebo zníženie dávky) boli kvôli vyrážke potrebné u 11 % pacientov a kvôli hnačke u 7 %</w:t>
      </w:r>
      <w:r w:rsidR="00CB59F4">
        <w:rPr>
          <w:szCs w:val="22"/>
          <w:lang w:val="sk-SK" w:eastAsia="en-GB"/>
        </w:rPr>
        <w:t xml:space="preserve"> pacientov</w:t>
      </w:r>
      <w:r w:rsidR="003B6A37" w:rsidRPr="00044184">
        <w:rPr>
          <w:szCs w:val="22"/>
          <w:lang w:val="sk-SK" w:eastAsia="en-GB"/>
        </w:rPr>
        <w:t>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B6A37" w:rsidRPr="00044184" w:rsidRDefault="00901C8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Karcinóm pankreasu</w:t>
      </w:r>
      <w:r w:rsidR="00DC7A9E" w:rsidRPr="00044184">
        <w:rPr>
          <w:szCs w:val="22"/>
          <w:u w:val="single"/>
          <w:lang w:val="sk-SK" w:eastAsia="en-GB"/>
        </w:rPr>
        <w:t xml:space="preserve"> (</w:t>
      </w:r>
      <w:r w:rsidR="00CB59F4">
        <w:rPr>
          <w:szCs w:val="22"/>
          <w:u w:val="single"/>
          <w:lang w:val="sk-SK" w:eastAsia="en-GB"/>
        </w:rPr>
        <w:t>E</w:t>
      </w:r>
      <w:r w:rsidR="00DC7A9E" w:rsidRPr="00044184">
        <w:rPr>
          <w:szCs w:val="22"/>
          <w:u w:val="single"/>
          <w:lang w:val="sk-SK" w:eastAsia="en-GB"/>
        </w:rPr>
        <w:t xml:space="preserve">rlotinib </w:t>
      </w:r>
      <w:r w:rsidR="00CB59F4">
        <w:rPr>
          <w:szCs w:val="22"/>
          <w:u w:val="single"/>
          <w:lang w:val="sk-SK" w:eastAsia="en-GB"/>
        </w:rPr>
        <w:t xml:space="preserve">STADA </w:t>
      </w:r>
      <w:r w:rsidRPr="00044184">
        <w:rPr>
          <w:szCs w:val="22"/>
          <w:u w:val="single"/>
          <w:lang w:val="sk-SK" w:eastAsia="en-GB"/>
        </w:rPr>
        <w:t>podávaný súbežne s </w:t>
      </w:r>
      <w:r w:rsidR="003B6A37" w:rsidRPr="00044184">
        <w:rPr>
          <w:szCs w:val="22"/>
          <w:u w:val="single"/>
          <w:lang w:val="sk-SK" w:eastAsia="en-GB"/>
        </w:rPr>
        <w:t>gemcitab</w:t>
      </w:r>
      <w:r w:rsidRPr="00044184">
        <w:rPr>
          <w:szCs w:val="22"/>
          <w:u w:val="single"/>
          <w:lang w:val="sk-SK" w:eastAsia="en-GB"/>
        </w:rPr>
        <w:t>ínom</w:t>
      </w:r>
      <w:r w:rsidR="003B6A37" w:rsidRPr="00044184">
        <w:rPr>
          <w:szCs w:val="22"/>
          <w:u w:val="single"/>
          <w:lang w:val="sk-SK" w:eastAsia="en-GB"/>
        </w:rPr>
        <w:t>):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A733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Najčastejšie nežiaduce reakcie </w:t>
      </w:r>
      <w:r w:rsidR="00DE6402" w:rsidRPr="00044184">
        <w:rPr>
          <w:szCs w:val="22"/>
          <w:lang w:val="sk-SK" w:eastAsia="en-GB"/>
        </w:rPr>
        <w:t xml:space="preserve">zistené v pivotnej štúdii PA.3 </w:t>
      </w:r>
      <w:r w:rsidRPr="00044184">
        <w:rPr>
          <w:szCs w:val="22"/>
          <w:lang w:val="sk-SK" w:eastAsia="en-GB"/>
        </w:rPr>
        <w:t>u pacientov s karcinómom pankreasu liečených erlotinibom 100 mg a gemcitabínom boli</w:t>
      </w:r>
      <w:r w:rsidR="00901C8A" w:rsidRPr="00044184">
        <w:rPr>
          <w:szCs w:val="22"/>
          <w:lang w:val="sk-SK" w:eastAsia="en-GB"/>
        </w:rPr>
        <w:t xml:space="preserve"> únava, vyrážka a hnačka</w:t>
      </w:r>
      <w:r w:rsidR="003B6A37" w:rsidRPr="00044184">
        <w:rPr>
          <w:szCs w:val="22"/>
          <w:lang w:val="sk-SK" w:eastAsia="en-GB"/>
        </w:rPr>
        <w:t xml:space="preserve">. </w:t>
      </w:r>
      <w:r w:rsidR="00D5094C" w:rsidRPr="00044184">
        <w:rPr>
          <w:szCs w:val="22"/>
          <w:lang w:val="sk-SK" w:eastAsia="en-GB"/>
        </w:rPr>
        <w:t>V skupine s e</w:t>
      </w:r>
      <w:r w:rsidR="003B6A37" w:rsidRPr="00044184">
        <w:rPr>
          <w:szCs w:val="22"/>
          <w:lang w:val="sk-SK" w:eastAsia="en-GB"/>
        </w:rPr>
        <w:t>rlotinib</w:t>
      </w:r>
      <w:r w:rsidR="00D5094C" w:rsidRPr="00044184">
        <w:rPr>
          <w:szCs w:val="22"/>
          <w:lang w:val="sk-SK" w:eastAsia="en-GB"/>
        </w:rPr>
        <w:t>om a </w:t>
      </w:r>
      <w:r w:rsidR="003B6A37" w:rsidRPr="00044184">
        <w:rPr>
          <w:szCs w:val="22"/>
          <w:lang w:val="sk-SK" w:eastAsia="en-GB"/>
        </w:rPr>
        <w:t>gemcitab</w:t>
      </w:r>
      <w:r w:rsidR="00D5094C" w:rsidRPr="00044184">
        <w:rPr>
          <w:szCs w:val="22"/>
          <w:lang w:val="sk-SK" w:eastAsia="en-GB"/>
        </w:rPr>
        <w:t>ínom boli vyrážka 3./4. stupňa a hnačka 3./4. stupňa jednotlivo hlásené u 5 % pacientov</w:t>
      </w:r>
      <w:r w:rsidR="003B6A37" w:rsidRPr="00044184">
        <w:rPr>
          <w:szCs w:val="22"/>
          <w:lang w:val="sk-SK" w:eastAsia="en-GB"/>
        </w:rPr>
        <w:t xml:space="preserve">. </w:t>
      </w:r>
      <w:r w:rsidR="00B56F40" w:rsidRPr="00044184">
        <w:rPr>
          <w:szCs w:val="22"/>
          <w:lang w:val="sk-SK" w:eastAsia="en-GB"/>
        </w:rPr>
        <w:t>Medián času do nástupu vyrážky bol 10 dní a medián času do nástupu hnačky bol</w:t>
      </w:r>
      <w:r w:rsidR="003B6A37" w:rsidRPr="00044184">
        <w:rPr>
          <w:szCs w:val="22"/>
          <w:lang w:val="sk-SK" w:eastAsia="en-GB"/>
        </w:rPr>
        <w:t xml:space="preserve"> 15</w:t>
      </w:r>
      <w:r w:rsidR="00B56F40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d</w:t>
      </w:r>
      <w:r w:rsidR="00B56F40" w:rsidRPr="00044184">
        <w:rPr>
          <w:szCs w:val="22"/>
          <w:lang w:val="sk-SK" w:eastAsia="en-GB"/>
        </w:rPr>
        <w:t>ní</w:t>
      </w:r>
      <w:r w:rsidR="003B6A37" w:rsidRPr="00044184">
        <w:rPr>
          <w:szCs w:val="22"/>
          <w:lang w:val="sk-SK" w:eastAsia="en-GB"/>
        </w:rPr>
        <w:t xml:space="preserve">. </w:t>
      </w:r>
      <w:r w:rsidR="00B56F40" w:rsidRPr="00044184">
        <w:rPr>
          <w:szCs w:val="22"/>
          <w:lang w:val="sk-SK" w:eastAsia="en-GB"/>
        </w:rPr>
        <w:t>Vyrážka a hnačka jednotlivo viedli k zníženiam dávky u </w:t>
      </w:r>
      <w:r w:rsidR="003B6A37" w:rsidRPr="00044184">
        <w:rPr>
          <w:szCs w:val="22"/>
          <w:lang w:val="sk-SK" w:eastAsia="en-GB"/>
        </w:rPr>
        <w:t>2</w:t>
      </w:r>
      <w:r w:rsidR="00B56F40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%</w:t>
      </w:r>
      <w:r w:rsidR="00B56F40" w:rsidRPr="00044184">
        <w:rPr>
          <w:szCs w:val="22"/>
          <w:lang w:val="sk-SK" w:eastAsia="en-GB"/>
        </w:rPr>
        <w:t> pacientov a boli dôvodom predčasného ukončenia štúdie až u </w:t>
      </w:r>
      <w:r w:rsidR="003B6A37" w:rsidRPr="00044184">
        <w:rPr>
          <w:szCs w:val="22"/>
          <w:lang w:val="sk-SK" w:eastAsia="en-GB"/>
        </w:rPr>
        <w:t>1</w:t>
      </w:r>
      <w:r w:rsidR="00B56F40"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 xml:space="preserve">% </w:t>
      </w:r>
      <w:r w:rsidR="00B56F40" w:rsidRPr="00044184">
        <w:rPr>
          <w:szCs w:val="22"/>
          <w:lang w:val="sk-SK" w:eastAsia="en-GB"/>
        </w:rPr>
        <w:t>pacientov liečených</w:t>
      </w:r>
      <w:r w:rsidR="00F4283C" w:rsidRPr="00044184">
        <w:rPr>
          <w:szCs w:val="22"/>
          <w:lang w:val="sk-SK" w:eastAsia="en-GB"/>
        </w:rPr>
        <w:t xml:space="preserve"> </w:t>
      </w:r>
      <w:r w:rsidR="003B6A37" w:rsidRPr="00044184">
        <w:rPr>
          <w:szCs w:val="22"/>
          <w:lang w:val="sk-SK" w:eastAsia="en-GB"/>
        </w:rPr>
        <w:t>erlotinib</w:t>
      </w:r>
      <w:r w:rsidR="00B56F40" w:rsidRPr="00044184">
        <w:rPr>
          <w:szCs w:val="22"/>
          <w:lang w:val="sk-SK" w:eastAsia="en-GB"/>
        </w:rPr>
        <w:t>om</w:t>
      </w:r>
      <w:r w:rsidR="003B6A37" w:rsidRPr="00044184">
        <w:rPr>
          <w:szCs w:val="22"/>
          <w:lang w:val="sk-SK" w:eastAsia="en-GB"/>
        </w:rPr>
        <w:t xml:space="preserve"> </w:t>
      </w:r>
      <w:r w:rsidR="00B56F40" w:rsidRPr="00044184">
        <w:rPr>
          <w:szCs w:val="22"/>
          <w:lang w:val="sk-SK" w:eastAsia="en-GB"/>
        </w:rPr>
        <w:t>a</w:t>
      </w:r>
      <w:r w:rsidR="003B6A37" w:rsidRPr="00044184">
        <w:rPr>
          <w:szCs w:val="22"/>
          <w:lang w:val="sk-SK" w:eastAsia="en-GB"/>
        </w:rPr>
        <w:t xml:space="preserve"> gemcitab</w:t>
      </w:r>
      <w:r w:rsidR="00B56F40" w:rsidRPr="00044184">
        <w:rPr>
          <w:szCs w:val="22"/>
          <w:lang w:val="sk-SK" w:eastAsia="en-GB"/>
        </w:rPr>
        <w:t>í</w:t>
      </w:r>
      <w:r w:rsidR="003B6A37" w:rsidRPr="00044184">
        <w:rPr>
          <w:szCs w:val="22"/>
          <w:lang w:val="sk-SK" w:eastAsia="en-GB"/>
        </w:rPr>
        <w:t>n</w:t>
      </w:r>
      <w:r w:rsidR="00B56F40" w:rsidRPr="00044184">
        <w:rPr>
          <w:szCs w:val="22"/>
          <w:lang w:val="sk-SK" w:eastAsia="en-GB"/>
        </w:rPr>
        <w:t>om</w:t>
      </w:r>
      <w:r w:rsidR="003B6A37"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12256" w:rsidRPr="00044184" w:rsidRDefault="0001225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Nežiaduce reakcie, ktoré sa v pivotnej štúdii PA</w:t>
      </w:r>
      <w:r w:rsidR="0084086B" w:rsidRPr="00044184">
        <w:rPr>
          <w:szCs w:val="22"/>
          <w:lang w:val="sk-SK" w:eastAsia="en-GB"/>
        </w:rPr>
        <w:t>.</w:t>
      </w:r>
      <w:r w:rsidRPr="00044184">
        <w:rPr>
          <w:szCs w:val="22"/>
          <w:lang w:val="sk-SK" w:eastAsia="en-GB"/>
        </w:rPr>
        <w:t>3 vyskytli častejšie (</w:t>
      </w:r>
      <w:r w:rsidRPr="00044184">
        <w:rPr>
          <w:rFonts w:eastAsia="TimesNewRomanPSMT"/>
          <w:szCs w:val="22"/>
          <w:lang w:val="sk-SK" w:eastAsia="en-GB"/>
        </w:rPr>
        <w:t>≥ </w:t>
      </w:r>
      <w:r w:rsidRPr="00044184">
        <w:rPr>
          <w:szCs w:val="22"/>
          <w:lang w:val="sk-SK" w:eastAsia="en-GB"/>
        </w:rPr>
        <w:t xml:space="preserve">3 %) u pacientov liečených erlotinibom 100 mg a gemcitabínom ako v skupine s placebom </w:t>
      </w:r>
      <w:r w:rsidR="006C4A00" w:rsidRPr="00044184">
        <w:rPr>
          <w:szCs w:val="22"/>
          <w:lang w:val="sk-SK" w:eastAsia="en-GB"/>
        </w:rPr>
        <w:t xml:space="preserve">a gemcitabínom </w:t>
      </w:r>
      <w:r w:rsidRPr="00044184">
        <w:rPr>
          <w:szCs w:val="22"/>
          <w:lang w:val="sk-SK" w:eastAsia="en-GB"/>
        </w:rPr>
        <w:t xml:space="preserve">a ktoré sa vyskytli najmenej u 10 % pacientov v skupine s erlotinibom </w:t>
      </w:r>
      <w:r w:rsidR="006C4A00" w:rsidRPr="00044184">
        <w:rPr>
          <w:szCs w:val="22"/>
          <w:lang w:val="sk-SK" w:eastAsia="en-GB"/>
        </w:rPr>
        <w:t>100 mg a</w:t>
      </w:r>
      <w:r w:rsidR="00563420" w:rsidRPr="00044184">
        <w:rPr>
          <w:szCs w:val="22"/>
          <w:lang w:val="sk-SK" w:eastAsia="en-GB"/>
        </w:rPr>
        <w:t> </w:t>
      </w:r>
      <w:r w:rsidR="006C4A00" w:rsidRPr="00044184">
        <w:rPr>
          <w:szCs w:val="22"/>
          <w:lang w:val="sk-SK" w:eastAsia="en-GB"/>
        </w:rPr>
        <w:t>gemcitabínom</w:t>
      </w:r>
      <w:r w:rsidR="00563420" w:rsidRPr="00044184">
        <w:rPr>
          <w:szCs w:val="22"/>
          <w:lang w:val="sk-SK" w:eastAsia="en-GB"/>
        </w:rPr>
        <w:t>,</w:t>
      </w:r>
      <w:r w:rsidR="006C4A00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sú zhrnuté podľa stupňa toxicity určeného pomocou Všeobecných kritérií toxicity Národného onkologického ústavu (National Cancer Institute-Common Toxicity Criteria, NCI</w:t>
      </w:r>
      <w:r w:rsidRPr="00044184">
        <w:rPr>
          <w:szCs w:val="22"/>
          <w:lang w:val="sk-SK" w:eastAsia="en-GB"/>
        </w:rPr>
        <w:noBreakHyphen/>
        <w:t>CTC) v tabuľke </w:t>
      </w:r>
      <w:r w:rsidR="006C4A00" w:rsidRPr="00044184">
        <w:rPr>
          <w:szCs w:val="22"/>
          <w:lang w:val="sk-SK" w:eastAsia="en-GB"/>
        </w:rPr>
        <w:t>3.</w:t>
      </w:r>
    </w:p>
    <w:p w:rsidR="00012256" w:rsidRPr="00044184" w:rsidRDefault="0001225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2316ED" w:rsidRPr="00044184" w:rsidRDefault="002316E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Nasled</w:t>
      </w:r>
      <w:r w:rsidR="008456D6" w:rsidRPr="00044184">
        <w:rPr>
          <w:szCs w:val="22"/>
          <w:lang w:val="sk-SK" w:eastAsia="en-GB"/>
        </w:rPr>
        <w:t>ovné</w:t>
      </w:r>
      <w:r w:rsidRPr="00044184">
        <w:rPr>
          <w:szCs w:val="22"/>
          <w:lang w:val="sk-SK" w:eastAsia="en-GB"/>
        </w:rPr>
        <w:t xml:space="preserve"> výraz</w:t>
      </w:r>
      <w:r w:rsidR="00563420" w:rsidRPr="00044184">
        <w:rPr>
          <w:szCs w:val="22"/>
          <w:lang w:val="sk-SK" w:eastAsia="en-GB"/>
        </w:rPr>
        <w:t>y</w:t>
      </w:r>
      <w:r w:rsidRPr="00044184">
        <w:rPr>
          <w:szCs w:val="22"/>
          <w:lang w:val="sk-SK" w:eastAsia="en-GB"/>
        </w:rPr>
        <w:t xml:space="preserve"> s</w:t>
      </w:r>
      <w:r w:rsidR="00852A10" w:rsidRPr="00044184">
        <w:rPr>
          <w:szCs w:val="22"/>
          <w:lang w:val="sk-SK" w:eastAsia="en-GB"/>
        </w:rPr>
        <w:t xml:space="preserve">ú použité </w:t>
      </w:r>
      <w:r w:rsidRPr="00044184">
        <w:rPr>
          <w:szCs w:val="22"/>
          <w:lang w:val="sk-SK" w:eastAsia="en-GB"/>
        </w:rPr>
        <w:t>na zoradenie nežiaducich účinkov podľa frekvencie výskytu: veľmi časté (</w:t>
      </w:r>
      <w:r w:rsidRPr="00044184">
        <w:rPr>
          <w:rFonts w:eastAsia="TimesNewRomanPSMT"/>
          <w:szCs w:val="22"/>
          <w:lang w:val="sk-SK" w:eastAsia="en-GB"/>
        </w:rPr>
        <w:t>≥ </w:t>
      </w:r>
      <w:r w:rsidRPr="00044184">
        <w:rPr>
          <w:szCs w:val="22"/>
          <w:lang w:val="sk-SK" w:eastAsia="en-GB"/>
        </w:rPr>
        <w:t>1/10); časté (≥ 1/100 až &lt; 1/10); menej časté (</w:t>
      </w:r>
      <w:r w:rsidRPr="00044184">
        <w:rPr>
          <w:rFonts w:eastAsia="TimesNewRomanPSMT"/>
          <w:szCs w:val="22"/>
          <w:lang w:val="sk-SK" w:eastAsia="en-GB"/>
        </w:rPr>
        <w:t>≥ </w:t>
      </w:r>
      <w:r w:rsidRPr="00044184">
        <w:rPr>
          <w:szCs w:val="22"/>
          <w:lang w:val="sk-SK" w:eastAsia="en-GB"/>
        </w:rPr>
        <w:t>1/1 000 až &lt; 1/100); zriedkavé (</w:t>
      </w:r>
      <w:r w:rsidRPr="00044184">
        <w:rPr>
          <w:rFonts w:eastAsia="TimesNewRomanPSMT"/>
          <w:szCs w:val="22"/>
          <w:lang w:val="sk-SK" w:eastAsia="en-GB"/>
        </w:rPr>
        <w:t>≥ </w:t>
      </w:r>
      <w:r w:rsidRPr="00044184">
        <w:rPr>
          <w:szCs w:val="22"/>
          <w:lang w:val="sk-SK" w:eastAsia="en-GB"/>
        </w:rPr>
        <w:t xml:space="preserve">1/10 000 až &lt; 1/1 000); veľmi zriedkavé (&lt; 1/10 000) vrátane </w:t>
      </w:r>
      <w:r w:rsidR="0054656E" w:rsidRPr="00044184">
        <w:rPr>
          <w:szCs w:val="22"/>
          <w:lang w:val="sk-SK" w:eastAsia="en-GB"/>
        </w:rPr>
        <w:t>o</w:t>
      </w:r>
      <w:r w:rsidRPr="00044184">
        <w:rPr>
          <w:szCs w:val="22"/>
          <w:lang w:val="sk-SK" w:eastAsia="en-GB"/>
        </w:rPr>
        <w:t>jed</w:t>
      </w:r>
      <w:r w:rsidR="0054656E" w:rsidRPr="00044184">
        <w:rPr>
          <w:szCs w:val="22"/>
          <w:lang w:val="sk-SK" w:eastAsia="en-GB"/>
        </w:rPr>
        <w:t>inelých</w:t>
      </w:r>
      <w:r w:rsidRPr="00044184">
        <w:rPr>
          <w:szCs w:val="22"/>
          <w:lang w:val="sk-SK" w:eastAsia="en-GB"/>
        </w:rPr>
        <w:t xml:space="preserve"> hlásení.</w:t>
      </w:r>
    </w:p>
    <w:p w:rsidR="003B6A37" w:rsidRPr="00044184" w:rsidRDefault="003B6A37" w:rsidP="00695459">
      <w:pPr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6B10E9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/>
        </w:rPr>
        <w:t>V rámci jednotlivých skupín frekvencií sú nežiaduce reakcie usporiadané v poradí klesajúcej závažnosti</w:t>
      </w:r>
      <w:r w:rsidR="003B6A37" w:rsidRPr="00044184">
        <w:rPr>
          <w:szCs w:val="22"/>
          <w:lang w:val="sk-SK" w:eastAsia="en-GB"/>
        </w:rPr>
        <w:t>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B6A37" w:rsidRPr="00044184" w:rsidRDefault="003B6A37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lastRenderedPageBreak/>
        <w:t>Tab</w:t>
      </w:r>
      <w:r w:rsidR="002316ED" w:rsidRPr="00044184">
        <w:rPr>
          <w:szCs w:val="22"/>
          <w:lang w:val="sk-SK" w:eastAsia="en-GB"/>
        </w:rPr>
        <w:t>uľka </w:t>
      </w:r>
      <w:r w:rsidR="00F4283C" w:rsidRPr="00044184">
        <w:rPr>
          <w:szCs w:val="22"/>
          <w:lang w:val="sk-SK" w:eastAsia="en-GB"/>
        </w:rPr>
        <w:t>3</w:t>
      </w:r>
      <w:r w:rsidRPr="00044184">
        <w:rPr>
          <w:szCs w:val="22"/>
          <w:lang w:val="sk-SK" w:eastAsia="en-GB"/>
        </w:rPr>
        <w:t>: Ve</w:t>
      </w:r>
      <w:r w:rsidR="002316ED" w:rsidRPr="00044184">
        <w:rPr>
          <w:szCs w:val="22"/>
          <w:lang w:val="sk-SK" w:eastAsia="en-GB"/>
        </w:rPr>
        <w:t>ľmi časté</w:t>
      </w:r>
      <w:r w:rsidRPr="00044184">
        <w:rPr>
          <w:szCs w:val="22"/>
          <w:lang w:val="sk-SK" w:eastAsia="en-GB"/>
        </w:rPr>
        <w:t xml:space="preserve"> </w:t>
      </w:r>
      <w:r w:rsidR="006653F5" w:rsidRPr="00044184">
        <w:rPr>
          <w:szCs w:val="22"/>
          <w:lang w:val="sk-SK" w:eastAsia="en-GB"/>
        </w:rPr>
        <w:t>nežiaduce reakcie</w:t>
      </w:r>
      <w:r w:rsidR="002316ED" w:rsidRPr="00044184">
        <w:rPr>
          <w:szCs w:val="22"/>
          <w:lang w:val="sk-SK" w:eastAsia="en-GB"/>
        </w:rPr>
        <w:t xml:space="preserve"> v štúdii</w:t>
      </w:r>
      <w:r w:rsidRPr="00044184">
        <w:rPr>
          <w:szCs w:val="22"/>
          <w:lang w:val="sk-SK" w:eastAsia="en-GB"/>
        </w:rPr>
        <w:t xml:space="preserve"> PA.3 (</w:t>
      </w:r>
      <w:r w:rsidR="0054656E" w:rsidRPr="00044184">
        <w:rPr>
          <w:szCs w:val="22"/>
          <w:lang w:val="sk-SK" w:eastAsia="en-GB"/>
        </w:rPr>
        <w:t>skupina pacientov</w:t>
      </w:r>
      <w:r w:rsidR="002316ED" w:rsidRPr="00044184">
        <w:rPr>
          <w:szCs w:val="22"/>
          <w:lang w:val="sk-SK" w:eastAsia="en-GB"/>
        </w:rPr>
        <w:t xml:space="preserve"> so </w:t>
      </w:r>
      <w:r w:rsidRPr="00044184">
        <w:rPr>
          <w:szCs w:val="22"/>
          <w:lang w:val="sk-SK" w:eastAsia="en-GB"/>
        </w:rPr>
        <w:t>100</w:t>
      </w:r>
      <w:r w:rsidR="002316ED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mg </w:t>
      </w:r>
      <w:r w:rsidR="002316ED" w:rsidRPr="00044184">
        <w:rPr>
          <w:szCs w:val="22"/>
          <w:lang w:val="sk-SK" w:eastAsia="en-GB"/>
        </w:rPr>
        <w:t>dávkou</w:t>
      </w:r>
      <w:r w:rsidRPr="00044184">
        <w:rPr>
          <w:szCs w:val="22"/>
          <w:lang w:val="sk-SK" w:eastAsia="en-GB"/>
        </w:rPr>
        <w:t>)</w:t>
      </w:r>
    </w:p>
    <w:p w:rsidR="008456D6" w:rsidRPr="00044184" w:rsidRDefault="008456D6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1139"/>
        <w:gridCol w:w="1013"/>
        <w:gridCol w:w="1014"/>
        <w:gridCol w:w="1138"/>
        <w:gridCol w:w="1014"/>
        <w:gridCol w:w="1008"/>
      </w:tblGrid>
      <w:tr w:rsidR="00563420" w:rsidRPr="00044184" w:rsidTr="0039476C">
        <w:tc>
          <w:tcPr>
            <w:tcW w:w="2963" w:type="dxa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3165" w:type="dxa"/>
            <w:gridSpan w:val="3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Erlotinib</w:t>
            </w:r>
          </w:p>
          <w:p w:rsidR="00563420" w:rsidRPr="00044184" w:rsidRDefault="00D01616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>
              <w:rPr>
                <w:b/>
                <w:szCs w:val="22"/>
                <w:lang w:val="sk-SK" w:eastAsia="en-GB"/>
              </w:rPr>
              <w:t>n</w:t>
            </w:r>
            <w:r w:rsidR="00563420" w:rsidRPr="00044184">
              <w:rPr>
                <w:b/>
                <w:szCs w:val="22"/>
                <w:lang w:val="sk-SK" w:eastAsia="en-GB"/>
              </w:rPr>
              <w:t> = 259</w:t>
            </w:r>
          </w:p>
        </w:tc>
        <w:tc>
          <w:tcPr>
            <w:tcW w:w="3159" w:type="dxa"/>
            <w:gridSpan w:val="3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Placebo</w:t>
            </w:r>
          </w:p>
          <w:p w:rsidR="00563420" w:rsidRPr="00044184" w:rsidRDefault="00D01616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>
              <w:rPr>
                <w:b/>
                <w:szCs w:val="22"/>
                <w:lang w:val="sk-SK" w:eastAsia="en-GB"/>
              </w:rPr>
              <w:t>n</w:t>
            </w:r>
            <w:r w:rsidR="00563420" w:rsidRPr="00044184">
              <w:rPr>
                <w:b/>
                <w:szCs w:val="22"/>
                <w:lang w:val="sk-SK" w:eastAsia="en-GB"/>
              </w:rPr>
              <w:t> = 256</w:t>
            </w:r>
          </w:p>
        </w:tc>
      </w:tr>
      <w:tr w:rsidR="0039476C" w:rsidRPr="00044184" w:rsidTr="0039476C">
        <w:tc>
          <w:tcPr>
            <w:tcW w:w="2963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Stupeň toxicity podľa NCI</w:t>
            </w:r>
            <w:r w:rsidRPr="00044184">
              <w:rPr>
                <w:b/>
                <w:szCs w:val="22"/>
                <w:lang w:val="sk-SK" w:eastAsia="en-GB"/>
              </w:rPr>
              <w:noBreakHyphen/>
              <w:t>CTC</w:t>
            </w:r>
          </w:p>
        </w:tc>
        <w:tc>
          <w:tcPr>
            <w:tcW w:w="1178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Akýkoľ</w:t>
            </w:r>
            <w:r w:rsidR="00D01616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vek stupeň</w:t>
            </w:r>
          </w:p>
        </w:tc>
        <w:tc>
          <w:tcPr>
            <w:tcW w:w="993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3</w:t>
            </w:r>
            <w:r w:rsidR="0084086B" w:rsidRPr="00044184">
              <w:rPr>
                <w:b/>
                <w:szCs w:val="22"/>
                <w:lang w:val="sk-SK" w:eastAsia="en-GB"/>
              </w:rPr>
              <w:t>.</w:t>
            </w:r>
          </w:p>
        </w:tc>
        <w:tc>
          <w:tcPr>
            <w:tcW w:w="994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4</w:t>
            </w:r>
            <w:r w:rsidR="0084086B" w:rsidRPr="00044184">
              <w:rPr>
                <w:b/>
                <w:szCs w:val="22"/>
                <w:lang w:val="sk-SK" w:eastAsia="en-GB"/>
              </w:rPr>
              <w:t>.</w:t>
            </w:r>
          </w:p>
        </w:tc>
        <w:tc>
          <w:tcPr>
            <w:tcW w:w="1177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Akýkoľ</w:t>
            </w:r>
            <w:r w:rsidR="00D01616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vek stupeň</w:t>
            </w:r>
          </w:p>
        </w:tc>
        <w:tc>
          <w:tcPr>
            <w:tcW w:w="994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3</w:t>
            </w:r>
            <w:r w:rsidR="0084086B" w:rsidRPr="00044184">
              <w:rPr>
                <w:b/>
                <w:szCs w:val="22"/>
                <w:lang w:val="sk-SK" w:eastAsia="en-GB"/>
              </w:rPr>
              <w:t>.</w:t>
            </w:r>
          </w:p>
        </w:tc>
        <w:tc>
          <w:tcPr>
            <w:tcW w:w="988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4</w:t>
            </w:r>
            <w:r w:rsidR="0084086B" w:rsidRPr="00044184">
              <w:rPr>
                <w:b/>
                <w:szCs w:val="22"/>
                <w:lang w:val="sk-SK" w:eastAsia="en-GB"/>
              </w:rPr>
              <w:t>.</w:t>
            </w:r>
          </w:p>
        </w:tc>
      </w:tr>
      <w:tr w:rsidR="0039476C" w:rsidRPr="00044184" w:rsidTr="0039476C">
        <w:tc>
          <w:tcPr>
            <w:tcW w:w="2963" w:type="dxa"/>
            <w:vAlign w:val="center"/>
          </w:tcPr>
          <w:p w:rsidR="00563420" w:rsidRPr="00044184" w:rsidRDefault="00563420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Preferovaný výraz podľa MedDRA</w:t>
            </w:r>
          </w:p>
        </w:tc>
        <w:tc>
          <w:tcPr>
            <w:tcW w:w="1178" w:type="dxa"/>
            <w:vAlign w:val="center"/>
          </w:tcPr>
          <w:p w:rsidR="00D01616" w:rsidRDefault="00D01616" w:rsidP="00D0161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7A1E7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93" w:type="dxa"/>
          </w:tcPr>
          <w:p w:rsidR="00D01616" w:rsidRDefault="00D01616" w:rsidP="007A1E7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7A1E77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94" w:type="dxa"/>
          </w:tcPr>
          <w:p w:rsidR="00D01616" w:rsidRDefault="00D01616" w:rsidP="00ED2E2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5C58B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1177" w:type="dxa"/>
          </w:tcPr>
          <w:p w:rsidR="00D01616" w:rsidRDefault="00D01616" w:rsidP="007D72E5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857A3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94" w:type="dxa"/>
          </w:tcPr>
          <w:p w:rsidR="00D01616" w:rsidRDefault="00D01616" w:rsidP="003D1A15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89130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  <w:tc>
          <w:tcPr>
            <w:tcW w:w="988" w:type="dxa"/>
          </w:tcPr>
          <w:p w:rsidR="00D01616" w:rsidRDefault="00D01616" w:rsidP="00F97B4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</w:p>
          <w:p w:rsidR="00563420" w:rsidRPr="00044184" w:rsidRDefault="00563420" w:rsidP="00D20A6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%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Celkový počet pacientov s akoukoľvek </w:t>
            </w:r>
            <w:r w:rsidR="006653F5" w:rsidRPr="00044184">
              <w:rPr>
                <w:szCs w:val="22"/>
                <w:lang w:val="sk-SK" w:eastAsia="en-GB"/>
              </w:rPr>
              <w:t>nežiaducou udalosťou</w:t>
            </w:r>
          </w:p>
        </w:tc>
        <w:tc>
          <w:tcPr>
            <w:tcW w:w="1178" w:type="dxa"/>
          </w:tcPr>
          <w:p w:rsidR="00D01616" w:rsidRDefault="00D01616" w:rsidP="00D0161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7A1E7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7A1E7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99</w:t>
            </w:r>
          </w:p>
        </w:tc>
        <w:tc>
          <w:tcPr>
            <w:tcW w:w="993" w:type="dxa"/>
          </w:tcPr>
          <w:p w:rsidR="00D01616" w:rsidRDefault="00D01616" w:rsidP="007A1E7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ED2E2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5C58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48</w:t>
            </w:r>
          </w:p>
        </w:tc>
        <w:tc>
          <w:tcPr>
            <w:tcW w:w="994" w:type="dxa"/>
          </w:tcPr>
          <w:p w:rsidR="00D01616" w:rsidRDefault="00D01616" w:rsidP="007D72E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857A3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3D1A1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22</w:t>
            </w:r>
          </w:p>
        </w:tc>
        <w:tc>
          <w:tcPr>
            <w:tcW w:w="1177" w:type="dxa"/>
          </w:tcPr>
          <w:p w:rsidR="00D01616" w:rsidRDefault="00D01616" w:rsidP="0089130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F97B4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D20A6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8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97</w:t>
            </w:r>
          </w:p>
        </w:tc>
        <w:tc>
          <w:tcPr>
            <w:tcW w:w="994" w:type="dxa"/>
          </w:tcPr>
          <w:p w:rsidR="00D01616" w:rsidRDefault="00D01616" w:rsidP="00F3558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AA77A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72215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9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48</w:t>
            </w:r>
          </w:p>
        </w:tc>
        <w:tc>
          <w:tcPr>
            <w:tcW w:w="988" w:type="dxa"/>
          </w:tcPr>
          <w:p w:rsidR="00D01616" w:rsidRDefault="00D01616" w:rsidP="003E414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3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D01616" w:rsidRDefault="00D01616" w:rsidP="001C7B0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3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B3221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296" w:right="27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16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Infekcie a nákazy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Infekcia*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31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24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iCs/>
                <w:szCs w:val="22"/>
                <w:lang w:val="sk-SK"/>
              </w:rPr>
            </w:pPr>
            <w:r w:rsidRPr="00044184">
              <w:rPr>
                <w:i/>
                <w:iCs/>
                <w:szCs w:val="22"/>
                <w:lang w:val="sk-SK"/>
              </w:rPr>
              <w:t>Poruchy metabolizmu a</w:t>
            </w:r>
            <w:r w:rsidRPr="00044184">
              <w:rPr>
                <w:i/>
                <w:iCs/>
                <w:spacing w:val="-14"/>
                <w:szCs w:val="22"/>
                <w:lang w:val="sk-SK"/>
              </w:rPr>
              <w:t xml:space="preserve"> </w:t>
            </w:r>
            <w:r w:rsidRPr="00044184">
              <w:rPr>
                <w:i/>
                <w:iCs/>
                <w:szCs w:val="22"/>
                <w:lang w:val="sk-SK"/>
              </w:rPr>
              <w:t>výživy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iCs/>
                <w:szCs w:val="22"/>
                <w:lang w:val="sk-SK"/>
              </w:rPr>
              <w:t>Zníženie telesnej hmotnosti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39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29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113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Psychické poruchy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Depresia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19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14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nervového systému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Neuropatia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Bolesť hlavy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13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15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10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dýchacej sústavy, hrudníka a mediastína</w:t>
            </w:r>
          </w:p>
          <w:p w:rsidR="00EB16F3" w:rsidRPr="00044184" w:rsidRDefault="00EB16F3" w:rsidP="00695459">
            <w:pPr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Kašeľ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16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11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gastrointestinálneho traktu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Hnačka**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St</w:t>
            </w:r>
            <w:r w:rsidRPr="00044184">
              <w:rPr>
                <w:spacing w:val="1"/>
                <w:szCs w:val="22"/>
                <w:lang w:val="sk-SK" w:eastAsia="en-GB"/>
              </w:rPr>
              <w:t>o</w:t>
            </w:r>
            <w:r w:rsidRPr="00044184">
              <w:rPr>
                <w:spacing w:val="-2"/>
                <w:szCs w:val="22"/>
                <w:lang w:val="sk-SK" w:eastAsia="en-GB"/>
              </w:rPr>
              <w:t>m</w:t>
            </w:r>
            <w:r w:rsidRPr="00044184">
              <w:rPr>
                <w:szCs w:val="22"/>
                <w:lang w:val="sk-SK" w:eastAsia="en-GB"/>
              </w:rPr>
              <w:t>a</w:t>
            </w:r>
            <w:r w:rsidRPr="00044184">
              <w:rPr>
                <w:spacing w:val="1"/>
                <w:szCs w:val="22"/>
                <w:lang w:val="sk-SK" w:eastAsia="en-GB"/>
              </w:rPr>
              <w:t>t</w:t>
            </w:r>
            <w:r w:rsidRPr="00044184">
              <w:rPr>
                <w:szCs w:val="22"/>
                <w:lang w:val="sk-SK" w:eastAsia="en-GB"/>
              </w:rPr>
              <w:t>itída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Dyspepsia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Flatulencia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48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22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17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13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36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12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13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9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&lt; 1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Poruchy kože a podkožného tkaniva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Vyrážka***</w:t>
            </w:r>
          </w:p>
          <w:p w:rsidR="00EB16F3" w:rsidRPr="00044184" w:rsidRDefault="00EB16F3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Alopécia</w:t>
            </w:r>
          </w:p>
        </w:tc>
        <w:tc>
          <w:tcPr>
            <w:tcW w:w="117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69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14</w:t>
            </w:r>
          </w:p>
        </w:tc>
        <w:tc>
          <w:tcPr>
            <w:tcW w:w="993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11</w:t>
            </w:r>
          </w:p>
        </w:tc>
        <w:tc>
          <w:tcPr>
            <w:tcW w:w="994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88" w:type="dxa"/>
            <w:vAlign w:val="bottom"/>
          </w:tcPr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B16F3" w:rsidRPr="00044184" w:rsidRDefault="00EB16F3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  <w:tr w:rsidR="0039476C" w:rsidRPr="00044184" w:rsidTr="0039476C">
        <w:tc>
          <w:tcPr>
            <w:tcW w:w="2963" w:type="dxa"/>
          </w:tcPr>
          <w:p w:rsidR="00EA7BEC" w:rsidRPr="00044184" w:rsidRDefault="00EA7BEC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i/>
                <w:szCs w:val="22"/>
                <w:lang w:val="sk-SK" w:eastAsia="en-GB"/>
              </w:rPr>
            </w:pPr>
            <w:r w:rsidRPr="00044184">
              <w:rPr>
                <w:i/>
                <w:szCs w:val="22"/>
                <w:lang w:val="sk-SK" w:eastAsia="en-GB"/>
              </w:rPr>
              <w:t>Celkové poruchy a reakcie v mieste podania</w:t>
            </w:r>
          </w:p>
          <w:p w:rsidR="00EA7BEC" w:rsidRPr="00044184" w:rsidRDefault="00EA7BEC" w:rsidP="00695459">
            <w:pPr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Únava</w:t>
            </w:r>
          </w:p>
          <w:p w:rsidR="00EA7BEC" w:rsidRPr="00044184" w:rsidRDefault="00EA7BEC" w:rsidP="00695459">
            <w:pPr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Pyrexia</w:t>
            </w:r>
          </w:p>
          <w:p w:rsidR="00EA7BEC" w:rsidRPr="00044184" w:rsidRDefault="00EA7BEC" w:rsidP="00695459">
            <w:pPr>
              <w:autoSpaceDE w:val="0"/>
              <w:autoSpaceDN w:val="0"/>
              <w:adjustRightInd w:val="0"/>
              <w:spacing w:line="240" w:lineRule="auto"/>
              <w:ind w:left="227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Zimnica</w:t>
            </w:r>
          </w:p>
        </w:tc>
        <w:tc>
          <w:tcPr>
            <w:tcW w:w="1178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73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36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12</w:t>
            </w:r>
          </w:p>
        </w:tc>
        <w:tc>
          <w:tcPr>
            <w:tcW w:w="993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14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3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94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1177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70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30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9</w:t>
            </w:r>
          </w:p>
        </w:tc>
        <w:tc>
          <w:tcPr>
            <w:tcW w:w="994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1"/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pacing w:val="1"/>
                <w:szCs w:val="22"/>
                <w:lang w:val="sk-SK" w:eastAsia="en-GB"/>
              </w:rPr>
              <w:t>13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4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  <w:tc>
          <w:tcPr>
            <w:tcW w:w="988" w:type="dxa"/>
          </w:tcPr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  <w:p w:rsidR="00EA7BEC" w:rsidRPr="00044184" w:rsidRDefault="00EA7B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</w:t>
            </w:r>
          </w:p>
        </w:tc>
      </w:tr>
    </w:tbl>
    <w:p w:rsidR="00EA7BEC" w:rsidRPr="00044184" w:rsidRDefault="00EA7BE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*</w:t>
      </w:r>
      <w:r w:rsidR="008456D6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 </w:t>
      </w:r>
      <w:r w:rsidR="008456D6" w:rsidRPr="00044184">
        <w:rPr>
          <w:szCs w:val="22"/>
          <w:lang w:val="sk-SK" w:eastAsia="en-GB"/>
        </w:rPr>
        <w:t xml:space="preserve">  </w:t>
      </w:r>
      <w:r w:rsidRPr="00044184">
        <w:rPr>
          <w:szCs w:val="22"/>
          <w:lang w:val="sk-SK" w:eastAsia="en-GB"/>
        </w:rPr>
        <w:t>Závažné infekcie s neutropéniou alebo bez nej zahŕňali pneumóniu, sepsu a celulitídu.</w:t>
      </w:r>
    </w:p>
    <w:p w:rsidR="00EA7BEC" w:rsidRPr="00044184" w:rsidRDefault="00EA7BE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** </w:t>
      </w:r>
      <w:r w:rsidR="008456D6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Môže viesť k dehydratácii, hypokalémii a zlyhaniu obličiek.</w:t>
      </w:r>
    </w:p>
    <w:p w:rsidR="00EA7BEC" w:rsidRPr="00044184" w:rsidRDefault="00EA7BEC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 w:eastAsia="en-GB"/>
        </w:rPr>
        <w:t>*** Vyrážka zahŕňala akneiformnú dermatitídu.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B6A37" w:rsidRPr="00044184" w:rsidRDefault="005634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Ďalšie zistenia</w:t>
      </w:r>
      <w:r w:rsidR="003B6A37" w:rsidRPr="00044184">
        <w:rPr>
          <w:szCs w:val="22"/>
          <w:u w:val="single"/>
          <w:lang w:val="sk-SK" w:eastAsia="en-GB"/>
        </w:rPr>
        <w:t>: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5634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Hodnotenie bezpečnosti </w:t>
      </w:r>
      <w:r w:rsidR="003B6A37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u je založené na údajoch získaných u viac ako </w:t>
      </w:r>
      <w:r w:rsidR="003B6A37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0541D1" w:rsidRPr="00044184">
        <w:rPr>
          <w:szCs w:val="22"/>
          <w:lang w:val="sk-SK" w:eastAsia="en-GB"/>
        </w:rPr>
        <w:t>5</w:t>
      </w:r>
      <w:r w:rsidR="003B6A37" w:rsidRPr="00044184">
        <w:rPr>
          <w:szCs w:val="22"/>
          <w:lang w:val="sk-SK" w:eastAsia="en-GB"/>
        </w:rPr>
        <w:t>00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c</w:t>
      </w:r>
      <w:r w:rsidR="003B6A37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>ov, ktorý</w:t>
      </w:r>
      <w:r w:rsidR="004D7FB5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 xml:space="preserve"> bola podaná aspoň jedna </w:t>
      </w:r>
      <w:r w:rsidR="003B6A37" w:rsidRPr="00044184">
        <w:rPr>
          <w:szCs w:val="22"/>
          <w:lang w:val="sk-SK" w:eastAsia="en-GB"/>
        </w:rPr>
        <w:t>150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mg d</w:t>
      </w:r>
      <w:r w:rsidRPr="00044184">
        <w:rPr>
          <w:szCs w:val="22"/>
          <w:lang w:val="sk-SK" w:eastAsia="en-GB"/>
        </w:rPr>
        <w:t xml:space="preserve">ávka </w:t>
      </w:r>
      <w:r w:rsidR="003B6A37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3B6A37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v </w:t>
      </w:r>
      <w:r w:rsidR="003B6A37" w:rsidRPr="00044184">
        <w:rPr>
          <w:szCs w:val="22"/>
          <w:lang w:val="sk-SK" w:eastAsia="en-GB"/>
        </w:rPr>
        <w:t>monoterap</w:t>
      </w:r>
      <w:r w:rsidRPr="00044184">
        <w:rPr>
          <w:szCs w:val="22"/>
          <w:lang w:val="sk-SK" w:eastAsia="en-GB"/>
        </w:rPr>
        <w:t>ii</w:t>
      </w:r>
      <w:r w:rsidR="003B6A37" w:rsidRPr="00044184">
        <w:rPr>
          <w:szCs w:val="22"/>
          <w:lang w:val="sk-SK" w:eastAsia="en-GB"/>
        </w:rPr>
        <w:t xml:space="preserve"> a</w:t>
      </w:r>
      <w:r w:rsidRPr="00044184">
        <w:rPr>
          <w:szCs w:val="22"/>
          <w:lang w:val="sk-SK" w:eastAsia="en-GB"/>
        </w:rPr>
        <w:t xml:space="preserve"> u viac ako </w:t>
      </w:r>
      <w:r w:rsidR="003B6A37" w:rsidRPr="00044184">
        <w:rPr>
          <w:szCs w:val="22"/>
          <w:lang w:val="sk-SK" w:eastAsia="en-GB"/>
        </w:rPr>
        <w:t>300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c</w:t>
      </w:r>
      <w:r w:rsidR="003B6A37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 xml:space="preserve">ov, ktorým bola </w:t>
      </w:r>
      <w:r w:rsidR="00757A2C" w:rsidRPr="00044184">
        <w:rPr>
          <w:szCs w:val="22"/>
          <w:lang w:val="sk-SK" w:eastAsia="en-GB"/>
        </w:rPr>
        <w:t xml:space="preserve">podaná </w:t>
      </w:r>
      <w:r w:rsidRPr="00044184">
        <w:rPr>
          <w:szCs w:val="22"/>
          <w:lang w:val="sk-SK" w:eastAsia="en-GB"/>
        </w:rPr>
        <w:t xml:space="preserve">100 mg alebo 150 mg dávka </w:t>
      </w:r>
      <w:r w:rsidR="003B6A37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v kombinácii s </w:t>
      </w:r>
      <w:r w:rsidR="003B6A37" w:rsidRPr="00044184">
        <w:rPr>
          <w:szCs w:val="22"/>
          <w:lang w:val="sk-SK" w:eastAsia="en-GB"/>
        </w:rPr>
        <w:t>gemcitab</w:t>
      </w:r>
      <w:r w:rsidRPr="00044184">
        <w:rPr>
          <w:szCs w:val="22"/>
          <w:lang w:val="sk-SK" w:eastAsia="en-GB"/>
        </w:rPr>
        <w:t>ínom</w:t>
      </w:r>
      <w:r w:rsidR="003B6A37"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5634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Nasled</w:t>
      </w:r>
      <w:r w:rsidR="008456D6" w:rsidRPr="00044184">
        <w:rPr>
          <w:szCs w:val="22"/>
          <w:lang w:val="sk-SK" w:eastAsia="en-GB"/>
        </w:rPr>
        <w:t>ovné</w:t>
      </w:r>
      <w:r w:rsidRPr="00044184">
        <w:rPr>
          <w:szCs w:val="22"/>
          <w:lang w:val="sk-SK" w:eastAsia="en-GB"/>
        </w:rPr>
        <w:t xml:space="preserve"> nežiaduce reakcie boli zistené u pacientov, ktorým bol erlotinib podávaný v monoterapii, a u pacientov, ktorým bol </w:t>
      </w:r>
      <w:r w:rsidR="003B6A37" w:rsidRPr="00044184">
        <w:rPr>
          <w:szCs w:val="22"/>
          <w:lang w:val="sk-SK" w:eastAsia="en-GB"/>
        </w:rPr>
        <w:t xml:space="preserve">erlotinib </w:t>
      </w:r>
      <w:r w:rsidRPr="00044184">
        <w:rPr>
          <w:szCs w:val="22"/>
          <w:lang w:val="sk-SK" w:eastAsia="en-GB"/>
        </w:rPr>
        <w:t>podávaný súbežne s chemoterapiou</w:t>
      </w:r>
      <w:r w:rsidR="003B6A37" w:rsidRPr="00044184">
        <w:rPr>
          <w:szCs w:val="22"/>
          <w:lang w:val="sk-SK" w:eastAsia="en-GB"/>
        </w:rPr>
        <w:t>.</w:t>
      </w:r>
    </w:p>
    <w:p w:rsidR="003B6A37" w:rsidRPr="00044184" w:rsidRDefault="003B6A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5634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Veľmi časté </w:t>
      </w:r>
      <w:r w:rsidR="006653F5" w:rsidRPr="00044184">
        <w:rPr>
          <w:szCs w:val="22"/>
          <w:lang w:val="sk-SK" w:eastAsia="en-GB"/>
        </w:rPr>
        <w:t>nežiaduce reakcie</w:t>
      </w:r>
      <w:r w:rsidRPr="00044184">
        <w:rPr>
          <w:szCs w:val="22"/>
          <w:lang w:val="sk-SK" w:eastAsia="en-GB"/>
        </w:rPr>
        <w:t xml:space="preserve"> zistené v štúdiách</w:t>
      </w:r>
      <w:r w:rsidR="003B6A37" w:rsidRPr="00044184">
        <w:rPr>
          <w:szCs w:val="22"/>
          <w:lang w:val="sk-SK" w:eastAsia="en-GB"/>
        </w:rPr>
        <w:t xml:space="preserve"> BR</w:t>
      </w:r>
      <w:r w:rsidRPr="00044184">
        <w:rPr>
          <w:szCs w:val="22"/>
          <w:lang w:val="sk-SK" w:eastAsia="en-GB"/>
        </w:rPr>
        <w:t>.</w:t>
      </w:r>
      <w:r w:rsidR="003B6A37" w:rsidRPr="00044184">
        <w:rPr>
          <w:szCs w:val="22"/>
          <w:lang w:val="sk-SK" w:eastAsia="en-GB"/>
        </w:rPr>
        <w:t>21 a</w:t>
      </w:r>
      <w:r w:rsidRPr="00044184">
        <w:rPr>
          <w:szCs w:val="22"/>
          <w:lang w:val="sk-SK" w:eastAsia="en-GB"/>
        </w:rPr>
        <w:t> </w:t>
      </w:r>
      <w:r w:rsidR="003B6A37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.</w:t>
      </w:r>
      <w:r w:rsidR="003B6A37" w:rsidRPr="00044184">
        <w:rPr>
          <w:szCs w:val="22"/>
          <w:lang w:val="sk-SK" w:eastAsia="en-GB"/>
        </w:rPr>
        <w:t xml:space="preserve">3 </w:t>
      </w:r>
      <w:r w:rsidRPr="00044184">
        <w:rPr>
          <w:szCs w:val="22"/>
          <w:lang w:val="sk-SK" w:eastAsia="en-GB"/>
        </w:rPr>
        <w:t xml:space="preserve">sú uvedené v tabuľke </w:t>
      </w:r>
      <w:r w:rsidR="003B6A37" w:rsidRPr="00044184">
        <w:rPr>
          <w:szCs w:val="22"/>
          <w:lang w:val="sk-SK" w:eastAsia="en-GB"/>
        </w:rPr>
        <w:t>1 a</w:t>
      </w:r>
      <w:r w:rsidRPr="00044184">
        <w:rPr>
          <w:szCs w:val="22"/>
          <w:lang w:val="sk-SK" w:eastAsia="en-GB"/>
        </w:rPr>
        <w:t> </w:t>
      </w:r>
      <w:r w:rsidR="00636C78" w:rsidRPr="00044184">
        <w:rPr>
          <w:szCs w:val="22"/>
          <w:lang w:val="sk-SK" w:eastAsia="en-GB"/>
        </w:rPr>
        <w:t>3</w:t>
      </w:r>
      <w:r w:rsidR="003B6A37" w:rsidRPr="00044184">
        <w:rPr>
          <w:szCs w:val="22"/>
          <w:lang w:val="sk-SK" w:eastAsia="en-GB"/>
        </w:rPr>
        <w:t xml:space="preserve">, </w:t>
      </w:r>
      <w:r w:rsidRPr="00044184">
        <w:rPr>
          <w:szCs w:val="22"/>
          <w:lang w:val="sk-SK" w:eastAsia="en-GB"/>
        </w:rPr>
        <w:t xml:space="preserve">ďalšie </w:t>
      </w:r>
      <w:r w:rsidR="006653F5" w:rsidRPr="00044184">
        <w:rPr>
          <w:szCs w:val="22"/>
          <w:lang w:val="sk-SK" w:eastAsia="en-GB"/>
        </w:rPr>
        <w:t>nežiaduce reakcie</w:t>
      </w:r>
      <w:r w:rsidRPr="00044184">
        <w:rPr>
          <w:szCs w:val="22"/>
          <w:lang w:val="sk-SK" w:eastAsia="en-GB"/>
        </w:rPr>
        <w:t xml:space="preserve"> vrátane tých, ktoré sa zistili v iných štúdiách, sú zhrnuté v tabuľke </w:t>
      </w:r>
      <w:r w:rsidR="00636C78" w:rsidRPr="00044184">
        <w:rPr>
          <w:szCs w:val="22"/>
          <w:lang w:val="sk-SK" w:eastAsia="en-GB"/>
        </w:rPr>
        <w:t>4</w:t>
      </w:r>
      <w:r w:rsidR="003B6A37" w:rsidRPr="00044184">
        <w:rPr>
          <w:szCs w:val="22"/>
          <w:lang w:val="sk-SK" w:eastAsia="en-GB"/>
        </w:rPr>
        <w:t>.</w:t>
      </w:r>
    </w:p>
    <w:p w:rsidR="00A306EE" w:rsidRPr="00044184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B6A37" w:rsidRPr="00044184" w:rsidRDefault="006B10E9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lang w:val="sk-SK"/>
        </w:rPr>
        <w:t>V rámci jednotlivých skupín frekvencií sú nežiaduce reakcie usporiadané v poradí klesajúcej závažnosti.</w:t>
      </w:r>
    </w:p>
    <w:p w:rsidR="000E232D" w:rsidRPr="00044184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636C78" w:rsidRPr="00044184" w:rsidRDefault="00636C78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t>Tab</w:t>
      </w:r>
      <w:r w:rsidR="00563420" w:rsidRPr="00044184">
        <w:rPr>
          <w:szCs w:val="22"/>
          <w:lang w:val="sk-SK" w:bidi="he-IL"/>
        </w:rPr>
        <w:t>uľka </w:t>
      </w:r>
      <w:r w:rsidRPr="00044184">
        <w:rPr>
          <w:szCs w:val="22"/>
          <w:lang w:val="sk-SK" w:bidi="he-IL"/>
        </w:rPr>
        <w:t>4: S</w:t>
      </w:r>
      <w:r w:rsidR="00563420" w:rsidRPr="00044184">
        <w:rPr>
          <w:szCs w:val="22"/>
          <w:lang w:val="sk-SK" w:bidi="he-IL"/>
        </w:rPr>
        <w:t xml:space="preserve">úhrn </w:t>
      </w:r>
      <w:r w:rsidR="006653F5" w:rsidRPr="00044184">
        <w:rPr>
          <w:szCs w:val="22"/>
          <w:lang w:val="sk-SK" w:bidi="he-IL"/>
        </w:rPr>
        <w:t>nežiaducich reakci</w:t>
      </w:r>
      <w:r w:rsidR="00FF4BE4" w:rsidRPr="00044184">
        <w:rPr>
          <w:szCs w:val="22"/>
          <w:lang w:val="sk-SK" w:bidi="he-IL"/>
        </w:rPr>
        <w:t>í</w:t>
      </w:r>
      <w:r w:rsidR="00563420" w:rsidRPr="00044184">
        <w:rPr>
          <w:szCs w:val="22"/>
          <w:lang w:val="sk-SK" w:bidi="he-IL"/>
        </w:rPr>
        <w:t xml:space="preserve"> podľa kategóri</w:t>
      </w:r>
      <w:r w:rsidR="00C039A2" w:rsidRPr="00044184">
        <w:rPr>
          <w:szCs w:val="22"/>
          <w:lang w:val="sk-SK" w:bidi="he-IL"/>
        </w:rPr>
        <w:t>í</w:t>
      </w:r>
      <w:r w:rsidR="00563420" w:rsidRPr="00044184">
        <w:rPr>
          <w:szCs w:val="22"/>
          <w:lang w:val="sk-SK" w:bidi="he-IL"/>
        </w:rPr>
        <w:t xml:space="preserve"> frekvencie výskytu</w:t>
      </w:r>
      <w:r w:rsidRPr="00044184">
        <w:rPr>
          <w:szCs w:val="22"/>
          <w:lang w:val="sk-SK" w:bidi="he-IL"/>
        </w:rPr>
        <w:t>:</w:t>
      </w:r>
    </w:p>
    <w:p w:rsidR="008456D6" w:rsidRPr="00044184" w:rsidRDefault="008456D6" w:rsidP="0069545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267"/>
        <w:gridCol w:w="1535"/>
        <w:gridCol w:w="1560"/>
        <w:gridCol w:w="1559"/>
        <w:gridCol w:w="1559"/>
      </w:tblGrid>
      <w:tr w:rsidR="0039476C" w:rsidRPr="00044184" w:rsidTr="00675F45">
        <w:tc>
          <w:tcPr>
            <w:tcW w:w="1842" w:type="dxa"/>
          </w:tcPr>
          <w:p w:rsidR="002F74C9" w:rsidRPr="00044184" w:rsidRDefault="006653F5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Orgánový</w:t>
            </w:r>
            <w:r w:rsidR="002F74C9" w:rsidRPr="00044184">
              <w:rPr>
                <w:b/>
                <w:szCs w:val="22"/>
                <w:lang w:val="sk-SK"/>
              </w:rPr>
              <w:t xml:space="preserve"> systém</w:t>
            </w:r>
          </w:p>
        </w:tc>
        <w:tc>
          <w:tcPr>
            <w:tcW w:w="1267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Veľmi časté</w:t>
            </w:r>
          </w:p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(≥ 1/10)</w:t>
            </w:r>
          </w:p>
        </w:tc>
        <w:tc>
          <w:tcPr>
            <w:tcW w:w="1535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Časté</w:t>
            </w:r>
          </w:p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(≥ 1/100 až &lt; 1/10)</w:t>
            </w:r>
          </w:p>
        </w:tc>
        <w:tc>
          <w:tcPr>
            <w:tcW w:w="1560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Menej časté</w:t>
            </w:r>
          </w:p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(≥ 1/1000 až &lt; 1/100)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Zriedkavé</w:t>
            </w:r>
          </w:p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(≥ 1/10 000 až &lt; 1/1 000)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Veľmi zriedkavé (&lt; 1/10 000)</w:t>
            </w:r>
          </w:p>
        </w:tc>
      </w:tr>
      <w:tr w:rsidR="0039476C" w:rsidRPr="00044184" w:rsidTr="00675F45">
        <w:tc>
          <w:tcPr>
            <w:tcW w:w="1842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oka</w:t>
            </w:r>
          </w:p>
        </w:tc>
        <w:tc>
          <w:tcPr>
            <w:tcW w:w="1267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35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Keratitída</w:t>
            </w:r>
          </w:p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Konjunktivití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da</w:t>
            </w:r>
            <w:r w:rsidRPr="00044184">
              <w:rPr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560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Zmeny mihalníc</w:t>
            </w:r>
            <w:r w:rsidRPr="00044184">
              <w:rPr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59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Perforácia rohovky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Ulcerácia rohovky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Uveitída</w:t>
            </w:r>
          </w:p>
        </w:tc>
      </w:tr>
      <w:tr w:rsidR="0039476C" w:rsidRPr="00044184" w:rsidTr="00675F45">
        <w:tc>
          <w:tcPr>
            <w:tcW w:w="1842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dýchacej sústavy, hrudníka a</w:t>
            </w:r>
            <w:r w:rsidR="003C17B7" w:rsidRPr="00044184">
              <w:rPr>
                <w:szCs w:val="22"/>
                <w:lang w:val="sk-SK"/>
              </w:rPr>
              <w:t> </w:t>
            </w:r>
            <w:r w:rsidRPr="00044184">
              <w:rPr>
                <w:szCs w:val="22"/>
                <w:lang w:val="sk-SK"/>
              </w:rPr>
              <w:t>mediastína</w:t>
            </w:r>
          </w:p>
        </w:tc>
        <w:tc>
          <w:tcPr>
            <w:tcW w:w="1267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35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Epistaxa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</w:p>
        </w:tc>
        <w:tc>
          <w:tcPr>
            <w:tcW w:w="1560" w:type="dxa"/>
          </w:tcPr>
          <w:p w:rsidR="002F74C9" w:rsidRPr="00044184" w:rsidRDefault="007A1E77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I</w:t>
            </w:r>
            <w:r w:rsidRPr="00044184">
              <w:rPr>
                <w:szCs w:val="22"/>
                <w:lang w:val="sk-SK"/>
              </w:rPr>
              <w:t>ntersticiálna choroba pľúc (ILD)</w:t>
            </w:r>
            <w:r w:rsidRPr="00044184">
              <w:rPr>
                <w:szCs w:val="22"/>
                <w:vertAlign w:val="superscript"/>
                <w:lang w:val="sk-SK"/>
              </w:rPr>
              <w:t>3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  <w:tr w:rsidR="0039476C" w:rsidRPr="00044184" w:rsidTr="00675F45">
        <w:tc>
          <w:tcPr>
            <w:tcW w:w="1842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gastrointestinálne</w:t>
            </w:r>
            <w:r w:rsidR="00ED2E2F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ho traktu</w:t>
            </w:r>
          </w:p>
        </w:tc>
        <w:tc>
          <w:tcPr>
            <w:tcW w:w="1267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Hnačka</w:t>
            </w:r>
            <w:r w:rsidRPr="00044184">
              <w:rPr>
                <w:szCs w:val="22"/>
                <w:vertAlign w:val="superscript"/>
                <w:lang w:val="sk-SK"/>
              </w:rPr>
              <w:t>7</w:t>
            </w:r>
          </w:p>
        </w:tc>
        <w:tc>
          <w:tcPr>
            <w:tcW w:w="1535" w:type="dxa"/>
          </w:tcPr>
          <w:p w:rsidR="002F74C9" w:rsidRPr="00044184" w:rsidRDefault="00254CA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K</w:t>
            </w:r>
            <w:r w:rsidR="00587CC2" w:rsidRPr="00044184">
              <w:rPr>
                <w:szCs w:val="22"/>
                <w:lang w:val="sk-SK"/>
              </w:rPr>
              <w:t>rvácanie</w:t>
            </w:r>
            <w:r w:rsidRPr="00044184">
              <w:rPr>
                <w:szCs w:val="22"/>
                <w:lang w:val="sk-SK"/>
              </w:rPr>
              <w:t xml:space="preserve"> do</w:t>
            </w:r>
            <w:r w:rsidR="00ED2E2F">
              <w:rPr>
                <w:szCs w:val="22"/>
                <w:lang w:val="sk-SK"/>
              </w:rPr>
              <w:t> </w:t>
            </w:r>
            <w:r w:rsidRPr="00044184">
              <w:rPr>
                <w:szCs w:val="22"/>
                <w:lang w:val="sk-SK"/>
              </w:rPr>
              <w:t>gastrointes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tinálneho traktu</w:t>
            </w:r>
            <w:r w:rsidR="00587CC2" w:rsidRPr="00044184">
              <w:rPr>
                <w:szCs w:val="22"/>
                <w:vertAlign w:val="superscript"/>
                <w:lang w:val="sk-SK"/>
              </w:rPr>
              <w:t>4,7</w:t>
            </w:r>
          </w:p>
        </w:tc>
        <w:tc>
          <w:tcPr>
            <w:tcW w:w="1560" w:type="dxa"/>
          </w:tcPr>
          <w:p w:rsidR="002F74C9" w:rsidRPr="00044184" w:rsidRDefault="00254CA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P</w:t>
            </w:r>
            <w:r w:rsidR="00587CC2" w:rsidRPr="00044184">
              <w:rPr>
                <w:szCs w:val="22"/>
                <w:lang w:val="sk-SK"/>
              </w:rPr>
              <w:t>erforácie</w:t>
            </w:r>
            <w:r w:rsidRPr="00044184">
              <w:rPr>
                <w:szCs w:val="22"/>
                <w:lang w:val="sk-SK"/>
              </w:rPr>
              <w:t xml:space="preserve"> gastrointesti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nálneho traktu</w:t>
            </w:r>
            <w:r w:rsidR="00587CC2" w:rsidRPr="00044184">
              <w:rPr>
                <w:szCs w:val="22"/>
                <w:vertAlign w:val="superscript"/>
                <w:lang w:val="sk-SK"/>
              </w:rPr>
              <w:t>7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  <w:tr w:rsidR="0039476C" w:rsidRPr="00044184" w:rsidTr="00675F45">
        <w:tc>
          <w:tcPr>
            <w:tcW w:w="1842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pečene a</w:t>
            </w:r>
            <w:r w:rsidR="003C17B7" w:rsidRPr="00044184">
              <w:rPr>
                <w:szCs w:val="22"/>
                <w:lang w:val="sk-SK"/>
              </w:rPr>
              <w:t> </w:t>
            </w:r>
            <w:r w:rsidRPr="00044184">
              <w:rPr>
                <w:szCs w:val="22"/>
                <w:lang w:val="sk-SK"/>
              </w:rPr>
              <w:t>žlčových ciest</w:t>
            </w:r>
          </w:p>
        </w:tc>
        <w:tc>
          <w:tcPr>
            <w:tcW w:w="1267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Abnormál</w:t>
            </w:r>
            <w:r w:rsidR="00ED2E2F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ne výsledky funkčných pečeňových testov</w:t>
            </w:r>
            <w:r w:rsidRPr="00044184">
              <w:rPr>
                <w:szCs w:val="22"/>
                <w:vertAlign w:val="superscript"/>
                <w:lang w:val="sk-SK"/>
              </w:rPr>
              <w:t>5</w:t>
            </w:r>
          </w:p>
        </w:tc>
        <w:tc>
          <w:tcPr>
            <w:tcW w:w="1535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60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59" w:type="dxa"/>
          </w:tcPr>
          <w:p w:rsidR="002F74C9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Zlyhanie pečene</w:t>
            </w:r>
            <w:r w:rsidRPr="00044184">
              <w:rPr>
                <w:szCs w:val="22"/>
                <w:vertAlign w:val="superscript"/>
                <w:lang w:val="sk-SK"/>
              </w:rPr>
              <w:t>6</w:t>
            </w:r>
          </w:p>
        </w:tc>
        <w:tc>
          <w:tcPr>
            <w:tcW w:w="1559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  <w:tr w:rsidR="0039476C" w:rsidRPr="00044184" w:rsidTr="00675F45">
        <w:tc>
          <w:tcPr>
            <w:tcW w:w="1842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kože a podkožného tkaniva</w:t>
            </w:r>
          </w:p>
        </w:tc>
        <w:tc>
          <w:tcPr>
            <w:tcW w:w="1267" w:type="dxa"/>
          </w:tcPr>
          <w:p w:rsidR="002F74C9" w:rsidRPr="00044184" w:rsidRDefault="002F74C9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35" w:type="dxa"/>
          </w:tcPr>
          <w:p w:rsidR="002F74C9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Alopécia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Such</w:t>
            </w:r>
            <w:r w:rsidR="00ED2E2F">
              <w:rPr>
                <w:szCs w:val="22"/>
                <w:lang w:val="sk-SK"/>
              </w:rPr>
              <w:t>á</w:t>
            </w:r>
            <w:r w:rsidRPr="00044184">
              <w:rPr>
                <w:szCs w:val="22"/>
                <w:lang w:val="sk-SK"/>
              </w:rPr>
              <w:t xml:space="preserve"> kož</w:t>
            </w:r>
            <w:r w:rsidR="00ED2E2F">
              <w:rPr>
                <w:szCs w:val="22"/>
                <w:lang w:val="sk-SK"/>
              </w:rPr>
              <w:t>a</w:t>
            </w:r>
            <w:r w:rsidRPr="00044184">
              <w:rPr>
                <w:szCs w:val="22"/>
                <w:vertAlign w:val="superscript"/>
                <w:lang w:val="sk-SK"/>
              </w:rPr>
              <w:t>1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Paronychia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Folikulitída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Akné/aknei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formná dermatitída</w:t>
            </w:r>
          </w:p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 xml:space="preserve">Kožné </w:t>
            </w:r>
            <w:r w:rsidR="00DA492B" w:rsidRPr="00044184">
              <w:rPr>
                <w:szCs w:val="22"/>
                <w:lang w:val="sk-SK"/>
              </w:rPr>
              <w:t>trhliny</w:t>
            </w:r>
          </w:p>
        </w:tc>
        <w:tc>
          <w:tcPr>
            <w:tcW w:w="1560" w:type="dxa"/>
          </w:tcPr>
          <w:p w:rsidR="002F74C9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Hir</w:t>
            </w:r>
            <w:r w:rsidR="00ED2E2F">
              <w:rPr>
                <w:szCs w:val="22"/>
                <w:lang w:val="sk-SK"/>
              </w:rPr>
              <w:t>s</w:t>
            </w:r>
            <w:r w:rsidRPr="00044184">
              <w:rPr>
                <w:szCs w:val="22"/>
                <w:lang w:val="sk-SK"/>
              </w:rPr>
              <w:t>utizmus</w:t>
            </w:r>
          </w:p>
          <w:p w:rsidR="00A06198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Zmeny obočia</w:t>
            </w:r>
          </w:p>
          <w:p w:rsidR="00A06198" w:rsidRPr="00044184" w:rsidRDefault="0054656E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Lámavosť a strata</w:t>
            </w:r>
            <w:r w:rsidR="00371839" w:rsidRPr="00044184">
              <w:rPr>
                <w:szCs w:val="22"/>
                <w:lang w:val="sk-SK"/>
              </w:rPr>
              <w:t xml:space="preserve"> necht</w:t>
            </w:r>
            <w:r w:rsidRPr="00044184">
              <w:rPr>
                <w:szCs w:val="22"/>
                <w:lang w:val="sk-SK"/>
              </w:rPr>
              <w:t>ov</w:t>
            </w:r>
          </w:p>
          <w:p w:rsidR="00A06198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Mierne kožné reakcie ako hyperpigmen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tácia</w:t>
            </w:r>
          </w:p>
        </w:tc>
        <w:tc>
          <w:tcPr>
            <w:tcW w:w="1559" w:type="dxa"/>
          </w:tcPr>
          <w:p w:rsidR="002F74C9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Syndróm palmárno-plantárnej erytrodyzesté</w:t>
            </w:r>
            <w:r w:rsidR="005C58B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zie</w:t>
            </w:r>
          </w:p>
        </w:tc>
        <w:tc>
          <w:tcPr>
            <w:tcW w:w="1559" w:type="dxa"/>
          </w:tcPr>
          <w:p w:rsidR="002F74C9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Stevensov-Johnsonov sydróm/toxic</w:t>
            </w:r>
            <w:r w:rsidR="00F62D44">
              <w:rPr>
                <w:szCs w:val="22"/>
                <w:lang w:val="sk-SK"/>
              </w:rPr>
              <w:t>-</w:t>
            </w:r>
            <w:r w:rsidRPr="00044184">
              <w:rPr>
                <w:szCs w:val="22"/>
                <w:lang w:val="sk-SK"/>
              </w:rPr>
              <w:t>ká epidermálna nekrolýza</w:t>
            </w:r>
            <w:r w:rsidRPr="00044184">
              <w:rPr>
                <w:szCs w:val="22"/>
                <w:vertAlign w:val="superscript"/>
                <w:lang w:val="sk-SK"/>
              </w:rPr>
              <w:t>7</w:t>
            </w:r>
          </w:p>
        </w:tc>
      </w:tr>
      <w:tr w:rsidR="0039476C" w:rsidRPr="00044184" w:rsidTr="00675F45">
        <w:tc>
          <w:tcPr>
            <w:tcW w:w="1842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Poruchy obličiek a močových ciest</w:t>
            </w:r>
          </w:p>
        </w:tc>
        <w:tc>
          <w:tcPr>
            <w:tcW w:w="1267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35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Renálna insuficiencia</w:t>
            </w:r>
            <w:r w:rsidRPr="00044184">
              <w:rPr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560" w:type="dxa"/>
          </w:tcPr>
          <w:p w:rsidR="00587CC2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Nefritída</w:t>
            </w:r>
            <w:r w:rsidRPr="00044184">
              <w:rPr>
                <w:szCs w:val="22"/>
                <w:vertAlign w:val="superscript"/>
                <w:lang w:val="sk-SK"/>
              </w:rPr>
              <w:t>1</w:t>
            </w:r>
          </w:p>
          <w:p w:rsidR="00A06198" w:rsidRPr="00044184" w:rsidRDefault="00A06198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 w:rsidRPr="00044184">
              <w:rPr>
                <w:szCs w:val="22"/>
                <w:lang w:val="sk-SK"/>
              </w:rPr>
              <w:t>Proteinúria</w:t>
            </w:r>
            <w:r w:rsidRPr="00044184">
              <w:rPr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559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59" w:type="dxa"/>
          </w:tcPr>
          <w:p w:rsidR="00587CC2" w:rsidRPr="00044184" w:rsidRDefault="00587CC2" w:rsidP="0069545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</w:tbl>
    <w:p w:rsidR="00A306EE" w:rsidRPr="00044184" w:rsidRDefault="00A0619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1</w:t>
      </w:r>
      <w:r w:rsidR="00A306EE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V klinickej štúdii</w:t>
      </w:r>
      <w:r w:rsidR="00A306EE" w:rsidRPr="00044184">
        <w:rPr>
          <w:szCs w:val="22"/>
          <w:lang w:val="sk-SK" w:eastAsia="en-GB"/>
        </w:rPr>
        <w:t xml:space="preserve"> PA.3.</w:t>
      </w:r>
    </w:p>
    <w:p w:rsidR="00A306EE" w:rsidRPr="00044184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2</w:t>
      </w:r>
      <w:r w:rsidRPr="00044184">
        <w:rPr>
          <w:szCs w:val="22"/>
          <w:lang w:val="sk-SK" w:eastAsia="en-GB"/>
        </w:rPr>
        <w:t xml:space="preserve"> </w:t>
      </w:r>
      <w:r w:rsidR="00A06198" w:rsidRPr="00044184">
        <w:rPr>
          <w:szCs w:val="22"/>
          <w:lang w:val="sk-SK" w:eastAsia="en-GB"/>
        </w:rPr>
        <w:t>Vrátane dovnútra rastúcich mihalníc</w:t>
      </w:r>
      <w:r w:rsidR="00550F8D" w:rsidRPr="00044184">
        <w:rPr>
          <w:szCs w:val="22"/>
          <w:lang w:val="sk-SK" w:eastAsia="en-GB"/>
        </w:rPr>
        <w:t>, nadmerného rastu a zhustnutia mihalníc</w:t>
      </w:r>
      <w:r w:rsidRPr="00044184">
        <w:rPr>
          <w:szCs w:val="22"/>
          <w:lang w:val="sk-SK" w:eastAsia="en-GB"/>
        </w:rPr>
        <w:t>.</w:t>
      </w:r>
    </w:p>
    <w:p w:rsidR="00A306EE" w:rsidRPr="00044184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3</w:t>
      </w:r>
      <w:r w:rsidRPr="00044184">
        <w:rPr>
          <w:szCs w:val="22"/>
          <w:lang w:val="sk-SK" w:eastAsia="en-GB"/>
        </w:rPr>
        <w:t xml:space="preserve"> </w:t>
      </w:r>
      <w:r w:rsidR="00550F8D" w:rsidRPr="00044184">
        <w:rPr>
          <w:szCs w:val="22"/>
          <w:lang w:val="sk-SK" w:eastAsia="en-GB"/>
        </w:rPr>
        <w:t xml:space="preserve">Vrátane smrteľných prípadov u pacientov, ktorým bol erlotinib podávaný na liečbu </w:t>
      </w:r>
      <w:r w:rsidRPr="00044184">
        <w:rPr>
          <w:szCs w:val="22"/>
          <w:lang w:val="sk-SK" w:eastAsia="en-GB"/>
        </w:rPr>
        <w:t xml:space="preserve">NSCLC </w:t>
      </w:r>
      <w:r w:rsidR="00550F8D" w:rsidRPr="00044184">
        <w:rPr>
          <w:szCs w:val="22"/>
          <w:lang w:val="sk-SK" w:eastAsia="en-GB"/>
        </w:rPr>
        <w:t>alebo iných pokročilých solídnych nádorov</w:t>
      </w:r>
      <w:r w:rsidRPr="00044184">
        <w:rPr>
          <w:szCs w:val="22"/>
          <w:lang w:val="sk-SK" w:eastAsia="en-GB"/>
        </w:rPr>
        <w:t xml:space="preserve"> (</w:t>
      </w:r>
      <w:r w:rsidR="00550F8D" w:rsidRPr="00044184">
        <w:rPr>
          <w:szCs w:val="22"/>
          <w:lang w:val="sk-SK" w:eastAsia="en-GB"/>
        </w:rPr>
        <w:t>pozri časť </w:t>
      </w:r>
      <w:r w:rsidRPr="00044184">
        <w:rPr>
          <w:szCs w:val="22"/>
          <w:lang w:val="sk-SK" w:eastAsia="en-GB"/>
        </w:rPr>
        <w:t>4.4).</w:t>
      </w:r>
      <w:r w:rsidR="00550F8D" w:rsidRPr="00044184">
        <w:rPr>
          <w:szCs w:val="22"/>
          <w:lang w:val="sk-SK" w:eastAsia="en-GB"/>
        </w:rPr>
        <w:t xml:space="preserve"> Vyšší výskyt bol pozorovaný u pacientov japonského pôvodu</w:t>
      </w:r>
      <w:r w:rsidRPr="00044184">
        <w:rPr>
          <w:szCs w:val="22"/>
          <w:lang w:val="sk-SK" w:eastAsia="en-GB"/>
        </w:rPr>
        <w:t xml:space="preserve"> (</w:t>
      </w:r>
      <w:r w:rsidR="00550F8D" w:rsidRPr="00044184">
        <w:rPr>
          <w:szCs w:val="22"/>
          <w:lang w:val="sk-SK" w:eastAsia="en-GB"/>
        </w:rPr>
        <w:t>pozri časť </w:t>
      </w:r>
      <w:r w:rsidRPr="00044184">
        <w:rPr>
          <w:szCs w:val="22"/>
          <w:lang w:val="sk-SK" w:eastAsia="en-GB"/>
        </w:rPr>
        <w:t>4.4).</w:t>
      </w:r>
    </w:p>
    <w:p w:rsidR="00A306EE" w:rsidRPr="00044184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4</w:t>
      </w:r>
      <w:r w:rsidRPr="00044184">
        <w:rPr>
          <w:szCs w:val="22"/>
          <w:lang w:val="sk-SK" w:eastAsia="en-GB"/>
        </w:rPr>
        <w:t xml:space="preserve"> </w:t>
      </w:r>
      <w:r w:rsidR="00550F8D" w:rsidRPr="00044184">
        <w:rPr>
          <w:szCs w:val="22"/>
          <w:lang w:val="sk-SK" w:eastAsia="en-GB"/>
        </w:rPr>
        <w:t xml:space="preserve">V klinických štúdiách sa niektoré prípady dávali do súvislosti so súbežným podávaním warfarínu a niektoré so súbežným podávaním </w:t>
      </w:r>
      <w:r w:rsidRPr="00044184">
        <w:rPr>
          <w:szCs w:val="22"/>
          <w:lang w:val="sk-SK" w:eastAsia="en-GB"/>
        </w:rPr>
        <w:t>NSAID (</w:t>
      </w:r>
      <w:r w:rsidR="00550F8D" w:rsidRPr="00044184">
        <w:rPr>
          <w:szCs w:val="22"/>
          <w:lang w:val="sk-SK" w:eastAsia="en-GB"/>
        </w:rPr>
        <w:t>pozri časť </w:t>
      </w:r>
      <w:r w:rsidRPr="00044184">
        <w:rPr>
          <w:szCs w:val="22"/>
          <w:lang w:val="sk-SK" w:eastAsia="en-GB"/>
        </w:rPr>
        <w:t>4.5).</w:t>
      </w:r>
    </w:p>
    <w:p w:rsidR="00A306EE" w:rsidRPr="00044184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5</w:t>
      </w:r>
      <w:r w:rsidRPr="00044184">
        <w:rPr>
          <w:szCs w:val="22"/>
          <w:lang w:val="sk-SK" w:eastAsia="en-GB"/>
        </w:rPr>
        <w:t xml:space="preserve"> </w:t>
      </w:r>
      <w:r w:rsidR="00550F8D" w:rsidRPr="00044184">
        <w:rPr>
          <w:szCs w:val="22"/>
          <w:lang w:val="sk-SK" w:eastAsia="en-GB"/>
        </w:rPr>
        <w:t>Vrátane zvýšených hladín alanínaminotransferázy</w:t>
      </w:r>
      <w:r w:rsidRPr="00044184">
        <w:rPr>
          <w:szCs w:val="22"/>
          <w:lang w:val="sk-SK" w:eastAsia="en-GB"/>
        </w:rPr>
        <w:t xml:space="preserve"> [ALT], aspart</w:t>
      </w:r>
      <w:r w:rsidR="00550F8D" w:rsidRPr="00044184">
        <w:rPr>
          <w:szCs w:val="22"/>
          <w:lang w:val="sk-SK" w:eastAsia="en-GB"/>
        </w:rPr>
        <w:t>á</w:t>
      </w:r>
      <w:r w:rsidRPr="00044184">
        <w:rPr>
          <w:szCs w:val="22"/>
          <w:lang w:val="sk-SK" w:eastAsia="en-GB"/>
        </w:rPr>
        <w:t>taminotransfer</w:t>
      </w:r>
      <w:r w:rsidR="00550F8D" w:rsidRPr="00044184">
        <w:rPr>
          <w:szCs w:val="22"/>
          <w:lang w:val="sk-SK" w:eastAsia="en-GB"/>
        </w:rPr>
        <w:t xml:space="preserve">ázy </w:t>
      </w:r>
      <w:r w:rsidRPr="00044184">
        <w:rPr>
          <w:szCs w:val="22"/>
          <w:lang w:val="sk-SK" w:eastAsia="en-GB"/>
        </w:rPr>
        <w:t>[AST] a bilirub</w:t>
      </w:r>
      <w:r w:rsidR="00550F8D" w:rsidRPr="00044184">
        <w:rPr>
          <w:szCs w:val="22"/>
          <w:lang w:val="sk-SK" w:eastAsia="en-GB"/>
        </w:rPr>
        <w:t>í</w:t>
      </w:r>
      <w:r w:rsidRPr="00044184">
        <w:rPr>
          <w:szCs w:val="22"/>
          <w:lang w:val="sk-SK" w:eastAsia="en-GB"/>
        </w:rPr>
        <w:t>n</w:t>
      </w:r>
      <w:r w:rsidR="00550F8D" w:rsidRPr="00044184">
        <w:rPr>
          <w:szCs w:val="22"/>
          <w:lang w:val="sk-SK" w:eastAsia="en-GB"/>
        </w:rPr>
        <w:t>u</w:t>
      </w:r>
      <w:r w:rsidRPr="00044184">
        <w:rPr>
          <w:szCs w:val="22"/>
          <w:lang w:val="sk-SK" w:eastAsia="en-GB"/>
        </w:rPr>
        <w:t xml:space="preserve">. </w:t>
      </w:r>
      <w:r w:rsidR="00550F8D" w:rsidRPr="00044184">
        <w:rPr>
          <w:szCs w:val="22"/>
          <w:lang w:val="sk-SK" w:eastAsia="en-GB"/>
        </w:rPr>
        <w:t xml:space="preserve">Ich výskyt bol veľmi častý v klinickej štúdii </w:t>
      </w:r>
      <w:r w:rsidRPr="00044184">
        <w:rPr>
          <w:szCs w:val="22"/>
          <w:lang w:val="sk-SK" w:eastAsia="en-GB"/>
        </w:rPr>
        <w:t>PA.3 a</w:t>
      </w:r>
      <w:r w:rsidR="00550F8D" w:rsidRPr="00044184">
        <w:rPr>
          <w:szCs w:val="22"/>
          <w:lang w:val="sk-SK" w:eastAsia="en-GB"/>
        </w:rPr>
        <w:t> častý v klinickej štúdii BR.21. Vo</w:t>
      </w:r>
      <w:r w:rsidR="007D72E5">
        <w:rPr>
          <w:szCs w:val="22"/>
          <w:lang w:val="sk-SK" w:eastAsia="en-GB"/>
        </w:rPr>
        <w:t> </w:t>
      </w:r>
      <w:r w:rsidR="00550F8D" w:rsidRPr="00044184">
        <w:rPr>
          <w:szCs w:val="22"/>
          <w:lang w:val="sk-SK" w:eastAsia="en-GB"/>
        </w:rPr>
        <w:t xml:space="preserve">väčšine prípadov boli mierne až stredne </w:t>
      </w:r>
      <w:r w:rsidR="007D72E5">
        <w:rPr>
          <w:szCs w:val="22"/>
          <w:lang w:val="sk-SK" w:eastAsia="en-GB"/>
        </w:rPr>
        <w:t>závažné</w:t>
      </w:r>
      <w:r w:rsidR="00550F8D" w:rsidRPr="00044184">
        <w:rPr>
          <w:szCs w:val="22"/>
          <w:lang w:val="sk-SK" w:eastAsia="en-GB"/>
        </w:rPr>
        <w:t>, mali prechodný charakter alebo súviseli s pečeňovými metastázami</w:t>
      </w:r>
      <w:r w:rsidRPr="00044184">
        <w:rPr>
          <w:szCs w:val="22"/>
          <w:lang w:val="sk-SK" w:eastAsia="en-GB"/>
        </w:rPr>
        <w:t>.</w:t>
      </w:r>
    </w:p>
    <w:p w:rsidR="00A306EE" w:rsidRPr="003E6DB2" w:rsidRDefault="00A306EE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vertAlign w:val="superscript"/>
          <w:lang w:val="sk-SK" w:eastAsia="en-GB"/>
        </w:rPr>
        <w:t>6</w:t>
      </w:r>
      <w:r w:rsidRPr="00044184">
        <w:rPr>
          <w:szCs w:val="22"/>
          <w:lang w:val="sk-SK" w:eastAsia="en-GB"/>
        </w:rPr>
        <w:t xml:space="preserve"> </w:t>
      </w:r>
      <w:r w:rsidR="00550F8D" w:rsidRPr="00044184">
        <w:rPr>
          <w:szCs w:val="22"/>
          <w:lang w:val="sk-SK" w:eastAsia="en-GB"/>
        </w:rPr>
        <w:t>Vrátane smrteľných prípadov</w:t>
      </w:r>
      <w:r w:rsidRPr="00044184">
        <w:rPr>
          <w:szCs w:val="22"/>
          <w:lang w:val="sk-SK" w:eastAsia="en-GB"/>
        </w:rPr>
        <w:t>.</w:t>
      </w:r>
      <w:r w:rsidR="00550F8D" w:rsidRPr="00044184">
        <w:rPr>
          <w:szCs w:val="22"/>
          <w:lang w:val="sk-SK"/>
        </w:rPr>
        <w:t xml:space="preserve"> </w:t>
      </w:r>
      <w:r w:rsidR="00550F8D" w:rsidRPr="00044184">
        <w:rPr>
          <w:szCs w:val="22"/>
          <w:lang w:val="sk-SK" w:eastAsia="en-GB"/>
        </w:rPr>
        <w:t xml:space="preserve">Faktory sťažujúce posúdenie zahŕňali už existujúce ochorenie pečene </w:t>
      </w:r>
      <w:r w:rsidR="00550F8D" w:rsidRPr="003E6DB2">
        <w:rPr>
          <w:szCs w:val="22"/>
          <w:lang w:val="sk-SK" w:eastAsia="en-GB"/>
        </w:rPr>
        <w:t>alebo súbežn</w:t>
      </w:r>
      <w:r w:rsidR="003C17B7" w:rsidRPr="003E6DB2">
        <w:rPr>
          <w:szCs w:val="22"/>
          <w:lang w:val="sk-SK" w:eastAsia="en-GB"/>
        </w:rPr>
        <w:t>é</w:t>
      </w:r>
      <w:r w:rsidR="00550F8D" w:rsidRPr="003E6DB2">
        <w:rPr>
          <w:szCs w:val="22"/>
          <w:lang w:val="sk-SK" w:eastAsia="en-GB"/>
        </w:rPr>
        <w:t xml:space="preserve"> podávan</w:t>
      </w:r>
      <w:r w:rsidR="003C17B7" w:rsidRPr="003E6DB2">
        <w:rPr>
          <w:szCs w:val="22"/>
          <w:lang w:val="sk-SK" w:eastAsia="en-GB"/>
        </w:rPr>
        <w:t>ie</w:t>
      </w:r>
      <w:r w:rsidR="00550F8D" w:rsidRPr="003E6DB2">
        <w:rPr>
          <w:szCs w:val="22"/>
          <w:lang w:val="sk-SK" w:eastAsia="en-GB"/>
        </w:rPr>
        <w:t xml:space="preserve"> hepatotoxick</w:t>
      </w:r>
      <w:r w:rsidR="003C17B7" w:rsidRPr="003E6DB2">
        <w:rPr>
          <w:szCs w:val="22"/>
          <w:lang w:val="sk-SK" w:eastAsia="en-GB"/>
        </w:rPr>
        <w:t>ých</w:t>
      </w:r>
      <w:r w:rsidR="00550F8D" w:rsidRPr="003E6DB2">
        <w:rPr>
          <w:szCs w:val="22"/>
          <w:lang w:val="sk-SK" w:eastAsia="en-GB"/>
        </w:rPr>
        <w:t xml:space="preserve"> liek</w:t>
      </w:r>
      <w:r w:rsidR="003C17B7" w:rsidRPr="003E6DB2">
        <w:rPr>
          <w:szCs w:val="22"/>
          <w:lang w:val="sk-SK" w:eastAsia="en-GB"/>
        </w:rPr>
        <w:t>ov</w:t>
      </w:r>
      <w:r w:rsidRPr="003E6DB2">
        <w:rPr>
          <w:szCs w:val="22"/>
          <w:lang w:val="sk-SK" w:eastAsia="en-GB"/>
        </w:rPr>
        <w:t xml:space="preserve"> (</w:t>
      </w:r>
      <w:r w:rsidR="00550F8D" w:rsidRPr="003E6DB2">
        <w:rPr>
          <w:szCs w:val="22"/>
          <w:lang w:val="sk-SK" w:eastAsia="en-GB"/>
        </w:rPr>
        <w:t>pozri časť </w:t>
      </w:r>
      <w:r w:rsidRPr="003E6DB2">
        <w:rPr>
          <w:szCs w:val="22"/>
          <w:lang w:val="sk-SK" w:eastAsia="en-GB"/>
        </w:rPr>
        <w:t>4.4).</w:t>
      </w:r>
    </w:p>
    <w:p w:rsidR="000E232D" w:rsidRPr="003E6DB2" w:rsidRDefault="00A306EE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3E6DB2">
        <w:rPr>
          <w:szCs w:val="22"/>
          <w:vertAlign w:val="superscript"/>
          <w:lang w:val="sk-SK" w:eastAsia="en-GB"/>
        </w:rPr>
        <w:t>7</w:t>
      </w:r>
      <w:r w:rsidRPr="003E6DB2">
        <w:rPr>
          <w:szCs w:val="22"/>
          <w:lang w:val="sk-SK" w:eastAsia="en-GB"/>
        </w:rPr>
        <w:t xml:space="preserve"> </w:t>
      </w:r>
      <w:r w:rsidR="00F92D5C" w:rsidRPr="003E6DB2">
        <w:rPr>
          <w:szCs w:val="22"/>
          <w:lang w:val="sk-SK" w:eastAsia="en-GB"/>
        </w:rPr>
        <w:t xml:space="preserve">Vrátane smrteľných prípadov </w:t>
      </w:r>
      <w:r w:rsidRPr="003E6DB2">
        <w:rPr>
          <w:szCs w:val="22"/>
          <w:lang w:val="sk-SK" w:eastAsia="en-GB"/>
        </w:rPr>
        <w:t>(</w:t>
      </w:r>
      <w:r w:rsidR="00F92D5C" w:rsidRPr="003E6DB2">
        <w:rPr>
          <w:szCs w:val="22"/>
          <w:lang w:val="sk-SK" w:eastAsia="en-GB"/>
        </w:rPr>
        <w:t>pozri časť </w:t>
      </w:r>
      <w:r w:rsidRPr="003E6DB2">
        <w:rPr>
          <w:szCs w:val="22"/>
          <w:lang w:val="sk-SK" w:eastAsia="en-GB"/>
        </w:rPr>
        <w:t>4.4).</w:t>
      </w:r>
    </w:p>
    <w:p w:rsidR="000E232D" w:rsidRPr="003E6DB2" w:rsidRDefault="000E232D" w:rsidP="00695459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:rsidR="003E6DB2" w:rsidRPr="003E6DB2" w:rsidRDefault="003E6DB2" w:rsidP="003E6DB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u w:val="single"/>
          <w:lang w:val="sk-SK"/>
        </w:rPr>
      </w:pPr>
      <w:r w:rsidRPr="003E6DB2">
        <w:rPr>
          <w:u w:val="single"/>
          <w:lang w:val="sk-SK"/>
        </w:rPr>
        <w:t>Hlásenie podozrení na nežiaduce reakcie</w:t>
      </w:r>
    </w:p>
    <w:p w:rsidR="003E6DB2" w:rsidRDefault="003E6DB2" w:rsidP="003E6D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</w:rPr>
      </w:pPr>
      <w:r w:rsidRPr="003E6DB2">
        <w:rPr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3E6DB2">
        <w:rPr>
          <w:shd w:val="clear" w:color="auto" w:fill="C0C0C0"/>
          <w:lang w:val="sk-SK"/>
        </w:rPr>
        <w:t>národné centrum hlásenia uvedené v </w:t>
      </w:r>
      <w:hyperlink r:id="rId7" w:history="1">
        <w:r w:rsidRPr="003E6DB2">
          <w:rPr>
            <w:rStyle w:val="Hypertextovprepojenie"/>
            <w:shd w:val="clear" w:color="auto" w:fill="C0C0C0"/>
            <w:lang w:val="sk-SK"/>
          </w:rPr>
          <w:t>Prílohe V</w:t>
        </w:r>
      </w:hyperlink>
      <w:r>
        <w:rPr>
          <w:rStyle w:val="Hypertextovprepojenie"/>
        </w:rPr>
        <w:t>.</w:t>
      </w:r>
    </w:p>
    <w:p w:rsidR="00F00876" w:rsidRPr="00044184" w:rsidRDefault="00F00876" w:rsidP="00695459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  <w:r w:rsidRPr="00044184">
        <w:rPr>
          <w:b/>
          <w:szCs w:val="22"/>
          <w:lang w:val="sk-SK"/>
        </w:rPr>
        <w:t>4.9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bCs/>
          <w:szCs w:val="22"/>
          <w:lang w:val="sk-SK" w:eastAsia="en-GB"/>
        </w:rPr>
        <w:t>Predávkovanie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0F001D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Príznaky</w:t>
      </w:r>
    </w:p>
    <w:p w:rsidR="000F001D" w:rsidRPr="00044184" w:rsidRDefault="00F92D5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Jednorazové perorálne dávky </w:t>
      </w:r>
      <w:r w:rsidR="008456D6" w:rsidRPr="00044184">
        <w:rPr>
          <w:szCs w:val="22"/>
          <w:lang w:val="sk-SK" w:eastAsia="en-GB"/>
        </w:rPr>
        <w:t>E</w:t>
      </w:r>
      <w:r w:rsidR="000F001D" w:rsidRPr="00044184">
        <w:rPr>
          <w:szCs w:val="22"/>
          <w:lang w:val="sk-SK" w:eastAsia="en-GB"/>
        </w:rPr>
        <w:t>rlotinib</w:t>
      </w:r>
      <w:r w:rsidRPr="00044184">
        <w:rPr>
          <w:szCs w:val="22"/>
          <w:lang w:val="sk-SK" w:eastAsia="en-GB"/>
        </w:rPr>
        <w:t xml:space="preserve">u </w:t>
      </w:r>
      <w:r w:rsidR="008456D6" w:rsidRPr="00044184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 xml:space="preserve">do </w:t>
      </w:r>
      <w:r w:rsidR="000F001D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0F001D" w:rsidRPr="00044184">
        <w:rPr>
          <w:szCs w:val="22"/>
          <w:lang w:val="sk-SK" w:eastAsia="en-GB"/>
        </w:rPr>
        <w:t>000</w:t>
      </w:r>
      <w:r w:rsidRPr="00044184">
        <w:rPr>
          <w:szCs w:val="22"/>
          <w:lang w:val="sk-SK" w:eastAsia="en-GB"/>
        </w:rPr>
        <w:t> </w:t>
      </w:r>
      <w:r w:rsidR="000F001D" w:rsidRPr="00044184">
        <w:rPr>
          <w:szCs w:val="22"/>
          <w:lang w:val="sk-SK" w:eastAsia="en-GB"/>
        </w:rPr>
        <w:t xml:space="preserve">mg </w:t>
      </w:r>
      <w:r w:rsidR="00F91613" w:rsidRPr="00044184">
        <w:rPr>
          <w:szCs w:val="22"/>
          <w:lang w:val="sk-SK" w:eastAsia="en-GB"/>
        </w:rPr>
        <w:t xml:space="preserve">podané zdravým </w:t>
      </w:r>
      <w:r w:rsidR="00001D2E">
        <w:rPr>
          <w:szCs w:val="22"/>
          <w:lang w:val="sk-SK" w:eastAsia="en-GB"/>
        </w:rPr>
        <w:t xml:space="preserve">jedincom </w:t>
      </w:r>
      <w:r w:rsidR="00F91613" w:rsidRPr="00044184">
        <w:rPr>
          <w:szCs w:val="22"/>
          <w:lang w:val="sk-SK" w:eastAsia="en-GB"/>
        </w:rPr>
        <w:t>a</w:t>
      </w:r>
      <w:r w:rsidR="00324A71">
        <w:rPr>
          <w:szCs w:val="22"/>
          <w:lang w:val="sk-SK" w:eastAsia="en-GB"/>
        </w:rPr>
        <w:t> </w:t>
      </w:r>
      <w:r w:rsidR="00F91613" w:rsidRPr="00044184">
        <w:rPr>
          <w:szCs w:val="22"/>
          <w:lang w:val="sk-SK" w:eastAsia="en-GB"/>
        </w:rPr>
        <w:t>do</w:t>
      </w:r>
      <w:r w:rsidR="00324A71">
        <w:rPr>
          <w:szCs w:val="22"/>
          <w:lang w:val="sk-SK" w:eastAsia="en-GB"/>
        </w:rPr>
        <w:t> </w:t>
      </w:r>
      <w:r w:rsidR="000F001D" w:rsidRPr="00044184">
        <w:rPr>
          <w:szCs w:val="22"/>
          <w:lang w:val="sk-SK" w:eastAsia="en-GB"/>
        </w:rPr>
        <w:t>1</w:t>
      </w:r>
      <w:r w:rsidR="00F91613" w:rsidRPr="00044184">
        <w:rPr>
          <w:szCs w:val="22"/>
          <w:lang w:val="sk-SK" w:eastAsia="en-GB"/>
        </w:rPr>
        <w:t> </w:t>
      </w:r>
      <w:r w:rsidR="000F001D" w:rsidRPr="00044184">
        <w:rPr>
          <w:szCs w:val="22"/>
          <w:lang w:val="sk-SK" w:eastAsia="en-GB"/>
        </w:rPr>
        <w:t>600</w:t>
      </w:r>
      <w:r w:rsidR="00F91613" w:rsidRPr="00044184">
        <w:rPr>
          <w:szCs w:val="22"/>
          <w:lang w:val="sk-SK" w:eastAsia="en-GB"/>
        </w:rPr>
        <w:t> </w:t>
      </w:r>
      <w:r w:rsidR="000F001D" w:rsidRPr="00044184">
        <w:rPr>
          <w:szCs w:val="22"/>
          <w:lang w:val="sk-SK" w:eastAsia="en-GB"/>
        </w:rPr>
        <w:t xml:space="preserve">mg </w:t>
      </w:r>
      <w:r w:rsidR="00F91613" w:rsidRPr="00044184">
        <w:rPr>
          <w:szCs w:val="22"/>
          <w:lang w:val="sk-SK" w:eastAsia="en-GB"/>
        </w:rPr>
        <w:t xml:space="preserve">podané </w:t>
      </w:r>
      <w:r w:rsidR="00847353" w:rsidRPr="00044184">
        <w:rPr>
          <w:szCs w:val="22"/>
          <w:lang w:val="sk-SK" w:eastAsia="en-GB"/>
        </w:rPr>
        <w:t xml:space="preserve">onkologickým </w:t>
      </w:r>
      <w:r w:rsidR="00F91613" w:rsidRPr="00044184">
        <w:rPr>
          <w:szCs w:val="22"/>
          <w:lang w:val="sk-SK" w:eastAsia="en-GB"/>
        </w:rPr>
        <w:t>pacientom boli dobre znášané</w:t>
      </w:r>
      <w:r w:rsidR="000F001D" w:rsidRPr="00044184">
        <w:rPr>
          <w:szCs w:val="22"/>
          <w:lang w:val="sk-SK" w:eastAsia="en-GB"/>
        </w:rPr>
        <w:t xml:space="preserve">. </w:t>
      </w:r>
      <w:r w:rsidR="00F91613" w:rsidRPr="00044184">
        <w:rPr>
          <w:szCs w:val="22"/>
          <w:lang w:val="sk-SK" w:eastAsia="en-GB"/>
        </w:rPr>
        <w:t xml:space="preserve">Opakované podávanie 200 mg dávky dvakrát denne bolo u zdravých </w:t>
      </w:r>
      <w:r w:rsidR="00324A71">
        <w:rPr>
          <w:szCs w:val="22"/>
          <w:lang w:val="sk-SK" w:eastAsia="en-GB"/>
        </w:rPr>
        <w:t>jedincov</w:t>
      </w:r>
      <w:r w:rsidR="00F91613" w:rsidRPr="00044184">
        <w:rPr>
          <w:szCs w:val="22"/>
          <w:lang w:val="sk-SK" w:eastAsia="en-GB"/>
        </w:rPr>
        <w:t xml:space="preserve"> zle znášané po niekoľkých dňoch podávania</w:t>
      </w:r>
      <w:r w:rsidR="000F001D" w:rsidRPr="00044184">
        <w:rPr>
          <w:szCs w:val="22"/>
          <w:lang w:val="sk-SK" w:eastAsia="en-GB"/>
        </w:rPr>
        <w:t xml:space="preserve">. </w:t>
      </w:r>
      <w:r w:rsidR="00F91613" w:rsidRPr="00044184">
        <w:rPr>
          <w:szCs w:val="22"/>
          <w:lang w:val="sk-SK" w:eastAsia="en-GB"/>
        </w:rPr>
        <w:t>Na</w:t>
      </w:r>
      <w:r w:rsidR="00324A71">
        <w:rPr>
          <w:szCs w:val="22"/>
          <w:lang w:val="sk-SK" w:eastAsia="en-GB"/>
        </w:rPr>
        <w:t> </w:t>
      </w:r>
      <w:r w:rsidR="00F91613" w:rsidRPr="00044184">
        <w:rPr>
          <w:szCs w:val="22"/>
          <w:lang w:val="sk-SK" w:eastAsia="en-GB"/>
        </w:rPr>
        <w:t>základe údajov z týchto štúdií sa p</w:t>
      </w:r>
      <w:r w:rsidR="007C1157" w:rsidRPr="00044184">
        <w:rPr>
          <w:szCs w:val="22"/>
          <w:lang w:val="sk-SK" w:eastAsia="en-GB"/>
        </w:rPr>
        <w:t>ri</w:t>
      </w:r>
      <w:r w:rsidR="00F91613" w:rsidRPr="00044184">
        <w:rPr>
          <w:szCs w:val="22"/>
          <w:lang w:val="sk-SK" w:eastAsia="en-GB"/>
        </w:rPr>
        <w:t xml:space="preserve"> podávaní dávky vyššej ako je odporúčaná dávka môžu vyskytnúť závažné nežiaduce reakcie, akými sú hnačka, vyrážka a pravdepodobne aj zvýšená aktivita pečeňových </w:t>
      </w:r>
      <w:r w:rsidR="000F001D" w:rsidRPr="00044184">
        <w:rPr>
          <w:szCs w:val="22"/>
          <w:lang w:val="sk-SK" w:eastAsia="en-GB"/>
        </w:rPr>
        <w:t>aminotransfer</w:t>
      </w:r>
      <w:r w:rsidR="00F91613" w:rsidRPr="00044184">
        <w:rPr>
          <w:szCs w:val="22"/>
          <w:lang w:val="sk-SK" w:eastAsia="en-GB"/>
        </w:rPr>
        <w:t>áz</w:t>
      </w:r>
      <w:r w:rsidR="000F001D" w:rsidRPr="00044184">
        <w:rPr>
          <w:szCs w:val="22"/>
          <w:lang w:val="sk-SK" w:eastAsia="en-GB"/>
        </w:rPr>
        <w:t>.</w:t>
      </w:r>
    </w:p>
    <w:p w:rsidR="000F001D" w:rsidRPr="00044184" w:rsidRDefault="000F001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F001D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Liečba</w:t>
      </w:r>
    </w:p>
    <w:p w:rsidR="002826DD" w:rsidRPr="00044184" w:rsidRDefault="00F92D5C" w:rsidP="00695459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044184">
        <w:rPr>
          <w:szCs w:val="22"/>
          <w:lang w:val="sk-SK" w:eastAsia="en-GB"/>
        </w:rPr>
        <w:t xml:space="preserve">V prípade podozrenia na predávkovanie sa má liečba </w:t>
      </w:r>
      <w:r w:rsidR="008456D6" w:rsidRPr="00044184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 xml:space="preserve">rlotinibom </w:t>
      </w:r>
      <w:r w:rsidR="008456D6" w:rsidRPr="00044184">
        <w:rPr>
          <w:szCs w:val="22"/>
          <w:lang w:val="sk-SK" w:eastAsia="en-GB"/>
        </w:rPr>
        <w:t xml:space="preserve">STADA </w:t>
      </w:r>
      <w:r w:rsidRPr="00044184">
        <w:rPr>
          <w:szCs w:val="22"/>
          <w:lang w:val="sk-SK" w:eastAsia="en-GB"/>
        </w:rPr>
        <w:t>pozastaviť a začať symptomatická liečba</w:t>
      </w:r>
      <w:r w:rsidR="000F001D" w:rsidRPr="00044184">
        <w:rPr>
          <w:szCs w:val="22"/>
          <w:lang w:val="sk-SK" w:eastAsia="en-GB"/>
        </w:rPr>
        <w:t>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AF3342" w:rsidRPr="00044184" w:rsidRDefault="00AF3342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5.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FARMAKOLOGICKÉ VLASTNOSTI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5.1</w:t>
      </w:r>
      <w:r w:rsidRPr="00044184">
        <w:rPr>
          <w:b/>
          <w:szCs w:val="22"/>
          <w:lang w:val="sk-SK"/>
        </w:rPr>
        <w:tab/>
      </w:r>
      <w:r w:rsidR="006B10E9" w:rsidRPr="00044184">
        <w:rPr>
          <w:b/>
          <w:szCs w:val="22"/>
          <w:lang w:val="sk-SK"/>
        </w:rPr>
        <w:t>Farmakodynamické vlastnosti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777769" w:rsidRPr="00044184" w:rsidRDefault="006B10E9" w:rsidP="00695459">
      <w:pPr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/>
        </w:rPr>
        <w:t>Farmakoterapeutická skupina</w:t>
      </w:r>
      <w:r w:rsidR="001D29E6" w:rsidRPr="00044184">
        <w:rPr>
          <w:szCs w:val="22"/>
          <w:lang w:val="sk-SK"/>
        </w:rPr>
        <w:t xml:space="preserve">: </w:t>
      </w:r>
      <w:r w:rsidR="002A7842" w:rsidRPr="00044184">
        <w:rPr>
          <w:szCs w:val="22"/>
          <w:lang w:val="sk-SK"/>
        </w:rPr>
        <w:t>cytostatik</w:t>
      </w:r>
      <w:r w:rsidR="008456D6" w:rsidRPr="00044184">
        <w:rPr>
          <w:szCs w:val="22"/>
          <w:lang w:val="sk-SK"/>
        </w:rPr>
        <w:t>á</w:t>
      </w:r>
      <w:r w:rsidR="002A7842" w:rsidRPr="00044184">
        <w:rPr>
          <w:szCs w:val="22"/>
          <w:lang w:val="sk-SK"/>
        </w:rPr>
        <w:t>, inhibítor</w:t>
      </w:r>
      <w:r w:rsidR="008456D6" w:rsidRPr="00044184">
        <w:rPr>
          <w:szCs w:val="22"/>
          <w:lang w:val="sk-SK"/>
        </w:rPr>
        <w:t>y</w:t>
      </w:r>
      <w:r w:rsidR="002A7842" w:rsidRPr="00044184">
        <w:rPr>
          <w:szCs w:val="22"/>
          <w:lang w:val="sk-SK"/>
        </w:rPr>
        <w:t xml:space="preserve"> proteínkinázy</w:t>
      </w:r>
      <w:r w:rsidR="000F001D" w:rsidRPr="00044184">
        <w:rPr>
          <w:szCs w:val="22"/>
          <w:lang w:val="sk-SK" w:eastAsia="en-GB"/>
        </w:rPr>
        <w:t xml:space="preserve">, ATC </w:t>
      </w:r>
      <w:r w:rsidRPr="00044184">
        <w:rPr>
          <w:szCs w:val="22"/>
          <w:lang w:val="sk-SK" w:eastAsia="en-GB"/>
        </w:rPr>
        <w:t>kó</w:t>
      </w:r>
      <w:r w:rsidR="000F001D" w:rsidRPr="00044184">
        <w:rPr>
          <w:szCs w:val="22"/>
          <w:lang w:val="sk-SK" w:eastAsia="en-GB"/>
        </w:rPr>
        <w:t>d: L01XE03</w:t>
      </w:r>
    </w:p>
    <w:p w:rsidR="000F001D" w:rsidRPr="00044184" w:rsidRDefault="000F001D" w:rsidP="00695459">
      <w:pPr>
        <w:spacing w:line="240" w:lineRule="auto"/>
        <w:rPr>
          <w:szCs w:val="22"/>
          <w:lang w:val="sk-SK"/>
        </w:rPr>
      </w:pPr>
    </w:p>
    <w:p w:rsidR="000F001D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Mechanizmus účinku</w:t>
      </w:r>
    </w:p>
    <w:p w:rsidR="00F91613" w:rsidRPr="00044184" w:rsidRDefault="000F001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Erlotinib </w:t>
      </w:r>
      <w:r w:rsidR="00F91613" w:rsidRPr="00044184">
        <w:rPr>
          <w:szCs w:val="22"/>
          <w:lang w:val="sk-SK" w:eastAsia="en-GB"/>
        </w:rPr>
        <w:t>je inhibítor tyrozínkinázy receptora pre epidermálny rastový faktor/receptora pre ľudský</w:t>
      </w:r>
    </w:p>
    <w:p w:rsidR="000F001D" w:rsidRPr="00044184" w:rsidRDefault="00F9161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epidermálny rastový faktor typu 1 (EGFR </w:t>
      </w:r>
      <w:r w:rsidR="007C1157" w:rsidRPr="00044184">
        <w:rPr>
          <w:szCs w:val="22"/>
          <w:lang w:val="sk-SK" w:eastAsia="en-GB"/>
        </w:rPr>
        <w:t xml:space="preserve">známy aj ako </w:t>
      </w:r>
      <w:r w:rsidRPr="00044184">
        <w:rPr>
          <w:szCs w:val="22"/>
          <w:lang w:val="sk-SK" w:eastAsia="en-GB"/>
        </w:rPr>
        <w:t>HER1</w:t>
      </w:r>
      <w:r w:rsidR="000F001D" w:rsidRPr="00044184">
        <w:rPr>
          <w:szCs w:val="22"/>
          <w:lang w:val="sk-SK" w:eastAsia="en-GB"/>
        </w:rPr>
        <w:t xml:space="preserve">). Erlotinib </w:t>
      </w:r>
      <w:r w:rsidR="00427BAE" w:rsidRPr="00044184">
        <w:rPr>
          <w:szCs w:val="22"/>
          <w:lang w:val="sk-SK" w:eastAsia="en-GB"/>
        </w:rPr>
        <w:t xml:space="preserve">vykazuje silnú inhibíciu intracelulárnej fosforylácie </w:t>
      </w:r>
      <w:r w:rsidR="000F001D" w:rsidRPr="00044184">
        <w:rPr>
          <w:szCs w:val="22"/>
          <w:lang w:val="sk-SK" w:eastAsia="en-GB"/>
        </w:rPr>
        <w:t xml:space="preserve">EGFR. EGFR </w:t>
      </w:r>
      <w:r w:rsidR="00427BAE" w:rsidRPr="00044184">
        <w:rPr>
          <w:szCs w:val="22"/>
          <w:lang w:val="sk-SK" w:eastAsia="en-GB"/>
        </w:rPr>
        <w:t>je exprimovaný na povrchu normálnych i nádorových buniek</w:t>
      </w:r>
      <w:r w:rsidR="000F001D" w:rsidRPr="00044184">
        <w:rPr>
          <w:szCs w:val="22"/>
          <w:lang w:val="sk-SK" w:eastAsia="en-GB"/>
        </w:rPr>
        <w:t xml:space="preserve">. </w:t>
      </w:r>
      <w:r w:rsidR="00E066F5" w:rsidRPr="00044184">
        <w:rPr>
          <w:szCs w:val="22"/>
          <w:lang w:val="sk-SK" w:eastAsia="en-GB"/>
        </w:rPr>
        <w:t>V </w:t>
      </w:r>
      <w:r w:rsidR="009450BC" w:rsidRPr="00044184">
        <w:rPr>
          <w:szCs w:val="22"/>
          <w:lang w:val="sk-SK" w:eastAsia="en-GB"/>
        </w:rPr>
        <w:t>pred</w:t>
      </w:r>
      <w:r w:rsidR="00E066F5" w:rsidRPr="00044184">
        <w:rPr>
          <w:szCs w:val="22"/>
          <w:lang w:val="sk-SK" w:eastAsia="en-GB"/>
        </w:rPr>
        <w:t>klinických modeloch vedie inhibícia fosfotyrozínu EGFR k zastaveniu vývoja buniek a/alebo k smrti buniek</w:t>
      </w:r>
      <w:r w:rsidR="000F001D" w:rsidRPr="00044184">
        <w:rPr>
          <w:szCs w:val="22"/>
          <w:lang w:val="sk-SK" w:eastAsia="en-GB"/>
        </w:rPr>
        <w:t>.</w:t>
      </w:r>
    </w:p>
    <w:p w:rsidR="000F001D" w:rsidRPr="00044184" w:rsidRDefault="000F001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1D29E6" w:rsidRPr="00044184" w:rsidRDefault="007E77D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Mutácie </w:t>
      </w:r>
      <w:r w:rsidR="000F001D" w:rsidRPr="00044184">
        <w:rPr>
          <w:szCs w:val="22"/>
          <w:lang w:val="sk-SK" w:eastAsia="en-GB"/>
        </w:rPr>
        <w:t xml:space="preserve">EGFR </w:t>
      </w:r>
      <w:r w:rsidR="00237C88" w:rsidRPr="00044184">
        <w:rPr>
          <w:szCs w:val="22"/>
          <w:lang w:val="sk-SK" w:eastAsia="en-GB"/>
        </w:rPr>
        <w:t>môžu viesť ku konštitučnej aktivácii signálnych dráh antiapoptózy a proliferácie</w:t>
      </w:r>
      <w:r w:rsidR="000F001D" w:rsidRPr="00044184">
        <w:rPr>
          <w:szCs w:val="22"/>
          <w:lang w:val="sk-SK" w:eastAsia="en-GB"/>
        </w:rPr>
        <w:t xml:space="preserve">. </w:t>
      </w:r>
      <w:r w:rsidR="002659F7" w:rsidRPr="00044184">
        <w:rPr>
          <w:szCs w:val="22"/>
          <w:lang w:val="sk-SK" w:eastAsia="en-GB"/>
        </w:rPr>
        <w:t xml:space="preserve">Vysoká účinnosť </w:t>
      </w:r>
      <w:r w:rsidR="000F001D" w:rsidRPr="00044184">
        <w:rPr>
          <w:szCs w:val="22"/>
          <w:lang w:val="sk-SK" w:eastAsia="en-GB"/>
        </w:rPr>
        <w:t>erlotinib</w:t>
      </w:r>
      <w:r w:rsidR="002659F7" w:rsidRPr="00044184">
        <w:rPr>
          <w:szCs w:val="22"/>
          <w:lang w:val="sk-SK" w:eastAsia="en-GB"/>
        </w:rPr>
        <w:t xml:space="preserve">u pri blokovaní signalizácie sprostredkovanej </w:t>
      </w:r>
      <w:r w:rsidR="000F001D" w:rsidRPr="00044184">
        <w:rPr>
          <w:szCs w:val="22"/>
          <w:lang w:val="sk-SK" w:eastAsia="en-GB"/>
        </w:rPr>
        <w:t>EGFR</w:t>
      </w:r>
      <w:r w:rsidR="002659F7" w:rsidRPr="00044184">
        <w:rPr>
          <w:szCs w:val="22"/>
          <w:lang w:val="sk-SK" w:eastAsia="en-GB"/>
        </w:rPr>
        <w:t> </w:t>
      </w:r>
      <w:r w:rsidR="00F65311" w:rsidRPr="00044184">
        <w:rPr>
          <w:szCs w:val="22"/>
          <w:lang w:val="sk-SK" w:eastAsia="en-GB"/>
        </w:rPr>
        <w:t>pri</w:t>
      </w:r>
      <w:r w:rsidR="002659F7" w:rsidRPr="00044184">
        <w:rPr>
          <w:szCs w:val="22"/>
          <w:lang w:val="sk-SK" w:eastAsia="en-GB"/>
        </w:rPr>
        <w:t xml:space="preserve"> nádoroch s pozitivitou mutácií EGFR sa prisudzuje </w:t>
      </w:r>
      <w:r w:rsidR="00AE2522" w:rsidRPr="00044184">
        <w:rPr>
          <w:szCs w:val="22"/>
          <w:lang w:val="sk-SK" w:eastAsia="en-GB"/>
        </w:rPr>
        <w:t xml:space="preserve">pevnému naviazaniu sa </w:t>
      </w:r>
      <w:r w:rsidR="00F65311" w:rsidRPr="00044184">
        <w:rPr>
          <w:szCs w:val="22"/>
          <w:lang w:val="sk-SK" w:eastAsia="en-GB"/>
        </w:rPr>
        <w:t xml:space="preserve">erlotinibu </w:t>
      </w:r>
      <w:r w:rsidR="00AE2522" w:rsidRPr="00044184">
        <w:rPr>
          <w:szCs w:val="22"/>
          <w:lang w:val="sk-SK" w:eastAsia="en-GB"/>
        </w:rPr>
        <w:t>do väzbového miesta pre ATP v</w:t>
      </w:r>
      <w:r w:rsidR="000D1374" w:rsidRPr="00044184">
        <w:rPr>
          <w:szCs w:val="22"/>
          <w:lang w:val="sk-SK" w:eastAsia="en-GB"/>
        </w:rPr>
        <w:t xml:space="preserve"> mutovanej kinázovej doméne </w:t>
      </w:r>
      <w:r w:rsidR="000F001D" w:rsidRPr="00044184">
        <w:rPr>
          <w:szCs w:val="22"/>
          <w:lang w:val="sk-SK" w:eastAsia="en-GB"/>
        </w:rPr>
        <w:t xml:space="preserve">EGFR. </w:t>
      </w:r>
      <w:r w:rsidR="00200FA6" w:rsidRPr="00044184">
        <w:rPr>
          <w:szCs w:val="22"/>
          <w:lang w:val="sk-SK" w:eastAsia="en-GB"/>
        </w:rPr>
        <w:t xml:space="preserve">Dôsledkom </w:t>
      </w:r>
      <w:r w:rsidR="00730C64" w:rsidRPr="00044184">
        <w:rPr>
          <w:szCs w:val="22"/>
          <w:lang w:val="sk-SK" w:eastAsia="en-GB"/>
        </w:rPr>
        <w:t xml:space="preserve">blokovania downstreamovej signalizácie je </w:t>
      </w:r>
      <w:r w:rsidR="00200FA6" w:rsidRPr="00044184">
        <w:rPr>
          <w:szCs w:val="22"/>
          <w:lang w:val="sk-SK" w:eastAsia="en-GB"/>
        </w:rPr>
        <w:t>zastaven</w:t>
      </w:r>
      <w:r w:rsidR="00A65DFF" w:rsidRPr="00044184">
        <w:rPr>
          <w:szCs w:val="22"/>
          <w:lang w:val="sk-SK" w:eastAsia="en-GB"/>
        </w:rPr>
        <w:t>á</w:t>
      </w:r>
      <w:r w:rsidR="00200FA6" w:rsidRPr="00044184">
        <w:rPr>
          <w:szCs w:val="22"/>
          <w:lang w:val="sk-SK" w:eastAsia="en-GB"/>
        </w:rPr>
        <w:t xml:space="preserve"> </w:t>
      </w:r>
      <w:r w:rsidR="00730C64" w:rsidRPr="00044184">
        <w:rPr>
          <w:szCs w:val="22"/>
          <w:lang w:val="sk-SK" w:eastAsia="en-GB"/>
        </w:rPr>
        <w:t>proliferáci</w:t>
      </w:r>
      <w:r w:rsidR="00A65DFF" w:rsidRPr="00044184">
        <w:rPr>
          <w:szCs w:val="22"/>
          <w:lang w:val="sk-SK" w:eastAsia="en-GB"/>
        </w:rPr>
        <w:t>a</w:t>
      </w:r>
      <w:r w:rsidR="00730C64" w:rsidRPr="00044184">
        <w:rPr>
          <w:szCs w:val="22"/>
          <w:lang w:val="sk-SK" w:eastAsia="en-GB"/>
        </w:rPr>
        <w:t xml:space="preserve"> buniek </w:t>
      </w:r>
      <w:r w:rsidR="00200FA6" w:rsidRPr="00044184">
        <w:rPr>
          <w:szCs w:val="22"/>
          <w:lang w:val="sk-SK" w:eastAsia="en-GB"/>
        </w:rPr>
        <w:t>a</w:t>
      </w:r>
      <w:r w:rsidR="00A65DFF" w:rsidRPr="00044184">
        <w:rPr>
          <w:szCs w:val="22"/>
          <w:lang w:val="sk-SK" w:eastAsia="en-GB"/>
        </w:rPr>
        <w:t xml:space="preserve"> je </w:t>
      </w:r>
      <w:r w:rsidR="00200FA6" w:rsidRPr="00044184">
        <w:rPr>
          <w:szCs w:val="22"/>
          <w:lang w:val="sk-SK" w:eastAsia="en-GB"/>
        </w:rPr>
        <w:t>induk</w:t>
      </w:r>
      <w:r w:rsidR="00A65DFF" w:rsidRPr="00044184">
        <w:rPr>
          <w:szCs w:val="22"/>
          <w:lang w:val="sk-SK" w:eastAsia="en-GB"/>
        </w:rPr>
        <w:t>ovaná</w:t>
      </w:r>
      <w:r w:rsidR="00200FA6" w:rsidRPr="00044184">
        <w:rPr>
          <w:szCs w:val="22"/>
          <w:lang w:val="sk-SK" w:eastAsia="en-GB"/>
        </w:rPr>
        <w:t xml:space="preserve"> smr</w:t>
      </w:r>
      <w:r w:rsidR="00A65DFF" w:rsidRPr="00044184">
        <w:rPr>
          <w:szCs w:val="22"/>
          <w:lang w:val="sk-SK" w:eastAsia="en-GB"/>
        </w:rPr>
        <w:t>ť bunky</w:t>
      </w:r>
      <w:r w:rsidR="00200FA6" w:rsidRPr="00044184">
        <w:rPr>
          <w:szCs w:val="22"/>
          <w:lang w:val="sk-SK" w:eastAsia="en-GB"/>
        </w:rPr>
        <w:t xml:space="preserve"> prostredníctvom </w:t>
      </w:r>
      <w:r w:rsidR="00F93EDD" w:rsidRPr="00044184">
        <w:rPr>
          <w:szCs w:val="22"/>
          <w:lang w:val="sk-SK" w:eastAsia="en-GB"/>
        </w:rPr>
        <w:t>vnútornej dráhy apoptózy</w:t>
      </w:r>
      <w:r w:rsidR="000F001D" w:rsidRPr="00044184">
        <w:rPr>
          <w:szCs w:val="22"/>
          <w:lang w:val="sk-SK" w:eastAsia="en-GB"/>
        </w:rPr>
        <w:t xml:space="preserve">. </w:t>
      </w:r>
      <w:r w:rsidR="00C07516" w:rsidRPr="00044184">
        <w:rPr>
          <w:szCs w:val="22"/>
          <w:lang w:val="sk-SK" w:eastAsia="en-GB"/>
        </w:rPr>
        <w:t>V myších modeloch vynútenej expresie aktivujúcich mutácií EGFR sa pozorovala regresia nádoru.</w:t>
      </w:r>
    </w:p>
    <w:p w:rsidR="000F001D" w:rsidRPr="00044184" w:rsidRDefault="000F001D" w:rsidP="00695459">
      <w:pPr>
        <w:spacing w:line="240" w:lineRule="auto"/>
        <w:rPr>
          <w:szCs w:val="22"/>
          <w:lang w:val="sk-SK"/>
        </w:rPr>
      </w:pPr>
    </w:p>
    <w:p w:rsidR="00E63092" w:rsidRPr="00044184" w:rsidRDefault="006B10E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Klinická účinnosť</w:t>
      </w:r>
    </w:p>
    <w:p w:rsidR="00E63092" w:rsidRPr="00044184" w:rsidRDefault="00E6309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E63092" w:rsidRPr="00044184" w:rsidRDefault="00AF334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-</w:t>
      </w:r>
      <w:r w:rsidR="00A2047F" w:rsidRPr="00044184">
        <w:rPr>
          <w:szCs w:val="22"/>
          <w:u w:val="single"/>
          <w:lang w:val="sk-SK" w:eastAsia="en-GB"/>
        </w:rPr>
        <w:t xml:space="preserve"> Prvá línia liečby nemalobunkového karcinómu pľúc </w:t>
      </w:r>
      <w:r w:rsidR="00E63092" w:rsidRPr="00044184">
        <w:rPr>
          <w:szCs w:val="22"/>
          <w:u w:val="single"/>
          <w:lang w:val="sk-SK" w:eastAsia="en-GB"/>
        </w:rPr>
        <w:t xml:space="preserve">(NSCLC) </w:t>
      </w:r>
      <w:r w:rsidR="00A2047F" w:rsidRPr="00044184">
        <w:rPr>
          <w:szCs w:val="22"/>
          <w:u w:val="single"/>
          <w:lang w:val="sk-SK" w:eastAsia="en-GB"/>
        </w:rPr>
        <w:t xml:space="preserve">u pacientov s aktivujúcimi mutáciami </w:t>
      </w:r>
      <w:r w:rsidR="00E63092" w:rsidRPr="00044184">
        <w:rPr>
          <w:szCs w:val="22"/>
          <w:u w:val="single"/>
          <w:lang w:val="sk-SK" w:eastAsia="en-GB"/>
        </w:rPr>
        <w:t>EGFR (</w:t>
      </w:r>
      <w:r w:rsidR="00F35580">
        <w:rPr>
          <w:szCs w:val="22"/>
          <w:u w:val="single"/>
          <w:lang w:val="sk-SK" w:eastAsia="en-GB"/>
        </w:rPr>
        <w:t>E</w:t>
      </w:r>
      <w:r w:rsidR="00E63092" w:rsidRPr="00044184">
        <w:rPr>
          <w:szCs w:val="22"/>
          <w:u w:val="single"/>
          <w:lang w:val="sk-SK" w:eastAsia="en-GB"/>
        </w:rPr>
        <w:t xml:space="preserve">rlotinib </w:t>
      </w:r>
      <w:r w:rsidR="00F35580">
        <w:rPr>
          <w:szCs w:val="22"/>
          <w:u w:val="single"/>
          <w:lang w:val="sk-SK" w:eastAsia="en-GB"/>
        </w:rPr>
        <w:t xml:space="preserve">STADA </w:t>
      </w:r>
      <w:r w:rsidR="00A2047F" w:rsidRPr="00044184">
        <w:rPr>
          <w:szCs w:val="22"/>
          <w:u w:val="single"/>
          <w:lang w:val="sk-SK" w:eastAsia="en-GB"/>
        </w:rPr>
        <w:t>podávaný v monoterapii</w:t>
      </w:r>
      <w:r w:rsidR="00E63092" w:rsidRPr="00044184">
        <w:rPr>
          <w:szCs w:val="22"/>
          <w:u w:val="single"/>
          <w:lang w:val="sk-SK" w:eastAsia="en-GB"/>
        </w:rPr>
        <w:t>):</w:t>
      </w:r>
    </w:p>
    <w:p w:rsidR="00E63092" w:rsidRPr="00044184" w:rsidRDefault="00E6309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E63092" w:rsidRPr="00044184" w:rsidRDefault="00A2047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Účinnosť </w:t>
      </w:r>
      <w:r w:rsidR="00E63092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v prvej línii liečby pacientov s NSCLC s aktivujúcimi mutáciami</w:t>
      </w:r>
      <w:r w:rsidR="00E63092" w:rsidRPr="00044184">
        <w:rPr>
          <w:szCs w:val="22"/>
          <w:lang w:val="sk-SK" w:eastAsia="en-GB"/>
        </w:rPr>
        <w:t xml:space="preserve"> EGFR </w:t>
      </w:r>
      <w:r w:rsidRPr="00044184">
        <w:rPr>
          <w:szCs w:val="22"/>
          <w:lang w:val="sk-SK" w:eastAsia="en-GB"/>
        </w:rPr>
        <w:t xml:space="preserve">sa preukázala v otvorenom, randomizovanom klinickom skúšaní fázy III </w:t>
      </w:r>
      <w:r w:rsidR="00E63092" w:rsidRPr="00044184">
        <w:rPr>
          <w:szCs w:val="22"/>
          <w:lang w:val="sk-SK" w:eastAsia="en-GB"/>
        </w:rPr>
        <w:t>(ML20650, EURTAC). T</w:t>
      </w:r>
      <w:r w:rsidRPr="00044184">
        <w:rPr>
          <w:szCs w:val="22"/>
          <w:lang w:val="sk-SK" w:eastAsia="en-GB"/>
        </w:rPr>
        <w:t xml:space="preserve">áto štúdia sa uskutočnila u pacientov </w:t>
      </w:r>
      <w:r w:rsidR="00FB552F" w:rsidRPr="00044184">
        <w:rPr>
          <w:szCs w:val="22"/>
          <w:lang w:val="sk-SK" w:eastAsia="en-GB"/>
        </w:rPr>
        <w:t>bielej rasy</w:t>
      </w:r>
      <w:r w:rsidRPr="00044184">
        <w:rPr>
          <w:szCs w:val="22"/>
          <w:lang w:val="sk-SK" w:eastAsia="en-GB"/>
        </w:rPr>
        <w:t xml:space="preserve"> s metastatickým alebo lokálne pokročilým </w:t>
      </w:r>
      <w:r w:rsidR="00216317" w:rsidRPr="00044184">
        <w:rPr>
          <w:szCs w:val="22"/>
          <w:lang w:val="sk-SK" w:eastAsia="en-GB"/>
        </w:rPr>
        <w:t xml:space="preserve">NSCLC </w:t>
      </w:r>
      <w:r w:rsidR="00E63092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>štádium</w:t>
      </w:r>
      <w:r w:rsidR="00E63092" w:rsidRPr="00044184">
        <w:rPr>
          <w:szCs w:val="22"/>
          <w:lang w:val="sk-SK" w:eastAsia="en-GB"/>
        </w:rPr>
        <w:t xml:space="preserve"> IIIB </w:t>
      </w:r>
      <w:r w:rsidRPr="00044184">
        <w:rPr>
          <w:szCs w:val="22"/>
          <w:lang w:val="sk-SK" w:eastAsia="en-GB"/>
        </w:rPr>
        <w:t>a</w:t>
      </w:r>
      <w:r w:rsidR="00E63092" w:rsidRPr="00044184">
        <w:rPr>
          <w:szCs w:val="22"/>
          <w:lang w:val="sk-SK" w:eastAsia="en-GB"/>
        </w:rPr>
        <w:t xml:space="preserve"> IV)</w:t>
      </w:r>
      <w:r w:rsidR="00323AC2" w:rsidRPr="00044184">
        <w:rPr>
          <w:szCs w:val="22"/>
          <w:lang w:val="sk-SK" w:eastAsia="en-GB"/>
        </w:rPr>
        <w:t xml:space="preserve">, ktorí </w:t>
      </w:r>
      <w:r w:rsidR="00840073" w:rsidRPr="00044184">
        <w:rPr>
          <w:szCs w:val="22"/>
          <w:lang w:val="sk-SK" w:eastAsia="en-GB"/>
        </w:rPr>
        <w:t>nepodstúpili žiadnu predchádzajúcu</w:t>
      </w:r>
      <w:r w:rsidR="00216317" w:rsidRPr="00044184">
        <w:rPr>
          <w:szCs w:val="22"/>
          <w:lang w:val="sk-SK" w:eastAsia="en-GB"/>
        </w:rPr>
        <w:t xml:space="preserve"> </w:t>
      </w:r>
      <w:r w:rsidR="00323AC2" w:rsidRPr="00044184">
        <w:rPr>
          <w:szCs w:val="22"/>
          <w:lang w:val="sk-SK" w:eastAsia="en-GB"/>
        </w:rPr>
        <w:t>chemoterapi</w:t>
      </w:r>
      <w:r w:rsidR="00216317" w:rsidRPr="00044184">
        <w:rPr>
          <w:szCs w:val="22"/>
          <w:lang w:val="sk-SK" w:eastAsia="en-GB"/>
        </w:rPr>
        <w:t>u</w:t>
      </w:r>
      <w:r w:rsidR="00323AC2" w:rsidRPr="00044184">
        <w:rPr>
          <w:szCs w:val="22"/>
          <w:lang w:val="sk-SK" w:eastAsia="en-GB"/>
        </w:rPr>
        <w:t xml:space="preserve"> ani </w:t>
      </w:r>
      <w:r w:rsidR="00216317" w:rsidRPr="00044184">
        <w:rPr>
          <w:szCs w:val="22"/>
          <w:lang w:val="sk-SK" w:eastAsia="en-GB"/>
        </w:rPr>
        <w:t xml:space="preserve">žiadnu </w:t>
      </w:r>
      <w:r w:rsidR="00323AC2" w:rsidRPr="00044184">
        <w:rPr>
          <w:szCs w:val="22"/>
          <w:lang w:val="sk-SK" w:eastAsia="en-GB"/>
        </w:rPr>
        <w:t xml:space="preserve">systémovú protinádorovú liečbu </w:t>
      </w:r>
      <w:r w:rsidR="00216317" w:rsidRPr="00044184">
        <w:rPr>
          <w:szCs w:val="22"/>
          <w:lang w:val="sk-SK" w:eastAsia="en-GB"/>
        </w:rPr>
        <w:t>kvôli svojmu pokročilému ochoreniu a u ktorých boli prítomné mutácie v tyrozínkinázovej doméne EGFR</w:t>
      </w:r>
      <w:r w:rsidR="00E63092" w:rsidRPr="00044184">
        <w:rPr>
          <w:szCs w:val="22"/>
          <w:lang w:val="sk-SK" w:eastAsia="en-GB"/>
        </w:rPr>
        <w:t xml:space="preserve"> (</w:t>
      </w:r>
      <w:r w:rsidR="00E35DC1" w:rsidRPr="00044184">
        <w:rPr>
          <w:szCs w:val="22"/>
          <w:lang w:val="sk-SK" w:eastAsia="en-GB"/>
        </w:rPr>
        <w:t>delécia v exóne </w:t>
      </w:r>
      <w:r w:rsidR="00E63092" w:rsidRPr="00044184">
        <w:rPr>
          <w:szCs w:val="22"/>
          <w:lang w:val="sk-SK" w:eastAsia="en-GB"/>
        </w:rPr>
        <w:t xml:space="preserve">19 </w:t>
      </w:r>
      <w:r w:rsidR="00E35DC1" w:rsidRPr="00044184">
        <w:rPr>
          <w:szCs w:val="22"/>
          <w:lang w:val="sk-SK" w:eastAsia="en-GB"/>
        </w:rPr>
        <w:t>alebo mutácia v exóne</w:t>
      </w:r>
      <w:r w:rsidR="00E63092" w:rsidRPr="00044184">
        <w:rPr>
          <w:szCs w:val="22"/>
          <w:lang w:val="sk-SK" w:eastAsia="en-GB"/>
        </w:rPr>
        <w:t xml:space="preserve"> 21). Pa</w:t>
      </w:r>
      <w:r w:rsidR="00216317" w:rsidRPr="00044184">
        <w:rPr>
          <w:szCs w:val="22"/>
          <w:lang w:val="sk-SK" w:eastAsia="en-GB"/>
        </w:rPr>
        <w:t>c</w:t>
      </w:r>
      <w:r w:rsidR="00E63092" w:rsidRPr="00044184">
        <w:rPr>
          <w:szCs w:val="22"/>
          <w:lang w:val="sk-SK" w:eastAsia="en-GB"/>
        </w:rPr>
        <w:t>ient</w:t>
      </w:r>
      <w:r w:rsidR="00216317" w:rsidRPr="00044184">
        <w:rPr>
          <w:szCs w:val="22"/>
          <w:lang w:val="sk-SK" w:eastAsia="en-GB"/>
        </w:rPr>
        <w:t xml:space="preserve">i boli randomizovaní </w:t>
      </w:r>
      <w:r w:rsidR="00E63092" w:rsidRPr="00044184">
        <w:rPr>
          <w:szCs w:val="22"/>
          <w:lang w:val="sk-SK" w:eastAsia="en-GB"/>
        </w:rPr>
        <w:t xml:space="preserve">1:1 </w:t>
      </w:r>
      <w:r w:rsidR="00216317" w:rsidRPr="00044184">
        <w:rPr>
          <w:szCs w:val="22"/>
          <w:lang w:val="sk-SK" w:eastAsia="en-GB"/>
        </w:rPr>
        <w:t xml:space="preserve">na podávanie </w:t>
      </w:r>
      <w:r w:rsidR="00E63092" w:rsidRPr="00044184">
        <w:rPr>
          <w:szCs w:val="22"/>
          <w:lang w:val="sk-SK" w:eastAsia="en-GB"/>
        </w:rPr>
        <w:t>erlotinib</w:t>
      </w:r>
      <w:r w:rsidR="00216317" w:rsidRPr="00044184">
        <w:rPr>
          <w:szCs w:val="22"/>
          <w:lang w:val="sk-SK" w:eastAsia="en-GB"/>
        </w:rPr>
        <w:t>u v dávke</w:t>
      </w:r>
      <w:r w:rsidR="00E63092" w:rsidRPr="00044184">
        <w:rPr>
          <w:szCs w:val="22"/>
          <w:lang w:val="sk-SK" w:eastAsia="en-GB"/>
        </w:rPr>
        <w:t xml:space="preserve"> 150</w:t>
      </w:r>
      <w:r w:rsidR="00216317" w:rsidRPr="00044184">
        <w:rPr>
          <w:szCs w:val="22"/>
          <w:lang w:val="sk-SK" w:eastAsia="en-GB"/>
        </w:rPr>
        <w:t> </w:t>
      </w:r>
      <w:r w:rsidR="00E63092" w:rsidRPr="00044184">
        <w:rPr>
          <w:szCs w:val="22"/>
          <w:lang w:val="sk-SK" w:eastAsia="en-GB"/>
        </w:rPr>
        <w:t>mg d</w:t>
      </w:r>
      <w:r w:rsidR="00216317" w:rsidRPr="00044184">
        <w:rPr>
          <w:szCs w:val="22"/>
          <w:lang w:val="sk-SK" w:eastAsia="en-GB"/>
        </w:rPr>
        <w:t xml:space="preserve">enne alebo </w:t>
      </w:r>
      <w:r w:rsidR="00974649" w:rsidRPr="00044184">
        <w:rPr>
          <w:szCs w:val="22"/>
          <w:lang w:val="sk-SK" w:eastAsia="en-GB"/>
        </w:rPr>
        <w:t xml:space="preserve">na </w:t>
      </w:r>
      <w:r w:rsidR="00216317" w:rsidRPr="00044184">
        <w:rPr>
          <w:szCs w:val="22"/>
          <w:lang w:val="sk-SK" w:eastAsia="en-GB"/>
        </w:rPr>
        <w:t xml:space="preserve">najviac </w:t>
      </w:r>
      <w:r w:rsidR="00E63092" w:rsidRPr="00044184">
        <w:rPr>
          <w:szCs w:val="22"/>
          <w:lang w:val="sk-SK" w:eastAsia="en-GB"/>
        </w:rPr>
        <w:t>4</w:t>
      </w:r>
      <w:r w:rsidR="00216317" w:rsidRPr="00044184">
        <w:rPr>
          <w:szCs w:val="22"/>
          <w:lang w:val="sk-SK" w:eastAsia="en-GB"/>
        </w:rPr>
        <w:t> cykl</w:t>
      </w:r>
      <w:r w:rsidR="00974649" w:rsidRPr="00044184">
        <w:rPr>
          <w:szCs w:val="22"/>
          <w:lang w:val="sk-SK" w:eastAsia="en-GB"/>
        </w:rPr>
        <w:t>y chemoterapie dvojkombináciou na báze platiny</w:t>
      </w:r>
      <w:r w:rsidR="00E63092" w:rsidRPr="00044184">
        <w:rPr>
          <w:szCs w:val="22"/>
          <w:lang w:val="sk-SK" w:eastAsia="en-GB"/>
        </w:rPr>
        <w:t>.</w:t>
      </w:r>
    </w:p>
    <w:p w:rsidR="00E63092" w:rsidRPr="00044184" w:rsidRDefault="00E6309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F001D" w:rsidRPr="00044184" w:rsidRDefault="006A52A5" w:rsidP="00695459">
      <w:pPr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Primárnym cieľovým ukazovateľom bolo prežívanie bez</w:t>
      </w:r>
      <w:r w:rsidR="00602C5C" w:rsidRPr="00044184">
        <w:rPr>
          <w:szCs w:val="22"/>
          <w:lang w:val="sk-SK" w:eastAsia="en-GB"/>
        </w:rPr>
        <w:t xml:space="preserve"> príznakov</w:t>
      </w:r>
      <w:r w:rsidRPr="00044184">
        <w:rPr>
          <w:szCs w:val="22"/>
          <w:lang w:val="sk-SK" w:eastAsia="en-GB"/>
        </w:rPr>
        <w:t xml:space="preserve"> progresie ochorenia (progression</w:t>
      </w:r>
      <w:r w:rsidRPr="00044184">
        <w:rPr>
          <w:szCs w:val="22"/>
          <w:lang w:val="sk-SK" w:eastAsia="en-GB"/>
        </w:rPr>
        <w:noBreakHyphen/>
        <w:t>free survival, PFS) hodnotené skúšajúcim lekárom</w:t>
      </w:r>
      <w:r w:rsidR="00E63092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Výsledky účinnosti sú zhrnuté v tabuľke </w:t>
      </w:r>
      <w:r w:rsidR="00AF3342" w:rsidRPr="00044184">
        <w:rPr>
          <w:szCs w:val="22"/>
          <w:lang w:val="sk-SK" w:eastAsia="en-GB"/>
        </w:rPr>
        <w:t>5</w:t>
      </w:r>
      <w:r w:rsidR="00E63092" w:rsidRPr="00044184">
        <w:rPr>
          <w:szCs w:val="22"/>
          <w:lang w:val="sk-SK" w:eastAsia="en-GB"/>
        </w:rPr>
        <w:t>.</w:t>
      </w:r>
    </w:p>
    <w:p w:rsidR="00E63092" w:rsidRPr="00044184" w:rsidRDefault="00E63092" w:rsidP="00695459">
      <w:pPr>
        <w:spacing w:line="240" w:lineRule="auto"/>
        <w:rPr>
          <w:szCs w:val="22"/>
          <w:lang w:val="sk-SK" w:eastAsia="en-GB"/>
        </w:rPr>
      </w:pPr>
    </w:p>
    <w:p w:rsidR="00E63092" w:rsidRPr="00044184" w:rsidRDefault="006A52A5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lastRenderedPageBreak/>
        <w:t>Obrázok </w:t>
      </w:r>
      <w:r w:rsidR="00E63092" w:rsidRPr="00044184">
        <w:rPr>
          <w:szCs w:val="22"/>
          <w:lang w:val="sk-SK" w:eastAsia="en-GB"/>
        </w:rPr>
        <w:t>1: Kaplan</w:t>
      </w:r>
      <w:r w:rsidRPr="00044184">
        <w:rPr>
          <w:szCs w:val="22"/>
          <w:lang w:val="sk-SK" w:eastAsia="en-GB"/>
        </w:rPr>
        <w:t>ova</w:t>
      </w:r>
      <w:r w:rsidRPr="00044184">
        <w:rPr>
          <w:szCs w:val="22"/>
          <w:lang w:val="sk-SK" w:eastAsia="en-GB"/>
        </w:rPr>
        <w:noBreakHyphen/>
      </w:r>
      <w:r w:rsidR="00E63092" w:rsidRPr="00044184">
        <w:rPr>
          <w:szCs w:val="22"/>
          <w:lang w:val="sk-SK" w:eastAsia="en-GB"/>
        </w:rPr>
        <w:t>Meier</w:t>
      </w:r>
      <w:r w:rsidRPr="00044184">
        <w:rPr>
          <w:szCs w:val="22"/>
          <w:lang w:val="sk-SK" w:eastAsia="en-GB"/>
        </w:rPr>
        <w:t>ova krivka pre PFS hodnotené skúšajúcim lekárom v klinickom skúšaní</w:t>
      </w:r>
      <w:r w:rsidR="00E63092" w:rsidRPr="00044184">
        <w:rPr>
          <w:szCs w:val="22"/>
          <w:lang w:val="sk-SK" w:eastAsia="en-GB"/>
        </w:rPr>
        <w:t xml:space="preserve"> ML20650 (EURTAC) (</w:t>
      </w:r>
      <w:r w:rsidRPr="00044184">
        <w:rPr>
          <w:szCs w:val="22"/>
          <w:lang w:val="sk-SK" w:eastAsia="en-GB"/>
        </w:rPr>
        <w:t xml:space="preserve">uzávierka </w:t>
      </w:r>
      <w:r w:rsidR="00AA77AE">
        <w:rPr>
          <w:szCs w:val="22"/>
          <w:lang w:val="sk-SK" w:eastAsia="en-GB"/>
        </w:rPr>
        <w:t xml:space="preserve">zberu </w:t>
      </w:r>
      <w:r w:rsidRPr="00044184">
        <w:rPr>
          <w:szCs w:val="22"/>
          <w:lang w:val="sk-SK" w:eastAsia="en-GB"/>
        </w:rPr>
        <w:t xml:space="preserve">údajov v apríli </w:t>
      </w:r>
      <w:r w:rsidR="00E63092" w:rsidRPr="00044184">
        <w:rPr>
          <w:szCs w:val="22"/>
          <w:lang w:val="sk-SK" w:eastAsia="en-GB"/>
        </w:rPr>
        <w:t>2012)</w:t>
      </w:r>
    </w:p>
    <w:p w:rsidR="00AF50D7" w:rsidRPr="00044184" w:rsidRDefault="00AF50D7" w:rsidP="00695459">
      <w:pPr>
        <w:keepNext/>
        <w:keepLines/>
        <w:spacing w:line="240" w:lineRule="auto"/>
        <w:rPr>
          <w:szCs w:val="22"/>
          <w:lang w:val="sk-SK" w:eastAsia="en-GB"/>
        </w:rPr>
      </w:pPr>
    </w:p>
    <w:p w:rsidR="00E63092" w:rsidRPr="00044184" w:rsidRDefault="00D33FC9" w:rsidP="00695459">
      <w:pPr>
        <w:keepNext/>
        <w:keepLines/>
        <w:spacing w:line="240" w:lineRule="auto"/>
        <w:rPr>
          <w:szCs w:val="22"/>
          <w:lang w:val="sk-SK" w:eastAsia="en-GB"/>
        </w:rPr>
      </w:pPr>
      <w:r>
        <w:rPr>
          <w:noProof/>
          <w:szCs w:val="22"/>
          <w:lang w:val="sk-SK" w:eastAsia="sk-SK"/>
        </w:rPr>
        <w:drawing>
          <wp:inline distT="0" distB="0" distL="0" distR="0">
            <wp:extent cx="542925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169" w:rsidRPr="00044184" w:rsidRDefault="009B0169" w:rsidP="00695459">
      <w:pPr>
        <w:spacing w:line="240" w:lineRule="auto"/>
        <w:rPr>
          <w:szCs w:val="22"/>
          <w:lang w:val="sk-SK"/>
        </w:rPr>
      </w:pPr>
    </w:p>
    <w:p w:rsidR="003D0072" w:rsidRPr="00675F45" w:rsidRDefault="003D0072" w:rsidP="003D0072">
      <w:pPr>
        <w:spacing w:line="240" w:lineRule="auto"/>
        <w:rPr>
          <w:szCs w:val="22"/>
          <w:lang w:val="sk-SK"/>
        </w:rPr>
      </w:pPr>
      <w:r w:rsidRPr="00675F45">
        <w:rPr>
          <w:szCs w:val="22"/>
          <w:lang w:val="sk-SK"/>
        </w:rPr>
        <w:t>pomer rizík (HR) = 0,34 (95 % IS: 0,23 až 0,49); log-rank p &lt; 0,0001; Erlotinib n = 86; Medián PFS: 10,4 mesiacov; Chemoterapia: n = 87; Medián PFS: 5,1 mesiacov; Mesiace od začiatku liečby (Months since Treatm.); počet osôb v riziku (n at risk); CHEMOTERAPIA (CHEMOTHERAPY), ERLOTINIB; Randomizovaná liečba (Randomized treatment)</w:t>
      </w:r>
    </w:p>
    <w:p w:rsidR="006A52A5" w:rsidRPr="00044184" w:rsidRDefault="006A52A5" w:rsidP="00695459">
      <w:pPr>
        <w:spacing w:line="240" w:lineRule="auto"/>
        <w:rPr>
          <w:szCs w:val="22"/>
          <w:lang w:val="sk-SK"/>
        </w:rPr>
      </w:pPr>
    </w:p>
    <w:p w:rsidR="00370E2A" w:rsidRPr="00044184" w:rsidRDefault="00370E2A" w:rsidP="00695459">
      <w:pPr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Tab</w:t>
      </w:r>
      <w:r w:rsidR="006A52A5" w:rsidRPr="00044184">
        <w:rPr>
          <w:szCs w:val="22"/>
          <w:lang w:val="sk-SK" w:eastAsia="en-GB"/>
        </w:rPr>
        <w:t>uľka </w:t>
      </w:r>
      <w:r w:rsidR="00AF3342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 xml:space="preserve">: </w:t>
      </w:r>
      <w:r w:rsidR="006A52A5" w:rsidRPr="00044184">
        <w:rPr>
          <w:szCs w:val="22"/>
          <w:lang w:val="sk-SK" w:eastAsia="en-GB"/>
        </w:rPr>
        <w:t>Výsledky účinnosti</w:t>
      </w:r>
      <w:r w:rsidRPr="00044184">
        <w:rPr>
          <w:szCs w:val="22"/>
          <w:lang w:val="sk-SK" w:eastAsia="en-GB"/>
        </w:rPr>
        <w:t xml:space="preserve"> </w:t>
      </w:r>
      <w:r w:rsidR="006A52A5" w:rsidRPr="00044184">
        <w:rPr>
          <w:szCs w:val="22"/>
          <w:lang w:val="sk-SK" w:eastAsia="en-GB"/>
        </w:rPr>
        <w:t>e</w:t>
      </w:r>
      <w:r w:rsidR="00BF070C" w:rsidRPr="00044184">
        <w:rPr>
          <w:szCs w:val="22"/>
          <w:lang w:val="sk-SK" w:eastAsia="en-GB"/>
        </w:rPr>
        <w:t>rlotinib</w:t>
      </w:r>
      <w:r w:rsidR="00597813" w:rsidRPr="00044184">
        <w:rPr>
          <w:szCs w:val="22"/>
          <w:lang w:val="sk-SK" w:eastAsia="en-GB"/>
        </w:rPr>
        <w:t>u</w:t>
      </w:r>
      <w:r w:rsidRPr="00044184">
        <w:rPr>
          <w:szCs w:val="22"/>
          <w:lang w:val="sk-SK" w:eastAsia="en-GB"/>
        </w:rPr>
        <w:t xml:space="preserve"> </w:t>
      </w:r>
      <w:r w:rsidR="006A52A5" w:rsidRPr="00044184">
        <w:rPr>
          <w:szCs w:val="22"/>
          <w:lang w:val="sk-SK" w:eastAsia="en-GB"/>
        </w:rPr>
        <w:t>v porovnaní s chemoterapiou v klinickom skúšaní</w:t>
      </w:r>
      <w:r w:rsidRPr="00044184">
        <w:rPr>
          <w:szCs w:val="22"/>
          <w:lang w:val="sk-SK" w:eastAsia="en-GB"/>
        </w:rPr>
        <w:t xml:space="preserve"> ML20650 (EURTAC)</w:t>
      </w:r>
    </w:p>
    <w:p w:rsidR="008456D6" w:rsidRPr="00044184" w:rsidRDefault="008456D6" w:rsidP="00695459">
      <w:pPr>
        <w:spacing w:line="240" w:lineRule="auto"/>
        <w:rPr>
          <w:szCs w:val="22"/>
          <w:lang w:val="sk-SK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992"/>
        <w:gridCol w:w="992"/>
        <w:gridCol w:w="1276"/>
        <w:gridCol w:w="1099"/>
      </w:tblGrid>
      <w:tr w:rsidR="0039476C" w:rsidRPr="00044184" w:rsidTr="00675F45">
        <w:tc>
          <w:tcPr>
            <w:tcW w:w="1951" w:type="dxa"/>
          </w:tcPr>
          <w:p w:rsidR="004A5289" w:rsidRPr="00044184" w:rsidRDefault="004A5289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4A5289" w:rsidRPr="00044184" w:rsidRDefault="004A5289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992" w:type="dxa"/>
          </w:tcPr>
          <w:p w:rsidR="004A5289" w:rsidRPr="00044184" w:rsidRDefault="004A5289" w:rsidP="00695459">
            <w:pPr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Erloti</w:t>
            </w:r>
            <w:r w:rsidR="003E414D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nib</w:t>
            </w:r>
          </w:p>
        </w:tc>
        <w:tc>
          <w:tcPr>
            <w:tcW w:w="992" w:type="dxa"/>
          </w:tcPr>
          <w:p w:rsidR="004A5289" w:rsidRPr="00044184" w:rsidRDefault="004A5289" w:rsidP="00695459">
            <w:pPr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Chemo</w:t>
            </w:r>
            <w:r w:rsidR="00745657" w:rsidRPr="00044184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terapia</w:t>
            </w:r>
          </w:p>
        </w:tc>
        <w:tc>
          <w:tcPr>
            <w:tcW w:w="1276" w:type="dxa"/>
          </w:tcPr>
          <w:p w:rsidR="004A5289" w:rsidRPr="00044184" w:rsidRDefault="004577D8" w:rsidP="00695459">
            <w:pPr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Pomer rizík</w:t>
            </w:r>
          </w:p>
          <w:p w:rsidR="004A5289" w:rsidRPr="00044184" w:rsidRDefault="004A5289" w:rsidP="00695459">
            <w:pPr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(95 % IS)</w:t>
            </w:r>
          </w:p>
        </w:tc>
        <w:tc>
          <w:tcPr>
            <w:tcW w:w="1099" w:type="dxa"/>
          </w:tcPr>
          <w:p w:rsidR="004A5289" w:rsidRPr="00044184" w:rsidRDefault="004A5289" w:rsidP="00695459">
            <w:pPr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</w:t>
            </w:r>
            <w:r w:rsidRPr="00044184">
              <w:rPr>
                <w:b/>
                <w:szCs w:val="22"/>
                <w:lang w:val="sk-SK" w:eastAsia="en-GB"/>
              </w:rPr>
              <w:noBreakHyphen/>
              <w:t>hodno</w:t>
            </w:r>
            <w:r w:rsidR="003E414D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ta</w:t>
            </w:r>
          </w:p>
        </w:tc>
      </w:tr>
      <w:tr w:rsidR="0039476C" w:rsidRPr="00044184" w:rsidTr="0039476C">
        <w:tc>
          <w:tcPr>
            <w:tcW w:w="1951" w:type="dxa"/>
            <w:vMerge w:val="restart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Vopred plánovaná priebežná analýza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(vykonaná </w:t>
            </w:r>
            <w:r w:rsidR="00DE47F2" w:rsidRPr="00044184">
              <w:rPr>
                <w:szCs w:val="22"/>
                <w:lang w:val="sk-SK" w:eastAsia="en-GB"/>
              </w:rPr>
              <w:t>po</w:t>
            </w:r>
            <w:r w:rsidR="003E414D">
              <w:rPr>
                <w:szCs w:val="22"/>
                <w:lang w:val="sk-SK" w:eastAsia="en-GB"/>
              </w:rPr>
              <w:t> </w:t>
            </w:r>
            <w:r w:rsidR="00DE47F2" w:rsidRPr="00044184">
              <w:rPr>
                <w:szCs w:val="22"/>
                <w:lang w:val="sk-SK" w:eastAsia="en-GB"/>
              </w:rPr>
              <w:t xml:space="preserve">získaní </w:t>
            </w:r>
            <w:r w:rsidR="00DE47F2" w:rsidRPr="00044184">
              <w:rPr>
                <w:szCs w:val="22"/>
                <w:lang w:val="sk-SK"/>
              </w:rPr>
              <w:t>35 % údajov potrebných na</w:t>
            </w:r>
            <w:r w:rsidR="00A21F7C" w:rsidRPr="00044184">
              <w:rPr>
                <w:szCs w:val="22"/>
                <w:lang w:val="sk-SK"/>
              </w:rPr>
              <w:t> </w:t>
            </w:r>
            <w:r w:rsidR="00DE47F2" w:rsidRPr="00044184">
              <w:rPr>
                <w:szCs w:val="22"/>
                <w:lang w:val="sk-SK"/>
              </w:rPr>
              <w:t>analýzu celkového prež</w:t>
            </w:r>
            <w:r w:rsidR="00A21F7C" w:rsidRPr="00044184">
              <w:rPr>
                <w:szCs w:val="22"/>
                <w:lang w:val="sk-SK"/>
              </w:rPr>
              <w:t>ívan</w:t>
            </w:r>
            <w:r w:rsidR="00DE47F2" w:rsidRPr="00044184">
              <w:rPr>
                <w:szCs w:val="22"/>
                <w:lang w:val="sk-SK"/>
              </w:rPr>
              <w:t>ia</w:t>
            </w:r>
            <w:r w:rsidRPr="00044184">
              <w:rPr>
                <w:szCs w:val="22"/>
                <w:lang w:val="sk-SK" w:eastAsia="en-GB"/>
              </w:rPr>
              <w:t>)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(n = 153)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Uzávierka </w:t>
            </w:r>
            <w:r w:rsidR="003E414D">
              <w:rPr>
                <w:szCs w:val="22"/>
                <w:lang w:val="sk-SK" w:eastAsia="en-GB"/>
              </w:rPr>
              <w:t xml:space="preserve">zberu </w:t>
            </w:r>
            <w:r w:rsidRPr="00044184">
              <w:rPr>
                <w:szCs w:val="22"/>
                <w:lang w:val="sk-SK" w:eastAsia="en-GB"/>
              </w:rPr>
              <w:t>údajov: august 2010</w:t>
            </w: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77</w:t>
            </w: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76</w:t>
            </w:r>
          </w:p>
        </w:tc>
        <w:tc>
          <w:tcPr>
            <w:tcW w:w="1276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099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Primárny cieľový ukazovateľ: prežívanie bez </w:t>
            </w:r>
            <w:r w:rsidR="00602C5C" w:rsidRPr="00044184">
              <w:rPr>
                <w:szCs w:val="22"/>
                <w:lang w:val="sk-SK" w:eastAsia="en-GB"/>
              </w:rPr>
              <w:t xml:space="preserve">príznakov </w:t>
            </w:r>
            <w:r w:rsidRPr="00044184">
              <w:rPr>
                <w:szCs w:val="22"/>
                <w:lang w:val="sk-SK" w:eastAsia="en-GB"/>
              </w:rPr>
              <w:t>progresie ochorenia (PFS, medián v mesiacoch)*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Hodnotené skúšajúcim lekárom**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Nezávislé hodnotenie**</w:t>
            </w: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B32219" w:rsidRDefault="00B32219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9,4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10,4</w:t>
            </w: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B32219" w:rsidRDefault="00B32219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5,2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5,4</w:t>
            </w:r>
          </w:p>
        </w:tc>
        <w:tc>
          <w:tcPr>
            <w:tcW w:w="1276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0,42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[0,27 </w:t>
            </w:r>
            <w:r w:rsidR="00B32219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0,64]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0,47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[0,27 </w:t>
            </w:r>
            <w:r w:rsidR="00B32219">
              <w:rPr>
                <w:szCs w:val="22"/>
                <w:lang w:val="sk-SK"/>
              </w:rPr>
              <w:t>–</w:t>
            </w:r>
            <w:r w:rsidRPr="00044184">
              <w:rPr>
                <w:szCs w:val="22"/>
                <w:lang w:val="sk-SK"/>
              </w:rPr>
              <w:t> 0,78</w:t>
            </w:r>
            <w:r w:rsidRPr="00044184">
              <w:rPr>
                <w:szCs w:val="22"/>
                <w:lang w:val="sk-SK" w:eastAsia="en-GB"/>
              </w:rPr>
              <w:t>]</w:t>
            </w:r>
          </w:p>
        </w:tc>
        <w:tc>
          <w:tcPr>
            <w:tcW w:w="1099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B32219" w:rsidRDefault="00B32219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B32219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&lt; 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0,0001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= 0,003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Výskyt najlepšej celkovej odpovede na liečbu (CR/PR)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54,5 %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10,5 %</w:t>
            </w:r>
          </w:p>
        </w:tc>
        <w:tc>
          <w:tcPr>
            <w:tcW w:w="1276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099" w:type="dxa"/>
          </w:tcPr>
          <w:p w:rsidR="00B32219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&lt; 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0,0001</w:t>
            </w:r>
          </w:p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Celkové prežívanie (OS) (mesiace)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22,9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18,8</w:t>
            </w:r>
          </w:p>
        </w:tc>
        <w:tc>
          <w:tcPr>
            <w:tcW w:w="1276" w:type="dxa"/>
          </w:tcPr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0,80</w:t>
            </w:r>
          </w:p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[0,47 </w:t>
            </w:r>
            <w:r w:rsidR="00B32219">
              <w:rPr>
                <w:szCs w:val="22"/>
                <w:lang w:val="sk-SK"/>
              </w:rPr>
              <w:t>–</w:t>
            </w:r>
            <w:r w:rsidRPr="00044184">
              <w:rPr>
                <w:szCs w:val="22"/>
                <w:lang w:val="sk-SK"/>
              </w:rPr>
              <w:t> 1,37</w:t>
            </w:r>
            <w:r w:rsidRPr="00044184">
              <w:rPr>
                <w:szCs w:val="22"/>
                <w:lang w:val="sk-SK" w:eastAsia="en-GB"/>
              </w:rPr>
              <w:t>]</w:t>
            </w:r>
          </w:p>
        </w:tc>
        <w:tc>
          <w:tcPr>
            <w:tcW w:w="1099" w:type="dxa"/>
          </w:tcPr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= 0,417</w:t>
            </w:r>
          </w:p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 w:val="restart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Exploračná analýza (vykonaná</w:t>
            </w:r>
            <w:r w:rsidR="00DE47F2" w:rsidRPr="00044184">
              <w:rPr>
                <w:szCs w:val="22"/>
                <w:lang w:val="sk-SK" w:eastAsia="en-GB"/>
              </w:rPr>
              <w:t xml:space="preserve"> po</w:t>
            </w:r>
            <w:r w:rsidR="003E414D">
              <w:rPr>
                <w:szCs w:val="22"/>
                <w:lang w:val="sk-SK" w:eastAsia="en-GB"/>
              </w:rPr>
              <w:t> </w:t>
            </w:r>
            <w:r w:rsidR="00DE47F2" w:rsidRPr="00044184">
              <w:rPr>
                <w:szCs w:val="22"/>
                <w:lang w:val="sk-SK" w:eastAsia="en-GB"/>
              </w:rPr>
              <w:t>získaní</w:t>
            </w:r>
            <w:r w:rsidRPr="00044184">
              <w:rPr>
                <w:szCs w:val="22"/>
                <w:lang w:val="sk-SK" w:eastAsia="en-GB"/>
              </w:rPr>
              <w:t xml:space="preserve"> 40 % údajov</w:t>
            </w:r>
            <w:r w:rsidR="00DE47F2" w:rsidRPr="00044184">
              <w:rPr>
                <w:szCs w:val="22"/>
                <w:lang w:val="sk-SK" w:eastAsia="en-GB"/>
              </w:rPr>
              <w:t xml:space="preserve"> potrebných </w:t>
            </w:r>
            <w:r w:rsidR="00DE47F2" w:rsidRPr="00044184">
              <w:rPr>
                <w:szCs w:val="22"/>
                <w:lang w:val="sk-SK" w:eastAsia="en-GB"/>
              </w:rPr>
              <w:lastRenderedPageBreak/>
              <w:t>na</w:t>
            </w:r>
            <w:r w:rsidR="00A21F7C" w:rsidRPr="00044184">
              <w:rPr>
                <w:szCs w:val="22"/>
                <w:lang w:val="sk-SK" w:eastAsia="en-GB"/>
              </w:rPr>
              <w:t> </w:t>
            </w:r>
            <w:r w:rsidR="00DE47F2" w:rsidRPr="00044184">
              <w:rPr>
                <w:szCs w:val="22"/>
                <w:lang w:val="sk-SK" w:eastAsia="en-GB"/>
              </w:rPr>
              <w:t>analýzu celkového prež</w:t>
            </w:r>
            <w:r w:rsidR="00A21F7C" w:rsidRPr="00044184">
              <w:rPr>
                <w:szCs w:val="22"/>
                <w:lang w:val="sk-SK" w:eastAsia="en-GB"/>
              </w:rPr>
              <w:t>ívan</w:t>
            </w:r>
            <w:r w:rsidR="00DE47F2" w:rsidRPr="00044184">
              <w:rPr>
                <w:szCs w:val="22"/>
                <w:lang w:val="sk-SK" w:eastAsia="en-GB"/>
              </w:rPr>
              <w:t>ia</w:t>
            </w:r>
            <w:r w:rsidRPr="00044184">
              <w:rPr>
                <w:szCs w:val="22"/>
                <w:lang w:val="sk-SK" w:eastAsia="en-GB"/>
              </w:rPr>
              <w:t>)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(n = 173)</w:t>
            </w: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Uzávierka </w:t>
            </w:r>
            <w:r w:rsidR="001C7B04">
              <w:rPr>
                <w:szCs w:val="22"/>
                <w:lang w:val="sk-SK" w:eastAsia="en-GB"/>
              </w:rPr>
              <w:t xml:space="preserve">zberu </w:t>
            </w:r>
            <w:r w:rsidRPr="00044184">
              <w:rPr>
                <w:szCs w:val="22"/>
                <w:lang w:val="sk-SK" w:eastAsia="en-GB"/>
              </w:rPr>
              <w:t>údajov: január 2011</w:t>
            </w: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86</w:t>
            </w:r>
          </w:p>
        </w:tc>
        <w:tc>
          <w:tcPr>
            <w:tcW w:w="992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87</w:t>
            </w:r>
          </w:p>
        </w:tc>
        <w:tc>
          <w:tcPr>
            <w:tcW w:w="1276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099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PFS (medián v mesiacoch), hodnotené skúšajúcim lekárom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9,7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5,2</w:t>
            </w:r>
          </w:p>
        </w:tc>
        <w:tc>
          <w:tcPr>
            <w:tcW w:w="1276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0,37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[0,27 </w:t>
            </w:r>
            <w:r w:rsidR="00B32219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0,54]</w:t>
            </w:r>
          </w:p>
        </w:tc>
        <w:tc>
          <w:tcPr>
            <w:tcW w:w="1099" w:type="dxa"/>
          </w:tcPr>
          <w:p w:rsidR="00B32219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&lt; 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0,0001</w:t>
            </w:r>
          </w:p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Výskyt najlepšej celkovej odpovede na liečbu (CR/PR)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58,1 %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14,9 %</w:t>
            </w:r>
          </w:p>
        </w:tc>
        <w:tc>
          <w:tcPr>
            <w:tcW w:w="1276" w:type="dxa"/>
          </w:tcPr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099" w:type="dxa"/>
          </w:tcPr>
          <w:p w:rsidR="00B32219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&lt; 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0,0001</w:t>
            </w:r>
          </w:p>
          <w:p w:rsidR="0023643F" w:rsidRPr="00044184" w:rsidRDefault="0023643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23643F" w:rsidRPr="00044184" w:rsidRDefault="0023643F" w:rsidP="00695459">
            <w:pPr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OS (mesiace)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19,3</w:t>
            </w:r>
          </w:p>
        </w:tc>
        <w:tc>
          <w:tcPr>
            <w:tcW w:w="992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19,5</w:t>
            </w:r>
          </w:p>
        </w:tc>
        <w:tc>
          <w:tcPr>
            <w:tcW w:w="1276" w:type="dxa"/>
          </w:tcPr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1,04</w:t>
            </w:r>
          </w:p>
          <w:p w:rsidR="001B695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[0,65 </w:t>
            </w:r>
            <w:r w:rsidR="00B32219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1,68]</w:t>
            </w:r>
          </w:p>
        </w:tc>
        <w:tc>
          <w:tcPr>
            <w:tcW w:w="1099" w:type="dxa"/>
          </w:tcPr>
          <w:p w:rsidR="00B32219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= </w:t>
            </w:r>
          </w:p>
          <w:p w:rsidR="0023643F" w:rsidRPr="00044184" w:rsidRDefault="001B695F" w:rsidP="00695459">
            <w:pPr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0,8702</w:t>
            </w:r>
          </w:p>
        </w:tc>
      </w:tr>
      <w:tr w:rsidR="0039476C" w:rsidRPr="00044184" w:rsidTr="0039476C">
        <w:tc>
          <w:tcPr>
            <w:tcW w:w="1951" w:type="dxa"/>
            <w:vMerge w:val="restart"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Aktualizovaná analýza (vykonaná </w:t>
            </w:r>
            <w:r w:rsidR="00DE47F2" w:rsidRPr="00044184">
              <w:rPr>
                <w:szCs w:val="22"/>
                <w:lang w:val="sk-SK" w:eastAsia="en-GB"/>
              </w:rPr>
              <w:t>po získaní</w:t>
            </w:r>
            <w:r w:rsidRPr="00044184">
              <w:rPr>
                <w:szCs w:val="22"/>
                <w:lang w:val="sk-SK" w:eastAsia="en-GB"/>
              </w:rPr>
              <w:t xml:space="preserve"> 62 % údajov </w:t>
            </w:r>
            <w:r w:rsidR="00DE47F2" w:rsidRPr="00044184">
              <w:rPr>
                <w:szCs w:val="22"/>
                <w:lang w:val="sk-SK" w:eastAsia="en-GB"/>
              </w:rPr>
              <w:t>potrebných na</w:t>
            </w:r>
            <w:r w:rsidR="00A21F7C" w:rsidRPr="00044184">
              <w:rPr>
                <w:szCs w:val="22"/>
                <w:lang w:val="sk-SK" w:eastAsia="en-GB"/>
              </w:rPr>
              <w:t> </w:t>
            </w:r>
            <w:r w:rsidR="00DE47F2" w:rsidRPr="00044184">
              <w:rPr>
                <w:szCs w:val="22"/>
                <w:lang w:val="sk-SK" w:eastAsia="en-GB"/>
              </w:rPr>
              <w:t>analýzu celkového prež</w:t>
            </w:r>
            <w:r w:rsidR="00A21F7C" w:rsidRPr="00044184">
              <w:rPr>
                <w:szCs w:val="22"/>
                <w:lang w:val="sk-SK" w:eastAsia="en-GB"/>
              </w:rPr>
              <w:t>ívan</w:t>
            </w:r>
            <w:r w:rsidR="00DE47F2" w:rsidRPr="00044184">
              <w:rPr>
                <w:szCs w:val="22"/>
                <w:lang w:val="sk-SK" w:eastAsia="en-GB"/>
              </w:rPr>
              <w:t>ia</w:t>
            </w:r>
            <w:r w:rsidRPr="00044184">
              <w:rPr>
                <w:szCs w:val="22"/>
                <w:lang w:val="sk-SK" w:eastAsia="en-GB"/>
              </w:rPr>
              <w:t>)</w:t>
            </w:r>
          </w:p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(n = 173)</w:t>
            </w:r>
          </w:p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</w:p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Uzávierka </w:t>
            </w:r>
            <w:r w:rsidR="00B32219">
              <w:rPr>
                <w:szCs w:val="22"/>
                <w:lang w:val="sk-SK" w:eastAsia="en-GB"/>
              </w:rPr>
              <w:t xml:space="preserve">zberu </w:t>
            </w:r>
            <w:r w:rsidRPr="00044184">
              <w:rPr>
                <w:szCs w:val="22"/>
                <w:lang w:val="sk-SK" w:eastAsia="en-GB"/>
              </w:rPr>
              <w:t>údajov: apríl 2012</w:t>
            </w:r>
          </w:p>
        </w:tc>
        <w:tc>
          <w:tcPr>
            <w:tcW w:w="2977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992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86</w:t>
            </w:r>
          </w:p>
        </w:tc>
        <w:tc>
          <w:tcPr>
            <w:tcW w:w="992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n = 87</w:t>
            </w:r>
          </w:p>
        </w:tc>
        <w:tc>
          <w:tcPr>
            <w:tcW w:w="1276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099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39476C" w:rsidRPr="00044184" w:rsidTr="0039476C">
        <w:tc>
          <w:tcPr>
            <w:tcW w:w="1951" w:type="dxa"/>
            <w:vMerge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PFS (medián v mesiacoch)</w:t>
            </w:r>
          </w:p>
        </w:tc>
        <w:tc>
          <w:tcPr>
            <w:tcW w:w="992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10,4</w:t>
            </w:r>
          </w:p>
        </w:tc>
        <w:tc>
          <w:tcPr>
            <w:tcW w:w="992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5,1</w:t>
            </w:r>
          </w:p>
        </w:tc>
        <w:tc>
          <w:tcPr>
            <w:tcW w:w="1276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0,34</w:t>
            </w:r>
          </w:p>
          <w:p w:rsidR="001B695F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[0,23 </w:t>
            </w:r>
            <w:r w:rsidR="00B32219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0,49]</w:t>
            </w:r>
          </w:p>
        </w:tc>
        <w:tc>
          <w:tcPr>
            <w:tcW w:w="1099" w:type="dxa"/>
          </w:tcPr>
          <w:p w:rsidR="00B32219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&lt; </w:t>
            </w:r>
          </w:p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0,0001</w:t>
            </w:r>
          </w:p>
        </w:tc>
      </w:tr>
      <w:tr w:rsidR="0039476C" w:rsidRPr="00044184" w:rsidTr="0039476C">
        <w:tc>
          <w:tcPr>
            <w:tcW w:w="1951" w:type="dxa"/>
            <w:vMerge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2977" w:type="dxa"/>
          </w:tcPr>
          <w:p w:rsidR="00745657" w:rsidRPr="00044184" w:rsidRDefault="00745657" w:rsidP="00695459">
            <w:pPr>
              <w:keepNext/>
              <w:keepLines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OS*** (mesiace)</w:t>
            </w:r>
          </w:p>
        </w:tc>
        <w:tc>
          <w:tcPr>
            <w:tcW w:w="992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22,9</w:t>
            </w:r>
          </w:p>
        </w:tc>
        <w:tc>
          <w:tcPr>
            <w:tcW w:w="992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20,8</w:t>
            </w:r>
          </w:p>
        </w:tc>
        <w:tc>
          <w:tcPr>
            <w:tcW w:w="1276" w:type="dxa"/>
          </w:tcPr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0,93</w:t>
            </w:r>
          </w:p>
          <w:p w:rsidR="001B695F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[0,64 </w:t>
            </w:r>
            <w:r w:rsidR="00B32219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1,36]</w:t>
            </w:r>
          </w:p>
        </w:tc>
        <w:tc>
          <w:tcPr>
            <w:tcW w:w="1099" w:type="dxa"/>
          </w:tcPr>
          <w:p w:rsidR="00B32219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 = </w:t>
            </w:r>
          </w:p>
          <w:p w:rsidR="00745657" w:rsidRPr="00044184" w:rsidRDefault="001B695F" w:rsidP="00695459">
            <w:pPr>
              <w:keepNext/>
              <w:keepLines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0,7149</w:t>
            </w:r>
          </w:p>
        </w:tc>
      </w:tr>
    </w:tbl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CR</w:t>
      </w:r>
      <w:r w:rsidR="00C41C5C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=</w:t>
      </w:r>
      <w:r w:rsidR="00C41C5C">
        <w:rPr>
          <w:szCs w:val="22"/>
          <w:lang w:val="sk-SK" w:eastAsia="en-GB"/>
        </w:rPr>
        <w:t xml:space="preserve"> </w:t>
      </w:r>
      <w:r w:rsidR="006A52A5" w:rsidRPr="00044184">
        <w:rPr>
          <w:szCs w:val="22"/>
          <w:lang w:val="sk-SK" w:eastAsia="en-GB"/>
        </w:rPr>
        <w:t xml:space="preserve">kompletná </w:t>
      </w:r>
      <w:r w:rsidR="00E023B5" w:rsidRPr="00044184">
        <w:rPr>
          <w:szCs w:val="22"/>
          <w:lang w:val="sk-SK" w:eastAsia="en-GB"/>
        </w:rPr>
        <w:t>odpoveď</w:t>
      </w:r>
      <w:r w:rsidR="006A52A5" w:rsidRPr="00044184">
        <w:rPr>
          <w:szCs w:val="22"/>
          <w:lang w:val="sk-SK" w:eastAsia="en-GB"/>
        </w:rPr>
        <w:t xml:space="preserve"> (</w:t>
      </w:r>
      <w:r w:rsidRPr="00044184">
        <w:rPr>
          <w:szCs w:val="22"/>
          <w:lang w:val="sk-SK" w:eastAsia="en-GB"/>
        </w:rPr>
        <w:t>complete response</w:t>
      </w:r>
      <w:r w:rsidR="006A52A5" w:rsidRPr="00044184">
        <w:rPr>
          <w:szCs w:val="22"/>
          <w:lang w:val="sk-SK" w:eastAsia="en-GB"/>
        </w:rPr>
        <w:t>)</w:t>
      </w:r>
      <w:r w:rsidRPr="00044184">
        <w:rPr>
          <w:szCs w:val="22"/>
          <w:lang w:val="sk-SK" w:eastAsia="en-GB"/>
        </w:rPr>
        <w:t>; PR</w:t>
      </w:r>
      <w:r w:rsidR="00C41C5C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=</w:t>
      </w:r>
      <w:r w:rsidR="00C41C5C">
        <w:rPr>
          <w:szCs w:val="22"/>
          <w:lang w:val="sk-SK" w:eastAsia="en-GB"/>
        </w:rPr>
        <w:t xml:space="preserve"> </w:t>
      </w:r>
      <w:r w:rsidR="006A52A5" w:rsidRPr="00044184">
        <w:rPr>
          <w:szCs w:val="22"/>
          <w:lang w:val="sk-SK" w:eastAsia="en-GB"/>
        </w:rPr>
        <w:t xml:space="preserve">parciálna </w:t>
      </w:r>
      <w:r w:rsidR="00E023B5" w:rsidRPr="00044184">
        <w:rPr>
          <w:szCs w:val="22"/>
          <w:lang w:val="sk-SK" w:eastAsia="en-GB"/>
        </w:rPr>
        <w:t xml:space="preserve">odpoveď </w:t>
      </w:r>
      <w:r w:rsidR="006A52A5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>partial response</w:t>
      </w:r>
      <w:r w:rsidR="006A52A5" w:rsidRPr="00044184">
        <w:rPr>
          <w:szCs w:val="22"/>
          <w:lang w:val="sk-SK" w:eastAsia="en-GB"/>
        </w:rPr>
        <w:t>)</w:t>
      </w:r>
    </w:p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* </w:t>
      </w:r>
      <w:r w:rsidR="008456D6" w:rsidRPr="00044184">
        <w:rPr>
          <w:szCs w:val="22"/>
          <w:lang w:val="sk-SK" w:eastAsia="en-GB"/>
        </w:rPr>
        <w:t xml:space="preserve">  </w:t>
      </w:r>
      <w:r w:rsidR="006A52A5" w:rsidRPr="00044184">
        <w:rPr>
          <w:szCs w:val="22"/>
          <w:lang w:val="sk-SK" w:eastAsia="en-GB"/>
        </w:rPr>
        <w:t xml:space="preserve">Zistilo sa </w:t>
      </w:r>
      <w:r w:rsidRPr="00044184">
        <w:rPr>
          <w:szCs w:val="22"/>
          <w:lang w:val="sk-SK" w:eastAsia="en-GB"/>
        </w:rPr>
        <w:t>58</w:t>
      </w:r>
      <w:r w:rsidR="006A52A5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% </w:t>
      </w:r>
      <w:r w:rsidR="006A52A5" w:rsidRPr="00044184">
        <w:rPr>
          <w:szCs w:val="22"/>
          <w:lang w:val="sk-SK" w:eastAsia="en-GB"/>
        </w:rPr>
        <w:t>zníženie rizika progresie ochorenia alebo smrti.</w:t>
      </w:r>
    </w:p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** </w:t>
      </w:r>
      <w:r w:rsidR="006A52A5" w:rsidRPr="00044184">
        <w:rPr>
          <w:szCs w:val="22"/>
          <w:lang w:val="sk-SK" w:eastAsia="en-GB"/>
        </w:rPr>
        <w:t xml:space="preserve">Celková miera zhody medzi hodnotením vykonaným skúšajúcim lekárom a hodnotením vykonaným </w:t>
      </w:r>
      <w:r w:rsidR="0023643F" w:rsidRPr="00044184">
        <w:rPr>
          <w:szCs w:val="22"/>
          <w:lang w:val="sk-SK" w:eastAsia="en-GB"/>
        </w:rPr>
        <w:t>nezávislou hodnotiacou komisiou (</w:t>
      </w:r>
      <w:r w:rsidR="004F4044" w:rsidRPr="00044184">
        <w:rPr>
          <w:szCs w:val="22"/>
          <w:lang w:val="sk-SK" w:eastAsia="en-GB"/>
        </w:rPr>
        <w:t xml:space="preserve">Independent Review Committee, </w:t>
      </w:r>
      <w:r w:rsidR="006A52A5" w:rsidRPr="00044184">
        <w:rPr>
          <w:szCs w:val="22"/>
          <w:lang w:val="sk-SK" w:eastAsia="en-GB"/>
        </w:rPr>
        <w:t>IRC</w:t>
      </w:r>
      <w:r w:rsidR="0023643F" w:rsidRPr="00044184">
        <w:rPr>
          <w:szCs w:val="22"/>
          <w:lang w:val="sk-SK" w:eastAsia="en-GB"/>
        </w:rPr>
        <w:t>)</w:t>
      </w:r>
      <w:r w:rsidR="006A52A5" w:rsidRPr="00044184">
        <w:rPr>
          <w:szCs w:val="22"/>
          <w:lang w:val="sk-SK" w:eastAsia="en-GB"/>
        </w:rPr>
        <w:t xml:space="preserve"> bola </w:t>
      </w:r>
      <w:r w:rsidRPr="00044184">
        <w:rPr>
          <w:szCs w:val="22"/>
          <w:lang w:val="sk-SK" w:eastAsia="en-GB"/>
        </w:rPr>
        <w:t>70</w:t>
      </w:r>
      <w:r w:rsidR="006A52A5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</w:t>
      </w:r>
    </w:p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 xml:space="preserve">*** </w:t>
      </w:r>
      <w:r w:rsidR="00B955A8" w:rsidRPr="00044184">
        <w:rPr>
          <w:szCs w:val="22"/>
          <w:lang w:val="sk-SK" w:eastAsia="en-GB"/>
        </w:rPr>
        <w:t>Zaznamenal sa vysoký výskyt</w:t>
      </w:r>
      <w:r w:rsidR="006077E2" w:rsidRPr="00044184">
        <w:rPr>
          <w:szCs w:val="22"/>
          <w:lang w:val="sk-SK" w:eastAsia="en-GB"/>
        </w:rPr>
        <w:t xml:space="preserve"> prekrížení</w:t>
      </w:r>
      <w:r w:rsidR="00B955A8" w:rsidRPr="00044184">
        <w:rPr>
          <w:szCs w:val="22"/>
          <w:lang w:val="sk-SK" w:eastAsia="en-GB"/>
        </w:rPr>
        <w:t>, a to u 82 % pacientov v</w:t>
      </w:r>
      <w:r w:rsidR="005D328B" w:rsidRPr="00044184">
        <w:rPr>
          <w:szCs w:val="22"/>
          <w:lang w:val="sk-SK" w:eastAsia="en-GB"/>
        </w:rPr>
        <w:t> skupine s</w:t>
      </w:r>
      <w:r w:rsidR="00B955A8" w:rsidRPr="00044184">
        <w:rPr>
          <w:szCs w:val="22"/>
          <w:lang w:val="sk-SK" w:eastAsia="en-GB"/>
        </w:rPr>
        <w:t> </w:t>
      </w:r>
      <w:r w:rsidR="005D328B" w:rsidRPr="00044184">
        <w:rPr>
          <w:szCs w:val="22"/>
          <w:lang w:val="sk-SK" w:eastAsia="en-GB"/>
        </w:rPr>
        <w:t>chemoterapiou</w:t>
      </w:r>
      <w:r w:rsidR="00B955A8" w:rsidRPr="00044184">
        <w:rPr>
          <w:szCs w:val="22"/>
          <w:lang w:val="sk-SK" w:eastAsia="en-GB"/>
        </w:rPr>
        <w:t xml:space="preserve">, ktorým bola následne </w:t>
      </w:r>
      <w:r w:rsidR="00727706" w:rsidRPr="00044184">
        <w:rPr>
          <w:szCs w:val="22"/>
          <w:lang w:val="sk-SK" w:eastAsia="en-GB"/>
        </w:rPr>
        <w:t>podáva</w:t>
      </w:r>
      <w:r w:rsidR="00B955A8" w:rsidRPr="00044184">
        <w:rPr>
          <w:szCs w:val="22"/>
          <w:lang w:val="sk-SK" w:eastAsia="en-GB"/>
        </w:rPr>
        <w:t>ná</w:t>
      </w:r>
      <w:r w:rsidR="00727706" w:rsidRPr="00044184">
        <w:rPr>
          <w:szCs w:val="22"/>
          <w:lang w:val="sk-SK" w:eastAsia="en-GB"/>
        </w:rPr>
        <w:t xml:space="preserve"> liečba inhibítorom tyrozínkinázy EGFR</w:t>
      </w:r>
      <w:r w:rsidR="00B955A8" w:rsidRPr="00044184">
        <w:rPr>
          <w:szCs w:val="22"/>
          <w:lang w:val="sk-SK" w:eastAsia="en-GB"/>
        </w:rPr>
        <w:t>, pričom všetkým pacientom</w:t>
      </w:r>
      <w:r w:rsidR="004A5289" w:rsidRPr="00044184">
        <w:rPr>
          <w:szCs w:val="22"/>
          <w:lang w:val="sk-SK" w:eastAsia="en-GB"/>
        </w:rPr>
        <w:t xml:space="preserve"> s</w:t>
      </w:r>
      <w:r w:rsidR="00840073" w:rsidRPr="00044184">
        <w:rPr>
          <w:szCs w:val="22"/>
          <w:lang w:val="sk-SK" w:eastAsia="en-GB"/>
        </w:rPr>
        <w:t> </w:t>
      </w:r>
      <w:r w:rsidR="004A5289" w:rsidRPr="00044184">
        <w:rPr>
          <w:szCs w:val="22"/>
          <w:lang w:val="sk-SK" w:eastAsia="en-GB"/>
        </w:rPr>
        <w:t xml:space="preserve">výnimkou </w:t>
      </w:r>
      <w:r w:rsidR="00C41C5C">
        <w:rPr>
          <w:szCs w:val="22"/>
          <w:lang w:val="sk-SK" w:eastAsia="en-GB"/>
        </w:rPr>
        <w:t>2</w:t>
      </w:r>
      <w:r w:rsidR="00B955A8" w:rsidRPr="00044184">
        <w:rPr>
          <w:szCs w:val="22"/>
          <w:lang w:val="sk-SK" w:eastAsia="en-GB"/>
        </w:rPr>
        <w:t xml:space="preserve"> bol následne podávaný erlotinib</w:t>
      </w:r>
      <w:r w:rsidRPr="00044184">
        <w:rPr>
          <w:szCs w:val="22"/>
          <w:lang w:val="sk-SK" w:eastAsia="en-GB"/>
        </w:rPr>
        <w:t>.</w:t>
      </w:r>
    </w:p>
    <w:p w:rsidR="00370E2A" w:rsidRPr="00044184" w:rsidRDefault="00370E2A" w:rsidP="00695459">
      <w:pPr>
        <w:spacing w:line="240" w:lineRule="auto"/>
        <w:rPr>
          <w:szCs w:val="22"/>
          <w:lang w:val="sk-SK"/>
        </w:rPr>
      </w:pPr>
    </w:p>
    <w:p w:rsidR="00370E2A" w:rsidRPr="00044184" w:rsidRDefault="002E190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 xml:space="preserve">- </w:t>
      </w:r>
      <w:r w:rsidR="00E2391B" w:rsidRPr="00044184">
        <w:rPr>
          <w:szCs w:val="22"/>
          <w:u w:val="single"/>
          <w:lang w:val="sk-SK" w:eastAsia="en-GB"/>
        </w:rPr>
        <w:t xml:space="preserve">Udržiavacia liečba </w:t>
      </w:r>
      <w:r w:rsidR="00370E2A" w:rsidRPr="00044184">
        <w:rPr>
          <w:szCs w:val="22"/>
          <w:u w:val="single"/>
          <w:lang w:val="sk-SK" w:eastAsia="en-GB"/>
        </w:rPr>
        <w:t xml:space="preserve">NSCLC </w:t>
      </w:r>
      <w:r w:rsidR="00E2391B" w:rsidRPr="00044184">
        <w:rPr>
          <w:szCs w:val="22"/>
          <w:u w:val="single"/>
          <w:lang w:val="sk-SK" w:eastAsia="en-GB"/>
        </w:rPr>
        <w:t>po prvolíniovej chemoterapii</w:t>
      </w:r>
      <w:r w:rsidR="0038506A" w:rsidRPr="00044184">
        <w:rPr>
          <w:szCs w:val="22"/>
          <w:u w:val="single"/>
          <w:lang w:val="sk-SK" w:eastAsia="en-GB"/>
        </w:rPr>
        <w:t xml:space="preserve"> (</w:t>
      </w:r>
      <w:r w:rsidR="00C41C5C">
        <w:rPr>
          <w:szCs w:val="22"/>
          <w:u w:val="single"/>
          <w:lang w:val="sk-SK" w:eastAsia="en-GB"/>
        </w:rPr>
        <w:t>E</w:t>
      </w:r>
      <w:r w:rsidR="0038506A" w:rsidRPr="00044184">
        <w:rPr>
          <w:szCs w:val="22"/>
          <w:u w:val="single"/>
          <w:lang w:val="sk-SK" w:eastAsia="en-GB"/>
        </w:rPr>
        <w:t xml:space="preserve">rlotinib </w:t>
      </w:r>
      <w:r w:rsidR="00C41C5C">
        <w:rPr>
          <w:szCs w:val="22"/>
          <w:u w:val="single"/>
          <w:lang w:val="sk-SK" w:eastAsia="en-GB"/>
        </w:rPr>
        <w:t xml:space="preserve">STADA </w:t>
      </w:r>
      <w:r w:rsidR="00E2391B" w:rsidRPr="00044184">
        <w:rPr>
          <w:szCs w:val="22"/>
          <w:u w:val="single"/>
          <w:lang w:val="sk-SK" w:eastAsia="en-GB"/>
        </w:rPr>
        <w:t>podávaný v monoterapii</w:t>
      </w:r>
      <w:r w:rsidR="00370E2A" w:rsidRPr="00044184">
        <w:rPr>
          <w:szCs w:val="22"/>
          <w:u w:val="single"/>
          <w:lang w:val="sk-SK" w:eastAsia="en-GB"/>
        </w:rPr>
        <w:t>):</w:t>
      </w:r>
    </w:p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</w:p>
    <w:p w:rsidR="00370E2A" w:rsidRPr="00044184" w:rsidRDefault="00E2391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Účinnosť a bezpečnosť erlotinibu v udržiavacej liečbe NSCLC po prvolíniovej chemoterapii sa skúmal</w:t>
      </w:r>
      <w:r w:rsidR="003D3020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 xml:space="preserve"> v randomizovanom, dvojito zaslepenom, placebom kontrolovanom klinickom skúšaní</w:t>
      </w:r>
      <w:r w:rsidR="00370E2A" w:rsidRPr="00044184">
        <w:rPr>
          <w:szCs w:val="22"/>
          <w:lang w:val="sk-SK" w:eastAsia="en-GB"/>
        </w:rPr>
        <w:t xml:space="preserve"> (BO18192, SATURN). T</w:t>
      </w:r>
      <w:r w:rsidRPr="00044184">
        <w:rPr>
          <w:szCs w:val="22"/>
          <w:lang w:val="sk-SK" w:eastAsia="en-GB"/>
        </w:rPr>
        <w:t>áto štúdia sa uskutočnila u </w:t>
      </w:r>
      <w:r w:rsidR="00370E2A" w:rsidRPr="00044184">
        <w:rPr>
          <w:szCs w:val="22"/>
          <w:lang w:val="sk-SK" w:eastAsia="en-GB"/>
        </w:rPr>
        <w:t>889</w:t>
      </w:r>
      <w:r w:rsidRPr="00044184">
        <w:rPr>
          <w:szCs w:val="22"/>
          <w:lang w:val="sk-SK" w:eastAsia="en-GB"/>
        </w:rPr>
        <w:t xml:space="preserve"> pacientov s lokálne pokročilým alebo metastatickým </w:t>
      </w:r>
      <w:r w:rsidR="00370E2A" w:rsidRPr="00044184">
        <w:rPr>
          <w:szCs w:val="22"/>
          <w:lang w:val="sk-SK" w:eastAsia="en-GB"/>
        </w:rPr>
        <w:t>NSCLC</w:t>
      </w:r>
      <w:r w:rsidRPr="00044184">
        <w:rPr>
          <w:szCs w:val="22"/>
          <w:lang w:val="sk-SK" w:eastAsia="en-GB"/>
        </w:rPr>
        <w:t xml:space="preserve">, u ktorých nedošlo k progresii ochorenia po </w:t>
      </w:r>
      <w:r w:rsidR="00370E2A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 xml:space="preserve"> cykloch chemoterapie </w:t>
      </w:r>
      <w:r w:rsidR="00C41C5C">
        <w:rPr>
          <w:szCs w:val="22"/>
          <w:lang w:val="sk-SK" w:eastAsia="en-GB"/>
        </w:rPr>
        <w:t>dvojkombináciou na báze</w:t>
      </w:r>
      <w:r w:rsidR="00A21F7C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platin</w:t>
      </w:r>
      <w:r w:rsidR="00C41C5C">
        <w:rPr>
          <w:szCs w:val="22"/>
          <w:lang w:val="sk-SK" w:eastAsia="en-GB"/>
        </w:rPr>
        <w:t>y</w:t>
      </w:r>
      <w:r w:rsidR="00370E2A" w:rsidRPr="00044184">
        <w:rPr>
          <w:szCs w:val="22"/>
          <w:lang w:val="sk-SK" w:eastAsia="en-GB"/>
        </w:rPr>
        <w:t>. Pa</w:t>
      </w:r>
      <w:r w:rsidRPr="00044184">
        <w:rPr>
          <w:szCs w:val="22"/>
          <w:lang w:val="sk-SK" w:eastAsia="en-GB"/>
        </w:rPr>
        <w:t>c</w:t>
      </w:r>
      <w:r w:rsidR="00370E2A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 xml:space="preserve">i boli randomizovaní </w:t>
      </w:r>
      <w:r w:rsidR="00823B4B" w:rsidRPr="00044184">
        <w:rPr>
          <w:szCs w:val="22"/>
          <w:lang w:val="sk-SK" w:eastAsia="en-GB"/>
        </w:rPr>
        <w:t xml:space="preserve">v pomere </w:t>
      </w:r>
      <w:r w:rsidR="00370E2A" w:rsidRPr="00044184">
        <w:rPr>
          <w:szCs w:val="22"/>
          <w:lang w:val="sk-SK" w:eastAsia="en-GB"/>
        </w:rPr>
        <w:t xml:space="preserve">1:1 </w:t>
      </w:r>
      <w:r w:rsidR="00602C5C" w:rsidRPr="00044184">
        <w:rPr>
          <w:szCs w:val="22"/>
          <w:lang w:val="sk-SK" w:eastAsia="en-GB"/>
        </w:rPr>
        <w:t>do skupiny buď s </w:t>
      </w:r>
      <w:r w:rsidR="00370E2A" w:rsidRPr="00044184">
        <w:rPr>
          <w:szCs w:val="22"/>
          <w:lang w:val="sk-SK" w:eastAsia="en-GB"/>
        </w:rPr>
        <w:t>erlotinib</w:t>
      </w:r>
      <w:r w:rsidR="00602C5C" w:rsidRPr="00044184">
        <w:rPr>
          <w:szCs w:val="22"/>
          <w:lang w:val="sk-SK" w:eastAsia="en-GB"/>
        </w:rPr>
        <w:t xml:space="preserve">om </w:t>
      </w:r>
      <w:r w:rsidRPr="00044184">
        <w:rPr>
          <w:szCs w:val="22"/>
          <w:lang w:val="sk-SK" w:eastAsia="en-GB"/>
        </w:rPr>
        <w:t>v</w:t>
      </w:r>
      <w:r w:rsidR="00602C5C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dávke</w:t>
      </w:r>
      <w:r w:rsidR="00370E2A" w:rsidRPr="00044184">
        <w:rPr>
          <w:szCs w:val="22"/>
          <w:lang w:val="sk-SK" w:eastAsia="en-GB"/>
        </w:rPr>
        <w:t xml:space="preserve"> 150</w:t>
      </w:r>
      <w:r w:rsidRPr="00044184">
        <w:rPr>
          <w:szCs w:val="22"/>
          <w:lang w:val="sk-SK" w:eastAsia="en-GB"/>
        </w:rPr>
        <w:t> </w:t>
      </w:r>
      <w:r w:rsidR="00370E2A" w:rsidRPr="00044184">
        <w:rPr>
          <w:szCs w:val="22"/>
          <w:lang w:val="sk-SK" w:eastAsia="en-GB"/>
        </w:rPr>
        <w:t xml:space="preserve">mg </w:t>
      </w:r>
      <w:r w:rsidRPr="00044184">
        <w:rPr>
          <w:szCs w:val="22"/>
          <w:lang w:val="sk-SK" w:eastAsia="en-GB"/>
        </w:rPr>
        <w:t xml:space="preserve">alebo </w:t>
      </w:r>
      <w:r w:rsidR="00602C5C" w:rsidRPr="00044184">
        <w:rPr>
          <w:szCs w:val="22"/>
          <w:lang w:val="sk-SK" w:eastAsia="en-GB"/>
        </w:rPr>
        <w:t>s </w:t>
      </w:r>
      <w:r w:rsidRPr="00044184">
        <w:rPr>
          <w:szCs w:val="22"/>
          <w:lang w:val="sk-SK" w:eastAsia="en-GB"/>
        </w:rPr>
        <w:t>placeb</w:t>
      </w:r>
      <w:r w:rsidR="00602C5C" w:rsidRPr="00044184">
        <w:rPr>
          <w:szCs w:val="22"/>
          <w:lang w:val="sk-SK" w:eastAsia="en-GB"/>
        </w:rPr>
        <w:t xml:space="preserve">om, podávanými perorálne </w:t>
      </w:r>
      <w:r w:rsidRPr="00044184">
        <w:rPr>
          <w:szCs w:val="22"/>
          <w:lang w:val="sk-SK" w:eastAsia="en-GB"/>
        </w:rPr>
        <w:t>jedenkrát denne až</w:t>
      </w:r>
      <w:r w:rsidR="00823B4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do</w:t>
      </w:r>
      <w:r w:rsidR="00823B4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progresie ochorenia</w:t>
      </w:r>
      <w:r w:rsidR="00602C5C" w:rsidRPr="00044184">
        <w:rPr>
          <w:szCs w:val="22"/>
          <w:lang w:val="sk-SK" w:eastAsia="en-GB"/>
        </w:rPr>
        <w:t xml:space="preserve">. Primárnym cieľovým ukazovateľom štúdie bolo prežívanie bez príznakov progresie ochorenia </w:t>
      </w:r>
      <w:r w:rsidR="00370E2A" w:rsidRPr="00044184">
        <w:rPr>
          <w:szCs w:val="22"/>
          <w:lang w:val="sk-SK" w:eastAsia="en-GB"/>
        </w:rPr>
        <w:t xml:space="preserve">(PFS) </w:t>
      </w:r>
      <w:r w:rsidR="00602C5C" w:rsidRPr="00044184">
        <w:rPr>
          <w:szCs w:val="22"/>
          <w:lang w:val="sk-SK" w:eastAsia="en-GB"/>
        </w:rPr>
        <w:t>u všetkých pacientov</w:t>
      </w:r>
      <w:r w:rsidR="002E190A" w:rsidRPr="00044184">
        <w:rPr>
          <w:szCs w:val="22"/>
          <w:lang w:val="sk-SK" w:eastAsia="en-GB"/>
        </w:rPr>
        <w:t>.</w:t>
      </w:r>
      <w:r w:rsidR="00370E2A" w:rsidRPr="00044184">
        <w:rPr>
          <w:szCs w:val="22"/>
          <w:lang w:val="sk-SK" w:eastAsia="en-GB"/>
        </w:rPr>
        <w:t xml:space="preserve"> </w:t>
      </w:r>
      <w:r w:rsidR="00C93F39" w:rsidRPr="00044184">
        <w:rPr>
          <w:szCs w:val="22"/>
          <w:lang w:val="sk-SK" w:eastAsia="en-GB"/>
        </w:rPr>
        <w:t>Východiskové d</w:t>
      </w:r>
      <w:r w:rsidR="00602C5C" w:rsidRPr="00044184">
        <w:rPr>
          <w:szCs w:val="22"/>
          <w:lang w:val="sk-SK" w:eastAsia="en-GB"/>
        </w:rPr>
        <w:t>emografické charakteristiky a</w:t>
      </w:r>
      <w:r w:rsidR="00EA503C" w:rsidRPr="00044184">
        <w:rPr>
          <w:szCs w:val="22"/>
          <w:lang w:val="sk-SK" w:eastAsia="en-GB"/>
        </w:rPr>
        <w:t> </w:t>
      </w:r>
      <w:r w:rsidR="00602C5C" w:rsidRPr="00044184">
        <w:rPr>
          <w:szCs w:val="22"/>
          <w:lang w:val="sk-SK" w:eastAsia="en-GB"/>
        </w:rPr>
        <w:t>charakteristiky ochorenia boli medzi dvomi liečebnými skupinami</w:t>
      </w:r>
      <w:r w:rsidR="006E66B9" w:rsidRPr="00044184">
        <w:rPr>
          <w:szCs w:val="22"/>
          <w:lang w:val="sk-SK" w:eastAsia="en-GB"/>
        </w:rPr>
        <w:t xml:space="preserve"> dobre vyvážené</w:t>
      </w:r>
      <w:r w:rsidR="00602C5C" w:rsidRPr="00044184">
        <w:rPr>
          <w:szCs w:val="22"/>
          <w:lang w:val="sk-SK" w:eastAsia="en-GB"/>
        </w:rPr>
        <w:t xml:space="preserve">. </w:t>
      </w:r>
      <w:r w:rsidR="006E66B9" w:rsidRPr="00044184">
        <w:rPr>
          <w:szCs w:val="22"/>
          <w:lang w:val="sk-SK" w:eastAsia="en-GB"/>
        </w:rPr>
        <w:t xml:space="preserve">Do štúdie neboli zaradení pacienti s výkonnostným stavom (performance status, PS) podľa ECOG </w:t>
      </w:r>
      <w:r w:rsidR="00370E2A" w:rsidRPr="00044184">
        <w:rPr>
          <w:szCs w:val="22"/>
          <w:lang w:val="sk-SK" w:eastAsia="en-GB"/>
        </w:rPr>
        <w:t>&gt;</w:t>
      </w:r>
      <w:r w:rsidR="006E66B9" w:rsidRPr="00044184">
        <w:rPr>
          <w:szCs w:val="22"/>
          <w:lang w:val="sk-SK" w:eastAsia="en-GB"/>
        </w:rPr>
        <w:t> </w:t>
      </w:r>
      <w:r w:rsidR="00370E2A" w:rsidRPr="00044184">
        <w:rPr>
          <w:szCs w:val="22"/>
          <w:lang w:val="sk-SK" w:eastAsia="en-GB"/>
        </w:rPr>
        <w:t>1</w:t>
      </w:r>
      <w:r w:rsidR="004F4044" w:rsidRPr="00044184">
        <w:rPr>
          <w:szCs w:val="22"/>
          <w:lang w:val="sk-SK" w:eastAsia="en-GB"/>
        </w:rPr>
        <w:t xml:space="preserve"> a</w:t>
      </w:r>
      <w:r w:rsidR="00370E2A" w:rsidRPr="00044184">
        <w:rPr>
          <w:szCs w:val="22"/>
          <w:lang w:val="sk-SK" w:eastAsia="en-GB"/>
        </w:rPr>
        <w:t xml:space="preserve"> </w:t>
      </w:r>
      <w:r w:rsidR="006E66B9" w:rsidRPr="00044184">
        <w:rPr>
          <w:szCs w:val="22"/>
          <w:lang w:val="sk-SK" w:eastAsia="en-GB"/>
        </w:rPr>
        <w:t>s významnými pridruženými ochoreniami pečene alebo obličiek</w:t>
      </w:r>
      <w:r w:rsidR="00370E2A" w:rsidRPr="00044184">
        <w:rPr>
          <w:szCs w:val="22"/>
          <w:lang w:val="sk-SK" w:eastAsia="en-GB"/>
        </w:rPr>
        <w:t>.</w:t>
      </w:r>
    </w:p>
    <w:p w:rsidR="00370E2A" w:rsidRPr="00044184" w:rsidRDefault="00370E2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2E190A" w:rsidRPr="00044184" w:rsidRDefault="006E66B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t>V tejto štúdii sa v celkovej populácii preukázal prínos z hľadiska primárneho cieľového ukazovateľa, ktorým bolo PFS</w:t>
      </w:r>
      <w:r w:rsidR="002E190A" w:rsidRPr="00044184">
        <w:rPr>
          <w:szCs w:val="22"/>
          <w:lang w:val="sk-SK" w:bidi="he-IL"/>
        </w:rPr>
        <w:t xml:space="preserve"> (HR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71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 xml:space="preserve"> p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&lt;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0001) a</w:t>
      </w:r>
      <w:r w:rsidRPr="00044184">
        <w:rPr>
          <w:szCs w:val="22"/>
          <w:lang w:val="sk-SK" w:bidi="he-IL"/>
        </w:rPr>
        <w:t xml:space="preserve"> z hľadiska sekundárneho cieľového ukazovateľa, ktorým bolo </w:t>
      </w:r>
      <w:r w:rsidR="002E190A" w:rsidRPr="00044184">
        <w:rPr>
          <w:szCs w:val="22"/>
          <w:lang w:val="sk-SK" w:bidi="he-IL"/>
        </w:rPr>
        <w:t>OS (HR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81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 xml:space="preserve"> p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 xml:space="preserve">0088). </w:t>
      </w:r>
      <w:r w:rsidRPr="00044184">
        <w:rPr>
          <w:szCs w:val="22"/>
          <w:lang w:val="sk-SK" w:bidi="he-IL"/>
        </w:rPr>
        <w:t xml:space="preserve">Vo vopred definovanej exploračnej analýze sa však najväčší prínos zistil u pacientov s aktivujúcimi mutáciami </w:t>
      </w:r>
      <w:r w:rsidR="002E190A" w:rsidRPr="00044184">
        <w:rPr>
          <w:szCs w:val="22"/>
          <w:lang w:val="sk-SK" w:bidi="he-IL"/>
        </w:rPr>
        <w:t>EGFR (n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49)</w:t>
      </w:r>
      <w:r w:rsidRPr="00044184">
        <w:rPr>
          <w:szCs w:val="22"/>
          <w:lang w:val="sk-SK" w:bidi="he-IL"/>
        </w:rPr>
        <w:t xml:space="preserve">, u ktorých sa preukázal </w:t>
      </w:r>
      <w:r w:rsidR="0054199C" w:rsidRPr="00044184">
        <w:rPr>
          <w:szCs w:val="22"/>
          <w:lang w:val="sk-SK" w:bidi="he-IL"/>
        </w:rPr>
        <w:t xml:space="preserve">významný prínos z hľadiska </w:t>
      </w:r>
      <w:r w:rsidR="002E190A" w:rsidRPr="00044184">
        <w:rPr>
          <w:szCs w:val="22"/>
          <w:lang w:val="sk-SK" w:bidi="he-IL"/>
        </w:rPr>
        <w:t>PFS (HR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10, 95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%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I</w:t>
      </w:r>
      <w:r w:rsidR="0054199C" w:rsidRPr="00044184">
        <w:rPr>
          <w:szCs w:val="22"/>
          <w:lang w:val="sk-SK" w:bidi="he-IL"/>
        </w:rPr>
        <w:t>S: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04</w:t>
      </w:r>
      <w:r w:rsidR="0054199C" w:rsidRPr="00044184">
        <w:rPr>
          <w:szCs w:val="22"/>
          <w:lang w:val="sk-SK" w:bidi="he-IL"/>
        </w:rPr>
        <w:t> až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25; p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&lt;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0001) a</w:t>
      </w:r>
      <w:r w:rsidR="0054199C" w:rsidRPr="00044184">
        <w:rPr>
          <w:szCs w:val="22"/>
          <w:lang w:val="sk-SK" w:bidi="he-IL"/>
        </w:rPr>
        <w:t xml:space="preserve"> z hľadiska celkového prežívania </w:t>
      </w:r>
      <w:r w:rsidR="002E190A" w:rsidRPr="00044184">
        <w:rPr>
          <w:szCs w:val="22"/>
          <w:lang w:val="sk-SK" w:bidi="he-IL"/>
        </w:rPr>
        <w:t>HR</w:t>
      </w:r>
      <w:r w:rsidR="0054199C" w:rsidRPr="00044184">
        <w:rPr>
          <w:szCs w:val="22"/>
          <w:lang w:val="sk-SK" w:bidi="he-IL"/>
        </w:rPr>
        <w:t> =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83</w:t>
      </w:r>
      <w:r w:rsidR="0054199C" w:rsidRPr="00044184">
        <w:rPr>
          <w:szCs w:val="22"/>
          <w:lang w:val="sk-SK" w:bidi="he-IL"/>
        </w:rPr>
        <w:t xml:space="preserve"> </w:t>
      </w:r>
      <w:r w:rsidR="00EB57DA">
        <w:rPr>
          <w:szCs w:val="22"/>
          <w:lang w:val="sk-SK" w:bidi="he-IL"/>
        </w:rPr>
        <w:t>(</w:t>
      </w:r>
      <w:r w:rsidR="002E190A" w:rsidRPr="00044184">
        <w:rPr>
          <w:szCs w:val="22"/>
          <w:lang w:val="sk-SK" w:bidi="he-IL"/>
        </w:rPr>
        <w:t>95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%</w:t>
      </w:r>
      <w:r w:rsidR="0054199C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I</w:t>
      </w:r>
      <w:r w:rsidR="0054199C" w:rsidRPr="00044184">
        <w:rPr>
          <w:szCs w:val="22"/>
          <w:lang w:val="sk-SK" w:bidi="he-IL"/>
        </w:rPr>
        <w:t>S: </w:t>
      </w:r>
      <w:r w:rsidR="002E190A" w:rsidRPr="00044184">
        <w:rPr>
          <w:szCs w:val="22"/>
          <w:lang w:val="sk-SK" w:bidi="he-IL"/>
        </w:rPr>
        <w:t>0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34</w:t>
      </w:r>
      <w:r w:rsidR="0054199C" w:rsidRPr="00044184">
        <w:rPr>
          <w:szCs w:val="22"/>
          <w:lang w:val="sk-SK" w:bidi="he-IL"/>
        </w:rPr>
        <w:t> až </w:t>
      </w:r>
      <w:r w:rsidR="002E190A" w:rsidRPr="00044184">
        <w:rPr>
          <w:szCs w:val="22"/>
          <w:lang w:val="sk-SK" w:bidi="he-IL"/>
        </w:rPr>
        <w:t>2</w:t>
      </w:r>
      <w:r w:rsidR="0054199C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 xml:space="preserve">02). </w:t>
      </w:r>
      <w:r w:rsidR="00EB57DA">
        <w:rPr>
          <w:szCs w:val="22"/>
          <w:lang w:val="sk-SK" w:bidi="he-IL"/>
        </w:rPr>
        <w:t>67 %</w:t>
      </w:r>
      <w:r w:rsidR="00A772FC" w:rsidRPr="00044184">
        <w:rPr>
          <w:szCs w:val="22"/>
          <w:lang w:val="sk-SK" w:bidi="he-IL"/>
        </w:rPr>
        <w:t xml:space="preserve"> </w:t>
      </w:r>
      <w:r w:rsidR="005A057C" w:rsidRPr="00044184">
        <w:rPr>
          <w:szCs w:val="22"/>
          <w:lang w:val="sk-SK" w:bidi="he-IL"/>
        </w:rPr>
        <w:t xml:space="preserve">pacientov, ktorí </w:t>
      </w:r>
      <w:r w:rsidR="009829E7" w:rsidRPr="00044184">
        <w:rPr>
          <w:szCs w:val="22"/>
          <w:lang w:val="sk-SK" w:bidi="he-IL"/>
        </w:rPr>
        <w:t>užívali</w:t>
      </w:r>
      <w:r w:rsidR="005A057C" w:rsidRPr="00044184">
        <w:rPr>
          <w:szCs w:val="22"/>
          <w:lang w:val="sk-SK" w:bidi="he-IL"/>
        </w:rPr>
        <w:t xml:space="preserve"> placebo a boli zahrnutí </w:t>
      </w:r>
      <w:r w:rsidR="004A6A72" w:rsidRPr="00044184">
        <w:rPr>
          <w:szCs w:val="22"/>
          <w:lang w:val="sk-SK" w:bidi="he-IL"/>
        </w:rPr>
        <w:t>do</w:t>
      </w:r>
      <w:r w:rsidR="005A057C" w:rsidRPr="00044184">
        <w:rPr>
          <w:szCs w:val="22"/>
          <w:lang w:val="sk-SK" w:bidi="he-IL"/>
        </w:rPr>
        <w:t> podskupin</w:t>
      </w:r>
      <w:r w:rsidR="004A6A72" w:rsidRPr="00044184">
        <w:rPr>
          <w:szCs w:val="22"/>
          <w:lang w:val="sk-SK" w:bidi="he-IL"/>
        </w:rPr>
        <w:t>y</w:t>
      </w:r>
      <w:r w:rsidR="005A057C" w:rsidRPr="00044184">
        <w:rPr>
          <w:szCs w:val="22"/>
          <w:lang w:val="sk-SK" w:bidi="he-IL"/>
        </w:rPr>
        <w:t xml:space="preserve"> pacientov s pozitivitou mutácie EGFR, </w:t>
      </w:r>
      <w:r w:rsidR="00D415D6" w:rsidRPr="00044184">
        <w:rPr>
          <w:szCs w:val="22"/>
          <w:lang w:val="sk-SK" w:bidi="he-IL"/>
        </w:rPr>
        <w:t xml:space="preserve">následne </w:t>
      </w:r>
      <w:r w:rsidR="005A057C" w:rsidRPr="00044184">
        <w:rPr>
          <w:szCs w:val="22"/>
          <w:lang w:val="sk-SK" w:bidi="he-IL"/>
        </w:rPr>
        <w:t>podstúpilo druhú alebo ďalšiu líniu liečby inhibítormi tyrozínkinázy EGFR.</w:t>
      </w:r>
    </w:p>
    <w:p w:rsidR="00681E9D" w:rsidRDefault="005A057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t xml:space="preserve">Štúdia </w:t>
      </w:r>
      <w:r w:rsidR="002E190A" w:rsidRPr="00044184">
        <w:rPr>
          <w:szCs w:val="22"/>
          <w:lang w:val="sk-SK" w:bidi="he-IL"/>
        </w:rPr>
        <w:t xml:space="preserve">BO25460 (IUNO) </w:t>
      </w:r>
      <w:r w:rsidRPr="00044184">
        <w:rPr>
          <w:szCs w:val="22"/>
          <w:lang w:val="sk-SK" w:bidi="he-IL"/>
        </w:rPr>
        <w:t>sa uskutočnila u </w:t>
      </w:r>
      <w:r w:rsidR="002E190A" w:rsidRPr="00044184">
        <w:rPr>
          <w:szCs w:val="22"/>
          <w:lang w:val="sk-SK" w:bidi="he-IL"/>
        </w:rPr>
        <w:t>643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pa</w:t>
      </w:r>
      <w:r w:rsidRPr="00044184">
        <w:rPr>
          <w:szCs w:val="22"/>
          <w:lang w:val="sk-SK" w:bidi="he-IL"/>
        </w:rPr>
        <w:t>c</w:t>
      </w:r>
      <w:r w:rsidR="002E190A" w:rsidRPr="00044184">
        <w:rPr>
          <w:szCs w:val="22"/>
          <w:lang w:val="sk-SK" w:bidi="he-IL"/>
        </w:rPr>
        <w:t>ient</w:t>
      </w:r>
      <w:r w:rsidRPr="00044184">
        <w:rPr>
          <w:szCs w:val="22"/>
          <w:lang w:val="sk-SK" w:bidi="he-IL"/>
        </w:rPr>
        <w:t>ov s pokročilým</w:t>
      </w:r>
      <w:r w:rsidR="002E190A" w:rsidRPr="00044184">
        <w:rPr>
          <w:szCs w:val="22"/>
          <w:lang w:val="sk-SK" w:bidi="he-IL"/>
        </w:rPr>
        <w:t xml:space="preserve"> NSCL</w:t>
      </w:r>
      <w:r w:rsidR="0075093E" w:rsidRPr="00044184">
        <w:rPr>
          <w:szCs w:val="22"/>
          <w:lang w:val="sk-SK" w:bidi="he-IL"/>
        </w:rPr>
        <w:t>C</w:t>
      </w:r>
      <w:r w:rsidRPr="00044184">
        <w:rPr>
          <w:szCs w:val="22"/>
          <w:lang w:val="sk-SK" w:bidi="he-IL"/>
        </w:rPr>
        <w:t>, ktorých nádor ne</w:t>
      </w:r>
      <w:r w:rsidR="007C5A80" w:rsidRPr="00044184">
        <w:rPr>
          <w:szCs w:val="22"/>
          <w:lang w:val="sk-SK" w:bidi="he-IL"/>
        </w:rPr>
        <w:t>mal</w:t>
      </w:r>
      <w:r w:rsidRPr="00044184">
        <w:rPr>
          <w:szCs w:val="22"/>
          <w:lang w:val="sk-SK" w:bidi="he-IL"/>
        </w:rPr>
        <w:t xml:space="preserve"> aktivujúcu </w:t>
      </w:r>
      <w:r w:rsidR="0075093E" w:rsidRPr="00044184">
        <w:rPr>
          <w:szCs w:val="22"/>
          <w:lang w:val="sk-SK" w:bidi="he-IL"/>
        </w:rPr>
        <w:t xml:space="preserve">mutáciu </w:t>
      </w:r>
      <w:r w:rsidR="002E190A" w:rsidRPr="00044184">
        <w:rPr>
          <w:szCs w:val="22"/>
          <w:lang w:val="sk-SK" w:bidi="he-IL"/>
        </w:rPr>
        <w:t>EGFR</w:t>
      </w:r>
      <w:r w:rsidRPr="00044184">
        <w:rPr>
          <w:szCs w:val="22"/>
          <w:lang w:val="sk-SK" w:bidi="he-IL"/>
        </w:rPr>
        <w:t xml:space="preserve"> </w:t>
      </w:r>
      <w:r w:rsidR="002E190A" w:rsidRPr="00044184">
        <w:rPr>
          <w:szCs w:val="22"/>
          <w:lang w:val="sk-SK" w:bidi="he-IL"/>
        </w:rPr>
        <w:t>(</w:t>
      </w:r>
      <w:r w:rsidRPr="00044184">
        <w:rPr>
          <w:szCs w:val="22"/>
          <w:lang w:val="sk-SK" w:eastAsia="en-GB"/>
        </w:rPr>
        <w:t>deléciu v exóne 19 alebo mutáciu L858R v exóne 21</w:t>
      </w:r>
      <w:r w:rsidR="002E190A" w:rsidRPr="00044184">
        <w:rPr>
          <w:szCs w:val="22"/>
          <w:lang w:val="sk-SK" w:bidi="he-IL"/>
        </w:rPr>
        <w:t>)</w:t>
      </w:r>
      <w:r w:rsidRPr="00044184">
        <w:rPr>
          <w:szCs w:val="22"/>
          <w:lang w:val="sk-SK" w:bidi="he-IL"/>
        </w:rPr>
        <w:t xml:space="preserve"> a u ktorých nedošlo k progresii ochorenia po štyroch cykloch chemoterapie na báze platiny</w:t>
      </w:r>
      <w:r w:rsidR="002E190A" w:rsidRPr="00044184">
        <w:rPr>
          <w:szCs w:val="22"/>
          <w:lang w:val="sk-SK" w:bidi="he-IL"/>
        </w:rPr>
        <w:t>.</w:t>
      </w:r>
      <w:r w:rsidRPr="00044184">
        <w:rPr>
          <w:szCs w:val="22"/>
          <w:lang w:val="sk-SK" w:bidi="he-IL"/>
        </w:rPr>
        <w:t xml:space="preserve"> </w:t>
      </w:r>
    </w:p>
    <w:p w:rsidR="00EB57DA" w:rsidRPr="00044184" w:rsidRDefault="00EB57D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</w:p>
    <w:p w:rsidR="002E190A" w:rsidRPr="00044184" w:rsidRDefault="005A057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t>Cieľom štúdie bolo porovnať celkové prežívanie</w:t>
      </w:r>
      <w:r w:rsidR="0075093E" w:rsidRPr="00044184">
        <w:rPr>
          <w:szCs w:val="22"/>
          <w:lang w:val="sk-SK" w:bidi="he-IL"/>
        </w:rPr>
        <w:t xml:space="preserve"> pri udržiavacej liečbe erlotinibom na</w:t>
      </w:r>
      <w:r w:rsidR="00784A0A" w:rsidRPr="00044184">
        <w:rPr>
          <w:szCs w:val="22"/>
          <w:lang w:val="sk-SK" w:bidi="he-IL"/>
        </w:rPr>
        <w:t>sledujúcej po </w:t>
      </w:r>
      <w:r w:rsidR="0075093E" w:rsidRPr="00044184">
        <w:rPr>
          <w:szCs w:val="22"/>
          <w:lang w:val="sk-SK" w:bidi="he-IL"/>
        </w:rPr>
        <w:t>prvolíniov</w:t>
      </w:r>
      <w:r w:rsidR="00784A0A" w:rsidRPr="00044184">
        <w:rPr>
          <w:szCs w:val="22"/>
          <w:lang w:val="sk-SK" w:bidi="he-IL"/>
        </w:rPr>
        <w:t>ej</w:t>
      </w:r>
      <w:r w:rsidR="0075093E" w:rsidRPr="00044184">
        <w:rPr>
          <w:szCs w:val="22"/>
          <w:lang w:val="sk-SK" w:bidi="he-IL"/>
        </w:rPr>
        <w:t xml:space="preserve"> </w:t>
      </w:r>
      <w:r w:rsidR="00784A0A" w:rsidRPr="00044184">
        <w:rPr>
          <w:szCs w:val="22"/>
          <w:lang w:val="sk-SK" w:bidi="he-IL"/>
        </w:rPr>
        <w:t>chemoterapii</w:t>
      </w:r>
      <w:r w:rsidR="0075093E" w:rsidRPr="00044184">
        <w:rPr>
          <w:szCs w:val="22"/>
          <w:lang w:val="sk-SK" w:bidi="he-IL"/>
        </w:rPr>
        <w:t xml:space="preserve"> oproti </w:t>
      </w:r>
      <w:r w:rsidR="00784A0A" w:rsidRPr="00044184">
        <w:rPr>
          <w:szCs w:val="22"/>
          <w:lang w:val="sk-SK" w:bidi="he-IL"/>
        </w:rPr>
        <w:t xml:space="preserve">liečbe </w:t>
      </w:r>
      <w:r w:rsidR="0075093E" w:rsidRPr="00044184">
        <w:rPr>
          <w:szCs w:val="22"/>
          <w:lang w:val="sk-SK" w:bidi="he-IL"/>
        </w:rPr>
        <w:t>erlotinib</w:t>
      </w:r>
      <w:r w:rsidR="00784A0A" w:rsidRPr="00044184">
        <w:rPr>
          <w:szCs w:val="22"/>
          <w:lang w:val="sk-SK" w:bidi="he-IL"/>
        </w:rPr>
        <w:t xml:space="preserve">om </w:t>
      </w:r>
      <w:r w:rsidR="00764609" w:rsidRPr="00044184">
        <w:rPr>
          <w:szCs w:val="22"/>
          <w:lang w:val="sk-SK" w:bidi="he-IL"/>
        </w:rPr>
        <w:t xml:space="preserve">nasadenej </w:t>
      </w:r>
      <w:r w:rsidR="0075093E" w:rsidRPr="00044184">
        <w:rPr>
          <w:szCs w:val="22"/>
          <w:lang w:val="sk-SK" w:bidi="he-IL"/>
        </w:rPr>
        <w:t xml:space="preserve">až v čase progresie ochorenia. </w:t>
      </w:r>
    </w:p>
    <w:p w:rsidR="002E190A" w:rsidRPr="00044184" w:rsidRDefault="00DD5EA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lastRenderedPageBreak/>
        <w:t xml:space="preserve">Primárny cieľový ukazovateľ </w:t>
      </w:r>
      <w:r w:rsidR="003254F7" w:rsidRPr="00044184">
        <w:rPr>
          <w:szCs w:val="22"/>
          <w:lang w:val="sk-SK" w:bidi="he-IL"/>
        </w:rPr>
        <w:t xml:space="preserve">(OS) </w:t>
      </w:r>
      <w:r w:rsidRPr="00044184">
        <w:rPr>
          <w:szCs w:val="22"/>
          <w:lang w:val="sk-SK" w:bidi="he-IL"/>
        </w:rPr>
        <w:t>sa v štúdii nedosiahol</w:t>
      </w:r>
      <w:r w:rsidR="002E190A" w:rsidRPr="00044184">
        <w:rPr>
          <w:szCs w:val="22"/>
          <w:lang w:val="sk-SK" w:bidi="he-IL"/>
        </w:rPr>
        <w:t xml:space="preserve">. OS </w:t>
      </w:r>
      <w:r w:rsidR="0075093E" w:rsidRPr="00044184">
        <w:rPr>
          <w:szCs w:val="22"/>
          <w:lang w:val="sk-SK" w:bidi="he-IL"/>
        </w:rPr>
        <w:t xml:space="preserve">pri udržiavacej liečbe </w:t>
      </w:r>
      <w:r w:rsidR="000E314C" w:rsidRPr="00044184">
        <w:rPr>
          <w:szCs w:val="22"/>
          <w:lang w:val="sk-SK" w:bidi="he-IL"/>
        </w:rPr>
        <w:t>erlotinib</w:t>
      </w:r>
      <w:r w:rsidR="0075093E" w:rsidRPr="00044184">
        <w:rPr>
          <w:szCs w:val="22"/>
          <w:lang w:val="sk-SK" w:bidi="he-IL"/>
        </w:rPr>
        <w:t xml:space="preserve">om </w:t>
      </w:r>
      <w:r w:rsidR="00784A0A" w:rsidRPr="00044184">
        <w:rPr>
          <w:szCs w:val="22"/>
          <w:lang w:val="sk-SK" w:bidi="he-IL"/>
        </w:rPr>
        <w:t>nasledujúcej po</w:t>
      </w:r>
      <w:r w:rsidR="00CB2C09" w:rsidRPr="00044184">
        <w:rPr>
          <w:szCs w:val="22"/>
          <w:lang w:val="sk-SK" w:bidi="he-IL"/>
        </w:rPr>
        <w:t> </w:t>
      </w:r>
      <w:r w:rsidR="00784A0A" w:rsidRPr="00044184">
        <w:rPr>
          <w:szCs w:val="22"/>
          <w:lang w:val="sk-SK" w:bidi="he-IL"/>
        </w:rPr>
        <w:t xml:space="preserve">prvolíniovej </w:t>
      </w:r>
      <w:r w:rsidR="0075093E" w:rsidRPr="00044184">
        <w:rPr>
          <w:szCs w:val="22"/>
          <w:lang w:val="sk-SK" w:bidi="he-IL"/>
        </w:rPr>
        <w:t>chemoterapi</w:t>
      </w:r>
      <w:r w:rsidR="002E190A" w:rsidRPr="00044184">
        <w:rPr>
          <w:szCs w:val="22"/>
          <w:lang w:val="sk-SK" w:bidi="he-IL"/>
        </w:rPr>
        <w:t>i</w:t>
      </w:r>
      <w:r w:rsidR="00784A0A" w:rsidRPr="00044184">
        <w:rPr>
          <w:szCs w:val="22"/>
          <w:lang w:val="sk-SK" w:bidi="he-IL"/>
        </w:rPr>
        <w:t xml:space="preserve"> nebolo superiórne oproti erlotinibu podávanému v druhej línii liečb</w:t>
      </w:r>
      <w:r w:rsidR="00CB2C09" w:rsidRPr="00044184">
        <w:rPr>
          <w:szCs w:val="22"/>
          <w:lang w:val="sk-SK" w:bidi="he-IL"/>
        </w:rPr>
        <w:t>y</w:t>
      </w:r>
      <w:r w:rsidR="00784A0A" w:rsidRPr="00044184">
        <w:rPr>
          <w:szCs w:val="22"/>
          <w:lang w:val="sk-SK" w:bidi="he-IL"/>
        </w:rPr>
        <w:t xml:space="preserve"> u pacientov, ktorých nádor ne</w:t>
      </w:r>
      <w:r w:rsidR="007C5A80" w:rsidRPr="00044184">
        <w:rPr>
          <w:szCs w:val="22"/>
          <w:lang w:val="sk-SK" w:bidi="he-IL"/>
        </w:rPr>
        <w:t>mal</w:t>
      </w:r>
      <w:r w:rsidR="00784A0A" w:rsidRPr="00044184">
        <w:rPr>
          <w:szCs w:val="22"/>
          <w:lang w:val="sk-SK" w:bidi="he-IL"/>
        </w:rPr>
        <w:t xml:space="preserve"> </w:t>
      </w:r>
      <w:r w:rsidR="00CB2C09" w:rsidRPr="00044184">
        <w:rPr>
          <w:szCs w:val="22"/>
          <w:lang w:val="sk-SK" w:bidi="he-IL"/>
        </w:rPr>
        <w:t xml:space="preserve">aktivujúcu mutáciu EGFR </w:t>
      </w:r>
      <w:r w:rsidR="002E190A" w:rsidRPr="00044184">
        <w:rPr>
          <w:szCs w:val="22"/>
          <w:lang w:val="sk-SK" w:bidi="he-IL"/>
        </w:rPr>
        <w:t>(HR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1</w:t>
      </w:r>
      <w:r w:rsidR="00CB2C09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02</w:t>
      </w:r>
      <w:r w:rsidR="00CB2C09" w:rsidRPr="00044184">
        <w:rPr>
          <w:szCs w:val="22"/>
          <w:lang w:val="sk-SK" w:bidi="he-IL"/>
        </w:rPr>
        <w:t>;</w:t>
      </w:r>
      <w:r w:rsidR="002E190A" w:rsidRPr="00044184">
        <w:rPr>
          <w:szCs w:val="22"/>
          <w:lang w:val="sk-SK" w:bidi="he-IL"/>
        </w:rPr>
        <w:t xml:space="preserve"> 95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%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I</w:t>
      </w:r>
      <w:r w:rsidR="00CB2C09" w:rsidRPr="00044184">
        <w:rPr>
          <w:szCs w:val="22"/>
          <w:lang w:val="sk-SK" w:bidi="he-IL"/>
        </w:rPr>
        <w:t>S: </w:t>
      </w:r>
      <w:r w:rsidR="002E190A" w:rsidRPr="00044184">
        <w:rPr>
          <w:szCs w:val="22"/>
          <w:lang w:val="sk-SK" w:bidi="he-IL"/>
        </w:rPr>
        <w:t>0</w:t>
      </w:r>
      <w:r w:rsidR="00CB2C09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85</w:t>
      </w:r>
      <w:r w:rsidR="00CB2C09" w:rsidRPr="00044184">
        <w:rPr>
          <w:szCs w:val="22"/>
          <w:lang w:val="sk-SK" w:bidi="he-IL"/>
        </w:rPr>
        <w:t> až </w:t>
      </w:r>
      <w:r w:rsidR="002E190A" w:rsidRPr="00044184">
        <w:rPr>
          <w:szCs w:val="22"/>
          <w:lang w:val="sk-SK" w:bidi="he-IL"/>
        </w:rPr>
        <w:t>1</w:t>
      </w:r>
      <w:r w:rsidR="00CB2C09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22, p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="00CB2C09"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="00CB2C09"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 xml:space="preserve">82). </w:t>
      </w:r>
      <w:r w:rsidRPr="00044184">
        <w:rPr>
          <w:szCs w:val="22"/>
          <w:lang w:val="sk-SK" w:bidi="he-IL"/>
        </w:rPr>
        <w:t xml:space="preserve">Medzi skupinou s erlotinibom a skupinou s placebom, podávanými </w:t>
      </w:r>
      <w:r w:rsidR="00574EC7" w:rsidRPr="00044184">
        <w:rPr>
          <w:szCs w:val="22"/>
          <w:lang w:val="sk-SK" w:bidi="he-IL"/>
        </w:rPr>
        <w:t>na</w:t>
      </w:r>
      <w:r w:rsidRPr="00044184">
        <w:rPr>
          <w:szCs w:val="22"/>
          <w:lang w:val="sk-SK" w:bidi="he-IL"/>
        </w:rPr>
        <w:t> udržiavac</w:t>
      </w:r>
      <w:r w:rsidR="00574EC7" w:rsidRPr="00044184">
        <w:rPr>
          <w:szCs w:val="22"/>
          <w:lang w:val="sk-SK" w:bidi="he-IL"/>
        </w:rPr>
        <w:t>iu</w:t>
      </w:r>
      <w:r w:rsidRPr="00044184">
        <w:rPr>
          <w:szCs w:val="22"/>
          <w:lang w:val="sk-SK" w:bidi="he-IL"/>
        </w:rPr>
        <w:t xml:space="preserve"> liečb</w:t>
      </w:r>
      <w:r w:rsidR="00574EC7" w:rsidRPr="00044184">
        <w:rPr>
          <w:szCs w:val="22"/>
          <w:lang w:val="sk-SK" w:bidi="he-IL"/>
        </w:rPr>
        <w:t>u</w:t>
      </w:r>
      <w:r w:rsidRPr="00044184">
        <w:rPr>
          <w:szCs w:val="22"/>
          <w:lang w:val="sk-SK" w:bidi="he-IL"/>
        </w:rPr>
        <w:t xml:space="preserve">, sa nezistil žiadny rozdiel v sekundárnom cieľovom ukazovateľovi, ktorým bolo PFS </w:t>
      </w:r>
      <w:r w:rsidR="002E190A" w:rsidRPr="00044184">
        <w:rPr>
          <w:szCs w:val="22"/>
          <w:lang w:val="sk-SK" w:bidi="he-IL"/>
        </w:rPr>
        <w:t>(HR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94</w:t>
      </w:r>
      <w:r w:rsidRPr="00044184">
        <w:rPr>
          <w:szCs w:val="22"/>
          <w:lang w:val="sk-SK" w:bidi="he-IL"/>
        </w:rPr>
        <w:t>;</w:t>
      </w:r>
      <w:r w:rsidR="002E190A" w:rsidRPr="00044184">
        <w:rPr>
          <w:szCs w:val="22"/>
          <w:lang w:val="sk-SK" w:bidi="he-IL"/>
        </w:rPr>
        <w:t xml:space="preserve"> 95</w:t>
      </w:r>
      <w:r w:rsidRPr="00044184">
        <w:rPr>
          <w:szCs w:val="22"/>
          <w:lang w:val="sk-SK"/>
        </w:rPr>
        <w:t> </w:t>
      </w:r>
      <w:r w:rsidR="002E190A" w:rsidRPr="00044184">
        <w:rPr>
          <w:szCs w:val="22"/>
          <w:lang w:val="sk-SK" w:bidi="he-IL"/>
        </w:rPr>
        <w:t>%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I</w:t>
      </w:r>
      <w:r w:rsidRPr="00044184">
        <w:rPr>
          <w:szCs w:val="22"/>
          <w:lang w:val="sk-SK" w:bidi="he-IL"/>
        </w:rPr>
        <w:t>S: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80</w:t>
      </w:r>
      <w:r w:rsidRPr="00044184">
        <w:rPr>
          <w:szCs w:val="22"/>
          <w:lang w:val="sk-SK" w:bidi="he-IL"/>
        </w:rPr>
        <w:t> až </w:t>
      </w:r>
      <w:r w:rsidR="002E190A" w:rsidRPr="00044184">
        <w:rPr>
          <w:szCs w:val="22"/>
          <w:lang w:val="sk-SK" w:bidi="he-IL"/>
        </w:rPr>
        <w:t>1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11;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p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=</w:t>
      </w:r>
      <w:r w:rsidRPr="00044184">
        <w:rPr>
          <w:szCs w:val="22"/>
          <w:lang w:val="sk-SK" w:bidi="he-IL"/>
        </w:rPr>
        <w:t> </w:t>
      </w:r>
      <w:r w:rsidR="002E190A" w:rsidRPr="00044184">
        <w:rPr>
          <w:szCs w:val="22"/>
          <w:lang w:val="sk-SK" w:bidi="he-IL"/>
        </w:rPr>
        <w:t>0</w:t>
      </w:r>
      <w:r w:rsidRPr="00044184">
        <w:rPr>
          <w:szCs w:val="22"/>
          <w:lang w:val="sk-SK" w:bidi="he-IL"/>
        </w:rPr>
        <w:t>,</w:t>
      </w:r>
      <w:r w:rsidR="002E190A" w:rsidRPr="00044184">
        <w:rPr>
          <w:szCs w:val="22"/>
          <w:lang w:val="sk-SK" w:bidi="he-IL"/>
        </w:rPr>
        <w:t>48).</w:t>
      </w:r>
    </w:p>
    <w:p w:rsidR="000E314C" w:rsidRPr="00044184" w:rsidRDefault="000E314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</w:p>
    <w:p w:rsidR="002E190A" w:rsidRPr="00044184" w:rsidRDefault="003254F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bidi="he-IL"/>
        </w:rPr>
      </w:pPr>
      <w:r w:rsidRPr="00044184">
        <w:rPr>
          <w:szCs w:val="22"/>
          <w:lang w:val="sk-SK" w:bidi="he-IL"/>
        </w:rPr>
        <w:t xml:space="preserve">Na základe údajov zo štúdie </w:t>
      </w:r>
      <w:r w:rsidR="002E190A" w:rsidRPr="00044184">
        <w:rPr>
          <w:szCs w:val="22"/>
          <w:lang w:val="sk-SK" w:bidi="he-IL"/>
        </w:rPr>
        <w:t xml:space="preserve">BO25460 (IUNO) </w:t>
      </w:r>
      <w:r w:rsidRPr="00044184">
        <w:rPr>
          <w:szCs w:val="22"/>
          <w:lang w:val="sk-SK" w:bidi="he-IL"/>
        </w:rPr>
        <w:t>sa použitie erlotinibu neodporúča na udržiavaciu liečbu nasledujúcu po prvolíniovej chemoterapii u pacientov bez aktivujúcej mutácie EGFR</w:t>
      </w:r>
      <w:r w:rsidR="002E190A" w:rsidRPr="00044184">
        <w:rPr>
          <w:szCs w:val="22"/>
          <w:lang w:val="sk-SK" w:bidi="he-IL"/>
        </w:rPr>
        <w:t>.</w:t>
      </w:r>
    </w:p>
    <w:p w:rsidR="002E190A" w:rsidRPr="00044184" w:rsidRDefault="002E190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494D95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i/>
          <w:iCs/>
          <w:szCs w:val="22"/>
          <w:lang w:val="sk-SK" w:eastAsia="en-GB"/>
        </w:rPr>
        <w:t xml:space="preserve">- </w:t>
      </w:r>
      <w:r w:rsidR="00E2391B" w:rsidRPr="00044184">
        <w:rPr>
          <w:iCs/>
          <w:szCs w:val="22"/>
          <w:u w:val="single"/>
          <w:lang w:val="sk-SK" w:eastAsia="en-GB"/>
        </w:rPr>
        <w:t xml:space="preserve">Liečba </w:t>
      </w:r>
      <w:r w:rsidR="003C3499" w:rsidRPr="00044184">
        <w:rPr>
          <w:szCs w:val="22"/>
          <w:u w:val="single"/>
          <w:lang w:val="sk-SK" w:eastAsia="en-GB"/>
        </w:rPr>
        <w:t>NSCLC</w:t>
      </w:r>
      <w:r w:rsidR="00E2391B" w:rsidRPr="00044184">
        <w:rPr>
          <w:szCs w:val="22"/>
          <w:u w:val="single"/>
          <w:lang w:val="sk-SK" w:eastAsia="en-GB"/>
        </w:rPr>
        <w:t xml:space="preserve"> po zlyhaní aspoň jedného predchádzajúceho režimu chemoterapie</w:t>
      </w:r>
      <w:r w:rsidR="003C3499" w:rsidRPr="00044184">
        <w:rPr>
          <w:szCs w:val="22"/>
          <w:u w:val="single"/>
          <w:lang w:val="sk-SK" w:eastAsia="en-GB"/>
        </w:rPr>
        <w:t xml:space="preserve"> </w:t>
      </w:r>
      <w:r w:rsidR="0038506A" w:rsidRPr="00044184">
        <w:rPr>
          <w:szCs w:val="22"/>
          <w:u w:val="single"/>
          <w:lang w:val="sk-SK" w:eastAsia="en-GB"/>
        </w:rPr>
        <w:t>(</w:t>
      </w:r>
      <w:r w:rsidR="003D7829">
        <w:rPr>
          <w:szCs w:val="22"/>
          <w:u w:val="single"/>
          <w:lang w:val="sk-SK" w:eastAsia="en-GB"/>
        </w:rPr>
        <w:t>E</w:t>
      </w:r>
      <w:r w:rsidR="0038506A" w:rsidRPr="00044184">
        <w:rPr>
          <w:szCs w:val="22"/>
          <w:u w:val="single"/>
          <w:lang w:val="sk-SK" w:eastAsia="en-GB"/>
        </w:rPr>
        <w:t>rlotinib</w:t>
      </w:r>
      <w:r w:rsidR="003D7829">
        <w:rPr>
          <w:szCs w:val="22"/>
          <w:u w:val="single"/>
          <w:lang w:val="sk-SK" w:eastAsia="en-GB"/>
        </w:rPr>
        <w:t xml:space="preserve"> STADA</w:t>
      </w:r>
      <w:r w:rsidR="003C3499" w:rsidRPr="00044184">
        <w:rPr>
          <w:szCs w:val="22"/>
          <w:u w:val="single"/>
          <w:lang w:val="sk-SK" w:eastAsia="en-GB"/>
        </w:rPr>
        <w:t xml:space="preserve"> </w:t>
      </w:r>
      <w:r w:rsidR="00E2391B" w:rsidRPr="00044184">
        <w:rPr>
          <w:szCs w:val="22"/>
          <w:u w:val="single"/>
          <w:lang w:val="sk-SK" w:eastAsia="en-GB"/>
        </w:rPr>
        <w:t>podávaný v monoterapii</w:t>
      </w:r>
      <w:r w:rsidR="003C3499" w:rsidRPr="00044184">
        <w:rPr>
          <w:szCs w:val="22"/>
          <w:u w:val="single"/>
          <w:lang w:val="sk-SK" w:eastAsia="en-GB"/>
        </w:rPr>
        <w:t>):</w:t>
      </w:r>
    </w:p>
    <w:p w:rsidR="003C3499" w:rsidRPr="00044184" w:rsidRDefault="003C3499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3D3020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Účinnosť a bezpečnosť </w:t>
      </w:r>
      <w:r w:rsidR="003C3499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v druhej</w:t>
      </w:r>
      <w:r w:rsidR="003C3499" w:rsidRPr="00044184">
        <w:rPr>
          <w:szCs w:val="22"/>
          <w:lang w:val="sk-SK" w:eastAsia="en-GB"/>
        </w:rPr>
        <w:t>/tr</w:t>
      </w:r>
      <w:r w:rsidRPr="00044184">
        <w:rPr>
          <w:szCs w:val="22"/>
          <w:lang w:val="sk-SK" w:eastAsia="en-GB"/>
        </w:rPr>
        <w:t xml:space="preserve">etej línii liečby sa </w:t>
      </w:r>
      <w:r w:rsidR="008952F1" w:rsidRPr="00044184">
        <w:rPr>
          <w:szCs w:val="22"/>
          <w:lang w:val="sk-SK" w:eastAsia="en-GB"/>
        </w:rPr>
        <w:t>stanovili</w:t>
      </w:r>
      <w:r w:rsidRPr="00044184">
        <w:rPr>
          <w:szCs w:val="22"/>
          <w:lang w:val="sk-SK" w:eastAsia="en-GB"/>
        </w:rPr>
        <w:t xml:space="preserve"> v randomizovanom, </w:t>
      </w:r>
      <w:r w:rsidR="003C3499" w:rsidRPr="00044184">
        <w:rPr>
          <w:szCs w:val="22"/>
          <w:lang w:val="sk-SK" w:eastAsia="en-GB"/>
        </w:rPr>
        <w:t>d</w:t>
      </w:r>
      <w:r w:rsidRPr="00044184">
        <w:rPr>
          <w:szCs w:val="22"/>
          <w:lang w:val="sk-SK" w:eastAsia="en-GB"/>
        </w:rPr>
        <w:t>vojito zaslepenom, placebom kontrolovanom klinickom skúšaní</w:t>
      </w:r>
      <w:r w:rsidR="003C3499" w:rsidRPr="00044184">
        <w:rPr>
          <w:szCs w:val="22"/>
          <w:lang w:val="sk-SK" w:eastAsia="en-GB"/>
        </w:rPr>
        <w:t xml:space="preserve"> (BR.21)</w:t>
      </w:r>
      <w:r w:rsidRPr="00044184">
        <w:rPr>
          <w:szCs w:val="22"/>
          <w:lang w:val="sk-SK" w:eastAsia="en-GB"/>
        </w:rPr>
        <w:t xml:space="preserve"> u </w:t>
      </w:r>
      <w:r w:rsidR="003C3499" w:rsidRPr="00044184">
        <w:rPr>
          <w:szCs w:val="22"/>
          <w:lang w:val="sk-SK" w:eastAsia="en-GB"/>
        </w:rPr>
        <w:t>731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pa</w:t>
      </w:r>
      <w:r w:rsidRPr="00044184">
        <w:rPr>
          <w:szCs w:val="22"/>
          <w:lang w:val="sk-SK" w:eastAsia="en-GB"/>
        </w:rPr>
        <w:t>c</w:t>
      </w:r>
      <w:r w:rsidR="003C3499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s lokálne pokročilým alebo metastatickým NSCLC po zlyhaní aspoň jedného režimu chemoterapie</w:t>
      </w:r>
      <w:r w:rsidR="003C3499" w:rsidRPr="00044184">
        <w:rPr>
          <w:szCs w:val="22"/>
          <w:lang w:val="sk-SK" w:eastAsia="en-GB"/>
        </w:rPr>
        <w:t>. Pa</w:t>
      </w:r>
      <w:r w:rsidRPr="00044184">
        <w:rPr>
          <w:szCs w:val="22"/>
          <w:lang w:val="sk-SK" w:eastAsia="en-GB"/>
        </w:rPr>
        <w:t>c</w:t>
      </w:r>
      <w:r w:rsidR="003C3499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 xml:space="preserve">i boli randomizovaní </w:t>
      </w:r>
      <w:r w:rsidR="008952F1" w:rsidRPr="00044184">
        <w:rPr>
          <w:szCs w:val="22"/>
          <w:lang w:val="sk-SK" w:eastAsia="en-GB"/>
        </w:rPr>
        <w:t xml:space="preserve">v pomere </w:t>
      </w:r>
      <w:r w:rsidR="003C3499" w:rsidRPr="00044184">
        <w:rPr>
          <w:szCs w:val="22"/>
          <w:lang w:val="sk-SK" w:eastAsia="en-GB"/>
        </w:rPr>
        <w:t xml:space="preserve">2:1 </w:t>
      </w:r>
      <w:r w:rsidRPr="00044184">
        <w:rPr>
          <w:szCs w:val="22"/>
          <w:lang w:val="sk-SK" w:eastAsia="en-GB"/>
        </w:rPr>
        <w:t>do skupiny buď s erlotinibom v dávke 150 mg alebo s placebom, podávanými perorálne jedenkrát denne</w:t>
      </w:r>
      <w:r w:rsidR="003C3499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Cieľové ukazovatele štúdie zahŕňali celkové prežívanie</w:t>
      </w:r>
      <w:r w:rsidR="003C3499" w:rsidRPr="00044184">
        <w:rPr>
          <w:szCs w:val="22"/>
          <w:lang w:val="sk-SK" w:eastAsia="en-GB"/>
        </w:rPr>
        <w:t>,</w:t>
      </w:r>
      <w:r w:rsidR="000E314C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prežívanie bez</w:t>
      </w:r>
      <w:r w:rsidR="00FE7E49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príznakov progresie ochorenia</w:t>
      </w:r>
      <w:r w:rsidR="003C3499" w:rsidRPr="00044184">
        <w:rPr>
          <w:szCs w:val="22"/>
          <w:lang w:val="sk-SK" w:eastAsia="en-GB"/>
        </w:rPr>
        <w:t xml:space="preserve"> (PFS), </w:t>
      </w:r>
      <w:r w:rsidRPr="00044184">
        <w:rPr>
          <w:szCs w:val="22"/>
          <w:lang w:val="sk-SK" w:eastAsia="en-GB"/>
        </w:rPr>
        <w:t>výskyt odpovede na liečbu, trvanie odpovede na</w:t>
      </w:r>
      <w:r w:rsidR="008952F1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liečbu, čas do zhoršenia príznakov súvisiacich s karcinómom pľúc (kašeľ, dyspnoe, bolesť) a</w:t>
      </w:r>
      <w:r w:rsidR="008952F1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bezpečnosť</w:t>
      </w:r>
      <w:r w:rsidR="003C3499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Primárnym cieľovým ukazovateľom bolo prežívanie</w:t>
      </w:r>
      <w:r w:rsidR="003C3499" w:rsidRPr="00044184">
        <w:rPr>
          <w:szCs w:val="22"/>
          <w:lang w:val="sk-SK" w:eastAsia="en-GB"/>
        </w:rPr>
        <w:t>.</w:t>
      </w:r>
    </w:p>
    <w:p w:rsidR="003C3499" w:rsidRPr="00044184" w:rsidRDefault="003C3499" w:rsidP="00695459">
      <w:pPr>
        <w:spacing w:line="240" w:lineRule="auto"/>
        <w:rPr>
          <w:szCs w:val="22"/>
          <w:lang w:val="sk-SK" w:eastAsia="en-GB"/>
        </w:rPr>
      </w:pPr>
    </w:p>
    <w:p w:rsidR="003C3499" w:rsidRPr="00044184" w:rsidRDefault="003D3020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Demografické charakteristiky boli medzi dvomi liečebnými </w:t>
      </w:r>
      <w:r w:rsidR="00487FAC" w:rsidRPr="00044184">
        <w:rPr>
          <w:szCs w:val="22"/>
          <w:lang w:val="sk-SK" w:eastAsia="en-GB"/>
        </w:rPr>
        <w:t>skupinami dobre vyvážené</w:t>
      </w:r>
      <w:r w:rsidR="003C3499" w:rsidRPr="00044184">
        <w:rPr>
          <w:szCs w:val="22"/>
          <w:lang w:val="sk-SK" w:eastAsia="en-GB"/>
        </w:rPr>
        <w:t xml:space="preserve">. </w:t>
      </w:r>
      <w:r w:rsidR="00840073" w:rsidRPr="00044184">
        <w:rPr>
          <w:szCs w:val="22"/>
          <w:lang w:val="sk-SK" w:eastAsia="en-GB"/>
        </w:rPr>
        <w:t xml:space="preserve">Približne dve tretiny pacientov tvorili muži a približne jedna tretina pacientov mala východiskový výkonnostný stav (PS) podľa ECOG rovný </w:t>
      </w:r>
      <w:r w:rsidR="003C3499" w:rsidRPr="00044184">
        <w:rPr>
          <w:szCs w:val="22"/>
          <w:lang w:val="sk-SK" w:eastAsia="en-GB"/>
        </w:rPr>
        <w:t>2</w:t>
      </w:r>
      <w:r w:rsidR="008952F1" w:rsidRPr="00044184">
        <w:rPr>
          <w:szCs w:val="22"/>
          <w:lang w:val="sk-SK" w:eastAsia="en-GB"/>
        </w:rPr>
        <w:t> %</w:t>
      </w:r>
      <w:r w:rsidR="003C3499" w:rsidRPr="00044184">
        <w:rPr>
          <w:szCs w:val="22"/>
          <w:lang w:val="sk-SK" w:eastAsia="en-GB"/>
        </w:rPr>
        <w:t xml:space="preserve"> a</w:t>
      </w:r>
      <w:r w:rsidR="00840073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9</w:t>
      </w:r>
      <w:r w:rsidR="00840073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 xml:space="preserve">% </w:t>
      </w:r>
      <w:r w:rsidR="00840073" w:rsidRPr="00044184">
        <w:rPr>
          <w:szCs w:val="22"/>
          <w:lang w:val="sk-SK" w:eastAsia="en-GB"/>
        </w:rPr>
        <w:t xml:space="preserve">malo </w:t>
      </w:r>
      <w:r w:rsidR="004F4044" w:rsidRPr="00044184">
        <w:rPr>
          <w:szCs w:val="22"/>
          <w:lang w:val="sk-SK" w:eastAsia="en-GB"/>
        </w:rPr>
        <w:t xml:space="preserve">východiskový </w:t>
      </w:r>
      <w:r w:rsidR="00840073" w:rsidRPr="00044184">
        <w:rPr>
          <w:szCs w:val="22"/>
          <w:lang w:val="sk-SK" w:eastAsia="en-GB"/>
        </w:rPr>
        <w:t>PS podľa ECOG rovný</w:t>
      </w:r>
      <w:r w:rsidR="003C3499" w:rsidRPr="00044184">
        <w:rPr>
          <w:szCs w:val="22"/>
          <w:lang w:val="sk-SK" w:eastAsia="en-GB"/>
        </w:rPr>
        <w:t xml:space="preserve"> 3. </w:t>
      </w:r>
      <w:r w:rsidR="008952F1" w:rsidRPr="00044184">
        <w:rPr>
          <w:szCs w:val="22"/>
          <w:lang w:val="sk-SK" w:eastAsia="en-GB"/>
        </w:rPr>
        <w:t>93 %</w:t>
      </w:r>
      <w:r w:rsidR="00FE7E49" w:rsidRPr="00044184">
        <w:rPr>
          <w:szCs w:val="22"/>
          <w:lang w:val="sk-SK" w:eastAsia="en-GB"/>
        </w:rPr>
        <w:t xml:space="preserve"> pacientov v skupine s erlotinibom a 92 % pacientov v skupine s placebom podstúpilo p</w:t>
      </w:r>
      <w:r w:rsidR="00840073" w:rsidRPr="00044184">
        <w:rPr>
          <w:szCs w:val="22"/>
          <w:lang w:val="sk-SK" w:eastAsia="en-GB"/>
        </w:rPr>
        <w:t xml:space="preserve">redchádzajúci režim obsahujúci platinu </w:t>
      </w:r>
      <w:r w:rsidR="00FE7E49" w:rsidRPr="00044184">
        <w:rPr>
          <w:szCs w:val="22"/>
          <w:lang w:val="sk-SK" w:eastAsia="en-GB"/>
        </w:rPr>
        <w:t xml:space="preserve">a 36 % pacientov v skupine s erlotinibom a 37 % pacientov v skupine s placebom podstúpilo </w:t>
      </w:r>
      <w:r w:rsidR="00BA6996" w:rsidRPr="00044184">
        <w:rPr>
          <w:szCs w:val="22"/>
          <w:lang w:val="sk-SK" w:eastAsia="en-GB"/>
        </w:rPr>
        <w:t>predchádzajúcu liečbu taxánmi.</w:t>
      </w:r>
    </w:p>
    <w:p w:rsidR="003C3499" w:rsidRPr="00044184" w:rsidRDefault="003C349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CA6D4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Upravený pomer rizík (hazard ratio, </w:t>
      </w:r>
      <w:r w:rsidR="003C3499" w:rsidRPr="00044184">
        <w:rPr>
          <w:szCs w:val="22"/>
          <w:lang w:val="sk-SK" w:eastAsia="en-GB"/>
        </w:rPr>
        <w:t xml:space="preserve">HR) </w:t>
      </w:r>
      <w:r w:rsidRPr="00044184">
        <w:rPr>
          <w:szCs w:val="22"/>
          <w:lang w:val="sk-SK" w:eastAsia="en-GB"/>
        </w:rPr>
        <w:t>pre úmrtie v skupine s </w:t>
      </w:r>
      <w:r w:rsidR="003C3499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 xml:space="preserve">om v porovnaní so skupinou s placebom bol 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73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60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87) (p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001). </w:t>
      </w:r>
      <w:r w:rsidRPr="00044184">
        <w:rPr>
          <w:szCs w:val="22"/>
          <w:lang w:val="sk-SK" w:eastAsia="en-GB"/>
        </w:rPr>
        <w:t xml:space="preserve">Percento </w:t>
      </w:r>
      <w:r w:rsidR="008952F1" w:rsidRPr="00044184">
        <w:rPr>
          <w:szCs w:val="22"/>
          <w:lang w:val="sk-SK" w:eastAsia="en-GB"/>
        </w:rPr>
        <w:t>pre</w:t>
      </w:r>
      <w:r w:rsidRPr="00044184">
        <w:rPr>
          <w:szCs w:val="22"/>
          <w:lang w:val="sk-SK" w:eastAsia="en-GB"/>
        </w:rPr>
        <w:t>ž</w:t>
      </w:r>
      <w:r w:rsidR="008952F1" w:rsidRPr="00044184">
        <w:rPr>
          <w:szCs w:val="22"/>
          <w:lang w:val="sk-SK" w:eastAsia="en-GB"/>
        </w:rPr>
        <w:t>íva</w:t>
      </w:r>
      <w:r w:rsidRPr="00044184">
        <w:rPr>
          <w:szCs w:val="22"/>
          <w:lang w:val="sk-SK" w:eastAsia="en-GB"/>
        </w:rPr>
        <w:t xml:space="preserve">júcich pacientov </w:t>
      </w:r>
      <w:r w:rsidR="008952F1" w:rsidRPr="00044184">
        <w:rPr>
          <w:szCs w:val="22"/>
          <w:lang w:val="sk-SK" w:eastAsia="en-GB"/>
        </w:rPr>
        <w:t xml:space="preserve">počas </w:t>
      </w:r>
      <w:r w:rsidRPr="00044184">
        <w:rPr>
          <w:szCs w:val="22"/>
          <w:lang w:val="sk-SK" w:eastAsia="en-GB"/>
        </w:rPr>
        <w:t>12 mesiaci</w:t>
      </w:r>
      <w:r w:rsidR="008952F1" w:rsidRPr="00044184">
        <w:rPr>
          <w:szCs w:val="22"/>
          <w:lang w:val="sk-SK" w:eastAsia="en-GB"/>
        </w:rPr>
        <w:t>acov</w:t>
      </w:r>
      <w:r w:rsidRPr="00044184">
        <w:rPr>
          <w:szCs w:val="22"/>
          <w:lang w:val="sk-SK" w:eastAsia="en-GB"/>
        </w:rPr>
        <w:t xml:space="preserve"> bolo </w:t>
      </w:r>
      <w:r w:rsidR="003C3499" w:rsidRPr="00044184">
        <w:rPr>
          <w:szCs w:val="22"/>
          <w:lang w:val="sk-SK" w:eastAsia="en-GB"/>
        </w:rPr>
        <w:t>31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2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 xml:space="preserve"> v skupine s erlotinibom</w:t>
      </w:r>
      <w:r w:rsidR="003C3499" w:rsidRPr="00044184">
        <w:rPr>
          <w:szCs w:val="22"/>
          <w:lang w:val="sk-SK" w:eastAsia="en-GB"/>
        </w:rPr>
        <w:t xml:space="preserve"> a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21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> % v skupine s </w:t>
      </w:r>
      <w:r w:rsidR="003C3499" w:rsidRPr="00044184">
        <w:rPr>
          <w:szCs w:val="22"/>
          <w:lang w:val="sk-SK" w:eastAsia="en-GB"/>
        </w:rPr>
        <w:t>placebo</w:t>
      </w:r>
      <w:r w:rsidRPr="00044184">
        <w:rPr>
          <w:szCs w:val="22"/>
          <w:lang w:val="sk-SK" w:eastAsia="en-GB"/>
        </w:rPr>
        <w:t>m</w:t>
      </w:r>
      <w:r w:rsidR="003C3499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Medián celkového prežívania bol 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 mesiac</w:t>
      </w:r>
      <w:r w:rsidR="003D7829">
        <w:rPr>
          <w:szCs w:val="22"/>
          <w:lang w:val="sk-SK" w:eastAsia="en-GB"/>
        </w:rPr>
        <w:t>ov</w:t>
      </w:r>
      <w:r w:rsidRPr="00044184">
        <w:rPr>
          <w:szCs w:val="22"/>
          <w:lang w:val="sk-SK" w:eastAsia="en-GB"/>
        </w:rPr>
        <w:t xml:space="preserve"> v skupine s erlotinibom </w:t>
      </w:r>
      <w:r w:rsidR="003C3499" w:rsidRPr="00044184">
        <w:rPr>
          <w:szCs w:val="22"/>
          <w:lang w:val="sk-SK" w:eastAsia="en-GB"/>
        </w:rPr>
        <w:t>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>esiac</w:t>
      </w:r>
      <w:r w:rsidR="003D7829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 xml:space="preserve">) </w:t>
      </w:r>
      <w:r w:rsidRPr="00044184">
        <w:rPr>
          <w:szCs w:val="22"/>
          <w:lang w:val="sk-SK" w:eastAsia="en-GB"/>
        </w:rPr>
        <w:t>v porovnaní so </w:t>
      </w:r>
      <w:r w:rsidR="003C3499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m</w:t>
      </w:r>
      <w:r w:rsidRPr="00044184">
        <w:rPr>
          <w:szCs w:val="22"/>
          <w:lang w:val="sk-SK" w:eastAsia="en-GB"/>
        </w:rPr>
        <w:t>e</w:t>
      </w:r>
      <w:r w:rsidR="003C3499" w:rsidRPr="00044184">
        <w:rPr>
          <w:szCs w:val="22"/>
          <w:lang w:val="sk-SK" w:eastAsia="en-GB"/>
        </w:rPr>
        <w:t>s</w:t>
      </w:r>
      <w:r w:rsidRPr="00044184">
        <w:rPr>
          <w:szCs w:val="22"/>
          <w:lang w:val="sk-SK" w:eastAsia="en-GB"/>
        </w:rPr>
        <w:t>iac</w:t>
      </w:r>
      <w:r w:rsidR="003D7829">
        <w:rPr>
          <w:szCs w:val="22"/>
          <w:lang w:val="sk-SK" w:eastAsia="en-GB"/>
        </w:rPr>
        <w:t>mi</w:t>
      </w:r>
      <w:r w:rsidRPr="00044184">
        <w:rPr>
          <w:szCs w:val="22"/>
          <w:lang w:val="sk-SK" w:eastAsia="en-GB"/>
        </w:rPr>
        <w:t xml:space="preserve"> v skupine s </w:t>
      </w:r>
      <w:r w:rsidR="003C3499" w:rsidRPr="00044184">
        <w:rPr>
          <w:szCs w:val="22"/>
          <w:lang w:val="sk-SK" w:eastAsia="en-GB"/>
        </w:rPr>
        <w:t>placebo</w:t>
      </w:r>
      <w:r w:rsidRPr="00044184">
        <w:rPr>
          <w:szCs w:val="22"/>
          <w:lang w:val="sk-SK" w:eastAsia="en-GB"/>
        </w:rPr>
        <w:t>m</w:t>
      </w:r>
      <w:r w:rsidR="003C3499" w:rsidRPr="00044184">
        <w:rPr>
          <w:szCs w:val="22"/>
          <w:lang w:val="sk-SK" w:eastAsia="en-GB"/>
        </w:rPr>
        <w:t xml:space="preserve"> 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3</w:t>
      </w:r>
      <w:r w:rsidRPr="00044184">
        <w:rPr>
          <w:szCs w:val="22"/>
          <w:lang w:val="sk-SK" w:eastAsia="en-GB"/>
        </w:rPr>
        <w:t> me</w:t>
      </w:r>
      <w:r w:rsidR="003C3499" w:rsidRPr="00044184">
        <w:rPr>
          <w:szCs w:val="22"/>
          <w:lang w:val="sk-SK" w:eastAsia="en-GB"/>
        </w:rPr>
        <w:t>s</w:t>
      </w:r>
      <w:r w:rsidRPr="00044184">
        <w:rPr>
          <w:szCs w:val="22"/>
          <w:lang w:val="sk-SK" w:eastAsia="en-GB"/>
        </w:rPr>
        <w:t>iac</w:t>
      </w:r>
      <w:r w:rsidR="003D7829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>).</w:t>
      </w:r>
    </w:p>
    <w:p w:rsidR="003C3499" w:rsidRPr="00044184" w:rsidRDefault="003C349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CA6D4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Vplyv na celkové prežívanie </w:t>
      </w:r>
      <w:r w:rsidR="00855D87" w:rsidRPr="00044184">
        <w:rPr>
          <w:szCs w:val="22"/>
          <w:lang w:val="sk-SK" w:eastAsia="en-GB"/>
        </w:rPr>
        <w:t>sa preskúmal</w:t>
      </w:r>
      <w:r w:rsidRPr="00044184">
        <w:rPr>
          <w:szCs w:val="22"/>
          <w:lang w:val="sk-SK" w:eastAsia="en-GB"/>
        </w:rPr>
        <w:t xml:space="preserve"> naprieč rôznymi podskupinami pacientov</w:t>
      </w:r>
      <w:r w:rsidR="003C3499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Vplyv </w:t>
      </w:r>
      <w:r w:rsidR="003C3499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</w:t>
      </w:r>
      <w:r w:rsidR="003C3499" w:rsidRPr="00044184">
        <w:rPr>
          <w:szCs w:val="22"/>
          <w:lang w:val="sk-SK" w:eastAsia="en-GB"/>
        </w:rPr>
        <w:t xml:space="preserve"> n</w:t>
      </w:r>
      <w:r w:rsidRPr="00044184">
        <w:rPr>
          <w:szCs w:val="22"/>
          <w:lang w:val="sk-SK" w:eastAsia="en-GB"/>
        </w:rPr>
        <w:t>a</w:t>
      </w:r>
      <w:r w:rsidR="00120BA4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celkové prežívanie bol podobný </w:t>
      </w:r>
      <w:r w:rsidR="00727E17" w:rsidRPr="00044184">
        <w:rPr>
          <w:szCs w:val="22"/>
          <w:lang w:val="sk-SK" w:eastAsia="en-GB"/>
        </w:rPr>
        <w:t xml:space="preserve">u </w:t>
      </w:r>
      <w:r w:rsidRPr="00044184">
        <w:rPr>
          <w:szCs w:val="22"/>
          <w:lang w:val="sk-SK" w:eastAsia="en-GB"/>
        </w:rPr>
        <w:t>pacient</w:t>
      </w:r>
      <w:r w:rsidR="00727E17" w:rsidRPr="00044184">
        <w:rPr>
          <w:szCs w:val="22"/>
          <w:lang w:val="sk-SK" w:eastAsia="en-GB"/>
        </w:rPr>
        <w:t>ov</w:t>
      </w:r>
      <w:r w:rsidRPr="00044184">
        <w:rPr>
          <w:szCs w:val="22"/>
          <w:lang w:val="sk-SK" w:eastAsia="en-GB"/>
        </w:rPr>
        <w:t xml:space="preserve"> s východiskovým </w:t>
      </w:r>
      <w:r w:rsidR="004F4044" w:rsidRPr="00044184">
        <w:rPr>
          <w:szCs w:val="22"/>
          <w:lang w:val="sk-SK" w:eastAsia="en-GB"/>
        </w:rPr>
        <w:t xml:space="preserve">výkonnostným </w:t>
      </w:r>
      <w:r w:rsidRPr="00044184">
        <w:rPr>
          <w:szCs w:val="22"/>
          <w:lang w:val="sk-SK" w:eastAsia="en-GB"/>
        </w:rPr>
        <w:t xml:space="preserve">stavom </w:t>
      </w:r>
      <w:r w:rsidR="003C3499" w:rsidRPr="00044184">
        <w:rPr>
          <w:szCs w:val="22"/>
          <w:lang w:val="sk-SK" w:eastAsia="en-GB"/>
        </w:rPr>
        <w:t xml:space="preserve">(ECOG) </w:t>
      </w:r>
      <w:r w:rsidRPr="00044184">
        <w:rPr>
          <w:szCs w:val="22"/>
          <w:lang w:val="sk-SK" w:eastAsia="en-GB"/>
        </w:rPr>
        <w:t>rovným</w:t>
      </w:r>
      <w:r w:rsidR="003C3499" w:rsidRPr="00044184">
        <w:rPr>
          <w:szCs w:val="22"/>
          <w:lang w:val="sk-SK" w:eastAsia="en-GB"/>
        </w:rPr>
        <w:t xml:space="preserve"> 2</w:t>
      </w:r>
      <w:r w:rsidRPr="00044184">
        <w:rPr>
          <w:szCs w:val="22"/>
          <w:lang w:val="sk-SK" w:eastAsia="en-GB"/>
        </w:rPr>
        <w:t> </w:t>
      </w:r>
      <w:r w:rsidR="000B7972" w:rsidRPr="00044184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3 (HR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77,</w:t>
      </w:r>
      <w:r w:rsidR="00120BA4" w:rsidRPr="00044184">
        <w:rPr>
          <w:szCs w:val="22"/>
          <w:lang w:val="sk-SK" w:eastAsia="en-GB"/>
        </w:rPr>
        <w:t xml:space="preserve"> </w:t>
      </w:r>
      <w:r w:rsidR="003C3499" w:rsidRPr="00044184">
        <w:rPr>
          <w:szCs w:val="22"/>
          <w:lang w:val="sk-SK" w:eastAsia="en-GB"/>
        </w:rPr>
        <w:t>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 </w:t>
      </w:r>
      <w:r w:rsidRPr="00044184">
        <w:rPr>
          <w:szCs w:val="22"/>
          <w:lang w:val="sk-SK" w:eastAsia="en-GB"/>
        </w:rPr>
        <w:t xml:space="preserve">alebo 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 </w:t>
      </w:r>
      <w:r w:rsidR="000B7972" w:rsidRPr="00044184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(HR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73, 95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9), </w:t>
      </w:r>
      <w:r w:rsidR="00727E17" w:rsidRPr="00044184">
        <w:rPr>
          <w:szCs w:val="22"/>
          <w:lang w:val="sk-SK" w:eastAsia="en-GB"/>
        </w:rPr>
        <w:t>u pacientov mužského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76, 95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9) </w:t>
      </w:r>
      <w:r w:rsidR="00727E17" w:rsidRPr="00044184">
        <w:rPr>
          <w:szCs w:val="22"/>
          <w:lang w:val="sk-SK" w:eastAsia="en-GB"/>
        </w:rPr>
        <w:t xml:space="preserve">alebo ženského pohlavia </w:t>
      </w:r>
      <w:r w:rsidR="003C3499" w:rsidRPr="00044184">
        <w:rPr>
          <w:szCs w:val="22"/>
          <w:lang w:val="sk-SK" w:eastAsia="en-GB"/>
        </w:rPr>
        <w:t>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80, 95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1),</w:t>
      </w:r>
      <w:r w:rsidR="00727E17" w:rsidRPr="00044184">
        <w:rPr>
          <w:szCs w:val="22"/>
          <w:lang w:val="sk-SK" w:eastAsia="en-GB"/>
        </w:rPr>
        <w:t xml:space="preserve"> u pacientov vo veku </w:t>
      </w:r>
      <w:r w:rsidR="003C3499" w:rsidRPr="00044184">
        <w:rPr>
          <w:szCs w:val="22"/>
          <w:lang w:val="sk-SK" w:eastAsia="en-GB"/>
        </w:rPr>
        <w:t>&lt;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65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r</w:t>
      </w:r>
      <w:r w:rsidR="00727E17" w:rsidRPr="00044184">
        <w:rPr>
          <w:szCs w:val="22"/>
          <w:lang w:val="sk-SK" w:eastAsia="en-GB"/>
        </w:rPr>
        <w:t>okov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75, 95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9)</w:t>
      </w:r>
      <w:r w:rsidR="00727E17" w:rsidRPr="00044184">
        <w:rPr>
          <w:szCs w:val="22"/>
          <w:lang w:val="sk-SK" w:eastAsia="en-GB"/>
        </w:rPr>
        <w:t xml:space="preserve"> alebo </w:t>
      </w:r>
      <w:r w:rsidR="003D7829">
        <w:rPr>
          <w:szCs w:val="22"/>
          <w:lang w:val="sk-SK" w:eastAsia="en-GB"/>
        </w:rPr>
        <w:t xml:space="preserve">u </w:t>
      </w:r>
      <w:r w:rsidR="00727E17" w:rsidRPr="00044184">
        <w:rPr>
          <w:szCs w:val="22"/>
          <w:lang w:val="sk-SK" w:eastAsia="en-GB"/>
        </w:rPr>
        <w:t>starších pacientov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79, 95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0), </w:t>
      </w:r>
      <w:r w:rsidR="00727E17" w:rsidRPr="00044184">
        <w:rPr>
          <w:szCs w:val="22"/>
          <w:lang w:val="sk-SK" w:eastAsia="en-GB"/>
        </w:rPr>
        <w:t>u pacientov s jedným predchádzajúcim režimom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76, 95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 </w:t>
      </w:r>
      <w:r w:rsidR="00727E17" w:rsidRPr="00044184">
        <w:rPr>
          <w:szCs w:val="22"/>
          <w:lang w:val="sk-SK" w:eastAsia="en-GB"/>
        </w:rPr>
        <w:t xml:space="preserve">alebo </w:t>
      </w:r>
      <w:r w:rsidR="00AA6987" w:rsidRPr="00044184">
        <w:rPr>
          <w:szCs w:val="22"/>
          <w:lang w:val="sk-SK" w:eastAsia="en-GB"/>
        </w:rPr>
        <w:t>s </w:t>
      </w:r>
      <w:r w:rsidR="00727E17" w:rsidRPr="00044184">
        <w:rPr>
          <w:szCs w:val="22"/>
          <w:lang w:val="sk-SK" w:eastAsia="en-GB"/>
        </w:rPr>
        <w:t xml:space="preserve">viac ako jedným predchádzajúcim režimom </w:t>
      </w:r>
      <w:r w:rsidR="003C3499" w:rsidRPr="00044184">
        <w:rPr>
          <w:szCs w:val="22"/>
          <w:lang w:val="sk-SK" w:eastAsia="en-GB"/>
        </w:rPr>
        <w:t>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75, 95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0), </w:t>
      </w:r>
      <w:r w:rsidR="00727E17" w:rsidRPr="00044184">
        <w:rPr>
          <w:szCs w:val="22"/>
          <w:lang w:val="sk-SK" w:eastAsia="en-GB"/>
        </w:rPr>
        <w:t xml:space="preserve">u pacientov </w:t>
      </w:r>
      <w:r w:rsidR="000B7972" w:rsidRPr="00044184">
        <w:rPr>
          <w:szCs w:val="22"/>
          <w:lang w:val="sk-SK" w:eastAsia="en-GB"/>
        </w:rPr>
        <w:t>bielej rasy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79, 95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 </w:t>
      </w:r>
      <w:r w:rsidR="00727E17" w:rsidRPr="00044184">
        <w:rPr>
          <w:szCs w:val="22"/>
          <w:lang w:val="sk-SK" w:eastAsia="en-GB"/>
        </w:rPr>
        <w:t>alebo ázijského pôvodu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61, 95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0), </w:t>
      </w:r>
      <w:r w:rsidR="00727E17" w:rsidRPr="00044184">
        <w:rPr>
          <w:szCs w:val="22"/>
          <w:lang w:val="sk-SK" w:eastAsia="en-GB"/>
        </w:rPr>
        <w:t>u pacientov s adenokarcinómom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71, 95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</w:t>
      </w:r>
      <w:r w:rsidR="00727E17" w:rsidRPr="00044184">
        <w:rPr>
          <w:szCs w:val="22"/>
          <w:lang w:val="sk-SK" w:eastAsia="en-GB"/>
        </w:rPr>
        <w:t> </w:t>
      </w:r>
      <w:r w:rsidR="003D7829">
        <w:rPr>
          <w:szCs w:val="22"/>
          <w:lang w:val="sk-SK" w:eastAsia="en-GB"/>
        </w:rPr>
        <w:t xml:space="preserve">– 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9) </w:t>
      </w:r>
      <w:r w:rsidR="00727E17" w:rsidRPr="00044184">
        <w:rPr>
          <w:szCs w:val="22"/>
          <w:lang w:val="sk-SK" w:eastAsia="en-GB"/>
        </w:rPr>
        <w:t>alebo so</w:t>
      </w:r>
      <w:r w:rsidR="003D7829">
        <w:rPr>
          <w:szCs w:val="22"/>
          <w:lang w:val="sk-SK" w:eastAsia="en-GB"/>
        </w:rPr>
        <w:t> </w:t>
      </w:r>
      <w:r w:rsidR="00727E17" w:rsidRPr="00044184">
        <w:rPr>
          <w:szCs w:val="22"/>
          <w:lang w:val="sk-SK" w:eastAsia="en-GB"/>
        </w:rPr>
        <w:t>s</w:t>
      </w:r>
      <w:r w:rsidR="003D7829">
        <w:rPr>
          <w:szCs w:val="22"/>
          <w:lang w:val="sk-SK" w:eastAsia="en-GB"/>
        </w:rPr>
        <w:t>pinocelulárnym</w:t>
      </w:r>
      <w:r w:rsidR="00727E17" w:rsidRPr="00044184">
        <w:rPr>
          <w:szCs w:val="22"/>
          <w:lang w:val="sk-SK" w:eastAsia="en-GB"/>
        </w:rPr>
        <w:t xml:space="preserve"> karcinómom </w:t>
      </w:r>
      <w:r w:rsidR="003C3499" w:rsidRPr="00044184">
        <w:rPr>
          <w:szCs w:val="22"/>
          <w:lang w:val="sk-SK" w:eastAsia="en-GB"/>
        </w:rPr>
        <w:t>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67, 95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IS: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5</w:t>
      </w:r>
      <w:r w:rsidR="00727E17" w:rsidRPr="00044184">
        <w:rPr>
          <w:szCs w:val="22"/>
          <w:lang w:val="sk-SK" w:eastAsia="en-GB"/>
        </w:rPr>
        <w:t> </w:t>
      </w:r>
      <w:r w:rsidR="005F4BD3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9), </w:t>
      </w:r>
      <w:r w:rsidR="00727E17" w:rsidRPr="00044184">
        <w:rPr>
          <w:szCs w:val="22"/>
          <w:lang w:val="sk-SK" w:eastAsia="en-GB"/>
        </w:rPr>
        <w:t xml:space="preserve">ale nie u pacientov s inými histologickými </w:t>
      </w:r>
      <w:r w:rsidR="005F4BD3">
        <w:rPr>
          <w:szCs w:val="22"/>
          <w:lang w:val="sk-SK" w:eastAsia="en-GB"/>
        </w:rPr>
        <w:t>nálezmi</w:t>
      </w:r>
      <w:r w:rsidR="00727E17" w:rsidRPr="00044184">
        <w:rPr>
          <w:szCs w:val="22"/>
          <w:lang w:val="sk-SK" w:eastAsia="en-GB"/>
        </w:rPr>
        <w:t xml:space="preserve"> </w:t>
      </w:r>
      <w:r w:rsidR="003C3499" w:rsidRPr="00044184">
        <w:rPr>
          <w:szCs w:val="22"/>
          <w:lang w:val="sk-SK" w:eastAsia="en-GB"/>
        </w:rPr>
        <w:t>(HR</w:t>
      </w:r>
      <w:r w:rsidR="00727E17" w:rsidRPr="00044184">
        <w:rPr>
          <w:szCs w:val="22"/>
          <w:lang w:val="sk-SK" w:eastAsia="en-GB"/>
        </w:rPr>
        <w:t> =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04, 95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="00727E17" w:rsidRPr="00044184">
        <w:rPr>
          <w:szCs w:val="22"/>
          <w:lang w:val="sk-SK" w:eastAsia="en-GB"/>
        </w:rPr>
        <w:t> </w:t>
      </w:r>
      <w:r w:rsidR="005F4BD3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5), </w:t>
      </w:r>
      <w:r w:rsidR="00727E17" w:rsidRPr="00044184">
        <w:rPr>
          <w:szCs w:val="22"/>
          <w:lang w:val="sk-SK" w:eastAsia="en-GB"/>
        </w:rPr>
        <w:t>u pacientov s ochorením v štádiu </w:t>
      </w:r>
      <w:r w:rsidR="003C3499" w:rsidRPr="00044184">
        <w:rPr>
          <w:szCs w:val="22"/>
          <w:lang w:val="sk-SK" w:eastAsia="en-GB"/>
        </w:rPr>
        <w:t xml:space="preserve">IV </w:t>
      </w:r>
      <w:r w:rsidR="00727E17" w:rsidRPr="00044184">
        <w:rPr>
          <w:szCs w:val="22"/>
          <w:lang w:val="sk-SK" w:eastAsia="en-GB"/>
        </w:rPr>
        <w:t>v čase stanovenia diagnózy</w:t>
      </w:r>
      <w:r w:rsidR="003C3499" w:rsidRPr="00044184">
        <w:rPr>
          <w:szCs w:val="22"/>
          <w:lang w:val="sk-SK" w:eastAsia="en-GB"/>
        </w:rPr>
        <w:t xml:space="preserve"> (HR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92, 95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727E17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="00727E17" w:rsidRPr="00044184">
        <w:rPr>
          <w:szCs w:val="22"/>
          <w:lang w:val="sk-SK" w:eastAsia="en-GB"/>
        </w:rPr>
        <w:t> </w:t>
      </w:r>
      <w:r w:rsidR="005F4BD3">
        <w:rPr>
          <w:szCs w:val="22"/>
          <w:lang w:val="sk-SK" w:eastAsia="en-GB"/>
        </w:rPr>
        <w:t>–</w:t>
      </w:r>
      <w:r w:rsidR="00727E17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727E17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2) </w:t>
      </w:r>
      <w:r w:rsidR="00727E17" w:rsidRPr="00044184">
        <w:rPr>
          <w:szCs w:val="22"/>
          <w:lang w:val="sk-SK" w:eastAsia="en-GB"/>
        </w:rPr>
        <w:t>alebo s</w:t>
      </w:r>
      <w:r w:rsidR="00381B0D" w:rsidRPr="00044184">
        <w:rPr>
          <w:szCs w:val="22"/>
          <w:lang w:val="sk-SK" w:eastAsia="en-GB"/>
        </w:rPr>
        <w:t> </w:t>
      </w:r>
      <w:r w:rsidR="00727E17" w:rsidRPr="00044184">
        <w:rPr>
          <w:szCs w:val="22"/>
          <w:lang w:val="sk-SK" w:eastAsia="en-GB"/>
        </w:rPr>
        <w:t>ochorením</w:t>
      </w:r>
      <w:r w:rsidR="00381B0D" w:rsidRPr="00044184">
        <w:rPr>
          <w:szCs w:val="22"/>
          <w:lang w:val="sk-SK" w:eastAsia="en-GB"/>
        </w:rPr>
        <w:t xml:space="preserve"> v štádiu </w:t>
      </w:r>
      <w:r w:rsidR="005F4BD3" w:rsidRPr="00D41C7A">
        <w:rPr>
          <w:szCs w:val="22"/>
          <w:lang w:val="en-US"/>
        </w:rPr>
        <w:t xml:space="preserve">&lt; </w:t>
      </w:r>
      <w:r w:rsidR="00381B0D" w:rsidRPr="00044184">
        <w:rPr>
          <w:szCs w:val="22"/>
          <w:lang w:val="sk-SK" w:eastAsia="en-GB"/>
        </w:rPr>
        <w:t>štádium </w:t>
      </w:r>
      <w:r w:rsidR="003C3499" w:rsidRPr="00044184">
        <w:rPr>
          <w:szCs w:val="22"/>
          <w:lang w:val="sk-SK" w:eastAsia="en-GB"/>
        </w:rPr>
        <w:t xml:space="preserve">IV </w:t>
      </w:r>
      <w:r w:rsidR="00381B0D" w:rsidRPr="00044184">
        <w:rPr>
          <w:szCs w:val="22"/>
          <w:lang w:val="sk-SK" w:eastAsia="en-GB"/>
        </w:rPr>
        <w:t>v čase stanovenia diagnózy</w:t>
      </w:r>
      <w:r w:rsidR="003C3499" w:rsidRPr="00044184">
        <w:rPr>
          <w:szCs w:val="22"/>
          <w:lang w:val="sk-SK" w:eastAsia="en-GB"/>
        </w:rPr>
        <w:t xml:space="preserve"> (HR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65, 95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381B0D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5</w:t>
      </w:r>
      <w:r w:rsidR="00381B0D" w:rsidRPr="00044184">
        <w:rPr>
          <w:szCs w:val="22"/>
          <w:lang w:val="sk-SK" w:eastAsia="en-GB"/>
        </w:rPr>
        <w:t> </w:t>
      </w:r>
      <w:r w:rsidR="005F4BD3">
        <w:rPr>
          <w:szCs w:val="22"/>
          <w:lang w:val="sk-SK" w:eastAsia="en-GB"/>
        </w:rPr>
        <w:t>–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8). Pa</w:t>
      </w:r>
      <w:r w:rsidR="00381B0D" w:rsidRPr="00044184">
        <w:rPr>
          <w:szCs w:val="22"/>
          <w:lang w:val="sk-SK" w:eastAsia="en-GB"/>
        </w:rPr>
        <w:t xml:space="preserve">cienti, ktorí nikdy nefajčili, mali oveľa väčší prínos z liečby erlotinibom </w:t>
      </w:r>
      <w:r w:rsidR="003C3499" w:rsidRPr="00044184">
        <w:rPr>
          <w:szCs w:val="22"/>
          <w:lang w:val="sk-SK" w:eastAsia="en-GB"/>
        </w:rPr>
        <w:t>(</w:t>
      </w:r>
      <w:r w:rsidR="00381B0D" w:rsidRPr="00044184">
        <w:rPr>
          <w:szCs w:val="22"/>
          <w:lang w:val="sk-SK" w:eastAsia="en-GB"/>
        </w:rPr>
        <w:t>HR pre prežívanie </w:t>
      </w:r>
      <w:r w:rsidR="003C3499" w:rsidRPr="00044184">
        <w:rPr>
          <w:szCs w:val="22"/>
          <w:lang w:val="sk-SK" w:eastAsia="en-GB"/>
        </w:rPr>
        <w:t>=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42, 95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381B0D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28</w:t>
      </w:r>
      <w:r w:rsidR="00381B0D" w:rsidRPr="00044184">
        <w:rPr>
          <w:szCs w:val="22"/>
          <w:lang w:val="sk-SK" w:eastAsia="en-GB"/>
        </w:rPr>
        <w:t> </w:t>
      </w:r>
      <w:r w:rsidR="00806674">
        <w:rPr>
          <w:szCs w:val="22"/>
          <w:lang w:val="sk-SK" w:eastAsia="en-GB"/>
        </w:rPr>
        <w:t>–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64) </w:t>
      </w:r>
      <w:r w:rsidR="00381B0D" w:rsidRPr="00044184">
        <w:rPr>
          <w:szCs w:val="22"/>
          <w:lang w:val="sk-SK" w:eastAsia="en-GB"/>
        </w:rPr>
        <w:t>v porovnaní s</w:t>
      </w:r>
      <w:r w:rsidR="00F615C1">
        <w:rPr>
          <w:szCs w:val="22"/>
          <w:lang w:val="sk-SK" w:eastAsia="en-GB"/>
        </w:rPr>
        <w:t xml:space="preserve"> fajčiarmi </w:t>
      </w:r>
      <w:r w:rsidR="00381B0D" w:rsidRPr="00044184">
        <w:rPr>
          <w:szCs w:val="22"/>
          <w:lang w:val="sk-SK" w:eastAsia="en-GB"/>
        </w:rPr>
        <w:t>alebo bývalými fajčiarmi</w:t>
      </w:r>
      <w:r w:rsidR="003C3499" w:rsidRPr="00044184">
        <w:rPr>
          <w:szCs w:val="22"/>
          <w:lang w:val="sk-SK" w:eastAsia="en-GB"/>
        </w:rPr>
        <w:t xml:space="preserve"> (HR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87, 95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381B0D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71</w:t>
      </w:r>
      <w:r w:rsidR="00381B0D" w:rsidRPr="00044184">
        <w:rPr>
          <w:szCs w:val="22"/>
          <w:lang w:val="sk-SK" w:eastAsia="en-GB"/>
        </w:rPr>
        <w:t> </w:t>
      </w:r>
      <w:r w:rsidR="00806674">
        <w:rPr>
          <w:szCs w:val="22"/>
          <w:lang w:val="sk-SK" w:eastAsia="en-GB"/>
        </w:rPr>
        <w:t>–</w:t>
      </w:r>
      <w:r w:rsidR="00381B0D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="00381B0D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05).</w:t>
      </w:r>
    </w:p>
    <w:p w:rsidR="003C3499" w:rsidRPr="00044184" w:rsidRDefault="00381B0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U 45 % pacientov so známym stavom expresie </w:t>
      </w:r>
      <w:r w:rsidR="003C3499" w:rsidRPr="00044184">
        <w:rPr>
          <w:szCs w:val="22"/>
          <w:lang w:val="sk-SK" w:eastAsia="en-GB"/>
        </w:rPr>
        <w:t>EGFR</w:t>
      </w:r>
      <w:r w:rsidRPr="00044184">
        <w:rPr>
          <w:szCs w:val="22"/>
          <w:lang w:val="sk-SK" w:eastAsia="en-GB"/>
        </w:rPr>
        <w:t xml:space="preserve"> </w:t>
      </w:r>
      <w:r w:rsidR="005F2DFD" w:rsidRPr="00044184">
        <w:rPr>
          <w:szCs w:val="22"/>
          <w:lang w:val="sk-SK" w:eastAsia="en-GB"/>
        </w:rPr>
        <w:t>bol</w:t>
      </w:r>
      <w:r w:rsidRPr="00044184">
        <w:rPr>
          <w:szCs w:val="22"/>
          <w:lang w:val="sk-SK" w:eastAsia="en-GB"/>
        </w:rPr>
        <w:t xml:space="preserve"> pomer rizík 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68</w:t>
      </w:r>
      <w:r w:rsidR="005F2DFD" w:rsidRPr="00044184">
        <w:rPr>
          <w:szCs w:val="22"/>
          <w:lang w:val="sk-SK" w:eastAsia="en-GB"/>
        </w:rPr>
        <w:t xml:space="preserve"> </w:t>
      </w:r>
      <w:r w:rsidR="003C3499" w:rsidRPr="00044184">
        <w:rPr>
          <w:szCs w:val="22"/>
          <w:lang w:val="sk-SK" w:eastAsia="en-GB"/>
        </w:rPr>
        <w:t>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49</w:t>
      </w:r>
      <w:r w:rsidRPr="00044184">
        <w:rPr>
          <w:szCs w:val="22"/>
          <w:lang w:val="sk-SK" w:eastAsia="en-GB"/>
        </w:rPr>
        <w:t> </w:t>
      </w:r>
      <w:r w:rsidR="000B10AC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94) </w:t>
      </w:r>
      <w:r w:rsidRPr="00044184">
        <w:rPr>
          <w:szCs w:val="22"/>
          <w:lang w:val="sk-SK" w:eastAsia="en-GB"/>
        </w:rPr>
        <w:t>u pacientov s nádormi s pozitivitou</w:t>
      </w:r>
      <w:r w:rsidR="003C3499" w:rsidRPr="00044184">
        <w:rPr>
          <w:szCs w:val="22"/>
          <w:lang w:val="sk-SK" w:eastAsia="en-GB"/>
        </w:rPr>
        <w:t xml:space="preserve"> EGFR</w:t>
      </w:r>
      <w:r w:rsidRPr="00044184">
        <w:rPr>
          <w:szCs w:val="22"/>
          <w:lang w:val="sk-SK" w:eastAsia="en-GB"/>
        </w:rPr>
        <w:t xml:space="preserve"> a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93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63</w:t>
      </w:r>
      <w:r w:rsidRPr="00044184">
        <w:rPr>
          <w:szCs w:val="22"/>
          <w:lang w:val="sk-SK" w:eastAsia="en-GB"/>
        </w:rPr>
        <w:t> </w:t>
      </w:r>
      <w:r w:rsidR="000B10AC">
        <w:rPr>
          <w:szCs w:val="22"/>
          <w:lang w:val="sk-SK" w:eastAsia="en-GB"/>
        </w:rPr>
        <w:t>–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36) </w:t>
      </w:r>
      <w:r w:rsidRPr="00044184">
        <w:rPr>
          <w:szCs w:val="22"/>
          <w:lang w:val="sk-SK" w:eastAsia="en-GB"/>
        </w:rPr>
        <w:t>u pacientov s</w:t>
      </w:r>
      <w:r w:rsidR="00AA6987" w:rsidRPr="00044184">
        <w:rPr>
          <w:szCs w:val="22"/>
          <w:lang w:val="sk-SK" w:eastAsia="en-GB"/>
        </w:rPr>
        <w:t> nádormi s </w:t>
      </w:r>
      <w:r w:rsidRPr="00044184">
        <w:rPr>
          <w:szCs w:val="22"/>
          <w:lang w:val="sk-SK" w:eastAsia="en-GB"/>
        </w:rPr>
        <w:t xml:space="preserve">negativitou </w:t>
      </w:r>
      <w:r w:rsidR="003C3499" w:rsidRPr="00044184">
        <w:rPr>
          <w:szCs w:val="22"/>
          <w:lang w:val="sk-SK" w:eastAsia="en-GB"/>
        </w:rPr>
        <w:t>EGFR</w:t>
      </w:r>
      <w:r w:rsidRPr="00044184">
        <w:rPr>
          <w:szCs w:val="22"/>
          <w:lang w:val="sk-SK" w:eastAsia="en-GB"/>
        </w:rPr>
        <w:t xml:space="preserve"> </w:t>
      </w:r>
      <w:r w:rsidR="003C3499" w:rsidRPr="00044184">
        <w:rPr>
          <w:szCs w:val="22"/>
          <w:lang w:val="sk-SK" w:eastAsia="en-GB"/>
        </w:rPr>
        <w:t>(</w:t>
      </w:r>
      <w:r w:rsidR="00350614" w:rsidRPr="00044184">
        <w:rPr>
          <w:szCs w:val="22"/>
          <w:lang w:val="sk-SK" w:eastAsia="en-GB"/>
        </w:rPr>
        <w:t>čo sa stanovilo</w:t>
      </w:r>
      <w:r w:rsidRPr="00044184">
        <w:rPr>
          <w:szCs w:val="22"/>
          <w:lang w:val="sk-SK" w:eastAsia="en-GB"/>
        </w:rPr>
        <w:t xml:space="preserve"> IHC </w:t>
      </w:r>
      <w:r w:rsidR="00EC3767" w:rsidRPr="00044184">
        <w:rPr>
          <w:szCs w:val="22"/>
          <w:lang w:val="sk-SK" w:eastAsia="en-GB"/>
        </w:rPr>
        <w:t>pomocou</w:t>
      </w:r>
      <w:r w:rsidRPr="00044184">
        <w:rPr>
          <w:szCs w:val="22"/>
          <w:lang w:val="sk-SK" w:eastAsia="en-GB"/>
        </w:rPr>
        <w:t xml:space="preserve"> </w:t>
      </w:r>
      <w:r w:rsidR="00350614" w:rsidRPr="00044184">
        <w:rPr>
          <w:szCs w:val="22"/>
          <w:lang w:val="sk-SK" w:eastAsia="en-GB"/>
        </w:rPr>
        <w:t xml:space="preserve">súpravy </w:t>
      </w:r>
      <w:r w:rsidR="003C3499" w:rsidRPr="00044184">
        <w:rPr>
          <w:szCs w:val="22"/>
          <w:lang w:val="sk-SK" w:eastAsia="en-GB"/>
        </w:rPr>
        <w:t>pharmDx</w:t>
      </w:r>
      <w:r w:rsidR="00A25911">
        <w:rPr>
          <w:szCs w:val="22"/>
          <w:lang w:val="sk-SK" w:eastAsia="en-GB"/>
        </w:rPr>
        <w:t xml:space="preserve"> na stanovenie EGFR</w:t>
      </w:r>
      <w:r w:rsidR="00350614" w:rsidRPr="00044184">
        <w:rPr>
          <w:szCs w:val="22"/>
          <w:lang w:val="sk-SK" w:eastAsia="en-GB"/>
        </w:rPr>
        <w:t xml:space="preserve">, pričom negativita EGFR bola definovaná ako </w:t>
      </w:r>
      <w:r w:rsidR="00A25911">
        <w:rPr>
          <w:szCs w:val="22"/>
          <w:lang w:val="sk-SK" w:eastAsia="en-GB"/>
        </w:rPr>
        <w:t>znač</w:t>
      </w:r>
      <w:r w:rsidR="00350614" w:rsidRPr="00044184">
        <w:rPr>
          <w:szCs w:val="22"/>
          <w:lang w:val="sk-SK" w:eastAsia="en-GB"/>
        </w:rPr>
        <w:t xml:space="preserve">enie prítomné u menej </w:t>
      </w:r>
      <w:r w:rsidR="003C3499" w:rsidRPr="00044184">
        <w:rPr>
          <w:szCs w:val="22"/>
          <w:lang w:val="sk-SK" w:eastAsia="en-GB"/>
        </w:rPr>
        <w:t>10</w:t>
      </w:r>
      <w:r w:rsidR="00350614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 xml:space="preserve">% </w:t>
      </w:r>
      <w:r w:rsidR="00350614" w:rsidRPr="00044184">
        <w:rPr>
          <w:szCs w:val="22"/>
          <w:lang w:val="sk-SK" w:eastAsia="en-GB"/>
        </w:rPr>
        <w:t>nádorových buniek</w:t>
      </w:r>
      <w:r w:rsidR="003C3499" w:rsidRPr="00044184">
        <w:rPr>
          <w:szCs w:val="22"/>
          <w:lang w:val="sk-SK" w:eastAsia="en-GB"/>
        </w:rPr>
        <w:t xml:space="preserve">). </w:t>
      </w:r>
      <w:r w:rsidR="00B8531C" w:rsidRPr="00044184">
        <w:rPr>
          <w:szCs w:val="22"/>
          <w:lang w:val="sk-SK" w:eastAsia="en-GB"/>
        </w:rPr>
        <w:t xml:space="preserve">U zvyšných </w:t>
      </w:r>
      <w:r w:rsidR="003C3499" w:rsidRPr="00044184">
        <w:rPr>
          <w:szCs w:val="22"/>
          <w:lang w:val="sk-SK" w:eastAsia="en-GB"/>
        </w:rPr>
        <w:t>55</w:t>
      </w:r>
      <w:r w:rsidR="00B8531C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B8531C" w:rsidRPr="00044184">
        <w:rPr>
          <w:szCs w:val="22"/>
          <w:lang w:val="sk-SK" w:eastAsia="en-GB"/>
        </w:rPr>
        <w:t> pacientov s neznámym</w:t>
      </w:r>
      <w:r w:rsidR="003C3499" w:rsidRPr="00044184">
        <w:rPr>
          <w:szCs w:val="22"/>
          <w:lang w:val="sk-SK" w:eastAsia="en-GB"/>
        </w:rPr>
        <w:t xml:space="preserve"> </w:t>
      </w:r>
      <w:r w:rsidR="00B8531C" w:rsidRPr="00044184">
        <w:rPr>
          <w:szCs w:val="22"/>
          <w:lang w:val="sk-SK" w:eastAsia="en-GB"/>
        </w:rPr>
        <w:t>stavom expresie EGFR</w:t>
      </w:r>
      <w:r w:rsidR="005F2DFD" w:rsidRPr="00044184">
        <w:rPr>
          <w:szCs w:val="22"/>
          <w:lang w:val="sk-SK" w:eastAsia="en-GB"/>
        </w:rPr>
        <w:t xml:space="preserve"> bol</w:t>
      </w:r>
      <w:r w:rsidR="00B8531C" w:rsidRPr="00044184">
        <w:rPr>
          <w:szCs w:val="22"/>
          <w:lang w:val="sk-SK" w:eastAsia="en-GB"/>
        </w:rPr>
        <w:t xml:space="preserve"> pomer rizík </w:t>
      </w:r>
      <w:r w:rsidR="003C3499" w:rsidRPr="00044184">
        <w:rPr>
          <w:szCs w:val="22"/>
          <w:lang w:val="sk-SK" w:eastAsia="en-GB"/>
        </w:rPr>
        <w:t>0</w:t>
      </w:r>
      <w:r w:rsidR="00B8531C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77 (95</w:t>
      </w:r>
      <w:r w:rsidR="00B8531C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B8531C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B8531C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B8531C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61</w:t>
      </w:r>
      <w:r w:rsidR="00B8531C" w:rsidRPr="00044184">
        <w:rPr>
          <w:szCs w:val="22"/>
          <w:lang w:val="sk-SK" w:eastAsia="en-GB"/>
        </w:rPr>
        <w:t> </w:t>
      </w:r>
      <w:r w:rsidR="000B10AC">
        <w:rPr>
          <w:szCs w:val="22"/>
          <w:lang w:val="sk-SK" w:eastAsia="en-GB"/>
        </w:rPr>
        <w:t>–</w:t>
      </w:r>
      <w:r w:rsidR="00B8531C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="00B8531C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98).</w:t>
      </w:r>
    </w:p>
    <w:p w:rsidR="003C3499" w:rsidRPr="00044184" w:rsidRDefault="003C349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0D2FA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lastRenderedPageBreak/>
        <w:t xml:space="preserve">Medián </w:t>
      </w:r>
      <w:r w:rsidR="003C3499" w:rsidRPr="00044184">
        <w:rPr>
          <w:szCs w:val="22"/>
          <w:lang w:val="sk-SK" w:eastAsia="en-GB"/>
        </w:rPr>
        <w:t xml:space="preserve">PFS </w:t>
      </w:r>
      <w:r w:rsidRPr="00044184">
        <w:rPr>
          <w:szCs w:val="22"/>
          <w:lang w:val="sk-SK" w:eastAsia="en-GB"/>
        </w:rPr>
        <w:t>bol</w:t>
      </w:r>
      <w:r w:rsidR="003C3499" w:rsidRPr="00044184">
        <w:rPr>
          <w:szCs w:val="22"/>
          <w:lang w:val="sk-SK" w:eastAsia="en-GB"/>
        </w:rPr>
        <w:t xml:space="preserve"> 9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 týždň</w:t>
      </w:r>
      <w:r w:rsidR="007C56FF">
        <w:rPr>
          <w:szCs w:val="22"/>
          <w:lang w:val="sk-SK" w:eastAsia="en-GB"/>
        </w:rPr>
        <w:t>ov</w:t>
      </w:r>
      <w:r w:rsidRPr="00044184">
        <w:rPr>
          <w:szCs w:val="22"/>
          <w:lang w:val="sk-SK" w:eastAsia="en-GB"/>
        </w:rPr>
        <w:t xml:space="preserve"> v skupine s </w:t>
      </w:r>
      <w:r w:rsidR="003C3499" w:rsidRPr="00044184">
        <w:rPr>
          <w:szCs w:val="22"/>
          <w:lang w:val="sk-SK" w:eastAsia="en-GB"/>
        </w:rPr>
        <w:t>erlotinibo</w:t>
      </w:r>
      <w:r w:rsidRPr="00044184">
        <w:rPr>
          <w:szCs w:val="22"/>
          <w:lang w:val="sk-SK" w:eastAsia="en-GB"/>
        </w:rPr>
        <w:t>m</w:t>
      </w:r>
      <w:r w:rsidR="003C3499" w:rsidRPr="00044184">
        <w:rPr>
          <w:szCs w:val="22"/>
          <w:lang w:val="sk-SK" w:eastAsia="en-GB"/>
        </w:rPr>
        <w:t xml:space="preserve"> 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12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> týždň</w:t>
      </w:r>
      <w:r w:rsidR="007C56FF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 xml:space="preserve">) </w:t>
      </w:r>
      <w:r w:rsidRPr="00044184">
        <w:rPr>
          <w:szCs w:val="22"/>
          <w:lang w:val="sk-SK" w:eastAsia="en-GB"/>
        </w:rPr>
        <w:t>v porovnaní s </w:t>
      </w:r>
      <w:r w:rsidR="003C3499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 týždňa</w:t>
      </w:r>
      <w:r w:rsidR="005B6D09" w:rsidRPr="00044184">
        <w:rPr>
          <w:szCs w:val="22"/>
          <w:lang w:val="sk-SK" w:eastAsia="en-GB"/>
        </w:rPr>
        <w:t>mi</w:t>
      </w:r>
      <w:r w:rsidRPr="00044184">
        <w:rPr>
          <w:szCs w:val="22"/>
          <w:lang w:val="sk-SK" w:eastAsia="en-GB"/>
        </w:rPr>
        <w:t xml:space="preserve"> v skupine s </w:t>
      </w:r>
      <w:r w:rsidR="003C3499" w:rsidRPr="00044184">
        <w:rPr>
          <w:szCs w:val="22"/>
          <w:lang w:val="sk-SK" w:eastAsia="en-GB"/>
        </w:rPr>
        <w:t>placebo</w:t>
      </w:r>
      <w:r w:rsidRPr="00044184">
        <w:rPr>
          <w:szCs w:val="22"/>
          <w:lang w:val="sk-SK" w:eastAsia="en-GB"/>
        </w:rPr>
        <w:t>m</w:t>
      </w:r>
      <w:r w:rsidR="003C3499" w:rsidRPr="00044184">
        <w:rPr>
          <w:szCs w:val="22"/>
          <w:lang w:val="sk-SK" w:eastAsia="en-GB"/>
        </w:rPr>
        <w:t xml:space="preserve"> 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1</w:t>
      </w:r>
      <w:r w:rsidRPr="00044184">
        <w:rPr>
          <w:szCs w:val="22"/>
          <w:lang w:val="sk-SK" w:eastAsia="en-GB"/>
        </w:rPr>
        <w:t> týždň</w:t>
      </w:r>
      <w:r w:rsidR="007C56FF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>).</w:t>
      </w:r>
    </w:p>
    <w:p w:rsidR="003C3499" w:rsidRPr="00044184" w:rsidRDefault="000D2FA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V</w:t>
      </w:r>
      <w:r w:rsidR="007C56FF">
        <w:rPr>
          <w:szCs w:val="22"/>
          <w:lang w:val="sk-SK" w:eastAsia="en-GB"/>
        </w:rPr>
        <w:t>ý</w:t>
      </w:r>
      <w:r w:rsidRPr="00044184">
        <w:rPr>
          <w:szCs w:val="22"/>
          <w:lang w:val="sk-SK" w:eastAsia="en-GB"/>
        </w:rPr>
        <w:t xml:space="preserve">skyt objektívnej odpovede na liečbu hodnotený pomocou kritérií </w:t>
      </w:r>
      <w:r w:rsidR="003C3499" w:rsidRPr="00044184">
        <w:rPr>
          <w:szCs w:val="22"/>
          <w:lang w:val="sk-SK" w:eastAsia="en-GB"/>
        </w:rPr>
        <w:t xml:space="preserve">RECIST </w:t>
      </w:r>
      <w:r w:rsidRPr="00044184">
        <w:rPr>
          <w:szCs w:val="22"/>
          <w:lang w:val="sk-SK" w:eastAsia="en-GB"/>
        </w:rPr>
        <w:t>bol v skupine s erlotin</w:t>
      </w:r>
      <w:r w:rsidR="005B6D0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 xml:space="preserve">bom </w:t>
      </w:r>
      <w:r w:rsidR="003C3499" w:rsidRPr="00044184">
        <w:rPr>
          <w:szCs w:val="22"/>
          <w:lang w:val="sk-SK" w:eastAsia="en-GB"/>
        </w:rPr>
        <w:t>8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 (95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4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12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0).</w:t>
      </w:r>
      <w:r w:rsidR="002532F3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Prvých </w:t>
      </w:r>
      <w:r w:rsidR="003C3499" w:rsidRPr="00044184">
        <w:rPr>
          <w:szCs w:val="22"/>
          <w:lang w:val="sk-SK" w:eastAsia="en-GB"/>
        </w:rPr>
        <w:t>330</w:t>
      </w:r>
      <w:r w:rsidRPr="00044184">
        <w:rPr>
          <w:szCs w:val="22"/>
          <w:lang w:val="sk-SK" w:eastAsia="en-GB"/>
        </w:rPr>
        <w:t xml:space="preserve"> pacientov bolo hodnotených centrálne (výskyt odpovede na liečbu bol </w:t>
      </w:r>
      <w:r w:rsidR="003C3499" w:rsidRPr="00044184">
        <w:rPr>
          <w:szCs w:val="22"/>
          <w:lang w:val="sk-SK" w:eastAsia="en-GB"/>
        </w:rPr>
        <w:t>6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2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%); 401</w:t>
      </w:r>
      <w:r w:rsidRPr="00044184">
        <w:rPr>
          <w:szCs w:val="22"/>
          <w:lang w:val="sk-SK" w:eastAsia="en-GB"/>
        </w:rPr>
        <w:t xml:space="preserve"> pacientov bolo hodnotených skúšajúcim lekárom </w:t>
      </w:r>
      <w:r w:rsidR="003C3499" w:rsidRPr="00044184">
        <w:rPr>
          <w:szCs w:val="22"/>
          <w:lang w:val="sk-SK" w:eastAsia="en-GB"/>
        </w:rPr>
        <w:t>(</w:t>
      </w:r>
      <w:r w:rsidRPr="00044184">
        <w:rPr>
          <w:szCs w:val="22"/>
          <w:lang w:val="sk-SK" w:eastAsia="en-GB"/>
        </w:rPr>
        <w:t xml:space="preserve">výskyt odpovede na liečbu bol </w:t>
      </w:r>
      <w:r w:rsidR="003C3499" w:rsidRPr="00044184">
        <w:rPr>
          <w:szCs w:val="22"/>
          <w:lang w:val="sk-SK" w:eastAsia="en-GB"/>
        </w:rPr>
        <w:t>11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2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%).</w:t>
      </w:r>
    </w:p>
    <w:p w:rsidR="003C3499" w:rsidRPr="00044184" w:rsidRDefault="000D2FA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Medián trvania odpovede na liečbu bol</w:t>
      </w:r>
      <w:r w:rsidR="003C3499" w:rsidRPr="00044184">
        <w:rPr>
          <w:szCs w:val="22"/>
          <w:lang w:val="sk-SK" w:eastAsia="en-GB"/>
        </w:rPr>
        <w:t xml:space="preserve"> 34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3</w:t>
      </w:r>
      <w:r w:rsidRPr="00044184">
        <w:rPr>
          <w:szCs w:val="22"/>
          <w:lang w:val="sk-SK" w:eastAsia="en-GB"/>
        </w:rPr>
        <w:t> týždň</w:t>
      </w:r>
      <w:r w:rsidR="007C56FF">
        <w:rPr>
          <w:szCs w:val="22"/>
          <w:lang w:val="sk-SK" w:eastAsia="en-GB"/>
        </w:rPr>
        <w:t>ov</w:t>
      </w:r>
      <w:r w:rsidR="00343A72" w:rsidRPr="00044184">
        <w:rPr>
          <w:szCs w:val="22"/>
          <w:lang w:val="sk-SK" w:eastAsia="en-GB"/>
        </w:rPr>
        <w:t xml:space="preserve">, v </w:t>
      </w:r>
      <w:r w:rsidRPr="00044184">
        <w:rPr>
          <w:szCs w:val="22"/>
          <w:lang w:val="sk-SK" w:eastAsia="en-GB"/>
        </w:rPr>
        <w:t>rozmedz</w:t>
      </w:r>
      <w:r w:rsidR="00343A72" w:rsidRPr="00044184">
        <w:rPr>
          <w:szCs w:val="22"/>
          <w:lang w:val="sk-SK" w:eastAsia="en-GB"/>
        </w:rPr>
        <w:t>í</w:t>
      </w:r>
      <w:r w:rsidRPr="00044184">
        <w:rPr>
          <w:szCs w:val="22"/>
          <w:lang w:val="sk-SK" w:eastAsia="en-GB"/>
        </w:rPr>
        <w:t xml:space="preserve"> </w:t>
      </w:r>
      <w:r w:rsidR="003C3499" w:rsidRPr="00044184">
        <w:rPr>
          <w:szCs w:val="22"/>
          <w:lang w:val="sk-SK" w:eastAsia="en-GB"/>
        </w:rPr>
        <w:t>9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7</w:t>
      </w:r>
      <w:r w:rsidRPr="00044184">
        <w:rPr>
          <w:szCs w:val="22"/>
          <w:lang w:val="sk-SK" w:eastAsia="en-GB"/>
        </w:rPr>
        <w:t> až </w:t>
      </w:r>
      <w:r w:rsidR="003C3499" w:rsidRPr="00044184">
        <w:rPr>
          <w:szCs w:val="22"/>
          <w:lang w:val="sk-SK" w:eastAsia="en-GB"/>
        </w:rPr>
        <w:t>57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 xml:space="preserve">6+ </w:t>
      </w:r>
      <w:r w:rsidRPr="00044184">
        <w:rPr>
          <w:szCs w:val="22"/>
          <w:lang w:val="sk-SK" w:eastAsia="en-GB"/>
        </w:rPr>
        <w:t>týždň</w:t>
      </w:r>
      <w:r w:rsidR="007C56FF">
        <w:rPr>
          <w:szCs w:val="22"/>
          <w:lang w:val="sk-SK" w:eastAsia="en-GB"/>
        </w:rPr>
        <w:t>ov</w:t>
      </w:r>
      <w:r w:rsidR="003C3499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Percentuálny podiel pacientov, u ktorých sa dosiahla kompletná </w:t>
      </w:r>
      <w:r w:rsidR="00343A72" w:rsidRPr="00044184">
        <w:rPr>
          <w:szCs w:val="22"/>
          <w:lang w:val="sk-SK" w:eastAsia="en-GB"/>
        </w:rPr>
        <w:t>odpoveď</w:t>
      </w:r>
      <w:r w:rsidRPr="00044184">
        <w:rPr>
          <w:szCs w:val="22"/>
          <w:lang w:val="sk-SK" w:eastAsia="en-GB"/>
        </w:rPr>
        <w:t xml:space="preserve">, parciálna </w:t>
      </w:r>
      <w:r w:rsidR="00343A72" w:rsidRPr="00044184">
        <w:rPr>
          <w:szCs w:val="22"/>
          <w:lang w:val="sk-SK" w:eastAsia="en-GB"/>
        </w:rPr>
        <w:t>odpoveď</w:t>
      </w:r>
      <w:r w:rsidRPr="00044184">
        <w:rPr>
          <w:szCs w:val="22"/>
          <w:lang w:val="sk-SK" w:eastAsia="en-GB"/>
        </w:rPr>
        <w:t xml:space="preserve"> alebo stabilizácia ochorenia</w:t>
      </w:r>
      <w:r w:rsidR="005E244E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bol </w:t>
      </w:r>
      <w:r w:rsidR="003C3499" w:rsidRPr="00044184">
        <w:rPr>
          <w:szCs w:val="22"/>
          <w:lang w:val="sk-SK" w:eastAsia="en-GB"/>
        </w:rPr>
        <w:t>44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5E244E" w:rsidRPr="00044184">
        <w:rPr>
          <w:szCs w:val="22"/>
          <w:lang w:val="sk-SK" w:eastAsia="en-GB"/>
        </w:rPr>
        <w:t xml:space="preserve"> v skupine s erlotini</w:t>
      </w:r>
      <w:r w:rsidRPr="00044184">
        <w:rPr>
          <w:szCs w:val="22"/>
          <w:lang w:val="sk-SK" w:eastAsia="en-GB"/>
        </w:rPr>
        <w:t>bom a </w:t>
      </w:r>
      <w:r w:rsidR="003C3499" w:rsidRPr="00044184">
        <w:rPr>
          <w:szCs w:val="22"/>
          <w:lang w:val="sk-SK" w:eastAsia="en-GB"/>
        </w:rPr>
        <w:t>27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5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Pr="00044184">
        <w:rPr>
          <w:szCs w:val="22"/>
          <w:lang w:val="sk-SK" w:eastAsia="en-GB"/>
        </w:rPr>
        <w:t xml:space="preserve"> v skupine s placebom </w:t>
      </w:r>
      <w:r w:rsidR="003C3499" w:rsidRPr="00044184">
        <w:rPr>
          <w:szCs w:val="22"/>
          <w:lang w:val="sk-SK" w:eastAsia="en-GB"/>
        </w:rPr>
        <w:t>(p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=</w:t>
      </w:r>
      <w:r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004).</w:t>
      </w:r>
    </w:p>
    <w:p w:rsidR="00EC7483" w:rsidRPr="00044184" w:rsidRDefault="00EC748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0D2FAA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Prínos erlotinibu z hľadiska prežívania sa zistil aj u pacientov, u ktorých sa nedosiahla objektívna odpoveď nádoru na liečbu (podľa kritérií RECIST)</w:t>
      </w:r>
      <w:r w:rsidR="003C3499" w:rsidRPr="00044184">
        <w:rPr>
          <w:szCs w:val="22"/>
          <w:lang w:val="sk-SK" w:eastAsia="en-GB"/>
        </w:rPr>
        <w:t xml:space="preserve">. </w:t>
      </w:r>
      <w:r w:rsidR="005E244E" w:rsidRPr="00044184">
        <w:rPr>
          <w:szCs w:val="22"/>
          <w:lang w:val="sk-SK" w:eastAsia="en-GB"/>
        </w:rPr>
        <w:t xml:space="preserve">Svedčil o tom pomer rizík pre úmrtie rovný </w:t>
      </w:r>
      <w:r w:rsidR="003C3499" w:rsidRPr="00044184">
        <w:rPr>
          <w:szCs w:val="22"/>
          <w:lang w:val="sk-SK" w:eastAsia="en-GB"/>
        </w:rPr>
        <w:t>0</w:t>
      </w:r>
      <w:r w:rsidR="005E244E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82 (95</w:t>
      </w:r>
      <w:r w:rsidR="005E244E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%</w:t>
      </w:r>
      <w:r w:rsidR="005E244E" w:rsidRPr="00044184">
        <w:rPr>
          <w:szCs w:val="22"/>
          <w:lang w:val="sk-SK" w:eastAsia="en-GB"/>
        </w:rPr>
        <w:t> </w:t>
      </w:r>
      <w:r w:rsidR="003C3499" w:rsidRPr="00044184">
        <w:rPr>
          <w:szCs w:val="22"/>
          <w:lang w:val="sk-SK" w:eastAsia="en-GB"/>
        </w:rPr>
        <w:t>I</w:t>
      </w:r>
      <w:r w:rsidR="005E244E" w:rsidRPr="00044184">
        <w:rPr>
          <w:szCs w:val="22"/>
          <w:lang w:val="sk-SK" w:eastAsia="en-GB"/>
        </w:rPr>
        <w:t>S: </w:t>
      </w:r>
      <w:r w:rsidR="003C3499" w:rsidRPr="00044184">
        <w:rPr>
          <w:szCs w:val="22"/>
          <w:lang w:val="sk-SK" w:eastAsia="en-GB"/>
        </w:rPr>
        <w:t>0</w:t>
      </w:r>
      <w:r w:rsidR="005E244E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68</w:t>
      </w:r>
      <w:r w:rsidR="005E244E" w:rsidRPr="00044184">
        <w:rPr>
          <w:szCs w:val="22"/>
          <w:lang w:val="sk-SK" w:eastAsia="en-GB"/>
        </w:rPr>
        <w:t xml:space="preserve"> až </w:t>
      </w:r>
      <w:r w:rsidR="003C3499" w:rsidRPr="00044184">
        <w:rPr>
          <w:szCs w:val="22"/>
          <w:lang w:val="sk-SK" w:eastAsia="en-GB"/>
        </w:rPr>
        <w:t>0</w:t>
      </w:r>
      <w:r w:rsidR="005E244E" w:rsidRPr="00044184">
        <w:rPr>
          <w:szCs w:val="22"/>
          <w:lang w:val="sk-SK" w:eastAsia="en-GB"/>
        </w:rPr>
        <w:t>,</w:t>
      </w:r>
      <w:r w:rsidR="003C3499" w:rsidRPr="00044184">
        <w:rPr>
          <w:szCs w:val="22"/>
          <w:lang w:val="sk-SK" w:eastAsia="en-GB"/>
        </w:rPr>
        <w:t>99)</w:t>
      </w:r>
      <w:r w:rsidR="002532F3" w:rsidRPr="00044184">
        <w:rPr>
          <w:szCs w:val="22"/>
          <w:lang w:val="sk-SK" w:eastAsia="en-GB"/>
        </w:rPr>
        <w:t xml:space="preserve"> </w:t>
      </w:r>
      <w:r w:rsidR="005E244E" w:rsidRPr="00044184">
        <w:rPr>
          <w:szCs w:val="22"/>
          <w:lang w:val="sk-SK" w:eastAsia="en-GB"/>
        </w:rPr>
        <w:t>u pacientov, ktorých najlepšou odpoveďou na liečbu bola stabilizácia ochorenia alebo u ktorých došlo k progresii ochorenia</w:t>
      </w:r>
      <w:r w:rsidR="003C3499" w:rsidRPr="00044184">
        <w:rPr>
          <w:szCs w:val="22"/>
          <w:lang w:val="sk-SK" w:eastAsia="en-GB"/>
        </w:rPr>
        <w:t>.</w:t>
      </w:r>
    </w:p>
    <w:p w:rsidR="00EC7483" w:rsidRPr="00044184" w:rsidRDefault="00EC748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C3499" w:rsidRPr="00044184" w:rsidRDefault="00BF2AC4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Pri liečbe erlotin</w:t>
      </w:r>
      <w:r w:rsidR="001B61E8" w:rsidRPr="00044184">
        <w:rPr>
          <w:szCs w:val="22"/>
          <w:lang w:val="sk-SK" w:eastAsia="en-GB"/>
        </w:rPr>
        <w:t>i</w:t>
      </w:r>
      <w:r w:rsidRPr="00044184">
        <w:rPr>
          <w:szCs w:val="22"/>
          <w:lang w:val="sk-SK" w:eastAsia="en-GB"/>
        </w:rPr>
        <w:t>bom sa preukázal prínos z hľadiska príznakov spočívajúci vo významnom predĺžení času do zhoršenia kašľa, dyspnoe a bolesti v porovnaní s placebom</w:t>
      </w:r>
      <w:r w:rsidR="003C3499" w:rsidRPr="00044184">
        <w:rPr>
          <w:szCs w:val="22"/>
          <w:lang w:val="sk-SK" w:eastAsia="en-GB"/>
        </w:rPr>
        <w:t>.</w:t>
      </w:r>
    </w:p>
    <w:p w:rsidR="00EC7483" w:rsidRPr="00044184" w:rsidRDefault="00EC7483" w:rsidP="00695459">
      <w:pPr>
        <w:spacing w:line="240" w:lineRule="auto"/>
        <w:rPr>
          <w:szCs w:val="22"/>
          <w:lang w:val="sk-SK" w:eastAsia="en-GB"/>
        </w:rPr>
      </w:pPr>
    </w:p>
    <w:p w:rsidR="00EC7483" w:rsidRPr="00044184" w:rsidRDefault="00494D9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 xml:space="preserve">- </w:t>
      </w:r>
      <w:r w:rsidR="00E2391B" w:rsidRPr="00044184">
        <w:rPr>
          <w:szCs w:val="22"/>
          <w:u w:val="single"/>
          <w:lang w:val="sk-SK" w:eastAsia="en-GB"/>
        </w:rPr>
        <w:t>Karcinóm p</w:t>
      </w:r>
      <w:r w:rsidR="00EC7483" w:rsidRPr="00044184">
        <w:rPr>
          <w:szCs w:val="22"/>
          <w:u w:val="single"/>
          <w:lang w:val="sk-SK" w:eastAsia="en-GB"/>
        </w:rPr>
        <w:t>an</w:t>
      </w:r>
      <w:r w:rsidR="00E2391B" w:rsidRPr="00044184">
        <w:rPr>
          <w:szCs w:val="22"/>
          <w:u w:val="single"/>
          <w:lang w:val="sk-SK" w:eastAsia="en-GB"/>
        </w:rPr>
        <w:t>k</w:t>
      </w:r>
      <w:r w:rsidR="00EC7483" w:rsidRPr="00044184">
        <w:rPr>
          <w:szCs w:val="22"/>
          <w:u w:val="single"/>
          <w:lang w:val="sk-SK" w:eastAsia="en-GB"/>
        </w:rPr>
        <w:t>rea</w:t>
      </w:r>
      <w:r w:rsidR="00E2391B" w:rsidRPr="00044184">
        <w:rPr>
          <w:szCs w:val="22"/>
          <w:u w:val="single"/>
          <w:lang w:val="sk-SK" w:eastAsia="en-GB"/>
        </w:rPr>
        <w:t>su</w:t>
      </w:r>
      <w:r w:rsidR="00EC7483" w:rsidRPr="00044184">
        <w:rPr>
          <w:szCs w:val="22"/>
          <w:u w:val="single"/>
          <w:lang w:val="sk-SK" w:eastAsia="en-GB"/>
        </w:rPr>
        <w:t xml:space="preserve"> (</w:t>
      </w:r>
      <w:r w:rsidR="00DB64A5">
        <w:rPr>
          <w:szCs w:val="22"/>
          <w:u w:val="single"/>
          <w:lang w:val="sk-SK" w:eastAsia="en-GB"/>
        </w:rPr>
        <w:t>E</w:t>
      </w:r>
      <w:r w:rsidR="00EC7483" w:rsidRPr="00044184">
        <w:rPr>
          <w:szCs w:val="22"/>
          <w:u w:val="single"/>
          <w:lang w:val="sk-SK" w:eastAsia="en-GB"/>
        </w:rPr>
        <w:t xml:space="preserve">rlotinib </w:t>
      </w:r>
      <w:r w:rsidR="00DB64A5">
        <w:rPr>
          <w:szCs w:val="22"/>
          <w:u w:val="single"/>
          <w:lang w:val="sk-SK" w:eastAsia="en-GB"/>
        </w:rPr>
        <w:t xml:space="preserve">STADA </w:t>
      </w:r>
      <w:r w:rsidR="00E2391B" w:rsidRPr="00044184">
        <w:rPr>
          <w:szCs w:val="22"/>
          <w:u w:val="single"/>
          <w:lang w:val="sk-SK" w:eastAsia="en-GB"/>
        </w:rPr>
        <w:t>podávaný súbežne s </w:t>
      </w:r>
      <w:r w:rsidR="00EC7483" w:rsidRPr="00044184">
        <w:rPr>
          <w:szCs w:val="22"/>
          <w:u w:val="single"/>
          <w:lang w:val="sk-SK" w:eastAsia="en-GB"/>
        </w:rPr>
        <w:t>gemcitab</w:t>
      </w:r>
      <w:r w:rsidR="00E2391B" w:rsidRPr="00044184">
        <w:rPr>
          <w:szCs w:val="22"/>
          <w:u w:val="single"/>
          <w:lang w:val="sk-SK" w:eastAsia="en-GB"/>
        </w:rPr>
        <w:t>ínom v štúdii</w:t>
      </w:r>
      <w:r w:rsidR="00EC7483" w:rsidRPr="00044184">
        <w:rPr>
          <w:szCs w:val="22"/>
          <w:u w:val="single"/>
          <w:lang w:val="sk-SK" w:eastAsia="en-GB"/>
        </w:rPr>
        <w:t xml:space="preserve"> PA.3):</w:t>
      </w:r>
    </w:p>
    <w:p w:rsidR="002532F3" w:rsidRPr="00044184" w:rsidRDefault="002532F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EC7483" w:rsidRPr="00044184" w:rsidRDefault="001B61E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Účinnosť a bezpečnosť </w:t>
      </w:r>
      <w:r w:rsidR="00EC7483" w:rsidRPr="00044184">
        <w:rPr>
          <w:szCs w:val="22"/>
          <w:lang w:val="sk-SK" w:eastAsia="en-GB"/>
        </w:rPr>
        <w:t>erlotinib</w:t>
      </w:r>
      <w:r w:rsidRPr="00044184">
        <w:rPr>
          <w:szCs w:val="22"/>
          <w:lang w:val="sk-SK" w:eastAsia="en-GB"/>
        </w:rPr>
        <w:t>u v kombinácii s </w:t>
      </w:r>
      <w:r w:rsidR="00EC7483" w:rsidRPr="00044184">
        <w:rPr>
          <w:szCs w:val="22"/>
          <w:lang w:val="sk-SK" w:eastAsia="en-GB"/>
        </w:rPr>
        <w:t>gemcitab</w:t>
      </w:r>
      <w:r w:rsidRPr="00044184">
        <w:rPr>
          <w:szCs w:val="22"/>
          <w:lang w:val="sk-SK" w:eastAsia="en-GB"/>
        </w:rPr>
        <w:t>ínom v prvej línii liečby sa hodnotili v randomizovanom, dvojito zaslepenom, placebom kontrolovanom klinickom skúšaní u pacientov s lokálne pokročilým, neresek</w:t>
      </w:r>
      <w:r w:rsidR="00DB64A5">
        <w:rPr>
          <w:szCs w:val="22"/>
          <w:lang w:val="sk-SK" w:eastAsia="en-GB"/>
        </w:rPr>
        <w:t>ovateľn</w:t>
      </w:r>
      <w:r w:rsidRPr="00044184">
        <w:rPr>
          <w:szCs w:val="22"/>
          <w:lang w:val="sk-SK" w:eastAsia="en-GB"/>
        </w:rPr>
        <w:t>ým alebo metastatickým karcinómom pakreasu</w:t>
      </w:r>
      <w:r w:rsidR="00EC7483" w:rsidRPr="00044184">
        <w:rPr>
          <w:szCs w:val="22"/>
          <w:lang w:val="sk-SK" w:eastAsia="en-GB"/>
        </w:rPr>
        <w:t>. Pa</w:t>
      </w:r>
      <w:r w:rsidRPr="00044184">
        <w:rPr>
          <w:szCs w:val="22"/>
          <w:lang w:val="sk-SK" w:eastAsia="en-GB"/>
        </w:rPr>
        <w:t>c</w:t>
      </w:r>
      <w:r w:rsidR="00EC7483" w:rsidRPr="00044184">
        <w:rPr>
          <w:szCs w:val="22"/>
          <w:lang w:val="sk-SK" w:eastAsia="en-GB"/>
        </w:rPr>
        <w:t>ient</w:t>
      </w:r>
      <w:r w:rsidRPr="00044184">
        <w:rPr>
          <w:szCs w:val="22"/>
          <w:lang w:val="sk-SK" w:eastAsia="en-GB"/>
        </w:rPr>
        <w:t>i boli randomizovaní na podávanie erlotinibu alebo placeba jedenkrát denne v kontinuálnej schéme</w:t>
      </w:r>
      <w:r w:rsidR="00D56616" w:rsidRPr="00044184">
        <w:rPr>
          <w:szCs w:val="22"/>
          <w:lang w:val="sk-SK" w:eastAsia="en-GB"/>
        </w:rPr>
        <w:t xml:space="preserve"> spolu s </w:t>
      </w:r>
      <w:r w:rsidR="00651206" w:rsidRPr="00044184">
        <w:rPr>
          <w:szCs w:val="22"/>
          <w:lang w:val="sk-SK" w:eastAsia="en-GB"/>
        </w:rPr>
        <w:t xml:space="preserve">intravenózne podávaným gemcitabínom </w:t>
      </w:r>
      <w:r w:rsidR="00EC7483" w:rsidRPr="00044184">
        <w:rPr>
          <w:szCs w:val="22"/>
          <w:lang w:val="sk-SK" w:eastAsia="en-GB"/>
        </w:rPr>
        <w:t>(1</w:t>
      </w:r>
      <w:r w:rsidR="00651206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000</w:t>
      </w:r>
      <w:r w:rsidR="00651206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mg/m</w:t>
      </w:r>
      <w:r w:rsidR="00651206" w:rsidRPr="00044184">
        <w:rPr>
          <w:szCs w:val="22"/>
          <w:vertAlign w:val="superscript"/>
          <w:lang w:val="sk-SK" w:eastAsia="en-GB"/>
        </w:rPr>
        <w:t>2</w:t>
      </w:r>
      <w:r w:rsidR="00EC7483" w:rsidRPr="00044184">
        <w:rPr>
          <w:szCs w:val="22"/>
          <w:lang w:val="sk-SK" w:eastAsia="en-GB"/>
        </w:rPr>
        <w:t xml:space="preserve">, </w:t>
      </w:r>
      <w:r w:rsidR="00651206" w:rsidRPr="00044184">
        <w:rPr>
          <w:szCs w:val="22"/>
          <w:lang w:val="sk-SK" w:eastAsia="en-GB"/>
        </w:rPr>
        <w:t>1. cyklus </w:t>
      </w:r>
      <w:r w:rsidR="00651206" w:rsidRPr="00044184">
        <w:rPr>
          <w:szCs w:val="22"/>
          <w:lang w:val="sk-SK" w:eastAsia="en-GB"/>
        </w:rPr>
        <w:noBreakHyphen/>
        <w:t> </w:t>
      </w:r>
      <w:r w:rsidR="00EC7483" w:rsidRPr="00044184">
        <w:rPr>
          <w:szCs w:val="22"/>
          <w:lang w:val="sk-SK" w:eastAsia="en-GB"/>
        </w:rPr>
        <w:t>1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 8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 15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 22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</w:t>
      </w:r>
      <w:r w:rsidR="002532F3" w:rsidRPr="00044184">
        <w:rPr>
          <w:szCs w:val="22"/>
          <w:lang w:val="sk-SK" w:eastAsia="en-GB"/>
        </w:rPr>
        <w:t xml:space="preserve"> </w:t>
      </w:r>
      <w:r w:rsidR="00EC7483" w:rsidRPr="00044184">
        <w:rPr>
          <w:szCs w:val="22"/>
          <w:lang w:val="sk-SK" w:eastAsia="en-GB"/>
        </w:rPr>
        <w:t>29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 36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 xml:space="preserve"> a</w:t>
      </w:r>
      <w:r w:rsidR="007F1BF0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43</w:t>
      </w:r>
      <w:r w:rsidR="007F1BF0" w:rsidRPr="00044184">
        <w:rPr>
          <w:szCs w:val="22"/>
          <w:lang w:val="sk-SK" w:eastAsia="en-GB"/>
        </w:rPr>
        <w:t>. deň</w:t>
      </w:r>
      <w:r w:rsidR="00EC7483" w:rsidRPr="00044184">
        <w:rPr>
          <w:szCs w:val="22"/>
          <w:lang w:val="sk-SK" w:eastAsia="en-GB"/>
        </w:rPr>
        <w:t xml:space="preserve"> </w:t>
      </w:r>
      <w:r w:rsidR="00DB64A5">
        <w:rPr>
          <w:szCs w:val="22"/>
          <w:lang w:val="sk-SK" w:eastAsia="en-GB"/>
        </w:rPr>
        <w:t xml:space="preserve">8 </w:t>
      </w:r>
      <w:r w:rsidR="00651206" w:rsidRPr="00044184">
        <w:rPr>
          <w:szCs w:val="22"/>
          <w:lang w:val="sk-SK" w:eastAsia="en-GB"/>
        </w:rPr>
        <w:t>týždňového cykl</w:t>
      </w:r>
      <w:r w:rsidR="001F2D8A" w:rsidRPr="00044184">
        <w:rPr>
          <w:szCs w:val="22"/>
          <w:lang w:val="sk-SK" w:eastAsia="en-GB"/>
        </w:rPr>
        <w:t>u</w:t>
      </w:r>
      <w:r w:rsidR="00EC7483" w:rsidRPr="00044184">
        <w:rPr>
          <w:szCs w:val="22"/>
          <w:lang w:val="sk-SK" w:eastAsia="en-GB"/>
        </w:rPr>
        <w:t xml:space="preserve">; </w:t>
      </w:r>
      <w:r w:rsidR="00651206" w:rsidRPr="00044184">
        <w:rPr>
          <w:szCs w:val="22"/>
          <w:lang w:val="sk-SK" w:eastAsia="en-GB"/>
        </w:rPr>
        <w:t>2. cyklus a následné cykly - </w:t>
      </w:r>
      <w:r w:rsidR="00EC7483" w:rsidRPr="00044184">
        <w:rPr>
          <w:szCs w:val="22"/>
          <w:lang w:val="sk-SK" w:eastAsia="en-GB"/>
        </w:rPr>
        <w:t>1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>, 8</w:t>
      </w:r>
      <w:r w:rsidR="007F1BF0" w:rsidRPr="00044184">
        <w:rPr>
          <w:szCs w:val="22"/>
          <w:lang w:val="sk-SK" w:eastAsia="en-GB"/>
        </w:rPr>
        <w:t>.</w:t>
      </w:r>
      <w:r w:rsidR="00EC7483" w:rsidRPr="00044184">
        <w:rPr>
          <w:szCs w:val="22"/>
          <w:lang w:val="sk-SK" w:eastAsia="en-GB"/>
        </w:rPr>
        <w:t xml:space="preserve"> a</w:t>
      </w:r>
      <w:r w:rsidR="007F1BF0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15</w:t>
      </w:r>
      <w:r w:rsidR="007F1BF0" w:rsidRPr="00044184">
        <w:rPr>
          <w:szCs w:val="22"/>
          <w:lang w:val="sk-SK" w:eastAsia="en-GB"/>
        </w:rPr>
        <w:t>. deň</w:t>
      </w:r>
      <w:r w:rsidR="00EC7483" w:rsidRPr="00044184">
        <w:rPr>
          <w:szCs w:val="22"/>
          <w:lang w:val="sk-SK" w:eastAsia="en-GB"/>
        </w:rPr>
        <w:t xml:space="preserve"> </w:t>
      </w:r>
      <w:r w:rsidR="00DB64A5">
        <w:rPr>
          <w:szCs w:val="22"/>
          <w:lang w:val="sk-SK" w:eastAsia="en-GB"/>
        </w:rPr>
        <w:t xml:space="preserve">4 </w:t>
      </w:r>
      <w:r w:rsidR="00651206" w:rsidRPr="00044184">
        <w:rPr>
          <w:szCs w:val="22"/>
          <w:lang w:val="sk-SK" w:eastAsia="en-GB"/>
        </w:rPr>
        <w:t>týždňového cykl</w:t>
      </w:r>
      <w:r w:rsidR="001F2D8A" w:rsidRPr="00044184">
        <w:rPr>
          <w:szCs w:val="22"/>
          <w:lang w:val="sk-SK" w:eastAsia="en-GB"/>
        </w:rPr>
        <w:t>u</w:t>
      </w:r>
      <w:r w:rsidR="002532F3" w:rsidRPr="00044184">
        <w:rPr>
          <w:szCs w:val="22"/>
          <w:lang w:val="sk-SK" w:eastAsia="en-GB"/>
        </w:rPr>
        <w:t xml:space="preserve"> </w:t>
      </w:r>
      <w:r w:rsidR="00EC7483" w:rsidRPr="00044184">
        <w:rPr>
          <w:szCs w:val="22"/>
          <w:lang w:val="sk-SK" w:eastAsia="en-GB"/>
        </w:rPr>
        <w:t>[</w:t>
      </w:r>
      <w:r w:rsidR="00651206" w:rsidRPr="00044184">
        <w:rPr>
          <w:szCs w:val="22"/>
          <w:lang w:val="sk-SK" w:eastAsia="en-GB"/>
        </w:rPr>
        <w:t>schválená dávka a schéma pre karcinóm pankre</w:t>
      </w:r>
      <w:r w:rsidR="005B6D09" w:rsidRPr="00044184">
        <w:rPr>
          <w:szCs w:val="22"/>
          <w:lang w:val="sk-SK" w:eastAsia="en-GB"/>
        </w:rPr>
        <w:t>a</w:t>
      </w:r>
      <w:r w:rsidR="00651206" w:rsidRPr="00044184">
        <w:rPr>
          <w:szCs w:val="22"/>
          <w:lang w:val="sk-SK" w:eastAsia="en-GB"/>
        </w:rPr>
        <w:t>su, pozri SPC pre gemcitabín</w:t>
      </w:r>
      <w:r w:rsidR="00EC7483" w:rsidRPr="00044184">
        <w:rPr>
          <w:szCs w:val="22"/>
          <w:lang w:val="sk-SK" w:eastAsia="en-GB"/>
        </w:rPr>
        <w:t xml:space="preserve">]). Erlotinib </w:t>
      </w:r>
      <w:r w:rsidR="00651206" w:rsidRPr="00044184">
        <w:rPr>
          <w:szCs w:val="22"/>
          <w:lang w:val="sk-SK" w:eastAsia="en-GB"/>
        </w:rPr>
        <w:t>alebo</w:t>
      </w:r>
      <w:r w:rsidR="00EC7483" w:rsidRPr="00044184">
        <w:rPr>
          <w:szCs w:val="22"/>
          <w:lang w:val="sk-SK" w:eastAsia="en-GB"/>
        </w:rPr>
        <w:t xml:space="preserve"> placebo</w:t>
      </w:r>
      <w:r w:rsidR="002532F3" w:rsidRPr="00044184">
        <w:rPr>
          <w:szCs w:val="22"/>
          <w:lang w:val="sk-SK" w:eastAsia="en-GB"/>
        </w:rPr>
        <w:t xml:space="preserve"> </w:t>
      </w:r>
      <w:r w:rsidR="00651206" w:rsidRPr="00044184">
        <w:rPr>
          <w:szCs w:val="22"/>
          <w:lang w:val="sk-SK" w:eastAsia="en-GB"/>
        </w:rPr>
        <w:t>sa užíval</w:t>
      </w:r>
      <w:r w:rsidR="00EF1C38" w:rsidRPr="00044184">
        <w:rPr>
          <w:szCs w:val="22"/>
          <w:lang w:val="sk-SK" w:eastAsia="en-GB"/>
        </w:rPr>
        <w:t>i</w:t>
      </w:r>
      <w:r w:rsidR="00651206" w:rsidRPr="00044184">
        <w:rPr>
          <w:szCs w:val="22"/>
          <w:lang w:val="sk-SK" w:eastAsia="en-GB"/>
        </w:rPr>
        <w:t xml:space="preserve"> perorálne jedenkrát denne až do progresie ochorenia alebo do </w:t>
      </w:r>
      <w:r w:rsidR="005B6D09" w:rsidRPr="00044184">
        <w:rPr>
          <w:szCs w:val="22"/>
          <w:lang w:val="sk-SK" w:eastAsia="en-GB"/>
        </w:rPr>
        <w:t xml:space="preserve">vzniku </w:t>
      </w:r>
      <w:r w:rsidR="00651206" w:rsidRPr="00044184">
        <w:rPr>
          <w:szCs w:val="22"/>
          <w:lang w:val="sk-SK" w:eastAsia="en-GB"/>
        </w:rPr>
        <w:t>neprijateľnej toxicity</w:t>
      </w:r>
      <w:r w:rsidR="00EC7483" w:rsidRPr="00044184">
        <w:rPr>
          <w:szCs w:val="22"/>
          <w:lang w:val="sk-SK" w:eastAsia="en-GB"/>
        </w:rPr>
        <w:t xml:space="preserve">. </w:t>
      </w:r>
      <w:r w:rsidR="00651206" w:rsidRPr="00044184">
        <w:rPr>
          <w:szCs w:val="22"/>
          <w:lang w:val="sk-SK" w:eastAsia="en-GB"/>
        </w:rPr>
        <w:t>Primárnym cieľovým ukazovateľom bolo celkové prežívanie</w:t>
      </w:r>
      <w:r w:rsidR="00EC7483" w:rsidRPr="00044184">
        <w:rPr>
          <w:szCs w:val="22"/>
          <w:lang w:val="sk-SK" w:eastAsia="en-GB"/>
        </w:rPr>
        <w:t>.</w:t>
      </w:r>
    </w:p>
    <w:p w:rsidR="00EC7483" w:rsidRPr="00044184" w:rsidRDefault="00EC7483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EC7483" w:rsidRPr="00044184" w:rsidRDefault="00E33229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>Východiskové demografické</w:t>
      </w:r>
      <w:r w:rsidR="0045162F" w:rsidRPr="00044184">
        <w:rPr>
          <w:szCs w:val="22"/>
          <w:lang w:val="sk-SK" w:eastAsia="en-GB"/>
        </w:rPr>
        <w:t xml:space="preserve"> charakteristiky a charakteristiky ochorenia pacientov boli</w:t>
      </w:r>
      <w:r w:rsidR="00C93F39" w:rsidRPr="00044184">
        <w:rPr>
          <w:szCs w:val="22"/>
          <w:lang w:val="sk-SK" w:eastAsia="en-GB"/>
        </w:rPr>
        <w:t xml:space="preserve"> podobné</w:t>
      </w:r>
      <w:r w:rsidR="0045162F" w:rsidRPr="00044184">
        <w:rPr>
          <w:szCs w:val="22"/>
          <w:lang w:val="sk-SK" w:eastAsia="en-GB"/>
        </w:rPr>
        <w:t xml:space="preserve"> medzi 2 liečenými skupinami</w:t>
      </w:r>
      <w:r w:rsidR="00C93F39" w:rsidRPr="00044184">
        <w:rPr>
          <w:szCs w:val="22"/>
          <w:lang w:val="sk-SK" w:eastAsia="en-GB"/>
        </w:rPr>
        <w:t> </w:t>
      </w:r>
      <w:r w:rsidR="009060D6">
        <w:rPr>
          <w:szCs w:val="22"/>
          <w:lang w:val="sk-SK" w:eastAsia="en-GB"/>
        </w:rPr>
        <w:t>–</w:t>
      </w:r>
      <w:r w:rsidR="00C93F39" w:rsidRPr="00044184">
        <w:rPr>
          <w:szCs w:val="22"/>
          <w:lang w:val="sk-SK" w:eastAsia="en-GB"/>
        </w:rPr>
        <w:t> </w:t>
      </w:r>
      <w:r w:rsidR="009060D6">
        <w:rPr>
          <w:szCs w:val="22"/>
          <w:lang w:val="sk-SK" w:eastAsia="en-GB"/>
        </w:rPr>
        <w:t xml:space="preserve">jedna skupina dostávala </w:t>
      </w:r>
      <w:r w:rsidR="00EC7483" w:rsidRPr="00044184">
        <w:rPr>
          <w:szCs w:val="22"/>
          <w:lang w:val="sk-SK" w:eastAsia="en-GB"/>
        </w:rPr>
        <w:t>100</w:t>
      </w:r>
      <w:r w:rsidR="00EF1C38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mg erlotinib</w:t>
      </w:r>
      <w:r w:rsidR="009060D6">
        <w:rPr>
          <w:szCs w:val="22"/>
          <w:lang w:val="sk-SK" w:eastAsia="en-GB"/>
        </w:rPr>
        <w:t>u</w:t>
      </w:r>
      <w:r w:rsidR="00EC7483" w:rsidRPr="00044184">
        <w:rPr>
          <w:szCs w:val="22"/>
          <w:lang w:val="sk-SK" w:eastAsia="en-GB"/>
        </w:rPr>
        <w:t xml:space="preserve"> </w:t>
      </w:r>
      <w:r w:rsidR="00EF1C38" w:rsidRPr="00044184">
        <w:rPr>
          <w:szCs w:val="22"/>
          <w:lang w:val="sk-SK" w:eastAsia="en-GB"/>
        </w:rPr>
        <w:t>a </w:t>
      </w:r>
      <w:r w:rsidR="00EC7483" w:rsidRPr="00044184">
        <w:rPr>
          <w:szCs w:val="22"/>
          <w:lang w:val="sk-SK" w:eastAsia="en-GB"/>
        </w:rPr>
        <w:t>gemcitab</w:t>
      </w:r>
      <w:r w:rsidR="00EF1C38" w:rsidRPr="00044184">
        <w:rPr>
          <w:szCs w:val="22"/>
          <w:lang w:val="sk-SK" w:eastAsia="en-GB"/>
        </w:rPr>
        <w:t xml:space="preserve">ín alebo </w:t>
      </w:r>
      <w:r w:rsidR="009060D6">
        <w:rPr>
          <w:szCs w:val="22"/>
          <w:lang w:val="sk-SK" w:eastAsia="en-GB"/>
        </w:rPr>
        <w:t xml:space="preserve">druhá skupina dostávala </w:t>
      </w:r>
      <w:r w:rsidR="00EC7483" w:rsidRPr="00044184">
        <w:rPr>
          <w:szCs w:val="22"/>
          <w:lang w:val="sk-SK" w:eastAsia="en-GB"/>
        </w:rPr>
        <w:t>placebo</w:t>
      </w:r>
      <w:r w:rsidR="00EF1C38" w:rsidRPr="00044184">
        <w:rPr>
          <w:szCs w:val="22"/>
          <w:lang w:val="sk-SK" w:eastAsia="en-GB"/>
        </w:rPr>
        <w:t xml:space="preserve"> a</w:t>
      </w:r>
      <w:r w:rsidR="00C93F39" w:rsidRPr="00044184">
        <w:rPr>
          <w:szCs w:val="22"/>
          <w:lang w:val="sk-SK" w:eastAsia="en-GB"/>
        </w:rPr>
        <w:t> </w:t>
      </w:r>
      <w:r w:rsidR="00EC7483" w:rsidRPr="00044184">
        <w:rPr>
          <w:szCs w:val="22"/>
          <w:lang w:val="sk-SK" w:eastAsia="en-GB"/>
        </w:rPr>
        <w:t>gemcitab</w:t>
      </w:r>
      <w:r w:rsidR="00EF1C38" w:rsidRPr="00044184">
        <w:rPr>
          <w:szCs w:val="22"/>
          <w:lang w:val="sk-SK" w:eastAsia="en-GB"/>
        </w:rPr>
        <w:t>ín</w:t>
      </w:r>
      <w:r w:rsidR="00C93F39" w:rsidRPr="00044184">
        <w:rPr>
          <w:szCs w:val="22"/>
          <w:lang w:val="sk-SK" w:eastAsia="en-GB"/>
        </w:rPr>
        <w:t> </w:t>
      </w:r>
      <w:r w:rsidR="00C93F39" w:rsidRPr="00044184">
        <w:rPr>
          <w:szCs w:val="22"/>
          <w:lang w:val="sk-SK" w:eastAsia="en-GB"/>
        </w:rPr>
        <w:noBreakHyphen/>
      </w:r>
      <w:r w:rsidR="00EC7483" w:rsidRPr="00044184">
        <w:rPr>
          <w:szCs w:val="22"/>
          <w:lang w:val="sk-SK" w:eastAsia="en-GB"/>
        </w:rPr>
        <w:t xml:space="preserve"> </w:t>
      </w:r>
      <w:r w:rsidR="00EF1C38" w:rsidRPr="00044184">
        <w:rPr>
          <w:szCs w:val="22"/>
          <w:lang w:val="sk-SK" w:eastAsia="en-GB"/>
        </w:rPr>
        <w:t>s výnimkou mierne vyššieho podielu žien v skupine s erlotinibom/gemcitabínom v porovnaní so</w:t>
      </w:r>
      <w:r w:rsidR="001F2D8A" w:rsidRPr="00044184">
        <w:rPr>
          <w:szCs w:val="22"/>
          <w:lang w:val="sk-SK" w:eastAsia="en-GB"/>
        </w:rPr>
        <w:t> </w:t>
      </w:r>
      <w:r w:rsidR="00EF1C38" w:rsidRPr="00044184">
        <w:rPr>
          <w:szCs w:val="22"/>
          <w:lang w:val="sk-SK" w:eastAsia="en-GB"/>
        </w:rPr>
        <w:t>skupinou s placebom</w:t>
      </w:r>
      <w:r w:rsidR="00EC7483" w:rsidRPr="00044184">
        <w:rPr>
          <w:szCs w:val="22"/>
          <w:lang w:val="sk-SK" w:eastAsia="en-GB"/>
        </w:rPr>
        <w:t>/gemcitab</w:t>
      </w:r>
      <w:r w:rsidR="00BE2BA1" w:rsidRPr="00044184">
        <w:rPr>
          <w:szCs w:val="22"/>
          <w:lang w:val="sk-SK" w:eastAsia="en-GB"/>
        </w:rPr>
        <w:t>ínom</w:t>
      </w:r>
      <w:r w:rsidR="00EC7483" w:rsidRPr="00044184">
        <w:rPr>
          <w:szCs w:val="22"/>
          <w:lang w:val="sk-SK" w:eastAsia="en-GB"/>
        </w:rPr>
        <w:t>:</w:t>
      </w:r>
    </w:p>
    <w:p w:rsidR="00370E2A" w:rsidRPr="00044184" w:rsidRDefault="00370E2A" w:rsidP="00695459">
      <w:pPr>
        <w:spacing w:line="240" w:lineRule="auto"/>
        <w:rPr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1701"/>
      </w:tblGrid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b/>
                <w:bCs/>
                <w:szCs w:val="22"/>
                <w:lang w:val="sk-SK" w:eastAsia="en-GB"/>
              </w:rPr>
              <w:t>Východiskové charakteristiky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Erlotinib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044184">
              <w:rPr>
                <w:b/>
                <w:szCs w:val="22"/>
                <w:lang w:val="sk-SK"/>
              </w:rPr>
              <w:t>Placebo</w:t>
            </w:r>
          </w:p>
        </w:tc>
      </w:tr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Ženy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51 %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44 %</w:t>
            </w:r>
          </w:p>
        </w:tc>
      </w:tr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Východiskový výkonnostný stav (PS) podľa ECOG = 0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31 %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32 %</w:t>
            </w:r>
          </w:p>
        </w:tc>
      </w:tr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Východiskový výkonnostný stav (PS) podľa ECOG = 1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51 %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51 %</w:t>
            </w:r>
          </w:p>
        </w:tc>
      </w:tr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Východiskový výkonnostný stav (PS) podľa ECOG = 2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17 %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17 %</w:t>
            </w:r>
          </w:p>
        </w:tc>
      </w:tr>
      <w:tr w:rsidR="009A01C2" w:rsidRPr="00044184" w:rsidTr="0006676A">
        <w:tc>
          <w:tcPr>
            <w:tcW w:w="4678" w:type="dxa"/>
          </w:tcPr>
          <w:p w:rsidR="009A01C2" w:rsidRPr="00044184" w:rsidRDefault="009A01C2" w:rsidP="00695459">
            <w:pPr>
              <w:spacing w:line="240" w:lineRule="auto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Metastatické ochorenie pri zaradení do štúdie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77 %</w:t>
            </w:r>
          </w:p>
        </w:tc>
        <w:tc>
          <w:tcPr>
            <w:tcW w:w="1701" w:type="dxa"/>
          </w:tcPr>
          <w:p w:rsidR="009A01C2" w:rsidRPr="00044184" w:rsidRDefault="009A01C2" w:rsidP="00695459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044184">
              <w:rPr>
                <w:szCs w:val="22"/>
                <w:lang w:val="sk-SK"/>
              </w:rPr>
              <w:t>76 %</w:t>
            </w:r>
          </w:p>
        </w:tc>
      </w:tr>
    </w:tbl>
    <w:p w:rsidR="009A01C2" w:rsidRPr="00044184" w:rsidRDefault="009A01C2" w:rsidP="00695459">
      <w:pPr>
        <w:spacing w:line="240" w:lineRule="auto"/>
        <w:rPr>
          <w:szCs w:val="22"/>
          <w:lang w:val="sk-SK"/>
        </w:rPr>
      </w:pPr>
    </w:p>
    <w:p w:rsidR="003D2235" w:rsidRPr="00044184" w:rsidRDefault="009A01C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Prežívanie sa hodnotilo v populácii všetkých randomizovaných pacientov (</w:t>
      </w:r>
      <w:r w:rsidR="003D2235" w:rsidRPr="00044184">
        <w:rPr>
          <w:szCs w:val="22"/>
          <w:lang w:val="sk-SK" w:eastAsia="en-GB"/>
        </w:rPr>
        <w:t>intent</w:t>
      </w:r>
      <w:r w:rsidRPr="00044184">
        <w:rPr>
          <w:szCs w:val="22"/>
          <w:lang w:val="sk-SK" w:eastAsia="en-GB"/>
        </w:rPr>
        <w:noBreakHyphen/>
      </w:r>
      <w:r w:rsidR="003D2235" w:rsidRPr="00044184">
        <w:rPr>
          <w:szCs w:val="22"/>
          <w:lang w:val="sk-SK" w:eastAsia="en-GB"/>
        </w:rPr>
        <w:t>to</w:t>
      </w:r>
      <w:r w:rsidRPr="00044184">
        <w:rPr>
          <w:szCs w:val="22"/>
          <w:lang w:val="sk-SK" w:eastAsia="en-GB"/>
        </w:rPr>
        <w:noBreakHyphen/>
      </w:r>
      <w:r w:rsidR="003D2235" w:rsidRPr="00044184">
        <w:rPr>
          <w:szCs w:val="22"/>
          <w:lang w:val="sk-SK" w:eastAsia="en-GB"/>
        </w:rPr>
        <w:t>treat</w:t>
      </w:r>
      <w:r w:rsidRPr="00044184">
        <w:rPr>
          <w:szCs w:val="22"/>
          <w:lang w:val="sk-SK" w:eastAsia="en-GB"/>
        </w:rPr>
        <w:t>) na základe údajov o prežívaní získaných v období sledovania</w:t>
      </w:r>
      <w:r w:rsidR="003D2235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Výsledky sú uvedené v tabuľke </w:t>
      </w:r>
      <w:r w:rsidR="001F2D8A" w:rsidRPr="00044184">
        <w:rPr>
          <w:szCs w:val="22"/>
          <w:lang w:val="sk-SK" w:eastAsia="en-GB"/>
        </w:rPr>
        <w:t xml:space="preserve">nižšie </w:t>
      </w:r>
      <w:r w:rsidRPr="00044184">
        <w:rPr>
          <w:szCs w:val="22"/>
          <w:lang w:val="sk-SK" w:eastAsia="en-GB"/>
        </w:rPr>
        <w:t xml:space="preserve">(výsledky týkajúce sa skupiny pacientov s metastatickým ochorením a lokálne pokročilým </w:t>
      </w:r>
      <w:r w:rsidR="007D1C70">
        <w:rPr>
          <w:szCs w:val="22"/>
          <w:lang w:val="sk-SK" w:eastAsia="en-GB"/>
        </w:rPr>
        <w:t>ochorením</w:t>
      </w:r>
      <w:r w:rsidRPr="00044184">
        <w:rPr>
          <w:szCs w:val="22"/>
          <w:lang w:val="sk-SK" w:eastAsia="en-GB"/>
        </w:rPr>
        <w:t xml:space="preserve"> sú odvodené z exploračnej analýzy podskupín)</w:t>
      </w:r>
      <w:r w:rsidR="003D2235" w:rsidRPr="00044184">
        <w:rPr>
          <w:szCs w:val="22"/>
          <w:lang w:val="sk-SK" w:eastAsia="en-GB"/>
        </w:rPr>
        <w:t>.</w:t>
      </w:r>
    </w:p>
    <w:p w:rsidR="009A01C2" w:rsidRPr="00044184" w:rsidRDefault="009A01C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tbl>
      <w:tblPr>
        <w:tblW w:w="97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020"/>
        <w:gridCol w:w="1020"/>
        <w:gridCol w:w="1020"/>
        <w:gridCol w:w="1191"/>
        <w:gridCol w:w="708"/>
        <w:gridCol w:w="1134"/>
        <w:gridCol w:w="964"/>
      </w:tblGrid>
      <w:tr w:rsidR="0006676A" w:rsidRPr="00044184" w:rsidTr="0006676A">
        <w:tc>
          <w:tcPr>
            <w:tcW w:w="2694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Výsledný ukazovateľ</w:t>
            </w:r>
          </w:p>
        </w:tc>
        <w:tc>
          <w:tcPr>
            <w:tcW w:w="1020" w:type="dxa"/>
          </w:tcPr>
          <w:p w:rsidR="009A01C2" w:rsidRPr="00044184" w:rsidRDefault="00F02C96" w:rsidP="00816E6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80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Erlotinib</w:t>
            </w:r>
          </w:p>
          <w:p w:rsidR="00F02C96" w:rsidRPr="00044184" w:rsidRDefault="00F02C96" w:rsidP="00816E6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(mesiace)</w:t>
            </w:r>
          </w:p>
        </w:tc>
        <w:tc>
          <w:tcPr>
            <w:tcW w:w="1020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Placebo</w:t>
            </w:r>
          </w:p>
          <w:p w:rsidR="00F02C96" w:rsidRPr="00044184" w:rsidRDefault="00F02C96" w:rsidP="00816E6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-136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(mesiace)</w:t>
            </w:r>
          </w:p>
        </w:tc>
        <w:tc>
          <w:tcPr>
            <w:tcW w:w="1020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Δ</w:t>
            </w:r>
          </w:p>
          <w:p w:rsidR="00F02C96" w:rsidRPr="00044184" w:rsidRDefault="00F02C96" w:rsidP="00816E6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-22" w:right="-25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(mesiace)</w:t>
            </w:r>
          </w:p>
        </w:tc>
        <w:tc>
          <w:tcPr>
            <w:tcW w:w="1191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 xml:space="preserve">IS </w:t>
            </w:r>
            <w:r w:rsidR="00E7166F" w:rsidRPr="00044184">
              <w:rPr>
                <w:b/>
                <w:szCs w:val="22"/>
                <w:lang w:val="sk-SK" w:eastAsia="en-GB"/>
              </w:rPr>
              <w:br/>
            </w:r>
            <w:r w:rsidRPr="00044184">
              <w:rPr>
                <w:b/>
                <w:szCs w:val="22"/>
                <w:lang w:val="sk-SK" w:eastAsia="en-GB"/>
              </w:rPr>
              <w:t>pre Δ</w:t>
            </w:r>
          </w:p>
        </w:tc>
        <w:tc>
          <w:tcPr>
            <w:tcW w:w="708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HR</w:t>
            </w:r>
          </w:p>
        </w:tc>
        <w:tc>
          <w:tcPr>
            <w:tcW w:w="1134" w:type="dxa"/>
          </w:tcPr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I</w:t>
            </w:r>
            <w:r w:rsidR="00E7166F" w:rsidRPr="00044184">
              <w:rPr>
                <w:b/>
                <w:szCs w:val="22"/>
                <w:lang w:val="sk-SK" w:eastAsia="en-GB"/>
              </w:rPr>
              <w:t>S</w:t>
            </w:r>
            <w:r w:rsidRPr="00044184">
              <w:rPr>
                <w:b/>
                <w:szCs w:val="22"/>
                <w:lang w:val="sk-SK" w:eastAsia="en-GB"/>
              </w:rPr>
              <w:t xml:space="preserve"> </w:t>
            </w:r>
            <w:r w:rsidR="00E7166F" w:rsidRPr="00044184">
              <w:rPr>
                <w:b/>
                <w:szCs w:val="22"/>
                <w:lang w:val="sk-SK" w:eastAsia="en-GB"/>
              </w:rPr>
              <w:br/>
            </w:r>
            <w:r w:rsidRPr="00044184">
              <w:rPr>
                <w:b/>
                <w:szCs w:val="22"/>
                <w:lang w:val="sk-SK" w:eastAsia="en-GB"/>
              </w:rPr>
              <w:t>pre HR</w:t>
            </w:r>
          </w:p>
        </w:tc>
        <w:tc>
          <w:tcPr>
            <w:tcW w:w="964" w:type="dxa"/>
          </w:tcPr>
          <w:p w:rsidR="00E21654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i/>
                <w:szCs w:val="22"/>
                <w:lang w:val="sk-SK" w:eastAsia="en-GB"/>
              </w:rPr>
              <w:t>p</w:t>
            </w:r>
            <w:r w:rsidR="00E21654" w:rsidRPr="00044184">
              <w:rPr>
                <w:b/>
                <w:szCs w:val="22"/>
                <w:lang w:val="sk-SK" w:eastAsia="en-GB"/>
              </w:rPr>
              <w:t>-</w:t>
            </w:r>
          </w:p>
          <w:p w:rsidR="009A01C2" w:rsidRPr="00044184" w:rsidRDefault="00F02C96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sk-SK" w:eastAsia="en-GB"/>
              </w:rPr>
            </w:pPr>
            <w:r w:rsidRPr="00044184">
              <w:rPr>
                <w:b/>
                <w:szCs w:val="22"/>
                <w:lang w:val="sk-SK" w:eastAsia="en-GB"/>
              </w:rPr>
              <w:t>hodno</w:t>
            </w:r>
            <w:r w:rsidR="00253847">
              <w:rPr>
                <w:b/>
                <w:szCs w:val="22"/>
                <w:lang w:val="sk-SK" w:eastAsia="en-GB"/>
              </w:rPr>
              <w:t>-</w:t>
            </w:r>
            <w:r w:rsidRPr="00044184">
              <w:rPr>
                <w:b/>
                <w:szCs w:val="22"/>
                <w:lang w:val="sk-SK" w:eastAsia="en-GB"/>
              </w:rPr>
              <w:t>ta</w:t>
            </w:r>
          </w:p>
        </w:tc>
      </w:tr>
      <w:tr w:rsidR="00E21654" w:rsidRPr="00044184" w:rsidTr="0006676A">
        <w:tc>
          <w:tcPr>
            <w:tcW w:w="9751" w:type="dxa"/>
            <w:gridSpan w:val="8"/>
          </w:tcPr>
          <w:p w:rsidR="00E21654" w:rsidRPr="00044184" w:rsidRDefault="00E21654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Celková populácia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lastRenderedPageBreak/>
              <w:t>Medián 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6,4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6,0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0,41</w:t>
            </w:r>
          </w:p>
        </w:tc>
        <w:tc>
          <w:tcPr>
            <w:tcW w:w="1191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-0,54 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1,64</w:t>
            </w:r>
          </w:p>
        </w:tc>
        <w:tc>
          <w:tcPr>
            <w:tcW w:w="708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0,82</w:t>
            </w:r>
          </w:p>
        </w:tc>
        <w:tc>
          <w:tcPr>
            <w:tcW w:w="113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0,69 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0,98</w:t>
            </w:r>
          </w:p>
        </w:tc>
        <w:tc>
          <w:tcPr>
            <w:tcW w:w="96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0,028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2249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Priemerná dĺžka </w:t>
            </w:r>
            <w:r w:rsidR="006F5E72" w:rsidRPr="00044184">
              <w:rPr>
                <w:szCs w:val="22"/>
                <w:lang w:val="sk-SK" w:eastAsia="en-GB"/>
              </w:rPr>
              <w:t>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8,8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7,6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1,16</w:t>
            </w:r>
          </w:p>
        </w:tc>
        <w:tc>
          <w:tcPr>
            <w:tcW w:w="1191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-0,05 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2,34</w:t>
            </w:r>
          </w:p>
        </w:tc>
        <w:tc>
          <w:tcPr>
            <w:tcW w:w="708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13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96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E21654" w:rsidRPr="00044184" w:rsidTr="0006676A">
        <w:tc>
          <w:tcPr>
            <w:tcW w:w="9751" w:type="dxa"/>
            <w:gridSpan w:val="8"/>
          </w:tcPr>
          <w:p w:rsidR="00E21654" w:rsidRPr="00044184" w:rsidRDefault="00E21654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Populácia s metastatickým ochorením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Medián 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5,9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5,1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0,87</w:t>
            </w:r>
          </w:p>
        </w:tc>
        <w:tc>
          <w:tcPr>
            <w:tcW w:w="1191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-0,26 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1,56</w:t>
            </w:r>
          </w:p>
        </w:tc>
        <w:tc>
          <w:tcPr>
            <w:tcW w:w="708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0,80</w:t>
            </w:r>
          </w:p>
        </w:tc>
        <w:tc>
          <w:tcPr>
            <w:tcW w:w="113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0,66 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0,98</w:t>
            </w:r>
          </w:p>
        </w:tc>
        <w:tc>
          <w:tcPr>
            <w:tcW w:w="96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0,029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2249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 xml:space="preserve">Priemerná dĺžka </w:t>
            </w:r>
            <w:r w:rsidR="006F5E72" w:rsidRPr="00044184">
              <w:rPr>
                <w:szCs w:val="22"/>
                <w:lang w:val="sk-SK" w:eastAsia="en-GB"/>
              </w:rPr>
              <w:t>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8,1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6,7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1,43</w:t>
            </w:r>
          </w:p>
        </w:tc>
        <w:tc>
          <w:tcPr>
            <w:tcW w:w="1191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0,17 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2,66</w:t>
            </w:r>
          </w:p>
        </w:tc>
        <w:tc>
          <w:tcPr>
            <w:tcW w:w="708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113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  <w:tc>
          <w:tcPr>
            <w:tcW w:w="96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</w:p>
        </w:tc>
      </w:tr>
      <w:tr w:rsidR="00E21654" w:rsidRPr="00044184" w:rsidTr="0006676A">
        <w:tc>
          <w:tcPr>
            <w:tcW w:w="9751" w:type="dxa"/>
            <w:gridSpan w:val="8"/>
          </w:tcPr>
          <w:p w:rsidR="00E21654" w:rsidRPr="00044184" w:rsidRDefault="00E21654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Populácia s lokálne pokročilým ochorením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Medián 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8,5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8,2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0,36</w:t>
            </w:r>
          </w:p>
        </w:tc>
        <w:tc>
          <w:tcPr>
            <w:tcW w:w="1191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-2,43 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2,96</w:t>
            </w:r>
          </w:p>
        </w:tc>
        <w:tc>
          <w:tcPr>
            <w:tcW w:w="708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0,93</w:t>
            </w:r>
          </w:p>
        </w:tc>
        <w:tc>
          <w:tcPr>
            <w:tcW w:w="113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0,65 </w:t>
            </w:r>
            <w:r w:rsidR="00253847">
              <w:rPr>
                <w:szCs w:val="22"/>
                <w:lang w:val="sk-SK" w:eastAsia="en-GB"/>
              </w:rPr>
              <w:t>–</w:t>
            </w:r>
            <w:r w:rsidRPr="00044184">
              <w:rPr>
                <w:szCs w:val="22"/>
                <w:lang w:val="sk-SK" w:eastAsia="en-GB"/>
              </w:rPr>
              <w:t> 1,35</w:t>
            </w:r>
          </w:p>
        </w:tc>
        <w:tc>
          <w:tcPr>
            <w:tcW w:w="964" w:type="dxa"/>
            <w:vMerge w:val="restart"/>
            <w:vAlign w:val="center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0,713</w:t>
            </w:r>
          </w:p>
        </w:tc>
      </w:tr>
      <w:tr w:rsidR="0006676A" w:rsidRPr="00044184" w:rsidTr="0006676A">
        <w:tc>
          <w:tcPr>
            <w:tcW w:w="2694" w:type="dxa"/>
          </w:tcPr>
          <w:p w:rsidR="006F5E72" w:rsidRPr="00044184" w:rsidRDefault="002249EC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Priemerná dĺžka</w:t>
            </w:r>
            <w:r w:rsidR="006F5E72" w:rsidRPr="00044184">
              <w:rPr>
                <w:szCs w:val="22"/>
                <w:lang w:val="sk-SK" w:eastAsia="en-GB"/>
              </w:rPr>
              <w:t xml:space="preserve"> celkového prežívania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10,7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10,5</w:t>
            </w:r>
          </w:p>
        </w:tc>
        <w:tc>
          <w:tcPr>
            <w:tcW w:w="1020" w:type="dxa"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0,19</w:t>
            </w:r>
          </w:p>
        </w:tc>
        <w:tc>
          <w:tcPr>
            <w:tcW w:w="1191" w:type="dxa"/>
          </w:tcPr>
          <w:p w:rsidR="00253847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 w:rsidRPr="00044184">
              <w:rPr>
                <w:szCs w:val="22"/>
                <w:lang w:val="sk-SK" w:eastAsia="en-GB"/>
              </w:rPr>
              <w:t>-2,43</w:t>
            </w:r>
          </w:p>
          <w:p w:rsidR="006F5E72" w:rsidRPr="00044184" w:rsidRDefault="00253847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  <w:lang w:val="sk-SK" w:eastAsia="en-GB"/>
              </w:rPr>
            </w:pPr>
            <w:r>
              <w:rPr>
                <w:szCs w:val="22"/>
                <w:lang w:val="sk-SK" w:eastAsia="en-GB"/>
              </w:rPr>
              <w:t>–</w:t>
            </w:r>
            <w:r w:rsidR="006F5E72" w:rsidRPr="00044184">
              <w:rPr>
                <w:szCs w:val="22"/>
                <w:lang w:val="sk-SK" w:eastAsia="en-GB"/>
              </w:rPr>
              <w:t> 2,69</w:t>
            </w:r>
          </w:p>
        </w:tc>
        <w:tc>
          <w:tcPr>
            <w:tcW w:w="708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en-GB"/>
              </w:rPr>
            </w:pPr>
          </w:p>
        </w:tc>
        <w:tc>
          <w:tcPr>
            <w:tcW w:w="113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en-GB"/>
              </w:rPr>
            </w:pPr>
          </w:p>
        </w:tc>
        <w:tc>
          <w:tcPr>
            <w:tcW w:w="964" w:type="dxa"/>
            <w:vMerge/>
          </w:tcPr>
          <w:p w:rsidR="006F5E72" w:rsidRPr="00044184" w:rsidRDefault="006F5E72" w:rsidP="0069545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 w:eastAsia="en-GB"/>
              </w:rPr>
            </w:pPr>
          </w:p>
        </w:tc>
      </w:tr>
    </w:tbl>
    <w:p w:rsidR="003D2235" w:rsidRPr="00044184" w:rsidRDefault="00D33FC9" w:rsidP="00695459">
      <w:pPr>
        <w:spacing w:line="240" w:lineRule="auto"/>
        <w:rPr>
          <w:szCs w:val="22"/>
          <w:lang w:val="sk-SK"/>
        </w:rPr>
      </w:pPr>
      <w:r>
        <w:rPr>
          <w:noProof/>
          <w:szCs w:val="22"/>
          <w:lang w:val="sk-SK" w:eastAsia="sk-SK"/>
        </w:rPr>
        <w:drawing>
          <wp:inline distT="0" distB="0" distL="0" distR="0">
            <wp:extent cx="5362575" cy="335280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35" w:rsidRDefault="003D2235" w:rsidP="00695459">
      <w:pPr>
        <w:spacing w:line="240" w:lineRule="auto"/>
        <w:rPr>
          <w:szCs w:val="22"/>
          <w:lang w:val="sk-SK"/>
        </w:rPr>
      </w:pPr>
    </w:p>
    <w:p w:rsidR="001248B2" w:rsidRPr="00675F45" w:rsidRDefault="001248B2" w:rsidP="001248B2">
      <w:pPr>
        <w:spacing w:line="240" w:lineRule="auto"/>
        <w:rPr>
          <w:szCs w:val="22"/>
          <w:lang w:val="sk-SK"/>
        </w:rPr>
      </w:pPr>
      <w:r w:rsidRPr="00675F45">
        <w:rPr>
          <w:szCs w:val="22"/>
          <w:lang w:val="sk-SK"/>
        </w:rPr>
        <w:t xml:space="preserve">Celkové prežívanie - všetci pacienti (Overall Survival - All Patients); Pravdepodobnosť prežívania (Survival Probability); Prežívanie (mesiace) (Survival (months)); Placebo + gemcitabín (Placebo + gemcitabine); Medián OS (Median OS) = 6,0 mesiacov (6.0 months); Erlotinib + gemcitabín (Erlotinib + gemcitabine); Medián OS (Median OS) = 6,4 mesiacov (6.4 months); HR = 0,82 (95 % IS: 0,69; 0,98), </w:t>
      </w:r>
      <w:r w:rsidRPr="00675F45">
        <w:rPr>
          <w:i/>
          <w:szCs w:val="22"/>
          <w:lang w:val="sk-SK"/>
        </w:rPr>
        <w:t>p</w:t>
      </w:r>
      <w:r w:rsidRPr="00675F45">
        <w:rPr>
          <w:szCs w:val="22"/>
          <w:lang w:val="sk-SK"/>
        </w:rPr>
        <w:t> = 0,028.</w:t>
      </w:r>
    </w:p>
    <w:p w:rsidR="001248B2" w:rsidRPr="00044184" w:rsidRDefault="001248B2" w:rsidP="00695459">
      <w:pPr>
        <w:spacing w:line="240" w:lineRule="auto"/>
        <w:rPr>
          <w:szCs w:val="22"/>
          <w:lang w:val="sk-SK"/>
        </w:rPr>
      </w:pPr>
    </w:p>
    <w:p w:rsidR="00B12D51" w:rsidRPr="00044184" w:rsidRDefault="00D33FC9" w:rsidP="00695459">
      <w:pPr>
        <w:spacing w:line="240" w:lineRule="auto"/>
        <w:rPr>
          <w:szCs w:val="22"/>
          <w:lang w:val="sk-SK"/>
        </w:rPr>
      </w:pPr>
      <w:r>
        <w:rPr>
          <w:noProof/>
          <w:szCs w:val="22"/>
          <w:lang w:val="sk-SK" w:eastAsia="sk-SK"/>
        </w:rPr>
        <w:lastRenderedPageBreak/>
        <w:drawing>
          <wp:inline distT="0" distB="0" distL="0" distR="0">
            <wp:extent cx="5353050" cy="32861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E5" w:rsidRDefault="008F30E5" w:rsidP="00695459">
      <w:pPr>
        <w:spacing w:line="240" w:lineRule="auto"/>
        <w:rPr>
          <w:szCs w:val="22"/>
          <w:lang w:val="sk-SK"/>
        </w:rPr>
      </w:pPr>
    </w:p>
    <w:p w:rsidR="00FC228D" w:rsidRPr="00675F45" w:rsidRDefault="00FC228D" w:rsidP="00FC228D">
      <w:pPr>
        <w:spacing w:line="240" w:lineRule="auto"/>
        <w:rPr>
          <w:szCs w:val="22"/>
          <w:lang w:val="sk-SK"/>
        </w:rPr>
      </w:pPr>
      <w:r w:rsidRPr="00675F45">
        <w:rPr>
          <w:szCs w:val="22"/>
          <w:lang w:val="sk-SK"/>
        </w:rPr>
        <w:t xml:space="preserve">Celkové prežívanie - pacienti so vzdialenými metastázami (Overall Survival - Patients with Distant Metastases); Pravdepodobnosť prežívania (Survival Probability); Prežívanie (mesiace) (Survival (months)); Placebo + gemcitabín (Placebo + gemcitabine); Medián OS (Median OS) = 5,06 mesiacov (5.06 months); Erlotinib + gemcitabín (Erlotinib + gemcitabine); Medián OS (Median OS) = 5,93 mesiacov (5.93 months); HR = 0,80 (95 % IS: 0,66; 0,98), </w:t>
      </w:r>
      <w:r w:rsidRPr="00675F45">
        <w:rPr>
          <w:i/>
          <w:szCs w:val="22"/>
          <w:lang w:val="sk-SK"/>
        </w:rPr>
        <w:t>p</w:t>
      </w:r>
      <w:r w:rsidRPr="00675F45">
        <w:rPr>
          <w:szCs w:val="22"/>
          <w:lang w:val="sk-SK"/>
        </w:rPr>
        <w:t> = 0,029.</w:t>
      </w:r>
    </w:p>
    <w:p w:rsidR="00FC228D" w:rsidRPr="00044184" w:rsidRDefault="00FC228D" w:rsidP="00695459">
      <w:pPr>
        <w:spacing w:line="240" w:lineRule="auto"/>
        <w:rPr>
          <w:szCs w:val="22"/>
          <w:lang w:val="sk-SK"/>
        </w:rPr>
      </w:pPr>
    </w:p>
    <w:p w:rsidR="00B12D51" w:rsidRPr="00044184" w:rsidRDefault="00915B61" w:rsidP="00695459">
      <w:pPr>
        <w:spacing w:line="240" w:lineRule="auto"/>
        <w:rPr>
          <w:szCs w:val="22"/>
          <w:lang w:val="sk-SK"/>
        </w:rPr>
      </w:pPr>
      <w:r w:rsidRPr="00B51C1F">
        <w:rPr>
          <w:szCs w:val="22"/>
          <w:lang w:val="sk-SK"/>
        </w:rPr>
        <w:t>Podľa</w:t>
      </w:r>
      <w:r w:rsidR="002249EC" w:rsidRPr="00044184">
        <w:rPr>
          <w:szCs w:val="22"/>
          <w:lang w:val="sk-SK"/>
        </w:rPr>
        <w:t> </w:t>
      </w:r>
      <w:r w:rsidR="002249EC" w:rsidRPr="00044184">
        <w:rPr>
          <w:i/>
          <w:szCs w:val="22"/>
          <w:lang w:val="sk-SK"/>
        </w:rPr>
        <w:t>post</w:t>
      </w:r>
      <w:r w:rsidR="002249EC" w:rsidRPr="00044184">
        <w:rPr>
          <w:i/>
          <w:szCs w:val="22"/>
          <w:lang w:val="sk-SK"/>
        </w:rPr>
        <w:noBreakHyphen/>
        <w:t>hoc</w:t>
      </w:r>
      <w:r w:rsidR="00B12D51" w:rsidRPr="00044184">
        <w:rPr>
          <w:szCs w:val="22"/>
          <w:lang w:val="sk-SK"/>
        </w:rPr>
        <w:t xml:space="preserve"> anal</w:t>
      </w:r>
      <w:r w:rsidR="002249EC" w:rsidRPr="00044184">
        <w:rPr>
          <w:szCs w:val="22"/>
          <w:lang w:val="sk-SK"/>
        </w:rPr>
        <w:t>ýz</w:t>
      </w:r>
      <w:r w:rsidRPr="00044184">
        <w:rPr>
          <w:szCs w:val="22"/>
          <w:lang w:val="sk-SK"/>
        </w:rPr>
        <w:t>y</w:t>
      </w:r>
      <w:r w:rsidR="002249EC" w:rsidRPr="00044184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 xml:space="preserve">môžu mať pacienti s priaznivým východiskovým klinickým stavom </w:t>
      </w:r>
      <w:r w:rsidR="00B12D51" w:rsidRPr="00044184">
        <w:rPr>
          <w:szCs w:val="22"/>
          <w:lang w:val="sk-SK"/>
        </w:rPr>
        <w:t>(</w:t>
      </w:r>
      <w:r w:rsidRPr="00044184">
        <w:rPr>
          <w:szCs w:val="22"/>
          <w:lang w:val="sk-SK"/>
        </w:rPr>
        <w:t>nízka intenzita bolesti, dobrá kvalita života a dobrý výkonnostný stav</w:t>
      </w:r>
      <w:r w:rsidR="00B12D51" w:rsidRPr="00044184">
        <w:rPr>
          <w:szCs w:val="22"/>
          <w:lang w:val="sk-SK"/>
        </w:rPr>
        <w:t xml:space="preserve">) </w:t>
      </w:r>
      <w:r w:rsidRPr="00044184">
        <w:rPr>
          <w:szCs w:val="22"/>
          <w:lang w:val="sk-SK"/>
        </w:rPr>
        <w:t>väčší prínos z</w:t>
      </w:r>
      <w:r w:rsidR="00B60D0A" w:rsidRPr="00044184">
        <w:rPr>
          <w:szCs w:val="22"/>
          <w:lang w:val="sk-SK"/>
        </w:rPr>
        <w:t> </w:t>
      </w:r>
      <w:r w:rsidRPr="00044184">
        <w:rPr>
          <w:szCs w:val="22"/>
          <w:lang w:val="sk-SK"/>
        </w:rPr>
        <w:t>liečb</w:t>
      </w:r>
      <w:r w:rsidR="00B60D0A" w:rsidRPr="00044184">
        <w:rPr>
          <w:szCs w:val="22"/>
          <w:lang w:val="sk-SK"/>
        </w:rPr>
        <w:t>y erlotinibom</w:t>
      </w:r>
      <w:r w:rsidR="00B12D51" w:rsidRPr="00044184">
        <w:rPr>
          <w:szCs w:val="22"/>
          <w:lang w:val="sk-SK"/>
        </w:rPr>
        <w:t xml:space="preserve">. </w:t>
      </w:r>
      <w:r w:rsidR="00B60D0A" w:rsidRPr="00044184">
        <w:rPr>
          <w:szCs w:val="22"/>
          <w:lang w:val="sk-SK"/>
        </w:rPr>
        <w:t>Tento prínos je z veľkej miery podmienený prítomnosťou nízkeho skóre intenzity bolesti.</w:t>
      </w:r>
    </w:p>
    <w:p w:rsidR="00B12D51" w:rsidRPr="00044184" w:rsidRDefault="00B12D51" w:rsidP="00695459">
      <w:pPr>
        <w:spacing w:line="240" w:lineRule="auto"/>
        <w:rPr>
          <w:szCs w:val="22"/>
          <w:lang w:val="sk-SK"/>
        </w:rPr>
      </w:pPr>
    </w:p>
    <w:p w:rsidR="00B12D51" w:rsidRPr="00044184" w:rsidRDefault="00B60D0A" w:rsidP="00695459">
      <w:pPr>
        <w:spacing w:line="240" w:lineRule="auto"/>
        <w:rPr>
          <w:szCs w:val="22"/>
          <w:lang w:val="sk-SK"/>
        </w:rPr>
      </w:pPr>
      <w:r w:rsidRPr="00D72706">
        <w:rPr>
          <w:szCs w:val="22"/>
          <w:lang w:val="sk-SK"/>
        </w:rPr>
        <w:t>Podľa</w:t>
      </w:r>
      <w:r w:rsidRPr="00044184">
        <w:rPr>
          <w:szCs w:val="22"/>
          <w:lang w:val="sk-SK"/>
        </w:rPr>
        <w:t xml:space="preserve"> </w:t>
      </w:r>
      <w:r w:rsidRPr="00044184">
        <w:rPr>
          <w:i/>
          <w:szCs w:val="22"/>
          <w:lang w:val="sk-SK"/>
        </w:rPr>
        <w:t>post</w:t>
      </w:r>
      <w:r w:rsidRPr="00044184">
        <w:rPr>
          <w:i/>
          <w:szCs w:val="22"/>
          <w:lang w:val="sk-SK"/>
        </w:rPr>
        <w:noBreakHyphen/>
        <w:t>hoc</w:t>
      </w:r>
      <w:r w:rsidRPr="00044184">
        <w:rPr>
          <w:szCs w:val="22"/>
          <w:lang w:val="sk-SK"/>
        </w:rPr>
        <w:t xml:space="preserve"> analýzy sa u pacientov liečených erlotinibom, u ktorých vznikla vyrážka, dosiahlo dlhšie celkové prežívanie v porovnaní s pacientmi, u ktorých vyrážka nevznikla </w:t>
      </w:r>
      <w:r w:rsidR="00B12D51" w:rsidRPr="00044184">
        <w:rPr>
          <w:szCs w:val="22"/>
          <w:lang w:val="sk-SK"/>
        </w:rPr>
        <w:t>(medi</w:t>
      </w:r>
      <w:r w:rsidRPr="00044184">
        <w:rPr>
          <w:szCs w:val="22"/>
          <w:lang w:val="sk-SK"/>
        </w:rPr>
        <w:t>á</w:t>
      </w:r>
      <w:r w:rsidR="00B12D51" w:rsidRPr="00044184">
        <w:rPr>
          <w:szCs w:val="22"/>
          <w:lang w:val="sk-SK"/>
        </w:rPr>
        <w:t>n</w:t>
      </w:r>
      <w:r w:rsidRPr="00044184">
        <w:rPr>
          <w:szCs w:val="22"/>
          <w:lang w:val="sk-SK"/>
        </w:rPr>
        <w:t> </w:t>
      </w:r>
      <w:r w:rsidR="00B12D51" w:rsidRPr="00044184">
        <w:rPr>
          <w:szCs w:val="22"/>
          <w:lang w:val="sk-SK"/>
        </w:rPr>
        <w:t>OS</w:t>
      </w:r>
      <w:r w:rsidR="00BC197B" w:rsidRPr="00044184">
        <w:rPr>
          <w:szCs w:val="22"/>
          <w:lang w:val="sk-SK"/>
        </w:rPr>
        <w:t xml:space="preserve"> </w:t>
      </w:r>
      <w:r w:rsidR="00B12D51" w:rsidRPr="00044184">
        <w:rPr>
          <w:szCs w:val="22"/>
          <w:lang w:val="sk-SK"/>
        </w:rPr>
        <w:t>7</w:t>
      </w:r>
      <w:r w:rsidRPr="00044184">
        <w:rPr>
          <w:szCs w:val="22"/>
          <w:lang w:val="sk-SK"/>
        </w:rPr>
        <w:t>,</w:t>
      </w:r>
      <w:r w:rsidR="00B12D51" w:rsidRPr="00044184">
        <w:rPr>
          <w:szCs w:val="22"/>
          <w:lang w:val="sk-SK"/>
        </w:rPr>
        <w:t>2</w:t>
      </w:r>
      <w:r w:rsidRPr="00044184">
        <w:rPr>
          <w:szCs w:val="22"/>
          <w:lang w:val="sk-SK"/>
        </w:rPr>
        <w:t> mesiac</w:t>
      </w:r>
      <w:r w:rsidR="003C45C2">
        <w:rPr>
          <w:szCs w:val="22"/>
          <w:lang w:val="sk-SK"/>
        </w:rPr>
        <w:t>ov</w:t>
      </w:r>
      <w:r w:rsidRPr="00044184">
        <w:rPr>
          <w:szCs w:val="22"/>
          <w:lang w:val="sk-SK"/>
        </w:rPr>
        <w:t xml:space="preserve"> v porovnaní s </w:t>
      </w:r>
      <w:r w:rsidR="00B12D51" w:rsidRPr="00044184">
        <w:rPr>
          <w:szCs w:val="22"/>
          <w:lang w:val="sk-SK"/>
        </w:rPr>
        <w:t>5</w:t>
      </w:r>
      <w:r w:rsidRPr="00044184">
        <w:rPr>
          <w:szCs w:val="22"/>
          <w:lang w:val="sk-SK"/>
        </w:rPr>
        <w:t> mesiacmi</w:t>
      </w:r>
      <w:r w:rsidR="00B12D51" w:rsidRPr="00044184">
        <w:rPr>
          <w:szCs w:val="22"/>
          <w:lang w:val="sk-SK"/>
        </w:rPr>
        <w:t>, HR</w:t>
      </w:r>
      <w:r w:rsidRPr="00044184">
        <w:rPr>
          <w:szCs w:val="22"/>
          <w:lang w:val="sk-SK"/>
        </w:rPr>
        <w:t> = </w:t>
      </w:r>
      <w:r w:rsidR="00B12D51" w:rsidRPr="00044184">
        <w:rPr>
          <w:szCs w:val="22"/>
          <w:lang w:val="sk-SK"/>
        </w:rPr>
        <w:t>0</w:t>
      </w:r>
      <w:r w:rsidRPr="00044184">
        <w:rPr>
          <w:szCs w:val="22"/>
          <w:lang w:val="sk-SK"/>
        </w:rPr>
        <w:t>,</w:t>
      </w:r>
      <w:r w:rsidR="00B12D51" w:rsidRPr="00044184">
        <w:rPr>
          <w:szCs w:val="22"/>
          <w:lang w:val="sk-SK"/>
        </w:rPr>
        <w:t>61).</w:t>
      </w:r>
      <w:r w:rsidR="002532F3" w:rsidRPr="00044184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U 90 % pacientov liečených erlotinibom vznikla vyrážka počas prvých 44 dní</w:t>
      </w:r>
      <w:r w:rsidR="00B12D51" w:rsidRPr="00044184">
        <w:rPr>
          <w:szCs w:val="22"/>
          <w:lang w:val="sk-SK"/>
        </w:rPr>
        <w:t xml:space="preserve">. </w:t>
      </w:r>
      <w:r w:rsidRPr="00044184">
        <w:rPr>
          <w:szCs w:val="22"/>
          <w:lang w:val="sk-SK"/>
        </w:rPr>
        <w:t>Medián času do nástupu vyrážky bol</w:t>
      </w:r>
      <w:r w:rsidR="00B12D51" w:rsidRPr="00044184">
        <w:rPr>
          <w:szCs w:val="22"/>
          <w:lang w:val="sk-SK"/>
        </w:rPr>
        <w:t xml:space="preserve"> 10</w:t>
      </w:r>
      <w:r w:rsidRPr="00044184">
        <w:rPr>
          <w:szCs w:val="22"/>
          <w:lang w:val="sk-SK"/>
        </w:rPr>
        <w:t> dní</w:t>
      </w:r>
      <w:r w:rsidR="00B12D51" w:rsidRPr="00044184">
        <w:rPr>
          <w:szCs w:val="22"/>
          <w:lang w:val="sk-SK"/>
        </w:rPr>
        <w:t>.</w:t>
      </w:r>
    </w:p>
    <w:p w:rsidR="00B12D51" w:rsidRPr="00044184" w:rsidRDefault="00B12D51" w:rsidP="00695459">
      <w:pPr>
        <w:spacing w:line="240" w:lineRule="auto"/>
        <w:rPr>
          <w:szCs w:val="22"/>
          <w:lang w:val="sk-SK"/>
        </w:rPr>
      </w:pPr>
    </w:p>
    <w:p w:rsidR="00B12D51" w:rsidRPr="00044184" w:rsidRDefault="00B12D51" w:rsidP="00695459">
      <w:pPr>
        <w:spacing w:line="240" w:lineRule="auto"/>
        <w:rPr>
          <w:szCs w:val="22"/>
          <w:u w:val="single"/>
          <w:lang w:val="sk-SK"/>
        </w:rPr>
      </w:pPr>
      <w:r w:rsidRPr="00044184">
        <w:rPr>
          <w:szCs w:val="22"/>
          <w:u w:val="single"/>
          <w:lang w:val="sk-SK"/>
        </w:rPr>
        <w:t>Pediatric</w:t>
      </w:r>
      <w:r w:rsidR="006B10E9" w:rsidRPr="00044184">
        <w:rPr>
          <w:szCs w:val="22"/>
          <w:u w:val="single"/>
          <w:lang w:val="sk-SK"/>
        </w:rPr>
        <w:t>ká</w:t>
      </w:r>
      <w:r w:rsidRPr="00044184">
        <w:rPr>
          <w:szCs w:val="22"/>
          <w:u w:val="single"/>
          <w:lang w:val="sk-SK"/>
        </w:rPr>
        <w:t xml:space="preserve"> popul</w:t>
      </w:r>
      <w:r w:rsidR="006B10E9" w:rsidRPr="00044184">
        <w:rPr>
          <w:szCs w:val="22"/>
          <w:u w:val="single"/>
          <w:lang w:val="sk-SK"/>
        </w:rPr>
        <w:t>ác</w:t>
      </w:r>
      <w:r w:rsidRPr="00044184">
        <w:rPr>
          <w:szCs w:val="22"/>
          <w:u w:val="single"/>
          <w:lang w:val="sk-SK"/>
        </w:rPr>
        <w:t>i</w:t>
      </w:r>
      <w:r w:rsidR="006B10E9" w:rsidRPr="00044184">
        <w:rPr>
          <w:szCs w:val="22"/>
          <w:u w:val="single"/>
          <w:lang w:val="sk-SK"/>
        </w:rPr>
        <w:t>a</w:t>
      </w:r>
    </w:p>
    <w:p w:rsidR="003D2235" w:rsidRPr="00044184" w:rsidRDefault="006B10E9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Európska agentúra pre lieky udelila výnimku z povinnosti predložiť výsledky štúdií s</w:t>
      </w:r>
      <w:r w:rsidR="002532F3" w:rsidRPr="00044184">
        <w:rPr>
          <w:szCs w:val="22"/>
          <w:lang w:val="sk-SK"/>
        </w:rPr>
        <w:t xml:space="preserve"> </w:t>
      </w:r>
      <w:r w:rsidR="00B12D51" w:rsidRPr="00044184">
        <w:rPr>
          <w:szCs w:val="22"/>
          <w:lang w:val="sk-SK"/>
        </w:rPr>
        <w:t>erlotinib</w:t>
      </w:r>
      <w:r w:rsidRPr="00044184">
        <w:rPr>
          <w:szCs w:val="22"/>
          <w:lang w:val="sk-SK"/>
        </w:rPr>
        <w:t>om vo všetkých podskupinách pediatrickej populácie</w:t>
      </w:r>
      <w:r w:rsidR="00B12D51" w:rsidRPr="00044184">
        <w:rPr>
          <w:szCs w:val="22"/>
          <w:lang w:val="sk-SK"/>
        </w:rPr>
        <w:t xml:space="preserve"> </w:t>
      </w:r>
      <w:r w:rsidR="001E0519" w:rsidRPr="00044184">
        <w:rPr>
          <w:szCs w:val="22"/>
          <w:lang w:val="sk-SK"/>
        </w:rPr>
        <w:t>pri indikáciách nemalobunkov</w:t>
      </w:r>
      <w:r w:rsidR="00BC197B" w:rsidRPr="00044184">
        <w:rPr>
          <w:szCs w:val="22"/>
          <w:lang w:val="sk-SK"/>
        </w:rPr>
        <w:t>ého</w:t>
      </w:r>
      <w:r w:rsidR="001E0519" w:rsidRPr="00044184">
        <w:rPr>
          <w:szCs w:val="22"/>
          <w:lang w:val="sk-SK"/>
        </w:rPr>
        <w:t xml:space="preserve"> karcinóm</w:t>
      </w:r>
      <w:r w:rsidR="00BC197B" w:rsidRPr="00044184">
        <w:rPr>
          <w:szCs w:val="22"/>
          <w:lang w:val="sk-SK"/>
        </w:rPr>
        <w:t>u</w:t>
      </w:r>
      <w:r w:rsidR="001E0519" w:rsidRPr="00044184">
        <w:rPr>
          <w:szCs w:val="22"/>
          <w:lang w:val="sk-SK"/>
        </w:rPr>
        <w:t xml:space="preserve"> pľúc a karcinóm</w:t>
      </w:r>
      <w:r w:rsidR="00BC197B" w:rsidRPr="00044184">
        <w:rPr>
          <w:szCs w:val="22"/>
          <w:lang w:val="sk-SK"/>
        </w:rPr>
        <w:t>u</w:t>
      </w:r>
      <w:r w:rsidR="001E0519" w:rsidRPr="00044184">
        <w:rPr>
          <w:szCs w:val="22"/>
          <w:lang w:val="sk-SK"/>
        </w:rPr>
        <w:t xml:space="preserve"> pankreasu </w:t>
      </w:r>
      <w:r w:rsidR="00B12D51" w:rsidRPr="00044184">
        <w:rPr>
          <w:szCs w:val="22"/>
          <w:lang w:val="sk-SK"/>
        </w:rPr>
        <w:t>(</w:t>
      </w:r>
      <w:r w:rsidR="008D0D1C" w:rsidRPr="00044184">
        <w:rPr>
          <w:szCs w:val="22"/>
          <w:lang w:val="sk-SK"/>
        </w:rPr>
        <w:t>informácie o použití v pediatrickej populácii, pozri časť 4.2</w:t>
      </w:r>
      <w:r w:rsidR="00B12D51" w:rsidRPr="00044184">
        <w:rPr>
          <w:szCs w:val="22"/>
          <w:lang w:val="sk-SK"/>
        </w:rPr>
        <w:t>).</w:t>
      </w:r>
    </w:p>
    <w:p w:rsidR="008D0D1C" w:rsidRPr="00044184" w:rsidRDefault="008D0D1C" w:rsidP="00695459">
      <w:pPr>
        <w:spacing w:line="240" w:lineRule="auto"/>
        <w:rPr>
          <w:szCs w:val="22"/>
          <w:lang w:val="sk-SK"/>
        </w:rPr>
      </w:pPr>
    </w:p>
    <w:p w:rsidR="001D29E6" w:rsidRPr="00044184" w:rsidRDefault="008D0D1C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5.2</w:t>
      </w:r>
      <w:r w:rsidRPr="00044184">
        <w:rPr>
          <w:b/>
          <w:szCs w:val="22"/>
          <w:lang w:val="sk-SK"/>
        </w:rPr>
        <w:tab/>
        <w:t>Farmakokinetické vlastnosti</w:t>
      </w:r>
    </w:p>
    <w:p w:rsidR="00C53ACC" w:rsidRPr="00044184" w:rsidRDefault="00C53ACC" w:rsidP="00695459">
      <w:pPr>
        <w:spacing w:line="240" w:lineRule="auto"/>
        <w:ind w:left="567" w:hanging="567"/>
        <w:rPr>
          <w:szCs w:val="22"/>
          <w:lang w:val="sk-SK"/>
        </w:rPr>
      </w:pPr>
    </w:p>
    <w:p w:rsidR="00B12D51" w:rsidRPr="00044184" w:rsidRDefault="00B12D5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Absorp</w:t>
      </w:r>
      <w:r w:rsidR="008D0D1C" w:rsidRPr="00044184">
        <w:rPr>
          <w:szCs w:val="22"/>
          <w:u w:val="single"/>
          <w:lang w:val="sk-SK" w:eastAsia="en-GB"/>
        </w:rPr>
        <w:t>c</w:t>
      </w:r>
      <w:r w:rsidRPr="00044184">
        <w:rPr>
          <w:szCs w:val="22"/>
          <w:u w:val="single"/>
          <w:lang w:val="sk-SK" w:eastAsia="en-GB"/>
        </w:rPr>
        <w:t>i</w:t>
      </w:r>
      <w:r w:rsidR="008D0D1C" w:rsidRPr="00044184">
        <w:rPr>
          <w:szCs w:val="22"/>
          <w:u w:val="single"/>
          <w:lang w:val="sk-SK" w:eastAsia="en-GB"/>
        </w:rPr>
        <w:t>a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7C3866" w:rsidRPr="00044184">
        <w:rPr>
          <w:szCs w:val="22"/>
          <w:lang w:val="sk-SK" w:eastAsia="en-GB"/>
        </w:rPr>
        <w:t>Po perorálnom podaní sa maximálna plazmatická koncentrácia erlotinibu dosiahne v priebehu približne 4 hodín.</w:t>
      </w:r>
      <w:r w:rsidRPr="00044184">
        <w:rPr>
          <w:szCs w:val="22"/>
          <w:lang w:val="sk-SK" w:eastAsia="en-GB"/>
        </w:rPr>
        <w:t xml:space="preserve"> </w:t>
      </w:r>
      <w:r w:rsidR="00BF64A6" w:rsidRPr="00044184">
        <w:rPr>
          <w:szCs w:val="22"/>
          <w:lang w:val="sk-SK" w:eastAsia="en-GB"/>
        </w:rPr>
        <w:t xml:space="preserve">V štúdii </w:t>
      </w:r>
      <w:r w:rsidR="00FD6FD3" w:rsidRPr="00044184">
        <w:rPr>
          <w:szCs w:val="22"/>
          <w:lang w:val="sk-SK" w:eastAsia="en-GB"/>
        </w:rPr>
        <w:t>so</w:t>
      </w:r>
      <w:r w:rsidR="00BF64A6" w:rsidRPr="00044184">
        <w:rPr>
          <w:szCs w:val="22"/>
          <w:lang w:val="sk-SK" w:eastAsia="en-GB"/>
        </w:rPr>
        <w:t> zdravý</w:t>
      </w:r>
      <w:r w:rsidR="00FD6FD3" w:rsidRPr="00044184">
        <w:rPr>
          <w:szCs w:val="22"/>
          <w:lang w:val="sk-SK" w:eastAsia="en-GB"/>
        </w:rPr>
        <w:t>mi</w:t>
      </w:r>
      <w:r w:rsidR="00BF64A6" w:rsidRPr="00044184">
        <w:rPr>
          <w:szCs w:val="22"/>
          <w:lang w:val="sk-SK" w:eastAsia="en-GB"/>
        </w:rPr>
        <w:t xml:space="preserve"> dobrovoľník</w:t>
      </w:r>
      <w:r w:rsidR="00FD6FD3" w:rsidRPr="00044184">
        <w:rPr>
          <w:szCs w:val="22"/>
          <w:lang w:val="sk-SK" w:eastAsia="en-GB"/>
        </w:rPr>
        <w:t>mi</w:t>
      </w:r>
      <w:r w:rsidR="00BF64A6" w:rsidRPr="00044184">
        <w:rPr>
          <w:szCs w:val="22"/>
          <w:lang w:val="sk-SK" w:eastAsia="en-GB"/>
        </w:rPr>
        <w:t xml:space="preserve"> </w:t>
      </w:r>
      <w:r w:rsidR="007F0DBA" w:rsidRPr="00044184">
        <w:rPr>
          <w:szCs w:val="22"/>
          <w:lang w:val="sk-SK" w:eastAsia="en-GB"/>
        </w:rPr>
        <w:t xml:space="preserve">sa odhadlo, že absolútna biologická dostupnosť je </w:t>
      </w:r>
      <w:r w:rsidRPr="00044184">
        <w:rPr>
          <w:szCs w:val="22"/>
          <w:lang w:val="sk-SK" w:eastAsia="en-GB"/>
        </w:rPr>
        <w:t>59</w:t>
      </w:r>
      <w:r w:rsidR="00E41C32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%. </w:t>
      </w:r>
      <w:r w:rsidR="00FD6FD3" w:rsidRPr="00044184">
        <w:rPr>
          <w:szCs w:val="22"/>
          <w:lang w:val="sk-SK" w:eastAsia="en-GB"/>
        </w:rPr>
        <w:t>Expozícia po perorálnej dávke môže byť zvýšená, keď sa</w:t>
      </w:r>
      <w:r w:rsidR="007F1BF0" w:rsidRPr="00044184">
        <w:rPr>
          <w:szCs w:val="22"/>
          <w:lang w:val="sk-SK" w:eastAsia="en-GB"/>
        </w:rPr>
        <w:t xml:space="preserve"> podáva</w:t>
      </w:r>
      <w:r w:rsidR="00FD6FD3" w:rsidRPr="00044184">
        <w:rPr>
          <w:szCs w:val="22"/>
          <w:lang w:val="sk-SK" w:eastAsia="en-GB"/>
        </w:rPr>
        <w:t xml:space="preserve"> s</w:t>
      </w:r>
      <w:r w:rsidR="00C503B4" w:rsidRPr="00044184">
        <w:rPr>
          <w:szCs w:val="22"/>
          <w:lang w:val="sk-SK" w:eastAsia="en-GB"/>
        </w:rPr>
        <w:t> </w:t>
      </w:r>
      <w:r w:rsidR="00FD6FD3" w:rsidRPr="00044184">
        <w:rPr>
          <w:szCs w:val="22"/>
          <w:lang w:val="sk-SK" w:eastAsia="en-GB"/>
        </w:rPr>
        <w:t>jedlom.</w:t>
      </w:r>
    </w:p>
    <w:p w:rsidR="00B12D51" w:rsidRPr="00044184" w:rsidRDefault="00B12D51" w:rsidP="00695459">
      <w:pPr>
        <w:spacing w:line="240" w:lineRule="auto"/>
        <w:ind w:left="567" w:hanging="567"/>
        <w:rPr>
          <w:szCs w:val="22"/>
          <w:lang w:val="sk-SK" w:eastAsia="en-GB"/>
        </w:rPr>
      </w:pPr>
    </w:p>
    <w:p w:rsidR="00B12D51" w:rsidRPr="00044184" w:rsidRDefault="00B12D51" w:rsidP="00695459">
      <w:p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Distrib</w:t>
      </w:r>
      <w:r w:rsidR="008D0D1C" w:rsidRPr="00044184">
        <w:rPr>
          <w:szCs w:val="22"/>
          <w:u w:val="single"/>
          <w:lang w:val="sk-SK" w:eastAsia="en-GB"/>
        </w:rPr>
        <w:t>úc</w:t>
      </w:r>
      <w:r w:rsidRPr="00044184">
        <w:rPr>
          <w:szCs w:val="22"/>
          <w:u w:val="single"/>
          <w:lang w:val="sk-SK" w:eastAsia="en-GB"/>
        </w:rPr>
        <w:t>i</w:t>
      </w:r>
      <w:r w:rsidR="008D0D1C" w:rsidRPr="00044184">
        <w:rPr>
          <w:szCs w:val="22"/>
          <w:u w:val="single"/>
          <w:lang w:val="sk-SK" w:eastAsia="en-GB"/>
        </w:rPr>
        <w:t>a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Pr="00044184">
        <w:rPr>
          <w:szCs w:val="22"/>
          <w:lang w:val="sk-SK" w:eastAsia="en-GB"/>
        </w:rPr>
        <w:t xml:space="preserve">Erlotinib </w:t>
      </w:r>
      <w:r w:rsidR="00FD6FD3" w:rsidRPr="00044184">
        <w:rPr>
          <w:szCs w:val="22"/>
          <w:lang w:val="sk-SK" w:eastAsia="en-GB"/>
        </w:rPr>
        <w:t xml:space="preserve">má priemerný zdanlivý distribučný objem </w:t>
      </w:r>
      <w:r w:rsidRPr="00044184">
        <w:rPr>
          <w:szCs w:val="22"/>
          <w:lang w:val="sk-SK" w:eastAsia="en-GB"/>
        </w:rPr>
        <w:t>232</w:t>
      </w:r>
      <w:r w:rsidR="00FD6FD3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l a</w:t>
      </w:r>
      <w:r w:rsidR="00FD6FD3" w:rsidRPr="00044184">
        <w:rPr>
          <w:szCs w:val="22"/>
          <w:lang w:val="sk-SK" w:eastAsia="en-GB"/>
        </w:rPr>
        <w:t> distribuuje sa do ľudského nádorového tkaniva</w:t>
      </w:r>
      <w:r w:rsidRPr="00044184">
        <w:rPr>
          <w:szCs w:val="22"/>
          <w:lang w:val="sk-SK" w:eastAsia="en-GB"/>
        </w:rPr>
        <w:t xml:space="preserve">. </w:t>
      </w:r>
      <w:r w:rsidR="00FD6FD3" w:rsidRPr="00044184">
        <w:rPr>
          <w:szCs w:val="22"/>
          <w:lang w:val="sk-SK" w:eastAsia="en-GB"/>
        </w:rPr>
        <w:t xml:space="preserve">V štúdii so </w:t>
      </w:r>
      <w:r w:rsidRPr="00044184">
        <w:rPr>
          <w:szCs w:val="22"/>
          <w:lang w:val="sk-SK" w:eastAsia="en-GB"/>
        </w:rPr>
        <w:t>4</w:t>
      </w:r>
      <w:r w:rsidR="00FD6FD3" w:rsidRPr="00044184">
        <w:rPr>
          <w:szCs w:val="22"/>
          <w:lang w:val="sk-SK" w:eastAsia="en-GB"/>
        </w:rPr>
        <w:t> pacientmi</w:t>
      </w:r>
      <w:r w:rsidRPr="00044184">
        <w:rPr>
          <w:szCs w:val="22"/>
          <w:lang w:val="sk-SK" w:eastAsia="en-GB"/>
        </w:rPr>
        <w:t xml:space="preserve"> (3</w:t>
      </w:r>
      <w:r w:rsidR="00FD6FD3" w:rsidRPr="00044184">
        <w:rPr>
          <w:szCs w:val="22"/>
          <w:lang w:val="sk-SK" w:eastAsia="en-GB"/>
        </w:rPr>
        <w:t> pacienti mali nemalobunkový karcinóm pľúc</w:t>
      </w:r>
      <w:r w:rsidRPr="00044184">
        <w:rPr>
          <w:szCs w:val="22"/>
          <w:lang w:val="sk-SK" w:eastAsia="en-GB"/>
        </w:rPr>
        <w:t xml:space="preserve"> [NSCLC] </w:t>
      </w:r>
      <w:r w:rsidR="00FD6FD3" w:rsidRPr="00044184">
        <w:rPr>
          <w:szCs w:val="22"/>
          <w:lang w:val="sk-SK" w:eastAsia="en-GB"/>
        </w:rPr>
        <w:t>a </w:t>
      </w:r>
      <w:r w:rsidRPr="00044184">
        <w:rPr>
          <w:szCs w:val="22"/>
          <w:lang w:val="sk-SK" w:eastAsia="en-GB"/>
        </w:rPr>
        <w:t>1</w:t>
      </w:r>
      <w:r w:rsidR="00FD6FD3" w:rsidRPr="00044184">
        <w:rPr>
          <w:szCs w:val="22"/>
          <w:lang w:val="sk-SK" w:eastAsia="en-GB"/>
        </w:rPr>
        <w:t> pacient mal karcinóm hrtanu</w:t>
      </w:r>
      <w:r w:rsidRPr="00044184">
        <w:rPr>
          <w:szCs w:val="22"/>
          <w:lang w:val="sk-SK" w:eastAsia="en-GB"/>
        </w:rPr>
        <w:t>)</w:t>
      </w:r>
      <w:r w:rsidR="00FD6FD3" w:rsidRPr="00044184">
        <w:rPr>
          <w:szCs w:val="22"/>
          <w:lang w:val="sk-SK" w:eastAsia="en-GB"/>
        </w:rPr>
        <w:t>, ktor</w:t>
      </w:r>
      <w:r w:rsidR="00FE0096" w:rsidRPr="00044184">
        <w:rPr>
          <w:szCs w:val="22"/>
          <w:lang w:val="sk-SK" w:eastAsia="en-GB"/>
        </w:rPr>
        <w:t>í denne užívali 150 mg perorálnu dávku erlotinibu</w:t>
      </w:r>
      <w:r w:rsidRPr="00044184">
        <w:rPr>
          <w:szCs w:val="22"/>
          <w:lang w:val="sk-SK" w:eastAsia="en-GB"/>
        </w:rPr>
        <w:t>,</w:t>
      </w:r>
      <w:r w:rsidR="00FE0096" w:rsidRPr="00044184">
        <w:rPr>
          <w:szCs w:val="22"/>
          <w:lang w:val="sk-SK" w:eastAsia="en-GB"/>
        </w:rPr>
        <w:t xml:space="preserve"> sa</w:t>
      </w:r>
      <w:r w:rsidR="00B57E3D" w:rsidRPr="00044184">
        <w:rPr>
          <w:szCs w:val="22"/>
          <w:lang w:val="sk-SK" w:eastAsia="en-GB"/>
        </w:rPr>
        <w:t> </w:t>
      </w:r>
      <w:r w:rsidR="00FE0096" w:rsidRPr="00044184">
        <w:rPr>
          <w:szCs w:val="22"/>
          <w:lang w:val="sk-SK" w:eastAsia="en-GB"/>
        </w:rPr>
        <w:t>vo vzorkách nádorového tkaniva odobratých chirurgickou excíziou na 9. deň liečby</w:t>
      </w:r>
      <w:r w:rsidR="00B57E3D" w:rsidRPr="00044184">
        <w:rPr>
          <w:szCs w:val="22"/>
          <w:lang w:val="sk-SK" w:eastAsia="en-GB"/>
        </w:rPr>
        <w:t xml:space="preserve"> </w:t>
      </w:r>
      <w:r w:rsidR="00632E7A" w:rsidRPr="00044184">
        <w:rPr>
          <w:szCs w:val="22"/>
          <w:lang w:val="sk-SK" w:eastAsia="en-GB"/>
        </w:rPr>
        <w:t>zistila priemerná koncentrácia erlotinibu 1 185 ng/g tkaniva. To celkovo zodpovedá priemerne 63 % (rozmedzie 5 </w:t>
      </w:r>
      <w:r w:rsidR="00E70D35" w:rsidRPr="00044184">
        <w:rPr>
          <w:szCs w:val="22"/>
          <w:lang w:val="sk-SK" w:eastAsia="en-GB"/>
        </w:rPr>
        <w:t>–</w:t>
      </w:r>
      <w:r w:rsidR="00632E7A" w:rsidRPr="00044184">
        <w:rPr>
          <w:szCs w:val="22"/>
          <w:lang w:val="sk-SK" w:eastAsia="en-GB"/>
        </w:rPr>
        <w:t xml:space="preserve"> 161 %) maximálnej rovnovážnej koncentrácie </w:t>
      </w:r>
      <w:r w:rsidR="006E03A8" w:rsidRPr="00044184">
        <w:rPr>
          <w:szCs w:val="22"/>
          <w:lang w:val="sk-SK" w:eastAsia="en-GB"/>
        </w:rPr>
        <w:t xml:space="preserve">erlotinibu </w:t>
      </w:r>
      <w:r w:rsidR="00632E7A" w:rsidRPr="00044184">
        <w:rPr>
          <w:szCs w:val="22"/>
          <w:lang w:val="sk-SK" w:eastAsia="en-GB"/>
        </w:rPr>
        <w:t xml:space="preserve">zistenej v plazme. </w:t>
      </w:r>
      <w:r w:rsidR="00627ACD" w:rsidRPr="00044184">
        <w:rPr>
          <w:szCs w:val="22"/>
          <w:lang w:val="sk-SK" w:eastAsia="en-GB"/>
        </w:rPr>
        <w:t>Primárne aktívne metabolity boli prítomné v</w:t>
      </w:r>
      <w:r w:rsidR="00012337" w:rsidRPr="00044184">
        <w:rPr>
          <w:szCs w:val="22"/>
          <w:lang w:val="sk-SK" w:eastAsia="en-GB"/>
        </w:rPr>
        <w:t> </w:t>
      </w:r>
      <w:r w:rsidR="00627ACD" w:rsidRPr="00044184">
        <w:rPr>
          <w:szCs w:val="22"/>
          <w:lang w:val="sk-SK" w:eastAsia="en-GB"/>
        </w:rPr>
        <w:t>nádor</w:t>
      </w:r>
      <w:r w:rsidR="00012337" w:rsidRPr="00044184">
        <w:rPr>
          <w:szCs w:val="22"/>
          <w:lang w:val="sk-SK" w:eastAsia="en-GB"/>
        </w:rPr>
        <w:t>ovom tkanive</w:t>
      </w:r>
      <w:r w:rsidR="00627ACD" w:rsidRPr="00044184">
        <w:rPr>
          <w:szCs w:val="22"/>
          <w:lang w:val="sk-SK" w:eastAsia="en-GB"/>
        </w:rPr>
        <w:t xml:space="preserve"> v</w:t>
      </w:r>
      <w:r w:rsidR="00632E7A" w:rsidRPr="00044184">
        <w:rPr>
          <w:szCs w:val="22"/>
          <w:lang w:val="sk-SK" w:eastAsia="en-GB"/>
        </w:rPr>
        <w:t xml:space="preserve"> priemernej </w:t>
      </w:r>
      <w:r w:rsidR="00627ACD" w:rsidRPr="00044184">
        <w:rPr>
          <w:szCs w:val="22"/>
          <w:lang w:val="sk-SK" w:eastAsia="en-GB"/>
        </w:rPr>
        <w:t>koncentráci</w:t>
      </w:r>
      <w:r w:rsidR="00632E7A" w:rsidRPr="00044184">
        <w:rPr>
          <w:szCs w:val="22"/>
          <w:lang w:val="sk-SK" w:eastAsia="en-GB"/>
        </w:rPr>
        <w:t>i</w:t>
      </w:r>
      <w:r w:rsidR="00012337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160</w:t>
      </w:r>
      <w:r w:rsidR="00012337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 xml:space="preserve">ng/g </w:t>
      </w:r>
      <w:r w:rsidR="00012337" w:rsidRPr="00044184">
        <w:rPr>
          <w:szCs w:val="22"/>
          <w:lang w:val="sk-SK" w:eastAsia="en-GB"/>
        </w:rPr>
        <w:t>tkaniva</w:t>
      </w:r>
      <w:r w:rsidRPr="00044184">
        <w:rPr>
          <w:szCs w:val="22"/>
          <w:lang w:val="sk-SK" w:eastAsia="en-GB"/>
        </w:rPr>
        <w:t xml:space="preserve">, </w:t>
      </w:r>
      <w:r w:rsidR="00627ACD" w:rsidRPr="00044184">
        <w:rPr>
          <w:szCs w:val="22"/>
          <w:lang w:val="sk-SK" w:eastAsia="en-GB"/>
        </w:rPr>
        <w:t xml:space="preserve">čo </w:t>
      </w:r>
      <w:r w:rsidR="00632E7A" w:rsidRPr="00044184">
        <w:rPr>
          <w:szCs w:val="22"/>
          <w:lang w:val="sk-SK" w:eastAsia="en-GB"/>
        </w:rPr>
        <w:t xml:space="preserve">celkovo </w:t>
      </w:r>
      <w:r w:rsidR="00012337" w:rsidRPr="00044184">
        <w:rPr>
          <w:szCs w:val="22"/>
          <w:lang w:val="sk-SK" w:eastAsia="en-GB"/>
        </w:rPr>
        <w:t xml:space="preserve">zodpovedá </w:t>
      </w:r>
      <w:r w:rsidR="00632E7A" w:rsidRPr="00044184">
        <w:rPr>
          <w:szCs w:val="22"/>
          <w:lang w:val="sk-SK" w:eastAsia="en-GB"/>
        </w:rPr>
        <w:t xml:space="preserve">priemerne </w:t>
      </w:r>
      <w:r w:rsidRPr="00044184">
        <w:rPr>
          <w:szCs w:val="22"/>
          <w:lang w:val="sk-SK" w:eastAsia="en-GB"/>
        </w:rPr>
        <w:t>113</w:t>
      </w:r>
      <w:r w:rsidR="00627ACD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</w:t>
      </w:r>
      <w:r w:rsidR="00CB64B0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(r</w:t>
      </w:r>
      <w:r w:rsidR="00627ACD" w:rsidRPr="00044184">
        <w:rPr>
          <w:szCs w:val="22"/>
          <w:lang w:val="sk-SK" w:eastAsia="en-GB"/>
        </w:rPr>
        <w:t>ozmedzie</w:t>
      </w:r>
      <w:r w:rsidRPr="00044184">
        <w:rPr>
          <w:szCs w:val="22"/>
          <w:lang w:val="sk-SK" w:eastAsia="en-GB"/>
        </w:rPr>
        <w:t xml:space="preserve"> 88</w:t>
      </w:r>
      <w:r w:rsidR="00627ACD" w:rsidRPr="00044184">
        <w:rPr>
          <w:szCs w:val="22"/>
          <w:lang w:val="sk-SK" w:eastAsia="en-GB"/>
        </w:rPr>
        <w:t> </w:t>
      </w:r>
      <w:r w:rsidR="00E70D35" w:rsidRPr="00044184">
        <w:rPr>
          <w:szCs w:val="22"/>
          <w:lang w:val="sk-SK" w:eastAsia="en-GB"/>
        </w:rPr>
        <w:t>–</w:t>
      </w:r>
      <w:r w:rsidR="00627ACD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130</w:t>
      </w:r>
      <w:r w:rsidR="00627ACD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%)</w:t>
      </w:r>
      <w:r w:rsidR="00CB64B0" w:rsidRPr="00044184">
        <w:rPr>
          <w:szCs w:val="22"/>
          <w:lang w:val="sk-SK" w:eastAsia="en-GB"/>
        </w:rPr>
        <w:t xml:space="preserve"> </w:t>
      </w:r>
      <w:r w:rsidR="00244995" w:rsidRPr="00044184">
        <w:rPr>
          <w:szCs w:val="22"/>
          <w:lang w:val="sk-SK" w:eastAsia="en-GB"/>
        </w:rPr>
        <w:t>maximáln</w:t>
      </w:r>
      <w:r w:rsidR="00AD44A3" w:rsidRPr="00044184">
        <w:rPr>
          <w:szCs w:val="22"/>
          <w:lang w:val="sk-SK" w:eastAsia="en-GB"/>
        </w:rPr>
        <w:t>ej</w:t>
      </w:r>
      <w:r w:rsidR="00244995" w:rsidRPr="00044184">
        <w:rPr>
          <w:szCs w:val="22"/>
          <w:lang w:val="sk-SK" w:eastAsia="en-GB"/>
        </w:rPr>
        <w:t xml:space="preserve"> rovnovážn</w:t>
      </w:r>
      <w:r w:rsidR="00AD44A3" w:rsidRPr="00044184">
        <w:rPr>
          <w:szCs w:val="22"/>
          <w:lang w:val="sk-SK" w:eastAsia="en-GB"/>
        </w:rPr>
        <w:t>ej</w:t>
      </w:r>
      <w:r w:rsidR="00244995" w:rsidRPr="00044184">
        <w:rPr>
          <w:szCs w:val="22"/>
          <w:lang w:val="sk-SK" w:eastAsia="en-GB"/>
        </w:rPr>
        <w:t xml:space="preserve"> koncentráci</w:t>
      </w:r>
      <w:r w:rsidR="00AD44A3" w:rsidRPr="00044184">
        <w:rPr>
          <w:szCs w:val="22"/>
          <w:lang w:val="sk-SK" w:eastAsia="en-GB"/>
        </w:rPr>
        <w:t>e</w:t>
      </w:r>
      <w:r w:rsidR="00EC0482" w:rsidRPr="00044184">
        <w:rPr>
          <w:szCs w:val="22"/>
          <w:lang w:val="sk-SK" w:eastAsia="en-GB"/>
        </w:rPr>
        <w:t xml:space="preserve"> </w:t>
      </w:r>
      <w:r w:rsidR="006E03A8" w:rsidRPr="00044184">
        <w:rPr>
          <w:szCs w:val="22"/>
          <w:lang w:val="sk-SK" w:eastAsia="en-GB"/>
        </w:rPr>
        <w:lastRenderedPageBreak/>
        <w:t xml:space="preserve">primárnych metabolitov </w:t>
      </w:r>
      <w:r w:rsidR="00093D68" w:rsidRPr="00044184">
        <w:rPr>
          <w:szCs w:val="22"/>
          <w:lang w:val="sk-SK" w:eastAsia="en-GB"/>
        </w:rPr>
        <w:t>zisten</w:t>
      </w:r>
      <w:r w:rsidR="00AD44A3" w:rsidRPr="00044184">
        <w:rPr>
          <w:szCs w:val="22"/>
          <w:lang w:val="sk-SK" w:eastAsia="en-GB"/>
        </w:rPr>
        <w:t>ej</w:t>
      </w:r>
      <w:r w:rsidR="00A315D8" w:rsidRPr="00044184">
        <w:rPr>
          <w:szCs w:val="22"/>
          <w:lang w:val="sk-SK" w:eastAsia="en-GB"/>
        </w:rPr>
        <w:t xml:space="preserve"> </w:t>
      </w:r>
      <w:r w:rsidR="00012337" w:rsidRPr="00044184">
        <w:rPr>
          <w:szCs w:val="22"/>
          <w:lang w:val="sk-SK" w:eastAsia="en-GB"/>
        </w:rPr>
        <w:t>v</w:t>
      </w:r>
      <w:r w:rsidR="00AD44A3" w:rsidRPr="00044184">
        <w:rPr>
          <w:szCs w:val="22"/>
          <w:lang w:val="sk-SK" w:eastAsia="en-GB"/>
        </w:rPr>
        <w:t> </w:t>
      </w:r>
      <w:r w:rsidR="00012337" w:rsidRPr="00044184">
        <w:rPr>
          <w:szCs w:val="22"/>
          <w:lang w:val="sk-SK" w:eastAsia="en-GB"/>
        </w:rPr>
        <w:t>plazme</w:t>
      </w:r>
      <w:r w:rsidRPr="00044184">
        <w:rPr>
          <w:szCs w:val="22"/>
          <w:lang w:val="sk-SK" w:eastAsia="en-GB"/>
        </w:rPr>
        <w:t xml:space="preserve">. </w:t>
      </w:r>
      <w:r w:rsidR="00627ACD" w:rsidRPr="00044184">
        <w:rPr>
          <w:szCs w:val="22"/>
          <w:lang w:val="sk-SK" w:eastAsia="en-GB"/>
        </w:rPr>
        <w:t>Väzba na</w:t>
      </w:r>
      <w:r w:rsidR="00244995" w:rsidRPr="00044184">
        <w:rPr>
          <w:szCs w:val="22"/>
          <w:lang w:val="sk-SK" w:eastAsia="en-GB"/>
        </w:rPr>
        <w:t> </w:t>
      </w:r>
      <w:r w:rsidR="00627ACD" w:rsidRPr="00044184">
        <w:rPr>
          <w:szCs w:val="22"/>
          <w:lang w:val="sk-SK" w:eastAsia="en-GB"/>
        </w:rPr>
        <w:t xml:space="preserve">plazmatické bielkoviny je približne </w:t>
      </w:r>
      <w:r w:rsidRPr="00044184">
        <w:rPr>
          <w:szCs w:val="22"/>
          <w:lang w:val="sk-SK" w:eastAsia="en-GB"/>
        </w:rPr>
        <w:t>95</w:t>
      </w:r>
      <w:r w:rsidR="00627ACD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%.</w:t>
      </w:r>
      <w:r w:rsidR="003E10AD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 xml:space="preserve">Erlotinib </w:t>
      </w:r>
      <w:r w:rsidR="00627ACD" w:rsidRPr="00044184">
        <w:rPr>
          <w:szCs w:val="22"/>
          <w:lang w:val="sk-SK" w:eastAsia="en-GB"/>
        </w:rPr>
        <w:t>sa viaže na sérový albumín a</w:t>
      </w:r>
      <w:r w:rsidR="00FA51DD" w:rsidRPr="00044184">
        <w:rPr>
          <w:szCs w:val="22"/>
          <w:lang w:val="sk-SK" w:eastAsia="en-GB"/>
        </w:rPr>
        <w:t> </w:t>
      </w:r>
      <w:r w:rsidR="0062049F" w:rsidRPr="00044184">
        <w:rPr>
          <w:szCs w:val="22"/>
          <w:lang w:val="sk-SK" w:eastAsia="en-GB"/>
        </w:rPr>
        <w:t>na</w:t>
      </w:r>
      <w:r w:rsidR="00FA51DD" w:rsidRPr="00044184">
        <w:rPr>
          <w:szCs w:val="22"/>
          <w:lang w:val="sk-SK" w:eastAsia="en-GB"/>
        </w:rPr>
        <w:t> </w:t>
      </w:r>
      <w:r w:rsidR="00627ACD" w:rsidRPr="00044184">
        <w:rPr>
          <w:szCs w:val="22"/>
          <w:lang w:val="sk-SK" w:eastAsia="en-GB"/>
        </w:rPr>
        <w:t>alfa</w:t>
      </w:r>
      <w:r w:rsidR="00627ACD" w:rsidRPr="00044184">
        <w:rPr>
          <w:szCs w:val="22"/>
          <w:lang w:val="sk-SK" w:eastAsia="en-GB"/>
        </w:rPr>
        <w:noBreakHyphen/>
        <w:t>1</w:t>
      </w:r>
      <w:r w:rsidR="00627ACD" w:rsidRPr="00044184">
        <w:rPr>
          <w:szCs w:val="22"/>
          <w:lang w:val="sk-SK" w:eastAsia="en-GB"/>
        </w:rPr>
        <w:noBreakHyphen/>
        <w:t>kyslý glykoproteín (</w:t>
      </w:r>
      <w:r w:rsidRPr="00044184">
        <w:rPr>
          <w:szCs w:val="22"/>
          <w:lang w:val="sk-SK" w:eastAsia="en-GB"/>
        </w:rPr>
        <w:t>AAG).</w:t>
      </w:r>
    </w:p>
    <w:p w:rsidR="00F42569" w:rsidRPr="00044184" w:rsidRDefault="00F42569" w:rsidP="00695459">
      <w:pPr>
        <w:spacing w:line="240" w:lineRule="auto"/>
        <w:rPr>
          <w:szCs w:val="22"/>
          <w:lang w:val="sk-SK" w:eastAsia="en-GB"/>
        </w:rPr>
      </w:pPr>
    </w:p>
    <w:p w:rsidR="00B12D51" w:rsidRPr="00044184" w:rsidRDefault="00B12D5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Biotransform</w:t>
      </w:r>
      <w:r w:rsidR="008D0D1C" w:rsidRPr="00044184">
        <w:rPr>
          <w:szCs w:val="22"/>
          <w:u w:val="single"/>
          <w:lang w:val="sk-SK" w:eastAsia="en-GB"/>
        </w:rPr>
        <w:t>ác</w:t>
      </w:r>
      <w:r w:rsidRPr="00044184">
        <w:rPr>
          <w:szCs w:val="22"/>
          <w:u w:val="single"/>
          <w:lang w:val="sk-SK" w:eastAsia="en-GB"/>
        </w:rPr>
        <w:t>i</w:t>
      </w:r>
      <w:r w:rsidR="008D0D1C" w:rsidRPr="00044184">
        <w:rPr>
          <w:szCs w:val="22"/>
          <w:u w:val="single"/>
          <w:lang w:val="sk-SK" w:eastAsia="en-GB"/>
        </w:rPr>
        <w:t>a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1A1882" w:rsidRPr="00044184">
        <w:rPr>
          <w:szCs w:val="22"/>
          <w:lang w:val="sk-SK" w:eastAsia="en-GB"/>
        </w:rPr>
        <w:t>U ľudí sa e</w:t>
      </w:r>
      <w:r w:rsidRPr="00044184">
        <w:rPr>
          <w:szCs w:val="22"/>
          <w:lang w:val="sk-SK" w:eastAsia="en-GB"/>
        </w:rPr>
        <w:t>rlotinib</w:t>
      </w:r>
      <w:r w:rsidR="001A1882" w:rsidRPr="00044184">
        <w:rPr>
          <w:szCs w:val="22"/>
          <w:lang w:val="sk-SK" w:eastAsia="en-GB"/>
        </w:rPr>
        <w:t xml:space="preserve"> metabolizuje v pečeni p</w:t>
      </w:r>
      <w:r w:rsidR="005A3EBF" w:rsidRPr="00044184">
        <w:rPr>
          <w:szCs w:val="22"/>
          <w:lang w:val="sk-SK" w:eastAsia="en-GB"/>
        </w:rPr>
        <w:t>rostredníctvom</w:t>
      </w:r>
      <w:r w:rsidR="001A1882" w:rsidRPr="00044184">
        <w:rPr>
          <w:szCs w:val="22"/>
          <w:lang w:val="sk-SK" w:eastAsia="en-GB"/>
        </w:rPr>
        <w:t xml:space="preserve"> pečeňových cytochrómov, hlavne </w:t>
      </w:r>
      <w:r w:rsidR="005A3EBF" w:rsidRPr="00044184">
        <w:rPr>
          <w:szCs w:val="22"/>
          <w:lang w:val="sk-SK" w:eastAsia="en-GB"/>
        </w:rPr>
        <w:t xml:space="preserve">pomocou </w:t>
      </w:r>
      <w:r w:rsidR="001A1882" w:rsidRPr="00044184">
        <w:rPr>
          <w:szCs w:val="22"/>
          <w:lang w:val="sk-SK" w:eastAsia="en-GB"/>
        </w:rPr>
        <w:t xml:space="preserve">CYP3A4 a v menšej miere </w:t>
      </w:r>
      <w:r w:rsidR="005A3EBF" w:rsidRPr="00044184">
        <w:rPr>
          <w:szCs w:val="22"/>
          <w:lang w:val="sk-SK" w:eastAsia="en-GB"/>
        </w:rPr>
        <w:t xml:space="preserve">pomocou </w:t>
      </w:r>
      <w:r w:rsidR="001A1882" w:rsidRPr="00044184">
        <w:rPr>
          <w:szCs w:val="22"/>
          <w:lang w:val="sk-SK" w:eastAsia="en-GB"/>
        </w:rPr>
        <w:t>CYP1A2</w:t>
      </w:r>
      <w:r w:rsidRPr="00044184">
        <w:rPr>
          <w:szCs w:val="22"/>
          <w:lang w:val="sk-SK" w:eastAsia="en-GB"/>
        </w:rPr>
        <w:t xml:space="preserve">. </w:t>
      </w:r>
      <w:r w:rsidR="001A1882" w:rsidRPr="00044184">
        <w:rPr>
          <w:szCs w:val="22"/>
          <w:lang w:val="sk-SK" w:eastAsia="en-GB"/>
        </w:rPr>
        <w:t xml:space="preserve">Extrahepatálny metabolizmus sprostredkovaný CYP3A4 v čreve, CYP1A1 v pľúcach a CYP1B1 v nádorovom tkanive </w:t>
      </w:r>
      <w:r w:rsidR="003B1E17" w:rsidRPr="00044184">
        <w:rPr>
          <w:szCs w:val="22"/>
          <w:lang w:val="sk-SK" w:eastAsia="en-GB"/>
        </w:rPr>
        <w:t>môže</w:t>
      </w:r>
      <w:r w:rsidR="001A1882" w:rsidRPr="00044184">
        <w:rPr>
          <w:szCs w:val="22"/>
          <w:lang w:val="sk-SK" w:eastAsia="en-GB"/>
        </w:rPr>
        <w:t xml:space="preserve"> prispieva</w:t>
      </w:r>
      <w:r w:rsidR="003B1E17" w:rsidRPr="00044184">
        <w:rPr>
          <w:szCs w:val="22"/>
          <w:lang w:val="sk-SK" w:eastAsia="en-GB"/>
        </w:rPr>
        <w:t>ť</w:t>
      </w:r>
      <w:r w:rsidR="001A1882" w:rsidRPr="00044184">
        <w:rPr>
          <w:szCs w:val="22"/>
          <w:lang w:val="sk-SK" w:eastAsia="en-GB"/>
        </w:rPr>
        <w:t xml:space="preserve"> k metabolickému klírensu erlotinibu</w:t>
      </w:r>
      <w:r w:rsidRPr="00044184">
        <w:rPr>
          <w:szCs w:val="22"/>
          <w:lang w:val="sk-SK" w:eastAsia="en-GB"/>
        </w:rPr>
        <w:t>.</w:t>
      </w:r>
    </w:p>
    <w:p w:rsidR="008D0D1C" w:rsidRPr="00044184" w:rsidRDefault="008D0D1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012337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Identifikované boli tri hlavné metabolické dráhy</w:t>
      </w:r>
      <w:r w:rsidR="00B12D51" w:rsidRPr="00044184">
        <w:rPr>
          <w:szCs w:val="22"/>
          <w:lang w:val="sk-SK" w:eastAsia="en-GB"/>
        </w:rPr>
        <w:t>: 1)</w:t>
      </w:r>
      <w:r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O</w:t>
      </w:r>
      <w:r w:rsidRPr="00044184">
        <w:rPr>
          <w:szCs w:val="22"/>
          <w:lang w:val="sk-SK" w:eastAsia="en-GB"/>
        </w:rPr>
        <w:noBreakHyphen/>
      </w:r>
      <w:r w:rsidR="00B12D51" w:rsidRPr="00044184">
        <w:rPr>
          <w:szCs w:val="22"/>
          <w:lang w:val="sk-SK" w:eastAsia="en-GB"/>
        </w:rPr>
        <w:t>demetyl</w:t>
      </w:r>
      <w:r w:rsidRPr="00044184">
        <w:rPr>
          <w:szCs w:val="22"/>
          <w:lang w:val="sk-SK" w:eastAsia="en-GB"/>
        </w:rPr>
        <w:t xml:space="preserve">ácia </w:t>
      </w:r>
      <w:r w:rsidR="00307816" w:rsidRPr="00044184">
        <w:rPr>
          <w:szCs w:val="22"/>
          <w:lang w:val="sk-SK" w:eastAsia="en-GB"/>
        </w:rPr>
        <w:t>jedného alebo obidvoch postranných reťazcov</w:t>
      </w:r>
      <w:r w:rsidR="006A6B42" w:rsidRPr="00044184">
        <w:rPr>
          <w:szCs w:val="22"/>
          <w:lang w:val="sk-SK" w:eastAsia="en-GB"/>
        </w:rPr>
        <w:t>, po ktorej nasleduje o</w:t>
      </w:r>
      <w:r w:rsidR="00011E2B" w:rsidRPr="00044184">
        <w:rPr>
          <w:szCs w:val="22"/>
          <w:lang w:val="sk-SK" w:eastAsia="en-GB"/>
        </w:rPr>
        <w:t>xidáci</w:t>
      </w:r>
      <w:r w:rsidR="006A6B42" w:rsidRPr="00044184">
        <w:rPr>
          <w:szCs w:val="22"/>
          <w:lang w:val="sk-SK" w:eastAsia="en-GB"/>
        </w:rPr>
        <w:t>a vedúca k vzniku k</w:t>
      </w:r>
      <w:r w:rsidR="00011E2B" w:rsidRPr="00044184">
        <w:rPr>
          <w:szCs w:val="22"/>
          <w:lang w:val="sk-SK" w:eastAsia="en-GB"/>
        </w:rPr>
        <w:t>arboxylov</w:t>
      </w:r>
      <w:r w:rsidR="006A6B42" w:rsidRPr="00044184">
        <w:rPr>
          <w:szCs w:val="22"/>
          <w:lang w:val="sk-SK" w:eastAsia="en-GB"/>
        </w:rPr>
        <w:t>ej</w:t>
      </w:r>
      <w:r w:rsidR="00011E2B" w:rsidRPr="00044184">
        <w:rPr>
          <w:szCs w:val="22"/>
          <w:lang w:val="sk-SK" w:eastAsia="en-GB"/>
        </w:rPr>
        <w:t xml:space="preserve"> kyseliny</w:t>
      </w:r>
      <w:r w:rsidR="00B12D51" w:rsidRPr="00044184">
        <w:rPr>
          <w:szCs w:val="22"/>
          <w:lang w:val="sk-SK" w:eastAsia="en-GB"/>
        </w:rPr>
        <w:t>; 2)</w:t>
      </w:r>
      <w:r w:rsidR="00A72FFF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oxid</w:t>
      </w:r>
      <w:r w:rsidR="002170F8" w:rsidRPr="00044184">
        <w:rPr>
          <w:szCs w:val="22"/>
          <w:lang w:val="sk-SK" w:eastAsia="en-GB"/>
        </w:rPr>
        <w:t xml:space="preserve">ácia </w:t>
      </w:r>
      <w:r w:rsidR="006A6B42" w:rsidRPr="00044184">
        <w:rPr>
          <w:szCs w:val="22"/>
          <w:lang w:val="sk-SK" w:eastAsia="en-GB"/>
        </w:rPr>
        <w:t>acetylénovej časti molekuly, po ktorej nasleduje hydrolýza vedúca k vzniku arylkarboxylovej kyseliny</w:t>
      </w:r>
      <w:r w:rsidR="00B12D51" w:rsidRPr="00044184">
        <w:rPr>
          <w:szCs w:val="22"/>
          <w:lang w:val="sk-SK" w:eastAsia="en-GB"/>
        </w:rPr>
        <w:t xml:space="preserve">; </w:t>
      </w:r>
      <w:r w:rsidR="006A6B42" w:rsidRPr="00044184">
        <w:rPr>
          <w:szCs w:val="22"/>
          <w:lang w:val="sk-SK" w:eastAsia="en-GB"/>
        </w:rPr>
        <w:t>a</w:t>
      </w:r>
      <w:r w:rsidR="00B12D51" w:rsidRPr="00044184">
        <w:rPr>
          <w:szCs w:val="22"/>
          <w:lang w:val="sk-SK" w:eastAsia="en-GB"/>
        </w:rPr>
        <w:t xml:space="preserve"> 3) aromatic</w:t>
      </w:r>
      <w:r w:rsidR="006A6B42" w:rsidRPr="00044184">
        <w:rPr>
          <w:szCs w:val="22"/>
          <w:lang w:val="sk-SK" w:eastAsia="en-GB"/>
        </w:rPr>
        <w:t>ká hydroxylácia</w:t>
      </w:r>
      <w:r w:rsidR="00CC4E2B" w:rsidRPr="00044184">
        <w:rPr>
          <w:szCs w:val="22"/>
          <w:lang w:val="sk-SK" w:eastAsia="en-GB"/>
        </w:rPr>
        <w:t xml:space="preserve"> fenylacetylénovej časti molekuly</w:t>
      </w:r>
      <w:r w:rsidR="00B12D51" w:rsidRPr="00044184">
        <w:rPr>
          <w:szCs w:val="22"/>
          <w:lang w:val="sk-SK" w:eastAsia="en-GB"/>
        </w:rPr>
        <w:t>.</w:t>
      </w:r>
      <w:r w:rsidR="00746824" w:rsidRPr="00044184">
        <w:rPr>
          <w:szCs w:val="22"/>
          <w:lang w:val="sk-SK" w:eastAsia="en-GB"/>
        </w:rPr>
        <w:t xml:space="preserve"> </w:t>
      </w:r>
      <w:r w:rsidR="00011E2B" w:rsidRPr="00044184">
        <w:rPr>
          <w:szCs w:val="22"/>
          <w:lang w:val="sk-SK" w:eastAsia="en-GB"/>
        </w:rPr>
        <w:t xml:space="preserve">Primárne metabolity erlotinibu </w:t>
      </w:r>
      <w:r w:rsidR="00B12D51" w:rsidRPr="00044184">
        <w:rPr>
          <w:szCs w:val="22"/>
          <w:lang w:val="sk-SK" w:eastAsia="en-GB"/>
        </w:rPr>
        <w:t>OSI</w:t>
      </w:r>
      <w:r w:rsidR="005A3EBF" w:rsidRPr="00044184">
        <w:rPr>
          <w:szCs w:val="22"/>
          <w:lang w:val="sk-SK" w:eastAsia="en-GB"/>
        </w:rPr>
        <w:noBreakHyphen/>
      </w:r>
      <w:r w:rsidR="00B12D51" w:rsidRPr="00044184">
        <w:rPr>
          <w:szCs w:val="22"/>
          <w:lang w:val="sk-SK" w:eastAsia="en-GB"/>
        </w:rPr>
        <w:t>420 a</w:t>
      </w:r>
      <w:r w:rsidR="005A3EBF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OSI</w:t>
      </w:r>
      <w:r w:rsidR="005A3EBF" w:rsidRPr="00044184">
        <w:rPr>
          <w:szCs w:val="22"/>
          <w:lang w:val="sk-SK" w:eastAsia="en-GB"/>
        </w:rPr>
        <w:noBreakHyphen/>
      </w:r>
      <w:r w:rsidR="00B12D51" w:rsidRPr="00044184">
        <w:rPr>
          <w:szCs w:val="22"/>
          <w:lang w:val="sk-SK" w:eastAsia="en-GB"/>
        </w:rPr>
        <w:t xml:space="preserve">413 </w:t>
      </w:r>
      <w:r w:rsidR="00A70A37" w:rsidRPr="00044184">
        <w:rPr>
          <w:szCs w:val="22"/>
          <w:lang w:val="sk-SK" w:eastAsia="en-GB"/>
        </w:rPr>
        <w:t>vznikajúce O</w:t>
      </w:r>
      <w:r w:rsidR="00A70A37" w:rsidRPr="00044184">
        <w:rPr>
          <w:szCs w:val="22"/>
          <w:lang w:val="sk-SK" w:eastAsia="en-GB"/>
        </w:rPr>
        <w:noBreakHyphen/>
        <w:t>demetyláciou postranných reťazcov majú účinnosť porovnateľnú s erlotinibom v </w:t>
      </w:r>
      <w:r w:rsidR="00892D76" w:rsidRPr="00044184">
        <w:rPr>
          <w:szCs w:val="22"/>
          <w:lang w:val="sk-SK" w:eastAsia="en-GB"/>
        </w:rPr>
        <w:t>pred</w:t>
      </w:r>
      <w:r w:rsidR="00A70A37" w:rsidRPr="00044184">
        <w:rPr>
          <w:szCs w:val="22"/>
          <w:lang w:val="sk-SK" w:eastAsia="en-GB"/>
        </w:rPr>
        <w:t>klinických testoch</w:t>
      </w:r>
      <w:r w:rsidR="00B12D51" w:rsidRPr="00044184">
        <w:rPr>
          <w:szCs w:val="22"/>
          <w:lang w:val="sk-SK" w:eastAsia="en-GB"/>
        </w:rPr>
        <w:t xml:space="preserve"> </w:t>
      </w:r>
      <w:r w:rsidR="005A3EBF" w:rsidRPr="00044184">
        <w:rPr>
          <w:i/>
          <w:iCs/>
          <w:szCs w:val="22"/>
          <w:lang w:val="sk-SK" w:eastAsia="en-GB"/>
        </w:rPr>
        <w:t xml:space="preserve">in vitro </w:t>
      </w:r>
      <w:r w:rsidR="00B12D51" w:rsidRPr="00044184">
        <w:rPr>
          <w:szCs w:val="22"/>
          <w:lang w:val="sk-SK" w:eastAsia="en-GB"/>
        </w:rPr>
        <w:t>a</w:t>
      </w:r>
      <w:r w:rsidR="00A70A37" w:rsidRPr="00044184">
        <w:rPr>
          <w:szCs w:val="22"/>
          <w:lang w:val="sk-SK" w:eastAsia="en-GB"/>
        </w:rPr>
        <w:t xml:space="preserve"> v</w:t>
      </w:r>
      <w:r w:rsidR="00B12D51" w:rsidRPr="00044184">
        <w:rPr>
          <w:szCs w:val="22"/>
          <w:lang w:val="sk-SK" w:eastAsia="en-GB"/>
        </w:rPr>
        <w:t xml:space="preserve"> </w:t>
      </w:r>
      <w:r w:rsidR="00A70A37" w:rsidRPr="00044184">
        <w:rPr>
          <w:iCs/>
          <w:szCs w:val="22"/>
          <w:lang w:val="sk-SK" w:eastAsia="en-GB"/>
        </w:rPr>
        <w:t xml:space="preserve">nádorových </w:t>
      </w:r>
      <w:r w:rsidR="00A70A37" w:rsidRPr="00044184">
        <w:rPr>
          <w:szCs w:val="22"/>
          <w:lang w:val="sk-SK" w:eastAsia="en-GB"/>
        </w:rPr>
        <w:t>modeloch</w:t>
      </w:r>
      <w:r w:rsidR="005A3EBF" w:rsidRPr="00044184">
        <w:rPr>
          <w:i/>
          <w:iCs/>
          <w:szCs w:val="22"/>
          <w:lang w:val="sk-SK" w:eastAsia="en-GB"/>
        </w:rPr>
        <w:t xml:space="preserve"> in</w:t>
      </w:r>
      <w:r w:rsidR="00A21F7C" w:rsidRPr="00044184">
        <w:rPr>
          <w:i/>
          <w:iCs/>
          <w:szCs w:val="22"/>
          <w:lang w:val="sk-SK" w:eastAsia="en-GB"/>
        </w:rPr>
        <w:t> </w:t>
      </w:r>
      <w:r w:rsidR="005A3EBF" w:rsidRPr="00044184">
        <w:rPr>
          <w:i/>
          <w:iCs/>
          <w:szCs w:val="22"/>
          <w:lang w:val="sk-SK" w:eastAsia="en-GB"/>
        </w:rPr>
        <w:t>vivo</w:t>
      </w:r>
      <w:r w:rsidR="00B12D51" w:rsidRPr="00044184">
        <w:rPr>
          <w:szCs w:val="22"/>
          <w:lang w:val="sk-SK" w:eastAsia="en-GB"/>
        </w:rPr>
        <w:t xml:space="preserve">. </w:t>
      </w:r>
      <w:r w:rsidR="00A70A37" w:rsidRPr="00044184">
        <w:rPr>
          <w:szCs w:val="22"/>
          <w:lang w:val="sk-SK" w:eastAsia="en-GB"/>
        </w:rPr>
        <w:t>Sú prítomné v plazme v</w:t>
      </w:r>
      <w:r w:rsidR="00EC6AA5" w:rsidRPr="00044184">
        <w:rPr>
          <w:szCs w:val="22"/>
          <w:lang w:val="sk-SK" w:eastAsia="en-GB"/>
        </w:rPr>
        <w:t> </w:t>
      </w:r>
      <w:r w:rsidR="00A70A37" w:rsidRPr="00044184">
        <w:rPr>
          <w:szCs w:val="22"/>
          <w:lang w:val="sk-SK" w:eastAsia="en-GB"/>
        </w:rPr>
        <w:t>koncentráciách</w:t>
      </w:r>
      <w:r w:rsidR="00EC6AA5" w:rsidRPr="00044184">
        <w:rPr>
          <w:szCs w:val="22"/>
          <w:lang w:val="sk-SK" w:eastAsia="en-GB"/>
        </w:rPr>
        <w:t xml:space="preserve"> </w:t>
      </w:r>
      <w:r w:rsidR="00EE7F28" w:rsidRPr="00044184">
        <w:rPr>
          <w:szCs w:val="22"/>
          <w:lang w:val="sk-SK" w:eastAsia="en-GB"/>
        </w:rPr>
        <w:t>zodpovedajúcich </w:t>
      </w:r>
      <w:r w:rsidR="00B12D51" w:rsidRPr="00044184">
        <w:rPr>
          <w:szCs w:val="22"/>
          <w:lang w:val="sk-SK" w:eastAsia="en-GB"/>
        </w:rPr>
        <w:t>&lt;</w:t>
      </w:r>
      <w:r w:rsidR="00A70A37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10</w:t>
      </w:r>
      <w:r w:rsidR="00A70A37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A70A37" w:rsidRPr="00044184">
        <w:rPr>
          <w:szCs w:val="22"/>
          <w:lang w:val="sk-SK" w:eastAsia="en-GB"/>
        </w:rPr>
        <w:t xml:space="preserve"> erlotinibu a vykazujú podobnú farmakokinetiku ako </w:t>
      </w:r>
      <w:r w:rsidR="00B12D51" w:rsidRPr="00044184">
        <w:rPr>
          <w:szCs w:val="22"/>
          <w:lang w:val="sk-SK" w:eastAsia="en-GB"/>
        </w:rPr>
        <w:t>erlotinib.</w:t>
      </w:r>
    </w:p>
    <w:p w:rsidR="00B12D51" w:rsidRPr="00044184" w:rsidRDefault="00B12D51" w:rsidP="00695459">
      <w:pPr>
        <w:spacing w:line="240" w:lineRule="auto"/>
        <w:ind w:left="567" w:hanging="567"/>
        <w:rPr>
          <w:szCs w:val="22"/>
          <w:lang w:val="sk-SK" w:eastAsia="en-GB"/>
        </w:rPr>
      </w:pPr>
    </w:p>
    <w:p w:rsidR="00B12D51" w:rsidRPr="00044184" w:rsidRDefault="00B12D5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Elimin</w:t>
      </w:r>
      <w:r w:rsidR="008D0D1C" w:rsidRPr="00044184">
        <w:rPr>
          <w:szCs w:val="22"/>
          <w:u w:val="single"/>
          <w:lang w:val="sk-SK" w:eastAsia="en-GB"/>
        </w:rPr>
        <w:t>ác</w:t>
      </w:r>
      <w:r w:rsidRPr="00044184">
        <w:rPr>
          <w:szCs w:val="22"/>
          <w:u w:val="single"/>
          <w:lang w:val="sk-SK" w:eastAsia="en-GB"/>
        </w:rPr>
        <w:t>i</w:t>
      </w:r>
      <w:r w:rsidR="008D0D1C" w:rsidRPr="00044184">
        <w:rPr>
          <w:szCs w:val="22"/>
          <w:u w:val="single"/>
          <w:lang w:val="sk-SK" w:eastAsia="en-GB"/>
        </w:rPr>
        <w:t>a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Pr="00044184">
        <w:rPr>
          <w:szCs w:val="22"/>
          <w:lang w:val="sk-SK" w:eastAsia="en-GB"/>
        </w:rPr>
        <w:t xml:space="preserve">Erlotinib </w:t>
      </w:r>
      <w:r w:rsidR="00011E2B" w:rsidRPr="00044184">
        <w:rPr>
          <w:szCs w:val="22"/>
          <w:lang w:val="sk-SK" w:eastAsia="en-GB"/>
        </w:rPr>
        <w:t xml:space="preserve">sa vylučuje </w:t>
      </w:r>
      <w:r w:rsidR="00A72FFF" w:rsidRPr="00044184">
        <w:rPr>
          <w:szCs w:val="22"/>
          <w:lang w:val="sk-SK" w:eastAsia="en-GB"/>
        </w:rPr>
        <w:t>v</w:t>
      </w:r>
      <w:r w:rsidR="00011E2B" w:rsidRPr="00044184">
        <w:rPr>
          <w:szCs w:val="22"/>
          <w:lang w:val="sk-SK" w:eastAsia="en-GB"/>
        </w:rPr>
        <w:t xml:space="preserve">o forme metabolitov </w:t>
      </w:r>
      <w:r w:rsidR="00A72FFF" w:rsidRPr="00044184">
        <w:rPr>
          <w:szCs w:val="22"/>
          <w:lang w:val="sk-SK" w:eastAsia="en-GB"/>
        </w:rPr>
        <w:t xml:space="preserve">hlavne </w:t>
      </w:r>
      <w:r w:rsidR="00011E2B" w:rsidRPr="00044184">
        <w:rPr>
          <w:szCs w:val="22"/>
          <w:lang w:val="sk-SK" w:eastAsia="en-GB"/>
        </w:rPr>
        <w:t xml:space="preserve">stolicou </w:t>
      </w:r>
      <w:r w:rsidRPr="00044184">
        <w:rPr>
          <w:szCs w:val="22"/>
          <w:lang w:val="sk-SK" w:eastAsia="en-GB"/>
        </w:rPr>
        <w:t>(&gt;</w:t>
      </w:r>
      <w:r w:rsidR="00011E2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90</w:t>
      </w:r>
      <w:r w:rsidR="00011E2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%)</w:t>
      </w:r>
      <w:r w:rsidR="00011E2B" w:rsidRPr="00044184">
        <w:rPr>
          <w:szCs w:val="22"/>
          <w:lang w:val="sk-SK" w:eastAsia="en-GB"/>
        </w:rPr>
        <w:t xml:space="preserve"> a</w:t>
      </w:r>
      <w:r w:rsidR="00A72FFF" w:rsidRPr="00044184">
        <w:rPr>
          <w:szCs w:val="22"/>
          <w:lang w:val="sk-SK" w:eastAsia="en-GB"/>
        </w:rPr>
        <w:t> obličkami sa vylučuje iba mal</w:t>
      </w:r>
      <w:r w:rsidR="00CA2D9C" w:rsidRPr="00044184">
        <w:rPr>
          <w:szCs w:val="22"/>
          <w:lang w:val="sk-SK" w:eastAsia="en-GB"/>
        </w:rPr>
        <w:t>é</w:t>
      </w:r>
      <w:r w:rsidR="00A72FFF" w:rsidRPr="00044184">
        <w:rPr>
          <w:szCs w:val="22"/>
          <w:lang w:val="sk-SK" w:eastAsia="en-GB"/>
        </w:rPr>
        <w:t xml:space="preserve"> </w:t>
      </w:r>
      <w:r w:rsidR="00CA2D9C" w:rsidRPr="00044184">
        <w:rPr>
          <w:szCs w:val="22"/>
          <w:lang w:val="sk-SK" w:eastAsia="en-GB"/>
        </w:rPr>
        <w:t>množstvo</w:t>
      </w:r>
      <w:r w:rsidR="00A72FFF" w:rsidRPr="00044184">
        <w:rPr>
          <w:szCs w:val="22"/>
          <w:lang w:val="sk-SK" w:eastAsia="en-GB"/>
        </w:rPr>
        <w:t xml:space="preserve"> (približne 9 %) perorálne podanej dávky</w:t>
      </w:r>
      <w:r w:rsidRPr="00044184">
        <w:rPr>
          <w:szCs w:val="22"/>
          <w:lang w:val="sk-SK" w:eastAsia="en-GB"/>
        </w:rPr>
        <w:t xml:space="preserve">. </w:t>
      </w:r>
      <w:r w:rsidR="00A72FFF" w:rsidRPr="00044184">
        <w:rPr>
          <w:szCs w:val="22"/>
          <w:lang w:val="sk-SK" w:eastAsia="en-GB"/>
        </w:rPr>
        <w:t xml:space="preserve">Menej ako </w:t>
      </w:r>
      <w:r w:rsidRPr="00044184">
        <w:rPr>
          <w:szCs w:val="22"/>
          <w:lang w:val="sk-SK" w:eastAsia="en-GB"/>
        </w:rPr>
        <w:t>2</w:t>
      </w:r>
      <w:r w:rsidR="00A72FFF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%</w:t>
      </w:r>
      <w:r w:rsidR="00A72FFF" w:rsidRPr="00044184">
        <w:rPr>
          <w:szCs w:val="22"/>
          <w:lang w:val="sk-SK" w:eastAsia="en-GB"/>
        </w:rPr>
        <w:t> perorálne podanej dávky sa vylučuj</w:t>
      </w:r>
      <w:r w:rsidR="00CA2D9C" w:rsidRPr="00044184">
        <w:rPr>
          <w:szCs w:val="22"/>
          <w:lang w:val="sk-SK" w:eastAsia="en-GB"/>
        </w:rPr>
        <w:t>e</w:t>
      </w:r>
      <w:r w:rsidR="00A72FFF" w:rsidRPr="00044184">
        <w:rPr>
          <w:szCs w:val="22"/>
          <w:lang w:val="sk-SK" w:eastAsia="en-GB"/>
        </w:rPr>
        <w:t xml:space="preserve"> vo forme východiskovej zlúčeniny</w:t>
      </w:r>
      <w:r w:rsidRPr="00044184">
        <w:rPr>
          <w:szCs w:val="22"/>
          <w:lang w:val="sk-SK" w:eastAsia="en-GB"/>
        </w:rPr>
        <w:t xml:space="preserve">. </w:t>
      </w:r>
      <w:r w:rsidR="00325CA6" w:rsidRPr="00044184">
        <w:rPr>
          <w:szCs w:val="22"/>
          <w:lang w:val="sk-SK" w:eastAsia="en-GB"/>
        </w:rPr>
        <w:t xml:space="preserve">V populačnej farmakokinetickej analýze </w:t>
      </w:r>
      <w:r w:rsidR="00D75A82">
        <w:rPr>
          <w:szCs w:val="22"/>
          <w:lang w:val="sk-SK" w:eastAsia="en-GB"/>
        </w:rPr>
        <w:t>vykonanej</w:t>
      </w:r>
      <w:r w:rsidR="00877026" w:rsidRPr="00044184">
        <w:rPr>
          <w:szCs w:val="22"/>
          <w:lang w:val="sk-SK" w:eastAsia="en-GB"/>
        </w:rPr>
        <w:t xml:space="preserve"> u</w:t>
      </w:r>
      <w:r w:rsidR="003A5623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591</w:t>
      </w:r>
      <w:r w:rsidR="00325CA6" w:rsidRPr="00044184">
        <w:rPr>
          <w:szCs w:val="22"/>
          <w:lang w:val="sk-SK" w:eastAsia="en-GB"/>
        </w:rPr>
        <w:t xml:space="preserve"> pacientov, ktorým bol erlotinib podávaný v monoterapii, sa preukázal priemerný zdanlivý klírens </w:t>
      </w:r>
      <w:r w:rsidRPr="00044184">
        <w:rPr>
          <w:szCs w:val="22"/>
          <w:lang w:val="sk-SK" w:eastAsia="en-GB"/>
        </w:rPr>
        <w:t>4</w:t>
      </w:r>
      <w:r w:rsidR="00325CA6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>47</w:t>
      </w:r>
      <w:r w:rsidR="00325CA6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l/ho</w:t>
      </w:r>
      <w:r w:rsidR="00325CA6" w:rsidRPr="00044184">
        <w:rPr>
          <w:szCs w:val="22"/>
          <w:lang w:val="sk-SK" w:eastAsia="en-GB"/>
        </w:rPr>
        <w:t xml:space="preserve">dinu a medián eliminačného polčasu </w:t>
      </w:r>
      <w:r w:rsidRPr="00044184">
        <w:rPr>
          <w:szCs w:val="22"/>
          <w:lang w:val="sk-SK" w:eastAsia="en-GB"/>
        </w:rPr>
        <w:t>36</w:t>
      </w:r>
      <w:r w:rsidR="00325CA6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>2</w:t>
      </w:r>
      <w:r w:rsidR="00325CA6" w:rsidRPr="00044184">
        <w:rPr>
          <w:szCs w:val="22"/>
          <w:lang w:val="sk-SK" w:eastAsia="en-GB"/>
        </w:rPr>
        <w:t> hodiny</w:t>
      </w:r>
      <w:r w:rsidRPr="00044184">
        <w:rPr>
          <w:szCs w:val="22"/>
          <w:lang w:val="sk-SK" w:eastAsia="en-GB"/>
        </w:rPr>
        <w:t xml:space="preserve">. </w:t>
      </w:r>
      <w:r w:rsidR="00713811" w:rsidRPr="00044184">
        <w:rPr>
          <w:szCs w:val="22"/>
          <w:lang w:val="sk-SK" w:eastAsia="en-GB"/>
        </w:rPr>
        <w:t>Preto sa očakáva, že plazmatická koncentrácia v rovnovážnom stave sa dosiahne v priebehu približne 7 </w:t>
      </w:r>
      <w:r w:rsidR="00CA2D9C" w:rsidRPr="00044184">
        <w:rPr>
          <w:szCs w:val="22"/>
          <w:lang w:val="sk-SK" w:eastAsia="en-GB"/>
        </w:rPr>
        <w:t>–</w:t>
      </w:r>
      <w:r w:rsidR="00713811" w:rsidRPr="00044184">
        <w:rPr>
          <w:szCs w:val="22"/>
          <w:lang w:val="sk-SK" w:eastAsia="en-GB"/>
        </w:rPr>
        <w:t> 8 dní.</w:t>
      </w:r>
    </w:p>
    <w:p w:rsidR="00B12D51" w:rsidRPr="00044184" w:rsidRDefault="00B12D5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8D0D1C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Farmakokinetika v osobitných skupinách pacientov</w:t>
      </w:r>
      <w:r w:rsidR="00B12D51" w:rsidRPr="00044184">
        <w:rPr>
          <w:szCs w:val="22"/>
          <w:u w:val="single"/>
          <w:lang w:val="sk-SK" w:eastAsia="en-GB"/>
        </w:rPr>
        <w:t>:</w:t>
      </w:r>
    </w:p>
    <w:p w:rsidR="00B12D51" w:rsidRPr="00044184" w:rsidRDefault="00B12D51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C503B4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Na základe populačnej farmakokinetickej analýzy sa nezistila žiadna klinicky významná súvislosť medzi predpo</w:t>
      </w:r>
      <w:r w:rsidR="00877026" w:rsidRPr="00044184">
        <w:rPr>
          <w:szCs w:val="22"/>
          <w:lang w:val="sk-SK" w:eastAsia="en-GB"/>
        </w:rPr>
        <w:t>vedaným</w:t>
      </w:r>
      <w:r w:rsidRPr="00044184">
        <w:rPr>
          <w:szCs w:val="22"/>
          <w:lang w:val="sk-SK" w:eastAsia="en-GB"/>
        </w:rPr>
        <w:t xml:space="preserve"> zdanlivým klírensom a vekom, telesnou hmotnosťou, pohlavím a etnickou príslušnosťou pacient</w:t>
      </w:r>
      <w:r w:rsidR="007D6E01" w:rsidRPr="00044184">
        <w:rPr>
          <w:szCs w:val="22"/>
          <w:lang w:val="sk-SK" w:eastAsia="en-GB"/>
        </w:rPr>
        <w:t>a</w:t>
      </w:r>
      <w:r w:rsidR="00B12D51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 xml:space="preserve">Faktory týkajúce sa pacienta, ktoré </w:t>
      </w:r>
      <w:r w:rsidR="00DA2456" w:rsidRPr="00044184">
        <w:rPr>
          <w:szCs w:val="22"/>
          <w:lang w:val="sk-SK" w:eastAsia="en-GB"/>
        </w:rPr>
        <w:t>korelovali</w:t>
      </w:r>
      <w:r w:rsidRPr="00044184">
        <w:rPr>
          <w:szCs w:val="22"/>
          <w:lang w:val="sk-SK" w:eastAsia="en-GB"/>
        </w:rPr>
        <w:t xml:space="preserve"> s farmakokinetikou erlotinibu, boli </w:t>
      </w:r>
      <w:r w:rsidR="00C92222" w:rsidRPr="00044184">
        <w:rPr>
          <w:szCs w:val="22"/>
          <w:lang w:val="sk-SK" w:eastAsia="en-GB"/>
        </w:rPr>
        <w:t>koncentrácia celkového bilirubínu v sére,</w:t>
      </w:r>
      <w:r w:rsidR="00B12D51" w:rsidRPr="00044184">
        <w:rPr>
          <w:szCs w:val="22"/>
          <w:lang w:val="sk-SK" w:eastAsia="en-GB"/>
        </w:rPr>
        <w:t xml:space="preserve"> </w:t>
      </w:r>
      <w:r w:rsidR="00C92222" w:rsidRPr="00044184">
        <w:rPr>
          <w:szCs w:val="22"/>
          <w:lang w:val="sk-SK" w:eastAsia="en-GB"/>
        </w:rPr>
        <w:t xml:space="preserve">koncentrácia </w:t>
      </w:r>
      <w:r w:rsidR="00B12D51" w:rsidRPr="00044184">
        <w:rPr>
          <w:szCs w:val="22"/>
          <w:lang w:val="sk-SK" w:eastAsia="en-GB"/>
        </w:rPr>
        <w:t>AAG a</w:t>
      </w:r>
      <w:r w:rsidR="00C92222" w:rsidRPr="00044184">
        <w:rPr>
          <w:szCs w:val="22"/>
          <w:lang w:val="sk-SK" w:eastAsia="en-GB"/>
        </w:rPr>
        <w:t> fajčenie v súčasnosti</w:t>
      </w:r>
      <w:r w:rsidR="00B12D51" w:rsidRPr="00044184">
        <w:rPr>
          <w:szCs w:val="22"/>
          <w:lang w:val="sk-SK" w:eastAsia="en-GB"/>
        </w:rPr>
        <w:t xml:space="preserve">. </w:t>
      </w:r>
      <w:r w:rsidR="00C92222" w:rsidRPr="00044184">
        <w:rPr>
          <w:szCs w:val="22"/>
          <w:lang w:val="sk-SK" w:eastAsia="en-GB"/>
        </w:rPr>
        <w:t xml:space="preserve">Zvýšená koncentrácia celkového bilirubínu v sére a zvýšená koncentrácia AAG </w:t>
      </w:r>
      <w:r w:rsidR="007D6E01" w:rsidRPr="00044184">
        <w:rPr>
          <w:szCs w:val="22"/>
          <w:lang w:val="sk-SK" w:eastAsia="en-GB"/>
        </w:rPr>
        <w:t>boli</w:t>
      </w:r>
      <w:r w:rsidR="00C92222" w:rsidRPr="00044184">
        <w:rPr>
          <w:szCs w:val="22"/>
          <w:lang w:val="sk-SK" w:eastAsia="en-GB"/>
        </w:rPr>
        <w:t xml:space="preserve"> sp</w:t>
      </w:r>
      <w:r w:rsidR="007D6E01" w:rsidRPr="00044184">
        <w:rPr>
          <w:szCs w:val="22"/>
          <w:lang w:val="sk-SK" w:eastAsia="en-GB"/>
        </w:rPr>
        <w:t>ojené</w:t>
      </w:r>
      <w:r w:rsidR="00C92222" w:rsidRPr="00044184">
        <w:rPr>
          <w:szCs w:val="22"/>
          <w:lang w:val="sk-SK" w:eastAsia="en-GB"/>
        </w:rPr>
        <w:t xml:space="preserve"> so zníženým klírensom erlotinibu.</w:t>
      </w:r>
      <w:r w:rsidR="00B12D51" w:rsidRPr="00044184">
        <w:rPr>
          <w:szCs w:val="22"/>
          <w:lang w:val="sk-SK" w:eastAsia="en-GB"/>
        </w:rPr>
        <w:t xml:space="preserve"> </w:t>
      </w:r>
      <w:r w:rsidR="00C92222" w:rsidRPr="00044184">
        <w:rPr>
          <w:szCs w:val="22"/>
          <w:lang w:val="sk-SK" w:eastAsia="en-GB"/>
        </w:rPr>
        <w:t>Klinický význam týchto rozdielov nie je jasný</w:t>
      </w:r>
      <w:r w:rsidR="00B12D51" w:rsidRPr="00044184">
        <w:rPr>
          <w:szCs w:val="22"/>
          <w:lang w:val="sk-SK" w:eastAsia="en-GB"/>
        </w:rPr>
        <w:t xml:space="preserve">. </w:t>
      </w:r>
      <w:r w:rsidR="00C06B94" w:rsidRPr="00044184">
        <w:rPr>
          <w:szCs w:val="22"/>
          <w:lang w:val="sk-SK" w:eastAsia="en-GB"/>
        </w:rPr>
        <w:t xml:space="preserve">Fajčiari </w:t>
      </w:r>
      <w:r w:rsidR="00C92222" w:rsidRPr="00044184">
        <w:rPr>
          <w:szCs w:val="22"/>
          <w:lang w:val="sk-SK" w:eastAsia="en-GB"/>
        </w:rPr>
        <w:t xml:space="preserve">však </w:t>
      </w:r>
      <w:r w:rsidR="00C06B94" w:rsidRPr="00044184">
        <w:rPr>
          <w:szCs w:val="22"/>
          <w:lang w:val="sk-SK" w:eastAsia="en-GB"/>
        </w:rPr>
        <w:t xml:space="preserve">mali </w:t>
      </w:r>
      <w:r w:rsidR="00C92222" w:rsidRPr="00044184">
        <w:rPr>
          <w:szCs w:val="22"/>
          <w:lang w:val="sk-SK" w:eastAsia="en-GB"/>
        </w:rPr>
        <w:t>zvýšen</w:t>
      </w:r>
      <w:r w:rsidR="00C06B94" w:rsidRPr="00044184">
        <w:rPr>
          <w:szCs w:val="22"/>
          <w:lang w:val="sk-SK" w:eastAsia="en-GB"/>
        </w:rPr>
        <w:t>ú</w:t>
      </w:r>
      <w:r w:rsidR="00C92222" w:rsidRPr="00044184">
        <w:rPr>
          <w:szCs w:val="22"/>
          <w:lang w:val="sk-SK" w:eastAsia="en-GB"/>
        </w:rPr>
        <w:t xml:space="preserve"> rýchlosť </w:t>
      </w:r>
      <w:r w:rsidR="00C06B94" w:rsidRPr="00044184">
        <w:rPr>
          <w:szCs w:val="22"/>
          <w:lang w:val="sk-SK" w:eastAsia="en-GB"/>
        </w:rPr>
        <w:t>klírensu erlotinibu</w:t>
      </w:r>
      <w:r w:rsidR="00B12D51" w:rsidRPr="00044184">
        <w:rPr>
          <w:szCs w:val="22"/>
          <w:lang w:val="sk-SK" w:eastAsia="en-GB"/>
        </w:rPr>
        <w:t xml:space="preserve">. </w:t>
      </w:r>
      <w:r w:rsidR="00C06B94" w:rsidRPr="00044184">
        <w:rPr>
          <w:szCs w:val="22"/>
          <w:lang w:val="sk-SK" w:eastAsia="en-GB"/>
        </w:rPr>
        <w:t xml:space="preserve">Potvrdilo sa to vo farmakokinetickej štúdii so zdravými </w:t>
      </w:r>
      <w:r w:rsidR="00DA2456" w:rsidRPr="00044184">
        <w:rPr>
          <w:szCs w:val="22"/>
          <w:lang w:val="sk-SK" w:eastAsia="en-GB"/>
        </w:rPr>
        <w:t xml:space="preserve">nefajčiarmi a zdravými </w:t>
      </w:r>
      <w:r w:rsidR="00C94EB8" w:rsidRPr="00044184">
        <w:rPr>
          <w:szCs w:val="22"/>
          <w:lang w:val="sk-SK" w:eastAsia="en-GB"/>
        </w:rPr>
        <w:t xml:space="preserve">vtedajšími </w:t>
      </w:r>
      <w:r w:rsidR="00DA2456" w:rsidRPr="00044184">
        <w:rPr>
          <w:szCs w:val="22"/>
          <w:lang w:val="sk-SK" w:eastAsia="en-GB"/>
        </w:rPr>
        <w:t>fajčiarmi cigariet,</w:t>
      </w:r>
      <w:r w:rsidR="00C06B94" w:rsidRPr="00044184">
        <w:rPr>
          <w:szCs w:val="22"/>
          <w:lang w:val="sk-SK" w:eastAsia="en-GB"/>
        </w:rPr>
        <w:t xml:space="preserve"> ktorým sa </w:t>
      </w:r>
      <w:r w:rsidR="00DA2456" w:rsidRPr="00044184">
        <w:rPr>
          <w:szCs w:val="22"/>
          <w:lang w:val="sk-SK" w:eastAsia="en-GB"/>
        </w:rPr>
        <w:t xml:space="preserve">perorálne </w:t>
      </w:r>
      <w:r w:rsidR="00C06B94" w:rsidRPr="00044184">
        <w:rPr>
          <w:szCs w:val="22"/>
          <w:lang w:val="sk-SK" w:eastAsia="en-GB"/>
        </w:rPr>
        <w:t>podala jednorazová 150 mg dávka erlotinibu</w:t>
      </w:r>
      <w:r w:rsidR="00B12D51" w:rsidRPr="00044184">
        <w:rPr>
          <w:szCs w:val="22"/>
          <w:lang w:val="sk-SK" w:eastAsia="en-GB"/>
        </w:rPr>
        <w:t xml:space="preserve">. </w:t>
      </w:r>
      <w:r w:rsidR="000A1398" w:rsidRPr="00044184">
        <w:rPr>
          <w:szCs w:val="22"/>
          <w:lang w:val="sk-SK" w:eastAsia="en-GB"/>
        </w:rPr>
        <w:t xml:space="preserve">Geometrický priemer </w:t>
      </w:r>
      <w:r w:rsidR="00CD3A5C" w:rsidRPr="00044184">
        <w:rPr>
          <w:szCs w:val="22"/>
          <w:lang w:val="sk-SK" w:eastAsia="en-GB"/>
        </w:rPr>
        <w:t xml:space="preserve">hodnôt </w:t>
      </w:r>
      <w:r w:rsidR="00B12D51" w:rsidRPr="00044184">
        <w:rPr>
          <w:szCs w:val="22"/>
          <w:lang w:val="sk-SK" w:eastAsia="en-GB"/>
        </w:rPr>
        <w:t>C</w:t>
      </w:r>
      <w:r w:rsidR="00DA2578" w:rsidRPr="00044184">
        <w:rPr>
          <w:szCs w:val="22"/>
          <w:vertAlign w:val="subscript"/>
          <w:lang w:val="sk-SK" w:eastAsia="en-GB"/>
        </w:rPr>
        <w:t>max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bol</w:t>
      </w:r>
      <w:r w:rsidR="00B12D51" w:rsidRPr="00044184">
        <w:rPr>
          <w:szCs w:val="22"/>
          <w:lang w:val="sk-SK" w:eastAsia="en-GB"/>
        </w:rPr>
        <w:t xml:space="preserve"> 1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056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ng/m</w:t>
      </w:r>
      <w:r w:rsidR="000A1398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u nefajčiarov a </w:t>
      </w:r>
      <w:r w:rsidR="00B12D51" w:rsidRPr="00044184">
        <w:rPr>
          <w:szCs w:val="22"/>
          <w:lang w:val="sk-SK" w:eastAsia="en-GB"/>
        </w:rPr>
        <w:t>689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ng/m</w:t>
      </w:r>
      <w:r w:rsidR="000A1398" w:rsidRPr="00044184">
        <w:rPr>
          <w:szCs w:val="22"/>
          <w:lang w:val="sk-SK" w:eastAsia="en-GB"/>
        </w:rPr>
        <w:t>l u</w:t>
      </w:r>
      <w:r w:rsidR="000638B5" w:rsidRPr="00044184">
        <w:rPr>
          <w:szCs w:val="22"/>
          <w:lang w:val="sk-SK" w:eastAsia="en-GB"/>
        </w:rPr>
        <w:t> </w:t>
      </w:r>
      <w:r w:rsidR="000A1398" w:rsidRPr="00044184">
        <w:rPr>
          <w:szCs w:val="22"/>
          <w:lang w:val="sk-SK" w:eastAsia="en-GB"/>
        </w:rPr>
        <w:t>fajčiarov</w:t>
      </w:r>
      <w:r w:rsidR="000638B5" w:rsidRPr="00044184">
        <w:rPr>
          <w:szCs w:val="22"/>
          <w:lang w:val="sk-SK" w:eastAsia="en-GB"/>
        </w:rPr>
        <w:t xml:space="preserve">, </w:t>
      </w:r>
      <w:r w:rsidR="00857FFC" w:rsidRPr="00044184">
        <w:rPr>
          <w:szCs w:val="22"/>
          <w:lang w:val="sk-SK" w:eastAsia="en-GB"/>
        </w:rPr>
        <w:t>a teda f</w:t>
      </w:r>
      <w:r w:rsidR="000638B5" w:rsidRPr="00044184">
        <w:rPr>
          <w:szCs w:val="22"/>
          <w:lang w:val="sk-SK" w:eastAsia="en-GB"/>
        </w:rPr>
        <w:t xml:space="preserve">ajčiari dosiahli v priemere 65,2 % hodnoty zistenej u nefajčiarov </w:t>
      </w:r>
      <w:r w:rsidR="00B12D51" w:rsidRPr="00044184">
        <w:rPr>
          <w:szCs w:val="22"/>
          <w:lang w:val="sk-SK" w:eastAsia="en-GB"/>
        </w:rPr>
        <w:t>(95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I</w:t>
      </w:r>
      <w:r w:rsidR="00DA2578" w:rsidRPr="00044184">
        <w:rPr>
          <w:szCs w:val="22"/>
          <w:lang w:val="sk-SK" w:eastAsia="en-GB"/>
        </w:rPr>
        <w:t>S</w:t>
      </w:r>
      <w:r w:rsidR="00B12D51" w:rsidRPr="00044184">
        <w:rPr>
          <w:szCs w:val="22"/>
          <w:lang w:val="sk-SK" w:eastAsia="en-GB"/>
        </w:rPr>
        <w:t>: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44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3</w:t>
      </w:r>
      <w:r w:rsidR="00DA2578" w:rsidRPr="00044184">
        <w:rPr>
          <w:szCs w:val="22"/>
          <w:lang w:val="sk-SK" w:eastAsia="en-GB"/>
        </w:rPr>
        <w:t> až </w:t>
      </w:r>
      <w:r w:rsidR="00B12D51" w:rsidRPr="00044184">
        <w:rPr>
          <w:szCs w:val="22"/>
          <w:lang w:val="sk-SK" w:eastAsia="en-GB"/>
        </w:rPr>
        <w:t>95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9,</w:t>
      </w:r>
      <w:r w:rsidR="0004165F" w:rsidRPr="00044184">
        <w:rPr>
          <w:szCs w:val="22"/>
          <w:lang w:val="sk-SK" w:eastAsia="en-GB"/>
        </w:rPr>
        <w:t xml:space="preserve"> </w:t>
      </w:r>
      <w:r w:rsidR="00B12D51" w:rsidRPr="00044184">
        <w:rPr>
          <w:szCs w:val="22"/>
          <w:lang w:val="sk-SK" w:eastAsia="en-GB"/>
        </w:rPr>
        <w:t>p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=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0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 xml:space="preserve">031). </w:t>
      </w:r>
      <w:r w:rsidR="000A1398" w:rsidRPr="00044184">
        <w:rPr>
          <w:szCs w:val="22"/>
          <w:lang w:val="sk-SK" w:eastAsia="en-GB"/>
        </w:rPr>
        <w:t xml:space="preserve">Geometrický priemer </w:t>
      </w:r>
      <w:r w:rsidR="00B12D51" w:rsidRPr="00044184">
        <w:rPr>
          <w:szCs w:val="22"/>
          <w:lang w:val="sk-SK" w:eastAsia="en-GB"/>
        </w:rPr>
        <w:t>AUC</w:t>
      </w:r>
      <w:r w:rsidR="00DA2578" w:rsidRPr="00044184">
        <w:rPr>
          <w:szCs w:val="22"/>
          <w:vertAlign w:val="subscript"/>
          <w:lang w:val="sk-SK" w:eastAsia="en-GB"/>
        </w:rPr>
        <w:t>0</w:t>
      </w:r>
      <w:r w:rsidR="00DA2578" w:rsidRPr="00044184">
        <w:rPr>
          <w:szCs w:val="22"/>
          <w:vertAlign w:val="subscript"/>
          <w:lang w:val="sk-SK" w:eastAsia="en-GB"/>
        </w:rPr>
        <w:noBreakHyphen/>
        <w:t>inf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bol</w:t>
      </w:r>
      <w:r w:rsidR="00B12D51" w:rsidRPr="00044184">
        <w:rPr>
          <w:szCs w:val="22"/>
          <w:lang w:val="sk-SK" w:eastAsia="en-GB"/>
        </w:rPr>
        <w:t xml:space="preserve"> 18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726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ng•h/m</w:t>
      </w:r>
      <w:r w:rsidR="000A1398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u nefajčiarov</w:t>
      </w:r>
      <w:r w:rsidR="00B12D51" w:rsidRPr="00044184">
        <w:rPr>
          <w:szCs w:val="22"/>
          <w:lang w:val="sk-SK" w:eastAsia="en-GB"/>
        </w:rPr>
        <w:t xml:space="preserve"> a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6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718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ng•h/m</w:t>
      </w:r>
      <w:r w:rsidR="000A1398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 xml:space="preserve">u fajčiarov, </w:t>
      </w:r>
      <w:r w:rsidR="00857FFC" w:rsidRPr="00044184">
        <w:rPr>
          <w:szCs w:val="22"/>
          <w:lang w:val="sk-SK" w:eastAsia="en-GB"/>
        </w:rPr>
        <w:t xml:space="preserve">a teda fajčiari dosiahli </w:t>
      </w:r>
      <w:r w:rsidR="004B6725" w:rsidRPr="00044184">
        <w:rPr>
          <w:szCs w:val="22"/>
          <w:lang w:val="sk-SK" w:eastAsia="en-GB"/>
        </w:rPr>
        <w:t xml:space="preserve">v priemere </w:t>
      </w:r>
      <w:r w:rsidR="00B12D51" w:rsidRPr="00044184">
        <w:rPr>
          <w:szCs w:val="22"/>
          <w:lang w:val="sk-SK" w:eastAsia="en-GB"/>
        </w:rPr>
        <w:t>35</w:t>
      </w:r>
      <w:r w:rsidR="00857FFC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9</w:t>
      </w:r>
      <w:r w:rsidR="00857FFC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857FFC" w:rsidRPr="00044184">
        <w:rPr>
          <w:szCs w:val="22"/>
          <w:lang w:val="sk-SK" w:eastAsia="en-GB"/>
        </w:rPr>
        <w:t xml:space="preserve"> hodnoty zistenej u nefajčiarov</w:t>
      </w:r>
      <w:r w:rsidR="00B12D51" w:rsidRPr="00044184">
        <w:rPr>
          <w:szCs w:val="22"/>
          <w:lang w:val="sk-SK" w:eastAsia="en-GB"/>
        </w:rPr>
        <w:t xml:space="preserve"> (95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I</w:t>
      </w:r>
      <w:r w:rsidR="00DA2578" w:rsidRPr="00044184">
        <w:rPr>
          <w:szCs w:val="22"/>
          <w:lang w:val="sk-SK" w:eastAsia="en-GB"/>
        </w:rPr>
        <w:t>S</w:t>
      </w:r>
      <w:r w:rsidR="00B12D51" w:rsidRPr="00044184">
        <w:rPr>
          <w:szCs w:val="22"/>
          <w:lang w:val="sk-SK" w:eastAsia="en-GB"/>
        </w:rPr>
        <w:t>: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23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7</w:t>
      </w:r>
      <w:r w:rsidR="00DA2578" w:rsidRPr="00044184">
        <w:rPr>
          <w:szCs w:val="22"/>
          <w:lang w:val="sk-SK" w:eastAsia="en-GB"/>
        </w:rPr>
        <w:t> až </w:t>
      </w:r>
      <w:r w:rsidR="00B12D51" w:rsidRPr="00044184">
        <w:rPr>
          <w:szCs w:val="22"/>
          <w:lang w:val="sk-SK" w:eastAsia="en-GB"/>
        </w:rPr>
        <w:t>54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3, p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&lt;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0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 xml:space="preserve">0001). </w:t>
      </w:r>
      <w:r w:rsidR="000A1398" w:rsidRPr="00044184">
        <w:rPr>
          <w:szCs w:val="22"/>
          <w:lang w:val="sk-SK" w:eastAsia="en-GB"/>
        </w:rPr>
        <w:t xml:space="preserve">Geometrický priemer </w:t>
      </w:r>
      <w:r w:rsidR="00B12D51" w:rsidRPr="00044184">
        <w:rPr>
          <w:szCs w:val="22"/>
          <w:lang w:val="sk-SK" w:eastAsia="en-GB"/>
        </w:rPr>
        <w:t>C</w:t>
      </w:r>
      <w:r w:rsidR="00B12D51" w:rsidRPr="00044184">
        <w:rPr>
          <w:szCs w:val="22"/>
          <w:vertAlign w:val="subscript"/>
          <w:lang w:val="sk-SK" w:eastAsia="en-GB"/>
        </w:rPr>
        <w:t>24h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bol</w:t>
      </w:r>
      <w:r w:rsidR="00B12D51" w:rsidRPr="00044184">
        <w:rPr>
          <w:szCs w:val="22"/>
          <w:lang w:val="sk-SK" w:eastAsia="en-GB"/>
        </w:rPr>
        <w:t xml:space="preserve"> 288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ng/m</w:t>
      </w:r>
      <w:r w:rsidR="000A1398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</w:t>
      </w:r>
      <w:r w:rsidR="000A1398" w:rsidRPr="00044184">
        <w:rPr>
          <w:szCs w:val="22"/>
          <w:lang w:val="sk-SK" w:eastAsia="en-GB"/>
        </w:rPr>
        <w:t>u nefajčiarov</w:t>
      </w:r>
      <w:r w:rsidR="00B12D51" w:rsidRPr="00044184">
        <w:rPr>
          <w:szCs w:val="22"/>
          <w:lang w:val="sk-SK" w:eastAsia="en-GB"/>
        </w:rPr>
        <w:t xml:space="preserve"> a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34</w:t>
      </w:r>
      <w:r w:rsidR="000A139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8</w:t>
      </w:r>
      <w:r w:rsidR="000A139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ng/m</w:t>
      </w:r>
      <w:r w:rsidR="000A1398" w:rsidRPr="00044184">
        <w:rPr>
          <w:szCs w:val="22"/>
          <w:lang w:val="sk-SK" w:eastAsia="en-GB"/>
        </w:rPr>
        <w:t>l u</w:t>
      </w:r>
      <w:r w:rsidR="006E1A64" w:rsidRPr="00044184">
        <w:rPr>
          <w:szCs w:val="22"/>
          <w:lang w:val="sk-SK" w:eastAsia="en-GB"/>
        </w:rPr>
        <w:t> </w:t>
      </w:r>
      <w:r w:rsidR="000A1398" w:rsidRPr="00044184">
        <w:rPr>
          <w:szCs w:val="22"/>
          <w:lang w:val="sk-SK" w:eastAsia="en-GB"/>
        </w:rPr>
        <w:t>fajčiarov</w:t>
      </w:r>
      <w:r w:rsidR="006E1A64" w:rsidRPr="00044184">
        <w:rPr>
          <w:szCs w:val="22"/>
          <w:lang w:val="sk-SK" w:eastAsia="en-GB"/>
        </w:rPr>
        <w:t xml:space="preserve">, </w:t>
      </w:r>
      <w:r w:rsidR="004B6725" w:rsidRPr="00044184">
        <w:rPr>
          <w:szCs w:val="22"/>
          <w:lang w:val="sk-SK" w:eastAsia="en-GB"/>
        </w:rPr>
        <w:t xml:space="preserve">a teda fajčiari dosiahli v priemere </w:t>
      </w:r>
      <w:r w:rsidR="006E1A64" w:rsidRPr="00044184">
        <w:rPr>
          <w:szCs w:val="22"/>
          <w:lang w:val="sk-SK" w:eastAsia="en-GB"/>
        </w:rPr>
        <w:t>12,1</w:t>
      </w:r>
      <w:r w:rsidR="004B6725" w:rsidRPr="00044184">
        <w:rPr>
          <w:szCs w:val="22"/>
          <w:lang w:val="sk-SK" w:eastAsia="en-GB"/>
        </w:rPr>
        <w:t> </w:t>
      </w:r>
      <w:r w:rsidR="006E1A64" w:rsidRPr="00044184">
        <w:rPr>
          <w:szCs w:val="22"/>
          <w:lang w:val="sk-SK" w:eastAsia="en-GB"/>
        </w:rPr>
        <w:t>%</w:t>
      </w:r>
      <w:r w:rsidR="004B6725" w:rsidRPr="00044184">
        <w:rPr>
          <w:szCs w:val="22"/>
          <w:lang w:val="sk-SK" w:eastAsia="en-GB"/>
        </w:rPr>
        <w:t xml:space="preserve"> hodnoty zistenej u nefajčiarov </w:t>
      </w:r>
      <w:r w:rsidR="00B12D51" w:rsidRPr="00044184">
        <w:rPr>
          <w:szCs w:val="22"/>
          <w:lang w:val="sk-SK" w:eastAsia="en-GB"/>
        </w:rPr>
        <w:t>(95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I</w:t>
      </w:r>
      <w:r w:rsidR="00DA2578" w:rsidRPr="00044184">
        <w:rPr>
          <w:szCs w:val="22"/>
          <w:lang w:val="sk-SK" w:eastAsia="en-GB"/>
        </w:rPr>
        <w:t>S</w:t>
      </w:r>
      <w:r w:rsidR="00B12D51" w:rsidRPr="00044184">
        <w:rPr>
          <w:szCs w:val="22"/>
          <w:lang w:val="sk-SK" w:eastAsia="en-GB"/>
        </w:rPr>
        <w:t>: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4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82</w:t>
      </w:r>
      <w:r w:rsidR="00DA2578" w:rsidRPr="00044184">
        <w:rPr>
          <w:szCs w:val="22"/>
          <w:lang w:val="sk-SK" w:eastAsia="en-GB"/>
        </w:rPr>
        <w:t> až </w:t>
      </w:r>
      <w:r w:rsidR="00B12D51" w:rsidRPr="00044184">
        <w:rPr>
          <w:szCs w:val="22"/>
          <w:lang w:val="sk-SK" w:eastAsia="en-GB"/>
        </w:rPr>
        <w:t>30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2, p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=</w:t>
      </w:r>
      <w:r w:rsidR="00DA2578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0</w:t>
      </w:r>
      <w:r w:rsidR="00DA2578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0001).</w:t>
      </w:r>
    </w:p>
    <w:p w:rsidR="00B12D51" w:rsidRPr="00044184" w:rsidRDefault="00DA2578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 pivotnom klinickom skúšaní fázy III zameranom na </w:t>
      </w:r>
      <w:r w:rsidR="00B12D51" w:rsidRPr="00044184">
        <w:rPr>
          <w:szCs w:val="22"/>
          <w:lang w:val="sk-SK" w:eastAsia="en-GB"/>
        </w:rPr>
        <w:t>NSCLC</w:t>
      </w:r>
      <w:r w:rsidRPr="00044184">
        <w:rPr>
          <w:szCs w:val="22"/>
          <w:lang w:val="sk-SK" w:eastAsia="en-GB"/>
        </w:rPr>
        <w:t xml:space="preserve"> </w:t>
      </w:r>
      <w:r w:rsidR="002433AC" w:rsidRPr="00044184">
        <w:rPr>
          <w:szCs w:val="22"/>
          <w:lang w:val="sk-SK" w:eastAsia="en-GB"/>
        </w:rPr>
        <w:t xml:space="preserve">sa u vtedajších </w:t>
      </w:r>
      <w:r w:rsidRPr="00044184">
        <w:rPr>
          <w:szCs w:val="22"/>
          <w:lang w:val="sk-SK" w:eastAsia="en-GB"/>
        </w:rPr>
        <w:t>fajčiar</w:t>
      </w:r>
      <w:r w:rsidR="002433AC" w:rsidRPr="00044184">
        <w:rPr>
          <w:szCs w:val="22"/>
          <w:lang w:val="sk-SK" w:eastAsia="en-GB"/>
        </w:rPr>
        <w:t xml:space="preserve">ov </w:t>
      </w:r>
      <w:r w:rsidR="00B72D48" w:rsidRPr="00044184">
        <w:rPr>
          <w:szCs w:val="22"/>
          <w:lang w:val="sk-SK" w:eastAsia="en-GB"/>
        </w:rPr>
        <w:t>dosiahla</w:t>
      </w:r>
      <w:r w:rsidRPr="00044184">
        <w:rPr>
          <w:szCs w:val="22"/>
          <w:lang w:val="sk-SK" w:eastAsia="en-GB"/>
        </w:rPr>
        <w:t xml:space="preserve"> minimáln</w:t>
      </w:r>
      <w:r w:rsidR="002433AC" w:rsidRPr="00044184">
        <w:rPr>
          <w:szCs w:val="22"/>
          <w:lang w:val="sk-SK" w:eastAsia="en-GB"/>
        </w:rPr>
        <w:t>a</w:t>
      </w:r>
      <w:r w:rsidRPr="00044184">
        <w:rPr>
          <w:szCs w:val="22"/>
          <w:lang w:val="sk-SK" w:eastAsia="en-GB"/>
        </w:rPr>
        <w:t xml:space="preserve"> </w:t>
      </w:r>
      <w:r w:rsidR="006A6B65" w:rsidRPr="00044184">
        <w:rPr>
          <w:szCs w:val="22"/>
          <w:lang w:val="sk-SK" w:eastAsia="en-GB"/>
        </w:rPr>
        <w:t xml:space="preserve">(trough) </w:t>
      </w:r>
      <w:r w:rsidR="006C03DC" w:rsidRPr="00044184">
        <w:rPr>
          <w:szCs w:val="22"/>
          <w:lang w:val="sk-SK" w:eastAsia="en-GB"/>
        </w:rPr>
        <w:t>plazmatická koncentráci</w:t>
      </w:r>
      <w:r w:rsidR="00DB0245" w:rsidRPr="00044184">
        <w:rPr>
          <w:szCs w:val="22"/>
          <w:lang w:val="sk-SK" w:eastAsia="en-GB"/>
        </w:rPr>
        <w:t>a</w:t>
      </w:r>
      <w:r w:rsidR="006C03DC" w:rsidRPr="00044184">
        <w:rPr>
          <w:szCs w:val="22"/>
          <w:lang w:val="sk-SK" w:eastAsia="en-GB"/>
        </w:rPr>
        <w:t xml:space="preserve"> erlotinibu v rovnovážnom stave </w:t>
      </w:r>
      <w:r w:rsidR="00B12D51" w:rsidRPr="00044184">
        <w:rPr>
          <w:szCs w:val="22"/>
          <w:lang w:val="sk-SK" w:eastAsia="en-GB"/>
        </w:rPr>
        <w:t>0</w:t>
      </w:r>
      <w:r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65</w:t>
      </w:r>
      <w:r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μg/m</w:t>
      </w:r>
      <w:r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(n</w:t>
      </w:r>
      <w:r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=</w:t>
      </w:r>
      <w:r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16)</w:t>
      </w:r>
      <w:r w:rsidRPr="00044184">
        <w:rPr>
          <w:szCs w:val="22"/>
          <w:lang w:val="sk-SK" w:eastAsia="en-GB"/>
        </w:rPr>
        <w:t xml:space="preserve">, </w:t>
      </w:r>
      <w:r w:rsidR="002433AC" w:rsidRPr="00044184">
        <w:rPr>
          <w:szCs w:val="22"/>
          <w:lang w:val="sk-SK" w:eastAsia="en-GB"/>
        </w:rPr>
        <w:t>ktorá bol</w:t>
      </w:r>
      <w:r w:rsidR="006A6B65" w:rsidRPr="00044184">
        <w:rPr>
          <w:szCs w:val="22"/>
          <w:lang w:val="sk-SK" w:eastAsia="en-GB"/>
        </w:rPr>
        <w:t>a</w:t>
      </w:r>
      <w:r w:rsidR="002433AC" w:rsidRPr="00044184">
        <w:rPr>
          <w:szCs w:val="22"/>
          <w:lang w:val="sk-SK" w:eastAsia="en-GB"/>
        </w:rPr>
        <w:t xml:space="preserve"> približne </w:t>
      </w:r>
      <w:r w:rsidRPr="00044184">
        <w:rPr>
          <w:szCs w:val="22"/>
          <w:lang w:val="sk-SK" w:eastAsia="en-GB"/>
        </w:rPr>
        <w:t>2</w:t>
      </w:r>
      <w:r w:rsidRPr="00044184">
        <w:rPr>
          <w:szCs w:val="22"/>
          <w:lang w:val="sk-SK" w:eastAsia="en-GB"/>
        </w:rPr>
        <w:noBreakHyphen/>
        <w:t xml:space="preserve">násobne nižšia </w:t>
      </w:r>
      <w:r w:rsidR="009D7F0F" w:rsidRPr="00044184">
        <w:rPr>
          <w:szCs w:val="22"/>
          <w:lang w:val="sk-SK" w:eastAsia="en-GB"/>
        </w:rPr>
        <w:t xml:space="preserve">ako </w:t>
      </w:r>
      <w:r w:rsidR="00E94CCD" w:rsidRPr="00044184">
        <w:rPr>
          <w:szCs w:val="22"/>
          <w:lang w:val="sk-SK" w:eastAsia="en-GB"/>
        </w:rPr>
        <w:t xml:space="preserve">tá, ktorá sa dosiahla </w:t>
      </w:r>
      <w:r w:rsidR="00DF1C08" w:rsidRPr="00044184">
        <w:rPr>
          <w:szCs w:val="22"/>
          <w:lang w:val="sk-SK" w:eastAsia="en-GB"/>
        </w:rPr>
        <w:t>u</w:t>
      </w:r>
      <w:r w:rsidR="002433AC" w:rsidRPr="00044184">
        <w:rPr>
          <w:szCs w:val="22"/>
          <w:lang w:val="sk-SK" w:eastAsia="en-GB"/>
        </w:rPr>
        <w:t xml:space="preserve"> bývalých fajčiarov alebo </w:t>
      </w:r>
      <w:r w:rsidR="00877026" w:rsidRPr="00044184">
        <w:rPr>
          <w:szCs w:val="22"/>
          <w:lang w:val="sk-SK" w:eastAsia="en-GB"/>
        </w:rPr>
        <w:t>u </w:t>
      </w:r>
      <w:r w:rsidR="002433AC" w:rsidRPr="00044184">
        <w:rPr>
          <w:szCs w:val="22"/>
          <w:lang w:val="sk-SK" w:eastAsia="en-GB"/>
        </w:rPr>
        <w:t xml:space="preserve">pacientov, ktorí nikdy nefajčili </w:t>
      </w:r>
      <w:r w:rsidR="00B12D51" w:rsidRPr="00044184">
        <w:rPr>
          <w:szCs w:val="22"/>
          <w:lang w:val="sk-SK" w:eastAsia="en-GB"/>
        </w:rPr>
        <w:t>(1</w:t>
      </w:r>
      <w:r w:rsidR="00857BB6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28</w:t>
      </w:r>
      <w:r w:rsidR="00857BB6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μg/m</w:t>
      </w:r>
      <w:r w:rsidR="00857BB6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>, n</w:t>
      </w:r>
      <w:r w:rsidR="00857BB6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=</w:t>
      </w:r>
      <w:r w:rsidR="00857BB6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108). T</w:t>
      </w:r>
      <w:r w:rsidR="00E06E5F" w:rsidRPr="00044184">
        <w:rPr>
          <w:szCs w:val="22"/>
          <w:lang w:val="sk-SK" w:eastAsia="en-GB"/>
        </w:rPr>
        <w:t xml:space="preserve">ento </w:t>
      </w:r>
      <w:r w:rsidR="00547F89" w:rsidRPr="00044184">
        <w:rPr>
          <w:szCs w:val="22"/>
          <w:lang w:val="sk-SK" w:eastAsia="en-GB"/>
        </w:rPr>
        <w:t>efekt</w:t>
      </w:r>
      <w:r w:rsidR="00E06E5F" w:rsidRPr="00044184">
        <w:rPr>
          <w:szCs w:val="22"/>
          <w:lang w:val="sk-SK" w:eastAsia="en-GB"/>
        </w:rPr>
        <w:t xml:space="preserve"> </w:t>
      </w:r>
      <w:r w:rsidR="00CD3A5C" w:rsidRPr="00044184">
        <w:rPr>
          <w:szCs w:val="22"/>
          <w:lang w:val="sk-SK" w:eastAsia="en-GB"/>
        </w:rPr>
        <w:t xml:space="preserve">bol sprevádzaný </w:t>
      </w:r>
      <w:r w:rsidR="00B12D51" w:rsidRPr="00044184">
        <w:rPr>
          <w:szCs w:val="22"/>
          <w:lang w:val="sk-SK" w:eastAsia="en-GB"/>
        </w:rPr>
        <w:t>24</w:t>
      </w:r>
      <w:r w:rsidR="00CD3A5C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</w:t>
      </w:r>
      <w:r w:rsidR="00CD3A5C" w:rsidRPr="00044184">
        <w:rPr>
          <w:szCs w:val="22"/>
          <w:lang w:val="sk-SK" w:eastAsia="en-GB"/>
        </w:rPr>
        <w:t xml:space="preserve"> zvýšením zdanlivého plazmatického klírensu </w:t>
      </w:r>
      <w:r w:rsidR="00B12D51" w:rsidRPr="00044184">
        <w:rPr>
          <w:szCs w:val="22"/>
          <w:lang w:val="sk-SK" w:eastAsia="en-GB"/>
        </w:rPr>
        <w:t>erlotinib</w:t>
      </w:r>
      <w:r w:rsidR="00CD3A5C" w:rsidRPr="00044184">
        <w:rPr>
          <w:szCs w:val="22"/>
          <w:lang w:val="sk-SK" w:eastAsia="en-GB"/>
        </w:rPr>
        <w:t>u</w:t>
      </w:r>
      <w:r w:rsidR="00B12D51" w:rsidRPr="00044184">
        <w:rPr>
          <w:szCs w:val="22"/>
          <w:lang w:val="sk-SK" w:eastAsia="en-GB"/>
        </w:rPr>
        <w:t xml:space="preserve">. </w:t>
      </w:r>
      <w:r w:rsidR="00CD3A5C" w:rsidRPr="00044184">
        <w:rPr>
          <w:szCs w:val="22"/>
          <w:lang w:val="sk-SK" w:eastAsia="en-GB"/>
        </w:rPr>
        <w:t>V štúdii fázy I s</w:t>
      </w:r>
      <w:r w:rsidR="00102C66" w:rsidRPr="00044184">
        <w:rPr>
          <w:szCs w:val="22"/>
          <w:lang w:val="sk-SK" w:eastAsia="en-GB"/>
        </w:rPr>
        <w:t xml:space="preserve"> eskaláciou dávky </w:t>
      </w:r>
      <w:r w:rsidR="00CD3A5C" w:rsidRPr="00044184">
        <w:rPr>
          <w:szCs w:val="22"/>
          <w:lang w:val="sk-SK" w:eastAsia="en-GB"/>
        </w:rPr>
        <w:t>u pacientov s </w:t>
      </w:r>
      <w:r w:rsidR="00B12D51" w:rsidRPr="00044184">
        <w:rPr>
          <w:szCs w:val="22"/>
          <w:lang w:val="sk-SK" w:eastAsia="en-GB"/>
        </w:rPr>
        <w:t>NSCLC</w:t>
      </w:r>
      <w:r w:rsidR="00CD3A5C" w:rsidRPr="00044184">
        <w:rPr>
          <w:szCs w:val="22"/>
          <w:lang w:val="sk-SK" w:eastAsia="en-GB"/>
        </w:rPr>
        <w:t>, ktorí boli vtedajšími fajčiarmi, sa vo farmakokinetickej analýze</w:t>
      </w:r>
      <w:r w:rsidR="002433AC" w:rsidRPr="00044184">
        <w:rPr>
          <w:szCs w:val="22"/>
          <w:lang w:val="sk-SK" w:eastAsia="en-GB"/>
        </w:rPr>
        <w:t xml:space="preserve"> v rovnovážnom stave preukázalo zvýšenie expozície erlotinibu úmerné dávke, keď sa dávka zvýšila zo 150 mg na</w:t>
      </w:r>
      <w:r w:rsidR="00547F89" w:rsidRPr="00044184">
        <w:rPr>
          <w:szCs w:val="22"/>
          <w:lang w:val="sk-SK" w:eastAsia="en-GB"/>
        </w:rPr>
        <w:t> </w:t>
      </w:r>
      <w:r w:rsidR="00877026" w:rsidRPr="00044184">
        <w:rPr>
          <w:szCs w:val="22"/>
          <w:lang w:val="sk-SK" w:eastAsia="en-GB"/>
        </w:rPr>
        <w:t>najvyššiu</w:t>
      </w:r>
      <w:r w:rsidR="002433AC" w:rsidRPr="00044184">
        <w:rPr>
          <w:szCs w:val="22"/>
          <w:lang w:val="sk-SK" w:eastAsia="en-GB"/>
        </w:rPr>
        <w:t xml:space="preserve"> tolerovanú dávku 300 mg.</w:t>
      </w:r>
      <w:r w:rsidR="00B12D51" w:rsidRPr="00044184">
        <w:rPr>
          <w:szCs w:val="22"/>
          <w:lang w:val="sk-SK" w:eastAsia="en-GB"/>
        </w:rPr>
        <w:t xml:space="preserve"> </w:t>
      </w:r>
      <w:r w:rsidR="006A6B65" w:rsidRPr="00044184">
        <w:rPr>
          <w:szCs w:val="22"/>
          <w:lang w:val="sk-SK" w:eastAsia="en-GB"/>
        </w:rPr>
        <w:t xml:space="preserve">V tejto štúdii sa </w:t>
      </w:r>
      <w:r w:rsidR="00E965E1" w:rsidRPr="00044184">
        <w:rPr>
          <w:szCs w:val="22"/>
          <w:lang w:val="sk-SK" w:eastAsia="en-GB"/>
        </w:rPr>
        <w:t xml:space="preserve">u vtedajších fajčiarov </w:t>
      </w:r>
      <w:r w:rsidR="006A6B65" w:rsidRPr="00044184">
        <w:rPr>
          <w:szCs w:val="22"/>
          <w:lang w:val="sk-SK" w:eastAsia="en-GB"/>
        </w:rPr>
        <w:t>p</w:t>
      </w:r>
      <w:r w:rsidR="00E965E1" w:rsidRPr="00044184">
        <w:rPr>
          <w:szCs w:val="22"/>
          <w:lang w:val="sk-SK" w:eastAsia="en-GB"/>
        </w:rPr>
        <w:t>ri</w:t>
      </w:r>
      <w:r w:rsidR="006A6B65" w:rsidRPr="00044184">
        <w:rPr>
          <w:szCs w:val="22"/>
          <w:lang w:val="sk-SK" w:eastAsia="en-GB"/>
        </w:rPr>
        <w:t xml:space="preserve"> pod</w:t>
      </w:r>
      <w:r w:rsidR="00E965E1" w:rsidRPr="00044184">
        <w:rPr>
          <w:szCs w:val="22"/>
          <w:lang w:val="sk-SK" w:eastAsia="en-GB"/>
        </w:rPr>
        <w:t>áv</w:t>
      </w:r>
      <w:r w:rsidR="006A6B65" w:rsidRPr="00044184">
        <w:rPr>
          <w:szCs w:val="22"/>
          <w:lang w:val="sk-SK" w:eastAsia="en-GB"/>
        </w:rPr>
        <w:t xml:space="preserve">aní 300 mg </w:t>
      </w:r>
      <w:r w:rsidR="00792C05" w:rsidRPr="00044184">
        <w:rPr>
          <w:szCs w:val="22"/>
          <w:lang w:val="sk-SK" w:eastAsia="en-GB"/>
        </w:rPr>
        <w:t xml:space="preserve">dávky </w:t>
      </w:r>
      <w:r w:rsidR="00E965E1" w:rsidRPr="00044184">
        <w:rPr>
          <w:szCs w:val="22"/>
          <w:lang w:val="sk-SK" w:eastAsia="en-GB"/>
        </w:rPr>
        <w:t>dosiahla m</w:t>
      </w:r>
      <w:r w:rsidR="00547F89" w:rsidRPr="00044184">
        <w:rPr>
          <w:szCs w:val="22"/>
          <w:lang w:val="sk-SK" w:eastAsia="en-GB"/>
        </w:rPr>
        <w:t>inimálna</w:t>
      </w:r>
      <w:r w:rsidR="00877026" w:rsidRPr="00044184">
        <w:rPr>
          <w:szCs w:val="22"/>
          <w:lang w:val="sk-SK" w:eastAsia="en-GB"/>
        </w:rPr>
        <w:t xml:space="preserve"> </w:t>
      </w:r>
      <w:r w:rsidR="00547F89" w:rsidRPr="00044184">
        <w:rPr>
          <w:szCs w:val="22"/>
          <w:lang w:val="sk-SK" w:eastAsia="en-GB"/>
        </w:rPr>
        <w:t xml:space="preserve">plazmatická koncentrácia v rovnovážnom stave </w:t>
      </w:r>
      <w:r w:rsidR="00B12D51" w:rsidRPr="00044184">
        <w:rPr>
          <w:szCs w:val="22"/>
          <w:lang w:val="sk-SK" w:eastAsia="en-GB"/>
        </w:rPr>
        <w:t>1</w:t>
      </w:r>
      <w:r w:rsidR="00F64B67" w:rsidRPr="00044184">
        <w:rPr>
          <w:szCs w:val="22"/>
          <w:lang w:val="sk-SK" w:eastAsia="en-GB"/>
        </w:rPr>
        <w:t>,</w:t>
      </w:r>
      <w:r w:rsidR="00B12D51" w:rsidRPr="00044184">
        <w:rPr>
          <w:szCs w:val="22"/>
          <w:lang w:val="sk-SK" w:eastAsia="en-GB"/>
        </w:rPr>
        <w:t>22</w:t>
      </w:r>
      <w:r w:rsidR="00F64B67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μg/m</w:t>
      </w:r>
      <w:r w:rsidR="00F64B67" w:rsidRPr="00044184">
        <w:rPr>
          <w:szCs w:val="22"/>
          <w:lang w:val="sk-SK" w:eastAsia="en-GB"/>
        </w:rPr>
        <w:t>l</w:t>
      </w:r>
      <w:r w:rsidR="00B12D51" w:rsidRPr="00044184">
        <w:rPr>
          <w:szCs w:val="22"/>
          <w:lang w:val="sk-SK" w:eastAsia="en-GB"/>
        </w:rPr>
        <w:t xml:space="preserve"> (n</w:t>
      </w:r>
      <w:r w:rsidR="00F64B67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=</w:t>
      </w:r>
      <w:r w:rsidR="00F64B67"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17).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2433A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Na základe výsledkov farmakokinetických štúdií sa má súčasným fajčiarom odporučiť, aby </w:t>
      </w:r>
      <w:r w:rsidR="00792C05" w:rsidRPr="00044184">
        <w:rPr>
          <w:szCs w:val="22"/>
          <w:lang w:val="sk-SK" w:eastAsia="en-GB"/>
        </w:rPr>
        <w:t>počas užívania erlotinibu nefajčili</w:t>
      </w:r>
      <w:r w:rsidR="00B41980" w:rsidRPr="00044184">
        <w:rPr>
          <w:szCs w:val="22"/>
          <w:lang w:val="sk-SK" w:eastAsia="en-GB"/>
        </w:rPr>
        <w:t>, pretože inak môžu byť jeho plazmatické koncentrácie znížené</w:t>
      </w:r>
      <w:r w:rsidR="00B12D51" w:rsidRPr="00044184">
        <w:rPr>
          <w:szCs w:val="22"/>
          <w:lang w:val="sk-SK" w:eastAsia="en-GB"/>
        </w:rPr>
        <w:t>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34746B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Podľa populačnej farmakokinetickej analýzy </w:t>
      </w:r>
      <w:r w:rsidR="00EE3FB5" w:rsidRPr="00044184">
        <w:rPr>
          <w:szCs w:val="22"/>
          <w:lang w:val="sk-SK" w:eastAsia="en-GB"/>
        </w:rPr>
        <w:t xml:space="preserve">sa zdá, že </w:t>
      </w:r>
      <w:r w:rsidRPr="00044184">
        <w:rPr>
          <w:szCs w:val="22"/>
          <w:lang w:val="sk-SK" w:eastAsia="en-GB"/>
        </w:rPr>
        <w:t>prítomnosť opioidu zv</w:t>
      </w:r>
      <w:r w:rsidR="00EE3FB5" w:rsidRPr="00044184">
        <w:rPr>
          <w:szCs w:val="22"/>
          <w:lang w:val="sk-SK" w:eastAsia="en-GB"/>
        </w:rPr>
        <w:t xml:space="preserve">yšuje </w:t>
      </w:r>
      <w:r w:rsidRPr="00044184">
        <w:rPr>
          <w:szCs w:val="22"/>
          <w:lang w:val="sk-SK" w:eastAsia="en-GB"/>
        </w:rPr>
        <w:t>expozíciu erlotinibu približne o </w:t>
      </w:r>
      <w:r w:rsidR="00B12D51" w:rsidRPr="00044184">
        <w:rPr>
          <w:szCs w:val="22"/>
          <w:lang w:val="sk-SK" w:eastAsia="en-GB"/>
        </w:rPr>
        <w:t>11</w:t>
      </w:r>
      <w:r w:rsidRPr="00044184">
        <w:rPr>
          <w:szCs w:val="22"/>
          <w:lang w:val="sk-SK" w:eastAsia="en-GB"/>
        </w:rPr>
        <w:t> </w:t>
      </w:r>
      <w:r w:rsidR="00B12D51" w:rsidRPr="00044184">
        <w:rPr>
          <w:szCs w:val="22"/>
          <w:lang w:val="sk-SK" w:eastAsia="en-GB"/>
        </w:rPr>
        <w:t>%.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EE3FB5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lastRenderedPageBreak/>
        <w:t>D</w:t>
      </w:r>
      <w:r w:rsidR="001B7AC5" w:rsidRPr="00044184">
        <w:rPr>
          <w:szCs w:val="22"/>
          <w:lang w:val="sk-SK" w:eastAsia="en-GB"/>
        </w:rPr>
        <w:t>ruhá</w:t>
      </w:r>
      <w:r w:rsidR="00D3605F" w:rsidRPr="00044184">
        <w:rPr>
          <w:szCs w:val="22"/>
          <w:lang w:val="sk-SK" w:eastAsia="en-GB"/>
        </w:rPr>
        <w:t xml:space="preserve"> populačná farmakokinetická analýza</w:t>
      </w:r>
      <w:r w:rsidR="00561C6A" w:rsidRPr="00044184">
        <w:rPr>
          <w:szCs w:val="22"/>
          <w:lang w:val="sk-SK" w:eastAsia="en-GB"/>
        </w:rPr>
        <w:t xml:space="preserve"> </w:t>
      </w:r>
      <w:r w:rsidR="00C23E47">
        <w:rPr>
          <w:szCs w:val="22"/>
          <w:lang w:val="sk-SK" w:eastAsia="en-GB"/>
        </w:rPr>
        <w:t>bola vykonaná s využitím</w:t>
      </w:r>
      <w:r w:rsidR="00561C6A" w:rsidRPr="00044184">
        <w:rPr>
          <w:szCs w:val="22"/>
          <w:lang w:val="sk-SK" w:eastAsia="en-GB"/>
        </w:rPr>
        <w:t xml:space="preserve"> </w:t>
      </w:r>
      <w:r w:rsidR="00D3605F" w:rsidRPr="00044184">
        <w:rPr>
          <w:szCs w:val="22"/>
          <w:lang w:val="sk-SK" w:eastAsia="en-GB"/>
        </w:rPr>
        <w:t>údaj</w:t>
      </w:r>
      <w:r w:rsidR="00C23E47">
        <w:rPr>
          <w:szCs w:val="22"/>
          <w:lang w:val="sk-SK" w:eastAsia="en-GB"/>
        </w:rPr>
        <w:t>ov</w:t>
      </w:r>
      <w:r w:rsidR="00D3605F" w:rsidRPr="00044184">
        <w:rPr>
          <w:szCs w:val="22"/>
          <w:lang w:val="sk-SK" w:eastAsia="en-GB"/>
        </w:rPr>
        <w:t xml:space="preserve"> o erlotinibe získan</w:t>
      </w:r>
      <w:r w:rsidR="00C23E47">
        <w:rPr>
          <w:szCs w:val="22"/>
          <w:lang w:val="sk-SK" w:eastAsia="en-GB"/>
        </w:rPr>
        <w:t>ých</w:t>
      </w:r>
      <w:r w:rsidR="00D3605F" w:rsidRPr="00044184">
        <w:rPr>
          <w:szCs w:val="22"/>
          <w:lang w:val="sk-SK" w:eastAsia="en-GB"/>
        </w:rPr>
        <w:t xml:space="preserve"> u 204 pacientov s karcinómom pankreasu</w:t>
      </w:r>
      <w:r w:rsidR="00D36B30" w:rsidRPr="00044184">
        <w:rPr>
          <w:szCs w:val="22"/>
          <w:lang w:val="sk-SK" w:eastAsia="en-GB"/>
        </w:rPr>
        <w:t>, ktorým bol erlotinib podávaný v kombinácii s </w:t>
      </w:r>
      <w:r w:rsidR="00561C6A" w:rsidRPr="00044184">
        <w:rPr>
          <w:szCs w:val="22"/>
          <w:lang w:val="sk-SK" w:eastAsia="en-GB"/>
        </w:rPr>
        <w:t>gemcitabín</w:t>
      </w:r>
      <w:r w:rsidR="00D36B30" w:rsidRPr="00044184">
        <w:rPr>
          <w:szCs w:val="22"/>
          <w:lang w:val="sk-SK" w:eastAsia="en-GB"/>
        </w:rPr>
        <w:t>om</w:t>
      </w:r>
      <w:r w:rsidR="00561C6A" w:rsidRPr="00044184">
        <w:rPr>
          <w:szCs w:val="22"/>
          <w:lang w:val="sk-SK" w:eastAsia="en-GB"/>
        </w:rPr>
        <w:t xml:space="preserve">. </w:t>
      </w:r>
      <w:r w:rsidR="0035066B" w:rsidRPr="00044184">
        <w:rPr>
          <w:szCs w:val="22"/>
          <w:lang w:val="sk-SK" w:eastAsia="en-GB"/>
        </w:rPr>
        <w:t>Táto analýza preukázala, že kovarianty</w:t>
      </w:r>
      <w:r w:rsidR="003428A7" w:rsidRPr="00044184">
        <w:rPr>
          <w:szCs w:val="22"/>
          <w:lang w:val="sk-SK" w:eastAsia="en-GB"/>
        </w:rPr>
        <w:t>, ktoré mali vplyv na</w:t>
      </w:r>
      <w:r w:rsidR="0035066B" w:rsidRPr="00044184">
        <w:rPr>
          <w:szCs w:val="22"/>
          <w:lang w:val="sk-SK" w:eastAsia="en-GB"/>
        </w:rPr>
        <w:t xml:space="preserve"> klírens erlotinibu u pacientov zo štúdie zameranej na karcinóm pankreasu</w:t>
      </w:r>
      <w:r w:rsidR="003428A7" w:rsidRPr="00044184">
        <w:rPr>
          <w:szCs w:val="22"/>
          <w:lang w:val="sk-SK" w:eastAsia="en-GB"/>
        </w:rPr>
        <w:t>,</w:t>
      </w:r>
      <w:r w:rsidR="0035066B" w:rsidRPr="00044184">
        <w:rPr>
          <w:szCs w:val="22"/>
          <w:lang w:val="sk-SK" w:eastAsia="en-GB"/>
        </w:rPr>
        <w:t xml:space="preserve"> boli veľmi podobné </w:t>
      </w:r>
      <w:r w:rsidRPr="00044184">
        <w:rPr>
          <w:szCs w:val="22"/>
          <w:lang w:val="sk-SK" w:eastAsia="en-GB"/>
        </w:rPr>
        <w:t>tým, ktoré boli</w:t>
      </w:r>
      <w:r w:rsidR="0035066B" w:rsidRPr="00044184">
        <w:rPr>
          <w:szCs w:val="22"/>
          <w:lang w:val="sk-SK" w:eastAsia="en-GB"/>
        </w:rPr>
        <w:t xml:space="preserve"> zisten</w:t>
      </w:r>
      <w:r w:rsidRPr="00044184">
        <w:rPr>
          <w:szCs w:val="22"/>
          <w:lang w:val="sk-SK" w:eastAsia="en-GB"/>
        </w:rPr>
        <w:t>é</w:t>
      </w:r>
      <w:r w:rsidR="0035066B" w:rsidRPr="00044184">
        <w:rPr>
          <w:szCs w:val="22"/>
          <w:lang w:val="sk-SK" w:eastAsia="en-GB"/>
        </w:rPr>
        <w:t xml:space="preserve"> v predchádzajúcej farmakokinetickej analýze o erlotinibe v monoterapii</w:t>
      </w:r>
      <w:r w:rsidR="00B12D51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Neboli identifikované žiadne nové účinky týchto kovariantov.</w:t>
      </w:r>
      <w:r w:rsidR="00B12D51" w:rsidRPr="00044184">
        <w:rPr>
          <w:szCs w:val="22"/>
          <w:lang w:val="sk-SK" w:eastAsia="en-GB"/>
        </w:rPr>
        <w:t xml:space="preserve"> </w:t>
      </w:r>
      <w:r w:rsidR="00DC1A05" w:rsidRPr="00044184">
        <w:rPr>
          <w:szCs w:val="22"/>
          <w:lang w:val="sk-SK" w:eastAsia="en-GB"/>
        </w:rPr>
        <w:t xml:space="preserve">Súbežné podávanie </w:t>
      </w:r>
      <w:r w:rsidR="00B12D51" w:rsidRPr="00044184">
        <w:rPr>
          <w:szCs w:val="22"/>
          <w:lang w:val="sk-SK" w:eastAsia="en-GB"/>
        </w:rPr>
        <w:t>gemcitab</w:t>
      </w:r>
      <w:r w:rsidR="00DC1A05" w:rsidRPr="00044184">
        <w:rPr>
          <w:szCs w:val="22"/>
          <w:lang w:val="sk-SK" w:eastAsia="en-GB"/>
        </w:rPr>
        <w:t xml:space="preserve">ínu nemalo žiadny vplyv na plazmatický klírens </w:t>
      </w:r>
      <w:r w:rsidR="00B12D51" w:rsidRPr="00044184">
        <w:rPr>
          <w:szCs w:val="22"/>
          <w:lang w:val="sk-SK" w:eastAsia="en-GB"/>
        </w:rPr>
        <w:t>erlotinib</w:t>
      </w:r>
      <w:r w:rsidR="00DC1A05" w:rsidRPr="00044184">
        <w:rPr>
          <w:szCs w:val="22"/>
          <w:lang w:val="sk-SK" w:eastAsia="en-GB"/>
        </w:rPr>
        <w:t>u</w:t>
      </w:r>
      <w:r w:rsidR="00B12D51" w:rsidRPr="00044184">
        <w:rPr>
          <w:szCs w:val="22"/>
          <w:lang w:val="sk-SK" w:eastAsia="en-GB"/>
        </w:rPr>
        <w:t>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B12D51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Pediatric</w:t>
      </w:r>
      <w:r w:rsidR="008D0D1C" w:rsidRPr="00044184">
        <w:rPr>
          <w:szCs w:val="22"/>
          <w:u w:val="single"/>
          <w:lang w:val="sk-SK" w:eastAsia="en-GB"/>
        </w:rPr>
        <w:t xml:space="preserve">ká </w:t>
      </w:r>
      <w:r w:rsidRPr="00044184">
        <w:rPr>
          <w:szCs w:val="22"/>
          <w:u w:val="single"/>
          <w:lang w:val="sk-SK" w:eastAsia="en-GB"/>
        </w:rPr>
        <w:t>popul</w:t>
      </w:r>
      <w:r w:rsidR="008D0D1C" w:rsidRPr="00044184">
        <w:rPr>
          <w:szCs w:val="22"/>
          <w:u w:val="single"/>
          <w:lang w:val="sk-SK" w:eastAsia="en-GB"/>
        </w:rPr>
        <w:t>ácia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81699A" w:rsidRPr="00044184">
        <w:rPr>
          <w:szCs w:val="22"/>
          <w:lang w:val="sk-SK" w:eastAsia="en-GB"/>
        </w:rPr>
        <w:t>Neuskutočnili sa žiadne špecifické štúdie u pediatrických pacientov</w:t>
      </w:r>
      <w:r w:rsidRPr="00044184">
        <w:rPr>
          <w:szCs w:val="22"/>
          <w:lang w:val="sk-SK" w:eastAsia="en-GB"/>
        </w:rPr>
        <w:t>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2D51" w:rsidRPr="00044184" w:rsidRDefault="001E0F06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Populácia starších osôb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81699A" w:rsidRPr="00044184">
        <w:rPr>
          <w:szCs w:val="22"/>
          <w:lang w:val="sk-SK" w:eastAsia="en-GB"/>
        </w:rPr>
        <w:t>Neuskutočnili sa žiadne špecifické štúdie u starších pacientov</w:t>
      </w:r>
      <w:r w:rsidR="00B12D51" w:rsidRPr="00044184">
        <w:rPr>
          <w:szCs w:val="22"/>
          <w:lang w:val="sk-SK" w:eastAsia="en-GB"/>
        </w:rPr>
        <w:t>.</w:t>
      </w:r>
    </w:p>
    <w:p w:rsidR="00B12D51" w:rsidRPr="00044184" w:rsidRDefault="00B12D51" w:rsidP="00695459">
      <w:pPr>
        <w:spacing w:line="240" w:lineRule="auto"/>
        <w:ind w:left="567" w:hanging="567"/>
        <w:rPr>
          <w:szCs w:val="22"/>
          <w:lang w:val="sk-SK"/>
        </w:rPr>
      </w:pPr>
    </w:p>
    <w:p w:rsidR="0004165F" w:rsidRPr="00044184" w:rsidRDefault="0081699A" w:rsidP="00695459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u w:val="single"/>
          <w:lang w:val="sk-SK" w:eastAsia="en-GB"/>
        </w:rPr>
        <w:t>Porucha funkcie pečene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04165F" w:rsidRPr="00044184">
        <w:rPr>
          <w:szCs w:val="22"/>
          <w:lang w:val="sk-SK" w:eastAsia="en-GB"/>
        </w:rPr>
        <w:t xml:space="preserve">Erlotinib </w:t>
      </w:r>
      <w:r w:rsidRPr="00044184">
        <w:rPr>
          <w:szCs w:val="22"/>
          <w:lang w:val="sk-SK" w:eastAsia="en-GB"/>
        </w:rPr>
        <w:t>sa vylu</w:t>
      </w:r>
      <w:r w:rsidR="002A4DE7" w:rsidRPr="00044184">
        <w:rPr>
          <w:szCs w:val="22"/>
          <w:lang w:val="sk-SK" w:eastAsia="en-GB"/>
        </w:rPr>
        <w:t>č</w:t>
      </w:r>
      <w:r w:rsidRPr="00044184">
        <w:rPr>
          <w:szCs w:val="22"/>
          <w:lang w:val="sk-SK" w:eastAsia="en-GB"/>
        </w:rPr>
        <w:t>uje hlavne pečeňou</w:t>
      </w:r>
      <w:r w:rsidR="0004165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U</w:t>
      </w:r>
      <w:r w:rsidR="004D4074" w:rsidRPr="00044184">
        <w:rPr>
          <w:szCs w:val="22"/>
          <w:lang w:val="sk-SK" w:eastAsia="en-GB"/>
        </w:rPr>
        <w:t> pacientov so solídnymi nádormi a so stredne ťažkou poruchou funkcie pečene (skóre 7 </w:t>
      </w:r>
      <w:r w:rsidR="006443DD" w:rsidRPr="00044184">
        <w:rPr>
          <w:szCs w:val="22"/>
          <w:lang w:val="sk-SK" w:eastAsia="en-GB"/>
        </w:rPr>
        <w:t>–</w:t>
      </w:r>
      <w:r w:rsidR="004D4074" w:rsidRPr="00044184">
        <w:rPr>
          <w:szCs w:val="22"/>
          <w:lang w:val="sk-SK" w:eastAsia="en-GB"/>
        </w:rPr>
        <w:t> 9 podľa Childovej</w:t>
      </w:r>
      <w:r w:rsidR="004D4074" w:rsidRPr="00044184">
        <w:rPr>
          <w:szCs w:val="22"/>
          <w:lang w:val="sk-SK" w:eastAsia="en-GB"/>
        </w:rPr>
        <w:noBreakHyphen/>
        <w:t>Pughovej klasifikácie</w:t>
      </w:r>
      <w:r w:rsidR="0004165F" w:rsidRPr="00044184">
        <w:rPr>
          <w:szCs w:val="22"/>
          <w:lang w:val="sk-SK" w:eastAsia="en-GB"/>
        </w:rPr>
        <w:t>)</w:t>
      </w:r>
      <w:r w:rsidR="004D4074" w:rsidRPr="00044184">
        <w:rPr>
          <w:szCs w:val="22"/>
          <w:lang w:val="sk-SK" w:eastAsia="en-GB"/>
        </w:rPr>
        <w:t xml:space="preserve"> bol geometrický priemer hodnôt </w:t>
      </w:r>
      <w:r w:rsidR="0004165F" w:rsidRPr="00044184">
        <w:rPr>
          <w:szCs w:val="22"/>
          <w:lang w:val="sk-SK" w:eastAsia="en-GB"/>
        </w:rPr>
        <w:t>AUC</w:t>
      </w:r>
      <w:r w:rsidR="0004165F" w:rsidRPr="00044184">
        <w:rPr>
          <w:szCs w:val="22"/>
          <w:vertAlign w:val="subscript"/>
          <w:lang w:val="sk-SK" w:eastAsia="en-GB"/>
        </w:rPr>
        <w:t xml:space="preserve">0-t </w:t>
      </w:r>
      <w:r w:rsidR="004D4074" w:rsidRPr="00044184">
        <w:rPr>
          <w:szCs w:val="22"/>
          <w:lang w:val="sk-SK" w:eastAsia="en-GB"/>
        </w:rPr>
        <w:t xml:space="preserve">erlotinibu 27 000 ng•h/ml </w:t>
      </w:r>
      <w:r w:rsidR="0004165F" w:rsidRPr="00044184">
        <w:rPr>
          <w:szCs w:val="22"/>
          <w:lang w:val="sk-SK" w:eastAsia="en-GB"/>
        </w:rPr>
        <w:t>a</w:t>
      </w:r>
      <w:r w:rsidR="004D4074" w:rsidRPr="00044184">
        <w:rPr>
          <w:szCs w:val="22"/>
          <w:lang w:val="sk-SK" w:eastAsia="en-GB"/>
        </w:rPr>
        <w:t xml:space="preserve"> geometrický priemer hodnôt </w:t>
      </w:r>
      <w:r w:rsidR="0004165F" w:rsidRPr="00044184">
        <w:rPr>
          <w:szCs w:val="22"/>
          <w:lang w:val="sk-SK" w:eastAsia="en-GB"/>
        </w:rPr>
        <w:t>C</w:t>
      </w:r>
      <w:r w:rsidR="0004165F" w:rsidRPr="00044184">
        <w:rPr>
          <w:szCs w:val="22"/>
          <w:vertAlign w:val="subscript"/>
          <w:lang w:val="sk-SK" w:eastAsia="en-GB"/>
        </w:rPr>
        <w:t>max</w:t>
      </w:r>
      <w:r w:rsidR="0004165F" w:rsidRPr="00044184">
        <w:rPr>
          <w:szCs w:val="22"/>
          <w:lang w:val="sk-SK" w:eastAsia="en-GB"/>
        </w:rPr>
        <w:t xml:space="preserve"> </w:t>
      </w:r>
      <w:r w:rsidR="002A4DE7" w:rsidRPr="00044184">
        <w:rPr>
          <w:szCs w:val="22"/>
          <w:lang w:val="sk-SK" w:eastAsia="en-GB"/>
        </w:rPr>
        <w:t>erlotinibu b</w:t>
      </w:r>
      <w:r w:rsidR="004D4074" w:rsidRPr="00044184">
        <w:rPr>
          <w:szCs w:val="22"/>
          <w:lang w:val="sk-SK" w:eastAsia="en-GB"/>
        </w:rPr>
        <w:t>ol</w:t>
      </w:r>
      <w:r w:rsidR="0004165F" w:rsidRPr="00044184">
        <w:rPr>
          <w:szCs w:val="22"/>
          <w:lang w:val="sk-SK" w:eastAsia="en-GB"/>
        </w:rPr>
        <w:t xml:space="preserve"> 805</w:t>
      </w:r>
      <w:r w:rsidR="004D4074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ng/m</w:t>
      </w:r>
      <w:r w:rsidR="004D4074" w:rsidRPr="00044184">
        <w:rPr>
          <w:szCs w:val="22"/>
          <w:lang w:val="sk-SK" w:eastAsia="en-GB"/>
        </w:rPr>
        <w:t>l</w:t>
      </w:r>
      <w:r w:rsidR="002A4DE7" w:rsidRPr="00044184">
        <w:rPr>
          <w:szCs w:val="22"/>
          <w:lang w:val="sk-SK" w:eastAsia="en-GB"/>
        </w:rPr>
        <w:t xml:space="preserve"> v porovnaní s </w:t>
      </w:r>
      <w:r w:rsidR="0004165F" w:rsidRPr="00044184">
        <w:rPr>
          <w:szCs w:val="22"/>
          <w:lang w:val="sk-SK" w:eastAsia="en-GB"/>
        </w:rPr>
        <w:t>29</w:t>
      </w:r>
      <w:r w:rsidR="002A4DE7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300</w:t>
      </w:r>
      <w:r w:rsidR="002A4DE7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ng•h/m</w:t>
      </w:r>
      <w:r w:rsidR="002A4DE7" w:rsidRPr="00044184">
        <w:rPr>
          <w:szCs w:val="22"/>
          <w:lang w:val="sk-SK" w:eastAsia="en-GB"/>
        </w:rPr>
        <w:t>l</w:t>
      </w:r>
      <w:r w:rsidR="0004165F" w:rsidRPr="00044184">
        <w:rPr>
          <w:szCs w:val="22"/>
          <w:lang w:val="sk-SK" w:eastAsia="en-GB"/>
        </w:rPr>
        <w:t xml:space="preserve"> a</w:t>
      </w:r>
      <w:r w:rsidR="002A4DE7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1</w:t>
      </w:r>
      <w:r w:rsidR="002A4DE7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090</w:t>
      </w:r>
      <w:r w:rsidR="002A4DE7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ng/m</w:t>
      </w:r>
      <w:r w:rsidR="002A4DE7" w:rsidRPr="00044184">
        <w:rPr>
          <w:szCs w:val="22"/>
          <w:lang w:val="sk-SK" w:eastAsia="en-GB"/>
        </w:rPr>
        <w:t>l,</w:t>
      </w:r>
      <w:r w:rsidR="0004165F" w:rsidRPr="00044184">
        <w:rPr>
          <w:szCs w:val="22"/>
          <w:lang w:val="sk-SK" w:eastAsia="en-GB"/>
        </w:rPr>
        <w:t xml:space="preserve"> </w:t>
      </w:r>
      <w:r w:rsidR="002A4DE7" w:rsidRPr="00044184">
        <w:rPr>
          <w:szCs w:val="22"/>
          <w:lang w:val="sk-SK" w:eastAsia="en-GB"/>
        </w:rPr>
        <w:t>v uvedenom poradí, u pacientov s adekvátnou funkciou pečene</w:t>
      </w:r>
      <w:r w:rsidR="006443DD" w:rsidRPr="00044184">
        <w:rPr>
          <w:szCs w:val="22"/>
          <w:lang w:val="sk-SK" w:eastAsia="en-GB"/>
        </w:rPr>
        <w:t>,</w:t>
      </w:r>
      <w:r w:rsidR="002A4DE7" w:rsidRPr="00044184">
        <w:rPr>
          <w:szCs w:val="22"/>
          <w:lang w:val="sk-SK" w:eastAsia="en-GB"/>
        </w:rPr>
        <w:t xml:space="preserve"> vrátane pacientov s primárnym karcinómom pečene alebo </w:t>
      </w:r>
      <w:r w:rsidR="00AB24F8" w:rsidRPr="00044184">
        <w:rPr>
          <w:szCs w:val="22"/>
          <w:lang w:val="sk-SK" w:eastAsia="en-GB"/>
        </w:rPr>
        <w:t>s </w:t>
      </w:r>
      <w:r w:rsidR="002A4DE7" w:rsidRPr="00044184">
        <w:rPr>
          <w:szCs w:val="22"/>
          <w:lang w:val="sk-SK" w:eastAsia="en-GB"/>
        </w:rPr>
        <w:t>pečeňovými metastázami</w:t>
      </w:r>
      <w:r w:rsidR="0004165F" w:rsidRPr="00044184">
        <w:rPr>
          <w:szCs w:val="22"/>
          <w:lang w:val="sk-SK" w:eastAsia="en-GB"/>
        </w:rPr>
        <w:t xml:space="preserve">. </w:t>
      </w:r>
      <w:r w:rsidR="0021335F" w:rsidRPr="00044184">
        <w:rPr>
          <w:szCs w:val="22"/>
          <w:lang w:val="sk-SK" w:eastAsia="en-GB"/>
        </w:rPr>
        <w:t xml:space="preserve">I keď bola </w:t>
      </w:r>
      <w:r w:rsidR="0004165F" w:rsidRPr="00044184">
        <w:rPr>
          <w:szCs w:val="22"/>
          <w:lang w:val="sk-SK" w:eastAsia="en-GB"/>
        </w:rPr>
        <w:t>C</w:t>
      </w:r>
      <w:r w:rsidR="0004165F" w:rsidRPr="00044184">
        <w:rPr>
          <w:szCs w:val="22"/>
          <w:vertAlign w:val="subscript"/>
          <w:lang w:val="sk-SK" w:eastAsia="en-GB"/>
        </w:rPr>
        <w:t>max</w:t>
      </w:r>
      <w:r w:rsidR="0004165F" w:rsidRPr="00044184">
        <w:rPr>
          <w:szCs w:val="22"/>
          <w:lang w:val="sk-SK" w:eastAsia="en-GB"/>
        </w:rPr>
        <w:t xml:space="preserve"> </w:t>
      </w:r>
      <w:r w:rsidR="0021335F" w:rsidRPr="00044184">
        <w:rPr>
          <w:szCs w:val="22"/>
          <w:lang w:val="sk-SK" w:eastAsia="en-GB"/>
        </w:rPr>
        <w:t>u pacientov so stredne ťažkou poruchou funkcie pečene štatisticky významne nižšia, zistený rozdiel sa nepovažuje za klinicky významný</w:t>
      </w:r>
      <w:r w:rsidR="0004165F" w:rsidRPr="00044184">
        <w:rPr>
          <w:szCs w:val="22"/>
          <w:lang w:val="sk-SK" w:eastAsia="en-GB"/>
        </w:rPr>
        <w:t>.</w:t>
      </w:r>
      <w:r w:rsidR="0021335F" w:rsidRPr="00044184">
        <w:rPr>
          <w:szCs w:val="22"/>
          <w:lang w:val="sk-SK" w:eastAsia="en-GB"/>
        </w:rPr>
        <w:t xml:space="preserve"> K dispozícii nie sú žiadne údaje týkajúce sa vplyvu ťažkej poruchy funkcie pečene na farmakokinetiku </w:t>
      </w:r>
      <w:r w:rsidR="0004165F" w:rsidRPr="00044184">
        <w:rPr>
          <w:szCs w:val="22"/>
          <w:lang w:val="sk-SK" w:eastAsia="en-GB"/>
        </w:rPr>
        <w:t>erlotinib</w:t>
      </w:r>
      <w:r w:rsidR="0021335F" w:rsidRPr="00044184">
        <w:rPr>
          <w:szCs w:val="22"/>
          <w:lang w:val="sk-SK" w:eastAsia="en-GB"/>
        </w:rPr>
        <w:t>u</w:t>
      </w:r>
      <w:r w:rsidR="0004165F" w:rsidRPr="00044184">
        <w:rPr>
          <w:szCs w:val="22"/>
          <w:lang w:val="sk-SK" w:eastAsia="en-GB"/>
        </w:rPr>
        <w:t xml:space="preserve">. </w:t>
      </w:r>
      <w:bookmarkStart w:id="3" w:name="OLE_LINK3"/>
      <w:bookmarkStart w:id="4" w:name="OLE_LINK4"/>
      <w:r w:rsidR="0021335F" w:rsidRPr="00044184">
        <w:rPr>
          <w:szCs w:val="22"/>
          <w:lang w:val="sk-SK" w:eastAsia="en-GB"/>
        </w:rPr>
        <w:t xml:space="preserve">V populačnej farmakokinetickej analýze </w:t>
      </w:r>
      <w:bookmarkEnd w:id="3"/>
      <w:bookmarkEnd w:id="4"/>
      <w:r w:rsidR="0021335F" w:rsidRPr="00044184">
        <w:rPr>
          <w:szCs w:val="22"/>
          <w:lang w:val="sk-SK" w:eastAsia="en-GB"/>
        </w:rPr>
        <w:t>sa zvýšené koncentrácie celkového bilirubínu v sére dávali do súvislosti s</w:t>
      </w:r>
      <w:r w:rsidR="00696A39" w:rsidRPr="00044184">
        <w:rPr>
          <w:szCs w:val="22"/>
          <w:lang w:val="sk-SK" w:eastAsia="en-GB"/>
        </w:rPr>
        <w:t>o</w:t>
      </w:r>
      <w:r w:rsidR="006443DD" w:rsidRPr="00044184">
        <w:rPr>
          <w:szCs w:val="22"/>
          <w:lang w:val="sk-SK" w:eastAsia="en-GB"/>
        </w:rPr>
        <w:t> </w:t>
      </w:r>
      <w:r w:rsidR="00696A39" w:rsidRPr="00044184">
        <w:rPr>
          <w:szCs w:val="22"/>
          <w:lang w:val="sk-SK" w:eastAsia="en-GB"/>
        </w:rPr>
        <w:t>zníženou</w:t>
      </w:r>
      <w:r w:rsidR="0021335F" w:rsidRPr="00044184">
        <w:rPr>
          <w:szCs w:val="22"/>
          <w:lang w:val="sk-SK" w:eastAsia="en-GB"/>
        </w:rPr>
        <w:t xml:space="preserve"> rýchlosťou klírensu erlotinibu.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4165F" w:rsidRPr="00044184" w:rsidRDefault="002133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4184">
        <w:rPr>
          <w:szCs w:val="22"/>
          <w:u w:val="single"/>
          <w:lang w:val="sk-SK" w:eastAsia="en-GB"/>
        </w:rPr>
        <w:t>Porucha funkcie obličiek</w:t>
      </w:r>
      <w:r w:rsidR="00816E6C" w:rsidRPr="00044184">
        <w:rPr>
          <w:szCs w:val="22"/>
          <w:u w:val="single"/>
          <w:lang w:val="sk-SK" w:eastAsia="en-GB"/>
        </w:rPr>
        <w:t xml:space="preserve">: </w:t>
      </w:r>
      <w:r w:rsidR="0004165F" w:rsidRPr="00044184">
        <w:rPr>
          <w:szCs w:val="22"/>
          <w:lang w:val="sk-SK" w:eastAsia="en-GB"/>
        </w:rPr>
        <w:t>Erlotinib a</w:t>
      </w:r>
      <w:r w:rsidRPr="00044184">
        <w:rPr>
          <w:szCs w:val="22"/>
          <w:lang w:val="sk-SK" w:eastAsia="en-GB"/>
        </w:rPr>
        <w:t> jeho metabolity sa vo významnej miere nevylučujú obličkami, keďže močom sa vylučuje menej ako 9 % jednorazovej dávky</w:t>
      </w:r>
      <w:r w:rsidR="0004165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populačnej farmakokinetickej analýze sa nezistila klinicky významná súvislosť medzi klírensom e</w:t>
      </w:r>
      <w:r w:rsidR="0004165F" w:rsidRPr="00044184">
        <w:rPr>
          <w:szCs w:val="22"/>
          <w:lang w:val="sk-SK" w:eastAsia="en-GB"/>
        </w:rPr>
        <w:t>rlotinib</w:t>
      </w:r>
      <w:r w:rsidR="00A9765F" w:rsidRPr="00044184">
        <w:rPr>
          <w:szCs w:val="22"/>
          <w:lang w:val="sk-SK" w:eastAsia="en-GB"/>
        </w:rPr>
        <w:t>u</w:t>
      </w:r>
      <w:r w:rsidRPr="00044184">
        <w:rPr>
          <w:szCs w:val="22"/>
          <w:lang w:val="sk-SK" w:eastAsia="en-GB"/>
        </w:rPr>
        <w:t xml:space="preserve"> a klírensom kreatinínu, ale </w:t>
      </w:r>
      <w:r w:rsidR="00DD1094" w:rsidRPr="00044184">
        <w:rPr>
          <w:szCs w:val="22"/>
          <w:lang w:val="sk-SK" w:eastAsia="en-GB"/>
        </w:rPr>
        <w:t xml:space="preserve">nie sú </w:t>
      </w:r>
      <w:r w:rsidRPr="00044184">
        <w:rPr>
          <w:szCs w:val="22"/>
          <w:lang w:val="sk-SK" w:eastAsia="en-GB"/>
        </w:rPr>
        <w:t xml:space="preserve">k dispozícii žiadne údaje </w:t>
      </w:r>
      <w:r w:rsidR="00AB24F8" w:rsidRPr="00044184">
        <w:rPr>
          <w:szCs w:val="22"/>
          <w:lang w:val="sk-SK" w:eastAsia="en-GB"/>
        </w:rPr>
        <w:t xml:space="preserve">týkajúce sa </w:t>
      </w:r>
      <w:r w:rsidRPr="00044184">
        <w:rPr>
          <w:szCs w:val="22"/>
          <w:lang w:val="sk-SK" w:eastAsia="en-GB"/>
        </w:rPr>
        <w:t>pacientov s klírensom kreatinínu </w:t>
      </w:r>
      <w:r w:rsidR="0004165F" w:rsidRPr="00044184">
        <w:rPr>
          <w:szCs w:val="22"/>
          <w:lang w:val="sk-SK" w:eastAsia="en-GB"/>
        </w:rPr>
        <w:t>&lt;</w:t>
      </w:r>
      <w:r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15</w:t>
      </w:r>
      <w:r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ml/min.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5.3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Predklinické údaje o bezpečnosti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04165F" w:rsidRPr="00044184" w:rsidRDefault="00D47202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Nežiaduce účinky dlhodobého podávania zistené aspoň u jedného živočíšneho druhu </w:t>
      </w:r>
      <w:r w:rsidR="009604FD" w:rsidRPr="00044184">
        <w:rPr>
          <w:szCs w:val="22"/>
          <w:lang w:val="sk-SK" w:eastAsia="en-GB"/>
        </w:rPr>
        <w:t xml:space="preserve">alebo aspoň v jednej štúdii </w:t>
      </w:r>
      <w:r w:rsidRPr="00044184">
        <w:rPr>
          <w:szCs w:val="22"/>
          <w:lang w:val="sk-SK" w:eastAsia="en-GB"/>
        </w:rPr>
        <w:t xml:space="preserve">zahŕňali nežiaduce účinky postihujúce rohovku </w:t>
      </w:r>
      <w:r w:rsidR="0004165F" w:rsidRPr="00044184">
        <w:rPr>
          <w:szCs w:val="22"/>
          <w:lang w:val="sk-SK" w:eastAsia="en-GB"/>
        </w:rPr>
        <w:t>(atro</w:t>
      </w:r>
      <w:r w:rsidRPr="00044184">
        <w:rPr>
          <w:szCs w:val="22"/>
          <w:lang w:val="sk-SK" w:eastAsia="en-GB"/>
        </w:rPr>
        <w:t>fia, ulcerácia</w:t>
      </w:r>
      <w:r w:rsidR="0004165F" w:rsidRPr="00044184">
        <w:rPr>
          <w:szCs w:val="22"/>
          <w:lang w:val="sk-SK" w:eastAsia="en-GB"/>
        </w:rPr>
        <w:t xml:space="preserve">), </w:t>
      </w:r>
      <w:r w:rsidRPr="00044184">
        <w:rPr>
          <w:szCs w:val="22"/>
          <w:lang w:val="sk-SK" w:eastAsia="en-GB"/>
        </w:rPr>
        <w:t>kožu</w:t>
      </w:r>
      <w:r w:rsidR="0004165F" w:rsidRPr="00044184">
        <w:rPr>
          <w:szCs w:val="22"/>
          <w:lang w:val="sk-SK" w:eastAsia="en-GB"/>
        </w:rPr>
        <w:t xml:space="preserve"> (</w:t>
      </w:r>
      <w:r w:rsidRPr="00044184">
        <w:rPr>
          <w:szCs w:val="22"/>
          <w:lang w:val="sk-SK" w:eastAsia="en-GB"/>
        </w:rPr>
        <w:t>degenerácia a zápal folikulov</w:t>
      </w:r>
      <w:r w:rsidR="0004165F" w:rsidRPr="00044184">
        <w:rPr>
          <w:szCs w:val="22"/>
          <w:lang w:val="sk-SK" w:eastAsia="en-GB"/>
        </w:rPr>
        <w:t xml:space="preserve">, </w:t>
      </w:r>
      <w:r w:rsidR="00C52C29" w:rsidRPr="00044184">
        <w:rPr>
          <w:szCs w:val="22"/>
          <w:lang w:val="sk-SK" w:eastAsia="en-GB"/>
        </w:rPr>
        <w:t>začervenanie a alopécia</w:t>
      </w:r>
      <w:r w:rsidR="0004165F" w:rsidRPr="00044184">
        <w:rPr>
          <w:szCs w:val="22"/>
          <w:lang w:val="sk-SK" w:eastAsia="en-GB"/>
        </w:rPr>
        <w:t xml:space="preserve">), </w:t>
      </w:r>
      <w:r w:rsidR="00C52C29" w:rsidRPr="00044184">
        <w:rPr>
          <w:szCs w:val="22"/>
          <w:lang w:val="sk-SK" w:eastAsia="en-GB"/>
        </w:rPr>
        <w:t>vaječníky</w:t>
      </w:r>
      <w:r w:rsidR="00320D77" w:rsidRPr="00044184">
        <w:rPr>
          <w:szCs w:val="22"/>
          <w:lang w:val="sk-SK" w:eastAsia="en-GB"/>
        </w:rPr>
        <w:t xml:space="preserve"> </w:t>
      </w:r>
      <w:r w:rsidR="0004165F" w:rsidRPr="00044184">
        <w:rPr>
          <w:szCs w:val="22"/>
          <w:lang w:val="sk-SK" w:eastAsia="en-GB"/>
        </w:rPr>
        <w:t>(atro</w:t>
      </w:r>
      <w:r w:rsidR="00C52C29" w:rsidRPr="00044184">
        <w:rPr>
          <w:szCs w:val="22"/>
          <w:lang w:val="sk-SK" w:eastAsia="en-GB"/>
        </w:rPr>
        <w:t>fia</w:t>
      </w:r>
      <w:r w:rsidR="0004165F" w:rsidRPr="00044184">
        <w:rPr>
          <w:szCs w:val="22"/>
          <w:lang w:val="sk-SK" w:eastAsia="en-GB"/>
        </w:rPr>
        <w:t xml:space="preserve">), </w:t>
      </w:r>
      <w:r w:rsidR="00C52C29" w:rsidRPr="00044184">
        <w:rPr>
          <w:szCs w:val="22"/>
          <w:lang w:val="sk-SK" w:eastAsia="en-GB"/>
        </w:rPr>
        <w:t>pečeň</w:t>
      </w:r>
      <w:r w:rsidR="0004165F" w:rsidRPr="00044184">
        <w:rPr>
          <w:szCs w:val="22"/>
          <w:lang w:val="sk-SK" w:eastAsia="en-GB"/>
        </w:rPr>
        <w:t xml:space="preserve"> (</w:t>
      </w:r>
      <w:r w:rsidR="00C52C29" w:rsidRPr="00044184">
        <w:rPr>
          <w:szCs w:val="22"/>
          <w:lang w:val="sk-SK" w:eastAsia="en-GB"/>
        </w:rPr>
        <w:t>nekróza pečene</w:t>
      </w:r>
      <w:r w:rsidR="0004165F" w:rsidRPr="00044184">
        <w:rPr>
          <w:szCs w:val="22"/>
          <w:lang w:val="sk-SK" w:eastAsia="en-GB"/>
        </w:rPr>
        <w:t xml:space="preserve">), </w:t>
      </w:r>
      <w:r w:rsidR="00C52C29" w:rsidRPr="00044184">
        <w:rPr>
          <w:szCs w:val="22"/>
          <w:lang w:val="sk-SK" w:eastAsia="en-GB"/>
        </w:rPr>
        <w:t>obličky</w:t>
      </w:r>
      <w:r w:rsidR="0004165F" w:rsidRPr="00044184">
        <w:rPr>
          <w:szCs w:val="22"/>
          <w:lang w:val="sk-SK" w:eastAsia="en-GB"/>
        </w:rPr>
        <w:t xml:space="preserve"> (</w:t>
      </w:r>
      <w:r w:rsidR="00C52C29" w:rsidRPr="00044184">
        <w:rPr>
          <w:szCs w:val="22"/>
          <w:lang w:val="sk-SK" w:eastAsia="en-GB"/>
        </w:rPr>
        <w:t>nekróza obličkový</w:t>
      </w:r>
      <w:r w:rsidR="00773F4F" w:rsidRPr="00044184">
        <w:rPr>
          <w:szCs w:val="22"/>
          <w:lang w:val="sk-SK" w:eastAsia="en-GB"/>
        </w:rPr>
        <w:t>ch</w:t>
      </w:r>
      <w:r w:rsidR="00C52C29" w:rsidRPr="00044184">
        <w:rPr>
          <w:szCs w:val="22"/>
          <w:lang w:val="sk-SK" w:eastAsia="en-GB"/>
        </w:rPr>
        <w:t xml:space="preserve"> papíl a dilatácia obličkových kanálikov</w:t>
      </w:r>
      <w:r w:rsidR="0004165F" w:rsidRPr="00044184">
        <w:rPr>
          <w:szCs w:val="22"/>
          <w:lang w:val="sk-SK" w:eastAsia="en-GB"/>
        </w:rPr>
        <w:t>) a</w:t>
      </w:r>
      <w:r w:rsidR="00C52C29" w:rsidRPr="00044184">
        <w:rPr>
          <w:szCs w:val="22"/>
          <w:lang w:val="sk-SK" w:eastAsia="en-GB"/>
        </w:rPr>
        <w:t> </w:t>
      </w:r>
      <w:r w:rsidR="0004165F" w:rsidRPr="00044184">
        <w:rPr>
          <w:szCs w:val="22"/>
          <w:lang w:val="sk-SK" w:eastAsia="en-GB"/>
        </w:rPr>
        <w:t>gastrointestin</w:t>
      </w:r>
      <w:r w:rsidR="00C52C29" w:rsidRPr="00044184">
        <w:rPr>
          <w:szCs w:val="22"/>
          <w:lang w:val="sk-SK" w:eastAsia="en-GB"/>
        </w:rPr>
        <w:t>álny trakt</w:t>
      </w:r>
      <w:r w:rsidR="0004165F" w:rsidRPr="00044184">
        <w:rPr>
          <w:szCs w:val="22"/>
          <w:lang w:val="sk-SK" w:eastAsia="en-GB"/>
        </w:rPr>
        <w:t xml:space="preserve"> (</w:t>
      </w:r>
      <w:r w:rsidR="00C52C29" w:rsidRPr="00044184">
        <w:rPr>
          <w:szCs w:val="22"/>
          <w:lang w:val="sk-SK" w:eastAsia="en-GB"/>
        </w:rPr>
        <w:t>spomalené vyprázdňovanie žalúdka a hnačka</w:t>
      </w:r>
      <w:r w:rsidR="0004165F" w:rsidRPr="00044184">
        <w:rPr>
          <w:szCs w:val="22"/>
          <w:lang w:val="sk-SK" w:eastAsia="en-GB"/>
        </w:rPr>
        <w:t xml:space="preserve">). </w:t>
      </w:r>
      <w:r w:rsidR="00CB506C" w:rsidRPr="00044184">
        <w:rPr>
          <w:szCs w:val="22"/>
          <w:lang w:val="sk-SK" w:eastAsia="en-GB"/>
        </w:rPr>
        <w:t>Parametre červených krviniek boli znížené a počet bielych krviniek, hlavne neutrofilov, bol zvýšený</w:t>
      </w:r>
      <w:r w:rsidR="0004165F" w:rsidRPr="00044184">
        <w:rPr>
          <w:szCs w:val="22"/>
          <w:lang w:val="sk-SK" w:eastAsia="en-GB"/>
        </w:rPr>
        <w:t xml:space="preserve">. </w:t>
      </w:r>
      <w:r w:rsidR="00CB506C" w:rsidRPr="00044184">
        <w:rPr>
          <w:szCs w:val="22"/>
          <w:lang w:val="sk-SK" w:eastAsia="en-GB"/>
        </w:rPr>
        <w:t>Z</w:t>
      </w:r>
      <w:r w:rsidR="00C52C29" w:rsidRPr="00044184">
        <w:rPr>
          <w:szCs w:val="22"/>
          <w:lang w:val="sk-SK" w:eastAsia="en-GB"/>
        </w:rPr>
        <w:t>istilo</w:t>
      </w:r>
      <w:r w:rsidR="00CB506C" w:rsidRPr="00044184">
        <w:rPr>
          <w:szCs w:val="22"/>
          <w:lang w:val="sk-SK" w:eastAsia="en-GB"/>
        </w:rPr>
        <w:t xml:space="preserve"> sa zvýšenie hladín ALT, AST a</w:t>
      </w:r>
      <w:r w:rsidR="006560FD" w:rsidRPr="00044184">
        <w:rPr>
          <w:szCs w:val="22"/>
          <w:lang w:val="sk-SK" w:eastAsia="en-GB"/>
        </w:rPr>
        <w:t> </w:t>
      </w:r>
      <w:r w:rsidR="00CB506C" w:rsidRPr="00044184">
        <w:rPr>
          <w:szCs w:val="22"/>
          <w:lang w:val="sk-SK" w:eastAsia="en-GB"/>
        </w:rPr>
        <w:t>bilirubínu</w:t>
      </w:r>
      <w:r w:rsidR="006560FD" w:rsidRPr="00044184">
        <w:rPr>
          <w:szCs w:val="22"/>
          <w:lang w:val="sk-SK" w:eastAsia="en-GB"/>
        </w:rPr>
        <w:t xml:space="preserve">, ktoré súviselo </w:t>
      </w:r>
      <w:r w:rsidR="00CB506C" w:rsidRPr="00044184">
        <w:rPr>
          <w:szCs w:val="22"/>
          <w:lang w:val="sk-SK" w:eastAsia="en-GB"/>
        </w:rPr>
        <w:t>s liečbou</w:t>
      </w:r>
      <w:r w:rsidR="0004165F" w:rsidRPr="00044184">
        <w:rPr>
          <w:szCs w:val="22"/>
          <w:lang w:val="sk-SK" w:eastAsia="en-GB"/>
        </w:rPr>
        <w:t>. T</w:t>
      </w:r>
      <w:r w:rsidR="00CB506C" w:rsidRPr="00044184">
        <w:rPr>
          <w:szCs w:val="22"/>
          <w:lang w:val="sk-SK" w:eastAsia="en-GB"/>
        </w:rPr>
        <w:t xml:space="preserve">ieto </w:t>
      </w:r>
      <w:r w:rsidR="00C52C29" w:rsidRPr="00044184">
        <w:rPr>
          <w:szCs w:val="22"/>
          <w:lang w:val="sk-SK" w:eastAsia="en-GB"/>
        </w:rPr>
        <w:t>nálezy sa zistili pri expozíciách značne nižších ako sú klinicky významné expozície</w:t>
      </w:r>
      <w:r w:rsidR="0004165F" w:rsidRPr="00044184">
        <w:rPr>
          <w:szCs w:val="22"/>
          <w:lang w:val="sk-SK" w:eastAsia="en-GB"/>
        </w:rPr>
        <w:t>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4165F" w:rsidRPr="00044184" w:rsidRDefault="009A48AD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 xml:space="preserve">Vzhľadom na mechanizmus účinku </w:t>
      </w:r>
      <w:r w:rsidR="00E42D9E" w:rsidRPr="00044184">
        <w:rPr>
          <w:szCs w:val="22"/>
          <w:lang w:val="sk-SK" w:eastAsia="en-GB"/>
        </w:rPr>
        <w:t>m</w:t>
      </w:r>
      <w:r w:rsidR="009604FD" w:rsidRPr="00044184">
        <w:rPr>
          <w:szCs w:val="22"/>
          <w:lang w:val="sk-SK" w:eastAsia="en-GB"/>
        </w:rPr>
        <w:t>á</w:t>
      </w:r>
      <w:r w:rsidR="00E42D9E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erlotinib</w:t>
      </w:r>
      <w:r w:rsidR="00E42D9E" w:rsidRPr="00044184">
        <w:rPr>
          <w:szCs w:val="22"/>
          <w:lang w:val="sk-SK" w:eastAsia="en-GB"/>
        </w:rPr>
        <w:t xml:space="preserve"> teratogénn</w:t>
      </w:r>
      <w:r w:rsidR="009604FD" w:rsidRPr="00044184">
        <w:rPr>
          <w:szCs w:val="22"/>
          <w:lang w:val="sk-SK" w:eastAsia="en-GB"/>
        </w:rPr>
        <w:t>y potenciál</w:t>
      </w:r>
      <w:r w:rsidR="0004165F" w:rsidRPr="00044184">
        <w:rPr>
          <w:szCs w:val="22"/>
          <w:lang w:val="sk-SK" w:eastAsia="en-GB"/>
        </w:rPr>
        <w:t xml:space="preserve">. </w:t>
      </w:r>
      <w:r w:rsidR="00C82DA0">
        <w:rPr>
          <w:szCs w:val="22"/>
          <w:lang w:val="sk-SK" w:eastAsia="en-GB"/>
        </w:rPr>
        <w:t>Údaje získané v</w:t>
      </w:r>
      <w:r w:rsidRPr="00044184">
        <w:rPr>
          <w:szCs w:val="22"/>
          <w:lang w:val="sk-SK" w:eastAsia="en-GB"/>
        </w:rPr>
        <w:t xml:space="preserve"> štúdi</w:t>
      </w:r>
      <w:r w:rsidR="00E42D9E" w:rsidRPr="00044184">
        <w:rPr>
          <w:szCs w:val="22"/>
          <w:lang w:val="sk-SK" w:eastAsia="en-GB"/>
        </w:rPr>
        <w:t>ách</w:t>
      </w:r>
      <w:r w:rsidRPr="00044184">
        <w:rPr>
          <w:szCs w:val="22"/>
          <w:lang w:val="sk-SK" w:eastAsia="en-GB"/>
        </w:rPr>
        <w:t xml:space="preserve"> reprodukčnej toxicity na potkanoch a králikoch, v ktorých </w:t>
      </w:r>
      <w:r w:rsidR="00A926F4" w:rsidRPr="00044184">
        <w:rPr>
          <w:szCs w:val="22"/>
          <w:lang w:val="sk-SK" w:eastAsia="en-GB"/>
        </w:rPr>
        <w:t xml:space="preserve">boli podávané </w:t>
      </w:r>
      <w:r w:rsidR="00E42D9E" w:rsidRPr="00044184">
        <w:rPr>
          <w:szCs w:val="22"/>
          <w:lang w:val="sk-SK" w:eastAsia="en-GB"/>
        </w:rPr>
        <w:t>dávk</w:t>
      </w:r>
      <w:r w:rsidR="000D317C" w:rsidRPr="00044184">
        <w:rPr>
          <w:szCs w:val="22"/>
          <w:lang w:val="sk-SK" w:eastAsia="en-GB"/>
        </w:rPr>
        <w:t>y</w:t>
      </w:r>
      <w:r w:rsidR="00E42D9E" w:rsidRPr="00044184">
        <w:rPr>
          <w:szCs w:val="22"/>
          <w:lang w:val="sk-SK" w:eastAsia="en-GB"/>
        </w:rPr>
        <w:t xml:space="preserve"> </w:t>
      </w:r>
      <w:r w:rsidRPr="00044184">
        <w:rPr>
          <w:szCs w:val="22"/>
          <w:lang w:val="sk-SK" w:eastAsia="en-GB"/>
        </w:rPr>
        <w:t>blízk</w:t>
      </w:r>
      <w:r w:rsidR="000D317C" w:rsidRPr="00044184">
        <w:rPr>
          <w:szCs w:val="22"/>
          <w:lang w:val="sk-SK" w:eastAsia="en-GB"/>
        </w:rPr>
        <w:t>e</w:t>
      </w:r>
      <w:r w:rsidRPr="00044184">
        <w:rPr>
          <w:szCs w:val="22"/>
          <w:lang w:val="sk-SK" w:eastAsia="en-GB"/>
        </w:rPr>
        <w:t xml:space="preserve"> </w:t>
      </w:r>
      <w:r w:rsidR="00D03692" w:rsidRPr="00044184">
        <w:rPr>
          <w:szCs w:val="22"/>
          <w:lang w:val="sk-SK" w:eastAsia="en-GB"/>
        </w:rPr>
        <w:t>najvyššej</w:t>
      </w:r>
      <w:r w:rsidRPr="00044184">
        <w:rPr>
          <w:szCs w:val="22"/>
          <w:lang w:val="sk-SK" w:eastAsia="en-GB"/>
        </w:rPr>
        <w:t xml:space="preserve"> tolerovanej dávke a/alebo dávk</w:t>
      </w:r>
      <w:r w:rsidR="000D317C" w:rsidRPr="00044184">
        <w:rPr>
          <w:szCs w:val="22"/>
          <w:lang w:val="sk-SK" w:eastAsia="en-GB"/>
        </w:rPr>
        <w:t>y</w:t>
      </w:r>
      <w:r w:rsidRPr="00044184">
        <w:rPr>
          <w:szCs w:val="22"/>
          <w:lang w:val="sk-SK" w:eastAsia="en-GB"/>
        </w:rPr>
        <w:t xml:space="preserve"> toxick</w:t>
      </w:r>
      <w:r w:rsidR="000D317C" w:rsidRPr="00044184">
        <w:rPr>
          <w:szCs w:val="22"/>
          <w:lang w:val="sk-SK" w:eastAsia="en-GB"/>
        </w:rPr>
        <w:t>é</w:t>
      </w:r>
      <w:r w:rsidRPr="00044184">
        <w:rPr>
          <w:szCs w:val="22"/>
          <w:lang w:val="sk-SK" w:eastAsia="en-GB"/>
        </w:rPr>
        <w:t xml:space="preserve"> pre matky, </w:t>
      </w:r>
      <w:r w:rsidR="00C82DA0">
        <w:rPr>
          <w:szCs w:val="22"/>
          <w:lang w:val="sk-SK" w:eastAsia="en-GB"/>
        </w:rPr>
        <w:t>preukázali</w:t>
      </w:r>
      <w:r w:rsidRPr="00044184">
        <w:rPr>
          <w:szCs w:val="22"/>
          <w:lang w:val="sk-SK" w:eastAsia="en-GB"/>
        </w:rPr>
        <w:t xml:space="preserve"> reprodukčn</w:t>
      </w:r>
      <w:r w:rsidR="00C82DA0">
        <w:rPr>
          <w:szCs w:val="22"/>
          <w:lang w:val="sk-SK" w:eastAsia="en-GB"/>
        </w:rPr>
        <w:t>ú</w:t>
      </w:r>
      <w:r w:rsidRPr="00044184">
        <w:rPr>
          <w:szCs w:val="22"/>
          <w:lang w:val="sk-SK" w:eastAsia="en-GB"/>
        </w:rPr>
        <w:t xml:space="preserve"> </w:t>
      </w:r>
      <w:r w:rsidR="0004165F" w:rsidRPr="00044184">
        <w:rPr>
          <w:szCs w:val="22"/>
          <w:lang w:val="sk-SK" w:eastAsia="en-GB"/>
        </w:rPr>
        <w:t>(embryotoxicit</w:t>
      </w:r>
      <w:r w:rsidRPr="00044184">
        <w:rPr>
          <w:szCs w:val="22"/>
          <w:lang w:val="sk-SK" w:eastAsia="en-GB"/>
        </w:rPr>
        <w:t>a u potkanov, resorpcia embryí a fetotoxicita u králikov</w:t>
      </w:r>
      <w:r w:rsidR="0004165F" w:rsidRPr="00044184">
        <w:rPr>
          <w:szCs w:val="22"/>
          <w:lang w:val="sk-SK" w:eastAsia="en-GB"/>
        </w:rPr>
        <w:t>) a</w:t>
      </w:r>
      <w:r w:rsidRPr="00044184">
        <w:rPr>
          <w:szCs w:val="22"/>
          <w:lang w:val="sk-SK" w:eastAsia="en-GB"/>
        </w:rPr>
        <w:t xml:space="preserve"> výv</w:t>
      </w:r>
      <w:r w:rsidR="00AE2DD1">
        <w:rPr>
          <w:szCs w:val="22"/>
          <w:lang w:val="sk-SK" w:eastAsia="en-GB"/>
        </w:rPr>
        <w:t>inová</w:t>
      </w:r>
      <w:r w:rsidR="0004165F" w:rsidRPr="00044184">
        <w:rPr>
          <w:szCs w:val="22"/>
          <w:lang w:val="sk-SK" w:eastAsia="en-GB"/>
        </w:rPr>
        <w:t xml:space="preserve"> (</w:t>
      </w:r>
      <w:r w:rsidRPr="00044184">
        <w:rPr>
          <w:szCs w:val="22"/>
          <w:lang w:val="sk-SK" w:eastAsia="en-GB"/>
        </w:rPr>
        <w:t>spomalený rast a znížené prežívanie mláďat u potkanov</w:t>
      </w:r>
      <w:r w:rsidR="0004165F" w:rsidRPr="00044184">
        <w:rPr>
          <w:szCs w:val="22"/>
          <w:lang w:val="sk-SK" w:eastAsia="en-GB"/>
        </w:rPr>
        <w:t>) toxicit</w:t>
      </w:r>
      <w:r w:rsidR="00E42D9E" w:rsidRPr="00044184">
        <w:rPr>
          <w:szCs w:val="22"/>
          <w:lang w:val="sk-SK" w:eastAsia="en-GB"/>
        </w:rPr>
        <w:t>a</w:t>
      </w:r>
      <w:r w:rsidR="0004165F" w:rsidRPr="00044184">
        <w:rPr>
          <w:szCs w:val="22"/>
          <w:lang w:val="sk-SK" w:eastAsia="en-GB"/>
        </w:rPr>
        <w:t xml:space="preserve">, </w:t>
      </w:r>
      <w:r w:rsidR="000D317C" w:rsidRPr="00044184">
        <w:rPr>
          <w:szCs w:val="22"/>
          <w:lang w:val="sk-SK" w:eastAsia="en-GB"/>
        </w:rPr>
        <w:t xml:space="preserve">ale nezistilo sa teratogénne pôsobenie ani </w:t>
      </w:r>
      <w:r w:rsidR="009604FD" w:rsidRPr="00044184">
        <w:rPr>
          <w:szCs w:val="22"/>
          <w:lang w:val="sk-SK" w:eastAsia="en-GB"/>
        </w:rPr>
        <w:t>ovplyvnenie</w:t>
      </w:r>
      <w:r w:rsidR="000D317C" w:rsidRPr="00044184">
        <w:rPr>
          <w:szCs w:val="22"/>
          <w:lang w:val="sk-SK" w:eastAsia="en-GB"/>
        </w:rPr>
        <w:t xml:space="preserve"> fertility.</w:t>
      </w:r>
      <w:r w:rsidR="0004165F" w:rsidRPr="00044184">
        <w:rPr>
          <w:szCs w:val="22"/>
          <w:lang w:val="sk-SK" w:eastAsia="en-GB"/>
        </w:rPr>
        <w:t xml:space="preserve"> T</w:t>
      </w:r>
      <w:r w:rsidR="000D317C" w:rsidRPr="00044184">
        <w:rPr>
          <w:szCs w:val="22"/>
          <w:lang w:val="sk-SK" w:eastAsia="en-GB"/>
        </w:rPr>
        <w:t xml:space="preserve">ieto nálezy sa </w:t>
      </w:r>
      <w:r w:rsidR="00D03692" w:rsidRPr="00044184">
        <w:rPr>
          <w:szCs w:val="22"/>
          <w:lang w:val="sk-SK" w:eastAsia="en-GB"/>
        </w:rPr>
        <w:t>zistili</w:t>
      </w:r>
      <w:r w:rsidR="000D317C" w:rsidRPr="00044184">
        <w:rPr>
          <w:szCs w:val="22"/>
          <w:lang w:val="sk-SK" w:eastAsia="en-GB"/>
        </w:rPr>
        <w:t xml:space="preserve"> pri</w:t>
      </w:r>
      <w:r w:rsidR="00D03692" w:rsidRPr="00044184">
        <w:rPr>
          <w:szCs w:val="22"/>
          <w:lang w:val="sk-SK" w:eastAsia="en-GB"/>
        </w:rPr>
        <w:t> </w:t>
      </w:r>
      <w:r w:rsidR="000D317C" w:rsidRPr="00044184">
        <w:rPr>
          <w:szCs w:val="22"/>
          <w:lang w:val="sk-SK" w:eastAsia="en-GB"/>
        </w:rPr>
        <w:t>klinicky významných expozíciách</w:t>
      </w:r>
      <w:r w:rsidR="0004165F" w:rsidRPr="00044184">
        <w:rPr>
          <w:szCs w:val="22"/>
          <w:lang w:val="sk-SK" w:eastAsia="en-GB"/>
        </w:rPr>
        <w:t>.</w:t>
      </w:r>
    </w:p>
    <w:p w:rsidR="0004165F" w:rsidRPr="00044184" w:rsidRDefault="0004165F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04165F" w:rsidRPr="00044184" w:rsidRDefault="000D317C" w:rsidP="006954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Obvyklé štúdie genotoxicity s erlotinibom priniesli negatívne výsledky</w:t>
      </w:r>
      <w:r w:rsidR="0004165F" w:rsidRPr="00044184">
        <w:rPr>
          <w:szCs w:val="22"/>
          <w:lang w:val="sk-SK" w:eastAsia="en-GB"/>
        </w:rPr>
        <w:t xml:space="preserve">. </w:t>
      </w:r>
      <w:r w:rsidRPr="00044184">
        <w:rPr>
          <w:szCs w:val="22"/>
          <w:lang w:val="sk-SK" w:eastAsia="en-GB"/>
        </w:rPr>
        <w:t>V dvojročných štúdiách karcinogenity s</w:t>
      </w:r>
      <w:r w:rsidR="008A59B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erlotinibom</w:t>
      </w:r>
      <w:r w:rsidR="008A59BB" w:rsidRPr="00044184">
        <w:rPr>
          <w:szCs w:val="22"/>
          <w:lang w:val="sk-SK" w:eastAsia="en-GB"/>
        </w:rPr>
        <w:t xml:space="preserve">, ktoré sa uskutočnili </w:t>
      </w:r>
      <w:r w:rsidRPr="00044184">
        <w:rPr>
          <w:szCs w:val="22"/>
          <w:lang w:val="sk-SK" w:eastAsia="en-GB"/>
        </w:rPr>
        <w:t>na potkanoch a</w:t>
      </w:r>
      <w:r w:rsidR="008A59BB" w:rsidRPr="00044184">
        <w:rPr>
          <w:szCs w:val="22"/>
          <w:lang w:val="sk-SK" w:eastAsia="en-GB"/>
        </w:rPr>
        <w:t> </w:t>
      </w:r>
      <w:r w:rsidRPr="00044184">
        <w:rPr>
          <w:szCs w:val="22"/>
          <w:lang w:val="sk-SK" w:eastAsia="en-GB"/>
        </w:rPr>
        <w:t>myšiach</w:t>
      </w:r>
      <w:r w:rsidR="008A59BB" w:rsidRPr="00044184">
        <w:rPr>
          <w:szCs w:val="22"/>
          <w:lang w:val="sk-SK" w:eastAsia="en-GB"/>
        </w:rPr>
        <w:t>,</w:t>
      </w:r>
      <w:r w:rsidRPr="00044184">
        <w:rPr>
          <w:szCs w:val="22"/>
          <w:lang w:val="sk-SK" w:eastAsia="en-GB"/>
        </w:rPr>
        <w:t xml:space="preserve"> sa </w:t>
      </w:r>
      <w:r w:rsidR="00245193" w:rsidRPr="00044184">
        <w:rPr>
          <w:szCs w:val="22"/>
          <w:lang w:val="sk-SK" w:eastAsia="en-GB"/>
        </w:rPr>
        <w:t>zistili</w:t>
      </w:r>
      <w:r w:rsidRPr="00044184">
        <w:rPr>
          <w:szCs w:val="22"/>
          <w:lang w:val="sk-SK" w:eastAsia="en-GB"/>
        </w:rPr>
        <w:t xml:space="preserve"> negatívne výsledky aj pri expozíciách </w:t>
      </w:r>
      <w:r w:rsidR="008A59BB" w:rsidRPr="00044184">
        <w:rPr>
          <w:szCs w:val="22"/>
          <w:lang w:val="sk-SK" w:eastAsia="en-GB"/>
        </w:rPr>
        <w:t xml:space="preserve">prevyšujúcich terapeutickú expozíciu dosiahnutú u ľudí </w:t>
      </w:r>
      <w:r w:rsidR="0004165F" w:rsidRPr="00044184">
        <w:rPr>
          <w:szCs w:val="22"/>
          <w:lang w:val="sk-SK" w:eastAsia="en-GB"/>
        </w:rPr>
        <w:t>(</w:t>
      </w:r>
      <w:r w:rsidR="00245193" w:rsidRPr="00044184">
        <w:rPr>
          <w:szCs w:val="22"/>
          <w:lang w:val="sk-SK" w:eastAsia="en-GB"/>
        </w:rPr>
        <w:t xml:space="preserve">t. j. </w:t>
      </w:r>
      <w:r w:rsidR="00C82DA0">
        <w:rPr>
          <w:szCs w:val="22"/>
          <w:lang w:val="sk-SK" w:eastAsia="en-GB"/>
        </w:rPr>
        <w:t xml:space="preserve">až </w:t>
      </w:r>
      <w:r w:rsidR="00245193" w:rsidRPr="00044184">
        <w:rPr>
          <w:szCs w:val="22"/>
          <w:lang w:val="sk-SK" w:eastAsia="en-GB"/>
        </w:rPr>
        <w:t>2</w:t>
      </w:r>
      <w:r w:rsidR="00245193" w:rsidRPr="00044184">
        <w:rPr>
          <w:szCs w:val="22"/>
          <w:lang w:val="sk-SK" w:eastAsia="en-GB"/>
        </w:rPr>
        <w:noBreakHyphen/>
        <w:t>násobne vyšš</w:t>
      </w:r>
      <w:r w:rsidR="00D2286A">
        <w:rPr>
          <w:szCs w:val="22"/>
          <w:lang w:val="sk-SK" w:eastAsia="en-GB"/>
        </w:rPr>
        <w:t>ia</w:t>
      </w:r>
      <w:r w:rsidR="00245193" w:rsidRPr="00044184">
        <w:rPr>
          <w:szCs w:val="22"/>
          <w:lang w:val="sk-SK" w:eastAsia="en-GB"/>
        </w:rPr>
        <w:t xml:space="preserve"> expozíci</w:t>
      </w:r>
      <w:r w:rsidR="00D2286A">
        <w:rPr>
          <w:szCs w:val="22"/>
          <w:lang w:val="sk-SK" w:eastAsia="en-GB"/>
        </w:rPr>
        <w:t>a</w:t>
      </w:r>
      <w:r w:rsidR="00245193" w:rsidRPr="00044184">
        <w:rPr>
          <w:szCs w:val="22"/>
          <w:lang w:val="sk-SK" w:eastAsia="en-GB"/>
        </w:rPr>
        <w:t xml:space="preserve"> u potkanov a 10</w:t>
      </w:r>
      <w:r w:rsidR="00245193" w:rsidRPr="00044184">
        <w:rPr>
          <w:szCs w:val="22"/>
          <w:lang w:val="sk-SK" w:eastAsia="en-GB"/>
        </w:rPr>
        <w:noBreakHyphen/>
        <w:t>násobne vyšš</w:t>
      </w:r>
      <w:r w:rsidR="00D2286A">
        <w:rPr>
          <w:szCs w:val="22"/>
          <w:lang w:val="sk-SK" w:eastAsia="en-GB"/>
        </w:rPr>
        <w:t>ia</w:t>
      </w:r>
      <w:r w:rsidR="00245193" w:rsidRPr="00044184">
        <w:rPr>
          <w:szCs w:val="22"/>
          <w:lang w:val="sk-SK" w:eastAsia="en-GB"/>
        </w:rPr>
        <w:t xml:space="preserve"> expozíci</w:t>
      </w:r>
      <w:r w:rsidR="00D2286A">
        <w:rPr>
          <w:szCs w:val="22"/>
          <w:lang w:val="sk-SK" w:eastAsia="en-GB"/>
        </w:rPr>
        <w:t>a</w:t>
      </w:r>
      <w:r w:rsidR="00245193" w:rsidRPr="00044184">
        <w:rPr>
          <w:szCs w:val="22"/>
          <w:lang w:val="sk-SK" w:eastAsia="en-GB"/>
        </w:rPr>
        <w:t xml:space="preserve"> u myší, stanoven</w:t>
      </w:r>
      <w:r w:rsidR="00D2286A">
        <w:rPr>
          <w:szCs w:val="22"/>
          <w:lang w:val="sk-SK" w:eastAsia="en-GB"/>
        </w:rPr>
        <w:t>á</w:t>
      </w:r>
      <w:r w:rsidR="00245193" w:rsidRPr="00044184">
        <w:rPr>
          <w:szCs w:val="22"/>
          <w:lang w:val="sk-SK" w:eastAsia="en-GB"/>
        </w:rPr>
        <w:t xml:space="preserve"> na základe </w:t>
      </w:r>
      <w:r w:rsidR="0004165F" w:rsidRPr="00044184">
        <w:rPr>
          <w:szCs w:val="22"/>
          <w:lang w:val="sk-SK" w:eastAsia="en-GB"/>
        </w:rPr>
        <w:t>C</w:t>
      </w:r>
      <w:r w:rsidR="00245193" w:rsidRPr="00044184">
        <w:rPr>
          <w:szCs w:val="22"/>
          <w:vertAlign w:val="subscript"/>
          <w:lang w:val="sk-SK" w:eastAsia="en-GB"/>
        </w:rPr>
        <w:t>max</w:t>
      </w:r>
      <w:r w:rsidR="0004165F" w:rsidRPr="00044184">
        <w:rPr>
          <w:szCs w:val="22"/>
          <w:lang w:val="sk-SK" w:eastAsia="en-GB"/>
        </w:rPr>
        <w:t xml:space="preserve"> a/</w:t>
      </w:r>
      <w:r w:rsidR="00245193" w:rsidRPr="00044184">
        <w:rPr>
          <w:szCs w:val="22"/>
          <w:lang w:val="sk-SK" w:eastAsia="en-GB"/>
        </w:rPr>
        <w:t>alebo</w:t>
      </w:r>
      <w:r w:rsidR="0004165F" w:rsidRPr="00044184">
        <w:rPr>
          <w:szCs w:val="22"/>
          <w:lang w:val="sk-SK" w:eastAsia="en-GB"/>
        </w:rPr>
        <w:t xml:space="preserve"> AUC).</w:t>
      </w:r>
    </w:p>
    <w:p w:rsidR="0004165F" w:rsidRPr="00044184" w:rsidRDefault="0004165F" w:rsidP="00695459">
      <w:pPr>
        <w:spacing w:line="240" w:lineRule="auto"/>
        <w:rPr>
          <w:szCs w:val="22"/>
          <w:lang w:val="sk-SK" w:eastAsia="en-GB"/>
        </w:rPr>
      </w:pPr>
    </w:p>
    <w:p w:rsidR="001D29E6" w:rsidRPr="00044184" w:rsidRDefault="00622D1E" w:rsidP="00695459">
      <w:pPr>
        <w:spacing w:line="240" w:lineRule="auto"/>
        <w:rPr>
          <w:b/>
          <w:szCs w:val="22"/>
          <w:lang w:val="sk-SK"/>
        </w:rPr>
      </w:pPr>
      <w:r w:rsidRPr="00044184">
        <w:rPr>
          <w:szCs w:val="22"/>
          <w:lang w:val="sk-SK" w:eastAsia="en-GB"/>
        </w:rPr>
        <w:t>U potkanov sa po pôsobení UV žiarenia pozorovala mierna fototoxická kožná reakcia</w:t>
      </w:r>
      <w:r w:rsidR="0004165F" w:rsidRPr="00044184">
        <w:rPr>
          <w:szCs w:val="22"/>
          <w:lang w:val="sk-SK" w:eastAsia="en-GB"/>
        </w:rPr>
        <w:t>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9575A0" w:rsidRPr="00044184" w:rsidRDefault="009575A0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6.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FARMACEUTICKÉ INFORMÁCIE</w:t>
      </w:r>
    </w:p>
    <w:p w:rsidR="001D29E6" w:rsidRPr="00044184" w:rsidRDefault="001D29E6" w:rsidP="00695459">
      <w:pPr>
        <w:spacing w:line="240" w:lineRule="auto"/>
        <w:rPr>
          <w:b/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6.1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Zoznam pomocných látok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04165F" w:rsidRPr="00044184" w:rsidRDefault="008D0D1C" w:rsidP="004D0A08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>Jadro tablety</w:t>
      </w:r>
      <w:r w:rsidR="005954DA" w:rsidRPr="00044184">
        <w:rPr>
          <w:i/>
          <w:szCs w:val="22"/>
          <w:lang w:val="sk-SK"/>
        </w:rPr>
        <w:t>:</w:t>
      </w:r>
    </w:p>
    <w:p w:rsidR="00C15AA5" w:rsidRPr="00BD07F1" w:rsidRDefault="00C15AA5" w:rsidP="004D0A08">
      <w:pPr>
        <w:spacing w:line="240" w:lineRule="auto"/>
        <w:rPr>
          <w:bCs/>
          <w:szCs w:val="22"/>
          <w:lang w:val="sk-SK" w:eastAsia="en-GB"/>
        </w:rPr>
      </w:pPr>
      <w:r w:rsidRPr="00BD07F1">
        <w:rPr>
          <w:bCs/>
          <w:szCs w:val="22"/>
          <w:lang w:val="sk-SK" w:eastAsia="en-GB"/>
        </w:rPr>
        <w:t>Laktóza, monohydrát</w:t>
      </w:r>
    </w:p>
    <w:p w:rsidR="00A210A9" w:rsidRPr="00BA2CA6" w:rsidRDefault="00C15AA5" w:rsidP="004D0A08">
      <w:pPr>
        <w:spacing w:line="240" w:lineRule="auto"/>
        <w:rPr>
          <w:bCs/>
          <w:szCs w:val="22"/>
          <w:lang w:val="sk-SK" w:eastAsia="en-GB"/>
        </w:rPr>
      </w:pPr>
      <w:r w:rsidRPr="00E32417">
        <w:rPr>
          <w:bCs/>
          <w:szCs w:val="22"/>
          <w:lang w:val="sk-SK" w:eastAsia="en-GB"/>
        </w:rPr>
        <w:t>m</w:t>
      </w:r>
      <w:r w:rsidR="008D0D1C" w:rsidRPr="00E32417">
        <w:rPr>
          <w:bCs/>
          <w:szCs w:val="22"/>
          <w:lang w:val="sk-SK" w:eastAsia="en-GB"/>
        </w:rPr>
        <w:t>ikrokryštalická celulóza</w:t>
      </w:r>
      <w:r w:rsidRPr="00E00F45">
        <w:rPr>
          <w:bCs/>
          <w:szCs w:val="22"/>
          <w:lang w:val="sk-SK" w:eastAsia="en-GB"/>
        </w:rPr>
        <w:t xml:space="preserve"> (E460)</w:t>
      </w:r>
    </w:p>
    <w:p w:rsidR="00C15AA5" w:rsidRPr="00BA2CA6" w:rsidRDefault="00C15AA5" w:rsidP="004D0A08">
      <w:pPr>
        <w:spacing w:line="240" w:lineRule="auto"/>
        <w:rPr>
          <w:bCs/>
          <w:szCs w:val="22"/>
          <w:lang w:val="sk-SK" w:eastAsia="en-GB"/>
        </w:rPr>
      </w:pPr>
      <w:r w:rsidRPr="00BA2CA6">
        <w:rPr>
          <w:bCs/>
          <w:szCs w:val="22"/>
          <w:lang w:val="sk-SK" w:eastAsia="en-GB"/>
        </w:rPr>
        <w:t>karboxymetylškrob A, sodná soľ</w:t>
      </w:r>
    </w:p>
    <w:p w:rsidR="00C15AA5" w:rsidRPr="00BA2CA6" w:rsidRDefault="00C15AA5" w:rsidP="004D0A08">
      <w:pPr>
        <w:spacing w:line="240" w:lineRule="auto"/>
        <w:rPr>
          <w:szCs w:val="22"/>
          <w:lang w:val="sk-SK"/>
        </w:rPr>
      </w:pPr>
      <w:r w:rsidRPr="00BA2CA6">
        <w:rPr>
          <w:szCs w:val="22"/>
          <w:lang w:val="sk-SK"/>
        </w:rPr>
        <w:t>stearan horečnatý (E470b)</w:t>
      </w:r>
    </w:p>
    <w:p w:rsidR="00387BEE" w:rsidRPr="00BA2CA6" w:rsidRDefault="00387BEE" w:rsidP="004D0A08">
      <w:pPr>
        <w:spacing w:line="240" w:lineRule="auto"/>
        <w:rPr>
          <w:szCs w:val="22"/>
          <w:lang w:val="sk-SK"/>
        </w:rPr>
      </w:pPr>
    </w:p>
    <w:p w:rsidR="00387BEE" w:rsidRPr="007600ED" w:rsidRDefault="008D0D1C" w:rsidP="004D0A08">
      <w:pPr>
        <w:keepNext/>
        <w:keepLines/>
        <w:spacing w:line="240" w:lineRule="auto"/>
        <w:rPr>
          <w:i/>
          <w:szCs w:val="22"/>
          <w:lang w:val="sk-SK"/>
        </w:rPr>
      </w:pPr>
      <w:r w:rsidRPr="007600ED">
        <w:rPr>
          <w:i/>
          <w:szCs w:val="22"/>
          <w:lang w:val="sk-SK"/>
        </w:rPr>
        <w:t>Obal tablety</w:t>
      </w:r>
      <w:r w:rsidR="00387BEE" w:rsidRPr="007600ED">
        <w:rPr>
          <w:i/>
          <w:szCs w:val="22"/>
          <w:lang w:val="sk-SK"/>
        </w:rPr>
        <w:t>:</w:t>
      </w:r>
    </w:p>
    <w:p w:rsidR="00C15AA5" w:rsidRPr="006D301F" w:rsidRDefault="00C15AA5" w:rsidP="004D0A08">
      <w:pPr>
        <w:keepNext/>
        <w:keepLines/>
        <w:spacing w:line="240" w:lineRule="auto"/>
        <w:rPr>
          <w:szCs w:val="22"/>
          <w:lang w:val="sk-SK"/>
        </w:rPr>
      </w:pPr>
      <w:r w:rsidRPr="006D301F">
        <w:rPr>
          <w:szCs w:val="22"/>
          <w:lang w:val="sk-SK"/>
        </w:rPr>
        <w:t>Polyvinylalkohol (E1203)</w:t>
      </w:r>
    </w:p>
    <w:p w:rsidR="00C15AA5" w:rsidRPr="00C55BAE" w:rsidRDefault="00C15AA5" w:rsidP="004D0A08">
      <w:pPr>
        <w:keepNext/>
        <w:keepLines/>
        <w:spacing w:line="240" w:lineRule="auto"/>
        <w:rPr>
          <w:szCs w:val="22"/>
          <w:lang w:val="sk-SK"/>
        </w:rPr>
      </w:pPr>
      <w:r w:rsidRPr="00C55BAE">
        <w:rPr>
          <w:szCs w:val="22"/>
          <w:lang w:val="sk-SK"/>
        </w:rPr>
        <w:t>oxid titaničitý (E171)</w:t>
      </w:r>
    </w:p>
    <w:p w:rsidR="00C15AA5" w:rsidRPr="00C55BAE" w:rsidRDefault="00C15AA5" w:rsidP="004D0A08">
      <w:pPr>
        <w:keepNext/>
        <w:keepLines/>
        <w:spacing w:line="240" w:lineRule="auto"/>
        <w:rPr>
          <w:szCs w:val="22"/>
          <w:lang w:val="sk-SK"/>
        </w:rPr>
      </w:pPr>
      <w:r w:rsidRPr="00C55BAE">
        <w:rPr>
          <w:szCs w:val="22"/>
          <w:lang w:val="sk-SK"/>
        </w:rPr>
        <w:t>makrogol 3350 (E1521)</w:t>
      </w:r>
    </w:p>
    <w:p w:rsidR="003E6DB2" w:rsidRDefault="00C15AA5" w:rsidP="003E6DB2">
      <w:pPr>
        <w:keepNext/>
        <w:keepLines/>
        <w:spacing w:line="240" w:lineRule="auto"/>
        <w:rPr>
          <w:szCs w:val="22"/>
          <w:lang w:val="sk-SK"/>
        </w:rPr>
      </w:pPr>
      <w:r w:rsidRPr="00687330">
        <w:rPr>
          <w:szCs w:val="22"/>
          <w:lang w:val="sk-SK"/>
        </w:rPr>
        <w:t>mastenec (E553b)</w:t>
      </w:r>
    </w:p>
    <w:p w:rsidR="003E6DB2" w:rsidRPr="00675F45" w:rsidRDefault="003E6DB2" w:rsidP="003E6DB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sk-SK"/>
        </w:rPr>
      </w:pPr>
      <w:r w:rsidRPr="00675F45">
        <w:rPr>
          <w:color w:val="000000"/>
          <w:szCs w:val="22"/>
          <w:lang w:val="sk-SK" w:eastAsia="sk-SK"/>
        </w:rPr>
        <w:t>kyselina metakrylová s etylakrylátom 1 : 1, kopolymér typ A</w:t>
      </w:r>
    </w:p>
    <w:p w:rsidR="003E6DB2" w:rsidRPr="00675F45" w:rsidRDefault="003E6DB2" w:rsidP="003E6DB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sk-SK"/>
        </w:rPr>
      </w:pPr>
      <w:r w:rsidRPr="00675F45">
        <w:rPr>
          <w:color w:val="000000"/>
          <w:szCs w:val="22"/>
          <w:lang w:val="sk-SK" w:eastAsia="sk-SK"/>
        </w:rPr>
        <w:t>hydrogenuhličitan sodný</w:t>
      </w:r>
    </w:p>
    <w:p w:rsidR="003E6DB2" w:rsidRDefault="003E6DB2" w:rsidP="003E6DB2">
      <w:pPr>
        <w:keepNext/>
        <w:keepLines/>
        <w:spacing w:line="240" w:lineRule="auto"/>
        <w:rPr>
          <w:szCs w:val="22"/>
          <w:lang w:val="sk-SK"/>
        </w:rPr>
      </w:pPr>
    </w:p>
    <w:p w:rsidR="001D29E6" w:rsidRPr="00044184" w:rsidRDefault="003E6DB2" w:rsidP="003E6DB2">
      <w:pPr>
        <w:keepNext/>
        <w:keepLines/>
        <w:spacing w:line="240" w:lineRule="auto"/>
        <w:rPr>
          <w:szCs w:val="22"/>
          <w:lang w:val="sk-SK"/>
        </w:rPr>
      </w:pPr>
      <w:r w:rsidRPr="00044184">
        <w:rPr>
          <w:b/>
          <w:szCs w:val="22"/>
          <w:lang w:val="sk-SK"/>
        </w:rPr>
        <w:t xml:space="preserve"> </w:t>
      </w:r>
      <w:r w:rsidR="001D29E6" w:rsidRPr="00044184">
        <w:rPr>
          <w:b/>
          <w:szCs w:val="22"/>
          <w:lang w:val="sk-SK"/>
        </w:rPr>
        <w:t>6.2</w:t>
      </w:r>
      <w:r w:rsidR="001D29E6" w:rsidRPr="00044184">
        <w:rPr>
          <w:b/>
          <w:szCs w:val="22"/>
          <w:lang w:val="sk-SK"/>
        </w:rPr>
        <w:tab/>
        <w:t>In</w:t>
      </w:r>
      <w:r w:rsidR="008D0D1C" w:rsidRPr="00044184">
        <w:rPr>
          <w:b/>
          <w:szCs w:val="22"/>
          <w:lang w:val="sk-SK"/>
        </w:rPr>
        <w:t>k</w:t>
      </w:r>
      <w:r w:rsidR="001D29E6" w:rsidRPr="00044184">
        <w:rPr>
          <w:b/>
          <w:szCs w:val="22"/>
          <w:lang w:val="sk-SK"/>
        </w:rPr>
        <w:t>ompatibilit</w:t>
      </w:r>
      <w:r w:rsidR="008D0D1C" w:rsidRPr="00044184">
        <w:rPr>
          <w:b/>
          <w:szCs w:val="22"/>
          <w:lang w:val="sk-SK"/>
        </w:rPr>
        <w:t>y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8D0D1C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 w:eastAsia="en-GB"/>
        </w:rPr>
        <w:t>Neaplikovateľné</w:t>
      </w:r>
      <w:r w:rsidR="008B58C0" w:rsidRPr="00044184">
        <w:rPr>
          <w:szCs w:val="22"/>
          <w:lang w:val="sk-SK"/>
        </w:rPr>
        <w:t>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keepNext/>
        <w:keepLines/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6.3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Čas použiteľnosti</w:t>
      </w:r>
    </w:p>
    <w:p w:rsidR="001D29E6" w:rsidRPr="00044184" w:rsidRDefault="001D29E6" w:rsidP="00695459">
      <w:pPr>
        <w:keepNext/>
        <w:keepLines/>
        <w:spacing w:line="240" w:lineRule="auto"/>
        <w:rPr>
          <w:szCs w:val="22"/>
          <w:lang w:val="sk-SK"/>
        </w:rPr>
      </w:pPr>
    </w:p>
    <w:p w:rsidR="001D29E6" w:rsidRPr="00044184" w:rsidRDefault="00C15AA5" w:rsidP="00695459">
      <w:pPr>
        <w:keepNext/>
        <w:keepLines/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3 roky</w:t>
      </w:r>
    </w:p>
    <w:p w:rsidR="008D0D1C" w:rsidRPr="00044184" w:rsidRDefault="008D0D1C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6.4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Špeciálne upozornenia na uchovávanie</w:t>
      </w:r>
    </w:p>
    <w:p w:rsidR="008D0D1C" w:rsidRPr="00044184" w:rsidRDefault="008D0D1C" w:rsidP="00695459">
      <w:pPr>
        <w:spacing w:line="240" w:lineRule="auto"/>
        <w:ind w:left="567" w:hanging="567"/>
        <w:rPr>
          <w:szCs w:val="22"/>
          <w:lang w:val="sk-SK"/>
        </w:rPr>
      </w:pPr>
    </w:p>
    <w:p w:rsidR="008D0D1C" w:rsidRPr="00044184" w:rsidRDefault="00C15AA5" w:rsidP="00695459">
      <w:pPr>
        <w:pStyle w:val="Default"/>
        <w:rPr>
          <w:sz w:val="22"/>
          <w:lang w:val="sk-SK"/>
        </w:rPr>
      </w:pPr>
      <w:r w:rsidRPr="00044184">
        <w:rPr>
          <w:sz w:val="22"/>
          <w:lang w:val="sk-SK"/>
        </w:rPr>
        <w:t>Tento liek nevyžaduje žiadne zvláštne podmienky na uchovávanie.</w:t>
      </w:r>
    </w:p>
    <w:p w:rsidR="00C15AA5" w:rsidRPr="00044184" w:rsidRDefault="00C15AA5" w:rsidP="00695459">
      <w:pPr>
        <w:pStyle w:val="Default"/>
        <w:rPr>
          <w:color w:val="000000"/>
          <w:sz w:val="22"/>
          <w:szCs w:val="22"/>
          <w:lang w:val="sk-SK" w:eastAsia="en-GB"/>
        </w:rPr>
      </w:pPr>
    </w:p>
    <w:p w:rsidR="001D29E6" w:rsidRPr="00044184" w:rsidRDefault="008D0D1C" w:rsidP="00695459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6.5</w:t>
      </w:r>
      <w:r w:rsidRPr="00044184">
        <w:rPr>
          <w:b/>
          <w:szCs w:val="22"/>
          <w:lang w:val="sk-SK"/>
        </w:rPr>
        <w:tab/>
        <w:t>Druh obalu a obsah balenia</w:t>
      </w:r>
    </w:p>
    <w:p w:rsidR="001D29E6" w:rsidRPr="00044184" w:rsidRDefault="001D29E6" w:rsidP="00695459">
      <w:pPr>
        <w:keepNext/>
        <w:keepLines/>
        <w:spacing w:line="240" w:lineRule="auto"/>
        <w:rPr>
          <w:szCs w:val="22"/>
          <w:lang w:val="sk-SK"/>
        </w:rPr>
      </w:pPr>
    </w:p>
    <w:p w:rsidR="008B58C0" w:rsidRPr="00044184" w:rsidRDefault="00C15AA5" w:rsidP="00695459">
      <w:pPr>
        <w:keepNext/>
        <w:keepLines/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 xml:space="preserve">Hliníkové – OPA/ALU/PVC blistre po 30, 90 a 100 tabliet </w:t>
      </w:r>
      <w:r w:rsidR="003E6DB2">
        <w:rPr>
          <w:szCs w:val="22"/>
          <w:lang w:val="sk-SK"/>
        </w:rPr>
        <w:t xml:space="preserve">alebo </w:t>
      </w:r>
      <w:r w:rsidR="003419DE">
        <w:rPr>
          <w:szCs w:val="22"/>
          <w:lang w:val="sk-SK"/>
        </w:rPr>
        <w:t>h</w:t>
      </w:r>
      <w:r w:rsidR="003419DE" w:rsidRPr="00044184">
        <w:rPr>
          <w:szCs w:val="22"/>
          <w:lang w:val="sk-SK"/>
        </w:rPr>
        <w:t xml:space="preserve">liníkové – OPA/ALU/PVC </w:t>
      </w:r>
      <w:r w:rsidR="003419DE">
        <w:rPr>
          <w:szCs w:val="22"/>
          <w:lang w:val="sk-SK"/>
        </w:rPr>
        <w:t xml:space="preserve">perforované </w:t>
      </w:r>
      <w:r w:rsidR="003419DE" w:rsidRPr="00044184">
        <w:rPr>
          <w:szCs w:val="22"/>
          <w:lang w:val="sk-SK"/>
        </w:rPr>
        <w:t xml:space="preserve">blistre </w:t>
      </w:r>
      <w:r w:rsidR="003419DE">
        <w:rPr>
          <w:szCs w:val="22"/>
          <w:lang w:val="sk-SK"/>
        </w:rPr>
        <w:t xml:space="preserve">s jednotlivými dávkami po </w:t>
      </w:r>
      <w:r w:rsidR="003E6DB2">
        <w:rPr>
          <w:szCs w:val="22"/>
          <w:lang w:val="sk-SK"/>
        </w:rPr>
        <w:t>30x1, 90x1 alebo 100x1 tablet</w:t>
      </w:r>
      <w:r w:rsidR="003419DE">
        <w:rPr>
          <w:szCs w:val="22"/>
          <w:lang w:val="sk-SK"/>
        </w:rPr>
        <w:t>e</w:t>
      </w:r>
      <w:r w:rsidR="003E6DB2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balené do papierových škatuliek.</w:t>
      </w:r>
    </w:p>
    <w:p w:rsidR="00C15AA5" w:rsidRPr="00044184" w:rsidRDefault="00C15AA5" w:rsidP="00695459">
      <w:pPr>
        <w:keepNext/>
        <w:keepLines/>
        <w:spacing w:line="240" w:lineRule="auto"/>
        <w:rPr>
          <w:szCs w:val="22"/>
          <w:lang w:val="sk-SK"/>
        </w:rPr>
      </w:pPr>
    </w:p>
    <w:p w:rsidR="00C15AA5" w:rsidRPr="00044184" w:rsidRDefault="00C15AA5" w:rsidP="00695459">
      <w:pPr>
        <w:keepNext/>
        <w:keepLines/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Na trh nemusia byť uvedené všetky veľkosti balenia.</w:t>
      </w:r>
    </w:p>
    <w:p w:rsidR="008B58C0" w:rsidRPr="00044184" w:rsidRDefault="008B58C0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044184">
        <w:rPr>
          <w:b/>
          <w:szCs w:val="22"/>
          <w:lang w:val="sk-SK"/>
        </w:rPr>
        <w:t>6.6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Špeciálne opatrenia na likvidáciu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8D0D1C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Žiadne zvláštne požiadavky na likvidáciu</w:t>
      </w:r>
      <w:r w:rsidR="00BF070C" w:rsidRPr="00044184">
        <w:rPr>
          <w:szCs w:val="22"/>
          <w:lang w:val="sk-SK"/>
        </w:rPr>
        <w:t>.</w:t>
      </w:r>
    </w:p>
    <w:p w:rsidR="001D29E6" w:rsidRPr="00044184" w:rsidRDefault="008D0D1C" w:rsidP="00695459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Všetok nepoužitý liek alebo odpad vzniknutý z lieku sa má zlikvidovať v súlade s národnými požiadavkami</w:t>
      </w:r>
      <w:r w:rsidR="00BF070C" w:rsidRPr="00044184">
        <w:rPr>
          <w:szCs w:val="22"/>
          <w:lang w:val="sk-SK"/>
        </w:rPr>
        <w:t>.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7.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DRŽITEĽ ROZHODNUTIA O REGISTRÁCII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8D0D1C" w:rsidRPr="00044184" w:rsidRDefault="00C15AA5" w:rsidP="00695459">
      <w:pPr>
        <w:keepNext/>
        <w:keepLines/>
        <w:spacing w:line="240" w:lineRule="auto"/>
        <w:rPr>
          <w:bCs/>
          <w:szCs w:val="22"/>
          <w:lang w:val="sk-SK"/>
        </w:rPr>
      </w:pPr>
      <w:r w:rsidRPr="00044184">
        <w:rPr>
          <w:bCs/>
          <w:szCs w:val="22"/>
          <w:lang w:val="sk-SK"/>
        </w:rPr>
        <w:t>STADA Arzneimittel AG</w:t>
      </w:r>
    </w:p>
    <w:p w:rsidR="00C15AA5" w:rsidRPr="00044184" w:rsidRDefault="00C15AA5" w:rsidP="00695459">
      <w:pPr>
        <w:keepNext/>
        <w:keepLines/>
        <w:spacing w:line="240" w:lineRule="auto"/>
        <w:rPr>
          <w:bCs/>
          <w:szCs w:val="22"/>
          <w:lang w:val="sk-SK"/>
        </w:rPr>
      </w:pPr>
      <w:r w:rsidRPr="00044184">
        <w:rPr>
          <w:bCs/>
          <w:szCs w:val="22"/>
          <w:lang w:val="sk-SK"/>
        </w:rPr>
        <w:t>Stadastrasse 2-18</w:t>
      </w:r>
    </w:p>
    <w:p w:rsidR="00C15AA5" w:rsidRPr="00044184" w:rsidRDefault="00C15AA5" w:rsidP="00695459">
      <w:pPr>
        <w:keepNext/>
        <w:keepLines/>
        <w:spacing w:line="240" w:lineRule="auto"/>
        <w:rPr>
          <w:bCs/>
          <w:szCs w:val="22"/>
          <w:lang w:val="sk-SK"/>
        </w:rPr>
      </w:pPr>
      <w:r w:rsidRPr="00044184">
        <w:rPr>
          <w:bCs/>
          <w:szCs w:val="22"/>
          <w:lang w:val="sk-SK"/>
        </w:rPr>
        <w:t>61118 Bad Vilbel</w:t>
      </w:r>
    </w:p>
    <w:p w:rsidR="00C15AA5" w:rsidRPr="00044184" w:rsidRDefault="00C15AA5" w:rsidP="00695459">
      <w:pPr>
        <w:keepNext/>
        <w:keepLines/>
        <w:spacing w:line="240" w:lineRule="auto"/>
        <w:rPr>
          <w:szCs w:val="22"/>
          <w:lang w:val="sk-SK"/>
        </w:rPr>
      </w:pPr>
      <w:r w:rsidRPr="00044184">
        <w:rPr>
          <w:bCs/>
          <w:szCs w:val="22"/>
          <w:lang w:val="sk-SK"/>
        </w:rPr>
        <w:t>Nemecko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8.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REGISTRAČNÉ ČÍSLA</w:t>
      </w:r>
    </w:p>
    <w:p w:rsidR="001D29E6" w:rsidRDefault="001D29E6" w:rsidP="00695459">
      <w:pPr>
        <w:spacing w:line="240" w:lineRule="auto"/>
        <w:rPr>
          <w:szCs w:val="22"/>
          <w:lang w:val="sk-SK"/>
        </w:rPr>
      </w:pPr>
    </w:p>
    <w:p w:rsidR="00BD07F1" w:rsidRPr="00044184" w:rsidRDefault="00BD07F1" w:rsidP="00BD07F1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STADA 100 </w:t>
      </w:r>
      <w:r>
        <w:rPr>
          <w:szCs w:val="22"/>
          <w:lang w:val="sk-SK"/>
        </w:rPr>
        <w:t>mg:</w:t>
      </w:r>
      <w:r w:rsidR="00434064" w:rsidRPr="00434064">
        <w:t xml:space="preserve"> </w:t>
      </w:r>
      <w:r w:rsidR="00434064" w:rsidRPr="00434064">
        <w:rPr>
          <w:szCs w:val="22"/>
          <w:lang w:val="sk-SK"/>
        </w:rPr>
        <w:t>44/0211/17-S</w:t>
      </w:r>
    </w:p>
    <w:p w:rsidR="00BD07F1" w:rsidRPr="00044184" w:rsidRDefault="00BD07F1" w:rsidP="00BD07F1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Erlotinib STADA 150 mg</w:t>
      </w:r>
      <w:r>
        <w:rPr>
          <w:szCs w:val="22"/>
          <w:lang w:val="sk-SK"/>
        </w:rPr>
        <w:t>:</w:t>
      </w:r>
      <w:r w:rsidRPr="00044184">
        <w:rPr>
          <w:szCs w:val="22"/>
          <w:lang w:val="sk-SK"/>
        </w:rPr>
        <w:t xml:space="preserve"> </w:t>
      </w:r>
      <w:r w:rsidR="00434064" w:rsidRPr="00434064">
        <w:rPr>
          <w:szCs w:val="22"/>
          <w:lang w:val="sk-SK"/>
        </w:rPr>
        <w:t>44/0212/17-S</w:t>
      </w:r>
    </w:p>
    <w:p w:rsidR="00BD07F1" w:rsidRPr="00044184" w:rsidRDefault="00BD07F1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szCs w:val="22"/>
          <w:lang w:val="sk-SK"/>
        </w:rPr>
      </w:pPr>
      <w:r w:rsidRPr="00044184">
        <w:rPr>
          <w:b/>
          <w:szCs w:val="22"/>
          <w:lang w:val="sk-SK"/>
        </w:rPr>
        <w:t>9.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DÁTUM PRVEJ REGISTRÁCIE/PREDĹŽENIA REGISTRÁCIE</w:t>
      </w:r>
    </w:p>
    <w:p w:rsidR="001D29E6" w:rsidRDefault="001D29E6" w:rsidP="00695459">
      <w:pPr>
        <w:spacing w:line="240" w:lineRule="auto"/>
        <w:rPr>
          <w:i/>
          <w:szCs w:val="22"/>
          <w:lang w:val="sk-SK"/>
        </w:rPr>
      </w:pPr>
    </w:p>
    <w:p w:rsidR="00BD07F1" w:rsidRDefault="00BD07F1" w:rsidP="00695459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Dátum prvej registrácie:</w:t>
      </w:r>
      <w:r w:rsidR="00844F9D">
        <w:rPr>
          <w:szCs w:val="22"/>
          <w:lang w:val="sk-SK"/>
        </w:rPr>
        <w:t xml:space="preserve"> 19. júla 2017</w:t>
      </w:r>
    </w:p>
    <w:p w:rsidR="00BD07F1" w:rsidRPr="00675F45" w:rsidRDefault="00BD07F1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1D29E6" w:rsidP="00695459">
      <w:pPr>
        <w:spacing w:line="240" w:lineRule="auto"/>
        <w:ind w:left="567" w:hanging="567"/>
        <w:rPr>
          <w:b/>
          <w:szCs w:val="22"/>
          <w:lang w:val="sk-SK"/>
        </w:rPr>
      </w:pPr>
      <w:r w:rsidRPr="00044184">
        <w:rPr>
          <w:b/>
          <w:szCs w:val="22"/>
          <w:lang w:val="sk-SK"/>
        </w:rPr>
        <w:t>10.</w:t>
      </w:r>
      <w:r w:rsidRPr="00044184">
        <w:rPr>
          <w:b/>
          <w:szCs w:val="22"/>
          <w:lang w:val="sk-SK"/>
        </w:rPr>
        <w:tab/>
      </w:r>
      <w:r w:rsidR="008D0D1C" w:rsidRPr="00044184">
        <w:rPr>
          <w:b/>
          <w:szCs w:val="22"/>
          <w:lang w:val="sk-SK"/>
        </w:rPr>
        <w:t>DÁTUM REVÍZIE TEXTU</w:t>
      </w:r>
    </w:p>
    <w:p w:rsidR="001D29E6" w:rsidRPr="00044184" w:rsidRDefault="001D29E6" w:rsidP="00695459">
      <w:pPr>
        <w:spacing w:line="240" w:lineRule="auto"/>
        <w:rPr>
          <w:szCs w:val="22"/>
          <w:lang w:val="sk-SK"/>
        </w:rPr>
      </w:pPr>
    </w:p>
    <w:p w:rsidR="001D29E6" w:rsidRPr="00044184" w:rsidRDefault="00D33FC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01/2020</w:t>
      </w:r>
    </w:p>
    <w:sectPr w:rsidR="001D29E6" w:rsidRPr="00044184" w:rsidSect="00263E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EE" w:rsidRDefault="005A4EEE">
      <w:r>
        <w:separator/>
      </w:r>
    </w:p>
  </w:endnote>
  <w:endnote w:type="continuationSeparator" w:id="0">
    <w:p w:rsidR="005A4EEE" w:rsidRDefault="005A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ECD" w:rsidRDefault="00EC7EC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D1" w:rsidRPr="000C1913" w:rsidRDefault="008017D1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1E79F7">
      <w:rPr>
        <w:rStyle w:val="slostrany"/>
        <w:rFonts w:ascii="Times New Roman" w:hAnsi="Times New Roman"/>
        <w:sz w:val="18"/>
        <w:szCs w:val="18"/>
      </w:rPr>
      <w:fldChar w:fldCharType="begin"/>
    </w:r>
    <w:r w:rsidRPr="001E79F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E79F7">
      <w:rPr>
        <w:rStyle w:val="slostrany"/>
        <w:rFonts w:ascii="Times New Roman" w:hAnsi="Times New Roman"/>
        <w:sz w:val="18"/>
        <w:szCs w:val="18"/>
      </w:rPr>
      <w:fldChar w:fldCharType="separate"/>
    </w:r>
    <w:r w:rsidR="00263EA1">
      <w:rPr>
        <w:rStyle w:val="slostrany"/>
        <w:rFonts w:ascii="Times New Roman" w:hAnsi="Times New Roman"/>
        <w:noProof/>
        <w:sz w:val="18"/>
        <w:szCs w:val="18"/>
      </w:rPr>
      <w:t>2</w:t>
    </w:r>
    <w:r w:rsidRPr="001E79F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D1" w:rsidRPr="001E79F7" w:rsidRDefault="008017D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1E79F7">
      <w:rPr>
        <w:rStyle w:val="slostrany"/>
        <w:rFonts w:ascii="Times New Roman" w:hAnsi="Times New Roman"/>
        <w:sz w:val="18"/>
        <w:szCs w:val="18"/>
      </w:rPr>
      <w:fldChar w:fldCharType="begin"/>
    </w:r>
    <w:r w:rsidRPr="001E79F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E79F7">
      <w:rPr>
        <w:rStyle w:val="slostrany"/>
        <w:rFonts w:ascii="Times New Roman" w:hAnsi="Times New Roman"/>
        <w:sz w:val="18"/>
        <w:szCs w:val="18"/>
      </w:rPr>
      <w:fldChar w:fldCharType="separate"/>
    </w:r>
    <w:r w:rsidR="003E6DB2">
      <w:rPr>
        <w:rStyle w:val="slostrany"/>
        <w:rFonts w:ascii="Times New Roman" w:hAnsi="Times New Roman"/>
        <w:noProof/>
        <w:sz w:val="18"/>
        <w:szCs w:val="18"/>
      </w:rPr>
      <w:t>1</w:t>
    </w:r>
    <w:r w:rsidRPr="001E79F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EE" w:rsidRDefault="005A4EEE">
      <w:r>
        <w:separator/>
      </w:r>
    </w:p>
  </w:footnote>
  <w:footnote w:type="continuationSeparator" w:id="0">
    <w:p w:rsidR="005A4EEE" w:rsidRDefault="005A4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ECD" w:rsidRDefault="00EC7EC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DB2" w:rsidRDefault="003E6DB2" w:rsidP="003E6DB2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EC7ECD">
      <w:rPr>
        <w:sz w:val="18"/>
        <w:szCs w:val="18"/>
        <w:lang w:val="sk-SK"/>
      </w:rPr>
      <w:t>2</w:t>
    </w:r>
    <w:r>
      <w:rPr>
        <w:sz w:val="18"/>
        <w:szCs w:val="18"/>
        <w:lang w:val="sk-SK"/>
      </w:rPr>
      <w:t xml:space="preserve"> k notifikácii o zmene, ev. č.: 2019/0</w:t>
    </w:r>
    <w:r w:rsidR="003419DE">
      <w:rPr>
        <w:sz w:val="18"/>
        <w:szCs w:val="18"/>
        <w:lang w:val="sk-SK"/>
      </w:rPr>
      <w:t>4793-Z1B</w:t>
    </w:r>
  </w:p>
  <w:p w:rsidR="003E6DB2" w:rsidRDefault="00854989" w:rsidP="00263EA1">
    <w:pPr>
      <w:pStyle w:val="Hlavika"/>
      <w:tabs>
        <w:tab w:val="clear" w:pos="567"/>
        <w:tab w:val="clear" w:pos="4153"/>
        <w:tab w:val="clear" w:pos="8306"/>
        <w:tab w:val="left" w:pos="223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BAC" w:rsidRDefault="00946BAC" w:rsidP="00695459">
    <w:pPr>
      <w:spacing w:line="240" w:lineRule="auto"/>
      <w:rPr>
        <w:bCs/>
        <w:iCs/>
        <w:noProof/>
        <w:sz w:val="18"/>
        <w:szCs w:val="18"/>
        <w:lang w:val="sk-SK"/>
      </w:rPr>
    </w:pPr>
    <w:r w:rsidRPr="001E79F7">
      <w:rPr>
        <w:bCs/>
        <w:iCs/>
        <w:noProof/>
        <w:sz w:val="18"/>
        <w:szCs w:val="18"/>
        <w:lang w:val="sk-SK"/>
      </w:rPr>
      <w:t>Schválený text k rozhodnutiu o registrácii lieku, ev. č.:</w:t>
    </w:r>
    <w:r>
      <w:rPr>
        <w:bCs/>
        <w:iCs/>
        <w:noProof/>
        <w:sz w:val="18"/>
        <w:szCs w:val="18"/>
        <w:lang w:val="sk-SK"/>
      </w:rPr>
      <w:t xml:space="preserve"> </w:t>
    </w:r>
    <w:r w:rsidR="00753503" w:rsidRPr="00753503">
      <w:rPr>
        <w:bCs/>
        <w:iCs/>
        <w:noProof/>
        <w:sz w:val="18"/>
        <w:szCs w:val="18"/>
        <w:lang w:val="sk-SK"/>
      </w:rPr>
      <w:t>2016/03206-REG</w:t>
    </w:r>
    <w:r w:rsidR="00753503">
      <w:rPr>
        <w:bCs/>
        <w:iCs/>
        <w:noProof/>
        <w:sz w:val="18"/>
        <w:szCs w:val="18"/>
        <w:lang w:val="sk-SK"/>
      </w:rPr>
      <w:t>, 2016/03207</w:t>
    </w:r>
    <w:r w:rsidR="00753503" w:rsidRPr="00753503">
      <w:rPr>
        <w:bCs/>
        <w:iCs/>
        <w:noProof/>
        <w:sz w:val="18"/>
        <w:szCs w:val="18"/>
        <w:lang w:val="sk-SK"/>
      </w:rPr>
      <w:t>-REG</w:t>
    </w:r>
  </w:p>
  <w:p w:rsidR="00946BAC" w:rsidRDefault="003E6DB2" w:rsidP="001E79F7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2019/0</w:t>
    </w:r>
  </w:p>
  <w:p w:rsidR="003E6DB2" w:rsidRPr="001E79F7" w:rsidRDefault="003E6DB2" w:rsidP="001E79F7">
    <w:pPr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3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4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0"/>
  </w:num>
  <w:num w:numId="6">
    <w:abstractNumId w:val="20"/>
  </w:num>
  <w:num w:numId="7">
    <w:abstractNumId w:val="19"/>
  </w:num>
  <w:num w:numId="8">
    <w:abstractNumId w:val="6"/>
  </w:num>
  <w:num w:numId="9">
    <w:abstractNumId w:val="29"/>
  </w:num>
  <w:num w:numId="10">
    <w:abstractNumId w:val="30"/>
  </w:num>
  <w:num w:numId="11">
    <w:abstractNumId w:val="15"/>
  </w:num>
  <w:num w:numId="12">
    <w:abstractNumId w:val="12"/>
  </w:num>
  <w:num w:numId="13">
    <w:abstractNumId w:val="2"/>
  </w:num>
  <w:num w:numId="14">
    <w:abstractNumId w:val="28"/>
  </w:num>
  <w:num w:numId="15">
    <w:abstractNumId w:val="17"/>
  </w:num>
  <w:num w:numId="16">
    <w:abstractNumId w:val="33"/>
  </w:num>
  <w:num w:numId="17">
    <w:abstractNumId w:val="7"/>
  </w:num>
  <w:num w:numId="18">
    <w:abstractNumId w:val="1"/>
  </w:num>
  <w:num w:numId="19">
    <w:abstractNumId w:val="16"/>
  </w:num>
  <w:num w:numId="20">
    <w:abstractNumId w:val="3"/>
  </w:num>
  <w:num w:numId="21">
    <w:abstractNumId w:val="5"/>
  </w:num>
  <w:num w:numId="22">
    <w:abstractNumId w:val="23"/>
  </w:num>
  <w:num w:numId="23">
    <w:abstractNumId w:val="27"/>
  </w:num>
  <w:num w:numId="24">
    <w:abstractNumId w:val="22"/>
  </w:num>
  <w:num w:numId="25">
    <w:abstractNumId w:val="11"/>
  </w:num>
  <w:num w:numId="26">
    <w:abstractNumId w:val="9"/>
  </w:num>
  <w:num w:numId="27">
    <w:abstractNumId w:val="18"/>
  </w:num>
  <w:num w:numId="28">
    <w:abstractNumId w:val="21"/>
  </w:num>
  <w:num w:numId="29">
    <w:abstractNumId w:val="13"/>
  </w:num>
  <w:num w:numId="30">
    <w:abstractNumId w:val="8"/>
  </w:num>
  <w:num w:numId="31">
    <w:abstractNumId w:val="25"/>
  </w:num>
  <w:num w:numId="32">
    <w:abstractNumId w:val="26"/>
  </w:num>
  <w:num w:numId="33">
    <w:abstractNumId w:val="24"/>
  </w:num>
  <w:num w:numId="34">
    <w:abstractNumId w:val="14"/>
  </w:num>
  <w:num w:numId="35">
    <w:abstractNumId w:val="4"/>
  </w:num>
  <w:num w:numId="36">
    <w:abstractNumId w:val="34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1D2E"/>
    <w:rsid w:val="000020AD"/>
    <w:rsid w:val="00002A06"/>
    <w:rsid w:val="00004003"/>
    <w:rsid w:val="000064E6"/>
    <w:rsid w:val="00006CEA"/>
    <w:rsid w:val="000100B7"/>
    <w:rsid w:val="00011E2B"/>
    <w:rsid w:val="00012256"/>
    <w:rsid w:val="00012337"/>
    <w:rsid w:val="000131C2"/>
    <w:rsid w:val="00015A43"/>
    <w:rsid w:val="000172DE"/>
    <w:rsid w:val="000331D9"/>
    <w:rsid w:val="000401B1"/>
    <w:rsid w:val="0004165F"/>
    <w:rsid w:val="00042120"/>
    <w:rsid w:val="000425D4"/>
    <w:rsid w:val="00043B8F"/>
    <w:rsid w:val="00044184"/>
    <w:rsid w:val="0004554B"/>
    <w:rsid w:val="0004629A"/>
    <w:rsid w:val="000471F2"/>
    <w:rsid w:val="000505A5"/>
    <w:rsid w:val="000541D1"/>
    <w:rsid w:val="00056DB0"/>
    <w:rsid w:val="00061E2F"/>
    <w:rsid w:val="000636A7"/>
    <w:rsid w:val="000638B5"/>
    <w:rsid w:val="000660E4"/>
    <w:rsid w:val="0006676A"/>
    <w:rsid w:val="00067D17"/>
    <w:rsid w:val="0007116D"/>
    <w:rsid w:val="00083518"/>
    <w:rsid w:val="00083B6F"/>
    <w:rsid w:val="0008461E"/>
    <w:rsid w:val="0008517A"/>
    <w:rsid w:val="00086AB7"/>
    <w:rsid w:val="00086E10"/>
    <w:rsid w:val="0008702F"/>
    <w:rsid w:val="0009378A"/>
    <w:rsid w:val="00093D68"/>
    <w:rsid w:val="00093FCA"/>
    <w:rsid w:val="000A1398"/>
    <w:rsid w:val="000A3949"/>
    <w:rsid w:val="000B10AC"/>
    <w:rsid w:val="000B7972"/>
    <w:rsid w:val="000C1913"/>
    <w:rsid w:val="000D1374"/>
    <w:rsid w:val="000D2AF9"/>
    <w:rsid w:val="000D2FAA"/>
    <w:rsid w:val="000D317C"/>
    <w:rsid w:val="000D448D"/>
    <w:rsid w:val="000D7AA6"/>
    <w:rsid w:val="000E232D"/>
    <w:rsid w:val="000E2A20"/>
    <w:rsid w:val="000E314C"/>
    <w:rsid w:val="000E3386"/>
    <w:rsid w:val="000E749B"/>
    <w:rsid w:val="000E7672"/>
    <w:rsid w:val="000F001D"/>
    <w:rsid w:val="000F705B"/>
    <w:rsid w:val="000F7885"/>
    <w:rsid w:val="00102C66"/>
    <w:rsid w:val="00103BA3"/>
    <w:rsid w:val="00111E57"/>
    <w:rsid w:val="00111E8A"/>
    <w:rsid w:val="0011727D"/>
    <w:rsid w:val="00120BA4"/>
    <w:rsid w:val="00123344"/>
    <w:rsid w:val="0012414E"/>
    <w:rsid w:val="0012420A"/>
    <w:rsid w:val="0012464D"/>
    <w:rsid w:val="001248B2"/>
    <w:rsid w:val="00124AF0"/>
    <w:rsid w:val="00124DB9"/>
    <w:rsid w:val="00140B98"/>
    <w:rsid w:val="00140C70"/>
    <w:rsid w:val="00144296"/>
    <w:rsid w:val="00146E9A"/>
    <w:rsid w:val="00150B0E"/>
    <w:rsid w:val="001511E9"/>
    <w:rsid w:val="00152CC5"/>
    <w:rsid w:val="00152E50"/>
    <w:rsid w:val="00153CDF"/>
    <w:rsid w:val="001659FC"/>
    <w:rsid w:val="00167629"/>
    <w:rsid w:val="001729F2"/>
    <w:rsid w:val="001758D8"/>
    <w:rsid w:val="001803C4"/>
    <w:rsid w:val="001830A0"/>
    <w:rsid w:val="00185256"/>
    <w:rsid w:val="00185851"/>
    <w:rsid w:val="00187617"/>
    <w:rsid w:val="001921BD"/>
    <w:rsid w:val="001961D1"/>
    <w:rsid w:val="00197675"/>
    <w:rsid w:val="00197D0B"/>
    <w:rsid w:val="001A1882"/>
    <w:rsid w:val="001A51A9"/>
    <w:rsid w:val="001A6A5B"/>
    <w:rsid w:val="001B61E8"/>
    <w:rsid w:val="001B695F"/>
    <w:rsid w:val="001B7AC5"/>
    <w:rsid w:val="001C2273"/>
    <w:rsid w:val="001C7A30"/>
    <w:rsid w:val="001C7A98"/>
    <w:rsid w:val="001C7B04"/>
    <w:rsid w:val="001D29E6"/>
    <w:rsid w:val="001D4A1B"/>
    <w:rsid w:val="001D6844"/>
    <w:rsid w:val="001E0519"/>
    <w:rsid w:val="001E0F06"/>
    <w:rsid w:val="001E2EBB"/>
    <w:rsid w:val="001E3123"/>
    <w:rsid w:val="001E4BB6"/>
    <w:rsid w:val="001E5E36"/>
    <w:rsid w:val="001E7972"/>
    <w:rsid w:val="001E79F7"/>
    <w:rsid w:val="001F2D8A"/>
    <w:rsid w:val="001F3539"/>
    <w:rsid w:val="001F50F5"/>
    <w:rsid w:val="00200FA6"/>
    <w:rsid w:val="002074BB"/>
    <w:rsid w:val="002075CD"/>
    <w:rsid w:val="002108F2"/>
    <w:rsid w:val="00211F4D"/>
    <w:rsid w:val="0021335F"/>
    <w:rsid w:val="00213531"/>
    <w:rsid w:val="00215C65"/>
    <w:rsid w:val="00216317"/>
    <w:rsid w:val="002170F8"/>
    <w:rsid w:val="0021717F"/>
    <w:rsid w:val="002175C2"/>
    <w:rsid w:val="00222454"/>
    <w:rsid w:val="002249EC"/>
    <w:rsid w:val="00225AAB"/>
    <w:rsid w:val="002316ED"/>
    <w:rsid w:val="00232029"/>
    <w:rsid w:val="00236006"/>
    <w:rsid w:val="002361D2"/>
    <w:rsid w:val="0023643F"/>
    <w:rsid w:val="00237C88"/>
    <w:rsid w:val="00242845"/>
    <w:rsid w:val="00242FBE"/>
    <w:rsid w:val="002433AC"/>
    <w:rsid w:val="00244995"/>
    <w:rsid w:val="00244D3B"/>
    <w:rsid w:val="00245193"/>
    <w:rsid w:val="002451C8"/>
    <w:rsid w:val="00246C7F"/>
    <w:rsid w:val="00251362"/>
    <w:rsid w:val="00251790"/>
    <w:rsid w:val="00251ED6"/>
    <w:rsid w:val="00251EDB"/>
    <w:rsid w:val="002532F3"/>
    <w:rsid w:val="002537D0"/>
    <w:rsid w:val="00253847"/>
    <w:rsid w:val="002541E4"/>
    <w:rsid w:val="00254557"/>
    <w:rsid w:val="00254CA9"/>
    <w:rsid w:val="002550B8"/>
    <w:rsid w:val="002556D8"/>
    <w:rsid w:val="0025652B"/>
    <w:rsid w:val="00256B05"/>
    <w:rsid w:val="00263EA1"/>
    <w:rsid w:val="002659F7"/>
    <w:rsid w:val="00267541"/>
    <w:rsid w:val="00271135"/>
    <w:rsid w:val="00271350"/>
    <w:rsid w:val="002747F3"/>
    <w:rsid w:val="002822EB"/>
    <w:rsid w:val="002826DD"/>
    <w:rsid w:val="002839CF"/>
    <w:rsid w:val="002879C0"/>
    <w:rsid w:val="0029023C"/>
    <w:rsid w:val="00291492"/>
    <w:rsid w:val="002945E4"/>
    <w:rsid w:val="002954AB"/>
    <w:rsid w:val="0029721A"/>
    <w:rsid w:val="002A4DE7"/>
    <w:rsid w:val="002A7842"/>
    <w:rsid w:val="002B0B7C"/>
    <w:rsid w:val="002B4445"/>
    <w:rsid w:val="002B57B9"/>
    <w:rsid w:val="002B68F4"/>
    <w:rsid w:val="002C3B5F"/>
    <w:rsid w:val="002E190A"/>
    <w:rsid w:val="002E3C1D"/>
    <w:rsid w:val="002E5E54"/>
    <w:rsid w:val="002E6C14"/>
    <w:rsid w:val="002F19CC"/>
    <w:rsid w:val="002F20FB"/>
    <w:rsid w:val="002F2D2C"/>
    <w:rsid w:val="002F45FA"/>
    <w:rsid w:val="002F74C9"/>
    <w:rsid w:val="00303190"/>
    <w:rsid w:val="00305614"/>
    <w:rsid w:val="0030708B"/>
    <w:rsid w:val="00307816"/>
    <w:rsid w:val="003119BB"/>
    <w:rsid w:val="0031220F"/>
    <w:rsid w:val="00314397"/>
    <w:rsid w:val="00314E6A"/>
    <w:rsid w:val="00320D77"/>
    <w:rsid w:val="00321AEB"/>
    <w:rsid w:val="00323AC2"/>
    <w:rsid w:val="003247A1"/>
    <w:rsid w:val="00324A71"/>
    <w:rsid w:val="00324A74"/>
    <w:rsid w:val="003254F7"/>
    <w:rsid w:val="00325CA6"/>
    <w:rsid w:val="00326805"/>
    <w:rsid w:val="00326C72"/>
    <w:rsid w:val="00326F46"/>
    <w:rsid w:val="00331AB4"/>
    <w:rsid w:val="003329EE"/>
    <w:rsid w:val="0034005B"/>
    <w:rsid w:val="003419DE"/>
    <w:rsid w:val="003428A7"/>
    <w:rsid w:val="00343A1A"/>
    <w:rsid w:val="00343A72"/>
    <w:rsid w:val="003446FB"/>
    <w:rsid w:val="0034746B"/>
    <w:rsid w:val="00350614"/>
    <w:rsid w:val="0035066B"/>
    <w:rsid w:val="00350BB5"/>
    <w:rsid w:val="00352703"/>
    <w:rsid w:val="003532C8"/>
    <w:rsid w:val="00354707"/>
    <w:rsid w:val="00362B3D"/>
    <w:rsid w:val="00365836"/>
    <w:rsid w:val="00370E2A"/>
    <w:rsid w:val="00371299"/>
    <w:rsid w:val="00371839"/>
    <w:rsid w:val="003741D3"/>
    <w:rsid w:val="00381B0D"/>
    <w:rsid w:val="0038506A"/>
    <w:rsid w:val="00387BEE"/>
    <w:rsid w:val="00390C15"/>
    <w:rsid w:val="0039307A"/>
    <w:rsid w:val="0039476C"/>
    <w:rsid w:val="003A3887"/>
    <w:rsid w:val="003A50D7"/>
    <w:rsid w:val="003A5623"/>
    <w:rsid w:val="003A6A76"/>
    <w:rsid w:val="003A6F9F"/>
    <w:rsid w:val="003B1E17"/>
    <w:rsid w:val="003B3D77"/>
    <w:rsid w:val="003B61C0"/>
    <w:rsid w:val="003B6A37"/>
    <w:rsid w:val="003C17B7"/>
    <w:rsid w:val="003C1BE1"/>
    <w:rsid w:val="003C3499"/>
    <w:rsid w:val="003C45C2"/>
    <w:rsid w:val="003D0072"/>
    <w:rsid w:val="003D1A15"/>
    <w:rsid w:val="003D1F46"/>
    <w:rsid w:val="003D212C"/>
    <w:rsid w:val="003D2235"/>
    <w:rsid w:val="003D3020"/>
    <w:rsid w:val="003D5051"/>
    <w:rsid w:val="003D5C27"/>
    <w:rsid w:val="003D62A7"/>
    <w:rsid w:val="003D69B4"/>
    <w:rsid w:val="003D7696"/>
    <w:rsid w:val="003D7829"/>
    <w:rsid w:val="003D7BE7"/>
    <w:rsid w:val="003E07C8"/>
    <w:rsid w:val="003E10AD"/>
    <w:rsid w:val="003E355A"/>
    <w:rsid w:val="003E414D"/>
    <w:rsid w:val="003E6DB2"/>
    <w:rsid w:val="003E75AB"/>
    <w:rsid w:val="003F1F7E"/>
    <w:rsid w:val="003F54F3"/>
    <w:rsid w:val="004014CC"/>
    <w:rsid w:val="00407159"/>
    <w:rsid w:val="00407731"/>
    <w:rsid w:val="00411E51"/>
    <w:rsid w:val="00415992"/>
    <w:rsid w:val="00422341"/>
    <w:rsid w:val="00422FEF"/>
    <w:rsid w:val="004254F5"/>
    <w:rsid w:val="00427BAE"/>
    <w:rsid w:val="00434064"/>
    <w:rsid w:val="004347DE"/>
    <w:rsid w:val="004357EC"/>
    <w:rsid w:val="0045162F"/>
    <w:rsid w:val="004577D8"/>
    <w:rsid w:val="004615AA"/>
    <w:rsid w:val="00461782"/>
    <w:rsid w:val="00467641"/>
    <w:rsid w:val="004700C0"/>
    <w:rsid w:val="00475995"/>
    <w:rsid w:val="00475B2C"/>
    <w:rsid w:val="00476133"/>
    <w:rsid w:val="0048235D"/>
    <w:rsid w:val="00482424"/>
    <w:rsid w:val="00483FBF"/>
    <w:rsid w:val="00484B49"/>
    <w:rsid w:val="00487A07"/>
    <w:rsid w:val="00487FAC"/>
    <w:rsid w:val="00490DEC"/>
    <w:rsid w:val="0049143F"/>
    <w:rsid w:val="00494D81"/>
    <w:rsid w:val="00494D95"/>
    <w:rsid w:val="00495F4F"/>
    <w:rsid w:val="004A0A6D"/>
    <w:rsid w:val="004A4026"/>
    <w:rsid w:val="004A4235"/>
    <w:rsid w:val="004A5069"/>
    <w:rsid w:val="004A5289"/>
    <w:rsid w:val="004A581A"/>
    <w:rsid w:val="004A6A72"/>
    <w:rsid w:val="004B1C75"/>
    <w:rsid w:val="004B26A8"/>
    <w:rsid w:val="004B33D4"/>
    <w:rsid w:val="004B3850"/>
    <w:rsid w:val="004B6725"/>
    <w:rsid w:val="004C0805"/>
    <w:rsid w:val="004C582F"/>
    <w:rsid w:val="004D0A08"/>
    <w:rsid w:val="004D4074"/>
    <w:rsid w:val="004D7FB5"/>
    <w:rsid w:val="004E1D6C"/>
    <w:rsid w:val="004E3C8F"/>
    <w:rsid w:val="004E675C"/>
    <w:rsid w:val="004F4044"/>
    <w:rsid w:val="005022DB"/>
    <w:rsid w:val="00515F2F"/>
    <w:rsid w:val="005161BF"/>
    <w:rsid w:val="005173E4"/>
    <w:rsid w:val="00517957"/>
    <w:rsid w:val="00517CC1"/>
    <w:rsid w:val="00521F11"/>
    <w:rsid w:val="0052330B"/>
    <w:rsid w:val="005326B4"/>
    <w:rsid w:val="00534F9C"/>
    <w:rsid w:val="00536961"/>
    <w:rsid w:val="0054188F"/>
    <w:rsid w:val="0054199C"/>
    <w:rsid w:val="00543163"/>
    <w:rsid w:val="0054656E"/>
    <w:rsid w:val="00546B5C"/>
    <w:rsid w:val="00547410"/>
    <w:rsid w:val="00547F89"/>
    <w:rsid w:val="00550F8D"/>
    <w:rsid w:val="00552697"/>
    <w:rsid w:val="005604D5"/>
    <w:rsid w:val="00560E91"/>
    <w:rsid w:val="00561C6A"/>
    <w:rsid w:val="00563420"/>
    <w:rsid w:val="0056412C"/>
    <w:rsid w:val="005665FB"/>
    <w:rsid w:val="00566F94"/>
    <w:rsid w:val="0056769B"/>
    <w:rsid w:val="00571350"/>
    <w:rsid w:val="0057244C"/>
    <w:rsid w:val="00574EC7"/>
    <w:rsid w:val="005816D3"/>
    <w:rsid w:val="005817D5"/>
    <w:rsid w:val="00582783"/>
    <w:rsid w:val="005859C2"/>
    <w:rsid w:val="00587CC2"/>
    <w:rsid w:val="00592918"/>
    <w:rsid w:val="00594AD7"/>
    <w:rsid w:val="005954DA"/>
    <w:rsid w:val="0059608B"/>
    <w:rsid w:val="00596BDB"/>
    <w:rsid w:val="00597813"/>
    <w:rsid w:val="005A057C"/>
    <w:rsid w:val="005A099B"/>
    <w:rsid w:val="005A1707"/>
    <w:rsid w:val="005A2F9E"/>
    <w:rsid w:val="005A3EBF"/>
    <w:rsid w:val="005A4EEE"/>
    <w:rsid w:val="005B2C33"/>
    <w:rsid w:val="005B6D09"/>
    <w:rsid w:val="005B7902"/>
    <w:rsid w:val="005C1FE4"/>
    <w:rsid w:val="005C298D"/>
    <w:rsid w:val="005C3637"/>
    <w:rsid w:val="005C58B4"/>
    <w:rsid w:val="005D328B"/>
    <w:rsid w:val="005D381E"/>
    <w:rsid w:val="005D3DDC"/>
    <w:rsid w:val="005E13DA"/>
    <w:rsid w:val="005E244E"/>
    <w:rsid w:val="005E2F26"/>
    <w:rsid w:val="005E532B"/>
    <w:rsid w:val="005E7CAD"/>
    <w:rsid w:val="005F2DFD"/>
    <w:rsid w:val="005F4BD3"/>
    <w:rsid w:val="005F56C3"/>
    <w:rsid w:val="005F6412"/>
    <w:rsid w:val="005F7B5B"/>
    <w:rsid w:val="006021CC"/>
    <w:rsid w:val="00602C5C"/>
    <w:rsid w:val="0060334F"/>
    <w:rsid w:val="00603AE0"/>
    <w:rsid w:val="00604F92"/>
    <w:rsid w:val="00607091"/>
    <w:rsid w:val="006077E2"/>
    <w:rsid w:val="00610B88"/>
    <w:rsid w:val="006110A5"/>
    <w:rsid w:val="00611D68"/>
    <w:rsid w:val="006127BF"/>
    <w:rsid w:val="00614CC1"/>
    <w:rsid w:val="00615852"/>
    <w:rsid w:val="00616BCA"/>
    <w:rsid w:val="00617CB6"/>
    <w:rsid w:val="00617FB7"/>
    <w:rsid w:val="0062049F"/>
    <w:rsid w:val="00621115"/>
    <w:rsid w:val="00622D1E"/>
    <w:rsid w:val="006271B5"/>
    <w:rsid w:val="00627ACD"/>
    <w:rsid w:val="00630AB1"/>
    <w:rsid w:val="006311C2"/>
    <w:rsid w:val="00632E7A"/>
    <w:rsid w:val="006341BC"/>
    <w:rsid w:val="00636953"/>
    <w:rsid w:val="00636C78"/>
    <w:rsid w:val="00636EEC"/>
    <w:rsid w:val="00642E0C"/>
    <w:rsid w:val="0064350F"/>
    <w:rsid w:val="006443DD"/>
    <w:rsid w:val="0064589E"/>
    <w:rsid w:val="00645A30"/>
    <w:rsid w:val="006501FD"/>
    <w:rsid w:val="00650557"/>
    <w:rsid w:val="00651206"/>
    <w:rsid w:val="00651C03"/>
    <w:rsid w:val="006542D9"/>
    <w:rsid w:val="006560FD"/>
    <w:rsid w:val="006618AC"/>
    <w:rsid w:val="006622A9"/>
    <w:rsid w:val="006653F5"/>
    <w:rsid w:val="00675F45"/>
    <w:rsid w:val="006779B5"/>
    <w:rsid w:val="00681E9D"/>
    <w:rsid w:val="00687330"/>
    <w:rsid w:val="00695459"/>
    <w:rsid w:val="00696A39"/>
    <w:rsid w:val="006A4BDE"/>
    <w:rsid w:val="006A5078"/>
    <w:rsid w:val="006A522E"/>
    <w:rsid w:val="006A52A5"/>
    <w:rsid w:val="006A6B42"/>
    <w:rsid w:val="006A6B65"/>
    <w:rsid w:val="006A7C47"/>
    <w:rsid w:val="006B10E9"/>
    <w:rsid w:val="006B3BA1"/>
    <w:rsid w:val="006B6121"/>
    <w:rsid w:val="006B70E2"/>
    <w:rsid w:val="006C03DC"/>
    <w:rsid w:val="006C3278"/>
    <w:rsid w:val="006C3C1E"/>
    <w:rsid w:val="006C4A00"/>
    <w:rsid w:val="006C5957"/>
    <w:rsid w:val="006C7354"/>
    <w:rsid w:val="006D301F"/>
    <w:rsid w:val="006E03A8"/>
    <w:rsid w:val="006E1A64"/>
    <w:rsid w:val="006E3F4F"/>
    <w:rsid w:val="006E66B9"/>
    <w:rsid w:val="006E7342"/>
    <w:rsid w:val="006E7696"/>
    <w:rsid w:val="006F5A65"/>
    <w:rsid w:val="006F5E72"/>
    <w:rsid w:val="0070001B"/>
    <w:rsid w:val="00706F4A"/>
    <w:rsid w:val="00707F53"/>
    <w:rsid w:val="00713811"/>
    <w:rsid w:val="00715E22"/>
    <w:rsid w:val="007208FB"/>
    <w:rsid w:val="0072215F"/>
    <w:rsid w:val="00727706"/>
    <w:rsid w:val="00727820"/>
    <w:rsid w:val="00727E17"/>
    <w:rsid w:val="00730C64"/>
    <w:rsid w:val="007349B2"/>
    <w:rsid w:val="00745657"/>
    <w:rsid w:val="007463E5"/>
    <w:rsid w:val="00746824"/>
    <w:rsid w:val="0075093E"/>
    <w:rsid w:val="0075145C"/>
    <w:rsid w:val="00752989"/>
    <w:rsid w:val="0075321F"/>
    <w:rsid w:val="00753503"/>
    <w:rsid w:val="007540D7"/>
    <w:rsid w:val="00754393"/>
    <w:rsid w:val="0075588E"/>
    <w:rsid w:val="00757A2C"/>
    <w:rsid w:val="007600ED"/>
    <w:rsid w:val="00760459"/>
    <w:rsid w:val="00760BF7"/>
    <w:rsid w:val="00764609"/>
    <w:rsid w:val="007710EC"/>
    <w:rsid w:val="00772990"/>
    <w:rsid w:val="00773681"/>
    <w:rsid w:val="00773F4F"/>
    <w:rsid w:val="00774AFE"/>
    <w:rsid w:val="007765AF"/>
    <w:rsid w:val="00777769"/>
    <w:rsid w:val="0078151D"/>
    <w:rsid w:val="00784A0A"/>
    <w:rsid w:val="0079132A"/>
    <w:rsid w:val="00792C05"/>
    <w:rsid w:val="007A1E77"/>
    <w:rsid w:val="007A2972"/>
    <w:rsid w:val="007A44EA"/>
    <w:rsid w:val="007B0E88"/>
    <w:rsid w:val="007C0567"/>
    <w:rsid w:val="007C1157"/>
    <w:rsid w:val="007C1844"/>
    <w:rsid w:val="007C3866"/>
    <w:rsid w:val="007C45F7"/>
    <w:rsid w:val="007C49E5"/>
    <w:rsid w:val="007C56FF"/>
    <w:rsid w:val="007C5A80"/>
    <w:rsid w:val="007D012D"/>
    <w:rsid w:val="007D1C70"/>
    <w:rsid w:val="007D3315"/>
    <w:rsid w:val="007D6E01"/>
    <w:rsid w:val="007D72E5"/>
    <w:rsid w:val="007E1DD4"/>
    <w:rsid w:val="007E24B4"/>
    <w:rsid w:val="007E2D79"/>
    <w:rsid w:val="007E5DA3"/>
    <w:rsid w:val="007E73B1"/>
    <w:rsid w:val="007E77D3"/>
    <w:rsid w:val="007F0DBA"/>
    <w:rsid w:val="007F1BF0"/>
    <w:rsid w:val="007F645C"/>
    <w:rsid w:val="00800BF0"/>
    <w:rsid w:val="008017D1"/>
    <w:rsid w:val="00806674"/>
    <w:rsid w:val="00806AEE"/>
    <w:rsid w:val="00815197"/>
    <w:rsid w:val="0081699A"/>
    <w:rsid w:val="00816E6C"/>
    <w:rsid w:val="008223CA"/>
    <w:rsid w:val="00823B4B"/>
    <w:rsid w:val="0082429F"/>
    <w:rsid w:val="008251F7"/>
    <w:rsid w:val="00825A68"/>
    <w:rsid w:val="00825CF6"/>
    <w:rsid w:val="00826C0D"/>
    <w:rsid w:val="00835826"/>
    <w:rsid w:val="0083622D"/>
    <w:rsid w:val="008376FB"/>
    <w:rsid w:val="0083799A"/>
    <w:rsid w:val="00840073"/>
    <w:rsid w:val="0084086B"/>
    <w:rsid w:val="0084172C"/>
    <w:rsid w:val="00841C25"/>
    <w:rsid w:val="00841CB8"/>
    <w:rsid w:val="008442E6"/>
    <w:rsid w:val="00844F9D"/>
    <w:rsid w:val="008456D6"/>
    <w:rsid w:val="00845D2F"/>
    <w:rsid w:val="00847353"/>
    <w:rsid w:val="00851F4B"/>
    <w:rsid w:val="00852A10"/>
    <w:rsid w:val="00854989"/>
    <w:rsid w:val="00855D87"/>
    <w:rsid w:val="00857870"/>
    <w:rsid w:val="00857A3F"/>
    <w:rsid w:val="00857BB6"/>
    <w:rsid w:val="00857FFC"/>
    <w:rsid w:val="008655CD"/>
    <w:rsid w:val="00871072"/>
    <w:rsid w:val="008714D2"/>
    <w:rsid w:val="0087242E"/>
    <w:rsid w:val="0087542F"/>
    <w:rsid w:val="00877026"/>
    <w:rsid w:val="0088008D"/>
    <w:rsid w:val="00884C75"/>
    <w:rsid w:val="00887B65"/>
    <w:rsid w:val="00887CC8"/>
    <w:rsid w:val="0089130F"/>
    <w:rsid w:val="00892D76"/>
    <w:rsid w:val="008952F1"/>
    <w:rsid w:val="008959FC"/>
    <w:rsid w:val="00896504"/>
    <w:rsid w:val="00896FAD"/>
    <w:rsid w:val="008A3D6B"/>
    <w:rsid w:val="008A59BB"/>
    <w:rsid w:val="008A7EC3"/>
    <w:rsid w:val="008B58C0"/>
    <w:rsid w:val="008B7347"/>
    <w:rsid w:val="008C0597"/>
    <w:rsid w:val="008C24B6"/>
    <w:rsid w:val="008C3DC6"/>
    <w:rsid w:val="008D0021"/>
    <w:rsid w:val="008D0D1C"/>
    <w:rsid w:val="008D0D56"/>
    <w:rsid w:val="008D404A"/>
    <w:rsid w:val="008E17D9"/>
    <w:rsid w:val="008F0AD8"/>
    <w:rsid w:val="008F30E5"/>
    <w:rsid w:val="008F4F1B"/>
    <w:rsid w:val="008F7368"/>
    <w:rsid w:val="009004CC"/>
    <w:rsid w:val="00901C8A"/>
    <w:rsid w:val="0090343D"/>
    <w:rsid w:val="00903DD6"/>
    <w:rsid w:val="00904002"/>
    <w:rsid w:val="009060D6"/>
    <w:rsid w:val="009066C6"/>
    <w:rsid w:val="0090779D"/>
    <w:rsid w:val="00910954"/>
    <w:rsid w:val="00913D7E"/>
    <w:rsid w:val="00915B61"/>
    <w:rsid w:val="00924450"/>
    <w:rsid w:val="009250EB"/>
    <w:rsid w:val="009279B7"/>
    <w:rsid w:val="00940A35"/>
    <w:rsid w:val="009450BC"/>
    <w:rsid w:val="00945CB3"/>
    <w:rsid w:val="00946BAC"/>
    <w:rsid w:val="00950791"/>
    <w:rsid w:val="00951376"/>
    <w:rsid w:val="0095447A"/>
    <w:rsid w:val="00954A29"/>
    <w:rsid w:val="00955C80"/>
    <w:rsid w:val="0095682C"/>
    <w:rsid w:val="009575A0"/>
    <w:rsid w:val="00957601"/>
    <w:rsid w:val="009604FD"/>
    <w:rsid w:val="00962267"/>
    <w:rsid w:val="009623D3"/>
    <w:rsid w:val="00962635"/>
    <w:rsid w:val="009657CF"/>
    <w:rsid w:val="00971030"/>
    <w:rsid w:val="00974649"/>
    <w:rsid w:val="00977399"/>
    <w:rsid w:val="009829E7"/>
    <w:rsid w:val="00984DE0"/>
    <w:rsid w:val="00992973"/>
    <w:rsid w:val="0099472E"/>
    <w:rsid w:val="0099612C"/>
    <w:rsid w:val="00997B0A"/>
    <w:rsid w:val="00997F03"/>
    <w:rsid w:val="009A01C2"/>
    <w:rsid w:val="009A099E"/>
    <w:rsid w:val="009A48AD"/>
    <w:rsid w:val="009B0169"/>
    <w:rsid w:val="009B08FF"/>
    <w:rsid w:val="009B15D1"/>
    <w:rsid w:val="009B1C52"/>
    <w:rsid w:val="009B4269"/>
    <w:rsid w:val="009C5154"/>
    <w:rsid w:val="009C5B86"/>
    <w:rsid w:val="009D04B7"/>
    <w:rsid w:val="009D05D6"/>
    <w:rsid w:val="009D0D8B"/>
    <w:rsid w:val="009D2E37"/>
    <w:rsid w:val="009D3BD2"/>
    <w:rsid w:val="009D7F0F"/>
    <w:rsid w:val="009E3167"/>
    <w:rsid w:val="009E58DB"/>
    <w:rsid w:val="009E646D"/>
    <w:rsid w:val="009F233D"/>
    <w:rsid w:val="009F4BA4"/>
    <w:rsid w:val="009F733F"/>
    <w:rsid w:val="00A0248D"/>
    <w:rsid w:val="00A02B83"/>
    <w:rsid w:val="00A04313"/>
    <w:rsid w:val="00A06198"/>
    <w:rsid w:val="00A1234C"/>
    <w:rsid w:val="00A140DF"/>
    <w:rsid w:val="00A2047F"/>
    <w:rsid w:val="00A20993"/>
    <w:rsid w:val="00A210A9"/>
    <w:rsid w:val="00A211EF"/>
    <w:rsid w:val="00A21A54"/>
    <w:rsid w:val="00A21F7C"/>
    <w:rsid w:val="00A21F90"/>
    <w:rsid w:val="00A23D89"/>
    <w:rsid w:val="00A2473E"/>
    <w:rsid w:val="00A25911"/>
    <w:rsid w:val="00A26BB4"/>
    <w:rsid w:val="00A306EE"/>
    <w:rsid w:val="00A315D8"/>
    <w:rsid w:val="00A31DB8"/>
    <w:rsid w:val="00A359C3"/>
    <w:rsid w:val="00A36E35"/>
    <w:rsid w:val="00A40754"/>
    <w:rsid w:val="00A42691"/>
    <w:rsid w:val="00A45BE9"/>
    <w:rsid w:val="00A50657"/>
    <w:rsid w:val="00A52CB1"/>
    <w:rsid w:val="00A542A7"/>
    <w:rsid w:val="00A54618"/>
    <w:rsid w:val="00A56D6A"/>
    <w:rsid w:val="00A57054"/>
    <w:rsid w:val="00A615CC"/>
    <w:rsid w:val="00A61D57"/>
    <w:rsid w:val="00A62132"/>
    <w:rsid w:val="00A63583"/>
    <w:rsid w:val="00A655AD"/>
    <w:rsid w:val="00A65DFF"/>
    <w:rsid w:val="00A66731"/>
    <w:rsid w:val="00A70A18"/>
    <w:rsid w:val="00A70A37"/>
    <w:rsid w:val="00A72FFF"/>
    <w:rsid w:val="00A73320"/>
    <w:rsid w:val="00A772FC"/>
    <w:rsid w:val="00A8187A"/>
    <w:rsid w:val="00A83942"/>
    <w:rsid w:val="00A9093B"/>
    <w:rsid w:val="00A90A53"/>
    <w:rsid w:val="00A910E0"/>
    <w:rsid w:val="00A91C62"/>
    <w:rsid w:val="00A926F4"/>
    <w:rsid w:val="00A93563"/>
    <w:rsid w:val="00A969B6"/>
    <w:rsid w:val="00A9765F"/>
    <w:rsid w:val="00AA255C"/>
    <w:rsid w:val="00AA308D"/>
    <w:rsid w:val="00AA36EE"/>
    <w:rsid w:val="00AA45D7"/>
    <w:rsid w:val="00AA6058"/>
    <w:rsid w:val="00AA6987"/>
    <w:rsid w:val="00AA6CA8"/>
    <w:rsid w:val="00AA77AE"/>
    <w:rsid w:val="00AB24F8"/>
    <w:rsid w:val="00AB3604"/>
    <w:rsid w:val="00AB7FE1"/>
    <w:rsid w:val="00AC3E02"/>
    <w:rsid w:val="00AD2099"/>
    <w:rsid w:val="00AD44A3"/>
    <w:rsid w:val="00AD4C42"/>
    <w:rsid w:val="00AD53B6"/>
    <w:rsid w:val="00AD7A69"/>
    <w:rsid w:val="00AE05A5"/>
    <w:rsid w:val="00AE2522"/>
    <w:rsid w:val="00AE2DD1"/>
    <w:rsid w:val="00AE60DA"/>
    <w:rsid w:val="00AF0A54"/>
    <w:rsid w:val="00AF3342"/>
    <w:rsid w:val="00AF48FD"/>
    <w:rsid w:val="00AF50D7"/>
    <w:rsid w:val="00B00423"/>
    <w:rsid w:val="00B02B79"/>
    <w:rsid w:val="00B0375F"/>
    <w:rsid w:val="00B05765"/>
    <w:rsid w:val="00B05E56"/>
    <w:rsid w:val="00B12D51"/>
    <w:rsid w:val="00B12DFB"/>
    <w:rsid w:val="00B12E52"/>
    <w:rsid w:val="00B154E1"/>
    <w:rsid w:val="00B17BF2"/>
    <w:rsid w:val="00B20F2E"/>
    <w:rsid w:val="00B21270"/>
    <w:rsid w:val="00B32219"/>
    <w:rsid w:val="00B329FD"/>
    <w:rsid w:val="00B350B2"/>
    <w:rsid w:val="00B3579D"/>
    <w:rsid w:val="00B4077A"/>
    <w:rsid w:val="00B41980"/>
    <w:rsid w:val="00B41BA2"/>
    <w:rsid w:val="00B443FB"/>
    <w:rsid w:val="00B468EF"/>
    <w:rsid w:val="00B51C1F"/>
    <w:rsid w:val="00B53179"/>
    <w:rsid w:val="00B54AFE"/>
    <w:rsid w:val="00B56F40"/>
    <w:rsid w:val="00B57E3D"/>
    <w:rsid w:val="00B60D0A"/>
    <w:rsid w:val="00B60FA0"/>
    <w:rsid w:val="00B6221F"/>
    <w:rsid w:val="00B644DC"/>
    <w:rsid w:val="00B647B3"/>
    <w:rsid w:val="00B6588C"/>
    <w:rsid w:val="00B72D48"/>
    <w:rsid w:val="00B73FB6"/>
    <w:rsid w:val="00B77C8B"/>
    <w:rsid w:val="00B805BC"/>
    <w:rsid w:val="00B85039"/>
    <w:rsid w:val="00B8531C"/>
    <w:rsid w:val="00B93404"/>
    <w:rsid w:val="00B93B16"/>
    <w:rsid w:val="00B940D7"/>
    <w:rsid w:val="00B943A8"/>
    <w:rsid w:val="00B9447C"/>
    <w:rsid w:val="00B955A8"/>
    <w:rsid w:val="00B95C88"/>
    <w:rsid w:val="00BA0304"/>
    <w:rsid w:val="00BA1ECE"/>
    <w:rsid w:val="00BA2CA6"/>
    <w:rsid w:val="00BA34FA"/>
    <w:rsid w:val="00BA6996"/>
    <w:rsid w:val="00BA768D"/>
    <w:rsid w:val="00BB1520"/>
    <w:rsid w:val="00BB244D"/>
    <w:rsid w:val="00BB272F"/>
    <w:rsid w:val="00BB3DE1"/>
    <w:rsid w:val="00BB4C55"/>
    <w:rsid w:val="00BC0DE9"/>
    <w:rsid w:val="00BC197B"/>
    <w:rsid w:val="00BC2691"/>
    <w:rsid w:val="00BD023C"/>
    <w:rsid w:val="00BD07F1"/>
    <w:rsid w:val="00BD1081"/>
    <w:rsid w:val="00BD12B0"/>
    <w:rsid w:val="00BD1CEF"/>
    <w:rsid w:val="00BD2621"/>
    <w:rsid w:val="00BD6046"/>
    <w:rsid w:val="00BD65B3"/>
    <w:rsid w:val="00BE2375"/>
    <w:rsid w:val="00BE2BA1"/>
    <w:rsid w:val="00BE4280"/>
    <w:rsid w:val="00BE6821"/>
    <w:rsid w:val="00BE68E6"/>
    <w:rsid w:val="00BF0328"/>
    <w:rsid w:val="00BF070C"/>
    <w:rsid w:val="00BF0941"/>
    <w:rsid w:val="00BF2AC4"/>
    <w:rsid w:val="00BF5CDD"/>
    <w:rsid w:val="00BF64A6"/>
    <w:rsid w:val="00BF69DE"/>
    <w:rsid w:val="00C039A2"/>
    <w:rsid w:val="00C04073"/>
    <w:rsid w:val="00C05D4F"/>
    <w:rsid w:val="00C05D66"/>
    <w:rsid w:val="00C06B94"/>
    <w:rsid w:val="00C07516"/>
    <w:rsid w:val="00C07FE4"/>
    <w:rsid w:val="00C11120"/>
    <w:rsid w:val="00C159A9"/>
    <w:rsid w:val="00C15AA5"/>
    <w:rsid w:val="00C23E47"/>
    <w:rsid w:val="00C3013A"/>
    <w:rsid w:val="00C308D3"/>
    <w:rsid w:val="00C30FCC"/>
    <w:rsid w:val="00C33D5F"/>
    <w:rsid w:val="00C34C2D"/>
    <w:rsid w:val="00C37EED"/>
    <w:rsid w:val="00C41C5C"/>
    <w:rsid w:val="00C41C82"/>
    <w:rsid w:val="00C44A9D"/>
    <w:rsid w:val="00C45C2C"/>
    <w:rsid w:val="00C47F5A"/>
    <w:rsid w:val="00C503B4"/>
    <w:rsid w:val="00C505AF"/>
    <w:rsid w:val="00C51CD8"/>
    <w:rsid w:val="00C526BA"/>
    <w:rsid w:val="00C52C29"/>
    <w:rsid w:val="00C53ACC"/>
    <w:rsid w:val="00C557CC"/>
    <w:rsid w:val="00C55BAE"/>
    <w:rsid w:val="00C56AB5"/>
    <w:rsid w:val="00C6146C"/>
    <w:rsid w:val="00C615DF"/>
    <w:rsid w:val="00C64FFE"/>
    <w:rsid w:val="00C671BD"/>
    <w:rsid w:val="00C77342"/>
    <w:rsid w:val="00C815C0"/>
    <w:rsid w:val="00C82DA0"/>
    <w:rsid w:val="00C83C95"/>
    <w:rsid w:val="00C9087F"/>
    <w:rsid w:val="00C92222"/>
    <w:rsid w:val="00C924A9"/>
    <w:rsid w:val="00C93541"/>
    <w:rsid w:val="00C93F39"/>
    <w:rsid w:val="00C9427E"/>
    <w:rsid w:val="00C94EB8"/>
    <w:rsid w:val="00CA21D8"/>
    <w:rsid w:val="00CA2D9C"/>
    <w:rsid w:val="00CA3DB5"/>
    <w:rsid w:val="00CA615A"/>
    <w:rsid w:val="00CA6C06"/>
    <w:rsid w:val="00CA6D4C"/>
    <w:rsid w:val="00CB19FB"/>
    <w:rsid w:val="00CB2C09"/>
    <w:rsid w:val="00CB506C"/>
    <w:rsid w:val="00CB5810"/>
    <w:rsid w:val="00CB59F4"/>
    <w:rsid w:val="00CB5B4D"/>
    <w:rsid w:val="00CB64B0"/>
    <w:rsid w:val="00CC014C"/>
    <w:rsid w:val="00CC0B15"/>
    <w:rsid w:val="00CC4E2B"/>
    <w:rsid w:val="00CC6908"/>
    <w:rsid w:val="00CC73CE"/>
    <w:rsid w:val="00CC7AB6"/>
    <w:rsid w:val="00CD05FD"/>
    <w:rsid w:val="00CD25EF"/>
    <w:rsid w:val="00CD3955"/>
    <w:rsid w:val="00CD3A5C"/>
    <w:rsid w:val="00CD494C"/>
    <w:rsid w:val="00CD6CB9"/>
    <w:rsid w:val="00CD758F"/>
    <w:rsid w:val="00CD7D83"/>
    <w:rsid w:val="00CF0818"/>
    <w:rsid w:val="00CF40A9"/>
    <w:rsid w:val="00D000B5"/>
    <w:rsid w:val="00D00D58"/>
    <w:rsid w:val="00D01616"/>
    <w:rsid w:val="00D02BD3"/>
    <w:rsid w:val="00D03692"/>
    <w:rsid w:val="00D060E8"/>
    <w:rsid w:val="00D079D5"/>
    <w:rsid w:val="00D14F59"/>
    <w:rsid w:val="00D1515A"/>
    <w:rsid w:val="00D151A9"/>
    <w:rsid w:val="00D20217"/>
    <w:rsid w:val="00D20A6E"/>
    <w:rsid w:val="00D21736"/>
    <w:rsid w:val="00D2218C"/>
    <w:rsid w:val="00D2286A"/>
    <w:rsid w:val="00D257CE"/>
    <w:rsid w:val="00D31BC1"/>
    <w:rsid w:val="00D33FC9"/>
    <w:rsid w:val="00D3605F"/>
    <w:rsid w:val="00D36B30"/>
    <w:rsid w:val="00D37B85"/>
    <w:rsid w:val="00D415D6"/>
    <w:rsid w:val="00D42889"/>
    <w:rsid w:val="00D4345C"/>
    <w:rsid w:val="00D43772"/>
    <w:rsid w:val="00D452CE"/>
    <w:rsid w:val="00D47202"/>
    <w:rsid w:val="00D5094C"/>
    <w:rsid w:val="00D52D09"/>
    <w:rsid w:val="00D53527"/>
    <w:rsid w:val="00D5438F"/>
    <w:rsid w:val="00D56616"/>
    <w:rsid w:val="00D570BC"/>
    <w:rsid w:val="00D579A5"/>
    <w:rsid w:val="00D57B7C"/>
    <w:rsid w:val="00D615F5"/>
    <w:rsid w:val="00D630FF"/>
    <w:rsid w:val="00D72706"/>
    <w:rsid w:val="00D7376F"/>
    <w:rsid w:val="00D75A82"/>
    <w:rsid w:val="00D77466"/>
    <w:rsid w:val="00D777B4"/>
    <w:rsid w:val="00D828DD"/>
    <w:rsid w:val="00D912BF"/>
    <w:rsid w:val="00D93148"/>
    <w:rsid w:val="00DA05E4"/>
    <w:rsid w:val="00DA2456"/>
    <w:rsid w:val="00DA2578"/>
    <w:rsid w:val="00DA492B"/>
    <w:rsid w:val="00DA529D"/>
    <w:rsid w:val="00DA76E1"/>
    <w:rsid w:val="00DA7C5D"/>
    <w:rsid w:val="00DB0245"/>
    <w:rsid w:val="00DB3E7E"/>
    <w:rsid w:val="00DB64A5"/>
    <w:rsid w:val="00DC024F"/>
    <w:rsid w:val="00DC1818"/>
    <w:rsid w:val="00DC1A05"/>
    <w:rsid w:val="00DC2526"/>
    <w:rsid w:val="00DC26E4"/>
    <w:rsid w:val="00DC2D03"/>
    <w:rsid w:val="00DC4DA5"/>
    <w:rsid w:val="00DC7A9E"/>
    <w:rsid w:val="00DD1094"/>
    <w:rsid w:val="00DD2525"/>
    <w:rsid w:val="00DD25EE"/>
    <w:rsid w:val="00DD49C5"/>
    <w:rsid w:val="00DD52FC"/>
    <w:rsid w:val="00DD5EAF"/>
    <w:rsid w:val="00DE0949"/>
    <w:rsid w:val="00DE2A3A"/>
    <w:rsid w:val="00DE3EFC"/>
    <w:rsid w:val="00DE4730"/>
    <w:rsid w:val="00DE47F2"/>
    <w:rsid w:val="00DE4915"/>
    <w:rsid w:val="00DE6402"/>
    <w:rsid w:val="00DE6696"/>
    <w:rsid w:val="00DE66F4"/>
    <w:rsid w:val="00DF1C08"/>
    <w:rsid w:val="00DF42CD"/>
    <w:rsid w:val="00DF43B8"/>
    <w:rsid w:val="00E00986"/>
    <w:rsid w:val="00E00A26"/>
    <w:rsid w:val="00E00F45"/>
    <w:rsid w:val="00E023B5"/>
    <w:rsid w:val="00E044A8"/>
    <w:rsid w:val="00E047CE"/>
    <w:rsid w:val="00E0568D"/>
    <w:rsid w:val="00E066F5"/>
    <w:rsid w:val="00E06E5F"/>
    <w:rsid w:val="00E101E4"/>
    <w:rsid w:val="00E12E95"/>
    <w:rsid w:val="00E21654"/>
    <w:rsid w:val="00E2391B"/>
    <w:rsid w:val="00E26E06"/>
    <w:rsid w:val="00E32417"/>
    <w:rsid w:val="00E32BCD"/>
    <w:rsid w:val="00E33229"/>
    <w:rsid w:val="00E351F9"/>
    <w:rsid w:val="00E35DC1"/>
    <w:rsid w:val="00E36CD7"/>
    <w:rsid w:val="00E4049A"/>
    <w:rsid w:val="00E413B7"/>
    <w:rsid w:val="00E41C32"/>
    <w:rsid w:val="00E42D9E"/>
    <w:rsid w:val="00E439CB"/>
    <w:rsid w:val="00E43DA8"/>
    <w:rsid w:val="00E43E06"/>
    <w:rsid w:val="00E506D5"/>
    <w:rsid w:val="00E52CC0"/>
    <w:rsid w:val="00E52D3D"/>
    <w:rsid w:val="00E53ED4"/>
    <w:rsid w:val="00E544CA"/>
    <w:rsid w:val="00E63092"/>
    <w:rsid w:val="00E64E3C"/>
    <w:rsid w:val="00E658F2"/>
    <w:rsid w:val="00E70D35"/>
    <w:rsid w:val="00E7166F"/>
    <w:rsid w:val="00E721AF"/>
    <w:rsid w:val="00E7396F"/>
    <w:rsid w:val="00E7457E"/>
    <w:rsid w:val="00E74980"/>
    <w:rsid w:val="00E75EC6"/>
    <w:rsid w:val="00E769A1"/>
    <w:rsid w:val="00E94CCD"/>
    <w:rsid w:val="00E950D4"/>
    <w:rsid w:val="00E95AD9"/>
    <w:rsid w:val="00E965E1"/>
    <w:rsid w:val="00E976AE"/>
    <w:rsid w:val="00EA3241"/>
    <w:rsid w:val="00EA503C"/>
    <w:rsid w:val="00EA78EC"/>
    <w:rsid w:val="00EA7BEC"/>
    <w:rsid w:val="00EB16F3"/>
    <w:rsid w:val="00EB4FC9"/>
    <w:rsid w:val="00EB57DA"/>
    <w:rsid w:val="00EC0482"/>
    <w:rsid w:val="00EC3767"/>
    <w:rsid w:val="00EC6126"/>
    <w:rsid w:val="00EC6AA5"/>
    <w:rsid w:val="00EC7483"/>
    <w:rsid w:val="00EC7ECD"/>
    <w:rsid w:val="00ED07CB"/>
    <w:rsid w:val="00ED10AA"/>
    <w:rsid w:val="00ED2E2F"/>
    <w:rsid w:val="00ED5863"/>
    <w:rsid w:val="00EE0759"/>
    <w:rsid w:val="00EE0A14"/>
    <w:rsid w:val="00EE33C0"/>
    <w:rsid w:val="00EE3FB5"/>
    <w:rsid w:val="00EE505D"/>
    <w:rsid w:val="00EE7858"/>
    <w:rsid w:val="00EE7F28"/>
    <w:rsid w:val="00EF1C38"/>
    <w:rsid w:val="00EF54BB"/>
    <w:rsid w:val="00EF66D6"/>
    <w:rsid w:val="00EF72EE"/>
    <w:rsid w:val="00F00876"/>
    <w:rsid w:val="00F019DA"/>
    <w:rsid w:val="00F029B6"/>
    <w:rsid w:val="00F02C96"/>
    <w:rsid w:val="00F0300E"/>
    <w:rsid w:val="00F035A9"/>
    <w:rsid w:val="00F07455"/>
    <w:rsid w:val="00F079F3"/>
    <w:rsid w:val="00F105A0"/>
    <w:rsid w:val="00F10D1F"/>
    <w:rsid w:val="00F12A2E"/>
    <w:rsid w:val="00F12E02"/>
    <w:rsid w:val="00F164B0"/>
    <w:rsid w:val="00F20613"/>
    <w:rsid w:val="00F20746"/>
    <w:rsid w:val="00F20A9F"/>
    <w:rsid w:val="00F22450"/>
    <w:rsid w:val="00F232F8"/>
    <w:rsid w:val="00F23D04"/>
    <w:rsid w:val="00F249CE"/>
    <w:rsid w:val="00F24D6B"/>
    <w:rsid w:val="00F330FC"/>
    <w:rsid w:val="00F35580"/>
    <w:rsid w:val="00F36DBB"/>
    <w:rsid w:val="00F36FB8"/>
    <w:rsid w:val="00F408D6"/>
    <w:rsid w:val="00F42569"/>
    <w:rsid w:val="00F4283C"/>
    <w:rsid w:val="00F42944"/>
    <w:rsid w:val="00F42CEA"/>
    <w:rsid w:val="00F4525F"/>
    <w:rsid w:val="00F5015D"/>
    <w:rsid w:val="00F515FC"/>
    <w:rsid w:val="00F51737"/>
    <w:rsid w:val="00F5675A"/>
    <w:rsid w:val="00F5695C"/>
    <w:rsid w:val="00F607E8"/>
    <w:rsid w:val="00F615C1"/>
    <w:rsid w:val="00F62AF4"/>
    <w:rsid w:val="00F62D44"/>
    <w:rsid w:val="00F62D78"/>
    <w:rsid w:val="00F63D30"/>
    <w:rsid w:val="00F64B67"/>
    <w:rsid w:val="00F64D5E"/>
    <w:rsid w:val="00F65311"/>
    <w:rsid w:val="00F74597"/>
    <w:rsid w:val="00F75030"/>
    <w:rsid w:val="00F77147"/>
    <w:rsid w:val="00F825AA"/>
    <w:rsid w:val="00F8293C"/>
    <w:rsid w:val="00F87242"/>
    <w:rsid w:val="00F90039"/>
    <w:rsid w:val="00F91613"/>
    <w:rsid w:val="00F92D5C"/>
    <w:rsid w:val="00F93EDD"/>
    <w:rsid w:val="00F95600"/>
    <w:rsid w:val="00F96B2D"/>
    <w:rsid w:val="00F97B4F"/>
    <w:rsid w:val="00FA280B"/>
    <w:rsid w:val="00FA51DD"/>
    <w:rsid w:val="00FB0180"/>
    <w:rsid w:val="00FB4015"/>
    <w:rsid w:val="00FB552F"/>
    <w:rsid w:val="00FB7397"/>
    <w:rsid w:val="00FC228D"/>
    <w:rsid w:val="00FC4EC9"/>
    <w:rsid w:val="00FC54BF"/>
    <w:rsid w:val="00FD15A1"/>
    <w:rsid w:val="00FD33D2"/>
    <w:rsid w:val="00FD5DA8"/>
    <w:rsid w:val="00FD6FD3"/>
    <w:rsid w:val="00FE0096"/>
    <w:rsid w:val="00FE03AB"/>
    <w:rsid w:val="00FE2830"/>
    <w:rsid w:val="00FE7E49"/>
    <w:rsid w:val="00FF1530"/>
    <w:rsid w:val="00FF1C15"/>
    <w:rsid w:val="00FF1CA9"/>
    <w:rsid w:val="00FF4BE4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4BC098-F3D2-4792-A335-210A235E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Revzia">
    <w:name w:val="Revision"/>
    <w:hidden/>
    <w:uiPriority w:val="99"/>
    <w:semiHidden/>
    <w:rsid w:val="0078151D"/>
    <w:rPr>
      <w:sz w:val="22"/>
      <w:lang w:val="en-GB" w:eastAsia="en-US"/>
    </w:rPr>
  </w:style>
  <w:style w:type="table" w:styleId="Mriekatabuky">
    <w:name w:val="Table Grid"/>
    <w:basedOn w:val="Normlnatabuka"/>
    <w:uiPriority w:val="59"/>
    <w:rsid w:val="0006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5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9558</Words>
  <Characters>54481</Characters>
  <Application>Microsoft Office Word</Application>
  <DocSecurity>0</DocSecurity>
  <Lines>454</Lines>
  <Paragraphs>127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Erlotinib SPC</vt:lpstr>
      <vt:lpstr>Hreferralspctrackeden</vt:lpstr>
      <vt:lpstr>Hreferralspctrackeden</vt:lpstr>
    </vt:vector>
  </TitlesOfParts>
  <Company>EMEA</Company>
  <LinksUpToDate>false</LinksUpToDate>
  <CharactersWithSpaces>63912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Erlotinib SPC</dc:title>
  <dc:subject>General-EMA/53548/2010</dc:subject>
  <dc:creator>Regpharm</dc:creator>
  <cp:keywords>STADA</cp:keywords>
  <cp:lastModifiedBy>Bolebruchová Monika</cp:lastModifiedBy>
  <cp:revision>3</cp:revision>
  <cp:lastPrinted>2017-06-26T13:19:00Z</cp:lastPrinted>
  <dcterms:created xsi:type="dcterms:W3CDTF">2020-01-27T09:35:00Z</dcterms:created>
  <dcterms:modified xsi:type="dcterms:W3CDTF">2020-01-27T09:35:00Z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CURRENT,1.2</vt:lpwstr>
  </property>
  <property fmtid="{D5CDD505-2E9C-101B-9397-08002B2CF9AE}" pid="31" name="DM_Name">
    <vt:lpwstr>Hreferralspctrackeden</vt:lpwstr>
  </property>
  <property fmtid="{D5CDD505-2E9C-101B-9397-08002B2CF9AE}" pid="32" name="DM_Creation_Date">
    <vt:lpwstr>08/06/2015 10:57:29</vt:lpwstr>
  </property>
  <property fmtid="{D5CDD505-2E9C-101B-9397-08002B2CF9AE}" pid="33" name="DM_Modify_Date">
    <vt:lpwstr>08/06/2015 10:57:29</vt:lpwstr>
  </property>
  <property fmtid="{D5CDD505-2E9C-101B-9397-08002B2CF9AE}" pid="34" name="DM_Creator_Name">
    <vt:lpwstr>Buch Monica</vt:lpwstr>
  </property>
  <property fmtid="{D5CDD505-2E9C-101B-9397-08002B2CF9AE}" pid="35" name="DM_Modifier_Name">
    <vt:lpwstr>Buch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EMA/686627/2014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</vt:lpwstr>
  </property>
  <property fmtid="{D5CDD505-2E9C-101B-9397-08002B2CF9AE}" pid="40" name="DM_emea_doc_ref_id">
    <vt:lpwstr>EMA/686627/2014</vt:lpwstr>
  </property>
  <property fmtid="{D5CDD505-2E9C-101B-9397-08002B2CF9AE}" pid="41" name="DM_Modifer_Name">
    <vt:lpwstr>Buch Monica</vt:lpwstr>
  </property>
  <property fmtid="{D5CDD505-2E9C-101B-9397-08002B2CF9AE}" pid="42" name="DM_Modified_Date">
    <vt:lpwstr>08/06/2015 10:57:29</vt:lpwstr>
  </property>
</Properties>
</file>