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3676" w14:textId="72762553" w:rsidR="009312E9" w:rsidRPr="002841B2" w:rsidRDefault="009312E9">
      <w:pPr>
        <w:pStyle w:val="SPCaPILhlavika"/>
        <w:rPr>
          <w:szCs w:val="20"/>
          <w:lang w:eastAsia="el-GR"/>
        </w:rPr>
      </w:pPr>
      <w:bookmarkStart w:id="0" w:name="_GoBack"/>
      <w:bookmarkEnd w:id="0"/>
      <w:r w:rsidRPr="002841B2">
        <w:t>SÚHRN CHARAKTERISTICKÝCH VLASTNOSTÍ LIEKU</w:t>
      </w:r>
    </w:p>
    <w:p w14:paraId="791428CD" w14:textId="3982D5D1" w:rsidR="00AA0CE4" w:rsidRPr="002841B2" w:rsidRDefault="00217258" w:rsidP="007636D1">
      <w:pPr>
        <w:pStyle w:val="Styl1"/>
      </w:pPr>
      <w:r w:rsidRPr="002841B2">
        <w:t>Názov lieku</w:t>
      </w:r>
    </w:p>
    <w:p w14:paraId="156E3BCF" w14:textId="2A29E50B" w:rsidR="00AA0CE4" w:rsidRPr="002841B2" w:rsidRDefault="00217258" w:rsidP="002F3444">
      <w:pPr>
        <w:pStyle w:val="Normlndobloku"/>
      </w:pPr>
      <w:r w:rsidRPr="002841B2">
        <w:t>A</w:t>
      </w:r>
      <w:r w:rsidR="009312E9" w:rsidRPr="002841B2">
        <w:t>NARGIL</w:t>
      </w:r>
      <w:r w:rsidRPr="002841B2">
        <w:t xml:space="preserve"> 100</w:t>
      </w:r>
      <w:r w:rsidR="00186326" w:rsidRPr="002841B2">
        <w:t> mg</w:t>
      </w:r>
    </w:p>
    <w:p w14:paraId="40F92713" w14:textId="095E78DF" w:rsidR="00217258" w:rsidRPr="002841B2" w:rsidRDefault="00217258" w:rsidP="002F3444">
      <w:pPr>
        <w:pStyle w:val="Normlndobloku"/>
      </w:pPr>
      <w:r w:rsidRPr="00A432DA">
        <w:rPr>
          <w:shd w:val="clear" w:color="auto" w:fill="BFBFBF" w:themeFill="background1" w:themeFillShade="BF"/>
        </w:rPr>
        <w:t>A</w:t>
      </w:r>
      <w:r w:rsidR="009312E9" w:rsidRPr="00A432DA">
        <w:rPr>
          <w:shd w:val="clear" w:color="auto" w:fill="BFBFBF" w:themeFill="background1" w:themeFillShade="BF"/>
        </w:rPr>
        <w:t>NARGIL</w:t>
      </w:r>
      <w:r w:rsidRPr="00A432DA">
        <w:rPr>
          <w:shd w:val="clear" w:color="auto" w:fill="BFBFBF" w:themeFill="background1" w:themeFillShade="BF"/>
        </w:rPr>
        <w:t xml:space="preserve"> 200</w:t>
      </w:r>
      <w:r w:rsidR="00186326" w:rsidRPr="00A432DA">
        <w:rPr>
          <w:shd w:val="clear" w:color="auto" w:fill="BFBFBF" w:themeFill="background1" w:themeFillShade="BF"/>
        </w:rPr>
        <w:t> mg</w:t>
      </w:r>
    </w:p>
    <w:p w14:paraId="257E64EF" w14:textId="777EE42C" w:rsidR="00321C7B" w:rsidRPr="002841B2" w:rsidRDefault="00344620" w:rsidP="002F3444">
      <w:pPr>
        <w:pStyle w:val="Normlndobloku"/>
      </w:pPr>
      <w:r>
        <w:t>tvrdé kapsuly</w:t>
      </w:r>
    </w:p>
    <w:p w14:paraId="315CEA8E" w14:textId="1885B4EE" w:rsidR="00E559FE" w:rsidRPr="002841B2" w:rsidRDefault="00217258" w:rsidP="007636D1">
      <w:pPr>
        <w:pStyle w:val="Styl1"/>
      </w:pPr>
      <w:r w:rsidRPr="002841B2">
        <w:t>Kvalitatívne</w:t>
      </w:r>
      <w:r w:rsidR="00186326" w:rsidRPr="002841B2">
        <w:t xml:space="preserve"> a </w:t>
      </w:r>
      <w:r w:rsidRPr="002841B2">
        <w:t xml:space="preserve">kvantitatívne zloženie lieku </w:t>
      </w:r>
    </w:p>
    <w:p w14:paraId="549F1D94" w14:textId="1A71BB47" w:rsidR="00AA0CE4" w:rsidRPr="002841B2" w:rsidRDefault="00E559FE" w:rsidP="002F3444">
      <w:pPr>
        <w:pStyle w:val="Normlndobloku"/>
      </w:pPr>
      <w:r w:rsidRPr="002841B2">
        <w:t>ANARGIL 100</w:t>
      </w:r>
      <w:r w:rsidR="00186326" w:rsidRPr="002841B2">
        <w:t> mg</w:t>
      </w:r>
    </w:p>
    <w:p w14:paraId="1EA395EF" w14:textId="57C96DA8" w:rsidR="00F41DE2" w:rsidRPr="002841B2" w:rsidRDefault="00E559FE" w:rsidP="002F3444">
      <w:pPr>
        <w:pStyle w:val="Normlndobloku"/>
      </w:pPr>
      <w:r w:rsidRPr="002841B2">
        <w:t xml:space="preserve">Jedna </w:t>
      </w:r>
      <w:r w:rsidR="00C05781">
        <w:t xml:space="preserve">tvrdá </w:t>
      </w:r>
      <w:r w:rsidRPr="002841B2">
        <w:t>kapsula obsahuje 100</w:t>
      </w:r>
      <w:r w:rsidR="00186326" w:rsidRPr="002841B2">
        <w:t xml:space="preserve"> mg </w:t>
      </w:r>
      <w:proofErr w:type="spellStart"/>
      <w:r w:rsidRPr="002841B2">
        <w:t>danazolu</w:t>
      </w:r>
      <w:proofErr w:type="spellEnd"/>
      <w:r w:rsidR="00BC2447" w:rsidRPr="002841B2">
        <w:t>.</w:t>
      </w:r>
    </w:p>
    <w:p w14:paraId="39CD92FC" w14:textId="287A9AE1" w:rsidR="00AA0CE4"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ANARGIL 200</w:t>
      </w:r>
      <w:r w:rsidR="00186326" w:rsidRPr="00A432DA">
        <w:rPr>
          <w:shd w:val="clear" w:color="auto" w:fill="BFBFBF" w:themeFill="background1" w:themeFillShade="BF"/>
        </w:rPr>
        <w:t> mg</w:t>
      </w:r>
    </w:p>
    <w:p w14:paraId="435A06A5" w14:textId="2B9E13AE" w:rsidR="00D94787" w:rsidRPr="00A432DA" w:rsidRDefault="00E559FE" w:rsidP="002F3444">
      <w:pPr>
        <w:pStyle w:val="Normlndobloku"/>
        <w:rPr>
          <w:shd w:val="clear" w:color="auto" w:fill="BFBFBF" w:themeFill="background1" w:themeFillShade="BF"/>
        </w:rPr>
      </w:pPr>
      <w:r w:rsidRPr="00A432DA">
        <w:rPr>
          <w:shd w:val="clear" w:color="auto" w:fill="BFBFBF" w:themeFill="background1" w:themeFillShade="BF"/>
        </w:rPr>
        <w:t xml:space="preserve">Jedna </w:t>
      </w:r>
      <w:r w:rsidR="00C05781">
        <w:rPr>
          <w:shd w:val="clear" w:color="auto" w:fill="BFBFBF" w:themeFill="background1" w:themeFillShade="BF"/>
        </w:rPr>
        <w:t xml:space="preserve">tvrdá </w:t>
      </w:r>
      <w:r w:rsidRPr="00A432DA">
        <w:rPr>
          <w:shd w:val="clear" w:color="auto" w:fill="BFBFBF" w:themeFill="background1" w:themeFillShade="BF"/>
        </w:rPr>
        <w:t xml:space="preserve">kapsula obsahuje </w:t>
      </w:r>
      <w:r w:rsidR="009A783F" w:rsidRPr="00A432DA">
        <w:rPr>
          <w:shd w:val="clear" w:color="auto" w:fill="BFBFBF" w:themeFill="background1" w:themeFillShade="BF"/>
        </w:rPr>
        <w:t>2</w:t>
      </w:r>
      <w:r w:rsidRPr="00A432DA">
        <w:rPr>
          <w:shd w:val="clear" w:color="auto" w:fill="BFBFBF" w:themeFill="background1" w:themeFillShade="BF"/>
        </w:rPr>
        <w:t>00</w:t>
      </w:r>
      <w:r w:rsidR="00186326" w:rsidRPr="00A432DA">
        <w:rPr>
          <w:shd w:val="clear" w:color="auto" w:fill="BFBFBF" w:themeFill="background1" w:themeFillShade="BF"/>
        </w:rPr>
        <w:t xml:space="preserve"> mg </w:t>
      </w:r>
      <w:proofErr w:type="spellStart"/>
      <w:r w:rsidRPr="00A432DA">
        <w:rPr>
          <w:shd w:val="clear" w:color="auto" w:fill="BFBFBF" w:themeFill="background1" w:themeFillShade="BF"/>
        </w:rPr>
        <w:t>danazolu</w:t>
      </w:r>
      <w:proofErr w:type="spellEnd"/>
      <w:r w:rsidR="00BC2447" w:rsidRPr="00A432DA">
        <w:rPr>
          <w:shd w:val="clear" w:color="auto" w:fill="BFBFBF" w:themeFill="background1" w:themeFillShade="BF"/>
        </w:rPr>
        <w:t>.</w:t>
      </w:r>
    </w:p>
    <w:p w14:paraId="6FBDB6D7" w14:textId="7FBF6869" w:rsidR="00D94787" w:rsidRDefault="00D94787" w:rsidP="002F3444">
      <w:pPr>
        <w:pStyle w:val="Normlndobloku"/>
      </w:pPr>
      <w:r w:rsidRPr="00802AB7">
        <w:t>Pomocná látka so známym účinkom:</w:t>
      </w:r>
    </w:p>
    <w:p w14:paraId="31BC4E05" w14:textId="5A045F5F" w:rsidR="003E6337" w:rsidRDefault="003E6337" w:rsidP="002F3444">
      <w:pPr>
        <w:pStyle w:val="Normlndobloku"/>
      </w:pPr>
      <w:r>
        <w:t xml:space="preserve">ANARGIL 100 mg: Jedna </w:t>
      </w:r>
      <w:r w:rsidR="00C05781">
        <w:t xml:space="preserve">tvrdá </w:t>
      </w:r>
      <w:r w:rsidR="00C437FD">
        <w:t>kapsula</w:t>
      </w:r>
      <w:r>
        <w:t xml:space="preserve"> obsahuje 1</w:t>
      </w:r>
      <w:r w:rsidR="00DA51E0">
        <w:t>2</w:t>
      </w:r>
      <w:r>
        <w:t xml:space="preserve">3 mg </w:t>
      </w:r>
      <w:proofErr w:type="spellStart"/>
      <w:r w:rsidR="00DA51E0">
        <w:t>monohydrátu</w:t>
      </w:r>
      <w:proofErr w:type="spellEnd"/>
      <w:r w:rsidR="00DA51E0">
        <w:t xml:space="preserve"> </w:t>
      </w:r>
      <w:r>
        <w:t>laktózy.</w:t>
      </w:r>
    </w:p>
    <w:p w14:paraId="6D41FAB9" w14:textId="45F43342" w:rsidR="003E6337" w:rsidRPr="00A432DA" w:rsidRDefault="003E6337" w:rsidP="002F3444">
      <w:pPr>
        <w:pStyle w:val="Normlndobloku"/>
        <w:rPr>
          <w:shd w:val="clear" w:color="auto" w:fill="BFBFBF" w:themeFill="background1" w:themeFillShade="BF"/>
        </w:rPr>
      </w:pPr>
      <w:r>
        <w:t xml:space="preserve">ANARGIL 200 mg: Jedna </w:t>
      </w:r>
      <w:r w:rsidR="00C05781">
        <w:t xml:space="preserve">tvrdá </w:t>
      </w:r>
      <w:r w:rsidR="00C437FD">
        <w:t>kapsula</w:t>
      </w:r>
      <w:r>
        <w:t xml:space="preserve"> obsahuje </w:t>
      </w:r>
      <w:r w:rsidR="00DA51E0">
        <w:t>35</w:t>
      </w:r>
      <w:r>
        <w:t xml:space="preserve"> mg </w:t>
      </w:r>
      <w:proofErr w:type="spellStart"/>
      <w:r w:rsidR="00DA51E0">
        <w:t>monohydrátu</w:t>
      </w:r>
      <w:proofErr w:type="spellEnd"/>
      <w:r w:rsidR="00DA51E0">
        <w:t xml:space="preserve"> </w:t>
      </w:r>
      <w:r>
        <w:t>laktózy.</w:t>
      </w:r>
    </w:p>
    <w:p w14:paraId="14A256C7" w14:textId="77777777" w:rsidR="005D2279" w:rsidRPr="002841B2" w:rsidRDefault="005D2279" w:rsidP="002F3444">
      <w:pPr>
        <w:pStyle w:val="Normlndobloku"/>
        <w:rPr>
          <w:lang w:eastAsia="en-US"/>
        </w:rPr>
      </w:pPr>
      <w:r w:rsidRPr="002841B2">
        <w:t>Úplný zoznam pomocných látok, pozri časť 6.1.</w:t>
      </w:r>
    </w:p>
    <w:p w14:paraId="32E7D41B" w14:textId="6D157AD5" w:rsidR="00AA0CE4" w:rsidRPr="002841B2" w:rsidRDefault="00217258" w:rsidP="007636D1">
      <w:pPr>
        <w:pStyle w:val="Styl1"/>
      </w:pPr>
      <w:r w:rsidRPr="002841B2">
        <w:t>Lieková forma</w:t>
      </w:r>
    </w:p>
    <w:p w14:paraId="02C0D20D" w14:textId="445F4604" w:rsidR="00AA0CE4" w:rsidRPr="002841B2" w:rsidRDefault="00344620" w:rsidP="002F3444">
      <w:pPr>
        <w:pStyle w:val="Normlndobloku"/>
      </w:pPr>
      <w:r>
        <w:t>Tvrdá k</w:t>
      </w:r>
      <w:r w:rsidR="00217258" w:rsidRPr="002841B2">
        <w:t>apsul</w:t>
      </w:r>
      <w:r w:rsidR="004550F4" w:rsidRPr="002841B2">
        <w:t>a.</w:t>
      </w:r>
    </w:p>
    <w:p w14:paraId="3A46DFB7" w14:textId="160DD588" w:rsidR="00AA0CE4" w:rsidRPr="002841B2" w:rsidRDefault="004550F4" w:rsidP="002F3444">
      <w:pPr>
        <w:pStyle w:val="Normlndobloku"/>
      </w:pPr>
      <w:r w:rsidRPr="002841B2">
        <w:t>ANARGIL</w:t>
      </w:r>
      <w:r w:rsidR="00217258" w:rsidRPr="002841B2">
        <w:t>100</w:t>
      </w:r>
      <w:r w:rsidR="00377FAE" w:rsidRPr="002841B2">
        <w:t> </w:t>
      </w:r>
      <w:r w:rsidR="00377FAE" w:rsidRPr="00371F82">
        <w:t>mg</w:t>
      </w:r>
      <w:r w:rsidR="00AA57F5" w:rsidRPr="00371F82">
        <w:t> </w:t>
      </w:r>
      <w:r w:rsidR="00AA57F5" w:rsidRPr="00CF5D9D">
        <w:rPr>
          <w:shd w:val="clear" w:color="auto" w:fill="FFFFFF" w:themeFill="background1"/>
        </w:rPr>
        <w:t>–</w:t>
      </w:r>
      <w:r w:rsidR="005D2279" w:rsidRPr="00CF5D9D">
        <w:rPr>
          <w:shd w:val="clear" w:color="auto" w:fill="FFFFFF" w:themeFill="background1"/>
        </w:rPr>
        <w:t> </w:t>
      </w:r>
      <w:bookmarkStart w:id="1" w:name="_Hlk527466035"/>
      <w:r w:rsidR="00F03DF9" w:rsidRPr="008E6258">
        <w:t>sú</w:t>
      </w:r>
      <w:r w:rsidR="00F03DF9" w:rsidRPr="00BF78E3">
        <w:t xml:space="preserve"> </w:t>
      </w:r>
      <w:r w:rsidR="00217258" w:rsidRPr="00BF78E3">
        <w:t xml:space="preserve">podlhovasté žlté želatínové </w:t>
      </w:r>
      <w:r w:rsidR="00344620">
        <w:t>tvrdé kapsuly</w:t>
      </w:r>
      <w:r w:rsidR="00217258" w:rsidRPr="002841B2">
        <w:t xml:space="preserve"> obsahujúce biely prášok</w:t>
      </w:r>
      <w:bookmarkEnd w:id="1"/>
    </w:p>
    <w:p w14:paraId="4C0142A7" w14:textId="52D4DEED" w:rsidR="00AA0CE4" w:rsidRPr="002841B2" w:rsidRDefault="004550F4" w:rsidP="002F3444">
      <w:pPr>
        <w:pStyle w:val="Normlndobloku"/>
      </w:pPr>
      <w:r w:rsidRPr="00A432DA">
        <w:rPr>
          <w:shd w:val="clear" w:color="auto" w:fill="BFBFBF" w:themeFill="background1" w:themeFillShade="BF"/>
        </w:rPr>
        <w:t xml:space="preserve">ANARGIL </w:t>
      </w:r>
      <w:r w:rsidR="00217258" w:rsidRPr="00A432DA">
        <w:rPr>
          <w:shd w:val="clear" w:color="auto" w:fill="BFBFBF" w:themeFill="background1" w:themeFillShade="BF"/>
        </w:rPr>
        <w:t>200</w:t>
      </w:r>
      <w:r w:rsidR="00186326" w:rsidRPr="00A432DA">
        <w:rPr>
          <w:shd w:val="clear" w:color="auto" w:fill="BFBFBF" w:themeFill="background1" w:themeFillShade="BF"/>
        </w:rPr>
        <w:t> mg</w:t>
      </w:r>
      <w:r w:rsidR="00AA57F5">
        <w:rPr>
          <w:shd w:val="clear" w:color="auto" w:fill="BFBFBF" w:themeFill="background1" w:themeFillShade="BF"/>
        </w:rPr>
        <w:t> </w:t>
      </w:r>
      <w:r w:rsidR="00217258" w:rsidRPr="008E6258">
        <w:rPr>
          <w:highlight w:val="lightGray"/>
          <w:shd w:val="clear" w:color="auto" w:fill="BFBFBF" w:themeFill="background1" w:themeFillShade="BF"/>
        </w:rPr>
        <w:t>–</w:t>
      </w:r>
      <w:r w:rsidR="00AA57F5" w:rsidRPr="008E6258">
        <w:rPr>
          <w:highlight w:val="lightGray"/>
          <w:shd w:val="clear" w:color="auto" w:fill="BFBFBF" w:themeFill="background1" w:themeFillShade="BF"/>
        </w:rPr>
        <w:t> </w:t>
      </w:r>
      <w:bookmarkStart w:id="2" w:name="_Hlk527466054"/>
      <w:r w:rsidR="004261B2" w:rsidRPr="008E6258">
        <w:rPr>
          <w:highlight w:val="lightGray"/>
          <w:shd w:val="clear" w:color="auto" w:fill="BFBFBF" w:themeFill="background1" w:themeFillShade="BF"/>
        </w:rPr>
        <w:t xml:space="preserve">sú </w:t>
      </w:r>
      <w:r w:rsidR="00217258" w:rsidRPr="008E6258">
        <w:rPr>
          <w:highlight w:val="lightGray"/>
          <w:shd w:val="clear" w:color="auto" w:fill="BFBFBF" w:themeFill="background1" w:themeFillShade="BF"/>
        </w:rPr>
        <w:t xml:space="preserve">podlhovasté oranžové želatínové </w:t>
      </w:r>
      <w:r w:rsidR="00344620">
        <w:rPr>
          <w:shd w:val="clear" w:color="auto" w:fill="BFBFBF" w:themeFill="background1" w:themeFillShade="BF"/>
        </w:rPr>
        <w:t>tvrdé kapsuly</w:t>
      </w:r>
      <w:r w:rsidR="00217258" w:rsidRPr="00A432DA">
        <w:rPr>
          <w:shd w:val="clear" w:color="auto" w:fill="BFBFBF" w:themeFill="background1" w:themeFillShade="BF"/>
        </w:rPr>
        <w:t xml:space="preserve"> obsahujúce biely prášok,</w:t>
      </w:r>
      <w:r w:rsidR="00186326" w:rsidRPr="00A432DA">
        <w:rPr>
          <w:shd w:val="clear" w:color="auto" w:fill="BFBFBF" w:themeFill="background1" w:themeFillShade="BF"/>
        </w:rPr>
        <w:t xml:space="preserve"> s </w:t>
      </w:r>
      <w:r w:rsidR="00217258" w:rsidRPr="00A432DA">
        <w:rPr>
          <w:shd w:val="clear" w:color="auto" w:fill="BFBFBF" w:themeFill="background1" w:themeFillShade="BF"/>
        </w:rPr>
        <w:t xml:space="preserve">nápisom </w:t>
      </w:r>
      <w:proofErr w:type="spellStart"/>
      <w:r w:rsidR="00217258" w:rsidRPr="00A432DA">
        <w:rPr>
          <w:shd w:val="clear" w:color="auto" w:fill="BFBFBF" w:themeFill="background1" w:themeFillShade="BF"/>
        </w:rPr>
        <w:t>Medochemie</w:t>
      </w:r>
      <w:proofErr w:type="spellEnd"/>
      <w:r w:rsidR="00217258" w:rsidRPr="00A432DA">
        <w:rPr>
          <w:shd w:val="clear" w:color="auto" w:fill="BFBFBF" w:themeFill="background1" w:themeFillShade="BF"/>
        </w:rPr>
        <w:t xml:space="preserve"> na oboch častiach </w:t>
      </w:r>
      <w:r w:rsidR="00C05781">
        <w:rPr>
          <w:shd w:val="clear" w:color="auto" w:fill="BFBFBF" w:themeFill="background1" w:themeFillShade="BF"/>
        </w:rPr>
        <w:t xml:space="preserve">tvrdej </w:t>
      </w:r>
      <w:r w:rsidR="00217258" w:rsidRPr="00A432DA">
        <w:rPr>
          <w:shd w:val="clear" w:color="auto" w:fill="BFBFBF" w:themeFill="background1" w:themeFillShade="BF"/>
        </w:rPr>
        <w:t>kapsul</w:t>
      </w:r>
      <w:bookmarkEnd w:id="2"/>
      <w:r w:rsidR="001D1E87">
        <w:rPr>
          <w:shd w:val="clear" w:color="auto" w:fill="BFBFBF" w:themeFill="background1" w:themeFillShade="BF"/>
        </w:rPr>
        <w:t>y</w:t>
      </w:r>
    </w:p>
    <w:p w14:paraId="6766E2F9" w14:textId="24BDD98F" w:rsidR="00AA0CE4" w:rsidRPr="002841B2" w:rsidRDefault="00217258" w:rsidP="007636D1">
      <w:pPr>
        <w:pStyle w:val="Styl1"/>
      </w:pPr>
      <w:r w:rsidRPr="002841B2">
        <w:t>Klinické údaje</w:t>
      </w:r>
    </w:p>
    <w:p w14:paraId="711E5048" w14:textId="7387A46B" w:rsidR="00217258" w:rsidRPr="002841B2" w:rsidRDefault="00217258" w:rsidP="007636D1">
      <w:pPr>
        <w:pStyle w:val="Styl2"/>
      </w:pPr>
      <w:r w:rsidRPr="002841B2">
        <w:t>Terapeutické indikácie</w:t>
      </w:r>
    </w:p>
    <w:p w14:paraId="32FAD497" w14:textId="77D0C74E" w:rsidR="00AA0CE4" w:rsidRPr="002841B2" w:rsidRDefault="00217258" w:rsidP="007636D1">
      <w:pPr>
        <w:pStyle w:val="Styl4"/>
      </w:pPr>
      <w:r w:rsidRPr="002841B2">
        <w:t>A</w:t>
      </w:r>
      <w:r w:rsidR="00186326" w:rsidRPr="002841B2">
        <w:t>NARGIL</w:t>
      </w:r>
      <w:r w:rsidRPr="002841B2">
        <w:t xml:space="preserve"> sa indikuje na liečbu nasledujúcich ochorení</w:t>
      </w:r>
    </w:p>
    <w:p w14:paraId="5BBA7733" w14:textId="3354C68D" w:rsidR="00AA0CE4" w:rsidRPr="002841B2" w:rsidRDefault="00217258" w:rsidP="002F3444">
      <w:pPr>
        <w:pStyle w:val="Normlndoblokusodrkami"/>
      </w:pPr>
      <w:r w:rsidRPr="002841B2">
        <w:t>Kontrola bolesti</w:t>
      </w:r>
      <w:r w:rsidR="00186326" w:rsidRPr="002841B2">
        <w:t xml:space="preserve"> a </w:t>
      </w:r>
      <w:r w:rsidRPr="002841B2">
        <w:t>ďalších pridružených symptómov</w:t>
      </w:r>
      <w:r w:rsidR="00186326" w:rsidRPr="002841B2">
        <w:t xml:space="preserve"> u </w:t>
      </w:r>
      <w:r w:rsidRPr="002841B2">
        <w:t>endometriózy,</w:t>
      </w:r>
      <w:r w:rsidR="00377FAE" w:rsidRPr="002841B2">
        <w:t xml:space="preserve"> k </w:t>
      </w:r>
      <w:r w:rsidRPr="002841B2">
        <w:t>redukcii</w:t>
      </w:r>
      <w:r w:rsidR="00186326" w:rsidRPr="002841B2">
        <w:t xml:space="preserve"> a </w:t>
      </w:r>
      <w:r w:rsidRPr="002841B2">
        <w:t>rozlíšeniu endometritických ložísk. Môže sa použiť ako monoterapia alebo spolu</w:t>
      </w:r>
      <w:r w:rsidR="00186326" w:rsidRPr="002841B2">
        <w:t xml:space="preserve"> s </w:t>
      </w:r>
      <w:r w:rsidRPr="002841B2">
        <w:t>operáciou.</w:t>
      </w:r>
    </w:p>
    <w:p w14:paraId="1B7BD145" w14:textId="5651CF23" w:rsidR="00AA0CE4" w:rsidRPr="002841B2" w:rsidRDefault="00217258" w:rsidP="002F3444">
      <w:pPr>
        <w:pStyle w:val="Normlndoblokusodrkami"/>
      </w:pPr>
      <w:r w:rsidRPr="002841B2">
        <w:t>Dysfunkčné uterinné krvácanie ako menorágia, kontrola nadm</w:t>
      </w:r>
      <w:r w:rsidR="007E09F1" w:rsidRPr="002841B2">
        <w:t>erných krvných strát</w:t>
      </w:r>
      <w:r w:rsidR="00186326" w:rsidRPr="002841B2">
        <w:t xml:space="preserve"> a </w:t>
      </w:r>
      <w:r w:rsidR="007E09F1" w:rsidRPr="002841B2">
        <w:t xml:space="preserve">kontrola </w:t>
      </w:r>
      <w:r w:rsidRPr="002841B2">
        <w:t>pridruženej dysmenorey.</w:t>
      </w:r>
    </w:p>
    <w:p w14:paraId="78181390" w14:textId="0D020B31" w:rsidR="00AA0CE4" w:rsidRPr="00A432DA" w:rsidRDefault="00217258" w:rsidP="002F3444">
      <w:pPr>
        <w:pStyle w:val="Normlndoblokusodrkami"/>
      </w:pPr>
      <w:r w:rsidRPr="002841B2">
        <w:t>Liečba ťažkých cyklických mastalgií</w:t>
      </w:r>
      <w:r w:rsidR="00186326" w:rsidRPr="002841B2">
        <w:t xml:space="preserve"> s </w:t>
      </w:r>
      <w:r w:rsidRPr="002841B2">
        <w:t>alebo bez cystickej fibrózy, ktoré nereagujú na analgetiká alebo iné postupy</w:t>
      </w:r>
      <w:r w:rsidR="00186326" w:rsidRPr="002841B2">
        <w:t xml:space="preserve"> s</w:t>
      </w:r>
      <w:r w:rsidR="00186326" w:rsidRPr="00A432DA">
        <w:t> </w:t>
      </w:r>
      <w:r w:rsidRPr="00A432DA">
        <w:t>cieľom redukcie uzlíkov, bolesti</w:t>
      </w:r>
      <w:r w:rsidR="00186326" w:rsidRPr="00A432DA">
        <w:t xml:space="preserve"> a </w:t>
      </w:r>
      <w:r w:rsidRPr="00A432DA">
        <w:t>citlivosti. Spolu</w:t>
      </w:r>
      <w:r w:rsidR="00186326" w:rsidRPr="00A432DA">
        <w:t xml:space="preserve"> s </w:t>
      </w:r>
      <w:r w:rsidRPr="00A432DA">
        <w:t>aspiráciou na kontrolu benígnych, mnohonásobných alebo rekurentných cýst mammy.</w:t>
      </w:r>
    </w:p>
    <w:p w14:paraId="4EB370CD" w14:textId="5F1C44FF" w:rsidR="00AA0CE4" w:rsidRPr="00A432DA" w:rsidRDefault="00217258" w:rsidP="002F3444">
      <w:pPr>
        <w:pStyle w:val="Normlndoblokusodrkami"/>
      </w:pPr>
      <w:r w:rsidRPr="00A432DA">
        <w:t>Na zmenšenie veľkosti, zníženie bolestivosti</w:t>
      </w:r>
      <w:r w:rsidR="00186326" w:rsidRPr="00A432DA">
        <w:t xml:space="preserve"> a </w:t>
      </w:r>
      <w:r w:rsidRPr="00A432DA">
        <w:t>citlivosti idiopatických</w:t>
      </w:r>
      <w:r w:rsidR="00186326" w:rsidRPr="00A432DA">
        <w:t xml:space="preserve"> a </w:t>
      </w:r>
      <w:r w:rsidRPr="00A432DA">
        <w:t>liekmi vyvolaných závažných</w:t>
      </w:r>
      <w:r w:rsidR="00186326" w:rsidRPr="00A432DA">
        <w:t> g</w:t>
      </w:r>
      <w:r w:rsidRPr="00A432DA">
        <w:t>ynekomastií.</w:t>
      </w:r>
    </w:p>
    <w:p w14:paraId="54FB3B1E" w14:textId="5A8FC646" w:rsidR="00AA0CE4" w:rsidRPr="00A432DA" w:rsidRDefault="00217258" w:rsidP="002F3444">
      <w:pPr>
        <w:pStyle w:val="Normlndoblokusodrkami"/>
      </w:pPr>
      <w:r w:rsidRPr="00A432DA">
        <w:t>K predoperačnému zníženiu endometria pred jeho hysteroskopickou abláciou.</w:t>
      </w:r>
    </w:p>
    <w:p w14:paraId="4517D526" w14:textId="6430E6D9" w:rsidR="00AA0CE4" w:rsidRPr="00A94418" w:rsidRDefault="00217258" w:rsidP="007636D1">
      <w:pPr>
        <w:pStyle w:val="Styl2"/>
      </w:pPr>
      <w:r w:rsidRPr="00AA57F5">
        <w:lastRenderedPageBreak/>
        <w:t>Dávkovanie</w:t>
      </w:r>
      <w:r w:rsidR="00186326" w:rsidRPr="00A94418">
        <w:t xml:space="preserve"> a </w:t>
      </w:r>
      <w:r w:rsidRPr="00A94418">
        <w:t>spôsob podávania</w:t>
      </w:r>
    </w:p>
    <w:p w14:paraId="3E58F82F" w14:textId="77777777" w:rsidR="006B4DD7" w:rsidRPr="00A94418" w:rsidRDefault="006B4DD7" w:rsidP="007C5725">
      <w:pPr>
        <w:pStyle w:val="Styl4"/>
      </w:pPr>
      <w:r w:rsidRPr="00A94418">
        <w:t>Dávkovanie</w:t>
      </w:r>
    </w:p>
    <w:p w14:paraId="7635F3B2" w14:textId="54D28852" w:rsidR="00217258" w:rsidRPr="00A94418" w:rsidRDefault="00217258" w:rsidP="002F3444">
      <w:pPr>
        <w:pStyle w:val="Normlndobloku"/>
      </w:pPr>
      <w:r w:rsidRPr="00A94418">
        <w:t>Obvyklá terapeutická dávka je 200 až 800</w:t>
      </w:r>
      <w:r w:rsidR="00186326" w:rsidRPr="00A94418">
        <w:t xml:space="preserve"> mg </w:t>
      </w:r>
      <w:r w:rsidRPr="00A94418">
        <w:t>na deň</w:t>
      </w:r>
      <w:r w:rsidR="00186326" w:rsidRPr="00A94418">
        <w:t xml:space="preserve"> a </w:t>
      </w:r>
      <w:r w:rsidRPr="00A94418">
        <w:t>je rozdelená do štyroch dávok. Dávkovanie sa musí upraviť individuálne podľa odpovede pacienta na liečbu. Fertilným ženám sa môže počiatočná dávka znížiť pri priaznivej terapeutickej odpovedi. Vzhľadom</w:t>
      </w:r>
      <w:r w:rsidR="00377FAE" w:rsidRPr="00A94418">
        <w:t xml:space="preserve"> k </w:t>
      </w:r>
      <w:r w:rsidRPr="00A94418">
        <w:t>možnému otehotneniu sa liečba m</w:t>
      </w:r>
      <w:r w:rsidR="00E65CE5" w:rsidRPr="00A94418">
        <w:t>á</w:t>
      </w:r>
      <w:r w:rsidRPr="00A94418">
        <w:t xml:space="preserve"> začať počas menštruácie, prednostne prvý deň. Pred začatím liečby musia byť urobené zodpovedajúce testy na vylúčenie tehotenstva ak sú o ňom nejaké pochybnosti. Ženy vo fertilnom veku musia počas liečby </w:t>
      </w:r>
      <w:proofErr w:type="spellStart"/>
      <w:r w:rsidRPr="00A94418">
        <w:t>danazolom</w:t>
      </w:r>
      <w:proofErr w:type="spellEnd"/>
      <w:r w:rsidRPr="00A94418">
        <w:t xml:space="preserve"> užívať nehormonálnu antikoncepciu.</w:t>
      </w:r>
    </w:p>
    <w:p w14:paraId="0ED2DE97" w14:textId="2BC4949F" w:rsidR="00AA0CE4" w:rsidRPr="00A94418" w:rsidRDefault="00217258" w:rsidP="006A7C12">
      <w:pPr>
        <w:pStyle w:val="Styl4"/>
      </w:pPr>
      <w:r w:rsidRPr="00A94418">
        <w:t>Odporučené dávkovanie je nasledujúce</w:t>
      </w:r>
    </w:p>
    <w:p w14:paraId="4AB20220" w14:textId="2F8661A4" w:rsidR="00AA0CE4" w:rsidRPr="00A94418" w:rsidRDefault="00217258" w:rsidP="007B1F61">
      <w:pPr>
        <w:pStyle w:val="Styl4"/>
      </w:pPr>
      <w:r w:rsidRPr="00A94418">
        <w:t>Dospelí</w:t>
      </w:r>
    </w:p>
    <w:p w14:paraId="2A08531A" w14:textId="67FD086B" w:rsidR="00AA0CE4" w:rsidRPr="00A94418" w:rsidRDefault="00217258" w:rsidP="002F3444">
      <w:pPr>
        <w:pStyle w:val="Normlndobloku"/>
      </w:pPr>
      <w:proofErr w:type="spellStart"/>
      <w:r w:rsidRPr="00A94418">
        <w:rPr>
          <w:i/>
        </w:rPr>
        <w:t>Endometrióza</w:t>
      </w:r>
      <w:proofErr w:type="spellEnd"/>
      <w:r w:rsidRPr="00A94418">
        <w:rPr>
          <w:i/>
        </w:rPr>
        <w:t>:</w:t>
      </w:r>
      <w:r w:rsidRPr="00A94418">
        <w:t xml:space="preserve"> </w:t>
      </w:r>
      <w:r w:rsidRPr="00A94418">
        <w:rPr>
          <w:rStyle w:val="NormlndoblokuChar"/>
        </w:rPr>
        <w:t>počiatočná dávka 400</w:t>
      </w:r>
      <w:r w:rsidR="00186326" w:rsidRPr="00A94418">
        <w:rPr>
          <w:rStyle w:val="NormlndoblokuChar"/>
        </w:rPr>
        <w:t xml:space="preserve"> mg </w:t>
      </w:r>
      <w:r w:rsidRPr="00A94418">
        <w:rPr>
          <w:rStyle w:val="NormlndoblokuChar"/>
        </w:rPr>
        <w:t>denne je rozdelená do niekoľkých dávok. Liečba zvyčajne trvá šesť mesiacov,</w:t>
      </w:r>
      <w:r w:rsidR="00186326" w:rsidRPr="00A94418">
        <w:rPr>
          <w:rStyle w:val="NormlndoblokuChar"/>
        </w:rPr>
        <w:t xml:space="preserve"> v </w:t>
      </w:r>
      <w:r w:rsidRPr="00A94418">
        <w:rPr>
          <w:rStyle w:val="NormlndoblokuChar"/>
        </w:rPr>
        <w:t>niektorých prípadoch, ak je potrebné, sa môže predĺžiť na deväť mesiacov. Ak po dvoch mesiacoch terapie perzistuje normálne cyklické krvácanie, dávka by mala byť zvýšená. Pri závažnom ochorení môžu byť dávky vyššie.</w:t>
      </w:r>
    </w:p>
    <w:p w14:paraId="1C68DF3E" w14:textId="4F45C96D" w:rsidR="00AA0CE4" w:rsidRPr="00A94418" w:rsidRDefault="00217258" w:rsidP="002F3444">
      <w:pPr>
        <w:pStyle w:val="Normlndobloku"/>
      </w:pPr>
      <w:r w:rsidRPr="00A94418">
        <w:rPr>
          <w:i/>
        </w:rPr>
        <w:t>Dysfunkčné krvácanie (</w:t>
      </w:r>
      <w:proofErr w:type="spellStart"/>
      <w:r w:rsidRPr="00A94418">
        <w:rPr>
          <w:i/>
        </w:rPr>
        <w:t>menorágia</w:t>
      </w:r>
      <w:proofErr w:type="spellEnd"/>
      <w:r w:rsidRPr="00A94418">
        <w:rPr>
          <w:i/>
        </w:rPr>
        <w:t>):</w:t>
      </w:r>
      <w:r w:rsidRPr="00A94418">
        <w:t xml:space="preserve"> 200</w:t>
      </w:r>
      <w:r w:rsidR="00186326" w:rsidRPr="00A94418">
        <w:t xml:space="preserve"> mg </w:t>
      </w:r>
      <w:r w:rsidRPr="00A94418">
        <w:t>denne, obvykle tri mesiace.</w:t>
      </w:r>
    </w:p>
    <w:p w14:paraId="7E491C58" w14:textId="03DE9E7E" w:rsidR="00AA0CE4" w:rsidRPr="00A94418" w:rsidRDefault="00217258" w:rsidP="002F3444">
      <w:pPr>
        <w:pStyle w:val="Normlndobloku"/>
      </w:pPr>
      <w:r w:rsidRPr="00A94418">
        <w:rPr>
          <w:i/>
        </w:rPr>
        <w:t xml:space="preserve">Závažné cyklické </w:t>
      </w:r>
      <w:proofErr w:type="spellStart"/>
      <w:r w:rsidRPr="00A94418">
        <w:rPr>
          <w:i/>
        </w:rPr>
        <w:t>mastalgie</w:t>
      </w:r>
      <w:proofErr w:type="spellEnd"/>
      <w:r w:rsidRPr="00A94418">
        <w:t>: podľa závažnosti príznakov, 200 až 300</w:t>
      </w:r>
      <w:r w:rsidR="00186326" w:rsidRPr="00A94418">
        <w:t xml:space="preserve"> mg </w:t>
      </w:r>
      <w:r w:rsidRPr="00A94418">
        <w:t>denne počas troch až šiestich mesiacov.</w:t>
      </w:r>
    </w:p>
    <w:p w14:paraId="55D15F78" w14:textId="6CAA7195" w:rsidR="00AA0CE4" w:rsidRPr="00A94418" w:rsidRDefault="00217258" w:rsidP="002F3444">
      <w:pPr>
        <w:pStyle w:val="Normlndobloku"/>
      </w:pPr>
      <w:r w:rsidRPr="00A94418">
        <w:rPr>
          <w:i/>
        </w:rPr>
        <w:t>Benígne prsníkové cysty:</w:t>
      </w:r>
      <w:r w:rsidRPr="00A94418">
        <w:t xml:space="preserve"> 300</w:t>
      </w:r>
      <w:r w:rsidR="00186326" w:rsidRPr="00A94418">
        <w:t xml:space="preserve"> mg </w:t>
      </w:r>
      <w:r w:rsidRPr="00A94418">
        <w:t>denne tri až šesť mesiacov.</w:t>
      </w:r>
    </w:p>
    <w:p w14:paraId="5C48500A" w14:textId="1F02F98C" w:rsidR="00AA0CE4" w:rsidRPr="00A94418" w:rsidRDefault="00217258" w:rsidP="002F3444">
      <w:pPr>
        <w:pStyle w:val="Normlndobloku"/>
      </w:pPr>
      <w:proofErr w:type="spellStart"/>
      <w:r w:rsidRPr="00A94418">
        <w:rPr>
          <w:i/>
        </w:rPr>
        <w:t>Gynekomastia</w:t>
      </w:r>
      <w:proofErr w:type="spellEnd"/>
      <w:r w:rsidRPr="00A94418">
        <w:t>:</w:t>
      </w:r>
      <w:r w:rsidR="00186326" w:rsidRPr="00A94418">
        <w:t xml:space="preserve"> u </w:t>
      </w:r>
      <w:r w:rsidRPr="00A94418">
        <w:t>adolescentov počiatočná dávka 200</w:t>
      </w:r>
      <w:r w:rsidR="00186326" w:rsidRPr="00A94418">
        <w:t xml:space="preserve"> mg </w:t>
      </w:r>
      <w:r w:rsidRPr="00A94418">
        <w:t>denne sa podáva šesť mesiacov, ak sa po dvoch mesiacoch neobjaví odpoveď, môže sa dávka zvýšiť na 400</w:t>
      </w:r>
      <w:r w:rsidR="00186326" w:rsidRPr="00A94418">
        <w:t xml:space="preserve"> mg </w:t>
      </w:r>
      <w:r w:rsidRPr="00A94418">
        <w:t>denne. Dospelí by mali dostávať 400</w:t>
      </w:r>
      <w:r w:rsidR="00186326" w:rsidRPr="00A94418">
        <w:t xml:space="preserve"> mg </w:t>
      </w:r>
      <w:r w:rsidR="007E09F1" w:rsidRPr="00A94418">
        <w:t>denne.</w:t>
      </w:r>
    </w:p>
    <w:p w14:paraId="5D337A7B" w14:textId="4A769358" w:rsidR="00217258" w:rsidRPr="00A94418" w:rsidRDefault="00217258" w:rsidP="002F3444">
      <w:pPr>
        <w:pStyle w:val="Normlndobloku"/>
      </w:pPr>
      <w:r w:rsidRPr="00A94418">
        <w:rPr>
          <w:i/>
        </w:rPr>
        <w:t xml:space="preserve">Predoperačné stenčenie </w:t>
      </w:r>
      <w:proofErr w:type="spellStart"/>
      <w:r w:rsidRPr="00A94418">
        <w:rPr>
          <w:i/>
        </w:rPr>
        <w:t>endometria</w:t>
      </w:r>
      <w:proofErr w:type="spellEnd"/>
      <w:r w:rsidRPr="00A94418">
        <w:rPr>
          <w:i/>
        </w:rPr>
        <w:t>:</w:t>
      </w:r>
      <w:r w:rsidRPr="00A94418">
        <w:t xml:space="preserve"> 400 až 800</w:t>
      </w:r>
      <w:r w:rsidR="00186326" w:rsidRPr="00A94418">
        <w:t xml:space="preserve"> mg </w:t>
      </w:r>
      <w:r w:rsidRPr="00A94418">
        <w:t>denne ako kontinuálna liečba počas troch až šiestich týždňov.</w:t>
      </w:r>
    </w:p>
    <w:p w14:paraId="1AEE9B46" w14:textId="41FF60A0" w:rsidR="00AA0CE4" w:rsidRPr="008E6258" w:rsidRDefault="00217258" w:rsidP="007B1F61">
      <w:pPr>
        <w:pStyle w:val="Styl4"/>
        <w:rPr>
          <w:iCs/>
        </w:rPr>
      </w:pPr>
      <w:r w:rsidRPr="00BF78E3">
        <w:rPr>
          <w:iCs/>
        </w:rPr>
        <w:t xml:space="preserve">Starší </w:t>
      </w:r>
      <w:r w:rsidR="005D2279" w:rsidRPr="008E6258">
        <w:rPr>
          <w:iCs/>
        </w:rPr>
        <w:t>pacienti</w:t>
      </w:r>
    </w:p>
    <w:p w14:paraId="4EC7970F" w14:textId="7D2AA2CD" w:rsidR="00AA0CE4" w:rsidRPr="00BF78E3" w:rsidRDefault="00217258" w:rsidP="002F3444">
      <w:pPr>
        <w:pStyle w:val="Normlndobloku"/>
      </w:pPr>
      <w:r w:rsidRPr="008E6258">
        <w:t>Neodporúča sa</w:t>
      </w:r>
      <w:r w:rsidR="003F2E43" w:rsidRPr="008E6258">
        <w:t xml:space="preserve"> používanie ANARGILU v tejto populácii</w:t>
      </w:r>
      <w:r w:rsidRPr="008E6258">
        <w:t>.</w:t>
      </w:r>
    </w:p>
    <w:p w14:paraId="59FAF0FD" w14:textId="67B49A04" w:rsidR="006848C0" w:rsidRPr="008E6258" w:rsidRDefault="00E559FE" w:rsidP="003F3513">
      <w:pPr>
        <w:pStyle w:val="Styl4"/>
      </w:pPr>
      <w:r w:rsidRPr="008E6258">
        <w:t xml:space="preserve">Pediatrická populácia </w:t>
      </w:r>
    </w:p>
    <w:p w14:paraId="0EC1BFE1" w14:textId="16857BEC" w:rsidR="00802AB7" w:rsidRPr="008E6258" w:rsidRDefault="00245600" w:rsidP="002F3444">
      <w:pPr>
        <w:pStyle w:val="Normlndobloku"/>
        <w:rPr>
          <w:i/>
        </w:rPr>
      </w:pPr>
      <w:proofErr w:type="spellStart"/>
      <w:r w:rsidRPr="008E6258">
        <w:t>Danazol</w:t>
      </w:r>
      <w:proofErr w:type="spellEnd"/>
      <w:r w:rsidRPr="008E6258">
        <w:t xml:space="preserve"> je kontraindikovaný v detskom veku.</w:t>
      </w:r>
      <w:r w:rsidR="00802AB7" w:rsidRPr="008E6258">
        <w:rPr>
          <w:i/>
        </w:rPr>
        <w:t xml:space="preserve"> </w:t>
      </w:r>
    </w:p>
    <w:p w14:paraId="545F80BF" w14:textId="641EC61B" w:rsidR="00802AB7" w:rsidRPr="008E6258" w:rsidRDefault="00802AB7" w:rsidP="00802AB7">
      <w:pPr>
        <w:pStyle w:val="Styl4"/>
      </w:pPr>
      <w:r w:rsidRPr="008E6258">
        <w:t>Poruchy funkcie pečene a obličiek</w:t>
      </w:r>
    </w:p>
    <w:p w14:paraId="7ED90977" w14:textId="19EFD8DD" w:rsidR="00245600" w:rsidRPr="008E6258" w:rsidRDefault="00802AB7" w:rsidP="00802AB7">
      <w:pPr>
        <w:pStyle w:val="Styl4"/>
      </w:pPr>
      <w:r w:rsidRPr="008E6258">
        <w:rPr>
          <w:rStyle w:val="NormlndoblokuChar"/>
          <w:u w:val="none"/>
        </w:rPr>
        <w:t>Liečivo je kontraindikované v závažných prípadoch (pozri časť 4.3 a 4.4).</w:t>
      </w:r>
    </w:p>
    <w:p w14:paraId="0354C9CA" w14:textId="57BD4A5D" w:rsidR="006B4DD7" w:rsidRPr="008E6258" w:rsidRDefault="006B4DD7" w:rsidP="00802AB7">
      <w:pPr>
        <w:pStyle w:val="Styl2-2"/>
      </w:pPr>
      <w:proofErr w:type="spellStart"/>
      <w:r w:rsidRPr="008E6258">
        <w:t>Sp</w:t>
      </w:r>
      <w:r w:rsidRPr="008E6258">
        <w:rPr>
          <w:rFonts w:cs="Times New Roman"/>
        </w:rPr>
        <w:t>ô</w:t>
      </w:r>
      <w:r w:rsidRPr="008E6258">
        <w:t>sob</w:t>
      </w:r>
      <w:proofErr w:type="spellEnd"/>
      <w:r w:rsidRPr="008E6258">
        <w:t xml:space="preserve"> </w:t>
      </w:r>
      <w:proofErr w:type="spellStart"/>
      <w:r w:rsidRPr="008E6258">
        <w:t>podávania</w:t>
      </w:r>
      <w:proofErr w:type="spellEnd"/>
    </w:p>
    <w:p w14:paraId="66CE081F" w14:textId="4B790A3B" w:rsidR="006B4DD7" w:rsidRPr="002841B2" w:rsidRDefault="00C05781" w:rsidP="002F3444">
      <w:pPr>
        <w:pStyle w:val="Normlndobloku"/>
      </w:pPr>
      <w:r>
        <w:t>Tvrdé k</w:t>
      </w:r>
      <w:r w:rsidR="006B4DD7" w:rsidRPr="008E6258">
        <w:t>apsuly</w:t>
      </w:r>
      <w:r w:rsidR="006B4DD7" w:rsidRPr="00BF78E3">
        <w:t xml:space="preserve"> sú určené na perorálne užitie.</w:t>
      </w:r>
    </w:p>
    <w:p w14:paraId="1A2474FA" w14:textId="4FAC5F0F" w:rsidR="00AA0CE4" w:rsidRPr="00A94418" w:rsidRDefault="00046BA0" w:rsidP="007636D1">
      <w:pPr>
        <w:pStyle w:val="Styl2"/>
      </w:pPr>
      <w:r w:rsidRPr="00A432DA">
        <w:t xml:space="preserve"> </w:t>
      </w:r>
      <w:r w:rsidR="00D67D56" w:rsidRPr="00A94418">
        <w:t>Kontraindikácie</w:t>
      </w:r>
    </w:p>
    <w:p w14:paraId="03A8514C" w14:textId="22C7AF3F" w:rsidR="00D67D56" w:rsidRPr="00A94418" w:rsidRDefault="00D67D56" w:rsidP="002F3444">
      <w:pPr>
        <w:pStyle w:val="Normlndoblokusodrkami"/>
      </w:pPr>
      <w:r w:rsidRPr="00A94418">
        <w:t xml:space="preserve">Precitlivenosť na </w:t>
      </w:r>
      <w:r w:rsidR="00FC6421" w:rsidRPr="00A94418">
        <w:t>liečivo</w:t>
      </w:r>
      <w:r w:rsidRPr="00A94418">
        <w:t xml:space="preserve"> alebo na ktorúkoľvek z pomocných látok uvedených v časti 6.1.</w:t>
      </w:r>
    </w:p>
    <w:p w14:paraId="6B43861B" w14:textId="619AD3D5" w:rsidR="00AA0CE4" w:rsidRPr="00A94418" w:rsidRDefault="00217258" w:rsidP="002F3444">
      <w:pPr>
        <w:pStyle w:val="Normlndoblokusodrkami"/>
      </w:pPr>
      <w:r w:rsidRPr="00A94418">
        <w:t>Gravidita</w:t>
      </w:r>
    </w:p>
    <w:p w14:paraId="187CAE2D" w14:textId="0BBD8B51" w:rsidR="00AA0CE4" w:rsidRPr="00A94418" w:rsidRDefault="00217258" w:rsidP="002F3444">
      <w:pPr>
        <w:pStyle w:val="Normlndoblokusodrkami"/>
      </w:pPr>
      <w:r w:rsidRPr="00A94418">
        <w:t>Dojčenie, danazol sa vylučuje do materského mlieka</w:t>
      </w:r>
    </w:p>
    <w:p w14:paraId="0232AB46" w14:textId="01965C59" w:rsidR="00AA0CE4" w:rsidRPr="00A94418" w:rsidRDefault="00217258" w:rsidP="002F3444">
      <w:pPr>
        <w:pStyle w:val="Normlndoblokusodrkami"/>
      </w:pPr>
      <w:r w:rsidRPr="00A94418">
        <w:t>Závažné poškodenie kardiálnych, pečeňových alebo obličkových funkcií</w:t>
      </w:r>
    </w:p>
    <w:p w14:paraId="6CE1555F" w14:textId="7CC1E30C" w:rsidR="00AA0CE4" w:rsidRPr="00A94418" w:rsidRDefault="00217258" w:rsidP="002F3444">
      <w:pPr>
        <w:pStyle w:val="Normlndoblokusodrkami"/>
      </w:pPr>
      <w:r w:rsidRPr="00A94418">
        <w:t>Porfýria</w:t>
      </w:r>
      <w:r w:rsidR="00377FAE" w:rsidRPr="00A94418">
        <w:t> </w:t>
      </w:r>
      <w:r w:rsidR="00F53FE2" w:rsidRPr="00A94418">
        <w:t>-</w:t>
      </w:r>
      <w:r w:rsidR="00377FAE" w:rsidRPr="00A94418">
        <w:t> </w:t>
      </w:r>
      <w:r w:rsidRPr="00A94418">
        <w:t>danazol môže indukovať ALA</w:t>
      </w:r>
      <w:r w:rsidR="00377FAE" w:rsidRPr="00A94418">
        <w:t> </w:t>
      </w:r>
      <w:r w:rsidR="00F53FE2" w:rsidRPr="00A94418">
        <w:t>-</w:t>
      </w:r>
      <w:r w:rsidR="00377FAE" w:rsidRPr="00A94418">
        <w:t> </w:t>
      </w:r>
      <w:r w:rsidRPr="00A94418">
        <w:t>syntetázovú aktivitu</w:t>
      </w:r>
      <w:r w:rsidR="00186326" w:rsidRPr="00A94418">
        <w:t xml:space="preserve"> a </w:t>
      </w:r>
      <w:r w:rsidRPr="00A94418">
        <w:t>tak metabolizmus porfyrínu</w:t>
      </w:r>
    </w:p>
    <w:p w14:paraId="1B951F84" w14:textId="35304AC1" w:rsidR="00AA0CE4" w:rsidRPr="00A94418" w:rsidRDefault="00217258" w:rsidP="002F3444">
      <w:pPr>
        <w:pStyle w:val="Normlndoblokusodrkami"/>
      </w:pPr>
      <w:r w:rsidRPr="00A94418">
        <w:t>Tromboembolická choroba</w:t>
      </w:r>
    </w:p>
    <w:p w14:paraId="42E6DB0D" w14:textId="18B0B0A6" w:rsidR="00AA0CE4" w:rsidRPr="00A94418" w:rsidRDefault="00217258" w:rsidP="002F3444">
      <w:pPr>
        <w:pStyle w:val="Normlndoblokusodrkami"/>
      </w:pPr>
      <w:r w:rsidRPr="00A94418">
        <w:t>Androgén dependentné tumory</w:t>
      </w:r>
    </w:p>
    <w:p w14:paraId="2D6E623B" w14:textId="4D757E4F" w:rsidR="00AA0CE4" w:rsidRPr="00A94418" w:rsidRDefault="00217258" w:rsidP="002F3444">
      <w:pPr>
        <w:pStyle w:val="Normlndoblokusodrkami"/>
      </w:pPr>
      <w:r w:rsidRPr="00A94418">
        <w:t>Abnormálne vaginálne krvácanie, ktoré nebolo podrobne vyšetrené</w:t>
      </w:r>
    </w:p>
    <w:p w14:paraId="7EBB4979" w14:textId="2F7B8AC5" w:rsidR="00AA0CE4" w:rsidRPr="00A94418" w:rsidRDefault="00217258" w:rsidP="002F3444">
      <w:pPr>
        <w:pStyle w:val="Normlndoblokusodrkami"/>
      </w:pPr>
      <w:r w:rsidRPr="00A94418">
        <w:lastRenderedPageBreak/>
        <w:t>Precitlivenosť na ktorúkoľvek zložku lieku</w:t>
      </w:r>
    </w:p>
    <w:p w14:paraId="71FE9134" w14:textId="31877AE3" w:rsidR="00AA0CE4" w:rsidRPr="00A94418" w:rsidRDefault="00217258" w:rsidP="002F3444">
      <w:pPr>
        <w:pStyle w:val="Normlndoblokusodrkami"/>
      </w:pPr>
      <w:r w:rsidRPr="00A94418">
        <w:t>Detský vek</w:t>
      </w:r>
    </w:p>
    <w:p w14:paraId="4E15679C" w14:textId="35822FB5" w:rsidR="00217258" w:rsidRPr="00A94418" w:rsidRDefault="009312E9" w:rsidP="007636D1">
      <w:pPr>
        <w:pStyle w:val="Styl2"/>
      </w:pPr>
      <w:r w:rsidRPr="00A94418">
        <w:t>Osobitné upozornenia</w:t>
      </w:r>
      <w:r w:rsidR="00186326" w:rsidRPr="00A94418">
        <w:t xml:space="preserve"> a </w:t>
      </w:r>
      <w:r w:rsidRPr="00A94418">
        <w:t>opatrenia pri používaní</w:t>
      </w:r>
    </w:p>
    <w:p w14:paraId="26349EEB" w14:textId="622DDE0A" w:rsidR="00E559FE" w:rsidRPr="00A94418" w:rsidRDefault="00217258" w:rsidP="002F3444">
      <w:pPr>
        <w:pStyle w:val="Normlndobloku"/>
      </w:pPr>
      <w:r w:rsidRPr="00A94418">
        <w:t>Zvláštna pozornosť sa musí venovať pacientom</w:t>
      </w:r>
      <w:r w:rsidR="00186326" w:rsidRPr="00A94418">
        <w:t xml:space="preserve"> s </w:t>
      </w:r>
      <w:r w:rsidRPr="00A94418">
        <w:t>hypertenziou</w:t>
      </w:r>
      <w:r w:rsidR="00186326" w:rsidRPr="00A94418">
        <w:t xml:space="preserve"> a </w:t>
      </w:r>
      <w:r w:rsidRPr="00A94418">
        <w:t>ďalšími kardiovaskulárnymi chorobami,</w:t>
      </w:r>
      <w:r w:rsidR="00186326" w:rsidRPr="00A94418">
        <w:t xml:space="preserve"> s </w:t>
      </w:r>
      <w:r w:rsidRPr="00A94418">
        <w:t>ochorením pečene, obličiek</w:t>
      </w:r>
      <w:r w:rsidR="00186326" w:rsidRPr="00A94418">
        <w:t xml:space="preserve"> a </w:t>
      </w:r>
      <w:r w:rsidRPr="00A94418">
        <w:t xml:space="preserve">so </w:t>
      </w:r>
      <w:bookmarkStart w:id="3" w:name="_Hlk22810843"/>
      <w:r w:rsidRPr="00A94418">
        <w:t xml:space="preserve">stavmi, ktoré môžu byť zhoršené </w:t>
      </w:r>
      <w:proofErr w:type="spellStart"/>
      <w:r w:rsidRPr="00A94418">
        <w:t>retenciou</w:t>
      </w:r>
      <w:proofErr w:type="spellEnd"/>
      <w:r w:rsidRPr="00A94418">
        <w:t xml:space="preserve"> tekutín</w:t>
      </w:r>
      <w:bookmarkEnd w:id="3"/>
      <w:r w:rsidR="00E559FE" w:rsidRPr="00A94418">
        <w:t>.</w:t>
      </w:r>
    </w:p>
    <w:p w14:paraId="4BC16FA4" w14:textId="48A73126" w:rsidR="00AA0CE4" w:rsidRPr="00A94418" w:rsidRDefault="00217258" w:rsidP="002F3444">
      <w:pPr>
        <w:pStyle w:val="Normlndobloku"/>
      </w:pPr>
      <w:r w:rsidRPr="00A94418">
        <w:t>Mimoriadna starostlivosť by sa mala venovať pacientom</w:t>
      </w:r>
      <w:r w:rsidR="00186326" w:rsidRPr="00A94418">
        <w:t xml:space="preserve"> s </w:t>
      </w:r>
      <w:r w:rsidRPr="00A94418">
        <w:t xml:space="preserve">diabetes </w:t>
      </w:r>
      <w:proofErr w:type="spellStart"/>
      <w:r w:rsidRPr="00A94418">
        <w:t>mellitus</w:t>
      </w:r>
      <w:proofErr w:type="spellEnd"/>
      <w:r w:rsidRPr="00A94418">
        <w:t xml:space="preserve">, epilepsiou, poruchou metabolizmu </w:t>
      </w:r>
      <w:proofErr w:type="spellStart"/>
      <w:r w:rsidRPr="00A94418">
        <w:t>lipidov</w:t>
      </w:r>
      <w:proofErr w:type="spellEnd"/>
      <w:r w:rsidRPr="00A94418">
        <w:t xml:space="preserve">, </w:t>
      </w:r>
      <w:proofErr w:type="spellStart"/>
      <w:r w:rsidRPr="00A94418">
        <w:t>polycytémiou</w:t>
      </w:r>
      <w:proofErr w:type="spellEnd"/>
      <w:r w:rsidRPr="00A94418">
        <w:t>, trombózou</w:t>
      </w:r>
      <w:r w:rsidR="00186326" w:rsidRPr="00A94418">
        <w:t xml:space="preserve"> v </w:t>
      </w:r>
      <w:r w:rsidRPr="00A94418">
        <w:t>anamnéze</w:t>
      </w:r>
      <w:r w:rsidR="00186326" w:rsidRPr="00A94418">
        <w:t xml:space="preserve"> a </w:t>
      </w:r>
      <w:r w:rsidRPr="00A94418">
        <w:t xml:space="preserve">tým pacientom, ktorí pri predchádzajúcej terapii </w:t>
      </w:r>
      <w:bookmarkStart w:id="4" w:name="_Hlk22808483"/>
      <w:r w:rsidRPr="00A94418">
        <w:t xml:space="preserve">pohlavnými </w:t>
      </w:r>
      <w:proofErr w:type="spellStart"/>
      <w:r w:rsidRPr="00A94418">
        <w:t>steroidmi</w:t>
      </w:r>
      <w:proofErr w:type="spellEnd"/>
      <w:r w:rsidRPr="00A94418">
        <w:t xml:space="preserve"> vykazovali </w:t>
      </w:r>
      <w:proofErr w:type="spellStart"/>
      <w:r w:rsidRPr="00A94418">
        <w:t>androgénnu</w:t>
      </w:r>
      <w:proofErr w:type="spellEnd"/>
      <w:r w:rsidRPr="00A94418">
        <w:t xml:space="preserve"> reakciu</w:t>
      </w:r>
      <w:bookmarkEnd w:id="4"/>
      <w:r w:rsidRPr="00A94418">
        <w:t>. Menovite pri pacientoch</w:t>
      </w:r>
      <w:r w:rsidR="00186326" w:rsidRPr="00A94418">
        <w:t xml:space="preserve"> s </w:t>
      </w:r>
      <w:r w:rsidRPr="00A94418">
        <w:t xml:space="preserve">diabetes </w:t>
      </w:r>
      <w:proofErr w:type="spellStart"/>
      <w:r w:rsidRPr="00A94418">
        <w:t>mellitus</w:t>
      </w:r>
      <w:proofErr w:type="spellEnd"/>
      <w:r w:rsidRPr="00A94418">
        <w:t>, epilepsiou alebo hypertenziou môže sprievodná terapia vyžadovať úpravu po začatí,</w:t>
      </w:r>
      <w:r w:rsidR="00186326" w:rsidRPr="00A94418">
        <w:t xml:space="preserve"> v </w:t>
      </w:r>
      <w:r w:rsidRPr="00A94418">
        <w:t xml:space="preserve">priebehu alebo po ukončení liečby </w:t>
      </w:r>
      <w:proofErr w:type="spellStart"/>
      <w:r w:rsidRPr="00A94418">
        <w:t>danazolom</w:t>
      </w:r>
      <w:proofErr w:type="spellEnd"/>
      <w:r w:rsidRPr="00A94418">
        <w:t>.</w:t>
      </w:r>
    </w:p>
    <w:p w14:paraId="56E4D15A" w14:textId="51154935" w:rsidR="00AA0CE4" w:rsidRPr="00A94418" w:rsidRDefault="00217258" w:rsidP="002F3444">
      <w:pPr>
        <w:pStyle w:val="Normlndobloku"/>
      </w:pPr>
      <w:r w:rsidRPr="00A94418">
        <w:t>U pacientov trpiacich na migrénu sa odporúča opatrnosť.</w:t>
      </w:r>
    </w:p>
    <w:p w14:paraId="23403D51" w14:textId="38A65E41" w:rsidR="00AA0CE4" w:rsidRPr="00A94418" w:rsidRDefault="00217258" w:rsidP="002F3444">
      <w:pPr>
        <w:pStyle w:val="Normlndobloku"/>
      </w:pPr>
      <w:r w:rsidRPr="00A94418">
        <w:t xml:space="preserve">Vzhľadom na nedostatok ďalších informácií by sa zvláštna pozornosť mala venovať pacientom so známym alebo </w:t>
      </w:r>
      <w:proofErr w:type="spellStart"/>
      <w:r w:rsidRPr="00A94418">
        <w:t>suspektným</w:t>
      </w:r>
      <w:proofErr w:type="spellEnd"/>
      <w:r w:rsidRPr="00A94418">
        <w:t xml:space="preserve"> malígnym ochorením.</w:t>
      </w:r>
    </w:p>
    <w:p w14:paraId="727D1B2C" w14:textId="3D6F550E" w:rsidR="00AA0CE4" w:rsidRPr="00A94418" w:rsidRDefault="00217258" w:rsidP="002F3444">
      <w:pPr>
        <w:pStyle w:val="Normlndobloku"/>
      </w:pPr>
      <w:r w:rsidRPr="00A94418">
        <w:t>Ak uzlíky</w:t>
      </w:r>
      <w:r w:rsidR="00186326" w:rsidRPr="00A94418">
        <w:t xml:space="preserve"> v </w:t>
      </w:r>
      <w:r w:rsidRPr="00A94418">
        <w:t xml:space="preserve">prsníku behom </w:t>
      </w:r>
      <w:proofErr w:type="spellStart"/>
      <w:r w:rsidRPr="00A94418">
        <w:t>danazolovej</w:t>
      </w:r>
      <w:proofErr w:type="spellEnd"/>
      <w:r w:rsidRPr="00A94418">
        <w:t xml:space="preserve"> terapie pretrvávajú alebo sa dokonca zväčšujú, je potrebné vylúčiť možnosť karcinómu.</w:t>
      </w:r>
    </w:p>
    <w:p w14:paraId="44886384" w14:textId="5CC54036" w:rsidR="00AA0CE4" w:rsidRPr="00A94418" w:rsidRDefault="00217258" w:rsidP="002F3444">
      <w:pPr>
        <w:pStyle w:val="Normlndobloku"/>
      </w:pPr>
      <w:r w:rsidRPr="00A94418">
        <w:t xml:space="preserve">Liečba </w:t>
      </w:r>
      <w:proofErr w:type="spellStart"/>
      <w:r w:rsidRPr="00A94418">
        <w:t>danazolom</w:t>
      </w:r>
      <w:proofErr w:type="spellEnd"/>
      <w:r w:rsidR="00186326" w:rsidRPr="00A94418">
        <w:t xml:space="preserve"> v </w:t>
      </w:r>
      <w:r w:rsidRPr="00A94418">
        <w:t xml:space="preserve">prípade objavenia sa </w:t>
      </w:r>
      <w:proofErr w:type="spellStart"/>
      <w:r w:rsidRPr="00A94418">
        <w:t>virilizácie</w:t>
      </w:r>
      <w:proofErr w:type="spellEnd"/>
      <w:r w:rsidRPr="00A94418">
        <w:t xml:space="preserve"> sa musí prerušiť.</w:t>
      </w:r>
      <w:r w:rsidR="00E559FE" w:rsidRPr="00A94418">
        <w:t xml:space="preserve"> </w:t>
      </w:r>
      <w:proofErr w:type="spellStart"/>
      <w:r w:rsidRPr="00A94418">
        <w:t>Androgénna</w:t>
      </w:r>
      <w:proofErr w:type="spellEnd"/>
      <w:r w:rsidRPr="00A94418">
        <w:t xml:space="preserve"> reakcia je obvykle reverzibilná, ale pokračovanie</w:t>
      </w:r>
      <w:r w:rsidR="00186326" w:rsidRPr="00A94418">
        <w:t xml:space="preserve"> v </w:t>
      </w:r>
      <w:r w:rsidRPr="00A94418">
        <w:t xml:space="preserve">terapii po objavení sa </w:t>
      </w:r>
      <w:proofErr w:type="spellStart"/>
      <w:r w:rsidRPr="00A94418">
        <w:t>virilizácie</w:t>
      </w:r>
      <w:proofErr w:type="spellEnd"/>
      <w:r w:rsidRPr="00A94418">
        <w:t xml:space="preserve"> môže viesť</w:t>
      </w:r>
      <w:r w:rsidR="00377FAE" w:rsidRPr="00A94418">
        <w:t xml:space="preserve"> k </w:t>
      </w:r>
      <w:r w:rsidRPr="00A94418">
        <w:t xml:space="preserve">ireverzibilným zmenám. Všetci pacienti </w:t>
      </w:r>
      <w:r w:rsidR="003B01EF" w:rsidRPr="008E6258">
        <w:t>majú</w:t>
      </w:r>
      <w:r w:rsidRPr="00A94418">
        <w:t xml:space="preserve"> byť klinicky sledovaní,</w:t>
      </w:r>
      <w:r w:rsidR="00186326" w:rsidRPr="00A94418">
        <w:t xml:space="preserve"> s </w:t>
      </w:r>
      <w:r w:rsidRPr="00A94418">
        <w:t>prípadným vhodným laboratórnym vyšetrením, ako sú pečeňové funkcie</w:t>
      </w:r>
      <w:r w:rsidR="00186326" w:rsidRPr="00A94418">
        <w:t xml:space="preserve"> a </w:t>
      </w:r>
      <w:r w:rsidRPr="00A94418">
        <w:t>krvný obraz.</w:t>
      </w:r>
    </w:p>
    <w:p w14:paraId="3F5E9499" w14:textId="50C58297" w:rsidR="00217258" w:rsidRPr="00A94418" w:rsidRDefault="00217258" w:rsidP="002F3444">
      <w:pPr>
        <w:pStyle w:val="Normlndobloku"/>
      </w:pPr>
      <w:r w:rsidRPr="00A94418">
        <w:t>Skúsenosti</w:t>
      </w:r>
      <w:r w:rsidR="00186326" w:rsidRPr="00A94418">
        <w:t xml:space="preserve"> s </w:t>
      </w:r>
      <w:r w:rsidRPr="00A94418">
        <w:t xml:space="preserve">dlhodobou liečbou </w:t>
      </w:r>
      <w:proofErr w:type="spellStart"/>
      <w:r w:rsidRPr="00A94418">
        <w:t>danazolom</w:t>
      </w:r>
      <w:proofErr w:type="spellEnd"/>
      <w:r w:rsidRPr="00A94418">
        <w:t xml:space="preserve"> sú limitované. Ak je nutné liečbu opakovať, je nevyhnutná zvýšená starostlivosť. </w:t>
      </w:r>
      <w:proofErr w:type="spellStart"/>
      <w:r w:rsidRPr="00A94418">
        <w:t>Danazol</w:t>
      </w:r>
      <w:proofErr w:type="spellEnd"/>
      <w:r w:rsidRPr="00A94418">
        <w:t xml:space="preserve"> je chemicky príbuzný 17-alkylovaným </w:t>
      </w:r>
      <w:proofErr w:type="spellStart"/>
      <w:r w:rsidRPr="00A94418">
        <w:t>steroidom</w:t>
      </w:r>
      <w:proofErr w:type="spellEnd"/>
      <w:r w:rsidR="00186326" w:rsidRPr="00A94418">
        <w:t xml:space="preserve"> a </w:t>
      </w:r>
      <w:r w:rsidRPr="00A94418">
        <w:t xml:space="preserve">ak sa používa dlhšie, ako je odporúčané, rastie riziko vzniku benígneho pečeňového </w:t>
      </w:r>
      <w:proofErr w:type="spellStart"/>
      <w:r w:rsidRPr="00A94418">
        <w:t>adenómu</w:t>
      </w:r>
      <w:proofErr w:type="spellEnd"/>
      <w:r w:rsidR="00186326" w:rsidRPr="00A94418">
        <w:t xml:space="preserve"> a </w:t>
      </w:r>
      <w:proofErr w:type="spellStart"/>
      <w:r w:rsidRPr="00A94418">
        <w:t>peliózy</w:t>
      </w:r>
      <w:proofErr w:type="spellEnd"/>
      <w:r w:rsidRPr="00A94418">
        <w:t xml:space="preserve"> pečene.</w:t>
      </w:r>
    </w:p>
    <w:p w14:paraId="517A77F0" w14:textId="0A16A78F" w:rsidR="00E368A5" w:rsidRPr="00A94418" w:rsidRDefault="00E368A5" w:rsidP="00802AB7">
      <w:pPr>
        <w:pStyle w:val="Styl4"/>
      </w:pPr>
      <w:r w:rsidRPr="00A94418">
        <w:t>Laktóz</w:t>
      </w:r>
      <w:r w:rsidR="00645649" w:rsidRPr="00A94418">
        <w:t>a</w:t>
      </w:r>
    </w:p>
    <w:p w14:paraId="75FC6AE4" w14:textId="440D53D3" w:rsidR="00E368A5" w:rsidRPr="00A94418" w:rsidRDefault="00645649" w:rsidP="002F3444">
      <w:pPr>
        <w:pStyle w:val="Normlndobloku"/>
      </w:pPr>
      <w:r w:rsidRPr="00A94418">
        <w:t xml:space="preserve">Tento liek obsahuje laktózu. Pacienti so zriedkavými dedičnými problémami </w:t>
      </w:r>
      <w:proofErr w:type="spellStart"/>
      <w:r w:rsidRPr="00A94418">
        <w:t>galaktózovej</w:t>
      </w:r>
      <w:proofErr w:type="spellEnd"/>
      <w:r w:rsidRPr="00A94418">
        <w:t xml:space="preserve"> intolerancie, celkovým deficitom </w:t>
      </w:r>
      <w:proofErr w:type="spellStart"/>
      <w:r w:rsidRPr="00A94418">
        <w:t>laktázy</w:t>
      </w:r>
      <w:proofErr w:type="spellEnd"/>
      <w:r w:rsidRPr="00A94418">
        <w:t xml:space="preserve"> alebo </w:t>
      </w:r>
      <w:proofErr w:type="spellStart"/>
      <w:r w:rsidRPr="00A94418">
        <w:t>glukózo-galaktózovou</w:t>
      </w:r>
      <w:proofErr w:type="spellEnd"/>
      <w:r w:rsidRPr="00A94418">
        <w:t xml:space="preserve"> </w:t>
      </w:r>
      <w:proofErr w:type="spellStart"/>
      <w:r w:rsidRPr="00A94418">
        <w:t>malabsorpciou</w:t>
      </w:r>
      <w:proofErr w:type="spellEnd"/>
      <w:r w:rsidRPr="00A94418">
        <w:t xml:space="preserve"> nesmú užívať tento liek.</w:t>
      </w:r>
    </w:p>
    <w:p w14:paraId="2A777CA9" w14:textId="42D9728A" w:rsidR="00AA0CE4" w:rsidRPr="00A94418" w:rsidRDefault="00217258" w:rsidP="007636D1">
      <w:pPr>
        <w:pStyle w:val="Styl2"/>
      </w:pPr>
      <w:r w:rsidRPr="00A94418">
        <w:t>Liekové</w:t>
      </w:r>
      <w:r w:rsidR="00186326" w:rsidRPr="00A94418">
        <w:t xml:space="preserve"> a </w:t>
      </w:r>
      <w:r w:rsidRPr="00A94418">
        <w:t>iné interakcie</w:t>
      </w:r>
    </w:p>
    <w:p w14:paraId="44F63962" w14:textId="06BB9333" w:rsidR="00AA0CE4" w:rsidRPr="00A94418" w:rsidRDefault="00217258" w:rsidP="002F3444">
      <w:pPr>
        <w:pStyle w:val="Normlndobloku"/>
      </w:pPr>
      <w:proofErr w:type="spellStart"/>
      <w:r w:rsidRPr="00802AB7">
        <w:rPr>
          <w:u w:val="single"/>
        </w:rPr>
        <w:t>Antihypertenzívna</w:t>
      </w:r>
      <w:proofErr w:type="spellEnd"/>
      <w:r w:rsidRPr="00802AB7">
        <w:rPr>
          <w:u w:val="single"/>
        </w:rPr>
        <w:t xml:space="preserve"> liečba:</w:t>
      </w:r>
      <w:r w:rsidRPr="00A94418">
        <w:t xml:space="preserve"> </w:t>
      </w:r>
      <w:proofErr w:type="spellStart"/>
      <w:r w:rsidRPr="00A94418">
        <w:t>danazol</w:t>
      </w:r>
      <w:proofErr w:type="spellEnd"/>
      <w:r w:rsidRPr="00A94418">
        <w:t xml:space="preserve"> môže znižovať účinok </w:t>
      </w:r>
      <w:proofErr w:type="spellStart"/>
      <w:r w:rsidRPr="00A94418">
        <w:t>antihypertenzívnych</w:t>
      </w:r>
      <w:proofErr w:type="spellEnd"/>
      <w:r w:rsidRPr="00A94418">
        <w:t xml:space="preserve"> liekov</w:t>
      </w:r>
      <w:r w:rsidR="00186326" w:rsidRPr="00A94418">
        <w:t xml:space="preserve"> s </w:t>
      </w:r>
      <w:r w:rsidRPr="00A94418">
        <w:t xml:space="preserve">pravdepodobnou podporou </w:t>
      </w:r>
      <w:proofErr w:type="spellStart"/>
      <w:r w:rsidRPr="00A94418">
        <w:t>retencie</w:t>
      </w:r>
      <w:proofErr w:type="spellEnd"/>
      <w:r w:rsidRPr="00A94418">
        <w:t xml:space="preserve"> tekutín.</w:t>
      </w:r>
    </w:p>
    <w:p w14:paraId="35044436" w14:textId="67122942" w:rsidR="00AA0CE4" w:rsidRPr="00A94418" w:rsidRDefault="00217258" w:rsidP="002F3444">
      <w:pPr>
        <w:pStyle w:val="Normlndobloku"/>
      </w:pPr>
      <w:r w:rsidRPr="00802AB7">
        <w:rPr>
          <w:u w:val="single"/>
        </w:rPr>
        <w:t>Terapia migrény</w:t>
      </w:r>
      <w:r w:rsidRPr="00A94418">
        <w:t xml:space="preserve">: </w:t>
      </w:r>
      <w:proofErr w:type="spellStart"/>
      <w:r w:rsidRPr="00A94418">
        <w:t>danazol</w:t>
      </w:r>
      <w:proofErr w:type="spellEnd"/>
      <w:r w:rsidRPr="00A94418">
        <w:t xml:space="preserve"> môže migrénu vyvolať</w:t>
      </w:r>
      <w:r w:rsidR="00186326" w:rsidRPr="00A94418">
        <w:t xml:space="preserve"> a </w:t>
      </w:r>
      <w:r w:rsidRPr="00A94418">
        <w:t xml:space="preserve">môže </w:t>
      </w:r>
      <w:proofErr w:type="spellStart"/>
      <w:r w:rsidRPr="00A94418">
        <w:t>naviac</w:t>
      </w:r>
      <w:proofErr w:type="spellEnd"/>
      <w:r w:rsidRPr="00A94418">
        <w:t xml:space="preserve"> znižovať účinnosť súčasnej terapie migrény.</w:t>
      </w:r>
    </w:p>
    <w:p w14:paraId="7FB99CC3" w14:textId="10771AEE" w:rsidR="00AA0CE4" w:rsidRPr="00A94418" w:rsidRDefault="00217258" w:rsidP="007636D1">
      <w:pPr>
        <w:pStyle w:val="Styl4"/>
        <w:rPr>
          <w:rStyle w:val="NormlndoblokuChar"/>
          <w:u w:val="none"/>
        </w:rPr>
      </w:pPr>
      <w:r w:rsidRPr="00A94418">
        <w:t xml:space="preserve">Terapia </w:t>
      </w:r>
      <w:proofErr w:type="spellStart"/>
      <w:r w:rsidRPr="00A94418">
        <w:t>steroidmi</w:t>
      </w:r>
      <w:proofErr w:type="spellEnd"/>
      <w:r w:rsidRPr="00A94418">
        <w:rPr>
          <w:rStyle w:val="NormlndoblokuChar"/>
        </w:rPr>
        <w:t>:</w:t>
      </w:r>
      <w:r w:rsidRPr="00A94418">
        <w:rPr>
          <w:rStyle w:val="NormlndoblokuChar"/>
          <w:u w:val="none"/>
        </w:rPr>
        <w:t xml:space="preserve"> súčasná liečba</w:t>
      </w:r>
      <w:r w:rsidR="00186326" w:rsidRPr="00A94418">
        <w:rPr>
          <w:rStyle w:val="NormlndoblokuChar"/>
          <w:u w:val="none"/>
        </w:rPr>
        <w:t xml:space="preserve"> s </w:t>
      </w:r>
      <w:r w:rsidRPr="00A94418">
        <w:rPr>
          <w:rStyle w:val="NormlndoblokuChar"/>
          <w:u w:val="none"/>
        </w:rPr>
        <w:t xml:space="preserve">hormonálnymi </w:t>
      </w:r>
      <w:proofErr w:type="spellStart"/>
      <w:r w:rsidRPr="00A94418">
        <w:rPr>
          <w:rStyle w:val="NormlndoblokuChar"/>
          <w:u w:val="none"/>
        </w:rPr>
        <w:t>steroidmi</w:t>
      </w:r>
      <w:proofErr w:type="spellEnd"/>
      <w:r w:rsidRPr="00A94418">
        <w:rPr>
          <w:rStyle w:val="NormlndoblokuChar"/>
          <w:u w:val="none"/>
        </w:rPr>
        <w:t xml:space="preserve"> môže viesť</w:t>
      </w:r>
      <w:r w:rsidR="00377FAE" w:rsidRPr="00A94418">
        <w:rPr>
          <w:rStyle w:val="NormlndoblokuChar"/>
          <w:u w:val="none"/>
        </w:rPr>
        <w:t xml:space="preserve"> k </w:t>
      </w:r>
      <w:r w:rsidRPr="00A94418">
        <w:rPr>
          <w:rStyle w:val="NormlndoblokuChar"/>
          <w:u w:val="none"/>
        </w:rPr>
        <w:t>interakciám, hoci neboli popísané žiadne špeciálne prípady.</w:t>
      </w:r>
    </w:p>
    <w:p w14:paraId="0EBFDA2E" w14:textId="69AAEE5A" w:rsidR="00AA0CE4" w:rsidRPr="00A94418" w:rsidRDefault="00217258" w:rsidP="007636D1">
      <w:pPr>
        <w:pStyle w:val="Styl4"/>
        <w:rPr>
          <w:rStyle w:val="NormlndoblokuChar"/>
          <w:u w:val="none"/>
        </w:rPr>
      </w:pPr>
      <w:r w:rsidRPr="00A94418">
        <w:t xml:space="preserve">Alfa </w:t>
      </w:r>
      <w:proofErr w:type="spellStart"/>
      <w:r w:rsidRPr="00A94418">
        <w:t>kalcidol</w:t>
      </w:r>
      <w:proofErr w:type="spellEnd"/>
      <w:r w:rsidRPr="00A94418">
        <w:t>:</w:t>
      </w:r>
      <w:r w:rsidRPr="00A94418">
        <w:rPr>
          <w:u w:val="none"/>
        </w:rPr>
        <w:t xml:space="preserve"> </w:t>
      </w:r>
      <w:r w:rsidRPr="00A94418">
        <w:rPr>
          <w:rStyle w:val="NormlndoblokuChar"/>
          <w:u w:val="none"/>
        </w:rPr>
        <w:t xml:space="preserve">odpoveď </w:t>
      </w:r>
      <w:proofErr w:type="spellStart"/>
      <w:r w:rsidRPr="00A94418">
        <w:rPr>
          <w:rStyle w:val="NormlndoblokuChar"/>
          <w:u w:val="none"/>
        </w:rPr>
        <w:t>kalciémie</w:t>
      </w:r>
      <w:proofErr w:type="spellEnd"/>
      <w:r w:rsidR="00186326" w:rsidRPr="00A94418">
        <w:rPr>
          <w:rStyle w:val="NormlndoblokuChar"/>
          <w:u w:val="none"/>
        </w:rPr>
        <w:t xml:space="preserve"> v </w:t>
      </w:r>
      <w:r w:rsidRPr="00A94418">
        <w:rPr>
          <w:rStyle w:val="NormlndoblokuChar"/>
          <w:u w:val="none"/>
        </w:rPr>
        <w:t xml:space="preserve">primárnom </w:t>
      </w:r>
      <w:proofErr w:type="spellStart"/>
      <w:r w:rsidRPr="00A94418">
        <w:rPr>
          <w:rStyle w:val="NormlndoblokuChar"/>
          <w:u w:val="none"/>
        </w:rPr>
        <w:t>hypoparatyreoidizme</w:t>
      </w:r>
      <w:proofErr w:type="spellEnd"/>
      <w:r w:rsidRPr="00A94418">
        <w:rPr>
          <w:rStyle w:val="NormlndoblokuChar"/>
          <w:u w:val="none"/>
        </w:rPr>
        <w:t xml:space="preserve"> môže byť zvýšená, čo si vyžaduje zníženie dávky.</w:t>
      </w:r>
    </w:p>
    <w:p w14:paraId="7121DB91" w14:textId="1963FE4B" w:rsidR="00AA0CE4" w:rsidRPr="00A94418" w:rsidRDefault="00217258" w:rsidP="002F3444">
      <w:pPr>
        <w:pStyle w:val="Normlndobloku"/>
      </w:pPr>
      <w:proofErr w:type="spellStart"/>
      <w:r w:rsidRPr="00802AB7">
        <w:rPr>
          <w:u w:val="single"/>
        </w:rPr>
        <w:t>Karbamazepín</w:t>
      </w:r>
      <w:proofErr w:type="spellEnd"/>
      <w:r w:rsidRPr="00802AB7">
        <w:rPr>
          <w:u w:val="single"/>
        </w:rPr>
        <w:t xml:space="preserve">, </w:t>
      </w:r>
      <w:proofErr w:type="spellStart"/>
      <w:r w:rsidRPr="00802AB7">
        <w:rPr>
          <w:u w:val="single"/>
        </w:rPr>
        <w:t>fenytoín</w:t>
      </w:r>
      <w:proofErr w:type="spellEnd"/>
      <w:r w:rsidRPr="00802AB7">
        <w:rPr>
          <w:u w:val="single"/>
        </w:rPr>
        <w:t>:</w:t>
      </w:r>
      <w:r w:rsidRPr="00A94418">
        <w:t xml:space="preserve"> plazmatické hladiny</w:t>
      </w:r>
      <w:r w:rsidR="00186326" w:rsidRPr="00A94418">
        <w:t xml:space="preserve"> a </w:t>
      </w:r>
      <w:r w:rsidRPr="00A94418">
        <w:t>teda pacientova odpoveď môže byť narušená.</w:t>
      </w:r>
    </w:p>
    <w:p w14:paraId="3AF1471B" w14:textId="48E15692" w:rsidR="00AA0CE4" w:rsidRPr="00A94418" w:rsidRDefault="00217258" w:rsidP="002F3444">
      <w:pPr>
        <w:pStyle w:val="Normlndobloku"/>
      </w:pPr>
      <w:proofErr w:type="spellStart"/>
      <w:r w:rsidRPr="00802AB7">
        <w:rPr>
          <w:u w:val="single"/>
        </w:rPr>
        <w:t>Cy</w:t>
      </w:r>
      <w:r w:rsidR="00FD7474" w:rsidRPr="00802AB7">
        <w:rPr>
          <w:u w:val="single"/>
        </w:rPr>
        <w:t>k</w:t>
      </w:r>
      <w:r w:rsidRPr="00802AB7">
        <w:rPr>
          <w:u w:val="single"/>
        </w:rPr>
        <w:t>losporín</w:t>
      </w:r>
      <w:proofErr w:type="spellEnd"/>
      <w:r w:rsidRPr="00802AB7">
        <w:rPr>
          <w:u w:val="single"/>
        </w:rPr>
        <w:t>:</w:t>
      </w:r>
      <w:r w:rsidRPr="00A94418">
        <w:t xml:space="preserve"> plazmatická koncentrácia môže byť zvýšená.</w:t>
      </w:r>
    </w:p>
    <w:p w14:paraId="5541B358" w14:textId="5EFAB417" w:rsidR="00AA0CE4" w:rsidRPr="00A94418" w:rsidRDefault="00217258" w:rsidP="002F3444">
      <w:pPr>
        <w:pStyle w:val="Normlndobloku"/>
      </w:pPr>
      <w:r w:rsidRPr="00802AB7">
        <w:rPr>
          <w:u w:val="single"/>
        </w:rPr>
        <w:t>Etanol:</w:t>
      </w:r>
      <w:r w:rsidRPr="00A94418">
        <w:t xml:space="preserve"> </w:t>
      </w:r>
      <w:proofErr w:type="spellStart"/>
      <w:r w:rsidRPr="00A94418">
        <w:t>nauzea</w:t>
      </w:r>
      <w:proofErr w:type="spellEnd"/>
      <w:r w:rsidR="00186326" w:rsidRPr="00A94418">
        <w:t xml:space="preserve"> a </w:t>
      </w:r>
      <w:proofErr w:type="spellStart"/>
      <w:r w:rsidRPr="00A94418">
        <w:t>dušnosť</w:t>
      </w:r>
      <w:proofErr w:type="spellEnd"/>
      <w:r w:rsidRPr="00A94418">
        <w:t xml:space="preserve">, </w:t>
      </w:r>
      <w:bookmarkStart w:id="5" w:name="_Hlk22809814"/>
      <w:r w:rsidRPr="00A94418">
        <w:t>manifestácia subjektívnej intolerancie</w:t>
      </w:r>
      <w:bookmarkEnd w:id="5"/>
      <w:r w:rsidRPr="00A94418">
        <w:t>.</w:t>
      </w:r>
    </w:p>
    <w:p w14:paraId="548A1D52" w14:textId="52DBAD45" w:rsidR="00AA0CE4" w:rsidRPr="00A94418" w:rsidRDefault="00217258" w:rsidP="002F3444">
      <w:pPr>
        <w:pStyle w:val="Normlndobloku"/>
      </w:pPr>
      <w:r w:rsidRPr="00802AB7">
        <w:rPr>
          <w:u w:val="single"/>
        </w:rPr>
        <w:t>Inzulín</w:t>
      </w:r>
      <w:r w:rsidRPr="00A94418">
        <w:t>: môže spôsobiť inzulínovú rezistenciu, čo si vyžaduje úpravu dávkovania.</w:t>
      </w:r>
    </w:p>
    <w:p w14:paraId="5193B146" w14:textId="37FAAC66" w:rsidR="00AA0CE4" w:rsidRPr="00A94418" w:rsidRDefault="00217258" w:rsidP="002F3444">
      <w:pPr>
        <w:pStyle w:val="Normlndobloku"/>
      </w:pPr>
      <w:proofErr w:type="spellStart"/>
      <w:r w:rsidRPr="00802AB7">
        <w:rPr>
          <w:u w:val="single"/>
        </w:rPr>
        <w:t>Fenobarbital</w:t>
      </w:r>
      <w:proofErr w:type="spellEnd"/>
      <w:r w:rsidRPr="00802AB7">
        <w:rPr>
          <w:u w:val="single"/>
        </w:rPr>
        <w:t>:</w:t>
      </w:r>
      <w:r w:rsidRPr="00A94418">
        <w:t xml:space="preserve"> je možné, že plazmatická hladina </w:t>
      </w:r>
      <w:proofErr w:type="spellStart"/>
      <w:r w:rsidRPr="00A94418">
        <w:t>fenobarbitalu</w:t>
      </w:r>
      <w:proofErr w:type="spellEnd"/>
      <w:r w:rsidR="00186326" w:rsidRPr="00A94418">
        <w:t xml:space="preserve"> a </w:t>
      </w:r>
      <w:r w:rsidRPr="00A94418">
        <w:t>teda odpoveď pacienta je pozmenená.</w:t>
      </w:r>
    </w:p>
    <w:p w14:paraId="2A04A625" w14:textId="26B484AC" w:rsidR="00AA0CE4" w:rsidRPr="00A94418" w:rsidRDefault="00217258" w:rsidP="002F3444">
      <w:pPr>
        <w:pStyle w:val="Normlndobloku"/>
      </w:pPr>
      <w:proofErr w:type="spellStart"/>
      <w:r w:rsidRPr="00802AB7">
        <w:rPr>
          <w:u w:val="single"/>
        </w:rPr>
        <w:t>Warfarín</w:t>
      </w:r>
      <w:proofErr w:type="spellEnd"/>
      <w:r w:rsidRPr="00802AB7">
        <w:rPr>
          <w:u w:val="single"/>
        </w:rPr>
        <w:t>:</w:t>
      </w:r>
      <w:r w:rsidRPr="00A94418">
        <w:t xml:space="preserve"> účinnosť </w:t>
      </w:r>
      <w:proofErr w:type="spellStart"/>
      <w:r w:rsidRPr="00A94418">
        <w:t>warfarínu</w:t>
      </w:r>
      <w:proofErr w:type="spellEnd"/>
      <w:r w:rsidRPr="00A94418">
        <w:t xml:space="preserve"> môže byť pôsobením </w:t>
      </w:r>
      <w:proofErr w:type="spellStart"/>
      <w:r w:rsidRPr="00A94418">
        <w:t>danazolu</w:t>
      </w:r>
      <w:proofErr w:type="spellEnd"/>
      <w:r w:rsidRPr="00A94418">
        <w:t xml:space="preserve"> zvýšená.</w:t>
      </w:r>
      <w:r w:rsidR="00377FAE" w:rsidRPr="00A94418">
        <w:t xml:space="preserve"> </w:t>
      </w:r>
    </w:p>
    <w:p w14:paraId="0F669982" w14:textId="77777777" w:rsidR="00217258" w:rsidRPr="00A94418" w:rsidRDefault="003F059A" w:rsidP="003F3513">
      <w:pPr>
        <w:pStyle w:val="Styl2"/>
      </w:pPr>
      <w:proofErr w:type="spellStart"/>
      <w:r w:rsidRPr="00A94418">
        <w:lastRenderedPageBreak/>
        <w:t>Fertilita</w:t>
      </w:r>
      <w:proofErr w:type="spellEnd"/>
      <w:r w:rsidRPr="00A94418">
        <w:t>,</w:t>
      </w:r>
      <w:r w:rsidR="00186326" w:rsidRPr="00A94418">
        <w:t> g</w:t>
      </w:r>
      <w:r w:rsidRPr="00A94418">
        <w:t>ravidita</w:t>
      </w:r>
      <w:r w:rsidR="00186326" w:rsidRPr="00A94418">
        <w:t xml:space="preserve"> a </w:t>
      </w:r>
      <w:r w:rsidRPr="00A94418">
        <w:t>laktácia</w:t>
      </w:r>
    </w:p>
    <w:p w14:paraId="6E1BCF50" w14:textId="77777777" w:rsidR="00E559FE" w:rsidRPr="00A94418" w:rsidRDefault="00E559FE" w:rsidP="005D2279">
      <w:pPr>
        <w:pStyle w:val="Styl4"/>
        <w:rPr>
          <w:lang w:eastAsia="en-US"/>
        </w:rPr>
      </w:pPr>
      <w:r w:rsidRPr="00A94418">
        <w:t>Gravidita</w:t>
      </w:r>
    </w:p>
    <w:p w14:paraId="3BED2E04" w14:textId="4A7C4D79" w:rsidR="00E559FE" w:rsidRPr="00A94418" w:rsidRDefault="00217258" w:rsidP="002F3444">
      <w:pPr>
        <w:pStyle w:val="Normlndobloku"/>
      </w:pPr>
      <w:r w:rsidRPr="00A94418">
        <w:t>Sú toxikologické</w:t>
      </w:r>
      <w:r w:rsidR="00186326" w:rsidRPr="00A94418">
        <w:t xml:space="preserve"> a </w:t>
      </w:r>
      <w:r w:rsidRPr="00A94418">
        <w:t xml:space="preserve">epidemiologické dôkazy o rizikovosti užívania </w:t>
      </w:r>
      <w:proofErr w:type="spellStart"/>
      <w:r w:rsidRPr="00A94418">
        <w:t>danazolu</w:t>
      </w:r>
      <w:proofErr w:type="spellEnd"/>
      <w:r w:rsidRPr="00A94418">
        <w:t xml:space="preserve"> počas</w:t>
      </w:r>
      <w:r w:rsidR="00186326" w:rsidRPr="00A94418">
        <w:t> g</w:t>
      </w:r>
      <w:r w:rsidRPr="00A94418">
        <w:t>ravidity</w:t>
      </w:r>
      <w:r w:rsidR="00186326" w:rsidRPr="00A94418">
        <w:t xml:space="preserve"> u </w:t>
      </w:r>
      <w:r w:rsidRPr="00A94418">
        <w:t xml:space="preserve">ľudí. Podávanie </w:t>
      </w:r>
      <w:proofErr w:type="spellStart"/>
      <w:r w:rsidRPr="00A94418">
        <w:t>danazolu</w:t>
      </w:r>
      <w:proofErr w:type="spellEnd"/>
      <w:r w:rsidRPr="00A94418">
        <w:t xml:space="preserve"> v</w:t>
      </w:r>
      <w:r w:rsidR="00186326" w:rsidRPr="00A94418">
        <w:t> g</w:t>
      </w:r>
      <w:r w:rsidRPr="00A94418">
        <w:t>ravidite je spojené</w:t>
      </w:r>
      <w:r w:rsidR="00186326" w:rsidRPr="00A94418">
        <w:t xml:space="preserve"> s </w:t>
      </w:r>
      <w:r w:rsidRPr="00A94418">
        <w:t xml:space="preserve">rizikom </w:t>
      </w:r>
      <w:proofErr w:type="spellStart"/>
      <w:r w:rsidRPr="00A94418">
        <w:t>virilizácie</w:t>
      </w:r>
      <w:proofErr w:type="spellEnd"/>
      <w:r w:rsidRPr="00A94418">
        <w:t xml:space="preserve"> ženského plodu. </w:t>
      </w:r>
      <w:proofErr w:type="spellStart"/>
      <w:r w:rsidRPr="00A94418">
        <w:t>Danazol</w:t>
      </w:r>
      <w:proofErr w:type="spellEnd"/>
      <w:r w:rsidRPr="00A94418">
        <w:t xml:space="preserve"> sa preto počas tehotenstva nesmie predpisovať. </w:t>
      </w:r>
    </w:p>
    <w:p w14:paraId="150B3655" w14:textId="77777777" w:rsidR="00E559FE" w:rsidRPr="00A94418" w:rsidRDefault="00E559FE" w:rsidP="005D2279">
      <w:pPr>
        <w:pStyle w:val="Styl4"/>
        <w:rPr>
          <w:lang w:eastAsia="en-US"/>
        </w:rPr>
      </w:pPr>
      <w:r w:rsidRPr="00A94418">
        <w:t>Dojčenie</w:t>
      </w:r>
    </w:p>
    <w:p w14:paraId="6A301D6A" w14:textId="5BA63C6D" w:rsidR="00AA0CE4" w:rsidRPr="00A94418" w:rsidRDefault="00E559FE" w:rsidP="002F3444">
      <w:pPr>
        <w:pStyle w:val="Normlndobloku"/>
      </w:pPr>
      <w:proofErr w:type="spellStart"/>
      <w:r w:rsidRPr="00A94418">
        <w:t>Danazol</w:t>
      </w:r>
      <w:proofErr w:type="spellEnd"/>
      <w:r w:rsidRPr="00A94418">
        <w:t xml:space="preserve"> prechádza do materského mlieka</w:t>
      </w:r>
      <w:r w:rsidR="00186326" w:rsidRPr="00A94418">
        <w:t xml:space="preserve"> a </w:t>
      </w:r>
      <w:r w:rsidRPr="00A94418">
        <w:t xml:space="preserve">existuje aj potenciálny </w:t>
      </w:r>
      <w:proofErr w:type="spellStart"/>
      <w:r w:rsidRPr="00A94418">
        <w:t>androgénny</w:t>
      </w:r>
      <w:proofErr w:type="spellEnd"/>
      <w:r w:rsidRPr="00A94418">
        <w:t xml:space="preserve"> efekt na dojčené dieťa. Počas dojčenia musí byť liečba </w:t>
      </w:r>
      <w:proofErr w:type="spellStart"/>
      <w:r w:rsidRPr="00A94418">
        <w:t>danazolom</w:t>
      </w:r>
      <w:proofErr w:type="spellEnd"/>
      <w:r w:rsidRPr="00A94418">
        <w:t xml:space="preserve"> </w:t>
      </w:r>
      <w:r w:rsidR="00AC0F76" w:rsidRPr="00A94418">
        <w:t>ukončená</w:t>
      </w:r>
      <w:r w:rsidRPr="00A94418">
        <w:t>.</w:t>
      </w:r>
    </w:p>
    <w:p w14:paraId="52E550BC" w14:textId="13690268" w:rsidR="00CE3B5C" w:rsidRPr="00A94418" w:rsidRDefault="00E559FE" w:rsidP="007C5725">
      <w:pPr>
        <w:pStyle w:val="Styl4"/>
        <w:keepNext/>
      </w:pPr>
      <w:proofErr w:type="spellStart"/>
      <w:r w:rsidRPr="00A94418">
        <w:t>Fertilita</w:t>
      </w:r>
      <w:proofErr w:type="spellEnd"/>
    </w:p>
    <w:p w14:paraId="42572559" w14:textId="77777777" w:rsidR="00E559FE" w:rsidRPr="00A94418" w:rsidRDefault="00CE3B5C" w:rsidP="002F3444">
      <w:pPr>
        <w:pStyle w:val="Normlndobloku"/>
      </w:pPr>
      <w:r w:rsidRPr="00A94418">
        <w:t>Ženy vo fertilnom veku musia byť oboznámené</w:t>
      </w:r>
      <w:r w:rsidR="00186326" w:rsidRPr="00A94418">
        <w:t xml:space="preserve"> s </w:t>
      </w:r>
      <w:r w:rsidRPr="00A94418">
        <w:t xml:space="preserve">potrebou používania nehormonálnej antikoncepcie počas liečby </w:t>
      </w:r>
      <w:proofErr w:type="spellStart"/>
      <w:r w:rsidRPr="00A94418">
        <w:t>danazolom</w:t>
      </w:r>
      <w:proofErr w:type="spellEnd"/>
      <w:r w:rsidRPr="00A94418">
        <w:t>.</w:t>
      </w:r>
    </w:p>
    <w:p w14:paraId="24409423" w14:textId="6BB2C7A5" w:rsidR="00AA0CE4" w:rsidRPr="00A94418" w:rsidRDefault="00217258" w:rsidP="007636D1">
      <w:pPr>
        <w:pStyle w:val="Styl2"/>
      </w:pPr>
      <w:r w:rsidRPr="00A94418">
        <w:t>Ovplyvnenie schopnosti viesť vozidlá</w:t>
      </w:r>
      <w:r w:rsidR="00186326" w:rsidRPr="00A94418">
        <w:t xml:space="preserve"> a </w:t>
      </w:r>
      <w:r w:rsidRPr="00A94418">
        <w:t>obsluhovať stroje</w:t>
      </w:r>
    </w:p>
    <w:p w14:paraId="5C7FBD28" w14:textId="3568E989" w:rsidR="00217258" w:rsidRPr="00A94418" w:rsidRDefault="002F0392" w:rsidP="002F3444">
      <w:pPr>
        <w:pStyle w:val="Normlndobloku"/>
      </w:pPr>
      <w:proofErr w:type="spellStart"/>
      <w:r w:rsidRPr="00A94418">
        <w:t>Danazol</w:t>
      </w:r>
      <w:proofErr w:type="spellEnd"/>
      <w:r w:rsidRPr="00A94418">
        <w:t xml:space="preserve"> nemá žiadny alebo má zanedbateľný vplyv na schopnosť viesť vozidlá a obsluhovať stroje.</w:t>
      </w:r>
    </w:p>
    <w:p w14:paraId="2B889B72" w14:textId="255BFCDB" w:rsidR="00AA0CE4" w:rsidRPr="00A94418" w:rsidRDefault="00217258" w:rsidP="007636D1">
      <w:pPr>
        <w:pStyle w:val="Styl2"/>
      </w:pPr>
      <w:r w:rsidRPr="00A94418">
        <w:t>Nežiaduce účinky</w:t>
      </w:r>
    </w:p>
    <w:p w14:paraId="32C03E2E" w14:textId="648D2F05" w:rsidR="00AA0CE4" w:rsidRPr="00A94418" w:rsidRDefault="00963604" w:rsidP="002F3444">
      <w:pPr>
        <w:pStyle w:val="Normlndobloku"/>
      </w:pPr>
      <w:r w:rsidRPr="00A94418">
        <w:t>Nežiaduce účinky v spojitosti s užívaním</w:t>
      </w:r>
      <w:r w:rsidR="00A8551C">
        <w:t xml:space="preserve"> </w:t>
      </w:r>
      <w:r w:rsidRPr="00A94418">
        <w:t xml:space="preserve">ANARGILU sú uvedené nižšie. </w:t>
      </w:r>
      <w:r w:rsidR="00217258" w:rsidRPr="00A94418">
        <w:t>Možný príčinný vzťah medzi popísanými nežiaducimi účinkami</w:t>
      </w:r>
      <w:r w:rsidR="00186326" w:rsidRPr="00A94418">
        <w:t xml:space="preserve"> a </w:t>
      </w:r>
      <w:r w:rsidR="00217258" w:rsidRPr="00A94418">
        <w:t xml:space="preserve">liečbou </w:t>
      </w:r>
      <w:proofErr w:type="spellStart"/>
      <w:r w:rsidR="00217258" w:rsidRPr="00A94418">
        <w:t>danazolom</w:t>
      </w:r>
      <w:proofErr w:type="spellEnd"/>
      <w:r w:rsidR="00217258" w:rsidRPr="00A94418">
        <w:t xml:space="preserve"> nie je definitívne stanovený.</w:t>
      </w:r>
    </w:p>
    <w:p w14:paraId="141E356B" w14:textId="5053D1A6" w:rsidR="00AA0CE4" w:rsidRPr="00A94418" w:rsidRDefault="00743E1C" w:rsidP="002F3444">
      <w:pPr>
        <w:pStyle w:val="Normlndobloku"/>
      </w:pPr>
      <w:bookmarkStart w:id="6" w:name="_Hlk23240949"/>
      <w:r w:rsidRPr="00802AB7">
        <w:rPr>
          <w:u w:val="single"/>
        </w:rPr>
        <w:t>Poruchy srdca a srdcovej činnosti</w:t>
      </w:r>
      <w:r w:rsidR="00217258" w:rsidRPr="00802AB7">
        <w:rPr>
          <w:u w:val="single"/>
        </w:rPr>
        <w:t>:</w:t>
      </w:r>
      <w:r w:rsidR="00217258" w:rsidRPr="00A94418">
        <w:t xml:space="preserve"> </w:t>
      </w:r>
      <w:r w:rsidR="003442FD" w:rsidRPr="00A94418">
        <w:t xml:space="preserve">ANARGIL </w:t>
      </w:r>
      <w:r w:rsidR="00217258" w:rsidRPr="00A94418">
        <w:t xml:space="preserve">môže spôsobiť zhoršenie hypertenzie, </w:t>
      </w:r>
      <w:proofErr w:type="spellStart"/>
      <w:r w:rsidR="00217258" w:rsidRPr="00A94418">
        <w:t>palpitácie</w:t>
      </w:r>
      <w:proofErr w:type="spellEnd"/>
      <w:r w:rsidR="00186326" w:rsidRPr="00A94418">
        <w:t xml:space="preserve"> a </w:t>
      </w:r>
      <w:proofErr w:type="spellStart"/>
      <w:r w:rsidR="00217258" w:rsidRPr="00A94418">
        <w:t>tachykardiu</w:t>
      </w:r>
      <w:proofErr w:type="spellEnd"/>
      <w:r w:rsidR="00217258" w:rsidRPr="00A94418">
        <w:t xml:space="preserve">. Keďže </w:t>
      </w:r>
      <w:proofErr w:type="spellStart"/>
      <w:r w:rsidR="00217258" w:rsidRPr="00A94418">
        <w:t>danazol</w:t>
      </w:r>
      <w:proofErr w:type="spellEnd"/>
      <w:r w:rsidR="00217258" w:rsidRPr="00A94418">
        <w:t xml:space="preserve"> aktivuje </w:t>
      </w:r>
      <w:proofErr w:type="spellStart"/>
      <w:r w:rsidR="00217258" w:rsidRPr="00A94418">
        <w:t>fibrinolytický</w:t>
      </w:r>
      <w:proofErr w:type="spellEnd"/>
      <w:r w:rsidR="00217258" w:rsidRPr="00A94418">
        <w:t xml:space="preserve"> systém</w:t>
      </w:r>
      <w:r w:rsidR="00186326" w:rsidRPr="00A94418">
        <w:t xml:space="preserve"> a </w:t>
      </w:r>
      <w:proofErr w:type="spellStart"/>
      <w:r w:rsidR="00217258" w:rsidRPr="00A94418">
        <w:t>inhibuje</w:t>
      </w:r>
      <w:proofErr w:type="spellEnd"/>
      <w:r w:rsidR="00217258" w:rsidRPr="00A94418">
        <w:t xml:space="preserve"> koagulačnú kaskádu, vznik </w:t>
      </w:r>
      <w:proofErr w:type="spellStart"/>
      <w:r w:rsidR="00217258" w:rsidRPr="00A94418">
        <w:t>arteriálnej</w:t>
      </w:r>
      <w:proofErr w:type="spellEnd"/>
      <w:r w:rsidR="00217258" w:rsidRPr="00A94418">
        <w:t xml:space="preserve"> alebo </w:t>
      </w:r>
      <w:proofErr w:type="spellStart"/>
      <w:r w:rsidR="00217258" w:rsidRPr="00A94418">
        <w:t>venóznej</w:t>
      </w:r>
      <w:proofErr w:type="spellEnd"/>
      <w:r w:rsidR="00217258" w:rsidRPr="00A94418">
        <w:t xml:space="preserve"> trombózy je nepravdepodobný. Ojedinele bola hlásená trombóza </w:t>
      </w:r>
      <w:proofErr w:type="spellStart"/>
      <w:r w:rsidR="00217258" w:rsidRPr="00A94418">
        <w:t>sagitálneho</w:t>
      </w:r>
      <w:proofErr w:type="spellEnd"/>
      <w:r w:rsidR="00217258" w:rsidRPr="00A94418">
        <w:t xml:space="preserve"> </w:t>
      </w:r>
      <w:proofErr w:type="spellStart"/>
      <w:r w:rsidR="00217258" w:rsidRPr="00A94418">
        <w:t>sínu</w:t>
      </w:r>
      <w:proofErr w:type="spellEnd"/>
      <w:r w:rsidR="00186326" w:rsidRPr="00A94418">
        <w:t xml:space="preserve"> a </w:t>
      </w:r>
      <w:proofErr w:type="spellStart"/>
      <w:r w:rsidR="00217258" w:rsidRPr="00A94418">
        <w:t>cerebrovaskulárn</w:t>
      </w:r>
      <w:r w:rsidR="00AD3D7A">
        <w:t>a</w:t>
      </w:r>
      <w:proofErr w:type="spellEnd"/>
      <w:r w:rsidR="00217258" w:rsidRPr="00A94418">
        <w:t xml:space="preserve"> trombóz</w:t>
      </w:r>
      <w:r w:rsidR="00AD3D7A">
        <w:t>a</w:t>
      </w:r>
      <w:r w:rsidR="00217258" w:rsidRPr="00A94418">
        <w:t>, ale spojitosť</w:t>
      </w:r>
      <w:r w:rsidR="00186326" w:rsidRPr="00A94418">
        <w:t xml:space="preserve"> s </w:t>
      </w:r>
      <w:proofErr w:type="spellStart"/>
      <w:r w:rsidR="00217258" w:rsidRPr="00A94418">
        <w:t>danazolom</w:t>
      </w:r>
      <w:proofErr w:type="spellEnd"/>
      <w:r w:rsidR="00217258" w:rsidRPr="00A94418">
        <w:t xml:space="preserve"> nie je objasnená.</w:t>
      </w:r>
    </w:p>
    <w:bookmarkEnd w:id="6"/>
    <w:p w14:paraId="65F40104" w14:textId="445E8213" w:rsidR="00AA0CE4" w:rsidRPr="00A94418" w:rsidRDefault="00D15553" w:rsidP="002F3444">
      <w:pPr>
        <w:pStyle w:val="Normlndobloku"/>
      </w:pPr>
      <w:r w:rsidRPr="00802AB7">
        <w:rPr>
          <w:u w:val="single"/>
        </w:rPr>
        <w:t>Poruchy nervového systému</w:t>
      </w:r>
      <w:r w:rsidR="00217258" w:rsidRPr="00802AB7">
        <w:rPr>
          <w:u w:val="single"/>
        </w:rPr>
        <w:t>:</w:t>
      </w:r>
      <w:r w:rsidR="00217258" w:rsidRPr="00A94418">
        <w:t xml:space="preserve"> </w:t>
      </w:r>
      <w:r w:rsidR="00963604" w:rsidRPr="00A94418">
        <w:t xml:space="preserve">ANARGIL </w:t>
      </w:r>
      <w:r w:rsidR="00217258" w:rsidRPr="00A94418">
        <w:t>môže zhoršiť epilepsiu,</w:t>
      </w:r>
      <w:r w:rsidR="00186326" w:rsidRPr="00A94418">
        <w:t xml:space="preserve"> u </w:t>
      </w:r>
      <w:r w:rsidR="00217258" w:rsidRPr="00A94418">
        <w:t xml:space="preserve">predisponovaných pacientov ju môže dokonca vyvolať. Zvyšuje chuť do jedla, môže sa objaviť </w:t>
      </w:r>
      <w:proofErr w:type="spellStart"/>
      <w:r w:rsidR="00217258" w:rsidRPr="00A94418">
        <w:t>anxieta</w:t>
      </w:r>
      <w:proofErr w:type="spellEnd"/>
      <w:r w:rsidR="00217258" w:rsidRPr="00A94418">
        <w:t xml:space="preserve">, depresívne </w:t>
      </w:r>
      <w:r w:rsidR="00E97AD8" w:rsidRPr="00A94418">
        <w:t>nálady</w:t>
      </w:r>
      <w:r w:rsidR="00217258" w:rsidRPr="00A94418">
        <w:t xml:space="preserve">, závraty, zmeny emócií, </w:t>
      </w:r>
      <w:proofErr w:type="spellStart"/>
      <w:r w:rsidR="00217258" w:rsidRPr="00A94418">
        <w:t>epigastrická</w:t>
      </w:r>
      <w:proofErr w:type="spellEnd"/>
      <w:r w:rsidR="00217258" w:rsidRPr="00A94418">
        <w:t xml:space="preserve">/ </w:t>
      </w:r>
      <w:proofErr w:type="spellStart"/>
      <w:r w:rsidR="00217258" w:rsidRPr="00A94418">
        <w:t>pleuritická</w:t>
      </w:r>
      <w:proofErr w:type="spellEnd"/>
      <w:r w:rsidR="00217258" w:rsidRPr="00A94418">
        <w:t xml:space="preserve"> bolesť, únava, bolesti hlavy, zmena libida, nervozita</w:t>
      </w:r>
      <w:r w:rsidR="00186326" w:rsidRPr="00A94418">
        <w:t xml:space="preserve"> a </w:t>
      </w:r>
      <w:proofErr w:type="spellStart"/>
      <w:r w:rsidR="00217258" w:rsidRPr="00A94418">
        <w:t>vertigo</w:t>
      </w:r>
      <w:proofErr w:type="spellEnd"/>
      <w:r w:rsidR="00217258" w:rsidRPr="00A94418">
        <w:t>. Je možné vyvolanie migrény.</w:t>
      </w:r>
      <w:r w:rsidR="00377FAE" w:rsidRPr="00A94418">
        <w:t xml:space="preserve"> </w:t>
      </w:r>
      <w:r w:rsidR="00217258" w:rsidRPr="00A94418">
        <w:t xml:space="preserve">Benígna </w:t>
      </w:r>
      <w:proofErr w:type="spellStart"/>
      <w:r w:rsidR="00217258" w:rsidRPr="00A94418">
        <w:t>intrakraniálna</w:t>
      </w:r>
      <w:proofErr w:type="spellEnd"/>
      <w:r w:rsidR="00217258" w:rsidRPr="00A94418">
        <w:t xml:space="preserve"> hypertenzia.</w:t>
      </w:r>
    </w:p>
    <w:p w14:paraId="5CD7EAAA" w14:textId="25FA097C" w:rsidR="00AA0CE4" w:rsidRPr="00A94418" w:rsidRDefault="00D15553" w:rsidP="002F3444">
      <w:pPr>
        <w:pStyle w:val="Normlndobloku"/>
      </w:pPr>
      <w:r w:rsidRPr="00A94418">
        <w:rPr>
          <w:u w:val="single"/>
        </w:rPr>
        <w:t>Poruchy e</w:t>
      </w:r>
      <w:r w:rsidR="00217258" w:rsidRPr="00A94418">
        <w:rPr>
          <w:u w:val="single"/>
        </w:rPr>
        <w:t>ndokrinn</w:t>
      </w:r>
      <w:r w:rsidRPr="00A94418">
        <w:rPr>
          <w:u w:val="single"/>
        </w:rPr>
        <w:t>ého</w:t>
      </w:r>
      <w:r w:rsidR="00217258" w:rsidRPr="00A94418">
        <w:rPr>
          <w:u w:val="single"/>
        </w:rPr>
        <w:t xml:space="preserve"> systém</w:t>
      </w:r>
      <w:r w:rsidRPr="00A94418">
        <w:rPr>
          <w:u w:val="single"/>
        </w:rPr>
        <w:t>u</w:t>
      </w:r>
      <w:r w:rsidR="00217258" w:rsidRPr="00A94418">
        <w:rPr>
          <w:u w:val="single"/>
        </w:rPr>
        <w:t>:</w:t>
      </w:r>
      <w:r w:rsidR="00217258" w:rsidRPr="00A94418">
        <w:t xml:space="preserve"> </w:t>
      </w:r>
      <w:r w:rsidR="00C146FE" w:rsidRPr="00A94418">
        <w:t xml:space="preserve">pri užívaní ANARGILU sa </w:t>
      </w:r>
      <w:r w:rsidR="00217258" w:rsidRPr="00A94418">
        <w:t xml:space="preserve">môžu objaviť </w:t>
      </w:r>
      <w:proofErr w:type="spellStart"/>
      <w:r w:rsidR="00217258" w:rsidRPr="00A94418">
        <w:t>androgénne</w:t>
      </w:r>
      <w:proofErr w:type="spellEnd"/>
      <w:r w:rsidR="00217258" w:rsidRPr="00A94418">
        <w:t xml:space="preserve"> účinky, zahŕňajúce akné, </w:t>
      </w:r>
      <w:proofErr w:type="spellStart"/>
      <w:r w:rsidR="00217258" w:rsidRPr="00A94418">
        <w:t>seboroickú</w:t>
      </w:r>
      <w:proofErr w:type="spellEnd"/>
      <w:r w:rsidR="00217258" w:rsidRPr="00A94418">
        <w:t xml:space="preserve"> dermatitídu, stratu vlasov, </w:t>
      </w:r>
      <w:proofErr w:type="spellStart"/>
      <w:r w:rsidR="00217258" w:rsidRPr="00A94418">
        <w:t>hirzutizmus</w:t>
      </w:r>
      <w:proofErr w:type="spellEnd"/>
      <w:r w:rsidR="00217258" w:rsidRPr="00A94418">
        <w:t>, zmenu hlasu</w:t>
      </w:r>
      <w:r w:rsidR="00377FAE" w:rsidRPr="00A94418">
        <w:t> </w:t>
      </w:r>
      <w:r w:rsidR="00217258" w:rsidRPr="00A94418">
        <w:t>–</w:t>
      </w:r>
      <w:r w:rsidR="00377FAE" w:rsidRPr="00A94418">
        <w:t> </w:t>
      </w:r>
      <w:proofErr w:type="spellStart"/>
      <w:r w:rsidR="00217258" w:rsidRPr="00A94418">
        <w:t>instabilitu</w:t>
      </w:r>
      <w:proofErr w:type="spellEnd"/>
      <w:r w:rsidR="00217258" w:rsidRPr="00A94418">
        <w:t>/zníženie tónu, chrapľavosť, bolesti hrdla, zvýšenie hmotnosti.</w:t>
      </w:r>
      <w:r w:rsidR="00CE3B5C" w:rsidRPr="00A94418">
        <w:t xml:space="preserve"> </w:t>
      </w:r>
      <w:r w:rsidR="00217258" w:rsidRPr="00A94418">
        <w:t>Môžu sa objaviť menštruačné poruchy (</w:t>
      </w:r>
      <w:proofErr w:type="spellStart"/>
      <w:r w:rsidR="00217258" w:rsidRPr="00A94418">
        <w:t>amenorea</w:t>
      </w:r>
      <w:proofErr w:type="spellEnd"/>
      <w:r w:rsidR="00217258" w:rsidRPr="00A94418">
        <w:t>, špinenie, poruchy pravidelnosti cyklu).</w:t>
      </w:r>
      <w:r w:rsidR="006848C0" w:rsidRPr="00A94418">
        <w:t xml:space="preserve"> </w:t>
      </w:r>
      <w:r w:rsidR="00217258" w:rsidRPr="00A94418">
        <w:t>Cyklické krvácanie</w:t>
      </w:r>
      <w:r w:rsidR="00186326" w:rsidRPr="00A94418">
        <w:t xml:space="preserve"> a </w:t>
      </w:r>
      <w:r w:rsidR="00217258" w:rsidRPr="00A94418">
        <w:t>ovulácia sa zvyčajne vrátia 60</w:t>
      </w:r>
      <w:r w:rsidR="00CE3B5C" w:rsidRPr="00A94418">
        <w:t> </w:t>
      </w:r>
      <w:r w:rsidR="00217258" w:rsidRPr="00A94418">
        <w:t>–</w:t>
      </w:r>
      <w:r w:rsidR="00CE3B5C" w:rsidRPr="00A94418">
        <w:t> </w:t>
      </w:r>
      <w:r w:rsidR="00217258" w:rsidRPr="00A94418">
        <w:t xml:space="preserve">90 dní po ukončení liečby, výnimočne sa popisuje perzistujúca </w:t>
      </w:r>
      <w:proofErr w:type="spellStart"/>
      <w:r w:rsidR="00217258" w:rsidRPr="00A94418">
        <w:t>amenorea</w:t>
      </w:r>
      <w:proofErr w:type="spellEnd"/>
      <w:r w:rsidR="00217258" w:rsidRPr="00A94418">
        <w:t xml:space="preserve">. Zníženie hladiny estrogénov môže spôsobiť napr. iritáciu alebo redukciu veľkosti prsníkov, </w:t>
      </w:r>
      <w:r w:rsidR="005A1948" w:rsidRPr="00A94418">
        <w:t xml:space="preserve">návaly horúčavy </w:t>
      </w:r>
      <w:r w:rsidR="00186326" w:rsidRPr="00A94418">
        <w:t>a </w:t>
      </w:r>
      <w:r w:rsidR="00217258" w:rsidRPr="00A94418">
        <w:t>vaginálnu suchosť. Počas liečby sa</w:t>
      </w:r>
      <w:r w:rsidR="00186326" w:rsidRPr="00A94418">
        <w:t xml:space="preserve"> u </w:t>
      </w:r>
      <w:r w:rsidR="00217258" w:rsidRPr="00A94418">
        <w:t xml:space="preserve">mužov môže vyskytnúť mierna redukcia </w:t>
      </w:r>
      <w:proofErr w:type="spellStart"/>
      <w:r w:rsidR="00217258" w:rsidRPr="00A94418">
        <w:t>spermatogenézy</w:t>
      </w:r>
      <w:proofErr w:type="spellEnd"/>
      <w:r w:rsidR="00217258" w:rsidRPr="00A94418">
        <w:t>.</w:t>
      </w:r>
      <w:r w:rsidR="00186326" w:rsidRPr="00A94418">
        <w:t xml:space="preserve"> </w:t>
      </w:r>
      <w:r w:rsidR="006848C0" w:rsidRPr="00A94418">
        <w:t>U</w:t>
      </w:r>
      <w:r w:rsidR="00186326" w:rsidRPr="00A94418">
        <w:t> </w:t>
      </w:r>
      <w:r w:rsidR="00217258" w:rsidRPr="00A94418">
        <w:t>diabetikov sa môže zvýšiť inzulínová rezistencia, sú známe aj zvýšenia plazmatickej hladiny</w:t>
      </w:r>
      <w:r w:rsidR="00186326" w:rsidRPr="00A94418">
        <w:t> </w:t>
      </w:r>
      <w:proofErr w:type="spellStart"/>
      <w:r w:rsidR="00186326" w:rsidRPr="00A94418">
        <w:t>g</w:t>
      </w:r>
      <w:r w:rsidR="00217258" w:rsidRPr="00A94418">
        <w:t>lukagónu</w:t>
      </w:r>
      <w:proofErr w:type="spellEnd"/>
      <w:r w:rsidR="00186326" w:rsidRPr="00A94418">
        <w:t xml:space="preserve"> a </w:t>
      </w:r>
      <w:r w:rsidR="00217258" w:rsidRPr="00A94418">
        <w:t xml:space="preserve">symptomatické stavy </w:t>
      </w:r>
      <w:proofErr w:type="spellStart"/>
      <w:r w:rsidR="00217258" w:rsidRPr="00A94418">
        <w:t>hypoglykémie</w:t>
      </w:r>
      <w:proofErr w:type="spellEnd"/>
      <w:r w:rsidR="00186326" w:rsidRPr="00A94418">
        <w:t xml:space="preserve"> u </w:t>
      </w:r>
      <w:proofErr w:type="spellStart"/>
      <w:r w:rsidR="00217258" w:rsidRPr="00A94418">
        <w:t>nediabetikov</w:t>
      </w:r>
      <w:proofErr w:type="spellEnd"/>
      <w:r w:rsidR="00217258" w:rsidRPr="00A94418">
        <w:t xml:space="preserve">. Je pravdepodobné, že sa objaví zníženie hladiny </w:t>
      </w:r>
      <w:proofErr w:type="spellStart"/>
      <w:r w:rsidR="00217258" w:rsidRPr="00A94418">
        <w:t>tyroxín</w:t>
      </w:r>
      <w:proofErr w:type="spellEnd"/>
      <w:r w:rsidR="00217258" w:rsidRPr="00A94418">
        <w:t xml:space="preserve"> viažuceho</w:t>
      </w:r>
      <w:r w:rsidR="00186326" w:rsidRPr="00A94418">
        <w:t> g</w:t>
      </w:r>
      <w:r w:rsidR="00217258" w:rsidRPr="00A94418">
        <w:t>lobulínu pre T4</w:t>
      </w:r>
      <w:r w:rsidR="00186326" w:rsidRPr="00A94418">
        <w:t xml:space="preserve"> a </w:t>
      </w:r>
      <w:r w:rsidR="00217258" w:rsidRPr="00A94418">
        <w:t xml:space="preserve">vzostup využitia T3 bez porúch </w:t>
      </w:r>
      <w:proofErr w:type="spellStart"/>
      <w:r w:rsidR="00217258" w:rsidRPr="00A94418">
        <w:t>tyreoidálnej</w:t>
      </w:r>
      <w:proofErr w:type="spellEnd"/>
      <w:r w:rsidR="00217258" w:rsidRPr="00A94418">
        <w:t xml:space="preserve"> stimulácie alebo indexu voľného </w:t>
      </w:r>
      <w:proofErr w:type="spellStart"/>
      <w:r w:rsidR="00217258" w:rsidRPr="00A94418">
        <w:t>tyroxínu</w:t>
      </w:r>
      <w:proofErr w:type="spellEnd"/>
      <w:r w:rsidR="00217258" w:rsidRPr="00A94418">
        <w:t>.</w:t>
      </w:r>
    </w:p>
    <w:p w14:paraId="62527165" w14:textId="19A16FD6" w:rsidR="00AA0CE4" w:rsidRPr="00AA57F5" w:rsidRDefault="00AA57F5" w:rsidP="002F3444">
      <w:pPr>
        <w:pStyle w:val="Normlndobloku"/>
      </w:pPr>
      <w:r w:rsidRPr="00802AB7">
        <w:rPr>
          <w:u w:val="single"/>
        </w:rPr>
        <w:t>Poruchy reproduk</w:t>
      </w:r>
      <w:r>
        <w:rPr>
          <w:u w:val="single"/>
        </w:rPr>
        <w:t>č</w:t>
      </w:r>
      <w:r w:rsidRPr="00802AB7">
        <w:rPr>
          <w:u w:val="single"/>
        </w:rPr>
        <w:t>n</w:t>
      </w:r>
      <w:r>
        <w:rPr>
          <w:u w:val="single"/>
        </w:rPr>
        <w:t>é</w:t>
      </w:r>
      <w:r w:rsidRPr="00802AB7">
        <w:rPr>
          <w:u w:val="single"/>
        </w:rPr>
        <w:t>ho syst</w:t>
      </w:r>
      <w:r>
        <w:rPr>
          <w:u w:val="single"/>
        </w:rPr>
        <w:t>é</w:t>
      </w:r>
      <w:r w:rsidRPr="00802AB7">
        <w:rPr>
          <w:u w:val="single"/>
        </w:rPr>
        <w:t>mu a prsn</w:t>
      </w:r>
      <w:r>
        <w:rPr>
          <w:u w:val="single"/>
        </w:rPr>
        <w:t>í</w:t>
      </w:r>
      <w:r w:rsidRPr="00802AB7">
        <w:rPr>
          <w:u w:val="single"/>
        </w:rPr>
        <w:t>kov</w:t>
      </w:r>
      <w:r w:rsidR="00217258" w:rsidRPr="00AA57F5">
        <w:t>: hypertrofia klitorisu je veľmi zriedkavá.</w:t>
      </w:r>
    </w:p>
    <w:p w14:paraId="0FD51047" w14:textId="3EEB9321" w:rsidR="00AA0CE4" w:rsidRPr="00A94418" w:rsidRDefault="00D15553" w:rsidP="002F3444">
      <w:pPr>
        <w:pStyle w:val="Normlndobloku"/>
      </w:pPr>
      <w:r w:rsidRPr="00AA57F5">
        <w:rPr>
          <w:u w:val="single"/>
        </w:rPr>
        <w:t>Poruchy krvi a lymfatického systému</w:t>
      </w:r>
      <w:r w:rsidR="00217258" w:rsidRPr="00AA57F5">
        <w:t xml:space="preserve">: vzostup </w:t>
      </w:r>
      <w:proofErr w:type="spellStart"/>
      <w:r w:rsidR="00217258" w:rsidRPr="00AA57F5">
        <w:t>trombocytov</w:t>
      </w:r>
      <w:proofErr w:type="spellEnd"/>
      <w:r w:rsidR="00186326" w:rsidRPr="00AA57F5">
        <w:t xml:space="preserve"> a </w:t>
      </w:r>
      <w:r w:rsidR="00217258" w:rsidRPr="00AA57F5">
        <w:t>erytrocytov.</w:t>
      </w:r>
      <w:r w:rsidR="00377FAE" w:rsidRPr="00AA57F5">
        <w:t xml:space="preserve"> </w:t>
      </w:r>
      <w:r w:rsidR="00217258" w:rsidRPr="00AA57F5">
        <w:t xml:space="preserve">Zaznamenala sa </w:t>
      </w:r>
      <w:r w:rsidR="0085712F">
        <w:t>tiež</w:t>
      </w:r>
      <w:r w:rsidR="00344620">
        <w:t xml:space="preserve"> </w:t>
      </w:r>
      <w:proofErr w:type="spellStart"/>
      <w:r w:rsidR="00217258" w:rsidRPr="00A94418">
        <w:t>eozinofília</w:t>
      </w:r>
      <w:proofErr w:type="spellEnd"/>
      <w:r w:rsidR="00217258" w:rsidRPr="00A94418">
        <w:t xml:space="preserve">, </w:t>
      </w:r>
      <w:proofErr w:type="spellStart"/>
      <w:r w:rsidR="00217258" w:rsidRPr="00A94418">
        <w:t>leukopénia</w:t>
      </w:r>
      <w:proofErr w:type="spellEnd"/>
      <w:r w:rsidR="00217258" w:rsidRPr="00A94418">
        <w:t xml:space="preserve">, </w:t>
      </w:r>
      <w:proofErr w:type="spellStart"/>
      <w:r w:rsidR="00217258" w:rsidRPr="00A94418">
        <w:t>trombocytopénia</w:t>
      </w:r>
      <w:proofErr w:type="spellEnd"/>
      <w:r w:rsidR="00217258" w:rsidRPr="00A94418">
        <w:t>.</w:t>
      </w:r>
      <w:r w:rsidR="00CE3B5C" w:rsidRPr="00A94418">
        <w:t xml:space="preserve"> </w:t>
      </w:r>
      <w:r w:rsidR="00217258" w:rsidRPr="00A94418">
        <w:t xml:space="preserve">Môže vzniknúť reverzibilná </w:t>
      </w:r>
      <w:proofErr w:type="spellStart"/>
      <w:r w:rsidR="00217258" w:rsidRPr="00A94418">
        <w:t>erytrocytóza</w:t>
      </w:r>
      <w:proofErr w:type="spellEnd"/>
      <w:r w:rsidR="00186326" w:rsidRPr="00A94418">
        <w:t xml:space="preserve"> a </w:t>
      </w:r>
      <w:proofErr w:type="spellStart"/>
      <w:r w:rsidR="00217258" w:rsidRPr="00A94418">
        <w:t>polycytémia</w:t>
      </w:r>
      <w:proofErr w:type="spellEnd"/>
      <w:r w:rsidR="00217258" w:rsidRPr="00A94418">
        <w:t>.</w:t>
      </w:r>
    </w:p>
    <w:p w14:paraId="7BDE2C6F" w14:textId="3067440B" w:rsidR="00AA0CE4" w:rsidRPr="00A94418" w:rsidRDefault="00217258" w:rsidP="002F3444">
      <w:pPr>
        <w:pStyle w:val="Normlndobloku"/>
      </w:pPr>
      <w:r w:rsidRPr="00A94418">
        <w:rPr>
          <w:u w:val="single"/>
        </w:rPr>
        <w:t>P</w:t>
      </w:r>
      <w:r w:rsidR="00D15553" w:rsidRPr="00A94418">
        <w:rPr>
          <w:u w:val="single"/>
        </w:rPr>
        <w:t>oruchy p</w:t>
      </w:r>
      <w:r w:rsidRPr="00A94418">
        <w:rPr>
          <w:u w:val="single"/>
        </w:rPr>
        <w:t>eče</w:t>
      </w:r>
      <w:r w:rsidR="00D15553" w:rsidRPr="00A94418">
        <w:rPr>
          <w:u w:val="single"/>
        </w:rPr>
        <w:t>ne a žlčových ciest</w:t>
      </w:r>
      <w:r w:rsidRPr="00A94418">
        <w:rPr>
          <w:u w:val="single"/>
        </w:rPr>
        <w:t>:</w:t>
      </w:r>
      <w:r w:rsidRPr="00A94418">
        <w:t xml:space="preserve"> mierne zvýšenie hladín sérových </w:t>
      </w:r>
      <w:proofErr w:type="spellStart"/>
      <w:r w:rsidRPr="00A94418">
        <w:t>transamináz</w:t>
      </w:r>
      <w:proofErr w:type="spellEnd"/>
      <w:r w:rsidRPr="00A94418">
        <w:t xml:space="preserve">. Zriedkavé sú prípady </w:t>
      </w:r>
      <w:proofErr w:type="spellStart"/>
      <w:r w:rsidRPr="00A94418">
        <w:t>cholestatickej</w:t>
      </w:r>
      <w:proofErr w:type="spellEnd"/>
      <w:r w:rsidRPr="00A94418">
        <w:t xml:space="preserve"> žltačky. Pri dlhodobom užívaní sú známe benígne </w:t>
      </w:r>
      <w:proofErr w:type="spellStart"/>
      <w:r w:rsidRPr="00A94418">
        <w:t>hepatálne</w:t>
      </w:r>
      <w:proofErr w:type="spellEnd"/>
      <w:r w:rsidRPr="00A94418">
        <w:t xml:space="preserve"> </w:t>
      </w:r>
      <w:proofErr w:type="spellStart"/>
      <w:r w:rsidRPr="00A94418">
        <w:t>adenómy</w:t>
      </w:r>
      <w:proofErr w:type="spellEnd"/>
      <w:r w:rsidR="00186326" w:rsidRPr="00A94418">
        <w:t xml:space="preserve"> a </w:t>
      </w:r>
      <w:proofErr w:type="spellStart"/>
      <w:r w:rsidRPr="00A94418">
        <w:t>peliosis</w:t>
      </w:r>
      <w:proofErr w:type="spellEnd"/>
      <w:r w:rsidRPr="00A94418">
        <w:t xml:space="preserve"> </w:t>
      </w:r>
      <w:proofErr w:type="spellStart"/>
      <w:r w:rsidRPr="00A94418">
        <w:t>hepatitis</w:t>
      </w:r>
      <w:proofErr w:type="spellEnd"/>
      <w:r w:rsidRPr="00A94418">
        <w:t>.</w:t>
      </w:r>
    </w:p>
    <w:p w14:paraId="155BAAD1" w14:textId="65E0CF9A" w:rsidR="00AA0CE4" w:rsidRPr="00A94418" w:rsidRDefault="00D15553" w:rsidP="002F3444">
      <w:pPr>
        <w:pStyle w:val="Normlndobloku"/>
      </w:pPr>
      <w:r w:rsidRPr="00802AB7">
        <w:rPr>
          <w:u w:val="single"/>
        </w:rPr>
        <w:t>Poruchy m</w:t>
      </w:r>
      <w:r w:rsidR="00217258" w:rsidRPr="00802AB7">
        <w:rPr>
          <w:u w:val="single"/>
        </w:rPr>
        <w:t>etabolizmu</w:t>
      </w:r>
      <w:r w:rsidRPr="00802AB7">
        <w:rPr>
          <w:u w:val="single"/>
        </w:rPr>
        <w:t xml:space="preserve"> a výživy</w:t>
      </w:r>
      <w:r w:rsidR="00217258" w:rsidRPr="00802AB7">
        <w:rPr>
          <w:u w:val="single"/>
        </w:rPr>
        <w:t>:</w:t>
      </w:r>
      <w:r w:rsidR="00217258" w:rsidRPr="00A94418">
        <w:t xml:space="preserve"> zriedkavý je syndróm </w:t>
      </w:r>
      <w:proofErr w:type="spellStart"/>
      <w:r w:rsidR="00217258" w:rsidRPr="00A94418">
        <w:t>karpálneho</w:t>
      </w:r>
      <w:proofErr w:type="spellEnd"/>
      <w:r w:rsidR="00217258" w:rsidRPr="00A94418">
        <w:t xml:space="preserve"> tunela spôsobený </w:t>
      </w:r>
      <w:proofErr w:type="spellStart"/>
      <w:r w:rsidR="00217258" w:rsidRPr="00A94418">
        <w:t>retenciou</w:t>
      </w:r>
      <w:proofErr w:type="spellEnd"/>
      <w:r w:rsidR="00217258" w:rsidRPr="00A94418">
        <w:t xml:space="preserve"> tekutín. Prechodne bol </w:t>
      </w:r>
      <w:proofErr w:type="spellStart"/>
      <w:r w:rsidR="00217258" w:rsidRPr="00A94418">
        <w:t>alterovaný</w:t>
      </w:r>
      <w:proofErr w:type="spellEnd"/>
      <w:r w:rsidR="00217258" w:rsidRPr="00A94418">
        <w:t xml:space="preserve"> metabolizmus </w:t>
      </w:r>
      <w:proofErr w:type="spellStart"/>
      <w:r w:rsidR="00217258" w:rsidRPr="00A94418">
        <w:t>lipoproteínov</w:t>
      </w:r>
      <w:proofErr w:type="spellEnd"/>
      <w:r w:rsidR="00217258" w:rsidRPr="00A94418">
        <w:t xml:space="preserve">, zvýšenie LDL cholesterolu, zníženie všetkých </w:t>
      </w:r>
      <w:proofErr w:type="spellStart"/>
      <w:r w:rsidR="00217258" w:rsidRPr="00A94418">
        <w:lastRenderedPageBreak/>
        <w:t>subfrakcií</w:t>
      </w:r>
      <w:proofErr w:type="spellEnd"/>
      <w:r w:rsidR="00217258" w:rsidRPr="00A94418">
        <w:t xml:space="preserve"> HDL</w:t>
      </w:r>
      <w:r w:rsidR="00186326" w:rsidRPr="00A94418">
        <w:t xml:space="preserve"> a </w:t>
      </w:r>
      <w:r w:rsidR="00217258" w:rsidRPr="00A94418">
        <w:t xml:space="preserve">zníženie </w:t>
      </w:r>
      <w:proofErr w:type="spellStart"/>
      <w:r w:rsidR="00217258" w:rsidRPr="00A94418">
        <w:t>apolipoproteínov</w:t>
      </w:r>
      <w:proofErr w:type="spellEnd"/>
      <w:r w:rsidR="00217258" w:rsidRPr="00A94418">
        <w:t xml:space="preserve"> A1</w:t>
      </w:r>
      <w:r w:rsidR="00186326" w:rsidRPr="00A94418">
        <w:t xml:space="preserve"> a </w:t>
      </w:r>
      <w:r w:rsidR="00217258" w:rsidRPr="00A94418">
        <w:t>A11 je pravdepodobné</w:t>
      </w:r>
      <w:r w:rsidR="00186326" w:rsidRPr="00A94418">
        <w:t xml:space="preserve"> u </w:t>
      </w:r>
      <w:r w:rsidR="00217258" w:rsidRPr="00A94418">
        <w:t>žien. Klinický význam týchto zmien nie je objasnený.</w:t>
      </w:r>
    </w:p>
    <w:p w14:paraId="78B4DD94" w14:textId="549ECACC" w:rsidR="00AA0CE4" w:rsidRPr="00A94418" w:rsidRDefault="00D15553" w:rsidP="002F3444">
      <w:pPr>
        <w:pStyle w:val="Normlndobloku"/>
      </w:pPr>
      <w:r w:rsidRPr="00802AB7">
        <w:rPr>
          <w:u w:val="single"/>
        </w:rPr>
        <w:t>Poruchy kostrovej a svalovej sústavy a spojivového tkaniva</w:t>
      </w:r>
      <w:r w:rsidR="00217258" w:rsidRPr="00802AB7">
        <w:rPr>
          <w:u w:val="single"/>
        </w:rPr>
        <w:t>:</w:t>
      </w:r>
      <w:r w:rsidR="00217258" w:rsidRPr="00A94418">
        <w:t xml:space="preserve"> bolesti chrbta</w:t>
      </w:r>
      <w:r w:rsidR="00186326" w:rsidRPr="00A94418">
        <w:t xml:space="preserve"> a </w:t>
      </w:r>
      <w:r w:rsidR="00217258" w:rsidRPr="00A94418">
        <w:t>svalové kŕče</w:t>
      </w:r>
      <w:r w:rsidR="008E2378" w:rsidRPr="00A94418">
        <w:t> – </w:t>
      </w:r>
      <w:r w:rsidR="00217258" w:rsidRPr="00A94418">
        <w:t xml:space="preserve">niekedy závažné. Zaznamenal sa svalový tras, </w:t>
      </w:r>
      <w:proofErr w:type="spellStart"/>
      <w:r w:rsidR="00217258" w:rsidRPr="00A94418">
        <w:t>fascikulácia</w:t>
      </w:r>
      <w:proofErr w:type="spellEnd"/>
      <w:r w:rsidR="00217258" w:rsidRPr="00A94418">
        <w:t>, bolesti končatín</w:t>
      </w:r>
      <w:r w:rsidR="00186326" w:rsidRPr="00A94418">
        <w:t xml:space="preserve"> a </w:t>
      </w:r>
      <w:r w:rsidR="00217258" w:rsidRPr="00A94418">
        <w:t xml:space="preserve">kĺbov, opuchy kĺbov. Môže sa zvýšiť hladina </w:t>
      </w:r>
      <w:proofErr w:type="spellStart"/>
      <w:r w:rsidR="00217258" w:rsidRPr="00A94418">
        <w:t>kreatínfosfokinázy</w:t>
      </w:r>
      <w:proofErr w:type="spellEnd"/>
      <w:r w:rsidR="00217258" w:rsidRPr="00A94418">
        <w:t>.</w:t>
      </w:r>
    </w:p>
    <w:p w14:paraId="4DA565CF" w14:textId="2377DF48" w:rsidR="00AA0CE4" w:rsidRPr="00A94418" w:rsidRDefault="00D15553" w:rsidP="002F3444">
      <w:pPr>
        <w:pStyle w:val="Normlndobloku"/>
      </w:pPr>
      <w:r w:rsidRPr="00802AB7">
        <w:rPr>
          <w:u w:val="single"/>
        </w:rPr>
        <w:t>Poruchy kože a podkožného tkaniva</w:t>
      </w:r>
      <w:r w:rsidR="00217258" w:rsidRPr="00802AB7">
        <w:rPr>
          <w:u w:val="single"/>
        </w:rPr>
        <w:t>:</w:t>
      </w:r>
      <w:r w:rsidR="00217258" w:rsidRPr="00A94418">
        <w:t xml:space="preserve"> výsev, ktorý môže byť </w:t>
      </w:r>
      <w:proofErr w:type="spellStart"/>
      <w:r w:rsidR="00217258" w:rsidRPr="00A94418">
        <w:t>makulopapulárny</w:t>
      </w:r>
      <w:proofErr w:type="spellEnd"/>
      <w:r w:rsidR="00217258" w:rsidRPr="00A94418">
        <w:t xml:space="preserve">, </w:t>
      </w:r>
      <w:proofErr w:type="spellStart"/>
      <w:r w:rsidR="00217258" w:rsidRPr="00A94418">
        <w:t>petechiálny</w:t>
      </w:r>
      <w:proofErr w:type="spellEnd"/>
      <w:r w:rsidR="00217258" w:rsidRPr="00A94418">
        <w:t xml:space="preserve">, </w:t>
      </w:r>
      <w:proofErr w:type="spellStart"/>
      <w:r w:rsidR="00217258" w:rsidRPr="00A94418">
        <w:t>purpurický</w:t>
      </w:r>
      <w:proofErr w:type="spellEnd"/>
      <w:r w:rsidR="00217258" w:rsidRPr="00A94418">
        <w:t xml:space="preserve"> alebo </w:t>
      </w:r>
      <w:proofErr w:type="spellStart"/>
      <w:r w:rsidR="00217258" w:rsidRPr="00A94418">
        <w:t>urtikárny</w:t>
      </w:r>
      <w:proofErr w:type="spellEnd"/>
      <w:r w:rsidR="00217258" w:rsidRPr="00A94418">
        <w:t>, môže byť sprevádzaný</w:t>
      </w:r>
      <w:r w:rsidR="008A18AB" w:rsidRPr="00A94418">
        <w:t xml:space="preserve"> </w:t>
      </w:r>
      <w:r w:rsidR="00217258" w:rsidRPr="00A94418">
        <w:t>opuchom tváre. Je známa horúčka asociovaná</w:t>
      </w:r>
      <w:r w:rsidR="00186326" w:rsidRPr="00A94418">
        <w:t xml:space="preserve"> s </w:t>
      </w:r>
      <w:r w:rsidR="00217258" w:rsidRPr="00A94418">
        <w:t>výsevom. Zriedkavé sú prípady výskytu kožného výsevu</w:t>
      </w:r>
      <w:r w:rsidR="00186326" w:rsidRPr="00A94418">
        <w:t xml:space="preserve"> v </w:t>
      </w:r>
      <w:r w:rsidR="00217258" w:rsidRPr="00A94418">
        <w:t xml:space="preserve">spojitosti so slnečnou </w:t>
      </w:r>
      <w:proofErr w:type="spellStart"/>
      <w:r w:rsidR="00217258" w:rsidRPr="00A94418">
        <w:t>hypersenzitivitou</w:t>
      </w:r>
      <w:proofErr w:type="spellEnd"/>
      <w:r w:rsidR="00217258" w:rsidRPr="00A94418">
        <w:t xml:space="preserve">. Bola hlásená aj </w:t>
      </w:r>
      <w:proofErr w:type="spellStart"/>
      <w:r w:rsidR="00217258" w:rsidRPr="00A94418">
        <w:t>exfoliatívna</w:t>
      </w:r>
      <w:proofErr w:type="spellEnd"/>
      <w:r w:rsidR="00217258" w:rsidRPr="00A94418">
        <w:t xml:space="preserve"> dermatitída, zápalové </w:t>
      </w:r>
      <w:proofErr w:type="spellStart"/>
      <w:r w:rsidR="00217258" w:rsidRPr="00A94418">
        <w:t>erytematózne</w:t>
      </w:r>
      <w:proofErr w:type="spellEnd"/>
      <w:r w:rsidR="00217258" w:rsidRPr="00A94418">
        <w:t xml:space="preserve"> uzlíky</w:t>
      </w:r>
      <w:r w:rsidR="00186326" w:rsidRPr="00A94418">
        <w:t xml:space="preserve"> a </w:t>
      </w:r>
      <w:r w:rsidR="00217258" w:rsidRPr="00A94418">
        <w:t>zmeny pigmentácie pokožky.</w:t>
      </w:r>
    </w:p>
    <w:p w14:paraId="5D3F9788" w14:textId="3C235CB8" w:rsidR="003F059A" w:rsidRPr="00A94418" w:rsidRDefault="00D15553" w:rsidP="002F3444">
      <w:pPr>
        <w:pStyle w:val="Normlndobloku"/>
      </w:pPr>
      <w:r w:rsidRPr="00802AB7">
        <w:rPr>
          <w:u w:val="single"/>
        </w:rPr>
        <w:t>Poruchy oka</w:t>
      </w:r>
      <w:r w:rsidR="00217258" w:rsidRPr="00802AB7">
        <w:rPr>
          <w:u w:val="single"/>
        </w:rPr>
        <w:t>:</w:t>
      </w:r>
      <w:r w:rsidR="00217258" w:rsidRPr="00A94418">
        <w:t xml:space="preserve"> poruchy videnia ako napr. rozmazané videnie, ťažkosti pri zaostrovaní, pri nasadzovaní kontaktných šošoviek</w:t>
      </w:r>
      <w:r w:rsidR="00186326" w:rsidRPr="00A94418">
        <w:t xml:space="preserve"> a </w:t>
      </w:r>
      <w:r w:rsidR="00217258" w:rsidRPr="00A94418">
        <w:t xml:space="preserve">potreba refrakčnej korekcie pre temporálnu </w:t>
      </w:r>
      <w:proofErr w:type="spellStart"/>
      <w:r w:rsidR="00217258" w:rsidRPr="00A94418">
        <w:t>alteráciu</w:t>
      </w:r>
      <w:proofErr w:type="spellEnd"/>
      <w:r w:rsidR="00217258" w:rsidRPr="00A94418">
        <w:t>.</w:t>
      </w:r>
    </w:p>
    <w:p w14:paraId="6BA5145F" w14:textId="33A8C2A8" w:rsidR="003F059A" w:rsidRPr="00802AB7" w:rsidRDefault="003F059A" w:rsidP="003F059A">
      <w:pPr>
        <w:pStyle w:val="Styl2-2"/>
        <w:rPr>
          <w:rFonts w:ascii="Times New Roman" w:hAnsi="Times New Roman" w:cs="Times New Roman"/>
          <w:b w:val="0"/>
          <w:szCs w:val="22"/>
          <w:lang w:val="sk-SK"/>
        </w:rPr>
      </w:pPr>
      <w:r w:rsidRPr="00A94418">
        <w:rPr>
          <w:rFonts w:ascii="Times New Roman" w:hAnsi="Times New Roman" w:cs="Times New Roman"/>
          <w:szCs w:val="22"/>
          <w:lang w:val="sk-SK"/>
        </w:rPr>
        <w:t>Hlásenie podozrení na nežiaduce reakcie</w:t>
      </w:r>
    </w:p>
    <w:p w14:paraId="370B63CB" w14:textId="6C406944" w:rsidR="003F059A" w:rsidRPr="002841B2" w:rsidRDefault="003F059A" w:rsidP="002F3444">
      <w:pPr>
        <w:pStyle w:val="Normlndobloku"/>
        <w:rPr>
          <w:rFonts w:cs="Times New Roman"/>
        </w:rPr>
      </w:pPr>
      <w:r w:rsidRPr="002841B2">
        <w:t>Hlásenie podozrení na nežiaduce reakcie po registrácii lieku je dôležité. Umožňuje priebežné monitorovanie pomeru prínosu</w:t>
      </w:r>
      <w:r w:rsidR="00186326" w:rsidRPr="002841B2">
        <w:t xml:space="preserve"> a </w:t>
      </w:r>
      <w:r w:rsidRPr="002841B2">
        <w:t xml:space="preserve">rizika lieku. Od zdravotníckych pracovníkov sa vyžaduje, aby hlásili akékoľvek podozrenia na nežiaduce reakcie na </w:t>
      </w:r>
      <w:r w:rsidRPr="00A432DA">
        <w:rPr>
          <w:highlight w:val="lightGray"/>
        </w:rPr>
        <w:t>národné centrum hlásenia uvedené</w:t>
      </w:r>
      <w:r w:rsidR="00186326" w:rsidRPr="00A432DA">
        <w:rPr>
          <w:highlight w:val="lightGray"/>
        </w:rPr>
        <w:t xml:space="preserve"> v </w:t>
      </w:r>
      <w:hyperlink r:id="rId8" w:history="1">
        <w:r w:rsidRPr="00A432DA">
          <w:rPr>
            <w:rStyle w:val="Hypertextovprepojenie"/>
            <w:color w:val="2F5496" w:themeColor="accent1" w:themeShade="BF"/>
            <w:highlight w:val="lightGray"/>
          </w:rPr>
          <w:t>Prílohe V</w:t>
        </w:r>
      </w:hyperlink>
      <w:r w:rsidRPr="00F15217">
        <w:t>.</w:t>
      </w:r>
    </w:p>
    <w:p w14:paraId="4B003026" w14:textId="7E13456B" w:rsidR="00AA0CE4" w:rsidRPr="002841B2" w:rsidRDefault="00217258" w:rsidP="007636D1">
      <w:pPr>
        <w:pStyle w:val="Styl2"/>
      </w:pPr>
      <w:r w:rsidRPr="002841B2">
        <w:t>Predávkovanie</w:t>
      </w:r>
    </w:p>
    <w:p w14:paraId="6143EDA1" w14:textId="61E82B9F" w:rsidR="00217258" w:rsidRPr="00A432DA" w:rsidRDefault="00217258" w:rsidP="002F3444">
      <w:pPr>
        <w:pStyle w:val="Normlndobloku"/>
      </w:pPr>
      <w:r w:rsidRPr="00A432DA">
        <w:t>Dávka 16</w:t>
      </w:r>
      <w:r w:rsidR="00186326" w:rsidRPr="00A432DA">
        <w:t> </w:t>
      </w:r>
      <w:r w:rsidRPr="00A432DA">
        <w:t>g/kg telesnej hmotnosti pri testoch na zvieratách nebola fatálna</w:t>
      </w:r>
      <w:r w:rsidR="00186326" w:rsidRPr="00A432DA">
        <w:t xml:space="preserve"> a </w:t>
      </w:r>
      <w:r w:rsidRPr="00A432DA">
        <w:t>je nepravdepodobné, že by</w:t>
      </w:r>
      <w:r w:rsidR="00186326" w:rsidRPr="00A432DA">
        <w:t xml:space="preserve"> u </w:t>
      </w:r>
      <w:r w:rsidRPr="00A432DA">
        <w:t xml:space="preserve">človeka po požití nadmernej dávky mohli byť zaznamenané vážne nežiaduce účinky. Pri akútnom predávkovaní, tesne po požití lieku je užitočné odstrániť </w:t>
      </w:r>
      <w:r w:rsidR="009713E9" w:rsidRPr="00A432DA">
        <w:t xml:space="preserve">liek </w:t>
      </w:r>
      <w:r w:rsidRPr="00A432DA">
        <w:t>zo žalúdka zvracaním alebo výplachom.</w:t>
      </w:r>
      <w:r w:rsidR="008A18AB" w:rsidRPr="00A432DA">
        <w:t xml:space="preserve"> </w:t>
      </w:r>
      <w:r w:rsidRPr="00A432DA">
        <w:t>Pre možné oneskorené reakcie sa vyžaduje sledovanie pacienta. Prípadná liečba m</w:t>
      </w:r>
      <w:r w:rsidR="009713E9" w:rsidRPr="00A432DA">
        <w:t xml:space="preserve">á </w:t>
      </w:r>
      <w:r w:rsidRPr="00A432DA">
        <w:t>byť symptomatická</w:t>
      </w:r>
      <w:r w:rsidR="00186326" w:rsidRPr="00A432DA">
        <w:t xml:space="preserve"> a </w:t>
      </w:r>
      <w:r w:rsidRPr="00A432DA">
        <w:t>podporná.</w:t>
      </w:r>
    </w:p>
    <w:p w14:paraId="060032CD" w14:textId="491E7439" w:rsidR="00AA0CE4" w:rsidRPr="00A432DA" w:rsidRDefault="00217258" w:rsidP="007636D1">
      <w:pPr>
        <w:pStyle w:val="Styl1"/>
      </w:pPr>
      <w:r w:rsidRPr="00A432DA">
        <w:t>Farmakologické vlastnosti</w:t>
      </w:r>
    </w:p>
    <w:p w14:paraId="50A998DF" w14:textId="10ED01C8" w:rsidR="00AA0CE4" w:rsidRPr="00A432DA" w:rsidRDefault="00217258" w:rsidP="007636D1">
      <w:pPr>
        <w:pStyle w:val="Styl2"/>
      </w:pPr>
      <w:proofErr w:type="spellStart"/>
      <w:r w:rsidRPr="00A432DA">
        <w:t>Farmakodynamické</w:t>
      </w:r>
      <w:proofErr w:type="spellEnd"/>
      <w:r w:rsidRPr="00A432DA">
        <w:t xml:space="preserve"> vlastnosti</w:t>
      </w:r>
    </w:p>
    <w:p w14:paraId="155A77E9" w14:textId="03FEC488" w:rsidR="00AA0CE4" w:rsidRPr="00A432DA" w:rsidRDefault="00217258" w:rsidP="002F3444">
      <w:pPr>
        <w:pStyle w:val="Normlndobloku"/>
      </w:pPr>
      <w:proofErr w:type="spellStart"/>
      <w:r w:rsidRPr="00A432DA">
        <w:t>Farmakoterapeutická</w:t>
      </w:r>
      <w:proofErr w:type="spellEnd"/>
      <w:r w:rsidRPr="00A432DA">
        <w:t xml:space="preserve"> skupina</w:t>
      </w:r>
      <w:r w:rsidR="00A8551C">
        <w:t>:</w:t>
      </w:r>
      <w:r w:rsidRPr="00A432DA">
        <w:t xml:space="preserve"> </w:t>
      </w:r>
      <w:r w:rsidR="00F90358" w:rsidRPr="00A432DA">
        <w:t>pohlavné hormóny a modulátory genitálneho systému</w:t>
      </w:r>
      <w:r w:rsidRPr="00A432DA">
        <w:t xml:space="preserve">, </w:t>
      </w:r>
      <w:proofErr w:type="spellStart"/>
      <w:r w:rsidR="00F90358" w:rsidRPr="00A432DA">
        <w:t>antigonadotropíny</w:t>
      </w:r>
      <w:proofErr w:type="spellEnd"/>
      <w:r w:rsidR="00F90358" w:rsidRPr="00A432DA">
        <w:t xml:space="preserve"> a podobné liečivá</w:t>
      </w:r>
      <w:r w:rsidRPr="00A432DA">
        <w:t xml:space="preserve"> ATC:</w:t>
      </w:r>
      <w:r w:rsidR="00E671C1" w:rsidRPr="00A432DA">
        <w:t>G</w:t>
      </w:r>
      <w:r w:rsidRPr="00A432DA">
        <w:t>03XA01</w:t>
      </w:r>
    </w:p>
    <w:p w14:paraId="4AB6D167" w14:textId="143734F0" w:rsidR="00AA0CE4" w:rsidRPr="00A94418" w:rsidRDefault="00217258" w:rsidP="002F3444">
      <w:pPr>
        <w:pStyle w:val="Normlndobloku"/>
      </w:pPr>
      <w:proofErr w:type="spellStart"/>
      <w:r w:rsidRPr="00A432DA">
        <w:t>Danazol</w:t>
      </w:r>
      <w:proofErr w:type="spellEnd"/>
      <w:r w:rsidRPr="00A432DA">
        <w:t xml:space="preserve"> je syntetický </w:t>
      </w:r>
      <w:proofErr w:type="spellStart"/>
      <w:r w:rsidRPr="00A432DA">
        <w:t>steroid</w:t>
      </w:r>
      <w:proofErr w:type="spellEnd"/>
      <w:r w:rsidRPr="00A432DA">
        <w:t xml:space="preserve"> odvodený od </w:t>
      </w:r>
      <w:proofErr w:type="spellStart"/>
      <w:r w:rsidRPr="00A432DA">
        <w:t>etisterónu</w:t>
      </w:r>
      <w:proofErr w:type="spellEnd"/>
      <w:r w:rsidRPr="00A432DA">
        <w:t>, chemicky je to 17 a-pregna-2,4-dien-20-yno(2,3-d)-isoxazol-17-ol.</w:t>
      </w:r>
      <w:r w:rsidR="004E00DD" w:rsidRPr="00AA57F5">
        <w:t xml:space="preserve"> </w:t>
      </w:r>
      <w:r w:rsidRPr="00AA57F5">
        <w:t>Má markantnú afinitu</w:t>
      </w:r>
      <w:r w:rsidR="00377FAE" w:rsidRPr="00AA57F5">
        <w:t xml:space="preserve"> k </w:t>
      </w:r>
      <w:proofErr w:type="spellStart"/>
      <w:r w:rsidRPr="00AA57F5">
        <w:t>androgénnym</w:t>
      </w:r>
      <w:proofErr w:type="spellEnd"/>
      <w:r w:rsidRPr="00AA57F5">
        <w:t xml:space="preserve"> receptorom, nižšiu afinitu</w:t>
      </w:r>
      <w:r w:rsidR="00377FAE" w:rsidRPr="00AA57F5">
        <w:t xml:space="preserve"> k </w:t>
      </w:r>
      <w:proofErr w:type="spellStart"/>
      <w:r w:rsidRPr="00AA57F5">
        <w:t>progesterónovým</w:t>
      </w:r>
      <w:proofErr w:type="spellEnd"/>
      <w:r w:rsidRPr="00AA57F5">
        <w:t xml:space="preserve"> receptorom</w:t>
      </w:r>
      <w:r w:rsidR="00186326" w:rsidRPr="00AA57F5">
        <w:t xml:space="preserve"> a </w:t>
      </w:r>
      <w:r w:rsidRPr="00AA57F5">
        <w:t>len minimálnu</w:t>
      </w:r>
      <w:r w:rsidR="00377FAE" w:rsidRPr="00AA57F5">
        <w:t xml:space="preserve"> k </w:t>
      </w:r>
      <w:proofErr w:type="spellStart"/>
      <w:r w:rsidRPr="00AA57F5">
        <w:t>estrogénovým</w:t>
      </w:r>
      <w:proofErr w:type="spellEnd"/>
      <w:r w:rsidRPr="00AA57F5">
        <w:t xml:space="preserve"> receptorom. Je to slabý </w:t>
      </w:r>
      <w:proofErr w:type="spellStart"/>
      <w:r w:rsidRPr="00AA57F5">
        <w:t>androgén</w:t>
      </w:r>
      <w:proofErr w:type="spellEnd"/>
      <w:r w:rsidR="00186326" w:rsidRPr="00AA57F5">
        <w:t xml:space="preserve"> a</w:t>
      </w:r>
      <w:r w:rsidR="00186326" w:rsidRPr="00A94418">
        <w:t> </w:t>
      </w:r>
      <w:r w:rsidRPr="00A94418">
        <w:t xml:space="preserve">je známa jeho </w:t>
      </w:r>
      <w:proofErr w:type="spellStart"/>
      <w:r w:rsidRPr="00A94418">
        <w:t>antiandrogénová</w:t>
      </w:r>
      <w:proofErr w:type="spellEnd"/>
      <w:r w:rsidRPr="00A94418">
        <w:t xml:space="preserve">, </w:t>
      </w:r>
      <w:proofErr w:type="spellStart"/>
      <w:r w:rsidRPr="00A94418">
        <w:t>progesterónová</w:t>
      </w:r>
      <w:proofErr w:type="spellEnd"/>
      <w:r w:rsidRPr="00A94418">
        <w:t xml:space="preserve">, </w:t>
      </w:r>
      <w:proofErr w:type="spellStart"/>
      <w:r w:rsidRPr="00A94418">
        <w:t>antiprogesterónová</w:t>
      </w:r>
      <w:proofErr w:type="spellEnd"/>
      <w:r w:rsidRPr="00A94418">
        <w:t xml:space="preserve">, </w:t>
      </w:r>
      <w:proofErr w:type="spellStart"/>
      <w:r w:rsidRPr="00A94418">
        <w:t>estrogénová</w:t>
      </w:r>
      <w:proofErr w:type="spellEnd"/>
      <w:r w:rsidR="00186326" w:rsidRPr="00A94418">
        <w:t xml:space="preserve"> a </w:t>
      </w:r>
      <w:proofErr w:type="spellStart"/>
      <w:r w:rsidRPr="00A94418">
        <w:t>anti-estrogénová</w:t>
      </w:r>
      <w:proofErr w:type="spellEnd"/>
      <w:r w:rsidRPr="00A94418">
        <w:t xml:space="preserve"> aktivita. Interferuje so syntézou pohlavných hormonálnych </w:t>
      </w:r>
      <w:proofErr w:type="spellStart"/>
      <w:r w:rsidRPr="00A94418">
        <w:t>steroidov</w:t>
      </w:r>
      <w:proofErr w:type="spellEnd"/>
      <w:r w:rsidRPr="00A94418">
        <w:t xml:space="preserve">, pravdepodobne inhibíciou enzýmov </w:t>
      </w:r>
      <w:proofErr w:type="spellStart"/>
      <w:r w:rsidRPr="00A94418">
        <w:t>steroidogenézy</w:t>
      </w:r>
      <w:proofErr w:type="spellEnd"/>
      <w:r w:rsidRPr="00A94418">
        <w:t xml:space="preserve"> alebo inhibíciou akumulácie cyklického AMP, ktorá je zvyčajne </w:t>
      </w:r>
      <w:proofErr w:type="spellStart"/>
      <w:r w:rsidRPr="00A94418">
        <w:t>inhibovaná</w:t>
      </w:r>
      <w:proofErr w:type="spellEnd"/>
      <w:r w:rsidR="00186326" w:rsidRPr="00A94418">
        <w:t> </w:t>
      </w:r>
      <w:proofErr w:type="spellStart"/>
      <w:r w:rsidR="00186326" w:rsidRPr="00A94418">
        <w:t>g</w:t>
      </w:r>
      <w:r w:rsidRPr="00A94418">
        <w:t>onadotropnými</w:t>
      </w:r>
      <w:proofErr w:type="spellEnd"/>
      <w:r w:rsidRPr="00A94418">
        <w:t xml:space="preserve"> hormónmi v</w:t>
      </w:r>
      <w:r w:rsidR="00186326" w:rsidRPr="00A94418">
        <w:t> </w:t>
      </w:r>
      <w:proofErr w:type="spellStart"/>
      <w:r w:rsidR="00186326" w:rsidRPr="00A94418">
        <w:t>g</w:t>
      </w:r>
      <w:r w:rsidRPr="00A94418">
        <w:t>ranulóze</w:t>
      </w:r>
      <w:proofErr w:type="spellEnd"/>
      <w:r w:rsidR="00186326" w:rsidRPr="00A94418">
        <w:t xml:space="preserve"> a </w:t>
      </w:r>
      <w:proofErr w:type="spellStart"/>
      <w:r w:rsidRPr="00A94418">
        <w:t>luteálnych</w:t>
      </w:r>
      <w:proofErr w:type="spellEnd"/>
      <w:r w:rsidRPr="00A94418">
        <w:t xml:space="preserve"> bunkách. Toto spôsobí inhibíciu</w:t>
      </w:r>
      <w:r w:rsidR="00186326" w:rsidRPr="00A94418">
        <w:t xml:space="preserve"> v </w:t>
      </w:r>
      <w:r w:rsidRPr="00A94418">
        <w:t>strede cyklového pulzu folikuly stimulujúceho hormónu</w:t>
      </w:r>
      <w:r w:rsidR="00186326" w:rsidRPr="00A94418">
        <w:t xml:space="preserve"> a </w:t>
      </w:r>
      <w:proofErr w:type="spellStart"/>
      <w:r w:rsidRPr="00A94418">
        <w:t>lutenizačného</w:t>
      </w:r>
      <w:proofErr w:type="spellEnd"/>
      <w:r w:rsidRPr="00A94418">
        <w:t xml:space="preserve"> hormónu</w:t>
      </w:r>
      <w:r w:rsidR="00186326" w:rsidRPr="00A94418">
        <w:t xml:space="preserve"> a </w:t>
      </w:r>
      <w:r w:rsidRPr="00A94418">
        <w:t xml:space="preserve">tak isto </w:t>
      </w:r>
      <w:proofErr w:type="spellStart"/>
      <w:r w:rsidRPr="00A94418">
        <w:t>alteruje</w:t>
      </w:r>
      <w:proofErr w:type="spellEnd"/>
      <w:r w:rsidR="00186326" w:rsidRPr="00A94418">
        <w:t xml:space="preserve"> s </w:t>
      </w:r>
      <w:r w:rsidRPr="00A94418">
        <w:t xml:space="preserve">pulzáciami </w:t>
      </w:r>
      <w:proofErr w:type="spellStart"/>
      <w:r w:rsidRPr="00A94418">
        <w:t>luteinizačného</w:t>
      </w:r>
      <w:proofErr w:type="spellEnd"/>
      <w:r w:rsidRPr="00A94418">
        <w:t xml:space="preserve"> hormónu</w:t>
      </w:r>
      <w:r w:rsidR="00186326" w:rsidRPr="00A94418">
        <w:t xml:space="preserve"> v </w:t>
      </w:r>
      <w:r w:rsidRPr="00A94418">
        <w:t xml:space="preserve">krvi. Môže znížiť nízku hladinu týchto hormónov </w:t>
      </w:r>
      <w:proofErr w:type="spellStart"/>
      <w:r w:rsidRPr="00A94418">
        <w:t>pomenopauzálne</w:t>
      </w:r>
      <w:proofErr w:type="spellEnd"/>
      <w:r w:rsidRPr="00A94418">
        <w:t xml:space="preserve">. Má tiež široké spektrum účinku na plazmatické proteíny. Zvyšuje hladinu alfa-2 </w:t>
      </w:r>
      <w:proofErr w:type="spellStart"/>
      <w:r w:rsidRPr="00A94418">
        <w:t>makroglobulínu</w:t>
      </w:r>
      <w:proofErr w:type="spellEnd"/>
      <w:r w:rsidRPr="00A94418">
        <w:t xml:space="preserve">, </w:t>
      </w:r>
      <w:proofErr w:type="spellStart"/>
      <w:r w:rsidRPr="00A94418">
        <w:t>antitrombínu</w:t>
      </w:r>
      <w:proofErr w:type="spellEnd"/>
      <w:r w:rsidRPr="00A94418">
        <w:t xml:space="preserve"> III, C1 </w:t>
      </w:r>
      <w:proofErr w:type="spellStart"/>
      <w:r w:rsidRPr="00A94418">
        <w:t>esterázového</w:t>
      </w:r>
      <w:proofErr w:type="spellEnd"/>
      <w:r w:rsidRPr="00A94418">
        <w:t xml:space="preserve"> inhibítora, </w:t>
      </w:r>
      <w:proofErr w:type="spellStart"/>
      <w:r w:rsidRPr="00A94418">
        <w:t>erytropoetínu</w:t>
      </w:r>
      <w:proofErr w:type="spellEnd"/>
      <w:r w:rsidRPr="00A94418">
        <w:t xml:space="preserve">, </w:t>
      </w:r>
      <w:proofErr w:type="spellStart"/>
      <w:r w:rsidRPr="00A94418">
        <w:t>plazminogénu</w:t>
      </w:r>
      <w:proofErr w:type="spellEnd"/>
      <w:r w:rsidRPr="00A94418">
        <w:t xml:space="preserve">, </w:t>
      </w:r>
      <w:proofErr w:type="spellStart"/>
      <w:r w:rsidRPr="00A94418">
        <w:t>protrombínu</w:t>
      </w:r>
      <w:proofErr w:type="spellEnd"/>
      <w:r w:rsidRPr="00A94418">
        <w:t>.</w:t>
      </w:r>
    </w:p>
    <w:p w14:paraId="628C3941" w14:textId="3091CE22" w:rsidR="00AA0CE4" w:rsidRPr="00A94418" w:rsidRDefault="00217258" w:rsidP="002F3444">
      <w:pPr>
        <w:pStyle w:val="Normlndobloku"/>
      </w:pPr>
      <w:r w:rsidRPr="00A94418">
        <w:t xml:space="preserve">Znižuje </w:t>
      </w:r>
      <w:proofErr w:type="spellStart"/>
      <w:r w:rsidRPr="00A94418">
        <w:t>fibrinogén</w:t>
      </w:r>
      <w:proofErr w:type="spellEnd"/>
      <w:r w:rsidRPr="00A94418">
        <w:t>, pohlavné hormóny viažuci</w:t>
      </w:r>
      <w:r w:rsidR="00186326" w:rsidRPr="00A94418">
        <w:t> g</w:t>
      </w:r>
      <w:r w:rsidRPr="00A94418">
        <w:t>lobulín</w:t>
      </w:r>
      <w:r w:rsidR="00186326" w:rsidRPr="00A94418">
        <w:t xml:space="preserve"> a </w:t>
      </w:r>
      <w:proofErr w:type="spellStart"/>
      <w:r w:rsidRPr="00A94418">
        <w:t>tyroxín</w:t>
      </w:r>
      <w:proofErr w:type="spellEnd"/>
      <w:r w:rsidRPr="00A94418">
        <w:t xml:space="preserve"> viažuci</w:t>
      </w:r>
      <w:r w:rsidR="00186326" w:rsidRPr="00A94418">
        <w:t> g</w:t>
      </w:r>
      <w:r w:rsidRPr="00A94418">
        <w:t>lobulín. Oba</w:t>
      </w:r>
      <w:r w:rsidR="006F68D0" w:rsidRPr="00A94418">
        <w:t> </w:t>
      </w:r>
      <w:r w:rsidRPr="00A94418">
        <w:t>–</w:t>
      </w:r>
      <w:r w:rsidR="006F68D0" w:rsidRPr="00A94418">
        <w:t> </w:t>
      </w:r>
      <w:r w:rsidRPr="00A94418">
        <w:t>pomer aj</w:t>
      </w:r>
      <w:r w:rsidRPr="00A94418">
        <w:rPr>
          <w:color w:val="2F5496" w:themeColor="accent1" w:themeShade="BF"/>
        </w:rPr>
        <w:t xml:space="preserve"> </w:t>
      </w:r>
      <w:r w:rsidRPr="00A94418">
        <w:t xml:space="preserve">koncentrácia voľného </w:t>
      </w:r>
      <w:proofErr w:type="spellStart"/>
      <w:r w:rsidRPr="00A94418">
        <w:t>testosterónu</w:t>
      </w:r>
      <w:proofErr w:type="spellEnd"/>
      <w:r w:rsidR="00186326" w:rsidRPr="00A94418">
        <w:t xml:space="preserve"> v </w:t>
      </w:r>
      <w:r w:rsidRPr="00A94418">
        <w:t xml:space="preserve">plazme sú zvyšované pôsobením </w:t>
      </w:r>
      <w:proofErr w:type="spellStart"/>
      <w:r w:rsidRPr="00A94418">
        <w:t>danazolu</w:t>
      </w:r>
      <w:proofErr w:type="spellEnd"/>
      <w:r w:rsidRPr="00A94418">
        <w:t>.</w:t>
      </w:r>
    </w:p>
    <w:p w14:paraId="387D4E7A" w14:textId="13AE5622" w:rsidR="00AA0CE4" w:rsidRPr="00A94418" w:rsidRDefault="00217258" w:rsidP="007636D1">
      <w:pPr>
        <w:pStyle w:val="Styl2"/>
      </w:pPr>
      <w:proofErr w:type="spellStart"/>
      <w:r w:rsidRPr="00A94418">
        <w:t>Farmakokinetické</w:t>
      </w:r>
      <w:proofErr w:type="spellEnd"/>
      <w:r w:rsidRPr="00A94418">
        <w:t xml:space="preserve"> vlastnosti</w:t>
      </w:r>
    </w:p>
    <w:p w14:paraId="3A386C52" w14:textId="6CC559EB" w:rsidR="00AA0CE4" w:rsidRPr="00A94418" w:rsidRDefault="00217258" w:rsidP="002F3444">
      <w:pPr>
        <w:pStyle w:val="Normlndobloku"/>
      </w:pPr>
      <w:proofErr w:type="spellStart"/>
      <w:r w:rsidRPr="00A94418">
        <w:t>Danazol</w:t>
      </w:r>
      <w:proofErr w:type="spellEnd"/>
      <w:r w:rsidRPr="00A94418">
        <w:t xml:space="preserve"> je absorbovaný z</w:t>
      </w:r>
      <w:r w:rsidR="00186326" w:rsidRPr="00A94418">
        <w:t> G</w:t>
      </w:r>
      <w:r w:rsidRPr="00A94418">
        <w:t>IT, vrchol plazmatickej hladiny, okolo 50</w:t>
      </w:r>
      <w:r w:rsidR="008E2378" w:rsidRPr="00A94418">
        <w:t> – </w:t>
      </w:r>
      <w:r w:rsidRPr="00A94418">
        <w:t>80</w:t>
      </w:r>
      <w:r w:rsidR="00186326" w:rsidRPr="00A94418">
        <w:t> </w:t>
      </w:r>
      <w:proofErr w:type="spellStart"/>
      <w:r w:rsidRPr="00A94418">
        <w:t>ng</w:t>
      </w:r>
      <w:proofErr w:type="spellEnd"/>
      <w:r w:rsidRPr="00A94418">
        <w:t>/ml , sa dosiahne za 2</w:t>
      </w:r>
      <w:r w:rsidR="008E2378" w:rsidRPr="00A94418">
        <w:t> – </w:t>
      </w:r>
      <w:r w:rsidRPr="00A94418">
        <w:t>3</w:t>
      </w:r>
      <w:r w:rsidR="008E2378" w:rsidRPr="00A94418">
        <w:t> </w:t>
      </w:r>
      <w:r w:rsidRPr="00A94418">
        <w:t>hodiny po podaní. Biologická dostupnosť sa zvyšuje asi trojnásobne, ak je užitý so stravou</w:t>
      </w:r>
      <w:r w:rsidR="00186326" w:rsidRPr="00A94418">
        <w:t xml:space="preserve"> s </w:t>
      </w:r>
      <w:r w:rsidRPr="00A94418">
        <w:t>vysokým obsahom tukov</w:t>
      </w:r>
      <w:r w:rsidR="00186326" w:rsidRPr="00A94418">
        <w:t xml:space="preserve"> v </w:t>
      </w:r>
      <w:r w:rsidRPr="00A94418">
        <w:t>porovnaní</w:t>
      </w:r>
      <w:r w:rsidR="00186326" w:rsidRPr="00A94418">
        <w:t xml:space="preserve"> s </w:t>
      </w:r>
      <w:r w:rsidRPr="00A94418">
        <w:t xml:space="preserve">užitím nalačno. Jedlo stimuluje tok žlče, ktorá uľahčí </w:t>
      </w:r>
      <w:r w:rsidRPr="00A94418">
        <w:lastRenderedPageBreak/>
        <w:t>rozpustenie</w:t>
      </w:r>
      <w:r w:rsidR="00186326" w:rsidRPr="00A94418">
        <w:t xml:space="preserve"> a </w:t>
      </w:r>
      <w:r w:rsidRPr="00A94418">
        <w:t xml:space="preserve">absorpciu veľmi </w:t>
      </w:r>
      <w:proofErr w:type="spellStart"/>
      <w:r w:rsidRPr="00A94418">
        <w:t>lipofilného</w:t>
      </w:r>
      <w:proofErr w:type="spellEnd"/>
      <w:r w:rsidRPr="00A94418">
        <w:t xml:space="preserve"> </w:t>
      </w:r>
      <w:proofErr w:type="spellStart"/>
      <w:r w:rsidRPr="00A94418">
        <w:t>danazolu</w:t>
      </w:r>
      <w:proofErr w:type="spellEnd"/>
      <w:r w:rsidRPr="00A94418">
        <w:t>. Pre jednotlivú dávku plazmatický polčas vylučovania je 3</w:t>
      </w:r>
      <w:r w:rsidR="008E2378" w:rsidRPr="00A94418">
        <w:t> – </w:t>
      </w:r>
      <w:r w:rsidRPr="00A94418">
        <w:t>6 hodín</w:t>
      </w:r>
      <w:r w:rsidR="00186326" w:rsidRPr="00A94418">
        <w:t xml:space="preserve"> a </w:t>
      </w:r>
      <w:r w:rsidRPr="00A94418">
        <w:t>zvýši sa na 26 hodín po viacnásobných dávkach.</w:t>
      </w:r>
    </w:p>
    <w:p w14:paraId="21A06301" w14:textId="189E2F50" w:rsidR="00AA0CE4" w:rsidRPr="00A94418" w:rsidRDefault="00217258" w:rsidP="002F3444">
      <w:pPr>
        <w:pStyle w:val="Normlndobloku"/>
      </w:pPr>
      <w:r w:rsidRPr="00A94418">
        <w:t xml:space="preserve">Izolované </w:t>
      </w:r>
      <w:proofErr w:type="spellStart"/>
      <w:r w:rsidRPr="00A94418">
        <w:t>metabolity</w:t>
      </w:r>
      <w:proofErr w:type="spellEnd"/>
      <w:r w:rsidRPr="00A94418">
        <w:t xml:space="preserve"> neukazujú porovnateľnú inhibičnú aktivitu na hypofýzu ako </w:t>
      </w:r>
      <w:proofErr w:type="spellStart"/>
      <w:r w:rsidRPr="00A94418">
        <w:t>danazol</w:t>
      </w:r>
      <w:proofErr w:type="spellEnd"/>
      <w:r w:rsidRPr="00A94418">
        <w:t>.</w:t>
      </w:r>
      <w:r w:rsidR="00377FAE" w:rsidRPr="00A94418">
        <w:t xml:space="preserve"> </w:t>
      </w:r>
      <w:r w:rsidRPr="00A94418">
        <w:t>O spôsoboch</w:t>
      </w:r>
      <w:r w:rsidR="00186326" w:rsidRPr="00A94418">
        <w:t xml:space="preserve"> a </w:t>
      </w:r>
      <w:r w:rsidRPr="00A94418">
        <w:t xml:space="preserve">rýchlosti vylučovania je málo údajov. Pri podávaní rádioaktívne značkovaného </w:t>
      </w:r>
      <w:proofErr w:type="spellStart"/>
      <w:r w:rsidRPr="00A94418">
        <w:t>danazolu</w:t>
      </w:r>
      <w:proofErr w:type="spellEnd"/>
      <w:r w:rsidRPr="00A94418">
        <w:t xml:space="preserve"> sa po 96</w:t>
      </w:r>
      <w:r w:rsidR="00AD3423" w:rsidRPr="00A94418">
        <w:t> </w:t>
      </w:r>
      <w:r w:rsidRPr="00A94418">
        <w:t xml:space="preserve">hodinách vylúčilo 36 % </w:t>
      </w:r>
      <w:proofErr w:type="spellStart"/>
      <w:r w:rsidRPr="00A94418">
        <w:t>metabolitov</w:t>
      </w:r>
      <w:proofErr w:type="spellEnd"/>
      <w:r w:rsidRPr="00A94418">
        <w:t xml:space="preserve"> močom</w:t>
      </w:r>
      <w:r w:rsidR="00186326" w:rsidRPr="00A94418">
        <w:t xml:space="preserve"> a </w:t>
      </w:r>
      <w:r w:rsidRPr="00A94418">
        <w:t>48 % stolicou.</w:t>
      </w:r>
    </w:p>
    <w:p w14:paraId="2102CF58" w14:textId="4E249404" w:rsidR="00AA0CE4" w:rsidRPr="00A94418" w:rsidRDefault="00217258" w:rsidP="007636D1">
      <w:pPr>
        <w:pStyle w:val="Styl2"/>
      </w:pPr>
      <w:r w:rsidRPr="00A94418">
        <w:t>Predklinické údaje o bezpečnosti</w:t>
      </w:r>
    </w:p>
    <w:p w14:paraId="03D91C5E" w14:textId="369023D7" w:rsidR="00AA0CE4" w:rsidRPr="00A94418" w:rsidRDefault="00217258" w:rsidP="002F3444">
      <w:pPr>
        <w:pStyle w:val="Normlndobloku"/>
      </w:pPr>
      <w:r w:rsidRPr="00A94418">
        <w:t xml:space="preserve">V štúdiách na zvieratách neboli popísané </w:t>
      </w:r>
      <w:proofErr w:type="spellStart"/>
      <w:r w:rsidRPr="00A94418">
        <w:t>teratogénne</w:t>
      </w:r>
      <w:proofErr w:type="spellEnd"/>
      <w:r w:rsidRPr="00A94418">
        <w:t xml:space="preserve"> účinky.</w:t>
      </w:r>
    </w:p>
    <w:p w14:paraId="3B21FADF" w14:textId="05841391" w:rsidR="00AA0CE4" w:rsidRPr="00A94418" w:rsidRDefault="00217258" w:rsidP="002F3444">
      <w:pPr>
        <w:pStyle w:val="Normlndobloku"/>
      </w:pPr>
      <w:r w:rsidRPr="00A94418">
        <w:t>Testy na zvieratách ukázali, že dávka 16</w:t>
      </w:r>
      <w:r w:rsidR="003205BE" w:rsidRPr="00A94418">
        <w:t> </w:t>
      </w:r>
      <w:r w:rsidRPr="00A94418">
        <w:t>000</w:t>
      </w:r>
      <w:r w:rsidR="003205BE" w:rsidRPr="00A94418">
        <w:t> </w:t>
      </w:r>
      <w:r w:rsidRPr="00A94418">
        <w:t>mg/kg hmotnosti nebola smrteľná</w:t>
      </w:r>
      <w:r w:rsidR="00186326" w:rsidRPr="00A94418">
        <w:t xml:space="preserve"> v </w:t>
      </w:r>
      <w:r w:rsidRPr="00A94418">
        <w:t>žiadnom prípade</w:t>
      </w:r>
      <w:r w:rsidR="00186326" w:rsidRPr="00A94418">
        <w:t xml:space="preserve"> a </w:t>
      </w:r>
      <w:r w:rsidRPr="00A94418">
        <w:t xml:space="preserve">je </w:t>
      </w:r>
      <w:r w:rsidR="00377FAE" w:rsidRPr="00A94418">
        <w:t>nepravdepodobné, že</w:t>
      </w:r>
      <w:r w:rsidRPr="00A94418">
        <w:t xml:space="preserve"> by predávkovanie</w:t>
      </w:r>
      <w:r w:rsidR="00186326" w:rsidRPr="00A94418">
        <w:t xml:space="preserve"> u </w:t>
      </w:r>
      <w:r w:rsidRPr="00A94418">
        <w:t>človeka spôsobovalo bezprostredn</w:t>
      </w:r>
      <w:r w:rsidR="002F3444">
        <w:t>e</w:t>
      </w:r>
      <w:r w:rsidRPr="00A94418">
        <w:t xml:space="preserve"> vážne reakcie.</w:t>
      </w:r>
    </w:p>
    <w:p w14:paraId="21A203BF" w14:textId="19432C95" w:rsidR="00AA0CE4" w:rsidRPr="00A94418" w:rsidRDefault="00217258" w:rsidP="007636D1">
      <w:pPr>
        <w:pStyle w:val="Styl1"/>
      </w:pPr>
      <w:r w:rsidRPr="00A94418">
        <w:t>Farmaceutické informácie</w:t>
      </w:r>
    </w:p>
    <w:p w14:paraId="5F767BD8" w14:textId="6A46ACCF" w:rsidR="00AA0CE4" w:rsidRPr="00A94418" w:rsidRDefault="00217258" w:rsidP="007636D1">
      <w:pPr>
        <w:pStyle w:val="Styl2"/>
      </w:pPr>
      <w:r w:rsidRPr="00A94418">
        <w:t>Zoznam pomocných látok</w:t>
      </w:r>
    </w:p>
    <w:p w14:paraId="5F79F5EB" w14:textId="469655C8" w:rsidR="00AA0CE4" w:rsidRPr="00A94418" w:rsidRDefault="006F2615" w:rsidP="002F3444">
      <w:pPr>
        <w:pStyle w:val="Normlndobloku"/>
      </w:pPr>
      <w:proofErr w:type="spellStart"/>
      <w:r>
        <w:t>m</w:t>
      </w:r>
      <w:r w:rsidR="0029126D">
        <w:t>onohydrát</w:t>
      </w:r>
      <w:proofErr w:type="spellEnd"/>
      <w:r w:rsidR="0029126D">
        <w:t xml:space="preserve"> </w:t>
      </w:r>
      <w:r w:rsidR="007516B1" w:rsidRPr="00A94418">
        <w:t>l</w:t>
      </w:r>
      <w:r w:rsidR="00CE3B5C" w:rsidRPr="00A94418">
        <w:t>aktóz</w:t>
      </w:r>
      <w:r w:rsidR="0029126D">
        <w:t>y</w:t>
      </w:r>
    </w:p>
    <w:p w14:paraId="64DC1A27" w14:textId="77777777" w:rsidR="00AA0CE4" w:rsidRPr="00A94418" w:rsidRDefault="007516B1" w:rsidP="002F3444">
      <w:pPr>
        <w:pStyle w:val="Normlndobloku"/>
      </w:pPr>
      <w:proofErr w:type="spellStart"/>
      <w:r w:rsidRPr="00A94418">
        <w:t>povidón</w:t>
      </w:r>
      <w:proofErr w:type="spellEnd"/>
    </w:p>
    <w:p w14:paraId="6AE42594" w14:textId="77777777" w:rsidR="00AA0CE4" w:rsidRPr="00A94418" w:rsidRDefault="007516B1" w:rsidP="002F3444">
      <w:pPr>
        <w:pStyle w:val="Normlndobloku"/>
      </w:pPr>
      <w:r w:rsidRPr="00A94418">
        <w:t xml:space="preserve">sodná soľ </w:t>
      </w:r>
      <w:proofErr w:type="spellStart"/>
      <w:r w:rsidRPr="00A94418">
        <w:t>karmelózy</w:t>
      </w:r>
      <w:proofErr w:type="spellEnd"/>
    </w:p>
    <w:p w14:paraId="4D828FAF" w14:textId="509CAD32" w:rsidR="00CE3B5C" w:rsidRPr="00A94418" w:rsidRDefault="009B4DED" w:rsidP="002F3444">
      <w:pPr>
        <w:pStyle w:val="Normlndobloku"/>
      </w:pPr>
      <w:proofErr w:type="spellStart"/>
      <w:r w:rsidRPr="00A94418">
        <w:t>stearát</w:t>
      </w:r>
      <w:proofErr w:type="spellEnd"/>
      <w:r w:rsidRPr="00A94418">
        <w:t xml:space="preserve"> </w:t>
      </w:r>
      <w:proofErr w:type="spellStart"/>
      <w:r w:rsidRPr="00A94418">
        <w:t>horečnatý</w:t>
      </w:r>
      <w:proofErr w:type="spellEnd"/>
    </w:p>
    <w:p w14:paraId="24CEFC3A" w14:textId="25AD42B0" w:rsidR="00AA0CE4" w:rsidRPr="00A94418" w:rsidRDefault="00217258" w:rsidP="007636D1">
      <w:pPr>
        <w:pStyle w:val="Styl2"/>
      </w:pPr>
      <w:r w:rsidRPr="00A94418">
        <w:t>Inkompatibility</w:t>
      </w:r>
    </w:p>
    <w:p w14:paraId="33AEF3C5" w14:textId="05A661DC" w:rsidR="00CE3B5C" w:rsidRPr="00A94418" w:rsidRDefault="00CE3B5C" w:rsidP="002F3444">
      <w:pPr>
        <w:pStyle w:val="Normlndobloku"/>
        <w:rPr>
          <w:lang w:eastAsia="en-US"/>
        </w:rPr>
      </w:pPr>
      <w:r w:rsidRPr="00A94418">
        <w:t>Neaplikovateľné.</w:t>
      </w:r>
    </w:p>
    <w:p w14:paraId="59CA96F8" w14:textId="5B04E879" w:rsidR="00AA0CE4" w:rsidRPr="00A94418" w:rsidRDefault="00217258" w:rsidP="007636D1">
      <w:pPr>
        <w:pStyle w:val="Styl2"/>
      </w:pPr>
      <w:r w:rsidRPr="00A94418">
        <w:t>Čas použiteľnosti</w:t>
      </w:r>
    </w:p>
    <w:p w14:paraId="4C0E9018" w14:textId="4014D923" w:rsidR="00AA0CE4" w:rsidRPr="00A94418" w:rsidRDefault="008434D4" w:rsidP="00217258">
      <w:r w:rsidRPr="00A94418">
        <w:t>5</w:t>
      </w:r>
      <w:r w:rsidR="00217258" w:rsidRPr="00A94418">
        <w:t xml:space="preserve"> rokov</w:t>
      </w:r>
    </w:p>
    <w:p w14:paraId="65BAC70D" w14:textId="39F827DB" w:rsidR="00217258" w:rsidRPr="00A94418" w:rsidRDefault="003F059A" w:rsidP="003F3513">
      <w:pPr>
        <w:pStyle w:val="Styl2"/>
      </w:pPr>
      <w:r w:rsidRPr="00A94418">
        <w:t>Špeciálne upozornenia na uchovávanie</w:t>
      </w:r>
    </w:p>
    <w:p w14:paraId="497331DC" w14:textId="6C9F794D" w:rsidR="00AA0CE4" w:rsidRPr="00A94418" w:rsidRDefault="00A23B91" w:rsidP="00217258">
      <w:r w:rsidRPr="00A94418">
        <w:t xml:space="preserve">Uchovávajte </w:t>
      </w:r>
      <w:r w:rsidR="00217258" w:rsidRPr="00A94418">
        <w:t>na suchom</w:t>
      </w:r>
      <w:r w:rsidR="00186326" w:rsidRPr="00A94418">
        <w:t xml:space="preserve"> a </w:t>
      </w:r>
      <w:r w:rsidR="00217258" w:rsidRPr="00A94418">
        <w:t>chladnom mieste</w:t>
      </w:r>
      <w:r w:rsidR="0054534F" w:rsidRPr="00A94418">
        <w:t>. Uchovávajte</w:t>
      </w:r>
      <w:r w:rsidR="00217258" w:rsidRPr="00A94418">
        <w:t xml:space="preserve"> pri teplote 15</w:t>
      </w:r>
      <w:r w:rsidR="00AD3423" w:rsidRPr="00A94418">
        <w:t> </w:t>
      </w:r>
      <w:r w:rsidR="00217258" w:rsidRPr="00A94418">
        <w:t>°C</w:t>
      </w:r>
      <w:r w:rsidR="008E2378" w:rsidRPr="00A94418">
        <w:t> – </w:t>
      </w:r>
      <w:r w:rsidR="00217258" w:rsidRPr="00A94418">
        <w:t>25</w:t>
      </w:r>
      <w:r w:rsidR="00AD3423" w:rsidRPr="00A94418">
        <w:t> </w:t>
      </w:r>
      <w:r w:rsidR="00217258" w:rsidRPr="00A94418">
        <w:t xml:space="preserve">°C, </w:t>
      </w:r>
      <w:r w:rsidR="00E2543A">
        <w:t xml:space="preserve">v pôvodnom obale </w:t>
      </w:r>
      <w:r w:rsidR="0054534F" w:rsidRPr="00A94418">
        <w:t xml:space="preserve">na ochranu </w:t>
      </w:r>
      <w:r w:rsidR="00217258" w:rsidRPr="00A94418">
        <w:t>pred svetlom.</w:t>
      </w:r>
    </w:p>
    <w:p w14:paraId="634CB397" w14:textId="6060ECBE" w:rsidR="007516B1" w:rsidRPr="00A94418" w:rsidRDefault="003F059A" w:rsidP="007636D1">
      <w:pPr>
        <w:pStyle w:val="Styl2"/>
      </w:pPr>
      <w:r w:rsidRPr="00A94418">
        <w:t>Druh obalu</w:t>
      </w:r>
      <w:r w:rsidR="00186326" w:rsidRPr="00A94418">
        <w:t xml:space="preserve"> a </w:t>
      </w:r>
      <w:r w:rsidRPr="00A94418">
        <w:t>obsah balenia</w:t>
      </w:r>
    </w:p>
    <w:p w14:paraId="10928C90" w14:textId="7A37E2FB" w:rsidR="00AA0CE4" w:rsidRPr="008E6258" w:rsidRDefault="00217258" w:rsidP="002F3444">
      <w:pPr>
        <w:pStyle w:val="Normlndobloku"/>
      </w:pPr>
      <w:bookmarkStart w:id="7" w:name="_Hlk527465430"/>
      <w:r w:rsidRPr="00A94418">
        <w:t>PVC/</w:t>
      </w:r>
      <w:proofErr w:type="spellStart"/>
      <w:r w:rsidRPr="00A94418">
        <w:t>Al</w:t>
      </w:r>
      <w:proofErr w:type="spellEnd"/>
      <w:r w:rsidRPr="00A94418">
        <w:t xml:space="preserve"> </w:t>
      </w:r>
      <w:proofErr w:type="spellStart"/>
      <w:r w:rsidRPr="00A94418">
        <w:t>blistre</w:t>
      </w:r>
      <w:proofErr w:type="spellEnd"/>
      <w:r w:rsidRPr="00A94418">
        <w:t xml:space="preserve"> </w:t>
      </w:r>
      <w:r w:rsidR="000E375A" w:rsidRPr="008E6258">
        <w:t xml:space="preserve">s </w:t>
      </w:r>
      <w:r w:rsidRPr="008E6258">
        <w:t xml:space="preserve">10 </w:t>
      </w:r>
      <w:r w:rsidR="00C05781">
        <w:t xml:space="preserve">tvrdými </w:t>
      </w:r>
      <w:r w:rsidRPr="008E6258">
        <w:t>kaps</w:t>
      </w:r>
      <w:r w:rsidR="00C168A0">
        <w:t>u</w:t>
      </w:r>
      <w:r w:rsidRPr="008E6258">
        <w:t>l</w:t>
      </w:r>
      <w:r w:rsidR="000E375A" w:rsidRPr="008E6258">
        <w:t>ami</w:t>
      </w:r>
      <w:r w:rsidRPr="00BF78E3">
        <w:t xml:space="preserve">, </w:t>
      </w:r>
      <w:r w:rsidR="00186326" w:rsidRPr="008E6258">
        <w:t>v </w:t>
      </w:r>
      <w:r w:rsidR="000E375A" w:rsidRPr="008E6258">
        <w:t xml:space="preserve">balení </w:t>
      </w:r>
      <w:r w:rsidRPr="008E6258">
        <w:t xml:space="preserve">po 100 </w:t>
      </w:r>
      <w:r w:rsidR="00C05781">
        <w:t xml:space="preserve">tvrdých </w:t>
      </w:r>
      <w:r w:rsidR="000E375A" w:rsidRPr="008E6258">
        <w:t>kapsúl</w:t>
      </w:r>
      <w:r w:rsidRPr="00BF78E3">
        <w:t>. Dostupné sú tiež</w:t>
      </w:r>
      <w:r w:rsidR="00186326" w:rsidRPr="008E6258">
        <w:t xml:space="preserve"> v</w:t>
      </w:r>
      <w:r w:rsidR="00466ABF" w:rsidRPr="008E6258">
        <w:t> plastovej</w:t>
      </w:r>
      <w:r w:rsidR="00466ABF" w:rsidRPr="00BF78E3">
        <w:t xml:space="preserve"> </w:t>
      </w:r>
      <w:r w:rsidRPr="008E6258">
        <w:t>liekovke</w:t>
      </w:r>
      <w:r w:rsidR="00186326" w:rsidRPr="008E6258">
        <w:t xml:space="preserve"> </w:t>
      </w:r>
      <w:r w:rsidR="00FF7EFF" w:rsidRPr="008E6258">
        <w:t xml:space="preserve">v baleniach </w:t>
      </w:r>
      <w:r w:rsidRPr="008E6258">
        <w:t>po 200</w:t>
      </w:r>
      <w:r w:rsidR="00186326" w:rsidRPr="008E6258">
        <w:t xml:space="preserve"> a </w:t>
      </w:r>
      <w:r w:rsidRPr="008E6258">
        <w:t xml:space="preserve">500 </w:t>
      </w:r>
      <w:r w:rsidR="00C05781">
        <w:t xml:space="preserve">tvrdých </w:t>
      </w:r>
      <w:r w:rsidRPr="008E6258">
        <w:t>k</w:t>
      </w:r>
      <w:r w:rsidR="004F0464" w:rsidRPr="008E6258">
        <w:t>aps</w:t>
      </w:r>
      <w:r w:rsidR="005E1EDB" w:rsidRPr="008E6258">
        <w:t>úl</w:t>
      </w:r>
      <w:r w:rsidRPr="00BF78E3">
        <w:t>.</w:t>
      </w:r>
    </w:p>
    <w:p w14:paraId="064355FB" w14:textId="52AC8653" w:rsidR="005E1EDB" w:rsidRPr="008E6258" w:rsidRDefault="00297384" w:rsidP="00217258">
      <w:r w:rsidRPr="008E6258">
        <w:t>Balenia:</w:t>
      </w:r>
    </w:p>
    <w:p w14:paraId="75D5A74A" w14:textId="6E782064" w:rsidR="002F3444" w:rsidRPr="008E6258" w:rsidRDefault="005E1EDB" w:rsidP="002F3444">
      <w:pPr>
        <w:pStyle w:val="Normlndobloku"/>
      </w:pPr>
      <w:r w:rsidRPr="008E6258">
        <w:t xml:space="preserve">ANARGIL </w:t>
      </w:r>
      <w:r w:rsidR="00297384" w:rsidRPr="008E6258">
        <w:t>100 mg</w:t>
      </w:r>
      <w:r w:rsidRPr="008E6258">
        <w:t>:</w:t>
      </w:r>
      <w:r w:rsidR="00297384" w:rsidRPr="008E6258">
        <w:t xml:space="preserve"> </w:t>
      </w:r>
      <w:r w:rsidR="00217258" w:rsidRPr="008E6258">
        <w:t>100</w:t>
      </w:r>
      <w:r w:rsidR="00297384" w:rsidRPr="008E6258">
        <w:t xml:space="preserve">, </w:t>
      </w:r>
      <w:r w:rsidR="00217258" w:rsidRPr="008E6258">
        <w:t>200</w:t>
      </w:r>
      <w:r w:rsidRPr="008E6258">
        <w:t xml:space="preserve"> a </w:t>
      </w:r>
      <w:r w:rsidR="00217258" w:rsidRPr="008E6258">
        <w:t>500</w:t>
      </w:r>
      <w:r w:rsidR="00E17FB9" w:rsidRPr="008E6258">
        <w:t xml:space="preserve"> </w:t>
      </w:r>
      <w:r w:rsidR="00344620">
        <w:t xml:space="preserve">tvrdých </w:t>
      </w:r>
      <w:r w:rsidRPr="008E6258">
        <w:t>kapsúl</w:t>
      </w:r>
    </w:p>
    <w:p w14:paraId="61272895" w14:textId="50B6F01E" w:rsidR="00AA0CE4" w:rsidRPr="00A94418" w:rsidRDefault="005E1EDB" w:rsidP="002F3444">
      <w:pPr>
        <w:pStyle w:val="Normlndobloku"/>
      </w:pPr>
      <w:r w:rsidRPr="008E6258">
        <w:t>ANARGIL</w:t>
      </w:r>
      <w:r w:rsidR="00A8551C" w:rsidRPr="008E6258">
        <w:t xml:space="preserve"> </w:t>
      </w:r>
      <w:r w:rsidR="00297384" w:rsidRPr="008E6258">
        <w:t>200 mg</w:t>
      </w:r>
      <w:r w:rsidRPr="008E6258">
        <w:t>:</w:t>
      </w:r>
      <w:r w:rsidR="00297384" w:rsidRPr="008E6258">
        <w:t xml:space="preserve"> </w:t>
      </w:r>
      <w:r w:rsidR="00217258" w:rsidRPr="008E6258">
        <w:t>100, 200</w:t>
      </w:r>
      <w:r w:rsidR="002F3444" w:rsidRPr="008E6258">
        <w:t xml:space="preserve"> a</w:t>
      </w:r>
      <w:r w:rsidR="00217258" w:rsidRPr="008E6258">
        <w:t xml:space="preserve"> 500</w:t>
      </w:r>
      <w:r w:rsidR="004F0464" w:rsidRPr="008E6258">
        <w:t xml:space="preserve"> </w:t>
      </w:r>
      <w:r w:rsidR="00344620">
        <w:t xml:space="preserve">tvrdých </w:t>
      </w:r>
      <w:r w:rsidR="004F0464" w:rsidRPr="008E6258">
        <w:t>kaps</w:t>
      </w:r>
      <w:r w:rsidRPr="008E6258">
        <w:t>úl</w:t>
      </w:r>
    </w:p>
    <w:bookmarkEnd w:id="7"/>
    <w:p w14:paraId="364CC5C7" w14:textId="7D8973E1" w:rsidR="003F059A" w:rsidRPr="00A94418" w:rsidRDefault="003F059A" w:rsidP="002F3444">
      <w:pPr>
        <w:pStyle w:val="Normlndobloku"/>
        <w:rPr>
          <w:lang w:eastAsia="en-US"/>
        </w:rPr>
      </w:pPr>
      <w:r w:rsidRPr="00A94418">
        <w:t>Na trh nemusia byť uvedené všetky veľkosti balenia.</w:t>
      </w:r>
    </w:p>
    <w:p w14:paraId="3A4C417A" w14:textId="069B5FC0" w:rsidR="007516B1" w:rsidRPr="00A94418" w:rsidRDefault="003F059A" w:rsidP="007636D1">
      <w:pPr>
        <w:pStyle w:val="Styl2"/>
      </w:pPr>
      <w:r w:rsidRPr="00A94418">
        <w:t>Špeciálne opatrenia na likvidáciu</w:t>
      </w:r>
      <w:r w:rsidR="00186326" w:rsidRPr="00A94418">
        <w:t xml:space="preserve"> a </w:t>
      </w:r>
      <w:r w:rsidRPr="00A94418">
        <w:t>iné zaobchádzanie</w:t>
      </w:r>
      <w:r w:rsidR="00186326" w:rsidRPr="00A94418">
        <w:t xml:space="preserve"> s </w:t>
      </w:r>
      <w:r w:rsidRPr="00A94418">
        <w:t>liekom</w:t>
      </w:r>
    </w:p>
    <w:p w14:paraId="1A78CB86" w14:textId="67260FC6" w:rsidR="00217258" w:rsidRPr="00A94418" w:rsidRDefault="008932CE" w:rsidP="00217258">
      <w:r w:rsidRPr="00A94418">
        <w:t>Všetok nepoužitý liek alebo odpad vzniknutý z lieku sa má zlikvidovať v súlade s národnými požiadavkami.</w:t>
      </w:r>
    </w:p>
    <w:p w14:paraId="2724A43B" w14:textId="3A38194A" w:rsidR="00AA0CE4" w:rsidRPr="00A94418" w:rsidRDefault="00217258" w:rsidP="007636D1">
      <w:pPr>
        <w:pStyle w:val="Styl1"/>
      </w:pPr>
      <w:r w:rsidRPr="00A94418">
        <w:lastRenderedPageBreak/>
        <w:t>Držiteľ rozhodnutia o registrácii</w:t>
      </w:r>
    </w:p>
    <w:p w14:paraId="43BD2906" w14:textId="115DF774" w:rsidR="00217258" w:rsidRPr="00A94418" w:rsidRDefault="00217B37" w:rsidP="00217258">
      <w:r w:rsidRPr="00A94418">
        <w:t xml:space="preserve">MEDOCHEMIE </w:t>
      </w:r>
      <w:proofErr w:type="spellStart"/>
      <w:r w:rsidR="00217258" w:rsidRPr="00A94418">
        <w:t>Ltd</w:t>
      </w:r>
      <w:proofErr w:type="spellEnd"/>
      <w:r w:rsidRPr="00A94418">
        <w:t>.</w:t>
      </w:r>
      <w:r w:rsidR="00217258" w:rsidRPr="00A94418">
        <w:t>,</w:t>
      </w:r>
      <w:r w:rsidRPr="00A94418">
        <w:t xml:space="preserve"> 1-10 </w:t>
      </w:r>
      <w:proofErr w:type="spellStart"/>
      <w:r w:rsidRPr="00A94418">
        <w:t>Constantinoupoleos</w:t>
      </w:r>
      <w:proofErr w:type="spellEnd"/>
      <w:r w:rsidRPr="00A94418">
        <w:t xml:space="preserve"> </w:t>
      </w:r>
      <w:proofErr w:type="spellStart"/>
      <w:r w:rsidRPr="00A94418">
        <w:t>Street</w:t>
      </w:r>
      <w:proofErr w:type="spellEnd"/>
      <w:r w:rsidRPr="00A94418">
        <w:t xml:space="preserve">, 3011 </w:t>
      </w:r>
      <w:proofErr w:type="spellStart"/>
      <w:r w:rsidR="00217258" w:rsidRPr="00A94418">
        <w:t>Limassol</w:t>
      </w:r>
      <w:proofErr w:type="spellEnd"/>
      <w:r w:rsidR="00217258" w:rsidRPr="00A94418">
        <w:t>, Cyprus</w:t>
      </w:r>
    </w:p>
    <w:p w14:paraId="4ADBB0DB" w14:textId="36215CC8" w:rsidR="004E00DD" w:rsidRPr="00A94418" w:rsidRDefault="00217258" w:rsidP="007636D1">
      <w:pPr>
        <w:pStyle w:val="Styl1"/>
      </w:pPr>
      <w:r w:rsidRPr="00A94418">
        <w:t>Registračné čísl</w:t>
      </w:r>
      <w:r w:rsidR="003F059A" w:rsidRPr="00A94418">
        <w:t>A</w:t>
      </w:r>
      <w:r w:rsidRPr="00A94418">
        <w:t xml:space="preserve"> </w:t>
      </w:r>
    </w:p>
    <w:p w14:paraId="691CAE0D" w14:textId="78167284" w:rsidR="00AA0CE4" w:rsidRPr="00A94418" w:rsidRDefault="004E00DD" w:rsidP="00217258">
      <w:r w:rsidRPr="00A94418">
        <w:t>A</w:t>
      </w:r>
      <w:r w:rsidR="00E671C1" w:rsidRPr="00A94418">
        <w:t>NARGIL</w:t>
      </w:r>
      <w:r w:rsidRPr="00A94418">
        <w:t xml:space="preserve"> 100</w:t>
      </w:r>
      <w:r w:rsidR="00186326" w:rsidRPr="00A94418">
        <w:t> mg</w:t>
      </w:r>
      <w:r w:rsidRPr="00A94418">
        <w:t>:</w:t>
      </w:r>
      <w:r w:rsidR="003522A6" w:rsidRPr="00A94418">
        <w:t xml:space="preserve"> </w:t>
      </w:r>
      <w:r w:rsidR="00217258" w:rsidRPr="00A94418">
        <w:t>54/0072/93-</w:t>
      </w:r>
      <w:r w:rsidR="003522A6" w:rsidRPr="00A94418">
        <w:t>S</w:t>
      </w:r>
    </w:p>
    <w:p w14:paraId="0C4E2987" w14:textId="7188DADC" w:rsidR="00217258" w:rsidRPr="00A94418" w:rsidRDefault="004E00DD" w:rsidP="00217258">
      <w:r w:rsidRPr="00A94418">
        <w:rPr>
          <w:shd w:val="clear" w:color="auto" w:fill="BFBFBF" w:themeFill="background1" w:themeFillShade="BF"/>
        </w:rPr>
        <w:t>A</w:t>
      </w:r>
      <w:r w:rsidR="00E671C1" w:rsidRPr="00A94418">
        <w:rPr>
          <w:shd w:val="clear" w:color="auto" w:fill="BFBFBF" w:themeFill="background1" w:themeFillShade="BF"/>
        </w:rPr>
        <w:t>NARGIL</w:t>
      </w:r>
      <w:r w:rsidRPr="00A94418">
        <w:rPr>
          <w:shd w:val="clear" w:color="auto" w:fill="BFBFBF" w:themeFill="background1" w:themeFillShade="BF"/>
        </w:rPr>
        <w:t xml:space="preserve"> 200 mg: </w:t>
      </w:r>
      <w:r w:rsidR="000234CC" w:rsidRPr="00A94418">
        <w:rPr>
          <w:shd w:val="clear" w:color="auto" w:fill="BFBFBF" w:themeFill="background1" w:themeFillShade="BF"/>
        </w:rPr>
        <w:t>54/0489/13-S</w:t>
      </w:r>
    </w:p>
    <w:p w14:paraId="2D9BDCBD" w14:textId="2A411273" w:rsidR="00217258" w:rsidRPr="00A94418" w:rsidRDefault="003F059A" w:rsidP="007E09F1">
      <w:pPr>
        <w:pStyle w:val="Styl1"/>
      </w:pPr>
      <w:r w:rsidRPr="00A94418">
        <w:t>DÁTUM PRVEJ REGISTRÁCIE/PREDĹŽENIA</w:t>
      </w:r>
      <w:r w:rsidR="00377FAE" w:rsidRPr="00A94418">
        <w:t xml:space="preserve"> </w:t>
      </w:r>
      <w:r w:rsidRPr="00A94418">
        <w:t>REGISTRÁCIE</w:t>
      </w:r>
    </w:p>
    <w:p w14:paraId="4F6FF715" w14:textId="003D0A6D" w:rsidR="00AA0CE4" w:rsidRPr="00A94418" w:rsidRDefault="007516B1" w:rsidP="002F3444">
      <w:pPr>
        <w:pStyle w:val="Normlndobloku"/>
      </w:pPr>
      <w:r w:rsidRPr="00A94418">
        <w:t xml:space="preserve">Dátum prvej registrácie: </w:t>
      </w:r>
      <w:r w:rsidR="00217258" w:rsidRPr="00A94418">
        <w:t>28.</w:t>
      </w:r>
      <w:r w:rsidR="00AB30B3" w:rsidRPr="00A94418">
        <w:t xml:space="preserve"> júna </w:t>
      </w:r>
      <w:r w:rsidR="00217258" w:rsidRPr="00A94418">
        <w:t>1993</w:t>
      </w:r>
    </w:p>
    <w:p w14:paraId="1566B1DB" w14:textId="7BD33777" w:rsidR="007516B1" w:rsidRPr="00A94418" w:rsidRDefault="007516B1" w:rsidP="002F3444">
      <w:pPr>
        <w:pStyle w:val="Normlndobloku"/>
        <w:rPr>
          <w:lang w:eastAsia="en-US"/>
        </w:rPr>
      </w:pPr>
      <w:r w:rsidRPr="00A94418">
        <w:t>Dátum posledného predĺženia registrácie: 16.</w:t>
      </w:r>
      <w:r w:rsidR="00AB30B3" w:rsidRPr="00A94418">
        <w:t xml:space="preserve"> júla </w:t>
      </w:r>
      <w:r w:rsidRPr="00A94418">
        <w:t>2003</w:t>
      </w:r>
    </w:p>
    <w:p w14:paraId="1FC1CE24" w14:textId="3C3D2E9A" w:rsidR="00AA0CE4" w:rsidRPr="00A94418" w:rsidRDefault="007516B1" w:rsidP="007636D1">
      <w:pPr>
        <w:pStyle w:val="Styl1"/>
      </w:pPr>
      <w:r w:rsidRPr="00A94418">
        <w:t xml:space="preserve"> </w:t>
      </w:r>
      <w:r w:rsidR="00217258" w:rsidRPr="00A94418">
        <w:t>Dátum revízie textu</w:t>
      </w:r>
    </w:p>
    <w:p w14:paraId="690DFBAA" w14:textId="0FA2C7DD" w:rsidR="004060BB" w:rsidRPr="007E09F1" w:rsidRDefault="0037268A">
      <w:r>
        <w:t>01/2020</w:t>
      </w:r>
    </w:p>
    <w:sectPr w:rsidR="004060BB" w:rsidRPr="007E09F1" w:rsidSect="004060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B79FF" w14:textId="77777777" w:rsidR="00624812" w:rsidRDefault="00624812" w:rsidP="006A7C12">
      <w:pPr>
        <w:spacing w:line="240" w:lineRule="auto"/>
      </w:pPr>
      <w:r>
        <w:separator/>
      </w:r>
    </w:p>
  </w:endnote>
  <w:endnote w:type="continuationSeparator" w:id="0">
    <w:p w14:paraId="595B0813" w14:textId="77777777" w:rsidR="00624812" w:rsidRDefault="00624812" w:rsidP="006A7C12">
      <w:pPr>
        <w:spacing w:line="240" w:lineRule="auto"/>
      </w:pPr>
      <w:r>
        <w:continuationSeparator/>
      </w:r>
    </w:p>
  </w:endnote>
  <w:endnote w:type="continuationNotice" w:id="1">
    <w:p w14:paraId="19933DBC" w14:textId="77777777" w:rsidR="00624812" w:rsidRDefault="00624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1750"/>
      <w:docPartObj>
        <w:docPartGallery w:val="Page Numbers (Bottom of Page)"/>
        <w:docPartUnique/>
      </w:docPartObj>
    </w:sdtPr>
    <w:sdtEndPr/>
    <w:sdtContent>
      <w:sdt>
        <w:sdtPr>
          <w:id w:val="1728636285"/>
          <w:docPartObj>
            <w:docPartGallery w:val="Page Numbers (Top of Page)"/>
            <w:docPartUnique/>
          </w:docPartObj>
        </w:sdtPr>
        <w:sdtEndPr/>
        <w:sdtContent>
          <w:p w14:paraId="4E06A7DB" w14:textId="77777777" w:rsidR="00C3283F" w:rsidRDefault="00C3283F" w:rsidP="007636D1">
            <w:pPr>
              <w:pStyle w:val="Pta"/>
              <w:jc w:val="center"/>
            </w:pPr>
            <w:r w:rsidRPr="003F3513">
              <w:rPr>
                <w:bCs/>
                <w:sz w:val="24"/>
                <w:szCs w:val="24"/>
              </w:rPr>
              <w:fldChar w:fldCharType="begin"/>
            </w:r>
            <w:r w:rsidRPr="003F3513">
              <w:rPr>
                <w:bCs/>
              </w:rPr>
              <w:instrText>PAGE</w:instrText>
            </w:r>
            <w:r w:rsidRPr="003F3513">
              <w:rPr>
                <w:bCs/>
                <w:sz w:val="24"/>
                <w:szCs w:val="24"/>
              </w:rPr>
              <w:fldChar w:fldCharType="separate"/>
            </w:r>
            <w:r w:rsidR="000E3B61">
              <w:rPr>
                <w:bCs/>
                <w:noProof/>
              </w:rPr>
              <w:t>1</w:t>
            </w:r>
            <w:r w:rsidRPr="003F3513">
              <w:rPr>
                <w:bCs/>
                <w:sz w:val="24"/>
                <w:szCs w:val="24"/>
              </w:rPr>
              <w:fldChar w:fldCharType="end"/>
            </w:r>
            <w:r w:rsidRPr="00FC3C1E">
              <w:rPr>
                <w:lang w:val="cs-CZ"/>
              </w:rPr>
              <w:t>/</w:t>
            </w:r>
            <w:r w:rsidRPr="003F3513">
              <w:rPr>
                <w:bCs/>
                <w:sz w:val="24"/>
                <w:szCs w:val="24"/>
              </w:rPr>
              <w:fldChar w:fldCharType="begin"/>
            </w:r>
            <w:r w:rsidRPr="003F3513">
              <w:rPr>
                <w:bCs/>
              </w:rPr>
              <w:instrText>NUMPAGES</w:instrText>
            </w:r>
            <w:r w:rsidRPr="003F3513">
              <w:rPr>
                <w:bCs/>
                <w:sz w:val="24"/>
                <w:szCs w:val="24"/>
              </w:rPr>
              <w:fldChar w:fldCharType="separate"/>
            </w:r>
            <w:r w:rsidR="000E3B61">
              <w:rPr>
                <w:bCs/>
                <w:noProof/>
              </w:rPr>
              <w:t>7</w:t>
            </w:r>
            <w:r w:rsidRPr="003F351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AF1A" w14:textId="77777777" w:rsidR="00624812" w:rsidRDefault="00624812" w:rsidP="006A7C12">
      <w:pPr>
        <w:spacing w:line="240" w:lineRule="auto"/>
      </w:pPr>
      <w:r>
        <w:separator/>
      </w:r>
    </w:p>
  </w:footnote>
  <w:footnote w:type="continuationSeparator" w:id="0">
    <w:p w14:paraId="2F7CC833" w14:textId="77777777" w:rsidR="00624812" w:rsidRDefault="00624812" w:rsidP="006A7C12">
      <w:pPr>
        <w:spacing w:line="240" w:lineRule="auto"/>
      </w:pPr>
      <w:r>
        <w:continuationSeparator/>
      </w:r>
    </w:p>
  </w:footnote>
  <w:footnote w:type="continuationNotice" w:id="1">
    <w:p w14:paraId="1BEA80F2" w14:textId="77777777" w:rsidR="00624812" w:rsidRDefault="0062481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8DF06" w14:textId="06BB72DA" w:rsidR="0012425A" w:rsidRDefault="0012425A" w:rsidP="0012425A">
    <w:pPr>
      <w:rPr>
        <w:sz w:val="18"/>
        <w:szCs w:val="18"/>
      </w:rPr>
    </w:pPr>
    <w:r>
      <w:rPr>
        <w:sz w:val="18"/>
        <w:szCs w:val="18"/>
      </w:rPr>
      <w:t xml:space="preserve">Príloha č. </w:t>
    </w:r>
    <w:r w:rsidR="000E3B61">
      <w:rPr>
        <w:sz w:val="18"/>
        <w:szCs w:val="18"/>
      </w:rPr>
      <w:t>2</w:t>
    </w:r>
    <w:r>
      <w:rPr>
        <w:sz w:val="18"/>
        <w:szCs w:val="18"/>
      </w:rPr>
      <w:t xml:space="preserve"> k notifikácii o zmene, </w:t>
    </w:r>
    <w:proofErr w:type="spellStart"/>
    <w:r>
      <w:rPr>
        <w:sz w:val="18"/>
        <w:szCs w:val="18"/>
      </w:rPr>
      <w:t>ev.č</w:t>
    </w:r>
    <w:proofErr w:type="spellEnd"/>
    <w:r>
      <w:rPr>
        <w:sz w:val="18"/>
        <w:szCs w:val="18"/>
      </w:rPr>
      <w:t xml:space="preserve">.: </w:t>
    </w:r>
    <w:r w:rsidR="00344620">
      <w:rPr>
        <w:sz w:val="18"/>
        <w:szCs w:val="18"/>
      </w:rPr>
      <w:t>2020/</w:t>
    </w:r>
    <w:r w:rsidR="0037268A">
      <w:rPr>
        <w:sz w:val="18"/>
        <w:szCs w:val="18"/>
      </w:rPr>
      <w:t>00291-ZIA</w:t>
    </w:r>
  </w:p>
  <w:p w14:paraId="587C98A0" w14:textId="18798EA9" w:rsidR="009312E9" w:rsidRDefault="009312E9" w:rsidP="0012425A">
    <w:pPr>
      <w:tabs>
        <w:tab w:val="left" w:pos="3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269E0"/>
    <w:lvl w:ilvl="0">
      <w:start w:val="1"/>
      <w:numFmt w:val="decimal"/>
      <w:lvlText w:val="%1."/>
      <w:lvlJc w:val="left"/>
      <w:pPr>
        <w:tabs>
          <w:tab w:val="num" w:pos="1492"/>
        </w:tabs>
        <w:ind w:left="1492" w:hanging="360"/>
      </w:pPr>
    </w:lvl>
  </w:abstractNum>
  <w:abstractNum w:abstractNumId="1">
    <w:nsid w:val="FFFFFF7D"/>
    <w:multiLevelType w:val="singleLevel"/>
    <w:tmpl w:val="C10A351E"/>
    <w:lvl w:ilvl="0">
      <w:start w:val="1"/>
      <w:numFmt w:val="decimal"/>
      <w:lvlText w:val="%1."/>
      <w:lvlJc w:val="left"/>
      <w:pPr>
        <w:tabs>
          <w:tab w:val="num" w:pos="1209"/>
        </w:tabs>
        <w:ind w:left="1209" w:hanging="360"/>
      </w:pPr>
    </w:lvl>
  </w:abstractNum>
  <w:abstractNum w:abstractNumId="2">
    <w:nsid w:val="FFFFFF7E"/>
    <w:multiLevelType w:val="singleLevel"/>
    <w:tmpl w:val="27009254"/>
    <w:lvl w:ilvl="0">
      <w:start w:val="1"/>
      <w:numFmt w:val="decimal"/>
      <w:lvlText w:val="%1."/>
      <w:lvlJc w:val="left"/>
      <w:pPr>
        <w:tabs>
          <w:tab w:val="num" w:pos="926"/>
        </w:tabs>
        <w:ind w:left="926" w:hanging="360"/>
      </w:pPr>
    </w:lvl>
  </w:abstractNum>
  <w:abstractNum w:abstractNumId="3">
    <w:nsid w:val="FFFFFF7F"/>
    <w:multiLevelType w:val="singleLevel"/>
    <w:tmpl w:val="AC58354E"/>
    <w:lvl w:ilvl="0">
      <w:start w:val="1"/>
      <w:numFmt w:val="decimal"/>
      <w:lvlText w:val="%1."/>
      <w:lvlJc w:val="left"/>
      <w:pPr>
        <w:tabs>
          <w:tab w:val="num" w:pos="643"/>
        </w:tabs>
        <w:ind w:left="643" w:hanging="360"/>
      </w:pPr>
    </w:lvl>
  </w:abstractNum>
  <w:abstractNum w:abstractNumId="4">
    <w:nsid w:val="FFFFFF80"/>
    <w:multiLevelType w:val="singleLevel"/>
    <w:tmpl w:val="5F4C55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D6A5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DA5A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466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94700C"/>
    <w:lvl w:ilvl="0">
      <w:start w:val="1"/>
      <w:numFmt w:val="decimal"/>
      <w:lvlText w:val="%1."/>
      <w:lvlJc w:val="left"/>
      <w:pPr>
        <w:tabs>
          <w:tab w:val="num" w:pos="360"/>
        </w:tabs>
        <w:ind w:left="360" w:hanging="360"/>
      </w:pPr>
    </w:lvl>
  </w:abstractNum>
  <w:abstractNum w:abstractNumId="9">
    <w:nsid w:val="FFFFFF89"/>
    <w:multiLevelType w:val="singleLevel"/>
    <w:tmpl w:val="438CD23C"/>
    <w:lvl w:ilvl="0">
      <w:start w:val="1"/>
      <w:numFmt w:val="bullet"/>
      <w:lvlText w:val=""/>
      <w:lvlJc w:val="left"/>
      <w:pPr>
        <w:tabs>
          <w:tab w:val="num" w:pos="360"/>
        </w:tabs>
        <w:ind w:left="360" w:hanging="360"/>
      </w:pPr>
      <w:rPr>
        <w:rFonts w:ascii="Symbol" w:hAnsi="Symbol" w:hint="default"/>
      </w:rPr>
    </w:lvl>
  </w:abstractNum>
  <w:abstractNum w:abstractNumId="10">
    <w:nsid w:val="158541B1"/>
    <w:multiLevelType w:val="hybridMultilevel"/>
    <w:tmpl w:val="DDCC71EA"/>
    <w:lvl w:ilvl="0" w:tplc="A980203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73D28B1"/>
    <w:multiLevelType w:val="hybridMultilevel"/>
    <w:tmpl w:val="21946F9E"/>
    <w:lvl w:ilvl="0" w:tplc="85C07EC8">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4867C9"/>
    <w:multiLevelType w:val="hybridMultilevel"/>
    <w:tmpl w:val="B19E827C"/>
    <w:lvl w:ilvl="0" w:tplc="9562680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E4C1E4F"/>
    <w:multiLevelType w:val="hybridMultilevel"/>
    <w:tmpl w:val="749CE2CC"/>
    <w:lvl w:ilvl="0" w:tplc="B7326E30">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AAD4AA7"/>
    <w:multiLevelType w:val="multilevel"/>
    <w:tmpl w:val="C3147A3A"/>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5"/>
  </w:num>
  <w:num w:numId="3">
    <w:abstractNumId w:val="15"/>
  </w:num>
  <w:num w:numId="4">
    <w:abstractNumId w:val="15"/>
  </w:num>
  <w:num w:numId="5">
    <w:abstractNumId w:val="15"/>
  </w:num>
  <w:num w:numId="6">
    <w:abstractNumId w:val="12"/>
  </w:num>
  <w:num w:numId="7">
    <w:abstractNumId w:val="12"/>
  </w:num>
  <w:num w:numId="8">
    <w:abstractNumId w:val="11"/>
  </w:num>
  <w:num w:numId="9">
    <w:abstractNumId w:val="11"/>
  </w:num>
  <w:num w:numId="10">
    <w:abstractNumId w:val="15"/>
  </w:num>
  <w:num w:numId="11">
    <w:abstractNumId w:val="15"/>
  </w:num>
  <w:num w:numId="12">
    <w:abstractNumId w:val="15"/>
  </w:num>
  <w:num w:numId="13">
    <w:abstractNumId w:val="13"/>
  </w:num>
  <w:num w:numId="14">
    <w:abstractNumId w:val="10"/>
  </w:num>
  <w:num w:numId="15">
    <w:abstractNumId w:val="14"/>
  </w:num>
  <w:num w:numId="16">
    <w:abstractNumId w:val="15"/>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58"/>
    <w:rsid w:val="000114F9"/>
    <w:rsid w:val="000234CC"/>
    <w:rsid w:val="000342AB"/>
    <w:rsid w:val="00041AD2"/>
    <w:rsid w:val="0004471F"/>
    <w:rsid w:val="00046BA0"/>
    <w:rsid w:val="00051DC2"/>
    <w:rsid w:val="000716B3"/>
    <w:rsid w:val="0008439D"/>
    <w:rsid w:val="0009369F"/>
    <w:rsid w:val="000A6D25"/>
    <w:rsid w:val="000D7724"/>
    <w:rsid w:val="000E375A"/>
    <w:rsid w:val="000E3B61"/>
    <w:rsid w:val="000E708E"/>
    <w:rsid w:val="000F1EC9"/>
    <w:rsid w:val="00106C1F"/>
    <w:rsid w:val="0011306D"/>
    <w:rsid w:val="0012425A"/>
    <w:rsid w:val="00142CEA"/>
    <w:rsid w:val="0017410C"/>
    <w:rsid w:val="001776D6"/>
    <w:rsid w:val="00186326"/>
    <w:rsid w:val="00190E3C"/>
    <w:rsid w:val="00196507"/>
    <w:rsid w:val="001B1930"/>
    <w:rsid w:val="001B7ABF"/>
    <w:rsid w:val="001D1E87"/>
    <w:rsid w:val="001F101A"/>
    <w:rsid w:val="001F2793"/>
    <w:rsid w:val="001F336D"/>
    <w:rsid w:val="0021151C"/>
    <w:rsid w:val="00217258"/>
    <w:rsid w:val="00217B37"/>
    <w:rsid w:val="00245600"/>
    <w:rsid w:val="00247C90"/>
    <w:rsid w:val="00282F15"/>
    <w:rsid w:val="002841B2"/>
    <w:rsid w:val="0029126D"/>
    <w:rsid w:val="00297384"/>
    <w:rsid w:val="002B281A"/>
    <w:rsid w:val="002D0951"/>
    <w:rsid w:val="002E345C"/>
    <w:rsid w:val="002F0392"/>
    <w:rsid w:val="002F3444"/>
    <w:rsid w:val="002F7DB6"/>
    <w:rsid w:val="003205BE"/>
    <w:rsid w:val="00321C7B"/>
    <w:rsid w:val="0032283C"/>
    <w:rsid w:val="00340190"/>
    <w:rsid w:val="00340DD5"/>
    <w:rsid w:val="003442FD"/>
    <w:rsid w:val="00344620"/>
    <w:rsid w:val="003522A6"/>
    <w:rsid w:val="00371F82"/>
    <w:rsid w:val="0037268A"/>
    <w:rsid w:val="00377A6C"/>
    <w:rsid w:val="00377FAE"/>
    <w:rsid w:val="00381EAD"/>
    <w:rsid w:val="003B01EF"/>
    <w:rsid w:val="003E44AD"/>
    <w:rsid w:val="003E6337"/>
    <w:rsid w:val="003F059A"/>
    <w:rsid w:val="003F2E43"/>
    <w:rsid w:val="003F3513"/>
    <w:rsid w:val="004060BB"/>
    <w:rsid w:val="00406F30"/>
    <w:rsid w:val="00407488"/>
    <w:rsid w:val="004151BB"/>
    <w:rsid w:val="004261B2"/>
    <w:rsid w:val="004366C6"/>
    <w:rsid w:val="00437672"/>
    <w:rsid w:val="004550F4"/>
    <w:rsid w:val="00466ABF"/>
    <w:rsid w:val="00472B4C"/>
    <w:rsid w:val="004A0D5B"/>
    <w:rsid w:val="004D544F"/>
    <w:rsid w:val="004E00DD"/>
    <w:rsid w:val="004E5A7C"/>
    <w:rsid w:val="004F0464"/>
    <w:rsid w:val="004F65B4"/>
    <w:rsid w:val="00525739"/>
    <w:rsid w:val="005268B4"/>
    <w:rsid w:val="00542C66"/>
    <w:rsid w:val="0054534F"/>
    <w:rsid w:val="00545A6A"/>
    <w:rsid w:val="00550E90"/>
    <w:rsid w:val="005A1948"/>
    <w:rsid w:val="005B3E26"/>
    <w:rsid w:val="005D2279"/>
    <w:rsid w:val="005E1EDB"/>
    <w:rsid w:val="005E71E7"/>
    <w:rsid w:val="0060643F"/>
    <w:rsid w:val="00617344"/>
    <w:rsid w:val="00624812"/>
    <w:rsid w:val="0063146B"/>
    <w:rsid w:val="00645649"/>
    <w:rsid w:val="00652881"/>
    <w:rsid w:val="00661CF7"/>
    <w:rsid w:val="006823F1"/>
    <w:rsid w:val="006841EA"/>
    <w:rsid w:val="006848C0"/>
    <w:rsid w:val="00695EB3"/>
    <w:rsid w:val="006977BB"/>
    <w:rsid w:val="006A7C12"/>
    <w:rsid w:val="006B4DD7"/>
    <w:rsid w:val="006C77A9"/>
    <w:rsid w:val="006E0020"/>
    <w:rsid w:val="006F2615"/>
    <w:rsid w:val="006F68D0"/>
    <w:rsid w:val="00711777"/>
    <w:rsid w:val="00714B49"/>
    <w:rsid w:val="00743E1C"/>
    <w:rsid w:val="00746007"/>
    <w:rsid w:val="007513A3"/>
    <w:rsid w:val="007516B1"/>
    <w:rsid w:val="0075205B"/>
    <w:rsid w:val="007636D1"/>
    <w:rsid w:val="00777C49"/>
    <w:rsid w:val="00795577"/>
    <w:rsid w:val="007A13C5"/>
    <w:rsid w:val="007B1F61"/>
    <w:rsid w:val="007C5725"/>
    <w:rsid w:val="007E09F1"/>
    <w:rsid w:val="007E46E0"/>
    <w:rsid w:val="007F75C1"/>
    <w:rsid w:val="00802AB7"/>
    <w:rsid w:val="00812188"/>
    <w:rsid w:val="00816FA5"/>
    <w:rsid w:val="00822914"/>
    <w:rsid w:val="00824733"/>
    <w:rsid w:val="0083786C"/>
    <w:rsid w:val="008434D4"/>
    <w:rsid w:val="0085712F"/>
    <w:rsid w:val="008573D7"/>
    <w:rsid w:val="0087013A"/>
    <w:rsid w:val="008725F6"/>
    <w:rsid w:val="00890280"/>
    <w:rsid w:val="008932CE"/>
    <w:rsid w:val="008A18AB"/>
    <w:rsid w:val="008A59A3"/>
    <w:rsid w:val="008C20E4"/>
    <w:rsid w:val="008C773E"/>
    <w:rsid w:val="008E2378"/>
    <w:rsid w:val="008E2636"/>
    <w:rsid w:val="008E5C71"/>
    <w:rsid w:val="008E6258"/>
    <w:rsid w:val="00904401"/>
    <w:rsid w:val="00905102"/>
    <w:rsid w:val="00907635"/>
    <w:rsid w:val="0092076B"/>
    <w:rsid w:val="009239AD"/>
    <w:rsid w:val="00925858"/>
    <w:rsid w:val="009310B0"/>
    <w:rsid w:val="009312E9"/>
    <w:rsid w:val="00957237"/>
    <w:rsid w:val="00963604"/>
    <w:rsid w:val="009713E9"/>
    <w:rsid w:val="00997F4C"/>
    <w:rsid w:val="009A783F"/>
    <w:rsid w:val="009B4DED"/>
    <w:rsid w:val="009D0AD2"/>
    <w:rsid w:val="009E4027"/>
    <w:rsid w:val="009E617B"/>
    <w:rsid w:val="009E6F5F"/>
    <w:rsid w:val="00A14017"/>
    <w:rsid w:val="00A23B91"/>
    <w:rsid w:val="00A32E14"/>
    <w:rsid w:val="00A35C6F"/>
    <w:rsid w:val="00A363AE"/>
    <w:rsid w:val="00A432DA"/>
    <w:rsid w:val="00A45165"/>
    <w:rsid w:val="00A46AB6"/>
    <w:rsid w:val="00A6788F"/>
    <w:rsid w:val="00A8551C"/>
    <w:rsid w:val="00A94418"/>
    <w:rsid w:val="00A961DC"/>
    <w:rsid w:val="00AA0CE4"/>
    <w:rsid w:val="00AA57F5"/>
    <w:rsid w:val="00AB30B3"/>
    <w:rsid w:val="00AB462F"/>
    <w:rsid w:val="00AC0F76"/>
    <w:rsid w:val="00AC230D"/>
    <w:rsid w:val="00AD3423"/>
    <w:rsid w:val="00AD3D7A"/>
    <w:rsid w:val="00AE48FF"/>
    <w:rsid w:val="00B07973"/>
    <w:rsid w:val="00B16BC2"/>
    <w:rsid w:val="00B17B4C"/>
    <w:rsid w:val="00B6332A"/>
    <w:rsid w:val="00B667E0"/>
    <w:rsid w:val="00B725D5"/>
    <w:rsid w:val="00B80045"/>
    <w:rsid w:val="00B931CE"/>
    <w:rsid w:val="00B93CF4"/>
    <w:rsid w:val="00BA773E"/>
    <w:rsid w:val="00BB1B2D"/>
    <w:rsid w:val="00BC2447"/>
    <w:rsid w:val="00BF22A5"/>
    <w:rsid w:val="00BF78E3"/>
    <w:rsid w:val="00C05781"/>
    <w:rsid w:val="00C07DB6"/>
    <w:rsid w:val="00C146FE"/>
    <w:rsid w:val="00C168A0"/>
    <w:rsid w:val="00C3283F"/>
    <w:rsid w:val="00C437FD"/>
    <w:rsid w:val="00C47C41"/>
    <w:rsid w:val="00C7176F"/>
    <w:rsid w:val="00C71931"/>
    <w:rsid w:val="00C75A16"/>
    <w:rsid w:val="00C876A2"/>
    <w:rsid w:val="00CA2F8D"/>
    <w:rsid w:val="00CB1878"/>
    <w:rsid w:val="00CB7E83"/>
    <w:rsid w:val="00CD68FF"/>
    <w:rsid w:val="00CE3B5C"/>
    <w:rsid w:val="00CF5D9D"/>
    <w:rsid w:val="00D026D6"/>
    <w:rsid w:val="00D06813"/>
    <w:rsid w:val="00D15553"/>
    <w:rsid w:val="00D160AC"/>
    <w:rsid w:val="00D35F3F"/>
    <w:rsid w:val="00D53E2D"/>
    <w:rsid w:val="00D551E6"/>
    <w:rsid w:val="00D55B20"/>
    <w:rsid w:val="00D67D56"/>
    <w:rsid w:val="00D92E5E"/>
    <w:rsid w:val="00D94787"/>
    <w:rsid w:val="00DA4964"/>
    <w:rsid w:val="00DA51E0"/>
    <w:rsid w:val="00DA581C"/>
    <w:rsid w:val="00DB338A"/>
    <w:rsid w:val="00DB58C1"/>
    <w:rsid w:val="00DD526C"/>
    <w:rsid w:val="00DD7D49"/>
    <w:rsid w:val="00DF25E5"/>
    <w:rsid w:val="00E10E94"/>
    <w:rsid w:val="00E17FB9"/>
    <w:rsid w:val="00E21C6F"/>
    <w:rsid w:val="00E2543A"/>
    <w:rsid w:val="00E368A5"/>
    <w:rsid w:val="00E375F4"/>
    <w:rsid w:val="00E559FE"/>
    <w:rsid w:val="00E6277C"/>
    <w:rsid w:val="00E65CE5"/>
    <w:rsid w:val="00E671C1"/>
    <w:rsid w:val="00E77A3B"/>
    <w:rsid w:val="00E821DB"/>
    <w:rsid w:val="00E8259A"/>
    <w:rsid w:val="00E90809"/>
    <w:rsid w:val="00E97AD8"/>
    <w:rsid w:val="00EC563F"/>
    <w:rsid w:val="00ED25A0"/>
    <w:rsid w:val="00ED3792"/>
    <w:rsid w:val="00EE3D44"/>
    <w:rsid w:val="00F03DF9"/>
    <w:rsid w:val="00F15217"/>
    <w:rsid w:val="00F30EBC"/>
    <w:rsid w:val="00F32B83"/>
    <w:rsid w:val="00F409E2"/>
    <w:rsid w:val="00F41DE2"/>
    <w:rsid w:val="00F4655B"/>
    <w:rsid w:val="00F53FE2"/>
    <w:rsid w:val="00F8105D"/>
    <w:rsid w:val="00F847B6"/>
    <w:rsid w:val="00F90358"/>
    <w:rsid w:val="00FA5CB6"/>
    <w:rsid w:val="00FB2757"/>
    <w:rsid w:val="00FC3C1E"/>
    <w:rsid w:val="00FC6421"/>
    <w:rsid w:val="00FD7474"/>
    <w:rsid w:val="00FF7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5577"/>
    <w:pPr>
      <w:spacing w:line="276" w:lineRule="auto"/>
      <w:jc w:val="both"/>
    </w:pPr>
    <w:rPr>
      <w:rFonts w:ascii="Times New Roman" w:hAnsi="Times New Roman"/>
      <w:sz w:val="22"/>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acil">
    <w:name w:val="Bacil"/>
    <w:basedOn w:val="Predvolenpsmoodseku"/>
    <w:qFormat/>
    <w:rsid w:val="00907635"/>
    <w:rPr>
      <w:i/>
    </w:rPr>
  </w:style>
  <w:style w:type="paragraph" w:customStyle="1" w:styleId="Normlndobloku">
    <w:name w:val="Normální do bloku"/>
    <w:basedOn w:val="Normlny"/>
    <w:link w:val="NormlndoblokuChar"/>
    <w:autoRedefine/>
    <w:rsid w:val="002F3444"/>
    <w:pPr>
      <w:suppressAutoHyphens/>
      <w:spacing w:after="120" w:line="240" w:lineRule="auto"/>
    </w:pPr>
    <w:rPr>
      <w:rFonts w:eastAsia="Times New Roman" w:cs="TimesNewRoman"/>
      <w:szCs w:val="24"/>
      <w:lang w:eastAsia="cs-CZ"/>
    </w:rPr>
  </w:style>
  <w:style w:type="paragraph" w:customStyle="1" w:styleId="Normlndoblokusodrkami">
    <w:name w:val="Normální do bloku s odrážkami"/>
    <w:basedOn w:val="Normlndobloku"/>
    <w:next w:val="Normlndobloku"/>
    <w:autoRedefine/>
    <w:qFormat/>
    <w:rsid w:val="002841B2"/>
    <w:pPr>
      <w:numPr>
        <w:numId w:val="9"/>
      </w:numPr>
      <w:jc w:val="left"/>
    </w:pPr>
    <w:rPr>
      <w:noProof/>
      <w:szCs w:val="22"/>
    </w:rPr>
  </w:style>
  <w:style w:type="paragraph" w:customStyle="1" w:styleId="SPCaPILhlavika">
    <w:name w:val="SPC a PIL hlavička"/>
    <w:basedOn w:val="Normlny"/>
    <w:autoRedefine/>
    <w:qFormat/>
    <w:rsid w:val="003E6337"/>
    <w:pPr>
      <w:spacing w:before="240" w:after="120" w:line="240" w:lineRule="auto"/>
      <w:ind w:left="567" w:hanging="567"/>
      <w:jc w:val="center"/>
    </w:pPr>
    <w:rPr>
      <w:rFonts w:eastAsia="Times New Roman"/>
      <w:b/>
      <w:szCs w:val="24"/>
      <w:lang w:val="cs-CZ" w:eastAsia="sk-SK"/>
    </w:rPr>
  </w:style>
  <w:style w:type="paragraph" w:customStyle="1" w:styleId="Styl1">
    <w:name w:val="Styl1"/>
    <w:basedOn w:val="Normlny"/>
    <w:autoRedefine/>
    <w:rsid w:val="00AB30B3"/>
    <w:pPr>
      <w:keepNext/>
      <w:numPr>
        <w:numId w:val="16"/>
      </w:numPr>
      <w:spacing w:before="480" w:after="120" w:line="240" w:lineRule="auto"/>
    </w:pPr>
    <w:rPr>
      <w:rFonts w:eastAsia="Times New Roman"/>
      <w:b/>
      <w:bCs/>
      <w:caps/>
      <w:szCs w:val="24"/>
      <w:lang w:eastAsia="en-US"/>
    </w:rPr>
  </w:style>
  <w:style w:type="paragraph" w:customStyle="1" w:styleId="Styl2">
    <w:name w:val="Styl2"/>
    <w:basedOn w:val="Normlny"/>
    <w:autoRedefine/>
    <w:rsid w:val="00282F15"/>
    <w:pPr>
      <w:keepNext/>
      <w:numPr>
        <w:ilvl w:val="1"/>
        <w:numId w:val="16"/>
      </w:numPr>
      <w:spacing w:before="240" w:after="240" w:line="240" w:lineRule="auto"/>
      <w:ind w:left="0" w:firstLine="0"/>
      <w:jc w:val="left"/>
    </w:pPr>
    <w:rPr>
      <w:rFonts w:eastAsia="Times New Roman"/>
      <w:b/>
      <w:bCs/>
      <w:lang w:eastAsia="en-US"/>
    </w:rPr>
  </w:style>
  <w:style w:type="paragraph" w:customStyle="1" w:styleId="Styl3">
    <w:name w:val="Styl3"/>
    <w:basedOn w:val="Normlny"/>
    <w:link w:val="Styl3Char"/>
    <w:autoRedefine/>
    <w:qFormat/>
    <w:rsid w:val="00B80045"/>
    <w:pPr>
      <w:suppressAutoHyphens/>
      <w:spacing w:before="120" w:after="120" w:line="240" w:lineRule="auto"/>
    </w:pPr>
    <w:rPr>
      <w:rFonts w:ascii="TimesNewRoman" w:eastAsia="Times New Roman" w:hAnsi="TimesNewRoman" w:cs="TimesNewRoman"/>
      <w:i/>
      <w:szCs w:val="24"/>
      <w:lang w:eastAsia="cs-CZ"/>
    </w:rPr>
  </w:style>
  <w:style w:type="paragraph" w:customStyle="1" w:styleId="Tabulka">
    <w:name w:val="Tabulka"/>
    <w:basedOn w:val="Normlny"/>
    <w:autoRedefine/>
    <w:qFormat/>
    <w:rsid w:val="00D92E5E"/>
    <w:pPr>
      <w:autoSpaceDE w:val="0"/>
      <w:autoSpaceDN w:val="0"/>
      <w:adjustRightInd w:val="0"/>
      <w:spacing w:line="240" w:lineRule="auto"/>
    </w:pPr>
    <w:rPr>
      <w:b/>
      <w:szCs w:val="24"/>
      <w:lang w:eastAsia="sk-SK"/>
    </w:rPr>
  </w:style>
  <w:style w:type="paragraph" w:customStyle="1" w:styleId="Tabulka1">
    <w:name w:val="Tabulka 1"/>
    <w:basedOn w:val="Styl3"/>
    <w:qFormat/>
    <w:rsid w:val="00D92E5E"/>
    <w:pPr>
      <w:spacing w:before="0" w:after="0"/>
    </w:pPr>
    <w:rPr>
      <w:lang w:eastAsia="sk-SK"/>
    </w:rPr>
  </w:style>
  <w:style w:type="paragraph" w:customStyle="1" w:styleId="Styl4">
    <w:name w:val="Styl4"/>
    <w:basedOn w:val="Styl3"/>
    <w:qFormat/>
    <w:rsid w:val="00282F15"/>
    <w:rPr>
      <w:rFonts w:ascii="Times New Roman" w:hAnsi="Times New Roman"/>
      <w:i w:val="0"/>
      <w:u w:val="single"/>
    </w:rPr>
  </w:style>
  <w:style w:type="paragraph" w:styleId="Hlavika">
    <w:name w:val="header"/>
    <w:basedOn w:val="Normlny"/>
    <w:link w:val="HlavikaChar"/>
    <w:uiPriority w:val="99"/>
    <w:unhideWhenUsed/>
    <w:rsid w:val="006A7C12"/>
    <w:pPr>
      <w:tabs>
        <w:tab w:val="center" w:pos="4536"/>
        <w:tab w:val="right" w:pos="9072"/>
      </w:tabs>
    </w:pPr>
  </w:style>
  <w:style w:type="character" w:customStyle="1" w:styleId="HlavikaChar">
    <w:name w:val="Hlavička Char"/>
    <w:basedOn w:val="Predvolenpsmoodseku"/>
    <w:link w:val="Hlavika"/>
    <w:uiPriority w:val="99"/>
    <w:rsid w:val="006A7C12"/>
    <w:rPr>
      <w:sz w:val="22"/>
      <w:szCs w:val="22"/>
    </w:rPr>
  </w:style>
  <w:style w:type="paragraph" w:styleId="Pta">
    <w:name w:val="footer"/>
    <w:basedOn w:val="Normlny"/>
    <w:link w:val="PtaChar"/>
    <w:uiPriority w:val="99"/>
    <w:unhideWhenUsed/>
    <w:rsid w:val="00282F15"/>
    <w:pPr>
      <w:tabs>
        <w:tab w:val="center" w:pos="4536"/>
        <w:tab w:val="right" w:pos="9072"/>
      </w:tabs>
    </w:pPr>
  </w:style>
  <w:style w:type="character" w:customStyle="1" w:styleId="PtaChar">
    <w:name w:val="Päta Char"/>
    <w:basedOn w:val="Predvolenpsmoodseku"/>
    <w:link w:val="Pta"/>
    <w:uiPriority w:val="99"/>
    <w:rsid w:val="006A7C12"/>
    <w:rPr>
      <w:rFonts w:ascii="Times New Roman" w:hAnsi="Times New Roman"/>
      <w:sz w:val="22"/>
      <w:szCs w:val="22"/>
      <w:lang w:eastAsia="zh-CN"/>
    </w:rPr>
  </w:style>
  <w:style w:type="paragraph" w:styleId="Textbubliny">
    <w:name w:val="Balloon Text"/>
    <w:basedOn w:val="Normlny"/>
    <w:semiHidden/>
    <w:rsid w:val="008434D4"/>
    <w:rPr>
      <w:rFonts w:ascii="Tahoma" w:hAnsi="Tahoma" w:cs="Tahoma"/>
      <w:sz w:val="16"/>
      <w:szCs w:val="16"/>
    </w:rPr>
  </w:style>
  <w:style w:type="character" w:customStyle="1" w:styleId="NormlndoblokuChar">
    <w:name w:val="Normální do bloku Char"/>
    <w:link w:val="Normlndobloku"/>
    <w:locked/>
    <w:rsid w:val="002F3444"/>
    <w:rPr>
      <w:rFonts w:ascii="Times New Roman" w:eastAsia="Times New Roman" w:hAnsi="Times New Roman" w:cs="TimesNewRoman"/>
      <w:sz w:val="22"/>
      <w:szCs w:val="24"/>
      <w:lang w:eastAsia="cs-CZ"/>
    </w:rPr>
  </w:style>
  <w:style w:type="paragraph" w:customStyle="1" w:styleId="Styl2-2">
    <w:name w:val="Styl2-2"/>
    <w:basedOn w:val="Normlny"/>
    <w:autoRedefine/>
    <w:qFormat/>
    <w:rsid w:val="003F059A"/>
    <w:pPr>
      <w:keepNext/>
      <w:suppressAutoHyphens/>
      <w:spacing w:before="120" w:after="120" w:line="240" w:lineRule="auto"/>
      <w:jc w:val="left"/>
    </w:pPr>
    <w:rPr>
      <w:rFonts w:ascii="TimesNewRoman" w:eastAsia="Calibri" w:hAnsi="TimesNewRoman" w:cs="TimesNewRoman"/>
      <w:b/>
      <w:szCs w:val="20"/>
      <w:lang w:val="cs-CZ" w:eastAsia="en-US"/>
    </w:rPr>
  </w:style>
  <w:style w:type="character" w:styleId="Hypertextovprepojenie">
    <w:name w:val="Hyperlink"/>
    <w:basedOn w:val="Predvolenpsmoodseku"/>
    <w:uiPriority w:val="99"/>
    <w:unhideWhenUsed/>
    <w:rsid w:val="003F059A"/>
    <w:rPr>
      <w:color w:val="0563C1" w:themeColor="hyperlink"/>
      <w:u w:val="single"/>
    </w:rPr>
  </w:style>
  <w:style w:type="character" w:customStyle="1" w:styleId="Nevyrieenzmienka1">
    <w:name w:val="Nevyriešená zmienka1"/>
    <w:basedOn w:val="Predvolenpsmoodseku"/>
    <w:uiPriority w:val="99"/>
    <w:semiHidden/>
    <w:unhideWhenUsed/>
    <w:rsid w:val="003F059A"/>
    <w:rPr>
      <w:color w:val="605E5C"/>
      <w:shd w:val="clear" w:color="auto" w:fill="E1DFDD"/>
    </w:rPr>
  </w:style>
  <w:style w:type="character" w:styleId="PouitHypertextovPrepojenie">
    <w:name w:val="FollowedHyperlink"/>
    <w:basedOn w:val="Predvolenpsmoodseku"/>
    <w:uiPriority w:val="99"/>
    <w:semiHidden/>
    <w:unhideWhenUsed/>
    <w:rsid w:val="003F059A"/>
    <w:rPr>
      <w:color w:val="954F72" w:themeColor="followedHyperlink"/>
      <w:u w:val="single"/>
    </w:rPr>
  </w:style>
  <w:style w:type="character" w:customStyle="1" w:styleId="Styl3Char">
    <w:name w:val="Styl3 Char"/>
    <w:link w:val="Styl3"/>
    <w:locked/>
    <w:rsid w:val="00E559FE"/>
    <w:rPr>
      <w:rFonts w:ascii="TimesNewRoman" w:eastAsia="Times New Roman" w:hAnsi="TimesNewRoman" w:cs="TimesNewRoman"/>
      <w:i/>
      <w:sz w:val="22"/>
      <w:szCs w:val="24"/>
      <w:lang w:eastAsia="cs-CZ"/>
    </w:rPr>
  </w:style>
  <w:style w:type="character" w:styleId="Odkaznakomentr">
    <w:name w:val="annotation reference"/>
    <w:basedOn w:val="Predvolenpsmoodseku"/>
    <w:uiPriority w:val="99"/>
    <w:semiHidden/>
    <w:unhideWhenUsed/>
    <w:rsid w:val="004550F4"/>
    <w:rPr>
      <w:sz w:val="16"/>
      <w:szCs w:val="16"/>
    </w:rPr>
  </w:style>
  <w:style w:type="paragraph" w:styleId="Textkomentra">
    <w:name w:val="annotation text"/>
    <w:basedOn w:val="Normlny"/>
    <w:link w:val="TextkomentraChar"/>
    <w:uiPriority w:val="99"/>
    <w:semiHidden/>
    <w:unhideWhenUsed/>
    <w:rsid w:val="004550F4"/>
    <w:pPr>
      <w:spacing w:line="240" w:lineRule="auto"/>
    </w:pPr>
    <w:rPr>
      <w:sz w:val="20"/>
      <w:szCs w:val="20"/>
    </w:rPr>
  </w:style>
  <w:style w:type="character" w:customStyle="1" w:styleId="TextkomentraChar">
    <w:name w:val="Text komentára Char"/>
    <w:basedOn w:val="Predvolenpsmoodseku"/>
    <w:link w:val="Textkomentra"/>
    <w:uiPriority w:val="99"/>
    <w:semiHidden/>
    <w:rsid w:val="004550F4"/>
    <w:rPr>
      <w:rFonts w:ascii="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4550F4"/>
    <w:rPr>
      <w:b/>
      <w:bCs/>
    </w:rPr>
  </w:style>
  <w:style w:type="character" w:customStyle="1" w:styleId="PredmetkomentraChar">
    <w:name w:val="Predmet komentára Char"/>
    <w:basedOn w:val="TextkomentraChar"/>
    <w:link w:val="Predmetkomentra"/>
    <w:uiPriority w:val="99"/>
    <w:semiHidden/>
    <w:rsid w:val="004550F4"/>
    <w:rPr>
      <w:rFonts w:ascii="Times New Roman" w:hAnsi="Times New Roman"/>
      <w:b/>
      <w:bCs/>
      <w:lang w:eastAsia="zh-CN"/>
    </w:rPr>
  </w:style>
  <w:style w:type="paragraph" w:styleId="Revzia">
    <w:name w:val="Revision"/>
    <w:hidden/>
    <w:uiPriority w:val="99"/>
    <w:semiHidden/>
    <w:rsid w:val="00A94418"/>
    <w:rPr>
      <w:rFonts w:ascii="Times New Roman" w:hAnsi="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0584">
      <w:bodyDiv w:val="1"/>
      <w:marLeft w:val="0"/>
      <w:marRight w:val="0"/>
      <w:marTop w:val="0"/>
      <w:marBottom w:val="0"/>
      <w:divBdr>
        <w:top w:val="none" w:sz="0" w:space="0" w:color="auto"/>
        <w:left w:val="none" w:sz="0" w:space="0" w:color="auto"/>
        <w:bottom w:val="none" w:sz="0" w:space="0" w:color="auto"/>
        <w:right w:val="none" w:sz="0" w:space="0" w:color="auto"/>
      </w:divBdr>
    </w:div>
    <w:div w:id="389161211">
      <w:bodyDiv w:val="1"/>
      <w:marLeft w:val="0"/>
      <w:marRight w:val="0"/>
      <w:marTop w:val="0"/>
      <w:marBottom w:val="0"/>
      <w:divBdr>
        <w:top w:val="none" w:sz="0" w:space="0" w:color="auto"/>
        <w:left w:val="none" w:sz="0" w:space="0" w:color="auto"/>
        <w:bottom w:val="none" w:sz="0" w:space="0" w:color="auto"/>
        <w:right w:val="none" w:sz="0" w:space="0" w:color="auto"/>
      </w:divBdr>
    </w:div>
    <w:div w:id="608203660">
      <w:bodyDiv w:val="1"/>
      <w:marLeft w:val="0"/>
      <w:marRight w:val="0"/>
      <w:marTop w:val="0"/>
      <w:marBottom w:val="0"/>
      <w:divBdr>
        <w:top w:val="none" w:sz="0" w:space="0" w:color="auto"/>
        <w:left w:val="none" w:sz="0" w:space="0" w:color="auto"/>
        <w:bottom w:val="none" w:sz="0" w:space="0" w:color="auto"/>
        <w:right w:val="none" w:sz="0" w:space="0" w:color="auto"/>
      </w:divBdr>
    </w:div>
    <w:div w:id="627709104">
      <w:bodyDiv w:val="1"/>
      <w:marLeft w:val="0"/>
      <w:marRight w:val="0"/>
      <w:marTop w:val="0"/>
      <w:marBottom w:val="0"/>
      <w:divBdr>
        <w:top w:val="none" w:sz="0" w:space="0" w:color="auto"/>
        <w:left w:val="none" w:sz="0" w:space="0" w:color="auto"/>
        <w:bottom w:val="none" w:sz="0" w:space="0" w:color="auto"/>
        <w:right w:val="none" w:sz="0" w:space="0" w:color="auto"/>
      </w:divBdr>
    </w:div>
    <w:div w:id="680937479">
      <w:bodyDiv w:val="1"/>
      <w:marLeft w:val="0"/>
      <w:marRight w:val="0"/>
      <w:marTop w:val="0"/>
      <w:marBottom w:val="0"/>
      <w:divBdr>
        <w:top w:val="none" w:sz="0" w:space="0" w:color="auto"/>
        <w:left w:val="none" w:sz="0" w:space="0" w:color="auto"/>
        <w:bottom w:val="none" w:sz="0" w:space="0" w:color="auto"/>
        <w:right w:val="none" w:sz="0" w:space="0" w:color="auto"/>
      </w:divBdr>
    </w:div>
    <w:div w:id="750548522">
      <w:bodyDiv w:val="1"/>
      <w:marLeft w:val="0"/>
      <w:marRight w:val="0"/>
      <w:marTop w:val="0"/>
      <w:marBottom w:val="0"/>
      <w:divBdr>
        <w:top w:val="none" w:sz="0" w:space="0" w:color="auto"/>
        <w:left w:val="none" w:sz="0" w:space="0" w:color="auto"/>
        <w:bottom w:val="none" w:sz="0" w:space="0" w:color="auto"/>
        <w:right w:val="none" w:sz="0" w:space="0" w:color="auto"/>
      </w:divBdr>
    </w:div>
    <w:div w:id="773211020">
      <w:bodyDiv w:val="1"/>
      <w:marLeft w:val="0"/>
      <w:marRight w:val="0"/>
      <w:marTop w:val="0"/>
      <w:marBottom w:val="0"/>
      <w:divBdr>
        <w:top w:val="none" w:sz="0" w:space="0" w:color="auto"/>
        <w:left w:val="none" w:sz="0" w:space="0" w:color="auto"/>
        <w:bottom w:val="none" w:sz="0" w:space="0" w:color="auto"/>
        <w:right w:val="none" w:sz="0" w:space="0" w:color="auto"/>
      </w:divBdr>
    </w:div>
    <w:div w:id="776482857">
      <w:bodyDiv w:val="1"/>
      <w:marLeft w:val="0"/>
      <w:marRight w:val="0"/>
      <w:marTop w:val="0"/>
      <w:marBottom w:val="0"/>
      <w:divBdr>
        <w:top w:val="none" w:sz="0" w:space="0" w:color="auto"/>
        <w:left w:val="none" w:sz="0" w:space="0" w:color="auto"/>
        <w:bottom w:val="none" w:sz="0" w:space="0" w:color="auto"/>
        <w:right w:val="none" w:sz="0" w:space="0" w:color="auto"/>
      </w:divBdr>
    </w:div>
    <w:div w:id="948856388">
      <w:bodyDiv w:val="1"/>
      <w:marLeft w:val="0"/>
      <w:marRight w:val="0"/>
      <w:marTop w:val="0"/>
      <w:marBottom w:val="0"/>
      <w:divBdr>
        <w:top w:val="none" w:sz="0" w:space="0" w:color="auto"/>
        <w:left w:val="none" w:sz="0" w:space="0" w:color="auto"/>
        <w:bottom w:val="none" w:sz="0" w:space="0" w:color="auto"/>
        <w:right w:val="none" w:sz="0" w:space="0" w:color="auto"/>
      </w:divBdr>
    </w:div>
    <w:div w:id="1342584293">
      <w:bodyDiv w:val="1"/>
      <w:marLeft w:val="0"/>
      <w:marRight w:val="0"/>
      <w:marTop w:val="0"/>
      <w:marBottom w:val="0"/>
      <w:divBdr>
        <w:top w:val="none" w:sz="0" w:space="0" w:color="auto"/>
        <w:left w:val="none" w:sz="0" w:space="0" w:color="auto"/>
        <w:bottom w:val="none" w:sz="0" w:space="0" w:color="auto"/>
        <w:right w:val="none" w:sz="0" w:space="0" w:color="auto"/>
      </w:divBdr>
    </w:div>
    <w:div w:id="1922060580">
      <w:bodyDiv w:val="1"/>
      <w:marLeft w:val="0"/>
      <w:marRight w:val="0"/>
      <w:marTop w:val="0"/>
      <w:marBottom w:val="0"/>
      <w:divBdr>
        <w:top w:val="none" w:sz="0" w:space="0" w:color="auto"/>
        <w:left w:val="none" w:sz="0" w:space="0" w:color="auto"/>
        <w:bottom w:val="none" w:sz="0" w:space="0" w:color="auto"/>
        <w:right w:val="none" w:sz="0" w:space="0" w:color="auto"/>
      </w:divBdr>
    </w:div>
    <w:div w:id="2026521029">
      <w:bodyDiv w:val="1"/>
      <w:marLeft w:val="0"/>
      <w:marRight w:val="0"/>
      <w:marTop w:val="0"/>
      <w:marBottom w:val="0"/>
      <w:divBdr>
        <w:top w:val="none" w:sz="0" w:space="0" w:color="auto"/>
        <w:left w:val="none" w:sz="0" w:space="0" w:color="auto"/>
        <w:bottom w:val="none" w:sz="0" w:space="0" w:color="auto"/>
        <w:right w:val="none" w:sz="0" w:space="0" w:color="auto"/>
      </w:divBdr>
    </w:div>
    <w:div w:id="2051295903">
      <w:bodyDiv w:val="1"/>
      <w:marLeft w:val="0"/>
      <w:marRight w:val="0"/>
      <w:marTop w:val="0"/>
      <w:marBottom w:val="0"/>
      <w:divBdr>
        <w:top w:val="none" w:sz="0" w:space="0" w:color="auto"/>
        <w:left w:val="none" w:sz="0" w:space="0" w:color="auto"/>
        <w:bottom w:val="none" w:sz="0" w:space="0" w:color="auto"/>
        <w:right w:val="none" w:sz="0" w:space="0" w:color="auto"/>
      </w:divBdr>
    </w:div>
    <w:div w:id="21180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2280</Words>
  <Characters>13002</Characters>
  <Application>Microsoft Office Word</Application>
  <DocSecurity>0</DocSecurity>
  <Lines>108</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Hewlett-Packard Company</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Katarína Jacková</dc:creator>
  <cp:lastModifiedBy>Valovičová, Monika</cp:lastModifiedBy>
  <cp:revision>7</cp:revision>
  <cp:lastPrinted>2020-01-28T12:07:00Z</cp:lastPrinted>
  <dcterms:created xsi:type="dcterms:W3CDTF">2020-01-28T11:55:00Z</dcterms:created>
  <dcterms:modified xsi:type="dcterms:W3CDTF">2020-01-29T14:05:00Z</dcterms:modified>
</cp:coreProperties>
</file>