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8261F" w14:textId="77777777" w:rsidR="00A72EBA" w:rsidRDefault="00A72EBA" w:rsidP="006B0E44">
      <w:pPr>
        <w:pStyle w:val="SPCaPILhlavika"/>
        <w:spacing w:before="0" w:after="0"/>
        <w:rPr>
          <w:lang w:val="sk-SK"/>
        </w:rPr>
      </w:pPr>
      <w:r w:rsidRPr="002631F0">
        <w:rPr>
          <w:lang w:val="sk-SK"/>
        </w:rPr>
        <w:t>SÚHRN CHARAKTERISTICKÝCH VLASTNOSTÍ LIEKU</w:t>
      </w:r>
    </w:p>
    <w:p w14:paraId="116B63CF" w14:textId="77777777" w:rsidR="002631F0" w:rsidRDefault="002631F0" w:rsidP="006B0E44">
      <w:pPr>
        <w:pStyle w:val="SPCaPILhlavika"/>
        <w:spacing w:before="0" w:after="0"/>
        <w:jc w:val="left"/>
        <w:rPr>
          <w:lang w:val="sk-SK"/>
        </w:rPr>
      </w:pPr>
    </w:p>
    <w:p w14:paraId="5FE0A8EE" w14:textId="77777777" w:rsidR="002631F0" w:rsidRPr="002631F0" w:rsidRDefault="002631F0" w:rsidP="006B0E44">
      <w:pPr>
        <w:pStyle w:val="SPCaPILhlavika"/>
        <w:spacing w:before="0" w:after="0"/>
        <w:jc w:val="left"/>
        <w:rPr>
          <w:lang w:val="sk-SK"/>
        </w:rPr>
      </w:pPr>
    </w:p>
    <w:p w14:paraId="48BD9D29" w14:textId="77777777" w:rsidR="00A72EBA" w:rsidRPr="002631F0" w:rsidRDefault="00A72EBA">
      <w:pPr>
        <w:pStyle w:val="Styl1"/>
      </w:pPr>
      <w:r w:rsidRPr="002631F0">
        <w:t>NÁZOV LIEKU</w:t>
      </w:r>
    </w:p>
    <w:p w14:paraId="2D42FA8C" w14:textId="77777777" w:rsidR="002631F0" w:rsidRDefault="002631F0" w:rsidP="007C252A">
      <w:pPr>
        <w:pStyle w:val="Normlndobloku"/>
      </w:pPr>
    </w:p>
    <w:p w14:paraId="7D929FBA" w14:textId="77777777" w:rsidR="00055FD4" w:rsidRDefault="00DE7636" w:rsidP="007C252A">
      <w:pPr>
        <w:pStyle w:val="Normlndobloku"/>
      </w:pPr>
      <w:r w:rsidRPr="002631F0">
        <w:t>DALMEVIN 50 mg tablety</w:t>
      </w:r>
    </w:p>
    <w:p w14:paraId="7D069EB9" w14:textId="77777777" w:rsidR="002631F0" w:rsidRDefault="002631F0" w:rsidP="007C252A">
      <w:pPr>
        <w:pStyle w:val="Normlndobloku"/>
      </w:pPr>
    </w:p>
    <w:p w14:paraId="02041EAA" w14:textId="77777777" w:rsidR="002631F0" w:rsidRPr="002631F0" w:rsidRDefault="002631F0" w:rsidP="007C252A">
      <w:pPr>
        <w:pStyle w:val="Normlndobloku"/>
      </w:pPr>
    </w:p>
    <w:p w14:paraId="7319122F" w14:textId="77777777" w:rsidR="00A72EBA" w:rsidRPr="002631F0" w:rsidRDefault="00A72EBA">
      <w:pPr>
        <w:pStyle w:val="Styl1"/>
      </w:pPr>
      <w:r w:rsidRPr="002631F0">
        <w:t>KVALITATÍVNE A KVANTITATÍVNE ZLOŽENIE</w:t>
      </w:r>
    </w:p>
    <w:p w14:paraId="23DB7849" w14:textId="77777777" w:rsidR="002631F0" w:rsidRDefault="002631F0" w:rsidP="007C252A">
      <w:pPr>
        <w:pStyle w:val="Normlndobloku"/>
        <w:rPr>
          <w:lang w:eastAsia="sk-SK"/>
        </w:rPr>
      </w:pPr>
    </w:p>
    <w:p w14:paraId="35A23F98" w14:textId="77777777" w:rsidR="00707D18" w:rsidRPr="006B0E44" w:rsidRDefault="00F32170" w:rsidP="007C252A">
      <w:pPr>
        <w:pStyle w:val="Normlndobloku"/>
        <w:rPr>
          <w:lang w:eastAsia="sk-SK"/>
        </w:rPr>
      </w:pPr>
      <w:r w:rsidRPr="002631F0">
        <w:rPr>
          <w:lang w:eastAsia="sk-SK"/>
        </w:rPr>
        <w:t>Jedna</w:t>
      </w:r>
      <w:r w:rsidR="00DE7636" w:rsidRPr="006B0E44">
        <w:rPr>
          <w:lang w:eastAsia="sk-SK"/>
        </w:rPr>
        <w:t xml:space="preserve"> tableta obsahuje 50 mg vildagliptínu.</w:t>
      </w:r>
    </w:p>
    <w:p w14:paraId="2C6E711A" w14:textId="77777777" w:rsidR="002631F0" w:rsidRDefault="002631F0" w:rsidP="007C252A">
      <w:pPr>
        <w:pStyle w:val="Normlndobloku"/>
      </w:pPr>
    </w:p>
    <w:p w14:paraId="23F5C5D8" w14:textId="77777777" w:rsidR="00443CA5" w:rsidRPr="006B0E44" w:rsidRDefault="006E6FA1" w:rsidP="007C252A">
      <w:pPr>
        <w:pStyle w:val="Normlndobloku"/>
      </w:pPr>
      <w:r w:rsidRPr="006B0E44">
        <w:rPr>
          <w:u w:val="single"/>
        </w:rPr>
        <w:t>Pomocné látky so známym účinkom</w:t>
      </w:r>
      <w:r w:rsidR="00F87BAE" w:rsidRPr="006B0E44">
        <w:t xml:space="preserve">: </w:t>
      </w:r>
      <w:r w:rsidR="00F32170" w:rsidRPr="006B0E44">
        <w:t>Jedna</w:t>
      </w:r>
      <w:r w:rsidR="00F87BAE" w:rsidRPr="006B0E44">
        <w:t xml:space="preserve"> tableta obsahuje 48 mg laktózy.</w:t>
      </w:r>
    </w:p>
    <w:p w14:paraId="26B3A951" w14:textId="77777777" w:rsidR="002631F0" w:rsidRDefault="002631F0" w:rsidP="007C252A">
      <w:pPr>
        <w:pStyle w:val="Normlndobloku"/>
      </w:pPr>
    </w:p>
    <w:p w14:paraId="55734498" w14:textId="77777777" w:rsidR="00A72EBA" w:rsidRDefault="00A72EBA" w:rsidP="007C252A">
      <w:pPr>
        <w:pStyle w:val="Normlndobloku"/>
      </w:pPr>
      <w:r w:rsidRPr="006B0E44">
        <w:t>Úplný zoznam pomocných látok, pozri časť 6.1.</w:t>
      </w:r>
    </w:p>
    <w:p w14:paraId="421B4F97" w14:textId="77777777" w:rsidR="002631F0" w:rsidRDefault="002631F0" w:rsidP="007C252A">
      <w:pPr>
        <w:pStyle w:val="Normlndobloku"/>
      </w:pPr>
    </w:p>
    <w:p w14:paraId="2CC91B90" w14:textId="77777777" w:rsidR="002631F0" w:rsidRPr="006B0E44" w:rsidRDefault="002631F0" w:rsidP="007C252A">
      <w:pPr>
        <w:pStyle w:val="Normlndobloku"/>
      </w:pPr>
    </w:p>
    <w:p w14:paraId="3A3336A2" w14:textId="77777777" w:rsidR="00A72EBA" w:rsidRPr="002631F0" w:rsidRDefault="00A72EBA">
      <w:pPr>
        <w:pStyle w:val="Styl1"/>
      </w:pPr>
      <w:r w:rsidRPr="002631F0">
        <w:t>LIEKOVÁ FORMA</w:t>
      </w:r>
    </w:p>
    <w:p w14:paraId="59C3BE17" w14:textId="77777777" w:rsidR="002631F0" w:rsidRDefault="002631F0" w:rsidP="007C252A">
      <w:pPr>
        <w:pStyle w:val="Normlndobloku"/>
      </w:pPr>
    </w:p>
    <w:p w14:paraId="45605F02" w14:textId="77777777" w:rsidR="00A72EBA" w:rsidRPr="006B0E44" w:rsidRDefault="00F87BAE" w:rsidP="007C252A">
      <w:pPr>
        <w:pStyle w:val="Normlndobloku"/>
      </w:pPr>
      <w:r w:rsidRPr="006B0E44">
        <w:t>Tableta</w:t>
      </w:r>
    </w:p>
    <w:p w14:paraId="1D29A3B9" w14:textId="77777777" w:rsidR="002631F0" w:rsidRDefault="002631F0" w:rsidP="007C252A">
      <w:pPr>
        <w:pStyle w:val="Normlndobloku"/>
      </w:pPr>
    </w:p>
    <w:p w14:paraId="617ABB6F" w14:textId="77777777" w:rsidR="00F87BAE" w:rsidRDefault="00F87BAE" w:rsidP="007C252A">
      <w:pPr>
        <w:pStyle w:val="Normlndobloku"/>
      </w:pPr>
      <w:r w:rsidRPr="006B0E44">
        <w:t>Biela až slabo nažltlá, okrúhla, z oboch strán hladká nepoťahovaná tableta so skoseným okrajom s priemerom 8 mm.</w:t>
      </w:r>
    </w:p>
    <w:p w14:paraId="3C757940" w14:textId="77777777" w:rsidR="002631F0" w:rsidRDefault="002631F0" w:rsidP="007C252A">
      <w:pPr>
        <w:pStyle w:val="Normlndobloku"/>
      </w:pPr>
    </w:p>
    <w:p w14:paraId="01B9639F" w14:textId="77777777" w:rsidR="002631F0" w:rsidRPr="006B0E44" w:rsidRDefault="002631F0" w:rsidP="007C252A">
      <w:pPr>
        <w:pStyle w:val="Normlndobloku"/>
      </w:pPr>
    </w:p>
    <w:p w14:paraId="402F764C" w14:textId="77777777" w:rsidR="00A72EBA" w:rsidRDefault="00A72EBA">
      <w:pPr>
        <w:pStyle w:val="Styl1"/>
      </w:pPr>
      <w:r w:rsidRPr="002631F0">
        <w:t>KLINICKÉ ÚDAJE</w:t>
      </w:r>
    </w:p>
    <w:p w14:paraId="77DA098A" w14:textId="77777777" w:rsidR="00484431" w:rsidRPr="002631F0" w:rsidRDefault="00484431" w:rsidP="006B0E44">
      <w:pPr>
        <w:pStyle w:val="Styl1"/>
        <w:numPr>
          <w:ilvl w:val="0"/>
          <w:numId w:val="0"/>
        </w:numPr>
      </w:pPr>
    </w:p>
    <w:p w14:paraId="02ACF25D" w14:textId="77777777" w:rsidR="00707D18" w:rsidRPr="006B0E44" w:rsidRDefault="00A72EBA" w:rsidP="006B0E44">
      <w:pPr>
        <w:pStyle w:val="Styl2"/>
        <w:spacing w:before="0" w:after="0"/>
        <w:ind w:left="0" w:firstLine="0"/>
        <w:rPr>
          <w:szCs w:val="22"/>
        </w:rPr>
      </w:pPr>
      <w:r w:rsidRPr="006B0E44">
        <w:rPr>
          <w:szCs w:val="22"/>
        </w:rPr>
        <w:t>Terapeutické indikácie</w:t>
      </w:r>
    </w:p>
    <w:p w14:paraId="3FDA9DBF" w14:textId="77777777" w:rsidR="00484431" w:rsidRDefault="00484431" w:rsidP="007C252A">
      <w:pPr>
        <w:pStyle w:val="Normlndobloku"/>
      </w:pPr>
    </w:p>
    <w:p w14:paraId="40E27890" w14:textId="77777777" w:rsidR="00F87BAE" w:rsidRPr="006B0E44" w:rsidRDefault="00F87BAE" w:rsidP="007C252A">
      <w:pPr>
        <w:pStyle w:val="Normlndobloku"/>
      </w:pPr>
      <w:r w:rsidRPr="006B0E44">
        <w:t>Vildagliptín je indikovaný na liečbu diabetes mellitus 2.</w:t>
      </w:r>
      <w:r w:rsidR="00B519CE" w:rsidRPr="006B0E44">
        <w:t xml:space="preserve"> </w:t>
      </w:r>
      <w:r w:rsidRPr="006B0E44">
        <w:t>typu u</w:t>
      </w:r>
      <w:r w:rsidR="00D36AB0" w:rsidRPr="006B0E44">
        <w:t> </w:t>
      </w:r>
      <w:r w:rsidRPr="006B0E44">
        <w:t>dospelých</w:t>
      </w:r>
      <w:r w:rsidR="00D36AB0" w:rsidRPr="006B0E44">
        <w:t>.</w:t>
      </w:r>
    </w:p>
    <w:p w14:paraId="4B38046E" w14:textId="77777777" w:rsidR="00484431" w:rsidRDefault="00484431">
      <w:pPr>
        <w:pStyle w:val="Styl2-2"/>
        <w:rPr>
          <w:rFonts w:eastAsia="Calibri"/>
        </w:rPr>
      </w:pPr>
    </w:p>
    <w:p w14:paraId="3F0EBAD1" w14:textId="77777777" w:rsidR="00F87BAE" w:rsidRPr="002631F0" w:rsidRDefault="00F87BAE">
      <w:pPr>
        <w:pStyle w:val="Styl2-2"/>
        <w:rPr>
          <w:rFonts w:eastAsia="Calibri"/>
        </w:rPr>
      </w:pPr>
      <w:r w:rsidRPr="002631F0">
        <w:rPr>
          <w:rFonts w:eastAsia="Calibri"/>
        </w:rPr>
        <w:t>Ako monoterapia</w:t>
      </w:r>
      <w:r w:rsidR="00412DEB" w:rsidRPr="002631F0">
        <w:t>:</w:t>
      </w:r>
    </w:p>
    <w:p w14:paraId="3321A903" w14:textId="77777777" w:rsidR="00F87BAE" w:rsidRPr="006B0E44" w:rsidRDefault="00F87BAE" w:rsidP="005F582D">
      <w:pPr>
        <w:pStyle w:val="Normlndoblokusodrkami"/>
      </w:pPr>
      <w:r w:rsidRPr="006B0E44">
        <w:t>u pacientov s nedostatočnou kompenzáciou samotnou diétou alebo telesnou aktivitou a u ktorých metformín nie je vhodný pre kontraindikácie alebo intoleranciu.</w:t>
      </w:r>
    </w:p>
    <w:p w14:paraId="2D5D9DB3" w14:textId="77777777" w:rsidR="00484431" w:rsidRDefault="00484431">
      <w:pPr>
        <w:pStyle w:val="Styl2-2"/>
        <w:rPr>
          <w:rFonts w:eastAsia="Calibri"/>
        </w:rPr>
      </w:pPr>
    </w:p>
    <w:p w14:paraId="7B77AC0C" w14:textId="77777777" w:rsidR="00F87BAE" w:rsidRPr="002631F0" w:rsidRDefault="00F87BAE">
      <w:pPr>
        <w:pStyle w:val="Styl2-2"/>
        <w:rPr>
          <w:rFonts w:eastAsia="Calibri"/>
        </w:rPr>
      </w:pPr>
      <w:r w:rsidRPr="002631F0">
        <w:rPr>
          <w:rFonts w:eastAsia="Calibri"/>
        </w:rPr>
        <w:t>Ako duálna perorálna liečba v</w:t>
      </w:r>
      <w:r w:rsidR="00412DEB" w:rsidRPr="002631F0">
        <w:t> </w:t>
      </w:r>
      <w:r w:rsidRPr="002631F0">
        <w:rPr>
          <w:rFonts w:eastAsia="Calibri"/>
        </w:rPr>
        <w:t>kombinácii s</w:t>
      </w:r>
      <w:r w:rsidR="00412DEB" w:rsidRPr="002631F0">
        <w:t>:</w:t>
      </w:r>
    </w:p>
    <w:p w14:paraId="39104843" w14:textId="77777777" w:rsidR="00412DEB" w:rsidRPr="006B0E44" w:rsidRDefault="00412DEB" w:rsidP="005F582D">
      <w:pPr>
        <w:pStyle w:val="Normlndoblokusodrkami"/>
      </w:pPr>
      <w:r w:rsidRPr="006B0E44">
        <w:t>metformínom u pacientov s </w:t>
      </w:r>
      <w:r w:rsidR="00F87BAE" w:rsidRPr="006B0E44">
        <w:t>nedostatočnou glykemickou kompenzáciou napriek maximálnej tolerovanej dávke monoterapie metformínom</w:t>
      </w:r>
    </w:p>
    <w:p w14:paraId="40B10E94" w14:textId="77777777" w:rsidR="00412DEB" w:rsidRPr="006B0E44" w:rsidRDefault="00F87BAE" w:rsidP="005F582D">
      <w:pPr>
        <w:pStyle w:val="Normlndoblokusodrkami"/>
      </w:pPr>
      <w:r w:rsidRPr="006B0E44">
        <w:t>sulfonylureovým antidiabetikom</w:t>
      </w:r>
      <w:r w:rsidR="00412DEB" w:rsidRPr="006B0E44">
        <w:t xml:space="preserve"> u pacientov s </w:t>
      </w:r>
      <w:r w:rsidRPr="006B0E44">
        <w:t>nedostatočnou glykemickou kompenzáciou</w:t>
      </w:r>
      <w:r w:rsidR="00165383" w:rsidRPr="006B0E44">
        <w:t xml:space="preserve"> </w:t>
      </w:r>
      <w:r w:rsidRPr="006B0E44">
        <w:t>napriek maximálnej tolerovanej dávke sulfonylureového antidiabetika,</w:t>
      </w:r>
      <w:r w:rsidR="00412DEB" w:rsidRPr="006B0E44">
        <w:t xml:space="preserve"> u </w:t>
      </w:r>
      <w:r w:rsidRPr="006B0E44">
        <w:t>ktorých metformín nie je vhodný pre kon</w:t>
      </w:r>
      <w:r w:rsidR="00412DEB" w:rsidRPr="006B0E44">
        <w:t>traindikácie alebo intoleranciu</w:t>
      </w:r>
    </w:p>
    <w:p w14:paraId="63890E3E" w14:textId="77777777" w:rsidR="00F87BAE" w:rsidRPr="006B0E44" w:rsidRDefault="00F87BAE" w:rsidP="005F582D">
      <w:pPr>
        <w:pStyle w:val="Normlndoblokusodrkami"/>
      </w:pPr>
      <w:r w:rsidRPr="006B0E44">
        <w:t>tiazolidíndiónovým antidiabetikom</w:t>
      </w:r>
      <w:r w:rsidR="00412DEB" w:rsidRPr="006B0E44">
        <w:t xml:space="preserve"> u pacientov s </w:t>
      </w:r>
      <w:r w:rsidRPr="006B0E44">
        <w:t>nedostatočnou glykemickou kompenzáciou,</w:t>
      </w:r>
      <w:r w:rsidR="00B519CE" w:rsidRPr="006B0E44">
        <w:t xml:space="preserve"> </w:t>
      </w:r>
      <w:r w:rsidR="00412DEB" w:rsidRPr="006B0E44">
        <w:t>u </w:t>
      </w:r>
      <w:r w:rsidRPr="006B0E44">
        <w:t>ktorých je vhodné použitie tiazolidíndiónového</w:t>
      </w:r>
      <w:r w:rsidR="00165383" w:rsidRPr="006B0E44">
        <w:t xml:space="preserve"> </w:t>
      </w:r>
      <w:r w:rsidRPr="006B0E44">
        <w:t>antidiabetika.</w:t>
      </w:r>
    </w:p>
    <w:p w14:paraId="1BF44F7F" w14:textId="77777777" w:rsidR="00484431" w:rsidRDefault="00484431">
      <w:pPr>
        <w:pStyle w:val="Styl2-2"/>
        <w:rPr>
          <w:rFonts w:eastAsia="Calibri"/>
        </w:rPr>
      </w:pPr>
    </w:p>
    <w:p w14:paraId="069A6EFE" w14:textId="77777777" w:rsidR="00F87BAE" w:rsidRPr="002631F0" w:rsidRDefault="00F87BAE">
      <w:pPr>
        <w:pStyle w:val="Styl2-2"/>
        <w:rPr>
          <w:rFonts w:eastAsia="Calibri"/>
        </w:rPr>
      </w:pPr>
      <w:r w:rsidRPr="002631F0">
        <w:rPr>
          <w:rFonts w:eastAsia="Calibri"/>
        </w:rPr>
        <w:t xml:space="preserve">Ako perorálna liečba </w:t>
      </w:r>
      <w:r w:rsidR="00412DEB" w:rsidRPr="002631F0">
        <w:t>v </w:t>
      </w:r>
      <w:r w:rsidRPr="002631F0">
        <w:rPr>
          <w:rFonts w:eastAsia="Calibri"/>
        </w:rPr>
        <w:t>trojkombinácii</w:t>
      </w:r>
      <w:r w:rsidR="00412DEB" w:rsidRPr="002631F0">
        <w:t xml:space="preserve"> </w:t>
      </w:r>
      <w:r w:rsidRPr="002631F0">
        <w:rPr>
          <w:rFonts w:eastAsia="Calibri"/>
        </w:rPr>
        <w:t>so</w:t>
      </w:r>
      <w:r w:rsidR="00412DEB" w:rsidRPr="002631F0">
        <w:t>:</w:t>
      </w:r>
    </w:p>
    <w:p w14:paraId="6DA0AE0F" w14:textId="77777777" w:rsidR="00F87BAE" w:rsidRDefault="00F87BAE" w:rsidP="005F582D">
      <w:pPr>
        <w:pStyle w:val="Normlndoblokusodrkami"/>
      </w:pPr>
      <w:r w:rsidRPr="006B0E44">
        <w:t>sulfonylureovým antidiabetikom a</w:t>
      </w:r>
      <w:r w:rsidR="00412DEB" w:rsidRPr="006B0E44">
        <w:t> </w:t>
      </w:r>
      <w:r w:rsidRPr="006B0E44">
        <w:t>metformínom, keď sa diétou</w:t>
      </w:r>
      <w:r w:rsidR="00412DEB" w:rsidRPr="006B0E44">
        <w:t xml:space="preserve"> a </w:t>
      </w:r>
      <w:r w:rsidRPr="006B0E44">
        <w:t>telesnou</w:t>
      </w:r>
      <w:r w:rsidR="00412DEB" w:rsidRPr="006B0E44">
        <w:t xml:space="preserve"> </w:t>
      </w:r>
      <w:r w:rsidRPr="006B0E44">
        <w:t>aktivitou spolu s</w:t>
      </w:r>
      <w:r w:rsidR="00412DEB" w:rsidRPr="006B0E44">
        <w:t> </w:t>
      </w:r>
      <w:r w:rsidRPr="006B0E44">
        <w:t>duálnou liečbou týmito liekmi</w:t>
      </w:r>
      <w:r w:rsidR="00412DEB" w:rsidRPr="006B0E44">
        <w:t xml:space="preserve"> </w:t>
      </w:r>
      <w:r w:rsidRPr="006B0E44">
        <w:t>nedosiahne dostatočná</w:t>
      </w:r>
      <w:r w:rsidR="00412DEB" w:rsidRPr="006B0E44">
        <w:t xml:space="preserve"> </w:t>
      </w:r>
      <w:r w:rsidRPr="006B0E44">
        <w:t>glykemická</w:t>
      </w:r>
      <w:r w:rsidR="00165383" w:rsidRPr="006B0E44">
        <w:t xml:space="preserve"> </w:t>
      </w:r>
      <w:r w:rsidRPr="006B0E44">
        <w:t>kompenzácia.</w:t>
      </w:r>
    </w:p>
    <w:p w14:paraId="48426099" w14:textId="77777777" w:rsidR="00484431" w:rsidRPr="006B0E44" w:rsidRDefault="00484431" w:rsidP="007C252A">
      <w:pPr>
        <w:pStyle w:val="Normlndobloku"/>
      </w:pPr>
    </w:p>
    <w:p w14:paraId="35809DD5" w14:textId="77777777" w:rsidR="00F87BAE" w:rsidRDefault="00F87BAE" w:rsidP="007C252A">
      <w:pPr>
        <w:pStyle w:val="Normlndobloku"/>
      </w:pPr>
      <w:r w:rsidRPr="006B0E44">
        <w:t xml:space="preserve">Vildagliptín je tiež indikovaný na použitie </w:t>
      </w:r>
      <w:r w:rsidR="00412DEB" w:rsidRPr="006B0E44">
        <w:t>v </w:t>
      </w:r>
      <w:r w:rsidRPr="006B0E44">
        <w:t>kombinácii</w:t>
      </w:r>
      <w:r w:rsidR="00412DEB" w:rsidRPr="006B0E44">
        <w:t xml:space="preserve"> </w:t>
      </w:r>
      <w:r w:rsidRPr="006B0E44">
        <w:t>s</w:t>
      </w:r>
      <w:r w:rsidR="00412DEB" w:rsidRPr="006B0E44">
        <w:t> </w:t>
      </w:r>
      <w:r w:rsidRPr="006B0E44">
        <w:t>inzulínom (s</w:t>
      </w:r>
      <w:r w:rsidR="00412DEB" w:rsidRPr="006B0E44">
        <w:t> </w:t>
      </w:r>
      <w:r w:rsidRPr="006B0E44">
        <w:t>metformínom</w:t>
      </w:r>
      <w:r w:rsidR="00412DEB" w:rsidRPr="006B0E44">
        <w:t xml:space="preserve"> </w:t>
      </w:r>
      <w:r w:rsidRPr="006B0E44">
        <w:t>alebo be</w:t>
      </w:r>
      <w:r w:rsidR="00412DEB" w:rsidRPr="006B0E44">
        <w:t>z neho</w:t>
      </w:r>
      <w:r w:rsidR="00B519CE" w:rsidRPr="006B0E44">
        <w:t xml:space="preserve">), </w:t>
      </w:r>
      <w:r w:rsidR="00412DEB" w:rsidRPr="006B0E44">
        <w:t>keď sa diétou a telesnou aktivitou spolu so stabilnou dávkou inzulínu nedosiahne dostatočná glykemická</w:t>
      </w:r>
      <w:r w:rsidR="00A62855" w:rsidRPr="006B0E44">
        <w:t xml:space="preserve"> </w:t>
      </w:r>
      <w:r w:rsidR="00412DEB" w:rsidRPr="006B0E44">
        <w:t xml:space="preserve"> kompenzácia.</w:t>
      </w:r>
    </w:p>
    <w:p w14:paraId="2233BC76" w14:textId="77777777" w:rsidR="00484431" w:rsidRPr="006B0E44" w:rsidRDefault="00484431" w:rsidP="007C252A">
      <w:pPr>
        <w:pStyle w:val="Normlndobloku"/>
      </w:pPr>
    </w:p>
    <w:p w14:paraId="35D1CAAB" w14:textId="77777777" w:rsidR="00A72EBA" w:rsidRPr="006B0E44" w:rsidRDefault="00A72EBA" w:rsidP="006B0E44">
      <w:pPr>
        <w:pStyle w:val="Styl2"/>
        <w:spacing w:before="0" w:after="0"/>
        <w:ind w:left="0" w:firstLine="0"/>
        <w:rPr>
          <w:szCs w:val="22"/>
        </w:rPr>
      </w:pPr>
      <w:r w:rsidRPr="006B0E44">
        <w:rPr>
          <w:szCs w:val="22"/>
        </w:rPr>
        <w:lastRenderedPageBreak/>
        <w:t>Dávkovanie a spôsob podávania</w:t>
      </w:r>
    </w:p>
    <w:p w14:paraId="4C58C6C1" w14:textId="77777777" w:rsidR="00484431" w:rsidRDefault="00484431">
      <w:pPr>
        <w:pStyle w:val="Styl2-2"/>
      </w:pPr>
    </w:p>
    <w:p w14:paraId="04CDC2A4" w14:textId="77777777" w:rsidR="00A72EBA" w:rsidRDefault="00A72EBA">
      <w:pPr>
        <w:pStyle w:val="Styl2-2"/>
      </w:pPr>
      <w:r w:rsidRPr="002631F0">
        <w:t>Dávkovanie</w:t>
      </w:r>
    </w:p>
    <w:p w14:paraId="64B0CFF6" w14:textId="77777777" w:rsidR="00484431" w:rsidRPr="006B0E44" w:rsidRDefault="00484431" w:rsidP="006B0E44"/>
    <w:p w14:paraId="6E270E05" w14:textId="77777777" w:rsidR="00666717" w:rsidRPr="006B0E44" w:rsidRDefault="006E6FA1" w:rsidP="006B0E44">
      <w:pPr>
        <w:pStyle w:val="Styl3"/>
        <w:spacing w:after="0"/>
        <w:jc w:val="left"/>
        <w:rPr>
          <w:szCs w:val="22"/>
          <w:lang w:val="sk-SK"/>
        </w:rPr>
      </w:pPr>
      <w:r w:rsidRPr="006B0E44">
        <w:rPr>
          <w:szCs w:val="22"/>
          <w:lang w:val="sk-SK"/>
        </w:rPr>
        <w:t>Dospelí</w:t>
      </w:r>
    </w:p>
    <w:p w14:paraId="6B51C71B" w14:textId="77777777" w:rsidR="00FD3E3A" w:rsidRDefault="00FD3E3A" w:rsidP="007C252A">
      <w:pPr>
        <w:pStyle w:val="Normlndobloku"/>
        <w:rPr>
          <w:lang w:eastAsia="sk-SK"/>
        </w:rPr>
      </w:pPr>
      <w:r w:rsidRPr="006B0E44">
        <w:t>Pri použití ako monoterapia, v kombinácii s metformínom, v kombinácii s tiazolidíndiónovým antidiabetikom, v kombinácii s metformínom a sulfonylureovým antidiabetikom alebo v kombinácii s inzulínom (s metformínom alebo bez neho) je odporúčaná denná dávka vildagliptínu 100 mg, ktorá sa podáva ako jedna dávka 50 </w:t>
      </w:r>
      <w:r w:rsidRPr="006B0E44">
        <w:rPr>
          <w:lang w:eastAsia="sk-SK"/>
        </w:rPr>
        <w:t>mg ráno a</w:t>
      </w:r>
      <w:r w:rsidRPr="006B0E44">
        <w:t> </w:t>
      </w:r>
      <w:r w:rsidRPr="006B0E44">
        <w:rPr>
          <w:lang w:eastAsia="sk-SK"/>
        </w:rPr>
        <w:t>jedna dávka 50</w:t>
      </w:r>
      <w:r w:rsidRPr="006B0E44">
        <w:t> </w:t>
      </w:r>
      <w:r w:rsidRPr="006B0E44">
        <w:rPr>
          <w:lang w:eastAsia="sk-SK"/>
        </w:rPr>
        <w:t>mg večer.</w:t>
      </w:r>
    </w:p>
    <w:p w14:paraId="3B50493A" w14:textId="77777777" w:rsidR="00484431" w:rsidRPr="006B0E44" w:rsidRDefault="00484431" w:rsidP="007C252A">
      <w:pPr>
        <w:pStyle w:val="Normlndobloku"/>
      </w:pPr>
    </w:p>
    <w:p w14:paraId="1215F7A3" w14:textId="77777777" w:rsidR="00FD3E3A" w:rsidRDefault="00FD3E3A" w:rsidP="007C252A">
      <w:pPr>
        <w:pStyle w:val="Normlndobloku"/>
        <w:rPr>
          <w:lang w:eastAsia="sk-SK"/>
        </w:rPr>
      </w:pPr>
      <w:r w:rsidRPr="006B0E44">
        <w:rPr>
          <w:lang w:eastAsia="sk-SK"/>
        </w:rPr>
        <w:t>Pri duálnej kombinácii so sulfonylureovým antidiabetikom je odporúčaná dávka vildagliptínu 50 mg raz denne, podávaná ráno. U</w:t>
      </w:r>
      <w:r w:rsidR="004C3264" w:rsidRPr="006B0E44">
        <w:rPr>
          <w:lang w:eastAsia="sk-SK"/>
        </w:rPr>
        <w:t> </w:t>
      </w:r>
      <w:r w:rsidRPr="006B0E44">
        <w:rPr>
          <w:lang w:eastAsia="sk-SK"/>
        </w:rPr>
        <w:t>tejto populácie</w:t>
      </w:r>
      <w:r w:rsidR="004C3264" w:rsidRPr="006B0E44">
        <w:rPr>
          <w:lang w:eastAsia="sk-SK"/>
        </w:rPr>
        <w:t xml:space="preserve"> </w:t>
      </w:r>
      <w:r w:rsidRPr="006B0E44">
        <w:rPr>
          <w:lang w:eastAsia="sk-SK"/>
        </w:rPr>
        <w:t>pacientov nebol</w:t>
      </w:r>
      <w:r w:rsidR="004C3264" w:rsidRPr="006B0E44">
        <w:rPr>
          <w:lang w:eastAsia="sk-SK"/>
        </w:rPr>
        <w:t>o </w:t>
      </w:r>
      <w:r w:rsidRPr="006B0E44">
        <w:rPr>
          <w:lang w:eastAsia="sk-SK"/>
        </w:rPr>
        <w:t>100</w:t>
      </w:r>
      <w:r w:rsidR="004C3264" w:rsidRPr="006B0E44">
        <w:rPr>
          <w:lang w:eastAsia="sk-SK"/>
        </w:rPr>
        <w:t> </w:t>
      </w:r>
      <w:r w:rsidRPr="006B0E44">
        <w:rPr>
          <w:lang w:eastAsia="sk-SK"/>
        </w:rPr>
        <w:t>mg vildagliptínu</w:t>
      </w:r>
      <w:r w:rsidR="004C3264" w:rsidRPr="006B0E44">
        <w:rPr>
          <w:lang w:eastAsia="sk-SK"/>
        </w:rPr>
        <w:t xml:space="preserve"> </w:t>
      </w:r>
      <w:r w:rsidRPr="006B0E44">
        <w:rPr>
          <w:lang w:eastAsia="sk-SK"/>
        </w:rPr>
        <w:t>denne účinnejších</w:t>
      </w:r>
      <w:r w:rsidR="004C3264" w:rsidRPr="006B0E44">
        <w:rPr>
          <w:lang w:eastAsia="sk-SK"/>
        </w:rPr>
        <w:t xml:space="preserve"> </w:t>
      </w:r>
      <w:r w:rsidRPr="006B0E44">
        <w:rPr>
          <w:lang w:eastAsia="sk-SK"/>
        </w:rPr>
        <w:t>než 50</w:t>
      </w:r>
      <w:r w:rsidR="004C3264" w:rsidRPr="006B0E44">
        <w:rPr>
          <w:lang w:eastAsia="sk-SK"/>
        </w:rPr>
        <w:t> </w:t>
      </w:r>
      <w:r w:rsidRPr="006B0E44">
        <w:rPr>
          <w:lang w:eastAsia="sk-SK"/>
        </w:rPr>
        <w:t>mg vildagliptínu</w:t>
      </w:r>
      <w:r w:rsidR="004C3264" w:rsidRPr="006B0E44">
        <w:rPr>
          <w:lang w:eastAsia="sk-SK"/>
        </w:rPr>
        <w:t xml:space="preserve"> </w:t>
      </w:r>
      <w:r w:rsidRPr="006B0E44">
        <w:rPr>
          <w:lang w:eastAsia="sk-SK"/>
        </w:rPr>
        <w:t>raz denne.</w:t>
      </w:r>
    </w:p>
    <w:p w14:paraId="6FC9D937" w14:textId="77777777" w:rsidR="00484431" w:rsidRPr="006B0E44" w:rsidRDefault="00484431" w:rsidP="007C252A">
      <w:pPr>
        <w:pStyle w:val="Normlndobloku"/>
        <w:rPr>
          <w:lang w:eastAsia="sk-SK"/>
        </w:rPr>
      </w:pPr>
    </w:p>
    <w:p w14:paraId="2D9F0B3E" w14:textId="77777777" w:rsidR="00FD3E3A" w:rsidRDefault="00FD3E3A" w:rsidP="007C252A">
      <w:pPr>
        <w:pStyle w:val="Normlndobloku"/>
        <w:rPr>
          <w:lang w:eastAsia="sk-SK"/>
        </w:rPr>
      </w:pPr>
      <w:r w:rsidRPr="006B0E44">
        <w:rPr>
          <w:lang w:eastAsia="sk-SK"/>
        </w:rPr>
        <w:t>Pri použití v</w:t>
      </w:r>
      <w:r w:rsidR="004C3264" w:rsidRPr="006B0E44">
        <w:rPr>
          <w:lang w:eastAsia="sk-SK"/>
        </w:rPr>
        <w:t> </w:t>
      </w:r>
      <w:r w:rsidRPr="006B0E44">
        <w:rPr>
          <w:lang w:eastAsia="sk-SK"/>
        </w:rPr>
        <w:t>kombinácii so sulfonylureovým antidiabetikom sa má</w:t>
      </w:r>
      <w:r w:rsidR="004C3264" w:rsidRPr="006B0E44">
        <w:rPr>
          <w:lang w:eastAsia="sk-SK"/>
        </w:rPr>
        <w:t xml:space="preserve"> </w:t>
      </w:r>
      <w:r w:rsidRPr="006B0E44">
        <w:rPr>
          <w:lang w:eastAsia="sk-SK"/>
        </w:rPr>
        <w:t>zvážiť nižšia dávka sulfonylureového antidiabetika, aby sa znížilo riziko hypoglykémie.</w:t>
      </w:r>
    </w:p>
    <w:p w14:paraId="497F1187" w14:textId="77777777" w:rsidR="00484431" w:rsidRPr="006B0E44" w:rsidRDefault="00484431" w:rsidP="007C252A">
      <w:pPr>
        <w:pStyle w:val="Normlndobloku"/>
        <w:rPr>
          <w:lang w:eastAsia="sk-SK"/>
        </w:rPr>
      </w:pPr>
    </w:p>
    <w:p w14:paraId="2AD0573D" w14:textId="77777777" w:rsidR="00FD3E3A" w:rsidRDefault="00FD3E3A" w:rsidP="007C252A">
      <w:pPr>
        <w:pStyle w:val="Normlndobloku"/>
        <w:rPr>
          <w:lang w:eastAsia="sk-SK"/>
        </w:rPr>
      </w:pPr>
      <w:r w:rsidRPr="006B0E44">
        <w:rPr>
          <w:lang w:eastAsia="sk-SK"/>
        </w:rPr>
        <w:t>Dávky vyššie ako</w:t>
      </w:r>
      <w:r w:rsidR="00A62855" w:rsidRPr="006B0E44">
        <w:rPr>
          <w:lang w:eastAsia="sk-SK"/>
        </w:rPr>
        <w:t xml:space="preserve"> </w:t>
      </w:r>
      <w:r w:rsidRPr="006B0E44">
        <w:rPr>
          <w:lang w:eastAsia="sk-SK"/>
        </w:rPr>
        <w:t>100</w:t>
      </w:r>
      <w:r w:rsidR="004C3264" w:rsidRPr="006B0E44">
        <w:rPr>
          <w:lang w:eastAsia="sk-SK"/>
        </w:rPr>
        <w:t> </w:t>
      </w:r>
      <w:r w:rsidRPr="006B0E44">
        <w:rPr>
          <w:lang w:eastAsia="sk-SK"/>
        </w:rPr>
        <w:t>mg sa neodporúčajú.</w:t>
      </w:r>
    </w:p>
    <w:p w14:paraId="15AF87EB" w14:textId="77777777" w:rsidR="00484431" w:rsidRPr="006B0E44" w:rsidRDefault="00484431" w:rsidP="007C252A">
      <w:pPr>
        <w:pStyle w:val="Normlndobloku"/>
        <w:rPr>
          <w:lang w:eastAsia="sk-SK"/>
        </w:rPr>
      </w:pPr>
    </w:p>
    <w:p w14:paraId="09FE0429" w14:textId="77777777" w:rsidR="00FD3E3A" w:rsidRDefault="004C3264" w:rsidP="007C252A">
      <w:pPr>
        <w:pStyle w:val="Normlndobloku"/>
        <w:rPr>
          <w:lang w:eastAsia="sk-SK"/>
        </w:rPr>
      </w:pPr>
      <w:r w:rsidRPr="006B0E44">
        <w:rPr>
          <w:lang w:eastAsia="sk-SK"/>
        </w:rPr>
        <w:t>Ak sa vynechá dávka vildaglitínu</w:t>
      </w:r>
      <w:r w:rsidR="00FD3E3A" w:rsidRPr="006B0E44">
        <w:rPr>
          <w:lang w:eastAsia="sk-SK"/>
        </w:rPr>
        <w:t xml:space="preserve">, má sa užiť hneď, ako si pacient spomenie. Dvojitá dávka sa nemá užiť </w:t>
      </w:r>
      <w:r w:rsidR="00FD3E3A" w:rsidRPr="006B0E44">
        <w:t>v</w:t>
      </w:r>
      <w:r w:rsidRPr="006B0E44">
        <w:t> </w:t>
      </w:r>
      <w:r w:rsidR="00FD3E3A" w:rsidRPr="006B0E44">
        <w:t>tom</w:t>
      </w:r>
      <w:r w:rsidR="00FD3E3A" w:rsidRPr="006B0E44">
        <w:rPr>
          <w:lang w:eastAsia="sk-SK"/>
        </w:rPr>
        <w:t xml:space="preserve"> istom dni.</w:t>
      </w:r>
    </w:p>
    <w:p w14:paraId="70F25ECD" w14:textId="77777777" w:rsidR="00484431" w:rsidRPr="006B0E44" w:rsidRDefault="00484431" w:rsidP="007C252A">
      <w:pPr>
        <w:pStyle w:val="Normlndobloku"/>
        <w:rPr>
          <w:lang w:eastAsia="sk-SK"/>
        </w:rPr>
      </w:pPr>
    </w:p>
    <w:p w14:paraId="1D2BCA5F" w14:textId="77777777" w:rsidR="00FD3E3A" w:rsidRDefault="00FD3E3A" w:rsidP="007C252A">
      <w:pPr>
        <w:pStyle w:val="Normlndobloku"/>
      </w:pPr>
      <w:r w:rsidRPr="006B0E44">
        <w:rPr>
          <w:lang w:eastAsia="sk-SK"/>
        </w:rPr>
        <w:t>Bezpečnosť a</w:t>
      </w:r>
      <w:r w:rsidR="004C3264" w:rsidRPr="006B0E44">
        <w:rPr>
          <w:lang w:eastAsia="sk-SK"/>
        </w:rPr>
        <w:t> </w:t>
      </w:r>
      <w:r w:rsidRPr="006B0E44">
        <w:rPr>
          <w:lang w:eastAsia="sk-SK"/>
        </w:rPr>
        <w:t>účinnosť vildagliptínu ako</w:t>
      </w:r>
      <w:r w:rsidR="004C3264" w:rsidRPr="006B0E44">
        <w:rPr>
          <w:lang w:eastAsia="sk-SK"/>
        </w:rPr>
        <w:t xml:space="preserve"> </w:t>
      </w:r>
      <w:r w:rsidRPr="006B0E44">
        <w:rPr>
          <w:lang w:eastAsia="sk-SK"/>
        </w:rPr>
        <w:t>perorálnej liečby v</w:t>
      </w:r>
      <w:r w:rsidR="004C3264" w:rsidRPr="006B0E44">
        <w:rPr>
          <w:lang w:eastAsia="sk-SK"/>
        </w:rPr>
        <w:t> </w:t>
      </w:r>
      <w:r w:rsidRPr="006B0E44">
        <w:rPr>
          <w:lang w:eastAsia="sk-SK"/>
        </w:rPr>
        <w:t>trojkombinácii</w:t>
      </w:r>
      <w:r w:rsidR="004C3264" w:rsidRPr="006B0E44">
        <w:rPr>
          <w:lang w:eastAsia="sk-SK"/>
        </w:rPr>
        <w:t xml:space="preserve"> </w:t>
      </w:r>
      <w:r w:rsidRPr="006B0E44">
        <w:rPr>
          <w:lang w:eastAsia="sk-SK"/>
        </w:rPr>
        <w:t>s</w:t>
      </w:r>
      <w:r w:rsidR="004C3264" w:rsidRPr="006B0E44">
        <w:rPr>
          <w:lang w:eastAsia="sk-SK"/>
        </w:rPr>
        <w:t> </w:t>
      </w:r>
      <w:r w:rsidRPr="006B0E44">
        <w:rPr>
          <w:lang w:eastAsia="sk-SK"/>
        </w:rPr>
        <w:t xml:space="preserve">metformínom </w:t>
      </w:r>
      <w:r w:rsidR="004C3264" w:rsidRPr="006B0E44">
        <w:rPr>
          <w:lang w:eastAsia="sk-SK"/>
        </w:rPr>
        <w:t>a </w:t>
      </w:r>
      <w:r w:rsidR="004C3264" w:rsidRPr="006B0E44">
        <w:t>tiazolidíndiónovým antidiabetikom sa nestanovili.</w:t>
      </w:r>
    </w:p>
    <w:p w14:paraId="33FF6791" w14:textId="77777777" w:rsidR="00484431" w:rsidRPr="006B0E44" w:rsidRDefault="00484431" w:rsidP="007C252A">
      <w:pPr>
        <w:pStyle w:val="Normlndobloku"/>
      </w:pPr>
    </w:p>
    <w:p w14:paraId="68350356" w14:textId="77777777" w:rsidR="004C3264" w:rsidRPr="006B0E44" w:rsidRDefault="004C3264" w:rsidP="006B0E44">
      <w:pPr>
        <w:pStyle w:val="Styl3"/>
        <w:spacing w:after="0"/>
        <w:jc w:val="left"/>
        <w:rPr>
          <w:szCs w:val="22"/>
          <w:lang w:val="sk-SK" w:eastAsia="sk-SK"/>
        </w:rPr>
      </w:pPr>
      <w:r w:rsidRPr="006B0E44">
        <w:rPr>
          <w:szCs w:val="22"/>
          <w:lang w:val="sk-SK" w:eastAsia="sk-SK"/>
        </w:rPr>
        <w:t>Ďalšie informácie o osobitných skupinách pacientov</w:t>
      </w:r>
    </w:p>
    <w:p w14:paraId="54CDD607" w14:textId="77777777" w:rsidR="004C3264" w:rsidRPr="006B0E44" w:rsidRDefault="004C3264" w:rsidP="005F582D">
      <w:pPr>
        <w:pStyle w:val="Styl4"/>
        <w:rPr>
          <w:lang w:eastAsia="sk-SK"/>
        </w:rPr>
      </w:pPr>
      <w:r w:rsidRPr="006B0E44">
        <w:rPr>
          <w:lang w:eastAsia="sk-SK"/>
        </w:rPr>
        <w:t xml:space="preserve">Starší </w:t>
      </w:r>
      <w:r w:rsidR="00165383" w:rsidRPr="006B0E44">
        <w:rPr>
          <w:lang w:eastAsia="sk-SK"/>
        </w:rPr>
        <w:t>ľudia</w:t>
      </w:r>
      <w:r w:rsidR="00DD14E0" w:rsidRPr="006B0E44">
        <w:rPr>
          <w:lang w:eastAsia="sk-SK"/>
        </w:rPr>
        <w:t xml:space="preserve"> </w:t>
      </w:r>
      <w:r w:rsidRPr="006B0E44">
        <w:rPr>
          <w:lang w:eastAsia="sk-SK"/>
        </w:rPr>
        <w:t>(≥ 65 rokov)</w:t>
      </w:r>
    </w:p>
    <w:p w14:paraId="7798B7EF" w14:textId="77777777" w:rsidR="004C3264" w:rsidRPr="002631F0" w:rsidRDefault="004C3264" w:rsidP="007C252A">
      <w:pPr>
        <w:pStyle w:val="Normlndobloku"/>
        <w:rPr>
          <w:lang w:eastAsia="sk-SK"/>
        </w:rPr>
      </w:pPr>
      <w:r w:rsidRPr="002631F0">
        <w:rPr>
          <w:lang w:eastAsia="sk-SK"/>
        </w:rPr>
        <w:t xml:space="preserve">Úprava dávky nie je u starších pacientov </w:t>
      </w:r>
      <w:r w:rsidR="00DD14E0" w:rsidRPr="002631F0">
        <w:rPr>
          <w:lang w:eastAsia="sk-SK"/>
        </w:rPr>
        <w:t xml:space="preserve">potrebná </w:t>
      </w:r>
      <w:r w:rsidRPr="002631F0">
        <w:rPr>
          <w:lang w:eastAsia="sk-SK"/>
        </w:rPr>
        <w:t>(pozri tiež časti5.1 a 5.2).</w:t>
      </w:r>
    </w:p>
    <w:p w14:paraId="38D55385" w14:textId="77777777" w:rsidR="00484431" w:rsidRDefault="00484431" w:rsidP="005F582D">
      <w:pPr>
        <w:pStyle w:val="Styl4"/>
        <w:rPr>
          <w:lang w:eastAsia="sk-SK"/>
        </w:rPr>
      </w:pPr>
    </w:p>
    <w:p w14:paraId="6AF1ED5B" w14:textId="77777777" w:rsidR="004C3264" w:rsidRPr="006B0E44" w:rsidRDefault="004C3264" w:rsidP="005F582D">
      <w:pPr>
        <w:pStyle w:val="Styl4"/>
        <w:rPr>
          <w:lang w:eastAsia="sk-SK"/>
        </w:rPr>
      </w:pPr>
      <w:r w:rsidRPr="006B0E44">
        <w:rPr>
          <w:lang w:eastAsia="sk-SK"/>
        </w:rPr>
        <w:t>Porucha funkcie obličiek</w:t>
      </w:r>
    </w:p>
    <w:p w14:paraId="5E2BA64E" w14:textId="77777777" w:rsidR="004C3264" w:rsidRDefault="004C3264" w:rsidP="007C252A">
      <w:pPr>
        <w:pStyle w:val="Normlndobloku"/>
        <w:rPr>
          <w:lang w:eastAsia="sk-SK"/>
        </w:rPr>
      </w:pPr>
      <w:r w:rsidRPr="002631F0">
        <w:rPr>
          <w:lang w:eastAsia="sk-SK"/>
        </w:rPr>
        <w:t>Úprava dávky nie je potrebná u pacientov s ľahkou poruchou funkcie obličiek (klírens kreatinínu ≥</w:t>
      </w:r>
      <w:r w:rsidR="0096185A" w:rsidRPr="002631F0">
        <w:rPr>
          <w:lang w:eastAsia="sk-SK"/>
        </w:rPr>
        <w:t> </w:t>
      </w:r>
      <w:r w:rsidRPr="002631F0">
        <w:rPr>
          <w:lang w:eastAsia="sk-SK"/>
        </w:rPr>
        <w:t>50 ml/min). U pacientov so stredne ťažkou alebo ťažkou poruchou funkcie obličiek alebo s terminálnym ochorením obličiek (ESRD) je odporúčaná dávka vildagliptínu 50 mg raz denne (pozri tiež časti 4.4, 5.1 a 5.2).</w:t>
      </w:r>
    </w:p>
    <w:p w14:paraId="4B97EE0E" w14:textId="77777777" w:rsidR="00484431" w:rsidRPr="002631F0" w:rsidRDefault="00484431" w:rsidP="007C252A">
      <w:pPr>
        <w:pStyle w:val="Normlndobloku"/>
        <w:rPr>
          <w:lang w:eastAsia="sk-SK"/>
        </w:rPr>
      </w:pPr>
    </w:p>
    <w:p w14:paraId="1E946242" w14:textId="77777777" w:rsidR="004C3264" w:rsidRPr="006B0E44" w:rsidRDefault="004C3264" w:rsidP="005F582D">
      <w:pPr>
        <w:pStyle w:val="Styl4"/>
        <w:rPr>
          <w:lang w:eastAsia="sk-SK"/>
        </w:rPr>
      </w:pPr>
      <w:r w:rsidRPr="006B0E44">
        <w:rPr>
          <w:lang w:eastAsia="sk-SK"/>
        </w:rPr>
        <w:t>Porucha funkcie pečene</w:t>
      </w:r>
    </w:p>
    <w:p w14:paraId="3D8A4948" w14:textId="77777777" w:rsidR="00FD3E3A" w:rsidRPr="002631F0" w:rsidRDefault="004C3264" w:rsidP="007C252A">
      <w:pPr>
        <w:pStyle w:val="Normlndobloku"/>
        <w:rPr>
          <w:lang w:eastAsia="sk-SK"/>
        </w:rPr>
      </w:pPr>
      <w:r w:rsidRPr="002631F0">
        <w:rPr>
          <w:lang w:eastAsia="sk-SK"/>
        </w:rPr>
        <w:t>DALMEVIN sa nemá používať u pacientov s poruchou funkcie pečene vrátane pacientov, ktorých hodnoty alanínaminotransferázy (ALT) alebo aspartátaminotransferázy (AST) pred liečbou sú &gt;</w:t>
      </w:r>
      <w:r w:rsidR="0096185A" w:rsidRPr="002631F0">
        <w:rPr>
          <w:lang w:eastAsia="sk-SK"/>
        </w:rPr>
        <w:t> </w:t>
      </w:r>
      <w:r w:rsidRPr="002631F0">
        <w:rPr>
          <w:lang w:eastAsia="sk-SK"/>
        </w:rPr>
        <w:t>3-násobok hornej hranice normálneho rozmedzia (ULN) (pozri tiež časti 4.4 a 5.2).</w:t>
      </w:r>
    </w:p>
    <w:p w14:paraId="7D2A17AF" w14:textId="77777777" w:rsidR="00484431" w:rsidRDefault="00484431" w:rsidP="005F582D">
      <w:pPr>
        <w:pStyle w:val="Styl4"/>
        <w:rPr>
          <w:lang w:eastAsia="sk-SK"/>
        </w:rPr>
      </w:pPr>
    </w:p>
    <w:p w14:paraId="52DB8E2F" w14:textId="77777777" w:rsidR="00666717" w:rsidRPr="006B0E44" w:rsidRDefault="00666717" w:rsidP="005F582D">
      <w:pPr>
        <w:pStyle w:val="Styl4"/>
        <w:rPr>
          <w:lang w:eastAsia="sk-SK"/>
        </w:rPr>
      </w:pPr>
      <w:r w:rsidRPr="006B0E44">
        <w:rPr>
          <w:lang w:eastAsia="sk-SK"/>
        </w:rPr>
        <w:t>Pediatrická populácia</w:t>
      </w:r>
    </w:p>
    <w:p w14:paraId="4BEA736C" w14:textId="77777777" w:rsidR="00807AC4" w:rsidRDefault="00807AC4" w:rsidP="007C252A">
      <w:pPr>
        <w:pStyle w:val="Normlndobloku"/>
      </w:pPr>
      <w:r w:rsidRPr="002631F0">
        <w:t>DALMEVIN sa neodporúča používať u detí a dospievajúcich (&lt; 18 rokov). Bezpečnosť a účinnosť vildaglitínu u detí a dospievajúcich (&lt; 18 rokov) neboli stanovené. K dispozícii nie sú žiadne údaje (pozri tiež časť 5.1).</w:t>
      </w:r>
    </w:p>
    <w:p w14:paraId="7C5AC19C" w14:textId="77777777" w:rsidR="00484431" w:rsidRPr="002631F0" w:rsidRDefault="00484431" w:rsidP="007C252A">
      <w:pPr>
        <w:pStyle w:val="Normlndobloku"/>
      </w:pPr>
    </w:p>
    <w:p w14:paraId="40C27389" w14:textId="77777777" w:rsidR="00384677" w:rsidRPr="00484431" w:rsidRDefault="00384677">
      <w:pPr>
        <w:pStyle w:val="Styl2-2"/>
      </w:pPr>
      <w:r w:rsidRPr="00484431">
        <w:t>Spôsob podávania</w:t>
      </w:r>
    </w:p>
    <w:p w14:paraId="7ED71DF7" w14:textId="77777777" w:rsidR="00384677" w:rsidRPr="006B0E44" w:rsidRDefault="00666717" w:rsidP="007C252A">
      <w:pPr>
        <w:pStyle w:val="Normlndobloku"/>
      </w:pPr>
      <w:r w:rsidRPr="002631F0">
        <w:t>P</w:t>
      </w:r>
      <w:r w:rsidR="00384677" w:rsidRPr="002631F0">
        <w:t>erorálne použitie</w:t>
      </w:r>
    </w:p>
    <w:p w14:paraId="1DA58CB6" w14:textId="77777777" w:rsidR="00384677" w:rsidRDefault="004C3264" w:rsidP="007C252A">
      <w:pPr>
        <w:pStyle w:val="Normlndobloku"/>
      </w:pPr>
      <w:r w:rsidRPr="006B0E44">
        <w:t xml:space="preserve">DALMEVIN možno užívať s jedlom alebo bez jedla (pozri </w:t>
      </w:r>
      <w:r w:rsidR="00DD14E0" w:rsidRPr="006B0E44">
        <w:t xml:space="preserve">aj </w:t>
      </w:r>
      <w:r w:rsidRPr="006B0E44">
        <w:t>časť 5.2).</w:t>
      </w:r>
    </w:p>
    <w:p w14:paraId="7313DEE2" w14:textId="77777777" w:rsidR="00484431" w:rsidRPr="006B0E44" w:rsidRDefault="00484431" w:rsidP="007C252A">
      <w:pPr>
        <w:pStyle w:val="Normlndobloku"/>
      </w:pPr>
    </w:p>
    <w:p w14:paraId="5C5A69DA" w14:textId="77777777" w:rsidR="00303C65" w:rsidRPr="006B0E44" w:rsidRDefault="00A72EBA" w:rsidP="006B0E44">
      <w:pPr>
        <w:pStyle w:val="Styl2"/>
        <w:spacing w:before="0" w:after="0"/>
        <w:ind w:left="0" w:firstLine="0"/>
        <w:rPr>
          <w:szCs w:val="22"/>
        </w:rPr>
      </w:pPr>
      <w:r w:rsidRPr="006B0E44">
        <w:rPr>
          <w:szCs w:val="22"/>
        </w:rPr>
        <w:lastRenderedPageBreak/>
        <w:t>Kontraindikácie</w:t>
      </w:r>
    </w:p>
    <w:p w14:paraId="139BC3D0" w14:textId="77777777" w:rsidR="00303C65" w:rsidRDefault="00303C65" w:rsidP="007C252A">
      <w:pPr>
        <w:pStyle w:val="Normlndobloku"/>
      </w:pPr>
      <w:r w:rsidRPr="006B0E44">
        <w:t>Precitlivenosť na lieči</w:t>
      </w:r>
      <w:r w:rsidR="00532D60" w:rsidRPr="006B0E44">
        <w:t>vo</w:t>
      </w:r>
      <w:r w:rsidRPr="006B0E44">
        <w:t xml:space="preserve"> alebo na ktorúkoľvek z pomocných látok uvedených v časti 6.1.</w:t>
      </w:r>
    </w:p>
    <w:p w14:paraId="59B3C074" w14:textId="77777777" w:rsidR="00484431" w:rsidRPr="006B0E44" w:rsidRDefault="00484431" w:rsidP="007C252A">
      <w:pPr>
        <w:pStyle w:val="Normlndobloku"/>
      </w:pPr>
    </w:p>
    <w:p w14:paraId="5FEAFD54" w14:textId="77777777" w:rsidR="00667631" w:rsidRPr="006B0E44" w:rsidRDefault="00A72EBA" w:rsidP="006B0E44">
      <w:pPr>
        <w:pStyle w:val="Styl2"/>
        <w:spacing w:before="0" w:after="0"/>
        <w:ind w:left="0" w:firstLine="0"/>
        <w:rPr>
          <w:szCs w:val="22"/>
        </w:rPr>
      </w:pPr>
      <w:r w:rsidRPr="006B0E44">
        <w:rPr>
          <w:szCs w:val="22"/>
        </w:rPr>
        <w:t>Osobitné upozornenia a opatrenia pri používaní</w:t>
      </w:r>
    </w:p>
    <w:p w14:paraId="55055B87" w14:textId="77777777" w:rsidR="00484431" w:rsidRDefault="00484431" w:rsidP="006B0E44">
      <w:pPr>
        <w:pStyle w:val="Styl3"/>
        <w:spacing w:after="0"/>
        <w:jc w:val="left"/>
        <w:rPr>
          <w:szCs w:val="22"/>
          <w:lang w:val="sk-SK"/>
        </w:rPr>
      </w:pPr>
    </w:p>
    <w:p w14:paraId="499525FB" w14:textId="77777777" w:rsidR="00D64908" w:rsidRPr="006B0E44" w:rsidRDefault="00D64908" w:rsidP="006B0E44">
      <w:pPr>
        <w:pStyle w:val="Styl3"/>
        <w:spacing w:after="0"/>
        <w:jc w:val="left"/>
        <w:rPr>
          <w:szCs w:val="22"/>
          <w:lang w:val="sk-SK"/>
        </w:rPr>
      </w:pPr>
      <w:r w:rsidRPr="006B0E44">
        <w:rPr>
          <w:szCs w:val="22"/>
          <w:lang w:val="sk-SK"/>
        </w:rPr>
        <w:t>Všeobecné</w:t>
      </w:r>
    </w:p>
    <w:p w14:paraId="79DEE326" w14:textId="77777777" w:rsidR="00D64908" w:rsidRPr="006B0E44" w:rsidRDefault="00D64908" w:rsidP="007C252A">
      <w:pPr>
        <w:pStyle w:val="Normlndobloku"/>
      </w:pPr>
      <w:r w:rsidRPr="006B0E44">
        <w:t>Vildagliptín nie je náhrada inzulínu u pacientov, ktorí potrebujú inzulín. DALMEVIN sa nemá používať u pacientov s diabetes mellitus</w:t>
      </w:r>
      <w:r w:rsidR="00A62855" w:rsidRPr="006B0E44">
        <w:t xml:space="preserve"> </w:t>
      </w:r>
      <w:r w:rsidRPr="006B0E44">
        <w:t>1.typu alebo na liečbu diabetickej ketoacidózy.</w:t>
      </w:r>
    </w:p>
    <w:p w14:paraId="76BD2841" w14:textId="77777777" w:rsidR="00484431" w:rsidRDefault="00484431" w:rsidP="006B0E44">
      <w:pPr>
        <w:pStyle w:val="Styl3"/>
        <w:spacing w:after="0"/>
        <w:jc w:val="left"/>
        <w:rPr>
          <w:szCs w:val="22"/>
          <w:lang w:val="sk-SK"/>
        </w:rPr>
      </w:pPr>
    </w:p>
    <w:p w14:paraId="51BE44C4" w14:textId="77777777" w:rsidR="00D64908" w:rsidRPr="006B0E44" w:rsidRDefault="00D64908" w:rsidP="006B0E44">
      <w:pPr>
        <w:pStyle w:val="Styl3"/>
        <w:spacing w:after="0"/>
        <w:jc w:val="left"/>
        <w:rPr>
          <w:szCs w:val="22"/>
          <w:lang w:val="sk-SK"/>
        </w:rPr>
      </w:pPr>
      <w:r w:rsidRPr="006B0E44">
        <w:rPr>
          <w:szCs w:val="22"/>
          <w:lang w:val="sk-SK"/>
        </w:rPr>
        <w:t>Porucha funkcie obličiek</w:t>
      </w:r>
    </w:p>
    <w:p w14:paraId="0B60F67D" w14:textId="77777777" w:rsidR="00D64908" w:rsidRPr="006B0E44" w:rsidRDefault="00D64908" w:rsidP="007C252A">
      <w:pPr>
        <w:pStyle w:val="Normlndobloku"/>
      </w:pPr>
      <w:r w:rsidRPr="006B0E44">
        <w:t>Skúsenosti u hemodialyzovaných pacientov s ESRD sú obmedzené. Preto sa má DALMEVIN u týchto pacientov používať s opatrnosťou (pozri aj časti 4.2, 5.1 a 5.2).</w:t>
      </w:r>
    </w:p>
    <w:p w14:paraId="21DCC060" w14:textId="77777777" w:rsidR="00484431" w:rsidRDefault="00484431" w:rsidP="006B0E44">
      <w:pPr>
        <w:pStyle w:val="Styl3"/>
        <w:spacing w:after="0"/>
        <w:jc w:val="left"/>
        <w:rPr>
          <w:szCs w:val="22"/>
          <w:lang w:val="sk-SK"/>
        </w:rPr>
      </w:pPr>
    </w:p>
    <w:p w14:paraId="2CCCE7BC" w14:textId="77777777" w:rsidR="00D64908" w:rsidRPr="006B0E44" w:rsidRDefault="00D64908" w:rsidP="006B0E44">
      <w:pPr>
        <w:pStyle w:val="Styl3"/>
        <w:spacing w:after="0"/>
        <w:jc w:val="left"/>
        <w:rPr>
          <w:szCs w:val="22"/>
          <w:lang w:val="sk-SK"/>
        </w:rPr>
      </w:pPr>
      <w:r w:rsidRPr="006B0E44">
        <w:rPr>
          <w:szCs w:val="22"/>
          <w:lang w:val="sk-SK"/>
        </w:rPr>
        <w:t>Porucha funkcie pečene</w:t>
      </w:r>
    </w:p>
    <w:p w14:paraId="4BE2EE5D" w14:textId="77777777" w:rsidR="00D64908" w:rsidRPr="006B0E44" w:rsidRDefault="00D64908" w:rsidP="007C252A">
      <w:pPr>
        <w:pStyle w:val="Normlndobloku"/>
      </w:pPr>
      <w:r w:rsidRPr="006B0E44">
        <w:t>DALMEVIN sa nemá používať u pacientov s poruchou funkcie pečene vrátane pacientov, ktorých hodnoty ALT alebo AST pred liečbou sú &gt; 3-násobok ULN (pozri aj časti 4.2 a 5.2).</w:t>
      </w:r>
    </w:p>
    <w:p w14:paraId="5BDF422C" w14:textId="77777777" w:rsidR="00484431" w:rsidRDefault="00484431" w:rsidP="006B0E44">
      <w:pPr>
        <w:pStyle w:val="Styl3"/>
        <w:spacing w:after="0"/>
        <w:jc w:val="left"/>
        <w:rPr>
          <w:szCs w:val="22"/>
          <w:lang w:val="sk-SK"/>
        </w:rPr>
      </w:pPr>
    </w:p>
    <w:p w14:paraId="1EFA6A67" w14:textId="77777777" w:rsidR="00D64908" w:rsidRPr="006B0E44" w:rsidRDefault="00D64908" w:rsidP="006B0E44">
      <w:pPr>
        <w:pStyle w:val="Styl3"/>
        <w:spacing w:after="0"/>
        <w:jc w:val="left"/>
        <w:rPr>
          <w:szCs w:val="22"/>
          <w:lang w:val="sk-SK"/>
        </w:rPr>
      </w:pPr>
      <w:r w:rsidRPr="006B0E44">
        <w:rPr>
          <w:szCs w:val="22"/>
          <w:lang w:val="sk-SK"/>
        </w:rPr>
        <w:t>Monitorovanie pečeňových enzýmov</w:t>
      </w:r>
    </w:p>
    <w:p w14:paraId="07D0B1C9" w14:textId="77777777" w:rsidR="00D64908" w:rsidRPr="006B0E44" w:rsidRDefault="00D64908" w:rsidP="007C252A">
      <w:pPr>
        <w:pStyle w:val="Normlndobloku"/>
      </w:pPr>
      <w:r w:rsidRPr="006B0E44">
        <w:t>Zaznamenali sa zriedkavé prípady dysfunkcie pečene (vrátane hepatitídy). Pacienti v týchto prípadoch boli spravidla asymptomatickí bez klinických následkov a výsledky testov funkcie pečene sa po ukončení liečby vrátili na normálne hodnoty. Testy funkcie pečene sa majú vykonať pred začatím liečby vildagli</w:t>
      </w:r>
      <w:r w:rsidR="00B519CE" w:rsidRPr="006B0E44">
        <w:t>p</w:t>
      </w:r>
      <w:r w:rsidRPr="006B0E44">
        <w:t>tínom, aby sa zistila ich východisková hodnota u pacienta. Funkcia pečene sa má kontrolovať počas liečby vildagli</w:t>
      </w:r>
      <w:r w:rsidR="00B519CE" w:rsidRPr="006B0E44">
        <w:t>p</w:t>
      </w:r>
      <w:r w:rsidRPr="006B0E44">
        <w:t>tínom v trojmesačných intervaloch počas prvého roka a následne v pravidelných intervaloch. U pacientov, u ktorých sa zvýšia hladiny aminotransferáz, sa má nález potvrdiť ďalším hodnotením funkcie pečene, po ktorom majú nasledovať časté testy funkcie pečene až do návratu abnormality na normálnu hodnotu. Ak pretrváva zvýšenie AST alebo ALT na 3-násobok ULN alebo viac, odporúča sa ukončiť liečbu vildagli</w:t>
      </w:r>
      <w:r w:rsidR="00B519CE" w:rsidRPr="006B0E44">
        <w:t>p</w:t>
      </w:r>
      <w:r w:rsidRPr="006B0E44">
        <w:t>tínom.</w:t>
      </w:r>
    </w:p>
    <w:p w14:paraId="6C41209E" w14:textId="77777777" w:rsidR="00484431" w:rsidRDefault="00484431" w:rsidP="007C252A">
      <w:pPr>
        <w:pStyle w:val="Normlndobloku"/>
      </w:pPr>
    </w:p>
    <w:p w14:paraId="198D3ADF" w14:textId="77777777" w:rsidR="00D64908" w:rsidRPr="006B0E44" w:rsidRDefault="00D64908" w:rsidP="007C252A">
      <w:pPr>
        <w:pStyle w:val="Normlndobloku"/>
      </w:pPr>
      <w:r w:rsidRPr="006B0E44">
        <w:t xml:space="preserve">Pacienti, u ktorých vznikne žltačka alebo iné </w:t>
      </w:r>
      <w:r w:rsidR="00A62855" w:rsidRPr="006B0E44">
        <w:t>prejavy</w:t>
      </w:r>
      <w:r w:rsidRPr="006B0E44">
        <w:t xml:space="preserve"> poukazujúce na dysfunkciu pečene, majú vildagli</w:t>
      </w:r>
      <w:r w:rsidR="00B519CE" w:rsidRPr="006B0E44">
        <w:t>p</w:t>
      </w:r>
      <w:r w:rsidRPr="006B0E44">
        <w:t>tín vysadiť.</w:t>
      </w:r>
    </w:p>
    <w:p w14:paraId="5A183F06" w14:textId="77777777" w:rsidR="00484431" w:rsidRDefault="00484431" w:rsidP="007C252A">
      <w:pPr>
        <w:pStyle w:val="Normlndobloku"/>
      </w:pPr>
    </w:p>
    <w:p w14:paraId="6F36A3FD" w14:textId="77777777" w:rsidR="00D64908" w:rsidRPr="006B0E44" w:rsidRDefault="00D64908" w:rsidP="007C252A">
      <w:pPr>
        <w:pStyle w:val="Normlndobloku"/>
      </w:pPr>
      <w:r w:rsidRPr="006B0E44">
        <w:t>Po ukončení liečby vildagli</w:t>
      </w:r>
      <w:r w:rsidR="00B519CE" w:rsidRPr="006B0E44">
        <w:t>p</w:t>
      </w:r>
      <w:r w:rsidRPr="006B0E44">
        <w:t>tínom a návratu testov funkcie pečene na normálne hodnoty sa liečba vildagliptínom nemá znovu začať.</w:t>
      </w:r>
    </w:p>
    <w:p w14:paraId="1E3E26CF" w14:textId="77777777" w:rsidR="00484431" w:rsidRDefault="00484431" w:rsidP="006B0E44">
      <w:pPr>
        <w:pStyle w:val="Styl3"/>
        <w:spacing w:after="0"/>
        <w:jc w:val="left"/>
        <w:rPr>
          <w:szCs w:val="22"/>
          <w:lang w:val="sk-SK"/>
        </w:rPr>
      </w:pPr>
    </w:p>
    <w:p w14:paraId="51639D74" w14:textId="77777777" w:rsidR="00D64908" w:rsidRPr="006B0E44" w:rsidRDefault="00D64908" w:rsidP="006B0E44">
      <w:pPr>
        <w:pStyle w:val="Styl3"/>
        <w:spacing w:after="0"/>
        <w:jc w:val="left"/>
        <w:rPr>
          <w:szCs w:val="22"/>
          <w:lang w:val="sk-SK"/>
        </w:rPr>
      </w:pPr>
      <w:r w:rsidRPr="006B0E44">
        <w:rPr>
          <w:szCs w:val="22"/>
          <w:lang w:val="sk-SK"/>
        </w:rPr>
        <w:t>Srdcové zlyhávanie</w:t>
      </w:r>
    </w:p>
    <w:p w14:paraId="759C4534" w14:textId="77777777" w:rsidR="00D64908" w:rsidRPr="006B0E44" w:rsidRDefault="00A3632D" w:rsidP="007C252A">
      <w:pPr>
        <w:pStyle w:val="Normlndobloku"/>
      </w:pPr>
      <w:r w:rsidRPr="006B0E44">
        <w:t>K</w:t>
      </w:r>
      <w:r w:rsidR="00D64908" w:rsidRPr="006B0E44">
        <w:t>linické skúšanie</w:t>
      </w:r>
      <w:r w:rsidRPr="006B0E44">
        <w:t xml:space="preserve"> </w:t>
      </w:r>
      <w:r w:rsidR="00D64908" w:rsidRPr="006B0E44">
        <w:t>vildagliptínu u</w:t>
      </w:r>
      <w:r w:rsidRPr="006B0E44">
        <w:t> </w:t>
      </w:r>
      <w:r w:rsidR="00D64908" w:rsidRPr="006B0E44">
        <w:t>pacientov</w:t>
      </w:r>
      <w:r w:rsidRPr="006B0E44">
        <w:t xml:space="preserve"> s </w:t>
      </w:r>
      <w:r w:rsidR="00D64908" w:rsidRPr="006B0E44">
        <w:t>funkčnou triedou I-III podľa New York Heart Association (NYHA) ukázalo, že liečba vildagliptínom sa nespájala so zmenou funkcie ľavej komory alebo zhoršením už prítomného kongestívneho zlyhávania srdca (CHF) oproti placebu. Klinické skúsenosti u</w:t>
      </w:r>
      <w:r w:rsidRPr="006B0E44">
        <w:t> </w:t>
      </w:r>
      <w:r w:rsidR="00D64908" w:rsidRPr="006B0E44">
        <w:t>pacientov s</w:t>
      </w:r>
      <w:r w:rsidRPr="006B0E44">
        <w:t> </w:t>
      </w:r>
      <w:r w:rsidR="00D64908" w:rsidRPr="006B0E44">
        <w:t>funkčnou triedou III podľa NYHA liečených vildagliptínom sú stále obmedzené a</w:t>
      </w:r>
      <w:r w:rsidRPr="006B0E44">
        <w:t> </w:t>
      </w:r>
      <w:r w:rsidR="00D64908" w:rsidRPr="006B0E44">
        <w:t>výsledky sú nejednoznačné</w:t>
      </w:r>
      <w:r w:rsidRPr="006B0E44">
        <w:t xml:space="preserve"> </w:t>
      </w:r>
      <w:r w:rsidR="00D64908" w:rsidRPr="006B0E44">
        <w:t>(pozri časť</w:t>
      </w:r>
      <w:r w:rsidRPr="006B0E44">
        <w:t xml:space="preserve"> </w:t>
      </w:r>
      <w:r w:rsidR="00D64908" w:rsidRPr="006B0E44">
        <w:t>5.1).</w:t>
      </w:r>
    </w:p>
    <w:p w14:paraId="0717C279" w14:textId="77777777" w:rsidR="00D64908" w:rsidRPr="006B0E44" w:rsidRDefault="00A3632D" w:rsidP="007C252A">
      <w:pPr>
        <w:pStyle w:val="Normlndobloku"/>
      </w:pPr>
      <w:r w:rsidRPr="006B0E44">
        <w:t>N</w:t>
      </w:r>
      <w:r w:rsidR="00D64908" w:rsidRPr="006B0E44">
        <w:t>ie sú skúsenosti s</w:t>
      </w:r>
      <w:r w:rsidRPr="006B0E44">
        <w:t> </w:t>
      </w:r>
      <w:r w:rsidR="00D64908" w:rsidRPr="006B0E44">
        <w:t>použitím vildagliptínu v</w:t>
      </w:r>
      <w:r w:rsidRPr="006B0E44">
        <w:t> </w:t>
      </w:r>
      <w:r w:rsidR="00D64908" w:rsidRPr="006B0E44">
        <w:t>klinických skúšaniach</w:t>
      </w:r>
      <w:r w:rsidRPr="006B0E44">
        <w:t xml:space="preserve"> s </w:t>
      </w:r>
      <w:r w:rsidR="00D64908" w:rsidRPr="006B0E44">
        <w:t>pacientmi</w:t>
      </w:r>
      <w:r w:rsidRPr="006B0E44">
        <w:t xml:space="preserve"> </w:t>
      </w:r>
      <w:r w:rsidR="00D64908" w:rsidRPr="006B0E44">
        <w:t>s</w:t>
      </w:r>
      <w:r w:rsidRPr="006B0E44">
        <w:t> </w:t>
      </w:r>
      <w:r w:rsidR="00D64908" w:rsidRPr="006B0E44">
        <w:t>funkčn</w:t>
      </w:r>
      <w:r w:rsidRPr="006B0E44">
        <w:t xml:space="preserve">ou </w:t>
      </w:r>
      <w:r w:rsidR="00D64908" w:rsidRPr="006B0E44">
        <w:t>triedou</w:t>
      </w:r>
      <w:r w:rsidRPr="006B0E44">
        <w:t xml:space="preserve"> </w:t>
      </w:r>
      <w:r w:rsidR="00D64908" w:rsidRPr="006B0E44">
        <w:t>IV podľa NYHA, preto</w:t>
      </w:r>
      <w:r w:rsidRPr="006B0E44">
        <w:t xml:space="preserve"> s</w:t>
      </w:r>
      <w:r w:rsidR="00D64908" w:rsidRPr="006B0E44">
        <w:t>a jeho použitie u</w:t>
      </w:r>
      <w:r w:rsidRPr="006B0E44">
        <w:t> </w:t>
      </w:r>
      <w:r w:rsidR="00D64908" w:rsidRPr="006B0E44">
        <w:t>týchto pacientov neodporúča.</w:t>
      </w:r>
    </w:p>
    <w:p w14:paraId="358C42B2" w14:textId="77777777" w:rsidR="00484431" w:rsidRDefault="00484431" w:rsidP="006B0E44">
      <w:pPr>
        <w:pStyle w:val="Styl3"/>
        <w:spacing w:after="0"/>
        <w:jc w:val="left"/>
        <w:rPr>
          <w:szCs w:val="22"/>
          <w:lang w:val="sk-SK"/>
        </w:rPr>
      </w:pPr>
    </w:p>
    <w:p w14:paraId="60E77CFB" w14:textId="77777777" w:rsidR="00D64908" w:rsidRPr="006B0E44" w:rsidRDefault="00D64908" w:rsidP="006B0E44">
      <w:pPr>
        <w:pStyle w:val="Styl3"/>
        <w:spacing w:after="0"/>
        <w:jc w:val="left"/>
        <w:rPr>
          <w:szCs w:val="22"/>
          <w:lang w:val="sk-SK"/>
        </w:rPr>
      </w:pPr>
      <w:r w:rsidRPr="006B0E44">
        <w:rPr>
          <w:szCs w:val="22"/>
          <w:lang w:val="sk-SK"/>
        </w:rPr>
        <w:t>Ochorenia kože</w:t>
      </w:r>
    </w:p>
    <w:p w14:paraId="2BB28C9D" w14:textId="77777777" w:rsidR="00A3632D" w:rsidRPr="006B0E44" w:rsidRDefault="00D64908" w:rsidP="007C252A">
      <w:pPr>
        <w:pStyle w:val="Normlndobloku"/>
      </w:pPr>
      <w:r w:rsidRPr="006B0E44">
        <w:t>K</w:t>
      </w:r>
      <w:r w:rsidR="00A3632D" w:rsidRPr="006B0E44">
        <w:t>ožné lézie vrátane pľuzgierov a </w:t>
      </w:r>
      <w:r w:rsidRPr="006B0E44">
        <w:t>ulcerácie sa zaznamenali na končatinách opíc v</w:t>
      </w:r>
      <w:r w:rsidR="00A3632D" w:rsidRPr="006B0E44">
        <w:t> </w:t>
      </w:r>
      <w:r w:rsidRPr="006B0E44">
        <w:t>neklinických toxikologických štúdiách (pozri časť</w:t>
      </w:r>
      <w:r w:rsidR="00A62855" w:rsidRPr="006B0E44">
        <w:t xml:space="preserve"> </w:t>
      </w:r>
      <w:r w:rsidRPr="006B0E44">
        <w:t>5.3). Hoci sa zvýšená incidencia kožných lézií nepozorovala v</w:t>
      </w:r>
      <w:r w:rsidR="00A3632D" w:rsidRPr="006B0E44">
        <w:t> </w:t>
      </w:r>
      <w:r w:rsidRPr="006B0E44">
        <w:t>klinických skúšaniach, skúsenosti u</w:t>
      </w:r>
      <w:r w:rsidR="00A3632D" w:rsidRPr="006B0E44">
        <w:t> </w:t>
      </w:r>
      <w:r w:rsidRPr="006B0E44">
        <w:t>pacientov s</w:t>
      </w:r>
      <w:r w:rsidR="00A3632D" w:rsidRPr="006B0E44">
        <w:t> </w:t>
      </w:r>
      <w:r w:rsidRPr="006B0E44">
        <w:t>diabetickými kožnými komplikáciami boli obmedzené. Okrem toho boli po u</w:t>
      </w:r>
      <w:r w:rsidR="00A3632D" w:rsidRPr="006B0E44">
        <w:t>vedení na trh hlásené bulózne a </w:t>
      </w:r>
      <w:r w:rsidRPr="006B0E44">
        <w:t>exfoliatívne kožné lézie. Preto sa v</w:t>
      </w:r>
      <w:r w:rsidR="00A3632D" w:rsidRPr="006B0E44">
        <w:t> </w:t>
      </w:r>
      <w:r w:rsidRPr="006B0E44">
        <w:t>súlade s</w:t>
      </w:r>
      <w:r w:rsidR="00A3632D" w:rsidRPr="006B0E44">
        <w:t> </w:t>
      </w:r>
      <w:r w:rsidRPr="006B0E44">
        <w:t>rutinnou starostlivosťou o</w:t>
      </w:r>
      <w:r w:rsidR="00A3632D" w:rsidRPr="006B0E44">
        <w:t> </w:t>
      </w:r>
      <w:r w:rsidRPr="006B0E44">
        <w:t>diabetického pacienta odporúča sledovať ochoreni</w:t>
      </w:r>
      <w:r w:rsidR="00A3632D" w:rsidRPr="006B0E44">
        <w:t>a kože ako je tvorba pľuzgierov alebo ulcerácia.</w:t>
      </w:r>
    </w:p>
    <w:p w14:paraId="7BC93E4B" w14:textId="77777777" w:rsidR="00484431" w:rsidRDefault="00484431" w:rsidP="006B0E44">
      <w:pPr>
        <w:pStyle w:val="Styl3"/>
        <w:spacing w:after="0"/>
        <w:jc w:val="left"/>
        <w:rPr>
          <w:szCs w:val="22"/>
          <w:lang w:val="sk-SK"/>
        </w:rPr>
      </w:pPr>
    </w:p>
    <w:p w14:paraId="7267CC96" w14:textId="77777777" w:rsidR="00B550C3" w:rsidRPr="006B0E44" w:rsidRDefault="00B550C3" w:rsidP="006B0E44">
      <w:pPr>
        <w:pStyle w:val="Styl3"/>
        <w:spacing w:after="0"/>
        <w:jc w:val="left"/>
        <w:rPr>
          <w:szCs w:val="22"/>
          <w:lang w:val="sk-SK"/>
        </w:rPr>
      </w:pPr>
      <w:r w:rsidRPr="006B0E44">
        <w:rPr>
          <w:szCs w:val="22"/>
          <w:lang w:val="sk-SK"/>
        </w:rPr>
        <w:t>Akútna pankreatitída</w:t>
      </w:r>
    </w:p>
    <w:p w14:paraId="132094C0" w14:textId="77777777" w:rsidR="00B550C3" w:rsidRPr="006B0E44" w:rsidRDefault="00B550C3" w:rsidP="007C252A">
      <w:pPr>
        <w:pStyle w:val="Normlndobloku"/>
      </w:pPr>
      <w:r w:rsidRPr="006B0E44">
        <w:lastRenderedPageBreak/>
        <w:t>Použitie vildagliptínu sa dávalo do súvislosti s rizikom vzniku akútnej pankreatitídy. Pacientov je potrebné informovať o charakteristických symptómoch akútnej pankreatitídy.</w:t>
      </w:r>
    </w:p>
    <w:p w14:paraId="63F73FC5" w14:textId="77777777" w:rsidR="00B550C3" w:rsidRPr="006B0E44" w:rsidRDefault="00B550C3" w:rsidP="007C252A">
      <w:pPr>
        <w:pStyle w:val="Normlndobloku"/>
      </w:pPr>
      <w:r w:rsidRPr="006B0E44">
        <w:t>Pri podozrení na pankreatitídu sa má vildagliptín vysadiť: ak sa akútna pankreatitída potvrdí, vildagliptín sa nemá znova podávať. Opatrnosť je potrebná u pacientov s akútnou pankreatitídou v anamnéze.</w:t>
      </w:r>
    </w:p>
    <w:p w14:paraId="1F566759" w14:textId="77777777" w:rsidR="00484431" w:rsidRDefault="00484431" w:rsidP="006B0E44">
      <w:pPr>
        <w:pStyle w:val="Styl3"/>
        <w:spacing w:after="0"/>
        <w:jc w:val="left"/>
        <w:rPr>
          <w:szCs w:val="22"/>
          <w:lang w:val="sk-SK"/>
        </w:rPr>
      </w:pPr>
    </w:p>
    <w:p w14:paraId="50C781B2" w14:textId="77777777" w:rsidR="00B550C3" w:rsidRPr="006B0E44" w:rsidRDefault="00B550C3" w:rsidP="006B0E44">
      <w:pPr>
        <w:pStyle w:val="Styl3"/>
        <w:spacing w:after="0"/>
        <w:jc w:val="left"/>
        <w:rPr>
          <w:szCs w:val="22"/>
          <w:lang w:val="sk-SK"/>
        </w:rPr>
      </w:pPr>
      <w:r w:rsidRPr="006B0E44">
        <w:rPr>
          <w:szCs w:val="22"/>
          <w:lang w:val="sk-SK"/>
        </w:rPr>
        <w:t>Hypoglykémia</w:t>
      </w:r>
    </w:p>
    <w:p w14:paraId="10C764A1" w14:textId="77777777" w:rsidR="00B550C3" w:rsidRPr="006B0E44" w:rsidRDefault="00B550C3" w:rsidP="007C252A">
      <w:pPr>
        <w:pStyle w:val="Normlndobloku"/>
      </w:pPr>
      <w:r w:rsidRPr="006B0E44">
        <w:t>Je známe, že sulfonylureové antidiabetiká vyvolávajú hypoglykémiu. U pacientov, ktorí dostávajú vildagliptín v kombinácii so sulfonylureovým antidiabetikom, môže byť riziko hypoglykémie. Preto sa môže zvážiť nižšia dávka sulfonylureového antidiabetika, aby sa znížilo riziko hypoglykémie.</w:t>
      </w:r>
    </w:p>
    <w:p w14:paraId="4C6C3B98" w14:textId="77777777" w:rsidR="00484431" w:rsidRDefault="00484431" w:rsidP="006B0E44">
      <w:pPr>
        <w:pStyle w:val="Styl3"/>
        <w:spacing w:after="0"/>
        <w:jc w:val="left"/>
        <w:rPr>
          <w:szCs w:val="22"/>
          <w:lang w:val="sk-SK"/>
        </w:rPr>
      </w:pPr>
    </w:p>
    <w:p w14:paraId="6F371E84" w14:textId="77777777" w:rsidR="00B550C3" w:rsidRPr="006B0E44" w:rsidRDefault="00B550C3" w:rsidP="006B0E44">
      <w:pPr>
        <w:pStyle w:val="Styl3"/>
        <w:spacing w:after="0"/>
        <w:jc w:val="left"/>
        <w:rPr>
          <w:szCs w:val="22"/>
          <w:lang w:val="sk-SK"/>
        </w:rPr>
      </w:pPr>
      <w:r w:rsidRPr="006B0E44">
        <w:rPr>
          <w:szCs w:val="22"/>
          <w:lang w:val="sk-SK"/>
        </w:rPr>
        <w:t>Pomocné látky</w:t>
      </w:r>
    </w:p>
    <w:p w14:paraId="4F539119" w14:textId="30787860" w:rsidR="006B0E44" w:rsidRPr="002631F0" w:rsidRDefault="00AC784A" w:rsidP="007C252A">
      <w:pPr>
        <w:pStyle w:val="Normlndobloku"/>
      </w:pPr>
      <w:r w:rsidRPr="006B0E44">
        <w:t xml:space="preserve">DALMEVIN </w:t>
      </w:r>
      <w:r w:rsidR="00B550C3" w:rsidRPr="006B0E44">
        <w:t>obsahuj</w:t>
      </w:r>
      <w:r w:rsidRPr="006B0E44">
        <w:t>e</w:t>
      </w:r>
      <w:r w:rsidR="00B550C3" w:rsidRPr="006B0E44">
        <w:t xml:space="preserve"> laktózu. </w:t>
      </w:r>
      <w:r w:rsidR="002631F0" w:rsidRPr="006B0E44">
        <w:t xml:space="preserve">Pacienti so zriedkavými dedičnými problémami galaktózovej intolerancie, celkovým deficitom laktázy alebo glukózo-galaktózovou malabsorpciou nesmú </w:t>
      </w:r>
      <w:r w:rsidR="002631F0" w:rsidRPr="002631F0">
        <w:t xml:space="preserve">užívať tento liek. </w:t>
      </w:r>
    </w:p>
    <w:p w14:paraId="73B49AE5" w14:textId="77777777" w:rsidR="00484431" w:rsidRPr="006B0E44" w:rsidRDefault="00484431" w:rsidP="007C252A">
      <w:pPr>
        <w:pStyle w:val="Normlndobloku"/>
      </w:pPr>
    </w:p>
    <w:p w14:paraId="72A73C0C" w14:textId="77777777" w:rsidR="00B550C3" w:rsidRPr="006B0E44" w:rsidRDefault="00A72EBA" w:rsidP="006B0E44">
      <w:pPr>
        <w:pStyle w:val="Styl2"/>
        <w:spacing w:before="0" w:after="0"/>
        <w:ind w:left="0" w:firstLine="0"/>
        <w:rPr>
          <w:szCs w:val="22"/>
        </w:rPr>
      </w:pPr>
      <w:r w:rsidRPr="006B0E44">
        <w:rPr>
          <w:szCs w:val="22"/>
        </w:rPr>
        <w:t>Liekové a iné interakcie</w:t>
      </w:r>
    </w:p>
    <w:p w14:paraId="14B7981D" w14:textId="77777777" w:rsidR="00B550C3" w:rsidRPr="006B0E44" w:rsidRDefault="00B550C3" w:rsidP="007C252A">
      <w:pPr>
        <w:pStyle w:val="Normlndobloku"/>
      </w:pPr>
      <w:r w:rsidRPr="006B0E44">
        <w:t>Vildagliptín má nízky potenciál pre interakcie so súčasne podávanými liekmi. Keďže vildagliptín nie je substrát enzýmu cytochrómu P (CYP) 450 a neinhibuje ani neindukuje enzýmy CYP 450, nie je pravdepodobné, že bude interagovať s </w:t>
      </w:r>
      <w:r w:rsidR="00A62855" w:rsidRPr="006B0E44">
        <w:t>liečivami</w:t>
      </w:r>
      <w:r w:rsidRPr="006B0E44">
        <w:t>, ktoré sú substrátmi, inhibítormi alebo induktormi týchto enzýmov.</w:t>
      </w:r>
    </w:p>
    <w:p w14:paraId="62535ED5" w14:textId="77777777" w:rsidR="00484431" w:rsidRDefault="00484431" w:rsidP="006B0E44">
      <w:pPr>
        <w:pStyle w:val="Styl3"/>
        <w:spacing w:after="0"/>
        <w:jc w:val="left"/>
        <w:rPr>
          <w:szCs w:val="22"/>
          <w:lang w:val="sk-SK"/>
        </w:rPr>
      </w:pPr>
    </w:p>
    <w:p w14:paraId="336A0A77" w14:textId="77777777" w:rsidR="00B550C3" w:rsidRPr="006B0E44" w:rsidRDefault="00B550C3" w:rsidP="006B0E44">
      <w:pPr>
        <w:pStyle w:val="Styl3"/>
        <w:spacing w:after="0"/>
        <w:jc w:val="left"/>
        <w:rPr>
          <w:szCs w:val="22"/>
          <w:lang w:val="sk-SK"/>
        </w:rPr>
      </w:pPr>
      <w:r w:rsidRPr="006B0E44">
        <w:rPr>
          <w:szCs w:val="22"/>
          <w:lang w:val="sk-SK"/>
        </w:rPr>
        <w:t>Kombinácia s pioglitazónom, metformínom a glyburidom</w:t>
      </w:r>
    </w:p>
    <w:p w14:paraId="06203F17" w14:textId="77777777" w:rsidR="00B550C3" w:rsidRDefault="00B550C3" w:rsidP="007C252A">
      <w:pPr>
        <w:pStyle w:val="Normlndobloku"/>
      </w:pPr>
      <w:r w:rsidRPr="006B0E44">
        <w:t>Výsledky štúdií vykonaných s týmito perorálnymi antidiabetikami neukázali žiadne klinicky významné farmakokinetické interakcie.</w:t>
      </w:r>
    </w:p>
    <w:p w14:paraId="1E211040" w14:textId="77777777" w:rsidR="00484431" w:rsidRPr="006B0E44" w:rsidRDefault="00484431" w:rsidP="007C252A">
      <w:pPr>
        <w:pStyle w:val="Normlndobloku"/>
      </w:pPr>
    </w:p>
    <w:p w14:paraId="7579383F" w14:textId="77777777" w:rsidR="00B550C3" w:rsidRPr="006B0E44" w:rsidRDefault="00B550C3" w:rsidP="006B0E44">
      <w:pPr>
        <w:pStyle w:val="Styl3"/>
        <w:spacing w:after="0"/>
        <w:jc w:val="left"/>
        <w:rPr>
          <w:szCs w:val="22"/>
          <w:lang w:val="sk-SK"/>
        </w:rPr>
      </w:pPr>
      <w:r w:rsidRPr="006B0E44">
        <w:rPr>
          <w:szCs w:val="22"/>
          <w:lang w:val="sk-SK"/>
        </w:rPr>
        <w:t>Digoxín (substrát Pgp), warfarín (substrát CYP2C9)</w:t>
      </w:r>
    </w:p>
    <w:p w14:paraId="466FB04A" w14:textId="77777777" w:rsidR="00B550C3" w:rsidRDefault="00B550C3" w:rsidP="007C252A">
      <w:pPr>
        <w:pStyle w:val="Normlndobloku"/>
      </w:pPr>
      <w:r w:rsidRPr="006B0E44">
        <w:t>Klinické štúdie vykonané so zdravými osobami neukázali žiadne klinicky významné farmakokinetické interakcie. Toto sa však nestanovilo u cieľovej populácie.</w:t>
      </w:r>
    </w:p>
    <w:p w14:paraId="45CAD3D6" w14:textId="77777777" w:rsidR="00484431" w:rsidRPr="006B0E44" w:rsidRDefault="00484431" w:rsidP="007C252A">
      <w:pPr>
        <w:pStyle w:val="Normlndobloku"/>
      </w:pPr>
    </w:p>
    <w:p w14:paraId="112D8120" w14:textId="77777777" w:rsidR="00B550C3" w:rsidRPr="006B0E44" w:rsidRDefault="00B550C3" w:rsidP="006B0E44">
      <w:pPr>
        <w:pStyle w:val="Styl3"/>
        <w:spacing w:after="0"/>
        <w:jc w:val="left"/>
        <w:rPr>
          <w:szCs w:val="22"/>
          <w:lang w:val="sk-SK"/>
        </w:rPr>
      </w:pPr>
      <w:r w:rsidRPr="006B0E44">
        <w:rPr>
          <w:szCs w:val="22"/>
          <w:lang w:val="sk-SK"/>
        </w:rPr>
        <w:t>Kombinácia s amlodipínom, ramiprilom, valsartanom alebo simvastatínom</w:t>
      </w:r>
    </w:p>
    <w:p w14:paraId="19BF6DF0" w14:textId="77777777" w:rsidR="00B550C3" w:rsidRPr="006B0E44" w:rsidRDefault="00B550C3" w:rsidP="007C252A">
      <w:pPr>
        <w:pStyle w:val="Normlndobloku"/>
      </w:pPr>
      <w:r w:rsidRPr="006B0E44">
        <w:t>Štúdie liekových interakcií u zdravých osôb sa vykonali s amlodipínom, ramiprilom, valsartanom a simvastatínom. V týchto štúdiách sa nepozorovali žiadne klinicky významné farmakokinetické interakcie po súčasnom podaní s vildagliptínom.</w:t>
      </w:r>
    </w:p>
    <w:p w14:paraId="5FE94456" w14:textId="77777777" w:rsidR="00484431" w:rsidRDefault="00484431" w:rsidP="006B0E44">
      <w:pPr>
        <w:pStyle w:val="Styl3"/>
        <w:spacing w:after="0"/>
        <w:jc w:val="left"/>
        <w:rPr>
          <w:szCs w:val="22"/>
          <w:lang w:val="sk-SK"/>
        </w:rPr>
      </w:pPr>
    </w:p>
    <w:p w14:paraId="12EF8145" w14:textId="77777777" w:rsidR="00B550C3" w:rsidRPr="006B0E44" w:rsidRDefault="00B550C3" w:rsidP="006B0E44">
      <w:pPr>
        <w:pStyle w:val="Styl3"/>
        <w:spacing w:after="0"/>
        <w:jc w:val="left"/>
        <w:rPr>
          <w:szCs w:val="22"/>
          <w:lang w:val="sk-SK"/>
        </w:rPr>
      </w:pPr>
      <w:r w:rsidRPr="006B0E44">
        <w:rPr>
          <w:szCs w:val="22"/>
          <w:lang w:val="sk-SK"/>
        </w:rPr>
        <w:t>Kombinácia s inhibítormi ACE</w:t>
      </w:r>
    </w:p>
    <w:p w14:paraId="093EE85F" w14:textId="77777777" w:rsidR="004F2A6C" w:rsidRPr="006B0E44" w:rsidRDefault="00B550C3" w:rsidP="007C252A">
      <w:pPr>
        <w:pStyle w:val="Normlndobloku"/>
      </w:pPr>
      <w:r w:rsidRPr="006B0E44">
        <w:t>U pacientov súbežne užívajúcich inhibítory ACE môže byť zvýšené riziko angioedému (pozri časť 4.8).</w:t>
      </w:r>
    </w:p>
    <w:p w14:paraId="4D652FBF" w14:textId="77777777" w:rsidR="00B550C3" w:rsidRDefault="00B550C3" w:rsidP="007C252A">
      <w:pPr>
        <w:pStyle w:val="Normlndobloku"/>
      </w:pPr>
      <w:r w:rsidRPr="006B0E44">
        <w:t>Tak ako pri iných perorálnych antidiabetikách, hypoglykemický účinok vildagliptínu môžu oslabiť</w:t>
      </w:r>
      <w:r w:rsidR="00D31A08" w:rsidRPr="006B0E44">
        <w:t xml:space="preserve"> niektoré liečivá vrátane tiazidov, kortikosteroidov, hormónov štítnej žľazy a sympat</w:t>
      </w:r>
      <w:r w:rsidR="00A62855" w:rsidRPr="006B0E44">
        <w:t>o</w:t>
      </w:r>
      <w:r w:rsidR="00D31A08" w:rsidRPr="006B0E44">
        <w:t>mimetík.</w:t>
      </w:r>
    </w:p>
    <w:p w14:paraId="3DE584CF" w14:textId="77777777" w:rsidR="00484431" w:rsidRPr="006B0E44" w:rsidRDefault="00484431" w:rsidP="007C252A">
      <w:pPr>
        <w:pStyle w:val="Normlndobloku"/>
      </w:pPr>
    </w:p>
    <w:p w14:paraId="2924CB8C" w14:textId="77777777" w:rsidR="008F2638" w:rsidRPr="006B0E44" w:rsidRDefault="00A72EBA" w:rsidP="006B0E44">
      <w:pPr>
        <w:pStyle w:val="Styl2"/>
        <w:spacing w:before="0" w:after="0"/>
        <w:ind w:left="0" w:firstLine="0"/>
        <w:rPr>
          <w:szCs w:val="22"/>
        </w:rPr>
      </w:pPr>
      <w:r w:rsidRPr="006B0E44">
        <w:rPr>
          <w:szCs w:val="22"/>
        </w:rPr>
        <w:t>Fertilita, gravidita a laktácia</w:t>
      </w:r>
    </w:p>
    <w:p w14:paraId="03A1853E" w14:textId="77777777" w:rsidR="00484431" w:rsidRDefault="00484431" w:rsidP="006B0E44">
      <w:pPr>
        <w:pStyle w:val="Styl3"/>
        <w:spacing w:after="0"/>
        <w:jc w:val="left"/>
        <w:rPr>
          <w:szCs w:val="22"/>
          <w:lang w:val="sk-SK"/>
        </w:rPr>
      </w:pPr>
    </w:p>
    <w:p w14:paraId="668144A8" w14:textId="77777777" w:rsidR="008F2638" w:rsidRPr="006B0E44" w:rsidRDefault="008F2638" w:rsidP="006B0E44">
      <w:pPr>
        <w:pStyle w:val="Styl3"/>
        <w:spacing w:after="0"/>
        <w:jc w:val="left"/>
        <w:rPr>
          <w:szCs w:val="22"/>
          <w:lang w:val="sk-SK"/>
        </w:rPr>
      </w:pPr>
      <w:r w:rsidRPr="006B0E44">
        <w:rPr>
          <w:szCs w:val="22"/>
          <w:lang w:val="sk-SK"/>
        </w:rPr>
        <w:t>Gravidita</w:t>
      </w:r>
    </w:p>
    <w:p w14:paraId="0833D686" w14:textId="77777777" w:rsidR="008F2638" w:rsidRPr="006B0E44" w:rsidRDefault="008F2638" w:rsidP="007C252A">
      <w:pPr>
        <w:pStyle w:val="Normlndobloku"/>
      </w:pPr>
      <w:r w:rsidRPr="006B0E44">
        <w:t>Nie sú k dispozícii dostatočné údaje o použití vildagliptínu u gravidných žien. Štúdie na zvieratách preukázali reprodukčnú toxicitu pri vysokých dávkach (pozri časť5.3). Nie je známe potenciálne riziko u ľudí. Vzhľadom na chýbajúce údaje u ľudí, sa DALMEVIN nemá používať počas gravidity.</w:t>
      </w:r>
    </w:p>
    <w:p w14:paraId="47B97EF6" w14:textId="77777777" w:rsidR="00484431" w:rsidRDefault="00484431" w:rsidP="006B0E44">
      <w:pPr>
        <w:pStyle w:val="Styl3"/>
        <w:spacing w:after="0"/>
        <w:jc w:val="left"/>
        <w:rPr>
          <w:szCs w:val="22"/>
          <w:lang w:val="sk-SK"/>
        </w:rPr>
      </w:pPr>
    </w:p>
    <w:p w14:paraId="32488A9F" w14:textId="77777777" w:rsidR="008F2638" w:rsidRPr="006B0E44" w:rsidRDefault="008F2638" w:rsidP="006B0E44">
      <w:pPr>
        <w:pStyle w:val="Styl3"/>
        <w:spacing w:after="0"/>
        <w:jc w:val="left"/>
        <w:rPr>
          <w:szCs w:val="22"/>
          <w:lang w:val="sk-SK"/>
        </w:rPr>
      </w:pPr>
      <w:r w:rsidRPr="006B0E44">
        <w:rPr>
          <w:szCs w:val="22"/>
          <w:lang w:val="sk-SK"/>
        </w:rPr>
        <w:t>Dojčenie</w:t>
      </w:r>
    </w:p>
    <w:p w14:paraId="23FAB4C7" w14:textId="77777777" w:rsidR="008F2638" w:rsidRPr="006B0E44" w:rsidRDefault="008F2638" w:rsidP="007C252A">
      <w:pPr>
        <w:pStyle w:val="Normlndobloku"/>
      </w:pPr>
      <w:r w:rsidRPr="006B0E44">
        <w:t>Nie je známe, či sa vildagliptín vylučuje do ľudského mlieka. Štúdie na zvieratách ukázali vylučovanie vildagliptínu do mlieka. DALMEVIN sa nemá používať počas dojčenia.</w:t>
      </w:r>
    </w:p>
    <w:p w14:paraId="63F606EA" w14:textId="77777777" w:rsidR="00484431" w:rsidRDefault="00484431" w:rsidP="006B0E44">
      <w:pPr>
        <w:pStyle w:val="Styl3"/>
        <w:spacing w:after="0"/>
        <w:jc w:val="left"/>
        <w:rPr>
          <w:szCs w:val="22"/>
          <w:lang w:val="sk-SK"/>
        </w:rPr>
      </w:pPr>
    </w:p>
    <w:p w14:paraId="707429EE" w14:textId="77777777" w:rsidR="008F2638" w:rsidRPr="006B0E44" w:rsidRDefault="008F2638" w:rsidP="006B0E44">
      <w:pPr>
        <w:pStyle w:val="Styl3"/>
        <w:spacing w:after="0"/>
        <w:jc w:val="left"/>
        <w:rPr>
          <w:szCs w:val="22"/>
          <w:lang w:val="sk-SK"/>
        </w:rPr>
      </w:pPr>
      <w:r w:rsidRPr="006B0E44">
        <w:rPr>
          <w:szCs w:val="22"/>
          <w:lang w:val="sk-SK"/>
        </w:rPr>
        <w:t>Fertilita</w:t>
      </w:r>
    </w:p>
    <w:p w14:paraId="33797105" w14:textId="77777777" w:rsidR="008F2638" w:rsidRDefault="008F2638" w:rsidP="007C252A">
      <w:pPr>
        <w:pStyle w:val="Normlndobloku"/>
      </w:pPr>
      <w:r w:rsidRPr="006B0E44">
        <w:t>Štúdie o účinku vildaglitínu na fertilitu ľudí sa nevykonali (pozri časť5.3).</w:t>
      </w:r>
    </w:p>
    <w:p w14:paraId="54F19379" w14:textId="77777777" w:rsidR="00484431" w:rsidRPr="006B0E44" w:rsidRDefault="00484431" w:rsidP="007C252A">
      <w:pPr>
        <w:pStyle w:val="Normlndobloku"/>
      </w:pPr>
    </w:p>
    <w:p w14:paraId="52B36DCF" w14:textId="77777777" w:rsidR="008F2638" w:rsidRPr="006B0E44" w:rsidRDefault="00A72EBA" w:rsidP="006B0E44">
      <w:pPr>
        <w:pStyle w:val="Styl2"/>
        <w:spacing w:before="0" w:after="0"/>
        <w:ind w:left="0" w:firstLine="0"/>
        <w:rPr>
          <w:rStyle w:val="NormlndoblokuChar"/>
          <w:szCs w:val="22"/>
        </w:rPr>
      </w:pPr>
      <w:r w:rsidRPr="006B0E44">
        <w:rPr>
          <w:szCs w:val="22"/>
        </w:rPr>
        <w:lastRenderedPageBreak/>
        <w:t>Ovplyvnenie schopnosti viesť vozidlá a obsluhovať stroje</w:t>
      </w:r>
    </w:p>
    <w:p w14:paraId="48888AC5" w14:textId="77777777" w:rsidR="008F2638" w:rsidRDefault="008F2638" w:rsidP="007C252A">
      <w:pPr>
        <w:pStyle w:val="Normlndobloku"/>
      </w:pPr>
      <w:r w:rsidRPr="006B0E44">
        <w:t>Neuskutočnili sa žiadne štúdie o účinkoch na schopnosť viesť vozidlá a obsluhovať stroje. Pacienti, u ktorých sa ako nežiaduca reakcia vyskytnú závraty, nemajú viesť vozidlo alebo obsluhovať stroje.</w:t>
      </w:r>
    </w:p>
    <w:p w14:paraId="394088F9" w14:textId="77777777" w:rsidR="00484431" w:rsidRPr="006B0E44" w:rsidRDefault="00484431" w:rsidP="007C252A">
      <w:pPr>
        <w:pStyle w:val="Normlndobloku"/>
      </w:pPr>
    </w:p>
    <w:p w14:paraId="7BD39763" w14:textId="77777777" w:rsidR="008F2638" w:rsidRPr="006B0E44" w:rsidRDefault="00A72EBA" w:rsidP="006B0E44">
      <w:pPr>
        <w:pStyle w:val="Styl2"/>
        <w:spacing w:before="0" w:after="0"/>
        <w:ind w:left="0" w:firstLine="0"/>
        <w:rPr>
          <w:szCs w:val="22"/>
        </w:rPr>
      </w:pPr>
      <w:r w:rsidRPr="006B0E44">
        <w:rPr>
          <w:szCs w:val="22"/>
        </w:rPr>
        <w:t>Nežiaduce účinky</w:t>
      </w:r>
    </w:p>
    <w:p w14:paraId="7F63B67C" w14:textId="77777777" w:rsidR="00484431" w:rsidRDefault="00484431" w:rsidP="006B0E44">
      <w:pPr>
        <w:pStyle w:val="Styl3"/>
        <w:spacing w:after="0"/>
        <w:jc w:val="left"/>
        <w:rPr>
          <w:szCs w:val="22"/>
          <w:lang w:val="sk-SK"/>
        </w:rPr>
      </w:pPr>
    </w:p>
    <w:p w14:paraId="2F5CA743" w14:textId="77777777" w:rsidR="008F2638" w:rsidRPr="006B0E44" w:rsidRDefault="008F2638" w:rsidP="006B0E44">
      <w:pPr>
        <w:pStyle w:val="Styl3"/>
        <w:spacing w:after="0"/>
        <w:jc w:val="left"/>
        <w:rPr>
          <w:szCs w:val="22"/>
          <w:lang w:val="sk-SK"/>
        </w:rPr>
      </w:pPr>
      <w:r w:rsidRPr="006B0E44">
        <w:rPr>
          <w:szCs w:val="22"/>
          <w:lang w:val="sk-SK"/>
        </w:rPr>
        <w:t>Súhrn profilu bezpečnosti</w:t>
      </w:r>
    </w:p>
    <w:p w14:paraId="108984B1" w14:textId="77777777" w:rsidR="008F2638" w:rsidRDefault="008F2638" w:rsidP="007C252A">
      <w:pPr>
        <w:pStyle w:val="Normlndobloku"/>
      </w:pPr>
      <w:r w:rsidRPr="006B0E44">
        <w:t>Údaje o bezpečnosti sa získali od celkovo 3 784 pacientov, ktorí dostávali vildagliptín v dennej dávke 50 mg (raz denne) alebo 100 mg (50 mg dvakrát denne alebo 100 mg raz denne) v kontrolovaných klinických skúšaniach trvajúcich najmenej 12 týždňov. Z týchto pacientov 2 264 pacientov dostávalo vildagliptín ako monoterapiu a 1 520 pacientov dostávalo vildagliptín v kombinácii s </w:t>
      </w:r>
      <w:r w:rsidR="00E76763" w:rsidRPr="006B0E44">
        <w:t>iným liekom. 2 682 pacientov sa liečilo 100 </w:t>
      </w:r>
      <w:r w:rsidRPr="006B0E44">
        <w:t xml:space="preserve">mg vildagliptínu </w:t>
      </w:r>
      <w:r w:rsidR="00E76763" w:rsidRPr="006B0E44">
        <w:t>denne (buď 50 mg dvakrát denne, alebo 100 mg raz denne) a 1 102 pacientov sa liečilo 50 </w:t>
      </w:r>
      <w:r w:rsidRPr="006B0E44">
        <w:t>mg vildagliptínu raz denne.</w:t>
      </w:r>
    </w:p>
    <w:p w14:paraId="06B43B7E" w14:textId="77777777" w:rsidR="00484431" w:rsidRPr="006B0E44" w:rsidRDefault="00484431" w:rsidP="007C252A">
      <w:pPr>
        <w:pStyle w:val="Normlndobloku"/>
      </w:pPr>
    </w:p>
    <w:p w14:paraId="4B5B054C" w14:textId="77777777" w:rsidR="008F2638" w:rsidRDefault="00E76763" w:rsidP="007C252A">
      <w:pPr>
        <w:pStyle w:val="Normlndobloku"/>
      </w:pPr>
      <w:r w:rsidRPr="006B0E44">
        <w:t>Väčšina nežiaducich reakcií v </w:t>
      </w:r>
      <w:r w:rsidR="008F2638" w:rsidRPr="006B0E44">
        <w:t>týchto klin</w:t>
      </w:r>
      <w:r w:rsidRPr="006B0E44">
        <w:t>ických skúšaniach bola mierna a prechodná a </w:t>
      </w:r>
      <w:r w:rsidR="008F2638" w:rsidRPr="006B0E44">
        <w:t>nevyžiadala si ukončenie liečby. Nezistila sa žiadna súvislos</w:t>
      </w:r>
      <w:r w:rsidRPr="006B0E44">
        <w:t>ť medzi nežiaducimi reakciami a </w:t>
      </w:r>
      <w:r w:rsidR="008F2638" w:rsidRPr="006B0E44">
        <w:t>vekom, etnickou príslušnosťou, trvaním expozície alebo dennou dávkou.</w:t>
      </w:r>
    </w:p>
    <w:p w14:paraId="7DE71B1C" w14:textId="77777777" w:rsidR="00484431" w:rsidRPr="006B0E44" w:rsidRDefault="00484431" w:rsidP="007C252A">
      <w:pPr>
        <w:pStyle w:val="Normlndobloku"/>
      </w:pPr>
    </w:p>
    <w:p w14:paraId="2607ED98" w14:textId="77777777" w:rsidR="008F2638" w:rsidRDefault="008F2638" w:rsidP="007C252A">
      <w:pPr>
        <w:pStyle w:val="Normlndobloku"/>
      </w:pPr>
      <w:r w:rsidRPr="006B0E44">
        <w:t>Zaznamenali sa zriedkavé prípady dysfunkcie pečene (</w:t>
      </w:r>
      <w:r w:rsidR="00E76763" w:rsidRPr="006B0E44">
        <w:t>vrátane hepatitídy). Pacienti v </w:t>
      </w:r>
      <w:r w:rsidRPr="006B0E44">
        <w:t>týchto prípadoch boli spravidla asymptomatickí bez klinických ná</w:t>
      </w:r>
      <w:r w:rsidR="00E76763" w:rsidRPr="006B0E44">
        <w:t>sledkov a </w:t>
      </w:r>
      <w:r w:rsidRPr="006B0E44">
        <w:t>výsledky testov funkcie pečene sa po ukončení liečby vrátili na normálne hodnoty. Podľa údajov z kontrolovaných k</w:t>
      </w:r>
      <w:r w:rsidR="00E76763" w:rsidRPr="006B0E44">
        <w:t>linických skúšaní monoterapie a </w:t>
      </w:r>
      <w:r w:rsidRPr="006B0E44">
        <w:t>prídavnej terapie trvajúcich až 24 týždňov bola incidencia zvýšenia ALT alebo AST ≥ 3-násobok ULN (hodnotené ako prítomné pri najmenej 2 po sebe nasledujúcich meraniach alebo pri záverečnej návšteve počas liečby) 0,2</w:t>
      </w:r>
      <w:r w:rsidR="00E76763" w:rsidRPr="006B0E44">
        <w:t> % pri 50 </w:t>
      </w:r>
      <w:r w:rsidRPr="006B0E44">
        <w:t>mg vildagliptínu raz denne, 0,3</w:t>
      </w:r>
      <w:r w:rsidR="00E76763" w:rsidRPr="006B0E44">
        <w:t> % pri 50 </w:t>
      </w:r>
      <w:r w:rsidRPr="006B0E44">
        <w:t>m</w:t>
      </w:r>
      <w:r w:rsidR="00E76763" w:rsidRPr="006B0E44">
        <w:t>g vildagliptínu dvakrát denne a </w:t>
      </w:r>
      <w:r w:rsidRPr="006B0E44">
        <w:t>0,2</w:t>
      </w:r>
      <w:r w:rsidR="00E76763" w:rsidRPr="006B0E44">
        <w:t> </w:t>
      </w:r>
      <w:r w:rsidRPr="006B0E44">
        <w:t>% pri všetkých komparátoroch. Tieto zvýšenia aminotransferáz boli spravidla a</w:t>
      </w:r>
      <w:r w:rsidR="00E76763" w:rsidRPr="006B0E44">
        <w:t>symptomatické, neprogredujúce a nespájali sa s </w:t>
      </w:r>
      <w:r w:rsidRPr="006B0E44">
        <w:t>cholestázou alebo žltačkou.</w:t>
      </w:r>
    </w:p>
    <w:p w14:paraId="1932B3C4" w14:textId="77777777" w:rsidR="00484431" w:rsidRPr="006B0E44" w:rsidRDefault="00484431" w:rsidP="007C252A">
      <w:pPr>
        <w:pStyle w:val="Normlndobloku"/>
      </w:pPr>
    </w:p>
    <w:p w14:paraId="49272DFC" w14:textId="77777777" w:rsidR="008F2638" w:rsidRDefault="008F2638" w:rsidP="007C252A">
      <w:pPr>
        <w:pStyle w:val="Normlndobloku"/>
      </w:pPr>
      <w:r w:rsidRPr="006B0E44">
        <w:t>Pri vildagliptíne boli hlásené</w:t>
      </w:r>
      <w:r w:rsidR="00E76763" w:rsidRPr="006B0E44">
        <w:t xml:space="preserve"> zriedkavé prípady angioedému s výskytom podobným ako v </w:t>
      </w:r>
      <w:r w:rsidRPr="006B0E44">
        <w:t>kontrolných skupinách. Vyšší podiel prípadov bol hlásený, keď sa vildaglip</w:t>
      </w:r>
      <w:r w:rsidR="00E76763" w:rsidRPr="006B0E44">
        <w:t>tín podával v kombinácii s </w:t>
      </w:r>
      <w:r w:rsidRPr="006B0E44">
        <w:t>inhibítorom enzýmu konvertujúceho angiotenzín (inhibítor ACE). Väčšina udalostí</w:t>
      </w:r>
      <w:r w:rsidR="00E76763" w:rsidRPr="006B0E44">
        <w:t xml:space="preserve"> bola mierna čo do závažnosti a </w:t>
      </w:r>
      <w:r w:rsidRPr="006B0E44">
        <w:t>zmizla pri pokračujúcej liečbe vildagliptínom.</w:t>
      </w:r>
    </w:p>
    <w:p w14:paraId="7F1BF6D5" w14:textId="77777777" w:rsidR="00484431" w:rsidRPr="006B0E44" w:rsidRDefault="00484431" w:rsidP="007C252A">
      <w:pPr>
        <w:pStyle w:val="Normlndobloku"/>
      </w:pPr>
    </w:p>
    <w:p w14:paraId="6ED944DC" w14:textId="77777777" w:rsidR="008F2638" w:rsidRPr="006B0E44" w:rsidRDefault="008F2638" w:rsidP="006B0E44">
      <w:pPr>
        <w:pStyle w:val="Styl3"/>
        <w:spacing w:after="0"/>
        <w:jc w:val="left"/>
        <w:rPr>
          <w:szCs w:val="22"/>
          <w:lang w:val="sk-SK"/>
        </w:rPr>
      </w:pPr>
      <w:r w:rsidRPr="006B0E44">
        <w:rPr>
          <w:szCs w:val="22"/>
          <w:lang w:val="sk-SK"/>
        </w:rPr>
        <w:t>Tabuľkový zoznam nežiaducich reakcií</w:t>
      </w:r>
    </w:p>
    <w:p w14:paraId="203392F3" w14:textId="77777777" w:rsidR="008F2638" w:rsidRPr="006B0E44" w:rsidRDefault="00E76763" w:rsidP="007C252A">
      <w:pPr>
        <w:pStyle w:val="Normlndobloku"/>
      </w:pPr>
      <w:r w:rsidRPr="006B0E44">
        <w:t>Nežiaduce reakcie hlásené u </w:t>
      </w:r>
      <w:r w:rsidR="008F2638" w:rsidRPr="006B0E44">
        <w:t>pacien</w:t>
      </w:r>
      <w:r w:rsidRPr="006B0E44">
        <w:t>tov, ktorí dostávali vildagliptín v </w:t>
      </w:r>
      <w:r w:rsidR="008F2638" w:rsidRPr="006B0E44">
        <w:t xml:space="preserve">dvojito </w:t>
      </w:r>
      <w:r w:rsidR="00F511FF" w:rsidRPr="006B0E44">
        <w:t>zaslepených</w:t>
      </w:r>
      <w:r w:rsidR="008F2638" w:rsidRPr="006B0E44">
        <w:t xml:space="preserve"> klinických skúšaniach</w:t>
      </w:r>
      <w:r w:rsidRPr="006B0E44">
        <w:t xml:space="preserve"> ako monoterapiu a </w:t>
      </w:r>
      <w:r w:rsidR="008F2638" w:rsidRPr="006B0E44">
        <w:t>prídavné terapie, sú uvedené nižšie pre každú indikáciu pod</w:t>
      </w:r>
      <w:r w:rsidRPr="006B0E44">
        <w:t>ľa triedy orgánových systémov a </w:t>
      </w:r>
      <w:r w:rsidR="008F2638" w:rsidRPr="006B0E44">
        <w:t>absolútnej frekvencie. Frekvencie sú definované ako veľmi časté (≥1/10), časté (≥1/1</w:t>
      </w:r>
      <w:r w:rsidRPr="006B0E44">
        <w:t>00 až &lt;1/10), menej časté (≥1/1 </w:t>
      </w:r>
      <w:r w:rsidR="008F2638" w:rsidRPr="006B0E44">
        <w:t>0</w:t>
      </w:r>
      <w:r w:rsidRPr="006B0E44">
        <w:t>00 až &lt;1/100), zriedkavé (≥1/10 000 až &lt;1/1 000), veľmi zriedkavé (&lt;1/10 000), neznáme (z dostupných údajov). V </w:t>
      </w:r>
      <w:r w:rsidR="008F2638" w:rsidRPr="006B0E44">
        <w:t xml:space="preserve">rámci jednotlivých skupín frekvencií sú </w:t>
      </w:r>
      <w:r w:rsidRPr="006B0E44">
        <w:t>nežiaduce reakcie usporiadané v </w:t>
      </w:r>
      <w:r w:rsidR="008F2638" w:rsidRPr="006B0E44">
        <w:t>poradí klesajúcej závažnosti.</w:t>
      </w:r>
    </w:p>
    <w:p w14:paraId="759944D3" w14:textId="77777777" w:rsidR="00484431" w:rsidRDefault="00484431" w:rsidP="005F582D">
      <w:pPr>
        <w:pStyle w:val="Styl5"/>
        <w:rPr>
          <w:lang w:eastAsia="sk-SK"/>
        </w:rPr>
      </w:pPr>
    </w:p>
    <w:p w14:paraId="13F2369C" w14:textId="77777777" w:rsidR="00E76763" w:rsidRPr="006B0E44" w:rsidRDefault="00E76763" w:rsidP="005F582D">
      <w:pPr>
        <w:pStyle w:val="Styl5"/>
        <w:rPr>
          <w:lang w:eastAsia="sk-SK"/>
        </w:rPr>
      </w:pPr>
      <w:r w:rsidRPr="006B0E44">
        <w:rPr>
          <w:lang w:eastAsia="sk-SK"/>
        </w:rPr>
        <w:t>Kombinácia s </w:t>
      </w:r>
      <w:r w:rsidRPr="006B0E44">
        <w:t>metformínom</w:t>
      </w:r>
    </w:p>
    <w:p w14:paraId="4E25BE23" w14:textId="77777777" w:rsidR="00864740" w:rsidRPr="002631F0" w:rsidRDefault="00E76763" w:rsidP="007C252A">
      <w:pPr>
        <w:pStyle w:val="Normlndobloku"/>
        <w:rPr>
          <w:lang w:eastAsia="sk-SK"/>
        </w:rPr>
      </w:pPr>
      <w:r w:rsidRPr="002631F0">
        <w:rPr>
          <w:lang w:eastAsia="sk-SK"/>
        </w:rPr>
        <w:t xml:space="preserve">Tabuľka 1 </w:t>
      </w:r>
      <w:r w:rsidR="004055F6" w:rsidRPr="002631F0">
        <w:rPr>
          <w:lang w:eastAsia="sk-SK"/>
        </w:rPr>
        <w:t xml:space="preserve">- </w:t>
      </w:r>
      <w:r w:rsidRPr="002631F0">
        <w:rPr>
          <w:lang w:eastAsia="sk-SK"/>
        </w:rPr>
        <w:t xml:space="preserve">Nežiaduce reakcie hlásené u pacientov, ktorí dostávali vildagliptín 100 mg denne v kombinácii s metformínom v dvojito </w:t>
      </w:r>
      <w:r w:rsidR="00F511FF" w:rsidRPr="002631F0">
        <w:rPr>
          <w:lang w:eastAsia="sk-SK"/>
        </w:rPr>
        <w:t>zaslepených</w:t>
      </w:r>
      <w:r w:rsidRPr="002631F0">
        <w:rPr>
          <w:lang w:eastAsia="sk-SK"/>
        </w:rPr>
        <w:t xml:space="preserve"> klinických skúšaniach (N=208)</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7"/>
        <w:gridCol w:w="1738"/>
        <w:gridCol w:w="4347"/>
      </w:tblGrid>
      <w:tr w:rsidR="00953E71" w:rsidRPr="002631F0" w14:paraId="240EA4C3" w14:textId="77777777" w:rsidTr="00165383">
        <w:trPr>
          <w:trHeight w:val="176"/>
          <w:tblHeader/>
        </w:trPr>
        <w:tc>
          <w:tcPr>
            <w:tcW w:w="3437" w:type="dxa"/>
          </w:tcPr>
          <w:p w14:paraId="18FC18C9" w14:textId="77777777" w:rsidR="00953E71" w:rsidRPr="006B0E44" w:rsidRDefault="00953E71" w:rsidP="007C252A">
            <w:pPr>
              <w:pStyle w:val="Normlndobloku"/>
            </w:pPr>
            <w:r w:rsidRPr="002631F0">
              <w:t>Trieda orgánových systémov podľa MedDRA</w:t>
            </w:r>
          </w:p>
        </w:tc>
        <w:tc>
          <w:tcPr>
            <w:tcW w:w="1738" w:type="dxa"/>
          </w:tcPr>
          <w:p w14:paraId="1A4FA938" w14:textId="77777777" w:rsidR="00953E71" w:rsidRPr="006B0E44" w:rsidRDefault="00953E71" w:rsidP="007C252A">
            <w:pPr>
              <w:pStyle w:val="Normlndobloku"/>
            </w:pPr>
            <w:r w:rsidRPr="006B0E44">
              <w:t>Frekvencia</w:t>
            </w:r>
          </w:p>
        </w:tc>
        <w:tc>
          <w:tcPr>
            <w:tcW w:w="4347" w:type="dxa"/>
          </w:tcPr>
          <w:p w14:paraId="7D1B86C8" w14:textId="77777777" w:rsidR="00953E71" w:rsidRPr="006B0E44" w:rsidRDefault="00953E71" w:rsidP="007C252A">
            <w:pPr>
              <w:pStyle w:val="Normlndobloku"/>
            </w:pPr>
            <w:r w:rsidRPr="006B0E44">
              <w:t>Nežiaduci účinok</w:t>
            </w:r>
          </w:p>
        </w:tc>
      </w:tr>
      <w:tr w:rsidR="00953E71" w:rsidRPr="002631F0" w14:paraId="28A1CE2E" w14:textId="77777777" w:rsidTr="00165383">
        <w:trPr>
          <w:trHeight w:val="176"/>
        </w:trPr>
        <w:tc>
          <w:tcPr>
            <w:tcW w:w="3437" w:type="dxa"/>
          </w:tcPr>
          <w:p w14:paraId="60D39B4A" w14:textId="77777777" w:rsidR="00953E71" w:rsidRPr="002631F0" w:rsidRDefault="00E76763" w:rsidP="007C252A">
            <w:pPr>
              <w:pStyle w:val="Normlndobloku"/>
            </w:pPr>
            <w:r w:rsidRPr="002631F0">
              <w:t>Poruchy metabolizmu a výživy</w:t>
            </w:r>
          </w:p>
        </w:tc>
        <w:tc>
          <w:tcPr>
            <w:tcW w:w="1738" w:type="dxa"/>
          </w:tcPr>
          <w:p w14:paraId="30F9468B" w14:textId="77777777" w:rsidR="00953E71" w:rsidRPr="002631F0" w:rsidRDefault="00E76763" w:rsidP="007C252A">
            <w:pPr>
              <w:pStyle w:val="Normlndobloku"/>
            </w:pPr>
            <w:r w:rsidRPr="002631F0">
              <w:t>Časté</w:t>
            </w:r>
          </w:p>
        </w:tc>
        <w:tc>
          <w:tcPr>
            <w:tcW w:w="4347" w:type="dxa"/>
          </w:tcPr>
          <w:p w14:paraId="6614021C" w14:textId="77777777" w:rsidR="00953E71" w:rsidRPr="002631F0" w:rsidRDefault="00E76763" w:rsidP="007C252A">
            <w:pPr>
              <w:pStyle w:val="Normlndobloku"/>
            </w:pPr>
            <w:r w:rsidRPr="002631F0">
              <w:t>Hypoglykémia</w:t>
            </w:r>
          </w:p>
        </w:tc>
      </w:tr>
      <w:tr w:rsidR="00953E71" w:rsidRPr="002631F0" w14:paraId="7BF85117" w14:textId="77777777" w:rsidTr="00165383">
        <w:trPr>
          <w:trHeight w:val="176"/>
        </w:trPr>
        <w:tc>
          <w:tcPr>
            <w:tcW w:w="3437" w:type="dxa"/>
          </w:tcPr>
          <w:p w14:paraId="626F84AA" w14:textId="77777777" w:rsidR="00953E71" w:rsidRPr="002631F0" w:rsidRDefault="00E76763" w:rsidP="007C252A">
            <w:pPr>
              <w:pStyle w:val="Normlndobloku"/>
            </w:pPr>
            <w:r w:rsidRPr="002631F0">
              <w:t>Poruchy nervového systému</w:t>
            </w:r>
          </w:p>
        </w:tc>
        <w:tc>
          <w:tcPr>
            <w:tcW w:w="1738" w:type="dxa"/>
          </w:tcPr>
          <w:p w14:paraId="6B41524F" w14:textId="77777777" w:rsidR="00953E71" w:rsidRPr="002631F0" w:rsidRDefault="00E76763" w:rsidP="007C252A">
            <w:pPr>
              <w:pStyle w:val="Normlndobloku"/>
            </w:pPr>
            <w:r w:rsidRPr="002631F0">
              <w:t>Časté</w:t>
            </w:r>
          </w:p>
          <w:p w14:paraId="43FF97C3" w14:textId="77777777" w:rsidR="00953E71" w:rsidRPr="002631F0" w:rsidRDefault="00E76763" w:rsidP="007C252A">
            <w:pPr>
              <w:pStyle w:val="Normlndobloku"/>
            </w:pPr>
            <w:r w:rsidRPr="002631F0">
              <w:t>Časté</w:t>
            </w:r>
          </w:p>
          <w:p w14:paraId="3F6DDF71" w14:textId="77777777" w:rsidR="00E76763" w:rsidRPr="006B0E44" w:rsidRDefault="00E76763" w:rsidP="007C252A">
            <w:pPr>
              <w:pStyle w:val="Normlndobloku"/>
            </w:pPr>
            <w:r w:rsidRPr="006B0E44">
              <w:t>Časté</w:t>
            </w:r>
          </w:p>
          <w:p w14:paraId="7521D674" w14:textId="77777777" w:rsidR="00E76763" w:rsidRPr="006B0E44" w:rsidRDefault="00E76763" w:rsidP="007C252A">
            <w:pPr>
              <w:pStyle w:val="Normlndobloku"/>
            </w:pPr>
            <w:r w:rsidRPr="006B0E44">
              <w:t>Menej časté</w:t>
            </w:r>
          </w:p>
        </w:tc>
        <w:tc>
          <w:tcPr>
            <w:tcW w:w="4347" w:type="dxa"/>
          </w:tcPr>
          <w:p w14:paraId="2E2D0944" w14:textId="77777777" w:rsidR="00953E71" w:rsidRPr="006B0E44" w:rsidRDefault="00E76763" w:rsidP="007C252A">
            <w:pPr>
              <w:pStyle w:val="Normlndobloku"/>
            </w:pPr>
            <w:r w:rsidRPr="006B0E44">
              <w:t>Tremor</w:t>
            </w:r>
          </w:p>
          <w:p w14:paraId="10C9498D" w14:textId="77777777" w:rsidR="00E76763" w:rsidRPr="006B0E44" w:rsidRDefault="00E76763" w:rsidP="007C252A">
            <w:pPr>
              <w:pStyle w:val="Normlndobloku"/>
            </w:pPr>
            <w:r w:rsidRPr="006B0E44">
              <w:t>Bolesť hlavy</w:t>
            </w:r>
          </w:p>
          <w:p w14:paraId="15176384" w14:textId="77777777" w:rsidR="00953E71" w:rsidRPr="006B0E44" w:rsidRDefault="00E76763" w:rsidP="007C252A">
            <w:pPr>
              <w:pStyle w:val="Normlndobloku"/>
            </w:pPr>
            <w:r w:rsidRPr="006B0E44">
              <w:t>Závraty</w:t>
            </w:r>
          </w:p>
          <w:p w14:paraId="3D5188C2" w14:textId="77777777" w:rsidR="00E76763" w:rsidRPr="006B0E44" w:rsidRDefault="00E76763" w:rsidP="007C252A">
            <w:pPr>
              <w:pStyle w:val="Normlndobloku"/>
            </w:pPr>
            <w:r w:rsidRPr="006B0E44">
              <w:t>Únava</w:t>
            </w:r>
          </w:p>
        </w:tc>
      </w:tr>
      <w:tr w:rsidR="00953E71" w:rsidRPr="002631F0" w14:paraId="5BE0073C" w14:textId="77777777" w:rsidTr="00165383">
        <w:trPr>
          <w:trHeight w:val="176"/>
        </w:trPr>
        <w:tc>
          <w:tcPr>
            <w:tcW w:w="3437" w:type="dxa"/>
          </w:tcPr>
          <w:p w14:paraId="004BDEAA" w14:textId="77777777" w:rsidR="00953E71" w:rsidRPr="002631F0" w:rsidRDefault="00E76763" w:rsidP="007C252A">
            <w:pPr>
              <w:pStyle w:val="Normlndobloku"/>
            </w:pPr>
            <w:r w:rsidRPr="002631F0">
              <w:t>Poruchy gastrointestinálneho traktu</w:t>
            </w:r>
          </w:p>
        </w:tc>
        <w:tc>
          <w:tcPr>
            <w:tcW w:w="1738" w:type="dxa"/>
          </w:tcPr>
          <w:p w14:paraId="79A9C43F" w14:textId="77777777" w:rsidR="00953E71" w:rsidRPr="002631F0" w:rsidRDefault="00E76763" w:rsidP="007C252A">
            <w:pPr>
              <w:pStyle w:val="Normlndobloku"/>
            </w:pPr>
            <w:r w:rsidRPr="002631F0">
              <w:t>Časté</w:t>
            </w:r>
          </w:p>
        </w:tc>
        <w:tc>
          <w:tcPr>
            <w:tcW w:w="4347" w:type="dxa"/>
          </w:tcPr>
          <w:p w14:paraId="00DA9057" w14:textId="77777777" w:rsidR="00953E71" w:rsidRPr="002631F0" w:rsidRDefault="00E76763" w:rsidP="007C252A">
            <w:pPr>
              <w:pStyle w:val="Normlndobloku"/>
            </w:pPr>
            <w:r w:rsidRPr="002631F0">
              <w:t>Nauzea</w:t>
            </w:r>
          </w:p>
        </w:tc>
      </w:tr>
    </w:tbl>
    <w:p w14:paraId="3C827A64" w14:textId="77777777" w:rsidR="00484431" w:rsidRDefault="00484431" w:rsidP="005F582D">
      <w:pPr>
        <w:pStyle w:val="Styl4"/>
        <w:rPr>
          <w:lang w:eastAsia="sk-SK"/>
        </w:rPr>
      </w:pPr>
    </w:p>
    <w:p w14:paraId="749E1B5A" w14:textId="77777777" w:rsidR="00E76763" w:rsidRPr="006B0E44" w:rsidRDefault="00E76763" w:rsidP="005F582D">
      <w:pPr>
        <w:pStyle w:val="Styl4"/>
        <w:rPr>
          <w:lang w:eastAsia="sk-SK"/>
        </w:rPr>
      </w:pPr>
      <w:r w:rsidRPr="006B0E44">
        <w:rPr>
          <w:lang w:eastAsia="sk-SK"/>
        </w:rPr>
        <w:t>Popis vybraných nežiaducich reakcií</w:t>
      </w:r>
    </w:p>
    <w:p w14:paraId="708C4168" w14:textId="77777777" w:rsidR="00E76763" w:rsidRPr="002631F0" w:rsidRDefault="00E76763" w:rsidP="007C252A">
      <w:pPr>
        <w:pStyle w:val="Normlndobloku"/>
        <w:rPr>
          <w:lang w:eastAsia="sk-SK"/>
        </w:rPr>
      </w:pPr>
      <w:r w:rsidRPr="002631F0">
        <w:rPr>
          <w:lang w:eastAsia="sk-SK"/>
        </w:rPr>
        <w:t>V kontrolovaných klinických skúšaniach kombinácie 100 mg vildagliptínu denne s metformínom nebolo hlásené žiadne ukončenie účasti pre nežiaduce reakcie v skupinách liečby 100 mg vildagliptínu denne s metformínom, ani placeba s metformínom.</w:t>
      </w:r>
    </w:p>
    <w:p w14:paraId="4FB61A68" w14:textId="77777777" w:rsidR="00484431" w:rsidRDefault="00484431" w:rsidP="007C252A">
      <w:pPr>
        <w:pStyle w:val="Normlndobloku"/>
        <w:rPr>
          <w:lang w:eastAsia="sk-SK"/>
        </w:rPr>
      </w:pPr>
    </w:p>
    <w:p w14:paraId="181FE9B7" w14:textId="77777777" w:rsidR="00E76763" w:rsidRPr="002631F0" w:rsidRDefault="00E76763" w:rsidP="007C252A">
      <w:pPr>
        <w:pStyle w:val="Normlndobloku"/>
        <w:rPr>
          <w:lang w:eastAsia="sk-SK"/>
        </w:rPr>
      </w:pPr>
      <w:r w:rsidRPr="002631F0">
        <w:rPr>
          <w:lang w:eastAsia="sk-SK"/>
        </w:rPr>
        <w:t>V klinických skúšaniach bola incidencia hypoglykémie častá u pacientov, ktorí dostávali 100 mg vildagliptínu denne v kombinácii s metformínom (1 %) a menej častá u pacientov, ktorí dostávali placebo s metformínom (0,4 %). V skupinách vildagliptínu neboli hlásené žiadne ťažké hypoglykemické udalosti.</w:t>
      </w:r>
    </w:p>
    <w:p w14:paraId="1B55D478" w14:textId="77777777" w:rsidR="00484431" w:rsidRDefault="00484431" w:rsidP="007C252A">
      <w:pPr>
        <w:pStyle w:val="Normlndobloku"/>
        <w:rPr>
          <w:lang w:eastAsia="sk-SK"/>
        </w:rPr>
      </w:pPr>
    </w:p>
    <w:p w14:paraId="46C4C1E8" w14:textId="77777777" w:rsidR="00E76763" w:rsidRPr="006B0E44" w:rsidRDefault="00E76763" w:rsidP="007C252A">
      <w:pPr>
        <w:pStyle w:val="Normlndobloku"/>
        <w:rPr>
          <w:lang w:eastAsia="sk-SK"/>
        </w:rPr>
      </w:pPr>
      <w:r w:rsidRPr="002631F0">
        <w:rPr>
          <w:lang w:eastAsia="sk-SK"/>
        </w:rPr>
        <w:t>V klinických skúšaniach sa telesná hmotnosť nezmenila oproti východiskovým hodnotám, keď sa 100 mg vildagliptínu denne pridalo k metformínu (+0,2 kg pri vildagliptíne a -1,0 kg pri placebe).</w:t>
      </w:r>
    </w:p>
    <w:p w14:paraId="054FB19C" w14:textId="77777777" w:rsidR="00484431" w:rsidRDefault="00484431" w:rsidP="007C252A">
      <w:pPr>
        <w:pStyle w:val="Normlndobloku"/>
        <w:rPr>
          <w:lang w:eastAsia="sk-SK"/>
        </w:rPr>
      </w:pPr>
    </w:p>
    <w:p w14:paraId="5D5D565B" w14:textId="77777777" w:rsidR="00E76763" w:rsidRPr="006B0E44" w:rsidRDefault="00E76763" w:rsidP="007C252A">
      <w:pPr>
        <w:pStyle w:val="Normlndobloku"/>
        <w:rPr>
          <w:lang w:eastAsia="sk-SK"/>
        </w:rPr>
      </w:pPr>
      <w:r w:rsidRPr="006B0E44">
        <w:rPr>
          <w:lang w:eastAsia="sk-SK"/>
        </w:rPr>
        <w:t>V klinických skúšaniach trvajúcich viac ako 2 roky sa neukázali žiadne ďalšie signály týkajúce sa bezpečnosti alebo nepredvídané riziká, keď sa vildagliptín pridal k metformínu.</w:t>
      </w:r>
    </w:p>
    <w:p w14:paraId="60C6D319" w14:textId="77777777" w:rsidR="00484431" w:rsidRDefault="00484431" w:rsidP="005F582D">
      <w:pPr>
        <w:pStyle w:val="Styl5"/>
      </w:pPr>
    </w:p>
    <w:p w14:paraId="469D5174" w14:textId="77777777" w:rsidR="00E76763" w:rsidRPr="006B0E44" w:rsidRDefault="00E76763" w:rsidP="005F582D">
      <w:pPr>
        <w:pStyle w:val="Styl5"/>
      </w:pPr>
      <w:r w:rsidRPr="006B0E44">
        <w:t>Kombinácia so sulfonylureovým antidiabetikom</w:t>
      </w:r>
    </w:p>
    <w:p w14:paraId="1C4AB425" w14:textId="77777777" w:rsidR="00E76763" w:rsidRPr="002631F0" w:rsidRDefault="00E76763" w:rsidP="007C252A">
      <w:pPr>
        <w:pStyle w:val="Normlndobloku"/>
        <w:rPr>
          <w:lang w:eastAsia="sk-SK"/>
        </w:rPr>
      </w:pPr>
      <w:r w:rsidRPr="002631F0">
        <w:rPr>
          <w:lang w:eastAsia="sk-SK"/>
        </w:rPr>
        <w:t xml:space="preserve">Tabuľka 2 </w:t>
      </w:r>
      <w:r w:rsidR="004F01AF" w:rsidRPr="002631F0">
        <w:rPr>
          <w:lang w:eastAsia="sk-SK"/>
        </w:rPr>
        <w:t xml:space="preserve">- </w:t>
      </w:r>
      <w:r w:rsidRPr="002631F0">
        <w:rPr>
          <w:lang w:eastAsia="sk-SK"/>
        </w:rPr>
        <w:t xml:space="preserve">Nežiaduce reakcie hlásené u pacientov, ktorí dostávali vildagliptín 50 mg v kombinácii so sulfonylureovým antidiabetikom v dvojito </w:t>
      </w:r>
      <w:r w:rsidR="00F511FF" w:rsidRPr="002631F0">
        <w:rPr>
          <w:lang w:eastAsia="sk-SK"/>
        </w:rPr>
        <w:t>zaslepených</w:t>
      </w:r>
      <w:r w:rsidRPr="002631F0">
        <w:rPr>
          <w:lang w:eastAsia="sk-SK"/>
        </w:rPr>
        <w:t xml:space="preserve"> klinických skúšaniach (N=170)</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4"/>
        <w:gridCol w:w="1746"/>
        <w:gridCol w:w="4368"/>
      </w:tblGrid>
      <w:tr w:rsidR="00E76763" w:rsidRPr="002631F0" w14:paraId="43C85A56" w14:textId="77777777" w:rsidTr="00165383">
        <w:trPr>
          <w:trHeight w:val="182"/>
          <w:tblHeader/>
        </w:trPr>
        <w:tc>
          <w:tcPr>
            <w:tcW w:w="3454" w:type="dxa"/>
          </w:tcPr>
          <w:p w14:paraId="78EDC395" w14:textId="77777777" w:rsidR="00E76763" w:rsidRPr="006B0E44" w:rsidRDefault="00E76763" w:rsidP="007C252A">
            <w:pPr>
              <w:pStyle w:val="Normlndobloku"/>
            </w:pPr>
            <w:r w:rsidRPr="002631F0">
              <w:t>Trieda orgánových systémov podľa MedDRA</w:t>
            </w:r>
          </w:p>
        </w:tc>
        <w:tc>
          <w:tcPr>
            <w:tcW w:w="1746" w:type="dxa"/>
          </w:tcPr>
          <w:p w14:paraId="54752AA8" w14:textId="77777777" w:rsidR="00E76763" w:rsidRPr="006B0E44" w:rsidRDefault="00E76763" w:rsidP="007C252A">
            <w:pPr>
              <w:pStyle w:val="Normlndobloku"/>
            </w:pPr>
            <w:r w:rsidRPr="006B0E44">
              <w:t>Frekvencia</w:t>
            </w:r>
          </w:p>
        </w:tc>
        <w:tc>
          <w:tcPr>
            <w:tcW w:w="4368" w:type="dxa"/>
          </w:tcPr>
          <w:p w14:paraId="2DF24EDE" w14:textId="77777777" w:rsidR="00E76763" w:rsidRPr="006B0E44" w:rsidRDefault="00E76763" w:rsidP="007C252A">
            <w:pPr>
              <w:pStyle w:val="Normlndobloku"/>
            </w:pPr>
            <w:r w:rsidRPr="006B0E44">
              <w:t>Nežiaduci účinok</w:t>
            </w:r>
          </w:p>
        </w:tc>
      </w:tr>
      <w:tr w:rsidR="00E76763" w:rsidRPr="002631F0" w14:paraId="1AB417F9" w14:textId="77777777" w:rsidTr="00165383">
        <w:trPr>
          <w:trHeight w:val="182"/>
        </w:trPr>
        <w:tc>
          <w:tcPr>
            <w:tcW w:w="3454" w:type="dxa"/>
          </w:tcPr>
          <w:p w14:paraId="783E7E37" w14:textId="77777777" w:rsidR="00E76763" w:rsidRPr="002631F0" w:rsidRDefault="00182313" w:rsidP="007C252A">
            <w:pPr>
              <w:pStyle w:val="Normlndobloku"/>
            </w:pPr>
            <w:r w:rsidRPr="002631F0">
              <w:t>Infekcie a nákazy</w:t>
            </w:r>
          </w:p>
        </w:tc>
        <w:tc>
          <w:tcPr>
            <w:tcW w:w="1746" w:type="dxa"/>
          </w:tcPr>
          <w:p w14:paraId="107CF02E" w14:textId="77777777" w:rsidR="00E76763" w:rsidRPr="002631F0" w:rsidRDefault="00182313" w:rsidP="007C252A">
            <w:pPr>
              <w:pStyle w:val="Normlndobloku"/>
            </w:pPr>
            <w:r w:rsidRPr="002631F0">
              <w:t>Veľmi zriedkavé</w:t>
            </w:r>
          </w:p>
        </w:tc>
        <w:tc>
          <w:tcPr>
            <w:tcW w:w="4368" w:type="dxa"/>
          </w:tcPr>
          <w:p w14:paraId="2416D347" w14:textId="77777777" w:rsidR="00E76763" w:rsidRPr="002631F0" w:rsidRDefault="00182313" w:rsidP="007C252A">
            <w:pPr>
              <w:pStyle w:val="Normlndobloku"/>
            </w:pPr>
            <w:r w:rsidRPr="002631F0">
              <w:t>Nazofaryngitída</w:t>
            </w:r>
          </w:p>
        </w:tc>
      </w:tr>
      <w:tr w:rsidR="004F239A" w:rsidRPr="002631F0" w14:paraId="1D3537AC" w14:textId="77777777" w:rsidTr="00165383">
        <w:trPr>
          <w:trHeight w:val="182"/>
        </w:trPr>
        <w:tc>
          <w:tcPr>
            <w:tcW w:w="3454" w:type="dxa"/>
          </w:tcPr>
          <w:p w14:paraId="0A086262" w14:textId="77777777" w:rsidR="004F239A" w:rsidRPr="002631F0" w:rsidRDefault="006F6B5A" w:rsidP="007C252A">
            <w:pPr>
              <w:pStyle w:val="Normlndobloku"/>
            </w:pPr>
            <w:r w:rsidRPr="002631F0">
              <w:t>Poruchy metabolizmu a výživy</w:t>
            </w:r>
          </w:p>
        </w:tc>
        <w:tc>
          <w:tcPr>
            <w:tcW w:w="1746" w:type="dxa"/>
          </w:tcPr>
          <w:p w14:paraId="7EB3028B" w14:textId="77777777" w:rsidR="004F239A" w:rsidRPr="002631F0" w:rsidRDefault="006F6B5A" w:rsidP="007C252A">
            <w:pPr>
              <w:pStyle w:val="Normlndobloku"/>
            </w:pPr>
            <w:r w:rsidRPr="002631F0">
              <w:t>Časté</w:t>
            </w:r>
          </w:p>
        </w:tc>
        <w:tc>
          <w:tcPr>
            <w:tcW w:w="4368" w:type="dxa"/>
          </w:tcPr>
          <w:p w14:paraId="3475907F" w14:textId="77777777" w:rsidR="004F239A" w:rsidRPr="002631F0" w:rsidRDefault="006F6B5A" w:rsidP="007C252A">
            <w:pPr>
              <w:pStyle w:val="Normlndobloku"/>
            </w:pPr>
            <w:r w:rsidRPr="002631F0">
              <w:t>Hypoglykémia</w:t>
            </w:r>
          </w:p>
        </w:tc>
      </w:tr>
      <w:tr w:rsidR="00E76763" w:rsidRPr="002631F0" w14:paraId="5B9664B6" w14:textId="77777777" w:rsidTr="00165383">
        <w:trPr>
          <w:trHeight w:val="182"/>
        </w:trPr>
        <w:tc>
          <w:tcPr>
            <w:tcW w:w="3454" w:type="dxa"/>
          </w:tcPr>
          <w:p w14:paraId="1DA58BAA" w14:textId="77777777" w:rsidR="00E76763" w:rsidRPr="002631F0" w:rsidRDefault="00E76763" w:rsidP="007C252A">
            <w:pPr>
              <w:pStyle w:val="Normlndobloku"/>
            </w:pPr>
            <w:r w:rsidRPr="002631F0">
              <w:t>Poruchy nervového systému</w:t>
            </w:r>
          </w:p>
        </w:tc>
        <w:tc>
          <w:tcPr>
            <w:tcW w:w="1746" w:type="dxa"/>
          </w:tcPr>
          <w:p w14:paraId="72EBCBDA" w14:textId="77777777" w:rsidR="00E76763" w:rsidRPr="002631F0" w:rsidRDefault="00E76763" w:rsidP="007C252A">
            <w:pPr>
              <w:pStyle w:val="Normlndobloku"/>
            </w:pPr>
            <w:r w:rsidRPr="002631F0">
              <w:t>Časté</w:t>
            </w:r>
          </w:p>
          <w:p w14:paraId="5AF854E4" w14:textId="77777777" w:rsidR="00E76763" w:rsidRPr="002631F0" w:rsidRDefault="00E76763" w:rsidP="007C252A">
            <w:pPr>
              <w:pStyle w:val="Normlndobloku"/>
            </w:pPr>
            <w:r w:rsidRPr="002631F0">
              <w:t>Časté</w:t>
            </w:r>
          </w:p>
          <w:p w14:paraId="03DDA1D9" w14:textId="77777777" w:rsidR="00E76763" w:rsidRPr="006B0E44" w:rsidRDefault="00E76763" w:rsidP="007C252A">
            <w:pPr>
              <w:pStyle w:val="Normlndobloku"/>
            </w:pPr>
            <w:r w:rsidRPr="006B0E44">
              <w:t>Časté</w:t>
            </w:r>
          </w:p>
          <w:p w14:paraId="6896AE56" w14:textId="77777777" w:rsidR="00246430" w:rsidRPr="006B0E44" w:rsidRDefault="00182313" w:rsidP="007C252A">
            <w:pPr>
              <w:pStyle w:val="Normlndobloku"/>
            </w:pPr>
            <w:r w:rsidRPr="006B0E44">
              <w:t>Časté</w:t>
            </w:r>
          </w:p>
        </w:tc>
        <w:tc>
          <w:tcPr>
            <w:tcW w:w="4368" w:type="dxa"/>
          </w:tcPr>
          <w:p w14:paraId="77AB1565" w14:textId="77777777" w:rsidR="00E76763" w:rsidRPr="006B0E44" w:rsidRDefault="00E76763" w:rsidP="007C252A">
            <w:pPr>
              <w:pStyle w:val="Normlndobloku"/>
            </w:pPr>
            <w:r w:rsidRPr="006B0E44">
              <w:t>Tremor</w:t>
            </w:r>
          </w:p>
          <w:p w14:paraId="7960C311" w14:textId="77777777" w:rsidR="00E76763" w:rsidRPr="006B0E44" w:rsidRDefault="00E76763" w:rsidP="007C252A">
            <w:pPr>
              <w:pStyle w:val="Normlndobloku"/>
            </w:pPr>
            <w:r w:rsidRPr="006B0E44">
              <w:t>Bolesť hlavy</w:t>
            </w:r>
          </w:p>
          <w:p w14:paraId="10285B4A" w14:textId="77777777" w:rsidR="00E76763" w:rsidRPr="006B0E44" w:rsidRDefault="00E76763" w:rsidP="007C252A">
            <w:pPr>
              <w:pStyle w:val="Normlndobloku"/>
            </w:pPr>
            <w:r w:rsidRPr="006B0E44">
              <w:t>Závraty</w:t>
            </w:r>
          </w:p>
          <w:p w14:paraId="7742DFF3" w14:textId="77777777" w:rsidR="00246430" w:rsidRPr="006B0E44" w:rsidRDefault="00182313" w:rsidP="007C252A">
            <w:pPr>
              <w:pStyle w:val="Normlndobloku"/>
            </w:pPr>
            <w:r w:rsidRPr="006B0E44">
              <w:t>Asténia</w:t>
            </w:r>
          </w:p>
        </w:tc>
      </w:tr>
      <w:tr w:rsidR="00E76763" w:rsidRPr="002631F0" w14:paraId="60265F6C" w14:textId="77777777" w:rsidTr="00165383">
        <w:trPr>
          <w:trHeight w:val="182"/>
        </w:trPr>
        <w:tc>
          <w:tcPr>
            <w:tcW w:w="3454" w:type="dxa"/>
          </w:tcPr>
          <w:p w14:paraId="33A288A3" w14:textId="77777777" w:rsidR="00E76763" w:rsidRPr="002631F0" w:rsidRDefault="00E76763" w:rsidP="007C252A">
            <w:pPr>
              <w:pStyle w:val="Normlndobloku"/>
            </w:pPr>
            <w:r w:rsidRPr="002631F0">
              <w:t>Poruchy gastrointestinálneho traktu</w:t>
            </w:r>
          </w:p>
        </w:tc>
        <w:tc>
          <w:tcPr>
            <w:tcW w:w="1746" w:type="dxa"/>
          </w:tcPr>
          <w:p w14:paraId="7D60ABFA" w14:textId="77777777" w:rsidR="00E76763" w:rsidRPr="002631F0" w:rsidRDefault="00182313" w:rsidP="007C252A">
            <w:pPr>
              <w:pStyle w:val="Normlndobloku"/>
            </w:pPr>
            <w:r w:rsidRPr="002631F0">
              <w:t>Menej č</w:t>
            </w:r>
            <w:r w:rsidR="00E76763" w:rsidRPr="002631F0">
              <w:t>asté</w:t>
            </w:r>
          </w:p>
        </w:tc>
        <w:tc>
          <w:tcPr>
            <w:tcW w:w="4368" w:type="dxa"/>
          </w:tcPr>
          <w:p w14:paraId="00B2A310" w14:textId="77777777" w:rsidR="00E76763" w:rsidRPr="006B0E44" w:rsidRDefault="00182313" w:rsidP="007C252A">
            <w:pPr>
              <w:pStyle w:val="Normlndobloku"/>
            </w:pPr>
            <w:r w:rsidRPr="006B0E44">
              <w:t>Zápcha</w:t>
            </w:r>
          </w:p>
        </w:tc>
      </w:tr>
    </w:tbl>
    <w:p w14:paraId="3B279E6F" w14:textId="77777777" w:rsidR="00484431" w:rsidRDefault="00484431" w:rsidP="005F582D">
      <w:pPr>
        <w:pStyle w:val="Styl4"/>
        <w:rPr>
          <w:lang w:eastAsia="sk-SK"/>
        </w:rPr>
      </w:pPr>
    </w:p>
    <w:p w14:paraId="79F5D25A" w14:textId="77777777" w:rsidR="00182313" w:rsidRPr="006B0E44" w:rsidRDefault="00182313" w:rsidP="005F582D">
      <w:pPr>
        <w:pStyle w:val="Styl4"/>
        <w:rPr>
          <w:lang w:eastAsia="sk-SK"/>
        </w:rPr>
      </w:pPr>
      <w:r w:rsidRPr="006B0E44">
        <w:rPr>
          <w:lang w:eastAsia="sk-SK"/>
        </w:rPr>
        <w:t>Popis vybraných nežiaducich reakcií</w:t>
      </w:r>
    </w:p>
    <w:p w14:paraId="6693B237" w14:textId="77777777" w:rsidR="00182313" w:rsidRPr="002631F0" w:rsidRDefault="00182313" w:rsidP="007C252A">
      <w:pPr>
        <w:pStyle w:val="Normlndobloku"/>
      </w:pPr>
      <w:r w:rsidRPr="002631F0">
        <w:rPr>
          <w:lang w:eastAsia="sk-SK"/>
        </w:rPr>
        <w:t>V kontrolovaných klinických skúšaniach kombinácie 50 mg vildagliptínu so sulfonylureovým antidiabetikom bola celková incidencia ukončenia účasti pre nežiaduce reakcie 0,6 % v skupine liečby 50 mg vildagliptínu so sulfonylureovým antidiabetikom oproti 0 % v skupine liečby placeba so sulfonylureovým antidiabetikom.</w:t>
      </w:r>
    </w:p>
    <w:p w14:paraId="4B28DAFF" w14:textId="77777777" w:rsidR="00484431" w:rsidRDefault="00484431" w:rsidP="007C252A">
      <w:pPr>
        <w:pStyle w:val="Normlndobloku"/>
        <w:rPr>
          <w:lang w:eastAsia="sk-SK"/>
        </w:rPr>
      </w:pPr>
    </w:p>
    <w:p w14:paraId="79663B81" w14:textId="77777777" w:rsidR="00182313" w:rsidRPr="006B0E44" w:rsidRDefault="00182313" w:rsidP="007C252A">
      <w:pPr>
        <w:pStyle w:val="Normlndobloku"/>
        <w:rPr>
          <w:lang w:eastAsia="sk-SK"/>
        </w:rPr>
      </w:pPr>
      <w:r w:rsidRPr="002631F0">
        <w:rPr>
          <w:lang w:eastAsia="sk-SK"/>
        </w:rPr>
        <w:t>V klinických skúšaniach bola incidencia hypoglykémie 1,2 %, keď sa 50 mg vildagliptínu raz denne pridávalo ku glimepiridu, oproti 0,6 % pri placebe s glimepiridom. V skupinách vildagliptínu neboli hlásené žiadne ťažké hypoglykemické udalosti.</w:t>
      </w:r>
    </w:p>
    <w:p w14:paraId="6205C005" w14:textId="77777777" w:rsidR="00182313" w:rsidRPr="006B0E44" w:rsidRDefault="00182313" w:rsidP="007C252A">
      <w:pPr>
        <w:pStyle w:val="Normlndobloku"/>
        <w:rPr>
          <w:lang w:eastAsia="sk-SK"/>
        </w:rPr>
      </w:pPr>
      <w:r w:rsidRPr="006B0E44">
        <w:rPr>
          <w:lang w:eastAsia="sk-SK"/>
        </w:rPr>
        <w:t>V klinických skúšaniach sa telesná hmotnosť nezmenila oproti východiskovým hodnotám, keď sa 50 mg vildagliptínu denne pridalo ku glimepiridu (-0,1 kg pri vildagliptíne a -0,4 kg pri placebe).</w:t>
      </w:r>
    </w:p>
    <w:p w14:paraId="11A458E9" w14:textId="77777777" w:rsidR="00484431" w:rsidRDefault="00484431" w:rsidP="005F582D">
      <w:pPr>
        <w:pStyle w:val="Styl5"/>
      </w:pPr>
    </w:p>
    <w:p w14:paraId="68F394FF" w14:textId="77777777" w:rsidR="0052209C" w:rsidRPr="006B0E44" w:rsidRDefault="0052209C" w:rsidP="005F582D">
      <w:pPr>
        <w:pStyle w:val="Styl5"/>
      </w:pPr>
      <w:r w:rsidRPr="006B0E44">
        <w:t>Kombinácia s tiazolidíndiónovým antidiabetikom</w:t>
      </w:r>
    </w:p>
    <w:p w14:paraId="63A7D6DF" w14:textId="77777777" w:rsidR="0052209C" w:rsidRPr="002631F0" w:rsidRDefault="0052209C" w:rsidP="007C252A">
      <w:pPr>
        <w:pStyle w:val="Normlndobloku"/>
        <w:rPr>
          <w:lang w:eastAsia="sk-SK"/>
        </w:rPr>
      </w:pPr>
      <w:r w:rsidRPr="002631F0">
        <w:rPr>
          <w:lang w:eastAsia="sk-SK"/>
        </w:rPr>
        <w:t xml:space="preserve">Tabuľka 3 </w:t>
      </w:r>
      <w:r w:rsidR="004F01AF" w:rsidRPr="002631F0">
        <w:rPr>
          <w:lang w:eastAsia="sk-SK"/>
        </w:rPr>
        <w:t xml:space="preserve">- </w:t>
      </w:r>
      <w:r w:rsidRPr="002631F0">
        <w:rPr>
          <w:lang w:eastAsia="sk-SK"/>
        </w:rPr>
        <w:t xml:space="preserve">Nežiaduce reakcie hlásené u pacientov, ktorí dostávali vildagliptín 100 mg denne v kombinácii s tiazolidíndiónovým antidiabetikom v dvojito </w:t>
      </w:r>
      <w:r w:rsidR="00F511FF" w:rsidRPr="002631F0">
        <w:rPr>
          <w:lang w:eastAsia="sk-SK"/>
        </w:rPr>
        <w:t>zaslepených</w:t>
      </w:r>
      <w:r w:rsidRPr="002631F0">
        <w:rPr>
          <w:lang w:eastAsia="sk-SK"/>
        </w:rPr>
        <w:t xml:space="preserve"> klinických skúšaniach (N=158)</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2"/>
        <w:gridCol w:w="1736"/>
        <w:gridCol w:w="4340"/>
      </w:tblGrid>
      <w:tr w:rsidR="0052209C" w:rsidRPr="002631F0" w14:paraId="1330C81C" w14:textId="77777777" w:rsidTr="00165383">
        <w:trPr>
          <w:trHeight w:val="197"/>
          <w:tblHeader/>
        </w:trPr>
        <w:tc>
          <w:tcPr>
            <w:tcW w:w="3432" w:type="dxa"/>
          </w:tcPr>
          <w:p w14:paraId="38EB19DB" w14:textId="77777777" w:rsidR="0052209C" w:rsidRPr="006B0E44" w:rsidRDefault="0052209C" w:rsidP="007C252A">
            <w:pPr>
              <w:pStyle w:val="Normlndobloku"/>
            </w:pPr>
            <w:r w:rsidRPr="006B0E44">
              <w:t>Trieda orgánových systémov podľa MedDRA</w:t>
            </w:r>
          </w:p>
        </w:tc>
        <w:tc>
          <w:tcPr>
            <w:tcW w:w="1736" w:type="dxa"/>
          </w:tcPr>
          <w:p w14:paraId="2E4BAF2A" w14:textId="77777777" w:rsidR="0052209C" w:rsidRPr="006B0E44" w:rsidRDefault="0052209C" w:rsidP="007C252A">
            <w:pPr>
              <w:pStyle w:val="Normlndobloku"/>
            </w:pPr>
            <w:r w:rsidRPr="006B0E44">
              <w:t>Frekvencia</w:t>
            </w:r>
          </w:p>
        </w:tc>
        <w:tc>
          <w:tcPr>
            <w:tcW w:w="4340" w:type="dxa"/>
          </w:tcPr>
          <w:p w14:paraId="288BB879" w14:textId="77777777" w:rsidR="0052209C" w:rsidRPr="006B0E44" w:rsidRDefault="0052209C" w:rsidP="007C252A">
            <w:pPr>
              <w:pStyle w:val="Normlndobloku"/>
            </w:pPr>
            <w:r w:rsidRPr="006B0E44">
              <w:t>Nežiaduci účinok</w:t>
            </w:r>
          </w:p>
        </w:tc>
      </w:tr>
      <w:tr w:rsidR="0052209C" w:rsidRPr="002631F0" w14:paraId="50073EF1" w14:textId="77777777" w:rsidTr="00165383">
        <w:trPr>
          <w:trHeight w:val="197"/>
        </w:trPr>
        <w:tc>
          <w:tcPr>
            <w:tcW w:w="3432" w:type="dxa"/>
          </w:tcPr>
          <w:p w14:paraId="51799EF5" w14:textId="77777777" w:rsidR="0052209C" w:rsidRPr="002631F0" w:rsidRDefault="0052209C" w:rsidP="007C252A">
            <w:pPr>
              <w:pStyle w:val="Normlndobloku"/>
            </w:pPr>
            <w:r w:rsidRPr="002631F0">
              <w:t>Poruchy metabolizmu a výživy</w:t>
            </w:r>
          </w:p>
        </w:tc>
        <w:tc>
          <w:tcPr>
            <w:tcW w:w="1736" w:type="dxa"/>
          </w:tcPr>
          <w:p w14:paraId="41D3ED1A" w14:textId="77777777" w:rsidR="0052209C" w:rsidRPr="002631F0" w:rsidRDefault="0052209C" w:rsidP="007C252A">
            <w:pPr>
              <w:pStyle w:val="Normlndobloku"/>
            </w:pPr>
            <w:r w:rsidRPr="002631F0">
              <w:t>Časté</w:t>
            </w:r>
          </w:p>
          <w:p w14:paraId="7A3BDEF3" w14:textId="77777777" w:rsidR="0052209C" w:rsidRPr="002631F0" w:rsidRDefault="0052209C" w:rsidP="007C252A">
            <w:pPr>
              <w:pStyle w:val="Normlndobloku"/>
            </w:pPr>
            <w:r w:rsidRPr="002631F0">
              <w:t>Menej časté</w:t>
            </w:r>
          </w:p>
        </w:tc>
        <w:tc>
          <w:tcPr>
            <w:tcW w:w="4340" w:type="dxa"/>
          </w:tcPr>
          <w:p w14:paraId="65E50EAE" w14:textId="77777777" w:rsidR="0052209C" w:rsidRPr="006B0E44" w:rsidRDefault="0052209C" w:rsidP="007C252A">
            <w:pPr>
              <w:pStyle w:val="Normlndobloku"/>
            </w:pPr>
            <w:r w:rsidRPr="006B0E44">
              <w:t>Zvýšenie telesnej hmotnosti</w:t>
            </w:r>
          </w:p>
          <w:p w14:paraId="1F711389" w14:textId="77777777" w:rsidR="0052209C" w:rsidRPr="006B0E44" w:rsidRDefault="0052209C" w:rsidP="007C252A">
            <w:pPr>
              <w:pStyle w:val="Normlndobloku"/>
            </w:pPr>
            <w:r w:rsidRPr="006B0E44">
              <w:t>Hypoglykémia</w:t>
            </w:r>
          </w:p>
        </w:tc>
      </w:tr>
      <w:tr w:rsidR="0052209C" w:rsidRPr="002631F0" w14:paraId="6B1F0B8D" w14:textId="77777777" w:rsidTr="00165383">
        <w:trPr>
          <w:trHeight w:val="197"/>
        </w:trPr>
        <w:tc>
          <w:tcPr>
            <w:tcW w:w="3432" w:type="dxa"/>
          </w:tcPr>
          <w:p w14:paraId="41068B07" w14:textId="77777777" w:rsidR="0052209C" w:rsidRPr="002631F0" w:rsidRDefault="0052209C" w:rsidP="007C252A">
            <w:pPr>
              <w:pStyle w:val="Normlndobloku"/>
            </w:pPr>
            <w:r w:rsidRPr="002631F0">
              <w:t>Poruchy nervového systému</w:t>
            </w:r>
          </w:p>
        </w:tc>
        <w:tc>
          <w:tcPr>
            <w:tcW w:w="1736" w:type="dxa"/>
          </w:tcPr>
          <w:p w14:paraId="33105F77" w14:textId="77777777" w:rsidR="0052209C" w:rsidRPr="002631F0" w:rsidRDefault="0052209C" w:rsidP="007C252A">
            <w:pPr>
              <w:pStyle w:val="Normlndobloku"/>
            </w:pPr>
            <w:r w:rsidRPr="002631F0">
              <w:t>Menej časté</w:t>
            </w:r>
          </w:p>
          <w:p w14:paraId="162B1C7E" w14:textId="77777777" w:rsidR="0052209C" w:rsidRPr="002631F0" w:rsidRDefault="0052209C" w:rsidP="007C252A">
            <w:pPr>
              <w:pStyle w:val="Normlndobloku"/>
            </w:pPr>
            <w:r w:rsidRPr="002631F0">
              <w:lastRenderedPageBreak/>
              <w:t>Menej časté</w:t>
            </w:r>
          </w:p>
        </w:tc>
        <w:tc>
          <w:tcPr>
            <w:tcW w:w="4340" w:type="dxa"/>
          </w:tcPr>
          <w:p w14:paraId="0EF0D376" w14:textId="77777777" w:rsidR="0052209C" w:rsidRPr="006B0E44" w:rsidRDefault="0052209C" w:rsidP="007C252A">
            <w:pPr>
              <w:pStyle w:val="Normlndobloku"/>
            </w:pPr>
            <w:r w:rsidRPr="006B0E44">
              <w:lastRenderedPageBreak/>
              <w:t>Bolesť hlavy</w:t>
            </w:r>
          </w:p>
          <w:p w14:paraId="47ED067F" w14:textId="77777777" w:rsidR="0052209C" w:rsidRPr="006B0E44" w:rsidRDefault="0052209C" w:rsidP="007C252A">
            <w:pPr>
              <w:pStyle w:val="Normlndobloku"/>
            </w:pPr>
            <w:r w:rsidRPr="006B0E44">
              <w:lastRenderedPageBreak/>
              <w:t>Asténia</w:t>
            </w:r>
          </w:p>
        </w:tc>
      </w:tr>
      <w:tr w:rsidR="0052209C" w:rsidRPr="002631F0" w14:paraId="6792B6EB" w14:textId="77777777" w:rsidTr="00165383">
        <w:trPr>
          <w:trHeight w:val="197"/>
        </w:trPr>
        <w:tc>
          <w:tcPr>
            <w:tcW w:w="3432" w:type="dxa"/>
          </w:tcPr>
          <w:p w14:paraId="210B2320" w14:textId="77777777" w:rsidR="0052209C" w:rsidRPr="002631F0" w:rsidRDefault="0052209C" w:rsidP="007C252A">
            <w:pPr>
              <w:pStyle w:val="Normlndobloku"/>
            </w:pPr>
            <w:r w:rsidRPr="002631F0">
              <w:lastRenderedPageBreak/>
              <w:t>Poruchy ciev</w:t>
            </w:r>
          </w:p>
        </w:tc>
        <w:tc>
          <w:tcPr>
            <w:tcW w:w="1736" w:type="dxa"/>
          </w:tcPr>
          <w:p w14:paraId="434F42B0" w14:textId="77777777" w:rsidR="0052209C" w:rsidRPr="002631F0" w:rsidRDefault="0052209C" w:rsidP="007C252A">
            <w:pPr>
              <w:pStyle w:val="Normlndobloku"/>
            </w:pPr>
            <w:r w:rsidRPr="002631F0">
              <w:t>Časté</w:t>
            </w:r>
          </w:p>
        </w:tc>
        <w:tc>
          <w:tcPr>
            <w:tcW w:w="4340" w:type="dxa"/>
          </w:tcPr>
          <w:p w14:paraId="52BE3F64" w14:textId="77777777" w:rsidR="0052209C" w:rsidRPr="002631F0" w:rsidRDefault="0052209C" w:rsidP="007C252A">
            <w:pPr>
              <w:pStyle w:val="Normlndobloku"/>
            </w:pPr>
            <w:r w:rsidRPr="002631F0">
              <w:t>Periférny edém</w:t>
            </w:r>
          </w:p>
        </w:tc>
      </w:tr>
    </w:tbl>
    <w:p w14:paraId="02803C2D" w14:textId="77777777" w:rsidR="00484431" w:rsidRDefault="00484431" w:rsidP="005F582D">
      <w:pPr>
        <w:pStyle w:val="Styl4"/>
        <w:rPr>
          <w:lang w:eastAsia="sk-SK"/>
        </w:rPr>
      </w:pPr>
    </w:p>
    <w:p w14:paraId="0C9145EB" w14:textId="77777777" w:rsidR="0052209C" w:rsidRPr="006B0E44" w:rsidRDefault="0052209C" w:rsidP="005F582D">
      <w:pPr>
        <w:pStyle w:val="Styl4"/>
        <w:rPr>
          <w:lang w:eastAsia="sk-SK"/>
        </w:rPr>
      </w:pPr>
      <w:r w:rsidRPr="006B0E44">
        <w:rPr>
          <w:lang w:eastAsia="sk-SK"/>
        </w:rPr>
        <w:t>Popis vybraných nežiaducich reakcií</w:t>
      </w:r>
    </w:p>
    <w:p w14:paraId="3C340B5C" w14:textId="77777777" w:rsidR="0052209C" w:rsidRPr="002631F0" w:rsidRDefault="0052209C" w:rsidP="007C252A">
      <w:pPr>
        <w:pStyle w:val="Normlndobloku"/>
        <w:rPr>
          <w:lang w:eastAsia="sk-SK"/>
        </w:rPr>
      </w:pPr>
      <w:r w:rsidRPr="002631F0">
        <w:rPr>
          <w:lang w:eastAsia="sk-SK"/>
        </w:rPr>
        <w:t>V kontrolovaných klinických skúšaniach kombinácie 100 mg vildagliptínu denne s tiazolidíndiónovým antidiabetikom nebolo hlásené žiadne ukončenie účasti pre nežiaduce reakcie v skupinách liečby 100 mg vildagliptínu denne s tiazolidíndiónovým antidiabetikom, ani placeba s tiazolidíndiónovým antidiabetikom.</w:t>
      </w:r>
    </w:p>
    <w:p w14:paraId="33A4A1BA" w14:textId="77777777" w:rsidR="00484431" w:rsidRDefault="00484431" w:rsidP="007C252A">
      <w:pPr>
        <w:pStyle w:val="Normlndobloku"/>
        <w:rPr>
          <w:lang w:eastAsia="sk-SK"/>
        </w:rPr>
      </w:pPr>
    </w:p>
    <w:p w14:paraId="4DDD3AE8" w14:textId="77777777" w:rsidR="0052209C" w:rsidRPr="006B0E44" w:rsidRDefault="0052209C" w:rsidP="007C252A">
      <w:pPr>
        <w:pStyle w:val="Normlndobloku"/>
        <w:rPr>
          <w:lang w:eastAsia="sk-SK"/>
        </w:rPr>
      </w:pPr>
      <w:r w:rsidRPr="002631F0">
        <w:rPr>
          <w:lang w:eastAsia="sk-SK"/>
        </w:rPr>
        <w:t xml:space="preserve">V klinických skúšaniach bola incidencia hypoglykémie menej častá u pacientov, ktorí dostávali vildagliptín s pioglitazónom (0,6 %), ale častá u pacientov, ktorí dostávali placebo s pioglitazónom (1,9 %). V skupinách </w:t>
      </w:r>
      <w:r w:rsidRPr="006B0E44">
        <w:rPr>
          <w:lang w:eastAsia="sk-SK"/>
        </w:rPr>
        <w:t>vildagliptínu neboli hlásené žiadne ťažké hypoglykemické udalosti.</w:t>
      </w:r>
    </w:p>
    <w:p w14:paraId="3B29A40F" w14:textId="77777777" w:rsidR="00484431" w:rsidRDefault="00484431" w:rsidP="007C252A">
      <w:pPr>
        <w:pStyle w:val="Normlndobloku"/>
        <w:rPr>
          <w:lang w:eastAsia="sk-SK"/>
        </w:rPr>
      </w:pPr>
    </w:p>
    <w:p w14:paraId="47879BC1" w14:textId="77777777" w:rsidR="0052209C" w:rsidRPr="006B0E44" w:rsidRDefault="0052209C" w:rsidP="007C252A">
      <w:pPr>
        <w:pStyle w:val="Normlndobloku"/>
        <w:rPr>
          <w:lang w:eastAsia="sk-SK"/>
        </w:rPr>
      </w:pPr>
      <w:r w:rsidRPr="006B0E44">
        <w:rPr>
          <w:lang w:eastAsia="sk-SK"/>
        </w:rPr>
        <w:t>V klinickom skúšaní prídavnej terapie s pioglitazónom bolo absolútne zvýšenie telesnej hmotnosti pri placebe 1,4 kg a pri vildagliptíne 100 mg denne 2,7 kg.</w:t>
      </w:r>
    </w:p>
    <w:p w14:paraId="386F1FD1" w14:textId="77777777" w:rsidR="00484431" w:rsidRDefault="00484431" w:rsidP="007C252A">
      <w:pPr>
        <w:pStyle w:val="Normlndobloku"/>
        <w:rPr>
          <w:lang w:eastAsia="sk-SK"/>
        </w:rPr>
      </w:pPr>
    </w:p>
    <w:p w14:paraId="1A247390" w14:textId="77777777" w:rsidR="0052209C" w:rsidRPr="006B0E44" w:rsidRDefault="0052209C" w:rsidP="007C252A">
      <w:pPr>
        <w:pStyle w:val="Normlndobloku"/>
        <w:rPr>
          <w:lang w:eastAsia="sk-SK"/>
        </w:rPr>
      </w:pPr>
      <w:r w:rsidRPr="006B0E44">
        <w:rPr>
          <w:lang w:eastAsia="sk-SK"/>
        </w:rPr>
        <w:t>Incidencia periférneho edému, keď sa 100 mg vildagliptínu denne pridávalo k maximálnej dávke základnej liečby pioglitazónom (45 mg raz denne), bola 7,0 % v porovnaní s 2,5 % pri základnej liečbe samotným pioglitazónom.</w:t>
      </w:r>
    </w:p>
    <w:p w14:paraId="03721E9A" w14:textId="77777777" w:rsidR="00484431" w:rsidRDefault="00484431" w:rsidP="005F582D">
      <w:pPr>
        <w:pStyle w:val="Styl5"/>
      </w:pPr>
    </w:p>
    <w:p w14:paraId="4C0CB1C4" w14:textId="77777777" w:rsidR="0052209C" w:rsidRPr="006B0E44" w:rsidRDefault="0052209C" w:rsidP="005F582D">
      <w:pPr>
        <w:pStyle w:val="Styl5"/>
      </w:pPr>
      <w:r w:rsidRPr="006B0E44">
        <w:t>Monoterapia</w:t>
      </w:r>
    </w:p>
    <w:p w14:paraId="1E0C9268" w14:textId="77777777" w:rsidR="0052209C" w:rsidRPr="002631F0" w:rsidRDefault="0052209C" w:rsidP="007C252A">
      <w:pPr>
        <w:pStyle w:val="Normlndobloku"/>
        <w:rPr>
          <w:lang w:eastAsia="sk-SK"/>
        </w:rPr>
      </w:pPr>
      <w:r w:rsidRPr="002631F0">
        <w:rPr>
          <w:lang w:eastAsia="sk-SK"/>
        </w:rPr>
        <w:t xml:space="preserve">Tabuľka 4 </w:t>
      </w:r>
      <w:r w:rsidR="004F01AF" w:rsidRPr="002631F0">
        <w:rPr>
          <w:lang w:eastAsia="sk-SK"/>
        </w:rPr>
        <w:t xml:space="preserve">- </w:t>
      </w:r>
      <w:r w:rsidRPr="002631F0">
        <w:rPr>
          <w:lang w:eastAsia="sk-SK"/>
        </w:rPr>
        <w:t xml:space="preserve">Nežiaduce reakcie hlásené u pacientov, ktorí dostávali vildagliptín 100 mg denne ako monoterapiu v dvojito </w:t>
      </w:r>
      <w:r w:rsidR="0070253F" w:rsidRPr="002631F0">
        <w:rPr>
          <w:lang w:eastAsia="sk-SK"/>
        </w:rPr>
        <w:t>zaslepených</w:t>
      </w:r>
      <w:r w:rsidRPr="002631F0">
        <w:rPr>
          <w:lang w:eastAsia="sk-SK"/>
        </w:rPr>
        <w:t xml:space="preserve"> klinických skúšaniach (N=1 855)</w:t>
      </w:r>
    </w:p>
    <w:tbl>
      <w:tblP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3"/>
        <w:gridCol w:w="1741"/>
        <w:gridCol w:w="4354"/>
      </w:tblGrid>
      <w:tr w:rsidR="0052209C" w:rsidRPr="002631F0" w14:paraId="4706FAA3" w14:textId="77777777" w:rsidTr="00165383">
        <w:trPr>
          <w:trHeight w:val="186"/>
          <w:tblHeader/>
        </w:trPr>
        <w:tc>
          <w:tcPr>
            <w:tcW w:w="3443" w:type="dxa"/>
          </w:tcPr>
          <w:p w14:paraId="63597054" w14:textId="77777777" w:rsidR="0052209C" w:rsidRPr="006B0E44" w:rsidRDefault="0052209C" w:rsidP="007C252A">
            <w:pPr>
              <w:pStyle w:val="Normlndobloku"/>
            </w:pPr>
            <w:r w:rsidRPr="002631F0">
              <w:t>Trieda orgánových systémov podľa MedDRA</w:t>
            </w:r>
          </w:p>
        </w:tc>
        <w:tc>
          <w:tcPr>
            <w:tcW w:w="1741" w:type="dxa"/>
          </w:tcPr>
          <w:p w14:paraId="79372A78" w14:textId="77777777" w:rsidR="0052209C" w:rsidRPr="006B0E44" w:rsidRDefault="0052209C" w:rsidP="007C252A">
            <w:pPr>
              <w:pStyle w:val="Normlndobloku"/>
            </w:pPr>
            <w:r w:rsidRPr="006B0E44">
              <w:t>Frekvencia</w:t>
            </w:r>
          </w:p>
        </w:tc>
        <w:tc>
          <w:tcPr>
            <w:tcW w:w="4354" w:type="dxa"/>
          </w:tcPr>
          <w:p w14:paraId="54652345" w14:textId="77777777" w:rsidR="0052209C" w:rsidRPr="006B0E44" w:rsidRDefault="0052209C" w:rsidP="007C252A">
            <w:pPr>
              <w:pStyle w:val="Normlndobloku"/>
            </w:pPr>
            <w:r w:rsidRPr="006B0E44">
              <w:t>Nežiaduci účinok</w:t>
            </w:r>
          </w:p>
        </w:tc>
      </w:tr>
      <w:tr w:rsidR="0052209C" w:rsidRPr="002631F0" w14:paraId="374A8E9C" w14:textId="77777777" w:rsidTr="00165383">
        <w:trPr>
          <w:trHeight w:val="186"/>
        </w:trPr>
        <w:tc>
          <w:tcPr>
            <w:tcW w:w="3443" w:type="dxa"/>
          </w:tcPr>
          <w:p w14:paraId="71CA209E" w14:textId="77777777" w:rsidR="0052209C" w:rsidRPr="002631F0" w:rsidRDefault="0052209C" w:rsidP="007C252A">
            <w:pPr>
              <w:pStyle w:val="Normlndobloku"/>
            </w:pPr>
            <w:r w:rsidRPr="002631F0">
              <w:t>Infekcie a nákazy</w:t>
            </w:r>
          </w:p>
        </w:tc>
        <w:tc>
          <w:tcPr>
            <w:tcW w:w="1741" w:type="dxa"/>
          </w:tcPr>
          <w:p w14:paraId="725252B1" w14:textId="77777777" w:rsidR="0052209C" w:rsidRPr="002631F0" w:rsidRDefault="0052209C" w:rsidP="007C252A">
            <w:pPr>
              <w:pStyle w:val="Normlndobloku"/>
            </w:pPr>
            <w:r w:rsidRPr="002631F0">
              <w:t>Veľmi zriedkavé</w:t>
            </w:r>
          </w:p>
          <w:p w14:paraId="5B3B55E6" w14:textId="77777777" w:rsidR="00027FC2" w:rsidRPr="002631F0" w:rsidRDefault="00027FC2" w:rsidP="007C252A">
            <w:pPr>
              <w:pStyle w:val="Normlndobloku"/>
            </w:pPr>
            <w:r w:rsidRPr="002631F0">
              <w:t>Veľmi zriedkavé</w:t>
            </w:r>
          </w:p>
        </w:tc>
        <w:tc>
          <w:tcPr>
            <w:tcW w:w="4354" w:type="dxa"/>
          </w:tcPr>
          <w:p w14:paraId="0E5B2D4D" w14:textId="77777777" w:rsidR="0052209C" w:rsidRPr="006B0E44" w:rsidRDefault="00027FC2" w:rsidP="007C252A">
            <w:pPr>
              <w:pStyle w:val="Normlndobloku"/>
            </w:pPr>
            <w:r w:rsidRPr="006B0E44">
              <w:t>Infekcia horných dýchacích ciest</w:t>
            </w:r>
          </w:p>
          <w:p w14:paraId="5AE5A728" w14:textId="77777777" w:rsidR="00027FC2" w:rsidRPr="006B0E44" w:rsidRDefault="00027FC2" w:rsidP="007C252A">
            <w:pPr>
              <w:pStyle w:val="Normlndobloku"/>
            </w:pPr>
            <w:r w:rsidRPr="006B0E44">
              <w:t>Nazofaryngitída</w:t>
            </w:r>
          </w:p>
        </w:tc>
      </w:tr>
      <w:tr w:rsidR="0052209C" w:rsidRPr="002631F0" w14:paraId="24A2F99C" w14:textId="77777777" w:rsidTr="00165383">
        <w:trPr>
          <w:trHeight w:val="186"/>
        </w:trPr>
        <w:tc>
          <w:tcPr>
            <w:tcW w:w="3443" w:type="dxa"/>
          </w:tcPr>
          <w:p w14:paraId="424DD1C9" w14:textId="77777777" w:rsidR="0052209C" w:rsidRPr="002631F0" w:rsidRDefault="0052209C" w:rsidP="007C252A">
            <w:pPr>
              <w:pStyle w:val="Normlndobloku"/>
            </w:pPr>
            <w:r w:rsidRPr="002631F0">
              <w:t>Poruchy metabolizmu a výživy</w:t>
            </w:r>
          </w:p>
        </w:tc>
        <w:tc>
          <w:tcPr>
            <w:tcW w:w="1741" w:type="dxa"/>
          </w:tcPr>
          <w:p w14:paraId="3E75E110" w14:textId="77777777" w:rsidR="0052209C" w:rsidRPr="002631F0" w:rsidRDefault="0052209C" w:rsidP="007C252A">
            <w:pPr>
              <w:pStyle w:val="Normlndobloku"/>
            </w:pPr>
            <w:r w:rsidRPr="002631F0">
              <w:t>Menej časté</w:t>
            </w:r>
          </w:p>
        </w:tc>
        <w:tc>
          <w:tcPr>
            <w:tcW w:w="4354" w:type="dxa"/>
          </w:tcPr>
          <w:p w14:paraId="4B4802DF" w14:textId="77777777" w:rsidR="0052209C" w:rsidRPr="002631F0" w:rsidRDefault="0052209C" w:rsidP="007C252A">
            <w:pPr>
              <w:pStyle w:val="Normlndobloku"/>
            </w:pPr>
            <w:r w:rsidRPr="002631F0">
              <w:t>Hypoglykémia</w:t>
            </w:r>
          </w:p>
        </w:tc>
      </w:tr>
      <w:tr w:rsidR="0052209C" w:rsidRPr="002631F0" w14:paraId="266480B9" w14:textId="77777777" w:rsidTr="00165383">
        <w:trPr>
          <w:trHeight w:val="186"/>
        </w:trPr>
        <w:tc>
          <w:tcPr>
            <w:tcW w:w="3443" w:type="dxa"/>
          </w:tcPr>
          <w:p w14:paraId="1B4E8BEC" w14:textId="77777777" w:rsidR="0052209C" w:rsidRPr="002631F0" w:rsidRDefault="0052209C" w:rsidP="007C252A">
            <w:pPr>
              <w:pStyle w:val="Normlndobloku"/>
            </w:pPr>
            <w:r w:rsidRPr="002631F0">
              <w:t>Poruchy nervového systému</w:t>
            </w:r>
          </w:p>
        </w:tc>
        <w:tc>
          <w:tcPr>
            <w:tcW w:w="1741" w:type="dxa"/>
          </w:tcPr>
          <w:p w14:paraId="2F5AA3B1" w14:textId="77777777" w:rsidR="0052209C" w:rsidRPr="002631F0" w:rsidRDefault="00027FC2" w:rsidP="007C252A">
            <w:pPr>
              <w:pStyle w:val="Normlndobloku"/>
            </w:pPr>
            <w:r w:rsidRPr="002631F0">
              <w:t>Č</w:t>
            </w:r>
            <w:r w:rsidR="0052209C" w:rsidRPr="002631F0">
              <w:t>asté</w:t>
            </w:r>
          </w:p>
          <w:p w14:paraId="434697AA" w14:textId="77777777" w:rsidR="0052209C" w:rsidRPr="006B0E44" w:rsidRDefault="0052209C" w:rsidP="007C252A">
            <w:pPr>
              <w:pStyle w:val="Normlndobloku"/>
            </w:pPr>
            <w:r w:rsidRPr="006B0E44">
              <w:t>Menej časté</w:t>
            </w:r>
          </w:p>
        </w:tc>
        <w:tc>
          <w:tcPr>
            <w:tcW w:w="4354" w:type="dxa"/>
          </w:tcPr>
          <w:p w14:paraId="063530D9" w14:textId="77777777" w:rsidR="0052209C" w:rsidRPr="006B0E44" w:rsidRDefault="00027FC2" w:rsidP="007C252A">
            <w:pPr>
              <w:pStyle w:val="Normlndobloku"/>
            </w:pPr>
            <w:r w:rsidRPr="006B0E44">
              <w:t>Závraty</w:t>
            </w:r>
          </w:p>
          <w:p w14:paraId="419FB160" w14:textId="77777777" w:rsidR="0052209C" w:rsidRPr="006B0E44" w:rsidRDefault="00027FC2" w:rsidP="007C252A">
            <w:pPr>
              <w:pStyle w:val="Normlndobloku"/>
            </w:pPr>
            <w:r w:rsidRPr="006B0E44">
              <w:t>Bolesť hlavy</w:t>
            </w:r>
          </w:p>
        </w:tc>
      </w:tr>
      <w:tr w:rsidR="0052209C" w:rsidRPr="002631F0" w14:paraId="0ACF49B2" w14:textId="77777777" w:rsidTr="00165383">
        <w:trPr>
          <w:trHeight w:val="186"/>
        </w:trPr>
        <w:tc>
          <w:tcPr>
            <w:tcW w:w="3443" w:type="dxa"/>
          </w:tcPr>
          <w:p w14:paraId="78AB12AB" w14:textId="77777777" w:rsidR="0052209C" w:rsidRPr="002631F0" w:rsidRDefault="0052209C" w:rsidP="007C252A">
            <w:pPr>
              <w:pStyle w:val="Normlndobloku"/>
            </w:pPr>
            <w:r w:rsidRPr="002631F0">
              <w:t>Poruchy ciev</w:t>
            </w:r>
          </w:p>
        </w:tc>
        <w:tc>
          <w:tcPr>
            <w:tcW w:w="1741" w:type="dxa"/>
          </w:tcPr>
          <w:p w14:paraId="55F825AD" w14:textId="77777777" w:rsidR="0052209C" w:rsidRPr="002631F0" w:rsidRDefault="00027FC2" w:rsidP="007C252A">
            <w:pPr>
              <w:pStyle w:val="Normlndobloku"/>
            </w:pPr>
            <w:r w:rsidRPr="002631F0">
              <w:t>Menej č</w:t>
            </w:r>
            <w:r w:rsidR="0052209C" w:rsidRPr="002631F0">
              <w:t>asté</w:t>
            </w:r>
          </w:p>
        </w:tc>
        <w:tc>
          <w:tcPr>
            <w:tcW w:w="4354" w:type="dxa"/>
          </w:tcPr>
          <w:p w14:paraId="2BCA4BEB" w14:textId="77777777" w:rsidR="0052209C" w:rsidRPr="006B0E44" w:rsidRDefault="0052209C" w:rsidP="007C252A">
            <w:pPr>
              <w:pStyle w:val="Normlndobloku"/>
            </w:pPr>
            <w:r w:rsidRPr="006B0E44">
              <w:t>Periférny edém</w:t>
            </w:r>
          </w:p>
        </w:tc>
      </w:tr>
      <w:tr w:rsidR="00027FC2" w:rsidRPr="002631F0" w14:paraId="4DF153AE" w14:textId="77777777" w:rsidTr="00165383">
        <w:trPr>
          <w:trHeight w:val="186"/>
        </w:trPr>
        <w:tc>
          <w:tcPr>
            <w:tcW w:w="3443" w:type="dxa"/>
          </w:tcPr>
          <w:p w14:paraId="4D4AE48A" w14:textId="77777777" w:rsidR="00027FC2" w:rsidRPr="002631F0" w:rsidRDefault="00027FC2" w:rsidP="007C252A">
            <w:pPr>
              <w:pStyle w:val="Normlndobloku"/>
            </w:pPr>
            <w:r w:rsidRPr="002631F0">
              <w:t>Poruchy gastrointestinálneho traktu</w:t>
            </w:r>
          </w:p>
        </w:tc>
        <w:tc>
          <w:tcPr>
            <w:tcW w:w="1741" w:type="dxa"/>
          </w:tcPr>
          <w:p w14:paraId="4D2E68C9" w14:textId="77777777" w:rsidR="00027FC2" w:rsidRPr="002631F0" w:rsidRDefault="00027FC2" w:rsidP="007C252A">
            <w:pPr>
              <w:pStyle w:val="Normlndobloku"/>
            </w:pPr>
            <w:r w:rsidRPr="002631F0">
              <w:t>Menej časté</w:t>
            </w:r>
          </w:p>
        </w:tc>
        <w:tc>
          <w:tcPr>
            <w:tcW w:w="4354" w:type="dxa"/>
          </w:tcPr>
          <w:p w14:paraId="0876BB05" w14:textId="77777777" w:rsidR="00027FC2" w:rsidRPr="002631F0" w:rsidRDefault="00027FC2" w:rsidP="007C252A">
            <w:pPr>
              <w:pStyle w:val="Normlndobloku"/>
            </w:pPr>
            <w:r w:rsidRPr="002631F0">
              <w:t>Zápcha</w:t>
            </w:r>
          </w:p>
        </w:tc>
      </w:tr>
      <w:tr w:rsidR="00027FC2" w:rsidRPr="002631F0" w14:paraId="4B4DADF9" w14:textId="77777777" w:rsidTr="00165383">
        <w:trPr>
          <w:trHeight w:val="186"/>
        </w:trPr>
        <w:tc>
          <w:tcPr>
            <w:tcW w:w="3443" w:type="dxa"/>
          </w:tcPr>
          <w:p w14:paraId="3E242223" w14:textId="77777777" w:rsidR="00027FC2" w:rsidRPr="002631F0" w:rsidRDefault="00027FC2" w:rsidP="007C252A">
            <w:pPr>
              <w:pStyle w:val="Normlndobloku"/>
            </w:pPr>
            <w:r w:rsidRPr="002631F0">
              <w:t>Poruchy kostrovej a svalovej sústavy a spojivového tkaniva</w:t>
            </w:r>
          </w:p>
        </w:tc>
        <w:tc>
          <w:tcPr>
            <w:tcW w:w="1741" w:type="dxa"/>
          </w:tcPr>
          <w:p w14:paraId="0B3E7016" w14:textId="77777777" w:rsidR="00027FC2" w:rsidRPr="002631F0" w:rsidRDefault="00027FC2" w:rsidP="007C252A">
            <w:pPr>
              <w:pStyle w:val="Normlndobloku"/>
            </w:pPr>
            <w:r w:rsidRPr="002631F0">
              <w:t>Menej časté</w:t>
            </w:r>
          </w:p>
        </w:tc>
        <w:tc>
          <w:tcPr>
            <w:tcW w:w="4354" w:type="dxa"/>
          </w:tcPr>
          <w:p w14:paraId="755EA786" w14:textId="77777777" w:rsidR="00027FC2" w:rsidRPr="006B0E44" w:rsidRDefault="00027FC2" w:rsidP="007C252A">
            <w:pPr>
              <w:pStyle w:val="Normlndobloku"/>
            </w:pPr>
            <w:r w:rsidRPr="006B0E44">
              <w:t>Artralgia</w:t>
            </w:r>
          </w:p>
        </w:tc>
      </w:tr>
    </w:tbl>
    <w:p w14:paraId="7E1811AE" w14:textId="77777777" w:rsidR="00484431" w:rsidRDefault="00484431" w:rsidP="005F582D">
      <w:pPr>
        <w:pStyle w:val="Styl4"/>
        <w:rPr>
          <w:lang w:eastAsia="sk-SK"/>
        </w:rPr>
      </w:pPr>
    </w:p>
    <w:p w14:paraId="7C6B3373" w14:textId="77777777" w:rsidR="00027FC2" w:rsidRPr="006B0E44" w:rsidRDefault="00027FC2" w:rsidP="005F582D">
      <w:pPr>
        <w:pStyle w:val="Styl4"/>
        <w:rPr>
          <w:lang w:eastAsia="sk-SK"/>
        </w:rPr>
      </w:pPr>
      <w:r w:rsidRPr="006B0E44">
        <w:rPr>
          <w:lang w:eastAsia="sk-SK"/>
        </w:rPr>
        <w:t>Popis vybraných nežiaducich reakcií</w:t>
      </w:r>
    </w:p>
    <w:p w14:paraId="37A1AAB4" w14:textId="77777777" w:rsidR="00027FC2" w:rsidRPr="002631F0" w:rsidRDefault="00027FC2" w:rsidP="007C252A">
      <w:pPr>
        <w:pStyle w:val="Normlndobloku"/>
      </w:pPr>
      <w:r w:rsidRPr="002631F0">
        <w:t>Okrem toho v kontrolovaných klinických skúšaniach monoterapie vildagliptínom nebola celková incidencia ukončenia účasti pre nežiaduce reakcie vyššia u pacientov liečených vildagliptínom v dávke 100 mg denne (0,3 %) ako pri placebe (0,6 %) alebo komparátoroch (0,5 %).</w:t>
      </w:r>
    </w:p>
    <w:p w14:paraId="501E92D5" w14:textId="77777777" w:rsidR="00484431" w:rsidRDefault="00484431" w:rsidP="007C252A">
      <w:pPr>
        <w:pStyle w:val="Normlndobloku"/>
      </w:pPr>
    </w:p>
    <w:p w14:paraId="3FF3CE3F" w14:textId="77777777" w:rsidR="00027FC2" w:rsidRPr="006B0E44" w:rsidRDefault="00027FC2" w:rsidP="007C252A">
      <w:pPr>
        <w:pStyle w:val="Normlndobloku"/>
      </w:pPr>
      <w:r w:rsidRPr="002631F0">
        <w:t>V porovnávacích kontrolovaných klinických skúšaniach monoterapie bola hypoglykémia menej častá, hlásená u 0,4 % (7 z 1 855) pacien</w:t>
      </w:r>
      <w:r w:rsidRPr="006B0E44">
        <w:t>tov liečených 100 mg vildagliptínu denne v porovnaní s 0,2 % (2 z 1 082) pacientov v skupinách liečených účinným komparátorom alebo placebom, pričom sa nezaznamenali žiadne vážne alebo ťažké udalosti.</w:t>
      </w:r>
    </w:p>
    <w:p w14:paraId="073C0AB3" w14:textId="77777777" w:rsidR="00484431" w:rsidRDefault="00484431" w:rsidP="007C252A">
      <w:pPr>
        <w:pStyle w:val="Normlndobloku"/>
      </w:pPr>
    </w:p>
    <w:p w14:paraId="25733744" w14:textId="77777777" w:rsidR="00027FC2" w:rsidRPr="006B0E44" w:rsidRDefault="00027FC2" w:rsidP="007C252A">
      <w:pPr>
        <w:pStyle w:val="Normlndobloku"/>
      </w:pPr>
      <w:r w:rsidRPr="006B0E44">
        <w:t>V klinických skúšaniach sa telesná hmotnosť nezmenila oproti východiskovým hodnotám, keď sa 100 mg vildagliptínu denne podávalo ako monoterapia (-0,3 kg pri vildagliptíne a -1,3 kg pri placebe).</w:t>
      </w:r>
    </w:p>
    <w:p w14:paraId="501BF50F" w14:textId="77777777" w:rsidR="00027FC2" w:rsidRPr="006B0E44" w:rsidRDefault="00027FC2" w:rsidP="007C252A">
      <w:pPr>
        <w:pStyle w:val="Normlndobloku"/>
      </w:pPr>
      <w:r w:rsidRPr="006B0E44">
        <w:lastRenderedPageBreak/>
        <w:t>V klinických skúšaniach trvajúcich až 2 roky sa pri monoterapii vildagliptínom neukázali žiadne ďalšie signály týkajúce sa bezpečnosti alebo nepredvídané riziká.</w:t>
      </w:r>
    </w:p>
    <w:p w14:paraId="5B95139E" w14:textId="77777777" w:rsidR="00484431" w:rsidRDefault="00484431" w:rsidP="005F582D">
      <w:pPr>
        <w:pStyle w:val="Styl5"/>
      </w:pPr>
    </w:p>
    <w:p w14:paraId="011E8612" w14:textId="77777777" w:rsidR="00027FC2" w:rsidRPr="006B0E44" w:rsidRDefault="00C073ED" w:rsidP="005F582D">
      <w:pPr>
        <w:pStyle w:val="Styl5"/>
      </w:pPr>
      <w:r w:rsidRPr="006B0E44">
        <w:t>Kombinácia s </w:t>
      </w:r>
      <w:r w:rsidR="00027FC2" w:rsidRPr="006B0E44">
        <w:t>m</w:t>
      </w:r>
      <w:r w:rsidRPr="006B0E44">
        <w:t>etformínom a </w:t>
      </w:r>
      <w:r w:rsidR="00027FC2" w:rsidRPr="006B0E44">
        <w:t>sulfonylureovým antidiabetikom</w:t>
      </w:r>
    </w:p>
    <w:p w14:paraId="0B0A02B6" w14:textId="77777777" w:rsidR="00027FC2" w:rsidRPr="002631F0" w:rsidRDefault="00027FC2" w:rsidP="007C252A">
      <w:pPr>
        <w:pStyle w:val="Normlndobloku"/>
        <w:rPr>
          <w:lang w:eastAsia="sk-SK"/>
        </w:rPr>
      </w:pPr>
      <w:r w:rsidRPr="002631F0">
        <w:rPr>
          <w:lang w:eastAsia="sk-SK"/>
        </w:rPr>
        <w:t xml:space="preserve">Tabuľka 5 </w:t>
      </w:r>
      <w:r w:rsidR="004F01AF" w:rsidRPr="002631F0">
        <w:rPr>
          <w:lang w:eastAsia="sk-SK"/>
        </w:rPr>
        <w:t xml:space="preserve">- </w:t>
      </w:r>
      <w:r w:rsidRPr="002631F0">
        <w:rPr>
          <w:lang w:eastAsia="sk-SK"/>
        </w:rPr>
        <w:t>Nežiaduce reakcie hlásené u pacientov, ktorí dostávali vildagliptín 50 mg dvakrát denne v kombinácii s metformínom a sulfonylureovým antidiabetikom (N=157)</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2"/>
        <w:gridCol w:w="1736"/>
        <w:gridCol w:w="4340"/>
      </w:tblGrid>
      <w:tr w:rsidR="00027FC2" w:rsidRPr="002631F0" w14:paraId="38326A0E" w14:textId="77777777" w:rsidTr="00165383">
        <w:trPr>
          <w:trHeight w:val="197"/>
          <w:tblHeader/>
        </w:trPr>
        <w:tc>
          <w:tcPr>
            <w:tcW w:w="3432" w:type="dxa"/>
          </w:tcPr>
          <w:p w14:paraId="1A16AD01" w14:textId="77777777" w:rsidR="00027FC2" w:rsidRPr="006B0E44" w:rsidRDefault="00027FC2" w:rsidP="007C252A">
            <w:pPr>
              <w:pStyle w:val="Normlndobloku"/>
            </w:pPr>
            <w:r w:rsidRPr="002631F0">
              <w:t>Trieda orgánových systémov podľa MedDRA</w:t>
            </w:r>
          </w:p>
        </w:tc>
        <w:tc>
          <w:tcPr>
            <w:tcW w:w="1736" w:type="dxa"/>
          </w:tcPr>
          <w:p w14:paraId="72F7B6C5" w14:textId="77777777" w:rsidR="00027FC2" w:rsidRPr="006B0E44" w:rsidRDefault="00027FC2" w:rsidP="007C252A">
            <w:pPr>
              <w:pStyle w:val="Normlndobloku"/>
            </w:pPr>
            <w:r w:rsidRPr="006B0E44">
              <w:t>Frekvencia</w:t>
            </w:r>
          </w:p>
        </w:tc>
        <w:tc>
          <w:tcPr>
            <w:tcW w:w="4340" w:type="dxa"/>
          </w:tcPr>
          <w:p w14:paraId="242B9CFD" w14:textId="77777777" w:rsidR="00027FC2" w:rsidRPr="006B0E44" w:rsidRDefault="00027FC2" w:rsidP="007C252A">
            <w:pPr>
              <w:pStyle w:val="Normlndobloku"/>
            </w:pPr>
            <w:r w:rsidRPr="006B0E44">
              <w:t>Nežiaduci účinok</w:t>
            </w:r>
          </w:p>
        </w:tc>
      </w:tr>
      <w:tr w:rsidR="00027FC2" w:rsidRPr="002631F0" w14:paraId="2CB7E5E8" w14:textId="77777777" w:rsidTr="00165383">
        <w:trPr>
          <w:trHeight w:val="197"/>
        </w:trPr>
        <w:tc>
          <w:tcPr>
            <w:tcW w:w="3432" w:type="dxa"/>
          </w:tcPr>
          <w:p w14:paraId="011B7441" w14:textId="77777777" w:rsidR="00027FC2" w:rsidRPr="002631F0" w:rsidRDefault="00027FC2" w:rsidP="007C252A">
            <w:pPr>
              <w:pStyle w:val="Normlndobloku"/>
            </w:pPr>
            <w:r w:rsidRPr="002631F0">
              <w:t>Poruchy metabolizmu a výživy</w:t>
            </w:r>
          </w:p>
        </w:tc>
        <w:tc>
          <w:tcPr>
            <w:tcW w:w="1736" w:type="dxa"/>
          </w:tcPr>
          <w:p w14:paraId="15479AF0" w14:textId="77777777" w:rsidR="00027FC2" w:rsidRPr="002631F0" w:rsidRDefault="00027FC2" w:rsidP="007C252A">
            <w:pPr>
              <w:pStyle w:val="Normlndobloku"/>
            </w:pPr>
            <w:r w:rsidRPr="002631F0">
              <w:t>Časté</w:t>
            </w:r>
          </w:p>
        </w:tc>
        <w:tc>
          <w:tcPr>
            <w:tcW w:w="4340" w:type="dxa"/>
          </w:tcPr>
          <w:p w14:paraId="770F9AF0" w14:textId="77777777" w:rsidR="00027FC2" w:rsidRPr="002631F0" w:rsidRDefault="00027FC2" w:rsidP="007C252A">
            <w:pPr>
              <w:pStyle w:val="Normlndobloku"/>
            </w:pPr>
            <w:r w:rsidRPr="002631F0">
              <w:t>Hypoglykémia</w:t>
            </w:r>
          </w:p>
        </w:tc>
      </w:tr>
      <w:tr w:rsidR="00027FC2" w:rsidRPr="002631F0" w14:paraId="709C6EFB" w14:textId="77777777" w:rsidTr="00165383">
        <w:trPr>
          <w:trHeight w:val="197"/>
        </w:trPr>
        <w:tc>
          <w:tcPr>
            <w:tcW w:w="3432" w:type="dxa"/>
          </w:tcPr>
          <w:p w14:paraId="25FBC921" w14:textId="77777777" w:rsidR="00027FC2" w:rsidRPr="002631F0" w:rsidRDefault="00027FC2" w:rsidP="007C252A">
            <w:pPr>
              <w:pStyle w:val="Normlndobloku"/>
            </w:pPr>
            <w:r w:rsidRPr="002631F0">
              <w:t>Poruchy nervového systému</w:t>
            </w:r>
          </w:p>
        </w:tc>
        <w:tc>
          <w:tcPr>
            <w:tcW w:w="1736" w:type="dxa"/>
          </w:tcPr>
          <w:p w14:paraId="475FB448" w14:textId="77777777" w:rsidR="00027FC2" w:rsidRPr="002631F0" w:rsidRDefault="00027FC2" w:rsidP="007C252A">
            <w:pPr>
              <w:pStyle w:val="Normlndobloku"/>
            </w:pPr>
            <w:r w:rsidRPr="002631F0">
              <w:t>Časté</w:t>
            </w:r>
          </w:p>
        </w:tc>
        <w:tc>
          <w:tcPr>
            <w:tcW w:w="4340" w:type="dxa"/>
          </w:tcPr>
          <w:p w14:paraId="3D93F7F6" w14:textId="77777777" w:rsidR="00027FC2" w:rsidRPr="002631F0" w:rsidRDefault="00027FC2" w:rsidP="007C252A">
            <w:pPr>
              <w:pStyle w:val="Normlndobloku"/>
            </w:pPr>
            <w:r w:rsidRPr="002631F0">
              <w:t>Závraty, tremor</w:t>
            </w:r>
          </w:p>
        </w:tc>
      </w:tr>
      <w:tr w:rsidR="00027FC2" w:rsidRPr="002631F0" w14:paraId="2C631C24" w14:textId="77777777" w:rsidTr="00165383">
        <w:trPr>
          <w:trHeight w:val="197"/>
        </w:trPr>
        <w:tc>
          <w:tcPr>
            <w:tcW w:w="3432" w:type="dxa"/>
          </w:tcPr>
          <w:p w14:paraId="3C5A927D" w14:textId="77777777" w:rsidR="00027FC2" w:rsidRPr="002631F0" w:rsidRDefault="00027FC2" w:rsidP="007C252A">
            <w:pPr>
              <w:pStyle w:val="Normlndobloku"/>
            </w:pPr>
            <w:r w:rsidRPr="002631F0">
              <w:t>Poruchy kože a podkožného tkaniva</w:t>
            </w:r>
          </w:p>
        </w:tc>
        <w:tc>
          <w:tcPr>
            <w:tcW w:w="1736" w:type="dxa"/>
          </w:tcPr>
          <w:p w14:paraId="79B29043" w14:textId="77777777" w:rsidR="00027FC2" w:rsidRPr="002631F0" w:rsidRDefault="00027FC2" w:rsidP="007C252A">
            <w:pPr>
              <w:pStyle w:val="Normlndobloku"/>
            </w:pPr>
            <w:r w:rsidRPr="002631F0">
              <w:t>Časté</w:t>
            </w:r>
          </w:p>
        </w:tc>
        <w:tc>
          <w:tcPr>
            <w:tcW w:w="4340" w:type="dxa"/>
          </w:tcPr>
          <w:p w14:paraId="525545C9" w14:textId="77777777" w:rsidR="00027FC2" w:rsidRPr="002631F0" w:rsidRDefault="00027FC2" w:rsidP="007C252A">
            <w:pPr>
              <w:pStyle w:val="Normlndobloku"/>
            </w:pPr>
            <w:r w:rsidRPr="002631F0">
              <w:t>Nadmerné potenie</w:t>
            </w:r>
          </w:p>
        </w:tc>
      </w:tr>
      <w:tr w:rsidR="00027FC2" w:rsidRPr="002631F0" w14:paraId="50F70536" w14:textId="77777777" w:rsidTr="00165383">
        <w:trPr>
          <w:trHeight w:val="197"/>
        </w:trPr>
        <w:tc>
          <w:tcPr>
            <w:tcW w:w="3432" w:type="dxa"/>
          </w:tcPr>
          <w:p w14:paraId="713B6F09" w14:textId="77777777" w:rsidR="00027FC2" w:rsidRPr="002631F0" w:rsidRDefault="00027FC2" w:rsidP="007C252A">
            <w:pPr>
              <w:pStyle w:val="Normlndobloku"/>
            </w:pPr>
            <w:r w:rsidRPr="002631F0">
              <w:t>Celkové poruchy a reakcie v mieste podania</w:t>
            </w:r>
          </w:p>
        </w:tc>
        <w:tc>
          <w:tcPr>
            <w:tcW w:w="1736" w:type="dxa"/>
          </w:tcPr>
          <w:p w14:paraId="101FA3EF" w14:textId="77777777" w:rsidR="00027FC2" w:rsidRPr="002631F0" w:rsidRDefault="00027FC2" w:rsidP="007C252A">
            <w:pPr>
              <w:pStyle w:val="Normlndobloku"/>
            </w:pPr>
            <w:r w:rsidRPr="002631F0">
              <w:t>Časté</w:t>
            </w:r>
          </w:p>
        </w:tc>
        <w:tc>
          <w:tcPr>
            <w:tcW w:w="4340" w:type="dxa"/>
          </w:tcPr>
          <w:p w14:paraId="28E0BE73" w14:textId="77777777" w:rsidR="00027FC2" w:rsidRPr="006B0E44" w:rsidRDefault="00027FC2" w:rsidP="007C252A">
            <w:pPr>
              <w:pStyle w:val="Normlndobloku"/>
            </w:pPr>
            <w:r w:rsidRPr="006B0E44">
              <w:t>Asténia</w:t>
            </w:r>
          </w:p>
        </w:tc>
      </w:tr>
    </w:tbl>
    <w:p w14:paraId="2F8FD4BD" w14:textId="77777777" w:rsidR="00484431" w:rsidRDefault="00484431" w:rsidP="005F582D">
      <w:pPr>
        <w:pStyle w:val="Styl4"/>
        <w:rPr>
          <w:lang w:eastAsia="sk-SK"/>
        </w:rPr>
      </w:pPr>
    </w:p>
    <w:p w14:paraId="3BE1349F" w14:textId="77777777" w:rsidR="00027FC2" w:rsidRPr="006B0E44" w:rsidRDefault="00027FC2" w:rsidP="005F582D">
      <w:pPr>
        <w:pStyle w:val="Styl4"/>
        <w:rPr>
          <w:lang w:eastAsia="sk-SK"/>
        </w:rPr>
      </w:pPr>
      <w:r w:rsidRPr="006B0E44">
        <w:rPr>
          <w:lang w:eastAsia="sk-SK"/>
        </w:rPr>
        <w:t>Popis vybraných nežiaducich reakcií</w:t>
      </w:r>
    </w:p>
    <w:p w14:paraId="49AC890F" w14:textId="77777777" w:rsidR="00027FC2" w:rsidRPr="002631F0" w:rsidRDefault="00027FC2" w:rsidP="007C252A">
      <w:pPr>
        <w:pStyle w:val="Normlndobloku"/>
        <w:rPr>
          <w:lang w:eastAsia="sk-SK"/>
        </w:rPr>
      </w:pPr>
      <w:r w:rsidRPr="002631F0">
        <w:rPr>
          <w:lang w:eastAsia="sk-SK"/>
        </w:rPr>
        <w:t>Ukončenia liečby pre nežiaduce reakcie neboli hlásené v skupine liečby vildagliptínu s metformínom a glimepiridom oproti 0,6 % v skupine liečby placeba s metformínom a glimepiridom.</w:t>
      </w:r>
    </w:p>
    <w:p w14:paraId="7B12E15B" w14:textId="77777777" w:rsidR="00484431" w:rsidRDefault="00484431" w:rsidP="007C252A">
      <w:pPr>
        <w:pStyle w:val="Normlndobloku"/>
        <w:rPr>
          <w:lang w:eastAsia="sk-SK"/>
        </w:rPr>
      </w:pPr>
    </w:p>
    <w:p w14:paraId="1E5C6941" w14:textId="77777777" w:rsidR="00027FC2" w:rsidRPr="002631F0" w:rsidRDefault="00027FC2" w:rsidP="007C252A">
      <w:pPr>
        <w:pStyle w:val="Normlndobloku"/>
        <w:rPr>
          <w:lang w:eastAsia="sk-SK"/>
        </w:rPr>
      </w:pPr>
      <w:r w:rsidRPr="002631F0">
        <w:rPr>
          <w:lang w:eastAsia="sk-SK"/>
        </w:rPr>
        <w:t>Incidencia hypoglykémie bola častá v oboch skupinách liečby (5,1 % v skupine vildagliptínu s metformínom a glimepiridom oproti 1,9 % v skupine placeba s metformínom a glimepiridom). Jedna ťažká hypoglykemická príhoda sa zaznamenala v skupine vildagliptínu.</w:t>
      </w:r>
    </w:p>
    <w:p w14:paraId="5A3EAC91" w14:textId="77777777" w:rsidR="00484431" w:rsidRDefault="00484431" w:rsidP="007C252A">
      <w:pPr>
        <w:pStyle w:val="Normlndobloku"/>
        <w:rPr>
          <w:lang w:eastAsia="sk-SK"/>
        </w:rPr>
      </w:pPr>
    </w:p>
    <w:p w14:paraId="316F1B3B" w14:textId="77777777" w:rsidR="00027FC2" w:rsidRPr="006B0E44" w:rsidRDefault="00027FC2" w:rsidP="007C252A">
      <w:pPr>
        <w:pStyle w:val="Normlndobloku"/>
        <w:rPr>
          <w:lang w:eastAsia="sk-SK"/>
        </w:rPr>
      </w:pPr>
      <w:r w:rsidRPr="006B0E44">
        <w:rPr>
          <w:lang w:eastAsia="sk-SK"/>
        </w:rPr>
        <w:t>Účinok na priemernú telesnú hmotnosť na konci klinického skúšania bol neutrálny (+0,6 kg v skupine vildagliptínu a -0,1 kg v skupine placeba).</w:t>
      </w:r>
    </w:p>
    <w:p w14:paraId="0E747722" w14:textId="77777777" w:rsidR="00484431" w:rsidRDefault="00484431" w:rsidP="005F582D">
      <w:pPr>
        <w:pStyle w:val="Styl5"/>
      </w:pPr>
    </w:p>
    <w:p w14:paraId="250B1EE2" w14:textId="77777777" w:rsidR="00C073ED" w:rsidRPr="006B0E44" w:rsidRDefault="00C073ED" w:rsidP="005F582D">
      <w:pPr>
        <w:pStyle w:val="Styl5"/>
      </w:pPr>
      <w:r w:rsidRPr="006B0E44">
        <w:t>Kombinácia s inzulínom</w:t>
      </w:r>
    </w:p>
    <w:p w14:paraId="36AC7B2D" w14:textId="77777777" w:rsidR="00C073ED" w:rsidRPr="002631F0" w:rsidRDefault="00C073ED" w:rsidP="007C252A">
      <w:pPr>
        <w:pStyle w:val="Normlndobloku"/>
        <w:rPr>
          <w:lang w:eastAsia="sk-SK"/>
        </w:rPr>
      </w:pPr>
      <w:r w:rsidRPr="002631F0">
        <w:rPr>
          <w:lang w:eastAsia="sk-SK"/>
        </w:rPr>
        <w:t xml:space="preserve">Tabuľka 6 </w:t>
      </w:r>
      <w:r w:rsidR="004F01AF" w:rsidRPr="002631F0">
        <w:rPr>
          <w:lang w:eastAsia="sk-SK"/>
        </w:rPr>
        <w:t xml:space="preserve">- </w:t>
      </w:r>
      <w:r w:rsidRPr="002631F0">
        <w:rPr>
          <w:lang w:eastAsia="sk-SK"/>
        </w:rPr>
        <w:t>Nežiaduce reakcie hlásené u pacientov, ktorí dostávali vildagliptín 100 mg denne v</w:t>
      </w:r>
      <w:r w:rsidR="0096185A" w:rsidRPr="002631F0">
        <w:rPr>
          <w:lang w:eastAsia="sk-SK"/>
        </w:rPr>
        <w:t> </w:t>
      </w:r>
      <w:r w:rsidRPr="002631F0">
        <w:rPr>
          <w:lang w:eastAsia="sk-SK"/>
        </w:rPr>
        <w:t>kombinácii s inzulínom (s metformínom alebo bez neho) v dvojito zaslepených klinických skúšaniach (N=371)</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2"/>
        <w:gridCol w:w="1736"/>
        <w:gridCol w:w="4340"/>
      </w:tblGrid>
      <w:tr w:rsidR="00C073ED" w:rsidRPr="002631F0" w14:paraId="01E6DC3E" w14:textId="77777777" w:rsidTr="00165383">
        <w:trPr>
          <w:trHeight w:val="197"/>
          <w:tblHeader/>
        </w:trPr>
        <w:tc>
          <w:tcPr>
            <w:tcW w:w="3432" w:type="dxa"/>
          </w:tcPr>
          <w:p w14:paraId="11FE343C" w14:textId="77777777" w:rsidR="00C073ED" w:rsidRPr="006B0E44" w:rsidRDefault="00C073ED" w:rsidP="007C252A">
            <w:pPr>
              <w:pStyle w:val="Normlndobloku"/>
            </w:pPr>
            <w:r w:rsidRPr="002631F0">
              <w:t>Trieda orgánových systémov podľa MedDRA</w:t>
            </w:r>
          </w:p>
        </w:tc>
        <w:tc>
          <w:tcPr>
            <w:tcW w:w="1736" w:type="dxa"/>
          </w:tcPr>
          <w:p w14:paraId="60268ED4" w14:textId="77777777" w:rsidR="00C073ED" w:rsidRPr="006B0E44" w:rsidRDefault="00C073ED" w:rsidP="007C252A">
            <w:pPr>
              <w:pStyle w:val="Normlndobloku"/>
            </w:pPr>
            <w:r w:rsidRPr="006B0E44">
              <w:t>Frekvencia</w:t>
            </w:r>
          </w:p>
        </w:tc>
        <w:tc>
          <w:tcPr>
            <w:tcW w:w="4340" w:type="dxa"/>
          </w:tcPr>
          <w:p w14:paraId="42423B39" w14:textId="77777777" w:rsidR="00C073ED" w:rsidRPr="006B0E44" w:rsidRDefault="00C073ED" w:rsidP="007C252A">
            <w:pPr>
              <w:pStyle w:val="Normlndobloku"/>
            </w:pPr>
            <w:r w:rsidRPr="006B0E44">
              <w:t>Nežiaduci účinok</w:t>
            </w:r>
          </w:p>
        </w:tc>
      </w:tr>
      <w:tr w:rsidR="00C073ED" w:rsidRPr="002631F0" w14:paraId="68B86718" w14:textId="77777777" w:rsidTr="00165383">
        <w:trPr>
          <w:trHeight w:val="197"/>
        </w:trPr>
        <w:tc>
          <w:tcPr>
            <w:tcW w:w="3432" w:type="dxa"/>
          </w:tcPr>
          <w:p w14:paraId="109BE488" w14:textId="77777777" w:rsidR="00C073ED" w:rsidRPr="002631F0" w:rsidRDefault="00C073ED" w:rsidP="007C252A">
            <w:pPr>
              <w:pStyle w:val="Normlndobloku"/>
            </w:pPr>
            <w:r w:rsidRPr="002631F0">
              <w:t>Poruchy metabolizmu a výživy</w:t>
            </w:r>
          </w:p>
        </w:tc>
        <w:tc>
          <w:tcPr>
            <w:tcW w:w="1736" w:type="dxa"/>
          </w:tcPr>
          <w:p w14:paraId="479AFD1D" w14:textId="77777777" w:rsidR="00C073ED" w:rsidRPr="002631F0" w:rsidRDefault="00C073ED" w:rsidP="007C252A">
            <w:pPr>
              <w:pStyle w:val="Normlndobloku"/>
            </w:pPr>
            <w:r w:rsidRPr="002631F0">
              <w:t>Časté</w:t>
            </w:r>
          </w:p>
        </w:tc>
        <w:tc>
          <w:tcPr>
            <w:tcW w:w="4340" w:type="dxa"/>
          </w:tcPr>
          <w:p w14:paraId="1FED2BDC" w14:textId="77777777" w:rsidR="00C073ED" w:rsidRPr="002631F0" w:rsidRDefault="00C073ED" w:rsidP="007C252A">
            <w:pPr>
              <w:pStyle w:val="Normlndobloku"/>
            </w:pPr>
            <w:r w:rsidRPr="002631F0">
              <w:t>Znížená glukóza v krvi</w:t>
            </w:r>
          </w:p>
        </w:tc>
      </w:tr>
      <w:tr w:rsidR="00C073ED" w:rsidRPr="002631F0" w14:paraId="3F1A4C4C" w14:textId="77777777" w:rsidTr="00165383">
        <w:trPr>
          <w:trHeight w:val="197"/>
        </w:trPr>
        <w:tc>
          <w:tcPr>
            <w:tcW w:w="3432" w:type="dxa"/>
          </w:tcPr>
          <w:p w14:paraId="0557EB33" w14:textId="77777777" w:rsidR="00C073ED" w:rsidRPr="002631F0" w:rsidRDefault="00C073ED" w:rsidP="007C252A">
            <w:pPr>
              <w:pStyle w:val="Normlndobloku"/>
            </w:pPr>
            <w:r w:rsidRPr="002631F0">
              <w:t>Poruchy nervového systému</w:t>
            </w:r>
          </w:p>
        </w:tc>
        <w:tc>
          <w:tcPr>
            <w:tcW w:w="1736" w:type="dxa"/>
          </w:tcPr>
          <w:p w14:paraId="18E6B116" w14:textId="77777777" w:rsidR="00C073ED" w:rsidRPr="002631F0" w:rsidRDefault="00C073ED" w:rsidP="007C252A">
            <w:pPr>
              <w:pStyle w:val="Normlndobloku"/>
            </w:pPr>
            <w:r w:rsidRPr="002631F0">
              <w:t>Časté</w:t>
            </w:r>
          </w:p>
        </w:tc>
        <w:tc>
          <w:tcPr>
            <w:tcW w:w="4340" w:type="dxa"/>
          </w:tcPr>
          <w:p w14:paraId="65245D40" w14:textId="77777777" w:rsidR="00C073ED" w:rsidRPr="002631F0" w:rsidRDefault="00C073ED" w:rsidP="007C252A">
            <w:pPr>
              <w:pStyle w:val="Normlndobloku"/>
            </w:pPr>
            <w:r w:rsidRPr="002631F0">
              <w:t>Bolesť hlavy, triaška</w:t>
            </w:r>
          </w:p>
        </w:tc>
      </w:tr>
      <w:tr w:rsidR="00C073ED" w:rsidRPr="002631F0" w14:paraId="7B3ACA19" w14:textId="77777777" w:rsidTr="00165383">
        <w:trPr>
          <w:trHeight w:val="197"/>
        </w:trPr>
        <w:tc>
          <w:tcPr>
            <w:tcW w:w="3432" w:type="dxa"/>
          </w:tcPr>
          <w:p w14:paraId="6EEDD699" w14:textId="77777777" w:rsidR="00C073ED" w:rsidRPr="002631F0" w:rsidRDefault="00C073ED" w:rsidP="007C252A">
            <w:pPr>
              <w:pStyle w:val="Normlndobloku"/>
            </w:pPr>
            <w:r w:rsidRPr="002631F0">
              <w:t>Poruchy gastrointestinálneho traktu</w:t>
            </w:r>
          </w:p>
        </w:tc>
        <w:tc>
          <w:tcPr>
            <w:tcW w:w="1736" w:type="dxa"/>
          </w:tcPr>
          <w:p w14:paraId="354EA75D" w14:textId="77777777" w:rsidR="00C073ED" w:rsidRPr="002631F0" w:rsidRDefault="00C073ED" w:rsidP="007C252A">
            <w:pPr>
              <w:pStyle w:val="Normlndobloku"/>
            </w:pPr>
            <w:r w:rsidRPr="002631F0">
              <w:t>Časté</w:t>
            </w:r>
          </w:p>
          <w:p w14:paraId="25777753" w14:textId="77777777" w:rsidR="00C073ED" w:rsidRPr="002631F0" w:rsidRDefault="00C073ED" w:rsidP="007C252A">
            <w:pPr>
              <w:pStyle w:val="Normlndobloku"/>
            </w:pPr>
            <w:r w:rsidRPr="002631F0">
              <w:t>Menej časté</w:t>
            </w:r>
          </w:p>
        </w:tc>
        <w:tc>
          <w:tcPr>
            <w:tcW w:w="4340" w:type="dxa"/>
          </w:tcPr>
          <w:p w14:paraId="73296B23" w14:textId="77777777" w:rsidR="00C073ED" w:rsidRPr="006B0E44" w:rsidRDefault="00C073ED" w:rsidP="007C252A">
            <w:pPr>
              <w:pStyle w:val="Normlndobloku"/>
            </w:pPr>
            <w:r w:rsidRPr="006B0E44">
              <w:t>Nauzea, gastroezofágová refluxná choroba</w:t>
            </w:r>
          </w:p>
          <w:p w14:paraId="17002291" w14:textId="77777777" w:rsidR="00C073ED" w:rsidRPr="006B0E44" w:rsidRDefault="00C073ED" w:rsidP="007C252A">
            <w:pPr>
              <w:pStyle w:val="Normlndobloku"/>
            </w:pPr>
            <w:r w:rsidRPr="006B0E44">
              <w:t>Hnačka, flatulencia</w:t>
            </w:r>
          </w:p>
        </w:tc>
      </w:tr>
    </w:tbl>
    <w:p w14:paraId="19680E7B" w14:textId="77777777" w:rsidR="00484431" w:rsidRDefault="00484431" w:rsidP="005F582D">
      <w:pPr>
        <w:pStyle w:val="Styl4"/>
        <w:rPr>
          <w:lang w:eastAsia="sk-SK"/>
        </w:rPr>
      </w:pPr>
    </w:p>
    <w:p w14:paraId="48003FA7" w14:textId="77777777" w:rsidR="00E76763" w:rsidRPr="006B0E44" w:rsidRDefault="00C073ED" w:rsidP="005F582D">
      <w:pPr>
        <w:pStyle w:val="Styl4"/>
        <w:rPr>
          <w:lang w:eastAsia="sk-SK"/>
        </w:rPr>
      </w:pPr>
      <w:r w:rsidRPr="006B0E44">
        <w:rPr>
          <w:lang w:eastAsia="sk-SK"/>
        </w:rPr>
        <w:t>Popis vybraných nežiaducich reakcií</w:t>
      </w:r>
    </w:p>
    <w:p w14:paraId="4C96C1A2" w14:textId="77777777" w:rsidR="00C073ED" w:rsidRPr="002631F0" w:rsidRDefault="00C073ED" w:rsidP="007C252A">
      <w:pPr>
        <w:pStyle w:val="Normlndobloku"/>
      </w:pPr>
      <w:r w:rsidRPr="002631F0">
        <w:t>V kontrolovaných klinických skúšaniach, v ktorých sa podávalo 50 mg vildagliptínu dvakrát denne v kombinácii s inzulínom, súbežne s metformínom alebo bez neho, bola celková incidencia ukončenia liečby pre nežiaduce reakcie 0,3 % v skupine liečby vildagliptínom a žiadne ukončenie v skupine placeba.</w:t>
      </w:r>
    </w:p>
    <w:p w14:paraId="4E8F4722" w14:textId="77777777" w:rsidR="00484431" w:rsidRDefault="00484431" w:rsidP="007C252A">
      <w:pPr>
        <w:pStyle w:val="Normlndobloku"/>
      </w:pPr>
    </w:p>
    <w:p w14:paraId="69A8B0AD" w14:textId="77777777" w:rsidR="00C073ED" w:rsidRPr="002631F0" w:rsidRDefault="00C073ED" w:rsidP="007C252A">
      <w:pPr>
        <w:pStyle w:val="Normlndobloku"/>
      </w:pPr>
      <w:r w:rsidRPr="002631F0">
        <w:t>Incidencia hypoglykémie bola podobná v oboch skupinách liečby (14,0 % v skupine vildagliptínu oproti 16,4 % v skupine placeba). Dvaja pacienti hlásili ťažké hypoglykemické príhody v skupine vildagliptínu a 6 pacienti v skupine placeba.</w:t>
      </w:r>
    </w:p>
    <w:p w14:paraId="078EC813" w14:textId="77777777" w:rsidR="00484431" w:rsidRDefault="00484431" w:rsidP="007C252A">
      <w:pPr>
        <w:pStyle w:val="Normlndobloku"/>
      </w:pPr>
    </w:p>
    <w:p w14:paraId="0B9E319C" w14:textId="77777777" w:rsidR="00C073ED" w:rsidRPr="006B0E44" w:rsidRDefault="00C073ED" w:rsidP="007C252A">
      <w:pPr>
        <w:pStyle w:val="Normlndobloku"/>
      </w:pPr>
      <w:r w:rsidRPr="006B0E44">
        <w:t>Účinok na priemernú telesnú hmotnosť na konci klinického skúšania bol neutrálny (zmena +0,6 kg oproti východiskovej hodnote v skupine vildagliptínu a žiadna zmena hmotnosti v skupine placeba).</w:t>
      </w:r>
    </w:p>
    <w:p w14:paraId="4EE1E3B2" w14:textId="77777777" w:rsidR="00484431" w:rsidRDefault="00484431" w:rsidP="006B0E44">
      <w:pPr>
        <w:pStyle w:val="Styl3"/>
        <w:spacing w:after="0"/>
        <w:jc w:val="left"/>
        <w:rPr>
          <w:szCs w:val="22"/>
        </w:rPr>
      </w:pPr>
    </w:p>
    <w:p w14:paraId="4AE8FC14" w14:textId="77777777" w:rsidR="00C073ED" w:rsidRPr="006B0E44" w:rsidRDefault="00C073ED" w:rsidP="006B0E44">
      <w:pPr>
        <w:pStyle w:val="Styl3"/>
        <w:spacing w:after="0"/>
        <w:jc w:val="left"/>
        <w:rPr>
          <w:szCs w:val="22"/>
        </w:rPr>
      </w:pPr>
      <w:r w:rsidRPr="006B0E44">
        <w:rPr>
          <w:szCs w:val="22"/>
        </w:rPr>
        <w:t>Skúsenosti po uvedení na trh</w:t>
      </w:r>
    </w:p>
    <w:p w14:paraId="671B71FE" w14:textId="77777777" w:rsidR="00C073ED" w:rsidRPr="006B0E44" w:rsidRDefault="00C073ED" w:rsidP="007C252A">
      <w:pPr>
        <w:pStyle w:val="Normlndobloku"/>
      </w:pPr>
      <w:r w:rsidRPr="006B0E44">
        <w:lastRenderedPageBreak/>
        <w:t xml:space="preserve">Tabuľka 7 </w:t>
      </w:r>
      <w:r w:rsidR="004F01AF" w:rsidRPr="006B0E44">
        <w:t xml:space="preserve">- </w:t>
      </w:r>
      <w:r w:rsidRPr="006B0E44">
        <w:t>Nežiaduce reakcie po uvedení na trh</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2"/>
        <w:gridCol w:w="1736"/>
        <w:gridCol w:w="4340"/>
      </w:tblGrid>
      <w:tr w:rsidR="00C073ED" w:rsidRPr="002631F0" w14:paraId="00506A36" w14:textId="77777777" w:rsidTr="00165383">
        <w:trPr>
          <w:trHeight w:val="197"/>
          <w:tblHeader/>
        </w:trPr>
        <w:tc>
          <w:tcPr>
            <w:tcW w:w="3432" w:type="dxa"/>
          </w:tcPr>
          <w:p w14:paraId="22F0F83D" w14:textId="77777777" w:rsidR="00C073ED" w:rsidRPr="006B0E44" w:rsidRDefault="00C073ED" w:rsidP="007C252A">
            <w:pPr>
              <w:pStyle w:val="Normlndobloku"/>
            </w:pPr>
            <w:r w:rsidRPr="006B0E44">
              <w:t>Trieda orgánových systémov podľa MedDRA</w:t>
            </w:r>
          </w:p>
        </w:tc>
        <w:tc>
          <w:tcPr>
            <w:tcW w:w="1736" w:type="dxa"/>
          </w:tcPr>
          <w:p w14:paraId="11700345" w14:textId="77777777" w:rsidR="00C073ED" w:rsidRPr="006B0E44" w:rsidRDefault="00C073ED" w:rsidP="007C252A">
            <w:pPr>
              <w:pStyle w:val="Normlndobloku"/>
            </w:pPr>
            <w:r w:rsidRPr="006B0E44">
              <w:t>Frekvencia</w:t>
            </w:r>
          </w:p>
        </w:tc>
        <w:tc>
          <w:tcPr>
            <w:tcW w:w="4340" w:type="dxa"/>
          </w:tcPr>
          <w:p w14:paraId="113A3002" w14:textId="77777777" w:rsidR="00C073ED" w:rsidRPr="006B0E44" w:rsidRDefault="00C073ED" w:rsidP="007C252A">
            <w:pPr>
              <w:pStyle w:val="Normlndobloku"/>
            </w:pPr>
            <w:r w:rsidRPr="006B0E44">
              <w:t>Nežiaduci účinok</w:t>
            </w:r>
          </w:p>
        </w:tc>
      </w:tr>
      <w:tr w:rsidR="00C073ED" w:rsidRPr="002631F0" w14:paraId="2F896ECD" w14:textId="77777777" w:rsidTr="00165383">
        <w:trPr>
          <w:trHeight w:val="197"/>
        </w:trPr>
        <w:tc>
          <w:tcPr>
            <w:tcW w:w="3432" w:type="dxa"/>
          </w:tcPr>
          <w:p w14:paraId="280756E9" w14:textId="77777777" w:rsidR="00C073ED" w:rsidRPr="002631F0" w:rsidRDefault="00C073ED" w:rsidP="007C252A">
            <w:pPr>
              <w:pStyle w:val="Normlndobloku"/>
            </w:pPr>
            <w:r w:rsidRPr="002631F0">
              <w:t>Poruchy gastrointestinálneho traktu</w:t>
            </w:r>
          </w:p>
        </w:tc>
        <w:tc>
          <w:tcPr>
            <w:tcW w:w="1736" w:type="dxa"/>
          </w:tcPr>
          <w:p w14:paraId="3C9DF273" w14:textId="77777777" w:rsidR="00C073ED" w:rsidRPr="002631F0" w:rsidRDefault="00C073ED" w:rsidP="007C252A">
            <w:pPr>
              <w:pStyle w:val="Normlndobloku"/>
            </w:pPr>
            <w:r w:rsidRPr="002631F0">
              <w:t>Neznáme</w:t>
            </w:r>
          </w:p>
        </w:tc>
        <w:tc>
          <w:tcPr>
            <w:tcW w:w="4340" w:type="dxa"/>
          </w:tcPr>
          <w:p w14:paraId="126B0AC9" w14:textId="77777777" w:rsidR="00C073ED" w:rsidRPr="002631F0" w:rsidRDefault="00C073ED" w:rsidP="007C252A">
            <w:pPr>
              <w:pStyle w:val="Normlndobloku"/>
            </w:pPr>
            <w:r w:rsidRPr="002631F0">
              <w:t>Pankreatitída</w:t>
            </w:r>
          </w:p>
        </w:tc>
      </w:tr>
      <w:tr w:rsidR="00C073ED" w:rsidRPr="002631F0" w14:paraId="402035B1" w14:textId="77777777" w:rsidTr="00165383">
        <w:trPr>
          <w:trHeight w:val="197"/>
        </w:trPr>
        <w:tc>
          <w:tcPr>
            <w:tcW w:w="3432" w:type="dxa"/>
          </w:tcPr>
          <w:p w14:paraId="466C87A3" w14:textId="77777777" w:rsidR="00C073ED" w:rsidRPr="002631F0" w:rsidRDefault="00C073ED" w:rsidP="007C252A">
            <w:pPr>
              <w:pStyle w:val="Normlndobloku"/>
            </w:pPr>
            <w:r w:rsidRPr="002631F0">
              <w:t>Poruchy pečene a žlčových ciest</w:t>
            </w:r>
          </w:p>
        </w:tc>
        <w:tc>
          <w:tcPr>
            <w:tcW w:w="1736" w:type="dxa"/>
          </w:tcPr>
          <w:p w14:paraId="4C9C57E6" w14:textId="77777777" w:rsidR="00C073ED" w:rsidRPr="002631F0" w:rsidRDefault="00C073ED" w:rsidP="007C252A">
            <w:pPr>
              <w:pStyle w:val="Normlndobloku"/>
            </w:pPr>
            <w:r w:rsidRPr="002631F0">
              <w:t>Neznáme</w:t>
            </w:r>
          </w:p>
        </w:tc>
        <w:tc>
          <w:tcPr>
            <w:tcW w:w="4340" w:type="dxa"/>
          </w:tcPr>
          <w:p w14:paraId="24E4EAAC" w14:textId="77777777" w:rsidR="00C073ED" w:rsidRPr="002631F0" w:rsidRDefault="00C073ED" w:rsidP="007C252A">
            <w:pPr>
              <w:pStyle w:val="Normlndobloku"/>
            </w:pPr>
            <w:r w:rsidRPr="002631F0">
              <w:t>Hepatitída (reverzibilná po vysadení lieku)</w:t>
            </w:r>
          </w:p>
          <w:p w14:paraId="7D0B9356" w14:textId="77777777" w:rsidR="00C073ED" w:rsidRPr="006B0E44" w:rsidRDefault="00C073ED" w:rsidP="007C252A">
            <w:pPr>
              <w:pStyle w:val="Normlndobloku"/>
            </w:pPr>
            <w:r w:rsidRPr="006B0E44">
              <w:t>Abnormálne testy funkcie pečene (reverzibiln</w:t>
            </w:r>
            <w:r w:rsidR="000C567D" w:rsidRPr="006B0E44">
              <w:t>é</w:t>
            </w:r>
            <w:r w:rsidRPr="006B0E44">
              <w:t xml:space="preserve"> po vysadení lieku)</w:t>
            </w:r>
          </w:p>
        </w:tc>
      </w:tr>
      <w:tr w:rsidR="00C073ED" w:rsidRPr="002631F0" w14:paraId="0A748B0A" w14:textId="77777777" w:rsidTr="00165383">
        <w:trPr>
          <w:trHeight w:val="197"/>
        </w:trPr>
        <w:tc>
          <w:tcPr>
            <w:tcW w:w="3432" w:type="dxa"/>
          </w:tcPr>
          <w:p w14:paraId="2EB88D0F" w14:textId="77777777" w:rsidR="00C073ED" w:rsidRPr="002631F0" w:rsidRDefault="00C073ED" w:rsidP="007C252A">
            <w:pPr>
              <w:pStyle w:val="Normlndobloku"/>
            </w:pPr>
            <w:r w:rsidRPr="002631F0">
              <w:t>Poruchy kostrovej a svalovej sústavy a spojivového tkaniva</w:t>
            </w:r>
          </w:p>
        </w:tc>
        <w:tc>
          <w:tcPr>
            <w:tcW w:w="1736" w:type="dxa"/>
          </w:tcPr>
          <w:p w14:paraId="79085668" w14:textId="77777777" w:rsidR="00C073ED" w:rsidRPr="002631F0" w:rsidRDefault="00C073ED" w:rsidP="007C252A">
            <w:pPr>
              <w:pStyle w:val="Normlndobloku"/>
            </w:pPr>
            <w:r w:rsidRPr="002631F0">
              <w:t>Neznáme</w:t>
            </w:r>
          </w:p>
        </w:tc>
        <w:tc>
          <w:tcPr>
            <w:tcW w:w="4340" w:type="dxa"/>
          </w:tcPr>
          <w:p w14:paraId="4FE7CB71" w14:textId="77777777" w:rsidR="00C073ED" w:rsidRPr="006B0E44" w:rsidRDefault="00C073ED" w:rsidP="007C252A">
            <w:pPr>
              <w:pStyle w:val="Normlndobloku"/>
            </w:pPr>
            <w:r w:rsidRPr="006B0E44">
              <w:t>Myalgia</w:t>
            </w:r>
          </w:p>
        </w:tc>
      </w:tr>
      <w:tr w:rsidR="00C073ED" w:rsidRPr="002631F0" w14:paraId="40C84428" w14:textId="77777777" w:rsidTr="00165383">
        <w:trPr>
          <w:trHeight w:val="197"/>
        </w:trPr>
        <w:tc>
          <w:tcPr>
            <w:tcW w:w="3432" w:type="dxa"/>
          </w:tcPr>
          <w:p w14:paraId="3406C212" w14:textId="77777777" w:rsidR="00C073ED" w:rsidRPr="002631F0" w:rsidRDefault="00C073ED" w:rsidP="007C252A">
            <w:pPr>
              <w:pStyle w:val="Normlndobloku"/>
            </w:pPr>
            <w:r w:rsidRPr="002631F0">
              <w:t>Poruchy kože a podkožného tkaniva</w:t>
            </w:r>
          </w:p>
        </w:tc>
        <w:tc>
          <w:tcPr>
            <w:tcW w:w="1736" w:type="dxa"/>
          </w:tcPr>
          <w:p w14:paraId="024FF24D" w14:textId="77777777" w:rsidR="00C073ED" w:rsidRPr="002631F0" w:rsidRDefault="00C073ED" w:rsidP="007C252A">
            <w:pPr>
              <w:pStyle w:val="Normlndobloku"/>
            </w:pPr>
            <w:r w:rsidRPr="002631F0">
              <w:t>Neznáme</w:t>
            </w:r>
          </w:p>
        </w:tc>
        <w:tc>
          <w:tcPr>
            <w:tcW w:w="4340" w:type="dxa"/>
          </w:tcPr>
          <w:p w14:paraId="500F2B92" w14:textId="77777777" w:rsidR="00C073ED" w:rsidRPr="002631F0" w:rsidRDefault="00C073ED" w:rsidP="007C252A">
            <w:pPr>
              <w:pStyle w:val="Normlndobloku"/>
            </w:pPr>
            <w:r w:rsidRPr="002631F0">
              <w:t>Urtikária</w:t>
            </w:r>
          </w:p>
          <w:p w14:paraId="71075156" w14:textId="77777777" w:rsidR="00C073ED" w:rsidRPr="006B0E44" w:rsidRDefault="00C073ED" w:rsidP="007C252A">
            <w:pPr>
              <w:pStyle w:val="Normlndobloku"/>
            </w:pPr>
            <w:r w:rsidRPr="006B0E44">
              <w:t>Exfoliatívne a bulózne kožné lézie vrátane bulózneho pemfigoidu</w:t>
            </w:r>
          </w:p>
        </w:tc>
      </w:tr>
    </w:tbl>
    <w:p w14:paraId="5DEB8C5E" w14:textId="77777777" w:rsidR="00E76763" w:rsidRPr="002631F0" w:rsidRDefault="00E76763" w:rsidP="006B0E44">
      <w:pPr>
        <w:pStyle w:val="Styl3"/>
        <w:spacing w:after="0"/>
        <w:jc w:val="left"/>
        <w:rPr>
          <w:szCs w:val="22"/>
          <w:lang w:val="sk-SK"/>
        </w:rPr>
      </w:pPr>
    </w:p>
    <w:p w14:paraId="3074EA2F" w14:textId="77777777" w:rsidR="00A72EBA" w:rsidRPr="002631F0" w:rsidRDefault="006E6FA1" w:rsidP="006B0E44">
      <w:pPr>
        <w:pStyle w:val="Styl3"/>
        <w:spacing w:after="0"/>
        <w:jc w:val="left"/>
        <w:rPr>
          <w:szCs w:val="22"/>
          <w:lang w:val="sk-SK"/>
        </w:rPr>
      </w:pPr>
      <w:r w:rsidRPr="002631F0">
        <w:rPr>
          <w:szCs w:val="22"/>
          <w:lang w:val="sk-SK"/>
        </w:rPr>
        <w:t>Hlásenie podozrení na nežiaduce reakcie</w:t>
      </w:r>
    </w:p>
    <w:p w14:paraId="1048E678" w14:textId="77777777" w:rsidR="00A72EBA" w:rsidRDefault="00A72EBA" w:rsidP="007C252A">
      <w:pPr>
        <w:pStyle w:val="Normlndobloku"/>
      </w:pPr>
      <w:r w:rsidRPr="002631F0">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Pr="002631F0">
        <w:rPr>
          <w:highlight w:val="lightGray"/>
        </w:rPr>
        <w:t>na národné centrum hl</w:t>
      </w:r>
      <w:r w:rsidRPr="006B0E44">
        <w:rPr>
          <w:highlight w:val="lightGray"/>
        </w:rPr>
        <w:t>ásenia uvedené v </w:t>
      </w:r>
      <w:hyperlink r:id="rId7" w:history="1">
        <w:r w:rsidRPr="002631F0">
          <w:rPr>
            <w:rStyle w:val="Hypertextovprepojenie"/>
            <w:szCs w:val="22"/>
            <w:highlight w:val="lightGray"/>
          </w:rPr>
          <w:t>Prílohe V</w:t>
        </w:r>
      </w:hyperlink>
      <w:r w:rsidRPr="002631F0">
        <w:rPr>
          <w:highlight w:val="lightGray"/>
        </w:rPr>
        <w:t>.</w:t>
      </w:r>
    </w:p>
    <w:p w14:paraId="57BE3174" w14:textId="77777777" w:rsidR="00484431" w:rsidRPr="002631F0" w:rsidRDefault="00484431" w:rsidP="007C252A">
      <w:pPr>
        <w:pStyle w:val="Normlndobloku"/>
      </w:pPr>
    </w:p>
    <w:p w14:paraId="367C2142" w14:textId="77777777" w:rsidR="00591A89" w:rsidRPr="002631F0" w:rsidRDefault="00A72EBA" w:rsidP="006B0E44">
      <w:pPr>
        <w:pStyle w:val="Styl2"/>
        <w:spacing w:before="0" w:after="0"/>
        <w:ind w:left="0" w:firstLine="0"/>
        <w:rPr>
          <w:szCs w:val="22"/>
        </w:rPr>
      </w:pPr>
      <w:r w:rsidRPr="002631F0">
        <w:rPr>
          <w:szCs w:val="22"/>
        </w:rPr>
        <w:t>Predávkovanie</w:t>
      </w:r>
    </w:p>
    <w:p w14:paraId="5314ACF4" w14:textId="77777777" w:rsidR="00C073ED" w:rsidRDefault="00C073ED" w:rsidP="007C252A">
      <w:pPr>
        <w:pStyle w:val="Normlndobloku"/>
      </w:pPr>
      <w:r w:rsidRPr="002631F0">
        <w:t>Informácie o predávkovaní vildagliptín</w:t>
      </w:r>
      <w:r w:rsidR="000C567D" w:rsidRPr="002631F0">
        <w:t>om</w:t>
      </w:r>
      <w:r w:rsidRPr="006B0E44">
        <w:t xml:space="preserve"> sú obmedzené.</w:t>
      </w:r>
    </w:p>
    <w:p w14:paraId="5B3BED86" w14:textId="77777777" w:rsidR="00484431" w:rsidRPr="006B0E44" w:rsidRDefault="00484431" w:rsidP="007C252A">
      <w:pPr>
        <w:pStyle w:val="Normlndobloku"/>
      </w:pPr>
    </w:p>
    <w:p w14:paraId="25140233" w14:textId="77777777" w:rsidR="00591A89" w:rsidRPr="006B0E44" w:rsidRDefault="00C073ED" w:rsidP="006B0E44">
      <w:pPr>
        <w:pStyle w:val="Styl3"/>
        <w:spacing w:after="0"/>
        <w:jc w:val="left"/>
        <w:rPr>
          <w:szCs w:val="22"/>
          <w:lang w:val="sk-SK"/>
        </w:rPr>
      </w:pPr>
      <w:r w:rsidRPr="006B0E44">
        <w:rPr>
          <w:szCs w:val="22"/>
          <w:lang w:val="sk-SK"/>
        </w:rPr>
        <w:t>Symptómy</w:t>
      </w:r>
    </w:p>
    <w:p w14:paraId="0BA5342D" w14:textId="77777777" w:rsidR="00C073ED" w:rsidRDefault="007B7846" w:rsidP="007C252A">
      <w:pPr>
        <w:pStyle w:val="Normlndobloku"/>
      </w:pPr>
      <w:r w:rsidRPr="006B0E44">
        <w:t>Informácie o </w:t>
      </w:r>
      <w:r w:rsidR="00C073ED" w:rsidRPr="006B0E44">
        <w:t>pravdepodobných symptó</w:t>
      </w:r>
      <w:r w:rsidRPr="006B0E44">
        <w:t>moch predávkovania sa získali v štúdii tolerancie pri zvyšujúcich sa dávkach u </w:t>
      </w:r>
      <w:r w:rsidR="00C073ED" w:rsidRPr="006B0E44">
        <w:t>zdravýc</w:t>
      </w:r>
      <w:r w:rsidRPr="006B0E44">
        <w:t>h osôb, ktorým sa podával vildagliptín počas 10 dní. Pri 400 </w:t>
      </w:r>
      <w:r w:rsidR="00C073ED" w:rsidRPr="006B0E44">
        <w:t>mg sa vyskytli</w:t>
      </w:r>
      <w:r w:rsidRPr="006B0E44">
        <w:t xml:space="preserve"> tri prípady svalovej bolesti a jednotlivé prípady miernej a prechodnej parestézie, horúčky, edému a </w:t>
      </w:r>
      <w:r w:rsidR="00C073ED" w:rsidRPr="006B0E44">
        <w:t>prechodného zvýšenia hladiny lip</w:t>
      </w:r>
      <w:r w:rsidRPr="006B0E44">
        <w:t>ázy. Pri 600 mg sa u </w:t>
      </w:r>
      <w:r w:rsidR="00C073ED" w:rsidRPr="006B0E44">
        <w:t>j</w:t>
      </w:r>
      <w:r w:rsidRPr="006B0E44">
        <w:t xml:space="preserve">ednej osoby vyskytol edém nôh a rúk, </w:t>
      </w:r>
      <w:r w:rsidR="00C073ED" w:rsidRPr="006B0E44">
        <w:t>ako aj zvýšenie hladiny kreatínfosfokinázy (CPK), aspartátaminotransferázy (AST),</w:t>
      </w:r>
      <w:r w:rsidRPr="006B0E44">
        <w:t xml:space="preserve"> C-reaktívneho proteínu (CRP) a myoglobínu. U </w:t>
      </w:r>
      <w:r w:rsidR="00C073ED" w:rsidRPr="006B0E44">
        <w:t>troch ďalší</w:t>
      </w:r>
      <w:r w:rsidRPr="006B0E44">
        <w:t>ch osôb sa vyskytol edém nôh, z toho vo dvoch prípadoch s </w:t>
      </w:r>
      <w:r w:rsidR="00C073ED" w:rsidRPr="006B0E44">
        <w:t>p</w:t>
      </w:r>
      <w:r w:rsidRPr="006B0E44">
        <w:t>arestéziou. Všetky symptómy a </w:t>
      </w:r>
      <w:r w:rsidR="00C073ED" w:rsidRPr="006B0E44">
        <w:t>laboratórne abnormality ustúpili b</w:t>
      </w:r>
      <w:r w:rsidRPr="006B0E44">
        <w:t xml:space="preserve">ez liečby po vysadení skúšaného </w:t>
      </w:r>
      <w:r w:rsidR="00C073ED" w:rsidRPr="006B0E44">
        <w:t>lieku.</w:t>
      </w:r>
    </w:p>
    <w:p w14:paraId="5BCF4710" w14:textId="77777777" w:rsidR="00484431" w:rsidRPr="006B0E44" w:rsidRDefault="00484431" w:rsidP="007C252A">
      <w:pPr>
        <w:pStyle w:val="Normlndobloku"/>
      </w:pPr>
    </w:p>
    <w:p w14:paraId="39E60ACD" w14:textId="77777777" w:rsidR="00591A89" w:rsidRPr="006B0E44" w:rsidRDefault="00A25C39" w:rsidP="006B0E44">
      <w:pPr>
        <w:pStyle w:val="Styl3"/>
        <w:spacing w:after="0"/>
        <w:jc w:val="left"/>
        <w:rPr>
          <w:szCs w:val="22"/>
          <w:lang w:val="sk-SK"/>
        </w:rPr>
      </w:pPr>
      <w:r w:rsidRPr="006B0E44">
        <w:rPr>
          <w:szCs w:val="22"/>
          <w:lang w:val="sk-SK"/>
        </w:rPr>
        <w:t>Liečba</w:t>
      </w:r>
    </w:p>
    <w:p w14:paraId="49393A15" w14:textId="77777777" w:rsidR="007B7846" w:rsidRPr="006B0E44" w:rsidRDefault="007B7846" w:rsidP="007C252A">
      <w:pPr>
        <w:pStyle w:val="Normlndobloku"/>
      </w:pPr>
      <w:r w:rsidRPr="006B0E44">
        <w:t>V prípade predávkovania sa odporúča podporná liečba. Vildagliptín sa nedá odstrániť hemodialýzou.</w:t>
      </w:r>
    </w:p>
    <w:p w14:paraId="337608C7" w14:textId="77777777" w:rsidR="007B7846" w:rsidRDefault="007B7846" w:rsidP="007C252A">
      <w:pPr>
        <w:pStyle w:val="Normlndobloku"/>
      </w:pPr>
      <w:r w:rsidRPr="006B0E44">
        <w:t>Naproti tomu hlavný metabolit hydrolýzy (LAY 151) možno odstrániť hemodialýzou.</w:t>
      </w:r>
    </w:p>
    <w:p w14:paraId="523B8944" w14:textId="77777777" w:rsidR="00484431" w:rsidRDefault="00484431" w:rsidP="007C252A">
      <w:pPr>
        <w:pStyle w:val="Normlndobloku"/>
      </w:pPr>
    </w:p>
    <w:p w14:paraId="510DE0C6" w14:textId="77777777" w:rsidR="00484431" w:rsidRPr="006B0E44" w:rsidRDefault="00484431" w:rsidP="007C252A">
      <w:pPr>
        <w:pStyle w:val="Normlndobloku"/>
      </w:pPr>
    </w:p>
    <w:p w14:paraId="1C74FB6D" w14:textId="77777777" w:rsidR="00A72EBA" w:rsidRDefault="00A72EBA">
      <w:pPr>
        <w:pStyle w:val="Styl1"/>
      </w:pPr>
      <w:r w:rsidRPr="002631F0">
        <w:t>FARMAKOLOGICKÉ VLASTNOSTI</w:t>
      </w:r>
    </w:p>
    <w:p w14:paraId="4EDE42DD" w14:textId="77777777" w:rsidR="00484431" w:rsidRPr="002631F0" w:rsidRDefault="00484431" w:rsidP="006B0E44">
      <w:pPr>
        <w:pStyle w:val="Styl1"/>
        <w:numPr>
          <w:ilvl w:val="0"/>
          <w:numId w:val="0"/>
        </w:numPr>
      </w:pPr>
    </w:p>
    <w:p w14:paraId="3FB7EFF4" w14:textId="77777777" w:rsidR="00A72EBA" w:rsidRPr="006B0E44" w:rsidRDefault="00A72EBA" w:rsidP="006B0E44">
      <w:pPr>
        <w:pStyle w:val="Styl2"/>
        <w:spacing w:before="0" w:after="0"/>
        <w:ind w:left="0" w:firstLine="0"/>
        <w:rPr>
          <w:szCs w:val="22"/>
        </w:rPr>
      </w:pPr>
      <w:r w:rsidRPr="006B0E44">
        <w:rPr>
          <w:szCs w:val="22"/>
        </w:rPr>
        <w:t>Farmakodynamické vlastnosti</w:t>
      </w:r>
    </w:p>
    <w:p w14:paraId="0E7D2B0D" w14:textId="77777777" w:rsidR="00484431" w:rsidRDefault="00484431" w:rsidP="007C252A">
      <w:pPr>
        <w:pStyle w:val="Normlndobloku"/>
      </w:pPr>
    </w:p>
    <w:p w14:paraId="72E9492B" w14:textId="77777777" w:rsidR="00DC16E3" w:rsidRDefault="00A72EBA" w:rsidP="007C252A">
      <w:pPr>
        <w:pStyle w:val="Normlndobloku"/>
      </w:pPr>
      <w:r w:rsidRPr="006B0E44">
        <w:t>Farmakoterapeutická sk</w:t>
      </w:r>
      <w:r w:rsidR="00DC16E3" w:rsidRPr="006B0E44">
        <w:t>upina: A</w:t>
      </w:r>
      <w:r w:rsidR="00690B86" w:rsidRPr="006B0E44">
        <w:t>ntidiabetiká, inhibítory dipeptidylpeptidázy 4 (DPP</w:t>
      </w:r>
      <w:r w:rsidR="000C567D" w:rsidRPr="006B0E44">
        <w:t>-4</w:t>
      </w:r>
      <w:r w:rsidR="00690B86" w:rsidRPr="006B0E44">
        <w:t>), ATC kód: A10BH02</w:t>
      </w:r>
    </w:p>
    <w:p w14:paraId="7AA8E057" w14:textId="77777777" w:rsidR="00484431" w:rsidRPr="006B0E44" w:rsidRDefault="00484431" w:rsidP="007C252A">
      <w:pPr>
        <w:pStyle w:val="Normlndobloku"/>
      </w:pPr>
    </w:p>
    <w:p w14:paraId="3BB37533" w14:textId="77777777" w:rsidR="00690B86" w:rsidRDefault="006C1740" w:rsidP="007C252A">
      <w:pPr>
        <w:pStyle w:val="Normlndobloku"/>
      </w:pPr>
      <w:r w:rsidRPr="006B0E44">
        <w:t>Vildagliptín, ktorý patrí do triedy stimulátorov buniek Langerhansových ostrovčekov, je účinný a selektívny inhibítor DPP-4.</w:t>
      </w:r>
    </w:p>
    <w:p w14:paraId="6EA3E849" w14:textId="77777777" w:rsidR="00484431" w:rsidRPr="006B0E44" w:rsidRDefault="00484431" w:rsidP="007C252A">
      <w:pPr>
        <w:pStyle w:val="Normlndobloku"/>
      </w:pPr>
    </w:p>
    <w:p w14:paraId="211332A8" w14:textId="77777777" w:rsidR="006C1740" w:rsidRPr="006B0E44" w:rsidRDefault="006C1740" w:rsidP="006B0E44">
      <w:pPr>
        <w:pStyle w:val="Styl3"/>
        <w:spacing w:after="0"/>
        <w:jc w:val="left"/>
        <w:rPr>
          <w:szCs w:val="22"/>
          <w:lang w:val="sk-SK"/>
        </w:rPr>
      </w:pPr>
      <w:r w:rsidRPr="006B0E44">
        <w:rPr>
          <w:szCs w:val="22"/>
          <w:lang w:val="sk-SK"/>
        </w:rPr>
        <w:t>Mechanizmus účinku</w:t>
      </w:r>
    </w:p>
    <w:p w14:paraId="788B0D80" w14:textId="77777777" w:rsidR="006C1740" w:rsidRDefault="006C1740" w:rsidP="007C252A">
      <w:pPr>
        <w:pStyle w:val="Normlndobloku"/>
      </w:pPr>
      <w:r w:rsidRPr="006B0E44">
        <w:t>Podávanie vildagliptínu má za následok rýchlu a úplnú inhibíciu aktivity DPP-4, čo spôsobuje nalačno aj postprandiálne zvýšenie endogénnej hladiny inkretínových hormónov GLP-1 (glukagónu podobný peptid 1) a GIP (glukózodependentný inzulínotropný polypeptid).</w:t>
      </w:r>
    </w:p>
    <w:p w14:paraId="0991E9BB" w14:textId="77777777" w:rsidR="00484431" w:rsidRPr="006B0E44" w:rsidRDefault="00484431" w:rsidP="007C252A">
      <w:pPr>
        <w:pStyle w:val="Normlndobloku"/>
      </w:pPr>
    </w:p>
    <w:p w14:paraId="3DC052B9" w14:textId="77777777" w:rsidR="006C1740" w:rsidRPr="006B0E44" w:rsidRDefault="006C1740" w:rsidP="006B0E44">
      <w:pPr>
        <w:pStyle w:val="Styl3"/>
        <w:spacing w:after="0"/>
        <w:jc w:val="left"/>
        <w:rPr>
          <w:szCs w:val="22"/>
          <w:lang w:val="sk-SK"/>
        </w:rPr>
      </w:pPr>
      <w:r w:rsidRPr="006B0E44">
        <w:rPr>
          <w:szCs w:val="22"/>
          <w:lang w:val="sk-SK"/>
        </w:rPr>
        <w:t>Farmakodynamické účinky</w:t>
      </w:r>
    </w:p>
    <w:p w14:paraId="163247FE" w14:textId="77777777" w:rsidR="006C1740" w:rsidRPr="006B0E44" w:rsidRDefault="006C1740" w:rsidP="007C252A">
      <w:pPr>
        <w:pStyle w:val="Normlndobloku"/>
      </w:pPr>
      <w:r w:rsidRPr="006B0E44">
        <w:lastRenderedPageBreak/>
        <w:t>Zvyšovaním endogénnej hladiny týchto inkretínových hormónov vildagliptín zvyšuje citlivosť betabuniek na glukózu, čo vedie k lepšej sekrécii inzulínu závislej od glukózy. Liečba 50 – 100 mg vildagliptínu denne u pacientov s diabetom 2. typu významne zlepšila markery funkcie betabuniek vrátane HOMA-</w:t>
      </w:r>
      <w:r w:rsidR="000C567D" w:rsidRPr="002631F0">
        <w:t>β</w:t>
      </w:r>
      <w:r w:rsidRPr="006B0E44">
        <w:t xml:space="preserve"> (hodnotenie podľa modelu homeostázy-</w:t>
      </w:r>
      <w:r w:rsidR="000C567D" w:rsidRPr="006B0E44">
        <w:rPr>
          <w:lang w:val="en-GB"/>
        </w:rPr>
        <w:t>β</w:t>
      </w:r>
      <w:r w:rsidRPr="006B0E44">
        <w:t>), pomeru proinzulínu k inzulínu a mieru schopnosti betabuniek reagovať pri teste tolerancie jedla s častými odbermi. U osôb bez diabetu (s normálnou glykémiou) vildagliptín nestimuluje sekréciu inzulínu, ani neznižuje hladinu glukózy.</w:t>
      </w:r>
    </w:p>
    <w:p w14:paraId="2200AB60" w14:textId="77777777" w:rsidR="00484431" w:rsidRDefault="00484431" w:rsidP="007C252A">
      <w:pPr>
        <w:pStyle w:val="Normlndobloku"/>
      </w:pPr>
    </w:p>
    <w:p w14:paraId="0EBB3C06" w14:textId="77777777" w:rsidR="006C1740" w:rsidRPr="006B0E44" w:rsidRDefault="006C1740" w:rsidP="007C252A">
      <w:pPr>
        <w:pStyle w:val="Normlndobloku"/>
      </w:pPr>
      <w:r w:rsidRPr="006B0E44">
        <w:t>Zvyšovaním hladiny endogénneho GLP-1 vildagliptín zvyšuje aj citlivosť alfabuniek na glukózu, čo vedie k sekrécii glukagónu, ktorá je viac úmerná glukóze.</w:t>
      </w:r>
    </w:p>
    <w:p w14:paraId="3FFA63DC" w14:textId="77777777" w:rsidR="00484431" w:rsidRDefault="00484431" w:rsidP="007C252A">
      <w:pPr>
        <w:pStyle w:val="Normlndobloku"/>
      </w:pPr>
    </w:p>
    <w:p w14:paraId="03D5B2D0" w14:textId="77777777" w:rsidR="006C1740" w:rsidRPr="006B0E44" w:rsidRDefault="006C1740" w:rsidP="007C252A">
      <w:pPr>
        <w:pStyle w:val="Normlndobloku"/>
      </w:pPr>
      <w:r w:rsidRPr="006B0E44">
        <w:t>Výraznejšie zvýšenie pomeru inzulín/glukagón pri hyperglykémii spôsobené vyššou hladinou inkretínových hormónov má za následok pokles tvorby glukózy v pečeni nalačno a postprandiálne, čo vedie k zníženiu glykémie.</w:t>
      </w:r>
    </w:p>
    <w:p w14:paraId="38397868" w14:textId="77777777" w:rsidR="00484431" w:rsidRDefault="00484431" w:rsidP="007C252A">
      <w:pPr>
        <w:pStyle w:val="Normlndobloku"/>
      </w:pPr>
    </w:p>
    <w:p w14:paraId="0FCCF305" w14:textId="77777777" w:rsidR="006C1740" w:rsidRPr="006B0E44" w:rsidRDefault="006C1740" w:rsidP="007C252A">
      <w:pPr>
        <w:pStyle w:val="Normlndobloku"/>
      </w:pPr>
      <w:r w:rsidRPr="006B0E44">
        <w:t>Známy účinok zvýšenej hladiny GLP-1 spôsobujúci spomalené vyprázdňovanie žalúdka sa pri liečbe vildagliptínom nepozoruje.</w:t>
      </w:r>
    </w:p>
    <w:p w14:paraId="4493B400" w14:textId="77777777" w:rsidR="00484431" w:rsidRDefault="00484431" w:rsidP="006B0E44">
      <w:pPr>
        <w:pStyle w:val="Styl3"/>
        <w:spacing w:after="0"/>
        <w:jc w:val="left"/>
        <w:rPr>
          <w:szCs w:val="22"/>
          <w:lang w:val="sk-SK"/>
        </w:rPr>
      </w:pPr>
    </w:p>
    <w:p w14:paraId="716D2BC7" w14:textId="77777777" w:rsidR="006C1740" w:rsidRPr="006B0E44" w:rsidRDefault="006C1740" w:rsidP="006B0E44">
      <w:pPr>
        <w:pStyle w:val="Styl3"/>
        <w:spacing w:after="0"/>
        <w:jc w:val="left"/>
        <w:rPr>
          <w:szCs w:val="22"/>
          <w:lang w:val="sk-SK"/>
        </w:rPr>
      </w:pPr>
      <w:r w:rsidRPr="006B0E44">
        <w:rPr>
          <w:szCs w:val="22"/>
          <w:lang w:val="sk-SK"/>
        </w:rPr>
        <w:t>Klinická účinnosť a bezpečnosť</w:t>
      </w:r>
    </w:p>
    <w:p w14:paraId="043571F3" w14:textId="77777777" w:rsidR="006C1740" w:rsidRPr="006B0E44" w:rsidRDefault="006C1740" w:rsidP="007C252A">
      <w:pPr>
        <w:pStyle w:val="Normlndobloku"/>
      </w:pPr>
      <w:r w:rsidRPr="006B0E44">
        <w:t xml:space="preserve">Viac ako 15 000 pacientov s diabetom 2. typu sa zúčastnilo na dvojito </w:t>
      </w:r>
      <w:r w:rsidR="000C567D" w:rsidRPr="006B0E44">
        <w:t>zaslepených</w:t>
      </w:r>
      <w:r w:rsidRPr="006B0E44">
        <w:t>, placebom alebo účinnou látkou kontrolovaných klinických skúšaniach, v ktorých liečba trvala viac ako 2 roky.</w:t>
      </w:r>
    </w:p>
    <w:p w14:paraId="1161261C" w14:textId="122A1FFD" w:rsidR="006C1740" w:rsidRPr="006B0E44" w:rsidRDefault="006C1740" w:rsidP="007C252A">
      <w:pPr>
        <w:pStyle w:val="Normlndobloku"/>
      </w:pPr>
      <w:r w:rsidRPr="006B0E44">
        <w:t>V týchto klinických skúšaniach sa vildagliptín podával viac ako 9 000 pacientom v denných dávkach 50 mg raz denne, 50 mg dvakrát denne alebo 100 mg raz denne. Viac ako 5 000 pacientov a viac ako 4 000 pacient</w:t>
      </w:r>
      <w:r w:rsidR="006B0E44">
        <w:t>ie</w:t>
      </w:r>
      <w:r w:rsidRPr="006B0E44">
        <w:t>k dostávalo 50 mg vildagliptínu raz denne alebo 100 mg denne. Viac ako 1 900 pacientov, ktorí dostávali 50 mg vildagliptínu raz denne alebo 100 mg denne, bolo vo veku ≥ 65 rokov. V týchto klinických skúšaniach sa vildagliptín podával ako monoterapia pacientom s diabetom 2. typu, ktorí predtým neužívali žiadne lieky, alebo v kombinácii pacientom, ktorých diabetes nebol dostatočne kompenzovaný inými antidiabetikami.</w:t>
      </w:r>
    </w:p>
    <w:p w14:paraId="56FFC7CD" w14:textId="77777777" w:rsidR="00484431" w:rsidRDefault="00484431" w:rsidP="007C252A">
      <w:pPr>
        <w:pStyle w:val="Normlndobloku"/>
      </w:pPr>
    </w:p>
    <w:p w14:paraId="2DA0F630" w14:textId="77777777" w:rsidR="006C1740" w:rsidRPr="006B0E44" w:rsidRDefault="006C1740" w:rsidP="007C252A">
      <w:pPr>
        <w:pStyle w:val="Normlndobloku"/>
      </w:pPr>
      <w:r w:rsidRPr="006B0E44">
        <w:t>Vildagliptín celkovo zlepšil glykemickú kompenzáciu, keď sa podával ako monoterapia alebo keď sa používal v kombinácii s metformínom, sulfonylureovým antidiabetikom a tiazolidíndiónovým antidiabetikom, čo sa stanovilo na základe klinicky významného poklesu HbA1c na konci klinického skúšania oproti východiskovej hodnote (pozri Tabuľku 8).</w:t>
      </w:r>
    </w:p>
    <w:p w14:paraId="13116CCD" w14:textId="77777777" w:rsidR="00484431" w:rsidRDefault="00484431" w:rsidP="007C252A">
      <w:pPr>
        <w:pStyle w:val="Normlndobloku"/>
      </w:pPr>
    </w:p>
    <w:p w14:paraId="1E87B464" w14:textId="77777777" w:rsidR="006C1740" w:rsidRPr="006B0E44" w:rsidRDefault="006C1740" w:rsidP="007C252A">
      <w:pPr>
        <w:pStyle w:val="Normlndobloku"/>
      </w:pPr>
      <w:r w:rsidRPr="006B0E44">
        <w:t>V klinických skúšaniach bola miera zníženia HbA1c pri vildagliptíne väčšia u pacientov s vyššou východiskovou hodnotou HbA1c.</w:t>
      </w:r>
    </w:p>
    <w:p w14:paraId="5720117B" w14:textId="77777777" w:rsidR="00484431" w:rsidRDefault="00484431" w:rsidP="007C252A">
      <w:pPr>
        <w:pStyle w:val="Normlndobloku"/>
      </w:pPr>
    </w:p>
    <w:p w14:paraId="044B7B85" w14:textId="77777777" w:rsidR="006C1740" w:rsidRPr="006B0E44" w:rsidRDefault="006C1740" w:rsidP="007C252A">
      <w:pPr>
        <w:pStyle w:val="Normlndobloku"/>
      </w:pPr>
      <w:r w:rsidRPr="006B0E44">
        <w:t xml:space="preserve">V dvojito </w:t>
      </w:r>
      <w:r w:rsidR="000C567D" w:rsidRPr="006B0E44">
        <w:t>zaslepenom</w:t>
      </w:r>
      <w:r w:rsidRPr="006B0E44">
        <w:t>, kontrolovanom klinickom skúšaní trvajúcom 52 týždňov, v ktorom vildagliptín (50 mg dvakrát denne) znížil východiskovú hodnotu HbA1c o -1 % v porovnaní s -1,6 % pri metformíne (titrovanom na 2 g/deň), sa nedosiahla štatistická noninferiorita. Pacienti liečení vildagliptínom hlásili významne nižšiu incidenciu gastrointestinálnych nežiaducich reakcií v porovnaní s pacientmi liečenými metformínom.</w:t>
      </w:r>
    </w:p>
    <w:p w14:paraId="5ECE5D01" w14:textId="77777777" w:rsidR="00484431" w:rsidRDefault="00484431" w:rsidP="007C252A">
      <w:pPr>
        <w:pStyle w:val="Normlndobloku"/>
      </w:pPr>
    </w:p>
    <w:p w14:paraId="2DD2D857" w14:textId="77777777" w:rsidR="006C1740" w:rsidRPr="006B0E44" w:rsidRDefault="006C1740" w:rsidP="007C252A">
      <w:pPr>
        <w:pStyle w:val="Normlndobloku"/>
      </w:pPr>
      <w:r w:rsidRPr="006B0E44">
        <w:t xml:space="preserve">V dvojito </w:t>
      </w:r>
      <w:r w:rsidR="000C567D" w:rsidRPr="006B0E44">
        <w:t>zaslepenom</w:t>
      </w:r>
      <w:r w:rsidRPr="006B0E44">
        <w:t>, kontrolovanom klinickom skúšaní trvajúcom 24 týždňov sa porovnával vildagliptín (50 mg dvakrát denne) s rosiglitazónom (8 mg raz denne). Priemerné zníženie bolo -1,20 % pri vildagliptíne a -1,48 % pri rosiglitazóne u pacientov s priemernou východiskovou hodnotou HbA1c 8,7 %. Pacienti, ktorí dostávali rosiglitazón, zaznamenali priemerné zvýšenie telesnej hmotnosti (+1,6 kg), zatiaľ čo u pacientov, ktorí dostávali vildagliptín, nedošlo k zvýšeniu telesnej hmotnosti (-0,3 kg). Incidencia periférneho edému bola nižšia v skupine vildagliptínu ako v skupine rosiglitazónu (2,1 % oproti 4,1 %).</w:t>
      </w:r>
    </w:p>
    <w:p w14:paraId="0CC24771" w14:textId="77777777" w:rsidR="00484431" w:rsidRDefault="00484431" w:rsidP="007C252A">
      <w:pPr>
        <w:pStyle w:val="Normlndobloku"/>
      </w:pPr>
    </w:p>
    <w:p w14:paraId="143B789E" w14:textId="77777777" w:rsidR="006C1740" w:rsidRPr="006B0E44" w:rsidRDefault="006C1740" w:rsidP="007C252A">
      <w:pPr>
        <w:pStyle w:val="Normlndobloku"/>
      </w:pPr>
      <w:r w:rsidRPr="006B0E44">
        <w:t>V klinickom skúšaní trvajúcom 2 roky sa vildagliptín (50 mg dvakrát denne) porovnával s gliklazidom (do 320 mg/deň). Po dvoch rokoch priemerné zníženie HbA1c bolo -0,5 % pri vildagliptíne a -0,6 % pri gliklazide oproti priemernej východiskovej hodnote HbA1c 8,6 %. Štatistická noninferiorita sa nedosiahla. Vildagliptín sa spájal s menším počtom hypoglykemických udalostí (0,7 %) ako gliklazid (1,7 %).</w:t>
      </w:r>
    </w:p>
    <w:p w14:paraId="488F1293" w14:textId="77777777" w:rsidR="00484431" w:rsidRDefault="00484431" w:rsidP="007C252A">
      <w:pPr>
        <w:pStyle w:val="Normlndobloku"/>
      </w:pPr>
    </w:p>
    <w:p w14:paraId="33C86EB0" w14:textId="77777777" w:rsidR="006C1740" w:rsidRPr="006B0E44" w:rsidRDefault="007569F1" w:rsidP="007C252A">
      <w:pPr>
        <w:pStyle w:val="Normlndobloku"/>
      </w:pPr>
      <w:r w:rsidRPr="006B0E44">
        <w:t>V </w:t>
      </w:r>
      <w:r w:rsidR="006C1740" w:rsidRPr="006B0E44">
        <w:t>klinickom skúšaní trvajúcom</w:t>
      </w:r>
      <w:r w:rsidRPr="006B0E44">
        <w:t xml:space="preserve"> 24 týždňov sa vildagliptín (50 mg dvakrát denne) porovnával s pioglitazónom (30 mg raz denne) u </w:t>
      </w:r>
      <w:r w:rsidR="006C1740" w:rsidRPr="006B0E44">
        <w:t>pacientov nedostatočne kompenzovaných metformínom (priemerná denná dávka: 2</w:t>
      </w:r>
      <w:r w:rsidRPr="006B0E44">
        <w:t> 020 </w:t>
      </w:r>
      <w:r w:rsidR="006C1740" w:rsidRPr="006B0E44">
        <w:t>mg). Priemerné zníženie HbA1c oproti východiskovej hodnote 8,4</w:t>
      </w:r>
      <w:r w:rsidRPr="006B0E44">
        <w:t> </w:t>
      </w:r>
      <w:r w:rsidR="006C1740" w:rsidRPr="006B0E44">
        <w:t>% bolo -0,9</w:t>
      </w:r>
      <w:r w:rsidRPr="006B0E44">
        <w:t> % pri vildagliptíne pridanom k metformínu a </w:t>
      </w:r>
      <w:r w:rsidR="006C1740" w:rsidRPr="006B0E44">
        <w:t>-1,0</w:t>
      </w:r>
      <w:r w:rsidRPr="006B0E44">
        <w:t> % pri pioglitazóne pridanom k </w:t>
      </w:r>
      <w:r w:rsidR="006C1740" w:rsidRPr="006B0E44">
        <w:t>metformínu. Priemerné z</w:t>
      </w:r>
      <w:r w:rsidRPr="006B0E44">
        <w:t>výšenie telesnej hmotnosti +1,9 kg sa pozorovalo u </w:t>
      </w:r>
      <w:r w:rsidR="006C1740" w:rsidRPr="006B0E44">
        <w:t>pacientov, ktorí dostávali pioglitazón prid</w:t>
      </w:r>
      <w:r w:rsidRPr="006B0E44">
        <w:t>aný k metformínu, v porovnaní s +0,3 kg u </w:t>
      </w:r>
      <w:r w:rsidR="006C1740" w:rsidRPr="006B0E44">
        <w:t>pacientov, ktorí</w:t>
      </w:r>
      <w:r w:rsidRPr="006B0E44">
        <w:t xml:space="preserve"> dostávali vildagliptín pridaný k </w:t>
      </w:r>
      <w:r w:rsidR="006C1740" w:rsidRPr="006B0E44">
        <w:t>metformínu.</w:t>
      </w:r>
    </w:p>
    <w:p w14:paraId="2B4B353F" w14:textId="77777777" w:rsidR="00484431" w:rsidRDefault="00484431" w:rsidP="007C252A">
      <w:pPr>
        <w:pStyle w:val="Normlndobloku"/>
      </w:pPr>
    </w:p>
    <w:p w14:paraId="7F468D85" w14:textId="77777777" w:rsidR="006C1740" w:rsidRPr="006B0E44" w:rsidRDefault="007569F1" w:rsidP="007C252A">
      <w:pPr>
        <w:pStyle w:val="Normlndobloku"/>
      </w:pPr>
      <w:r w:rsidRPr="006B0E44">
        <w:t>V </w:t>
      </w:r>
      <w:r w:rsidR="006C1740" w:rsidRPr="006B0E44">
        <w:t>klinickom skúšaní trvaj</w:t>
      </w:r>
      <w:r w:rsidRPr="006B0E44">
        <w:t>úcom 2 roky sa vildagliptín (50 mg dvakrát denne) porovnával s glimepiridom (do 6 </w:t>
      </w:r>
      <w:r w:rsidR="006C1740" w:rsidRPr="006B0E44">
        <w:t>mg/deň – p</w:t>
      </w:r>
      <w:r w:rsidRPr="006B0E44">
        <w:t>riemerná dávka po 2 rokoch: 4,6 </w:t>
      </w:r>
      <w:r w:rsidR="006C1740" w:rsidRPr="006B0E44">
        <w:t>mg)</w:t>
      </w:r>
      <w:r w:rsidRPr="006B0E44">
        <w:t xml:space="preserve"> u </w:t>
      </w:r>
      <w:r w:rsidR="006C1740" w:rsidRPr="006B0E44">
        <w:t>pacientov liečených metformínom (priemerná denná dávka: 1</w:t>
      </w:r>
      <w:r w:rsidRPr="006B0E44">
        <w:t> 894 </w:t>
      </w:r>
      <w:r w:rsidR="006C1740" w:rsidRPr="006B0E44">
        <w:t>mg). Po 1 roku bolo priemerné zníženie HbA</w:t>
      </w:r>
      <w:r w:rsidRPr="006B0E44">
        <w:t>1c pri vildagliptíne pridanom k </w:t>
      </w:r>
      <w:r w:rsidR="006C1740" w:rsidRPr="006B0E44">
        <w:t>metformínu -0,4</w:t>
      </w:r>
      <w:r w:rsidRPr="006B0E44">
        <w:t> % a pri glimepiride pridanom k </w:t>
      </w:r>
      <w:r w:rsidR="006C1740" w:rsidRPr="006B0E44">
        <w:t>metformínu -0,5</w:t>
      </w:r>
      <w:r w:rsidRPr="006B0E44">
        <w:t> </w:t>
      </w:r>
      <w:r w:rsidR="006C1740" w:rsidRPr="006B0E44">
        <w:t>% oproti priemernej východiskovej hodnote HbA1c 7,3</w:t>
      </w:r>
      <w:r w:rsidRPr="006B0E44">
        <w:t> </w:t>
      </w:r>
      <w:r w:rsidR="006C1740" w:rsidRPr="006B0E44">
        <w:t>%. Zmena telesnej h</w:t>
      </w:r>
      <w:r w:rsidRPr="006B0E44">
        <w:t>motnosti bola pri vildagliptíne -0,2 kg oproti +1,6 </w:t>
      </w:r>
      <w:r w:rsidR="006C1740" w:rsidRPr="006B0E44">
        <w:t>kg pri glimepiride. Incidencia hypo</w:t>
      </w:r>
      <w:r w:rsidRPr="006B0E44">
        <w:t xml:space="preserve">glykémie bola významne nižšia v skupine </w:t>
      </w:r>
      <w:r w:rsidR="006C1740" w:rsidRPr="006B0E44">
        <w:t>vildagliptínu (1,7</w:t>
      </w:r>
      <w:r w:rsidRPr="006B0E44">
        <w:t> %) ako v </w:t>
      </w:r>
      <w:r w:rsidR="006C1740" w:rsidRPr="006B0E44">
        <w:t>skupine glimepiridu (16,2</w:t>
      </w:r>
      <w:r w:rsidRPr="006B0E44">
        <w:t> %). V </w:t>
      </w:r>
      <w:r w:rsidR="006C1740" w:rsidRPr="006B0E44">
        <w:t>koncovom bode štúdie (2 roky) bol HbA1c podobný ako východ</w:t>
      </w:r>
      <w:r w:rsidRPr="006B0E44">
        <w:t>iskové hodnoty v oboch skupinách liečby a </w:t>
      </w:r>
      <w:r w:rsidR="006C1740" w:rsidRPr="006B0E44">
        <w:t>pretrvá</w:t>
      </w:r>
      <w:r w:rsidRPr="006B0E44">
        <w:t>vali zmeny telesnej hmotnosti a rozdiely v </w:t>
      </w:r>
      <w:r w:rsidR="006C1740" w:rsidRPr="006B0E44">
        <w:t>hypoglykémii.</w:t>
      </w:r>
    </w:p>
    <w:p w14:paraId="50B02D23" w14:textId="77777777" w:rsidR="00484431" w:rsidRDefault="00484431" w:rsidP="007C252A">
      <w:pPr>
        <w:pStyle w:val="Normlndobloku"/>
      </w:pPr>
    </w:p>
    <w:p w14:paraId="11C08171" w14:textId="77777777" w:rsidR="006C1740" w:rsidRPr="006B0E44" w:rsidRDefault="007569F1" w:rsidP="007C252A">
      <w:pPr>
        <w:pStyle w:val="Normlndobloku"/>
      </w:pPr>
      <w:r w:rsidRPr="006B0E44">
        <w:t>V </w:t>
      </w:r>
      <w:r w:rsidR="006C1740" w:rsidRPr="006B0E44">
        <w:t>klinickom skúšaní trvajúcom</w:t>
      </w:r>
      <w:r w:rsidRPr="006B0E44">
        <w:t xml:space="preserve"> 52 týždňov sa vildagliptín (50 mg dvakrát denne) porovnával s </w:t>
      </w:r>
      <w:r w:rsidR="006C1740" w:rsidRPr="006B0E44">
        <w:t>gliklazido</w:t>
      </w:r>
      <w:r w:rsidRPr="006B0E44">
        <w:t>m (priemerná denná dávka: 229,5 mg/deň) u </w:t>
      </w:r>
      <w:r w:rsidR="006C1740" w:rsidRPr="006B0E44">
        <w:t>pacientov nedostatočne kompenzovaných metformínom (výc</w:t>
      </w:r>
      <w:r w:rsidRPr="006B0E44">
        <w:t>hodisková dávka metformínu 1 928 </w:t>
      </w:r>
      <w:r w:rsidR="006C1740" w:rsidRPr="006B0E44">
        <w:t>mg/deň). Po 1 roku priemerné zníženie HbA1c bolo -0,81</w:t>
      </w:r>
      <w:r w:rsidRPr="006B0E44">
        <w:t> % pri vildagliptíne pridanom k </w:t>
      </w:r>
      <w:r w:rsidR="006C1740" w:rsidRPr="006B0E44">
        <w:t>metformínu (priemerná východisková hodnota HbA1c 8,4</w:t>
      </w:r>
      <w:r w:rsidRPr="006B0E44">
        <w:t> %) a </w:t>
      </w:r>
      <w:r w:rsidR="006C1740" w:rsidRPr="006B0E44">
        <w:t>-0,85</w:t>
      </w:r>
      <w:r w:rsidRPr="006B0E44">
        <w:t> % pri gliklazide pridanom k </w:t>
      </w:r>
      <w:r w:rsidR="006C1740" w:rsidRPr="006B0E44">
        <w:t>metformínu (priemerná východisková hodnota HbA1c 8,5</w:t>
      </w:r>
      <w:r w:rsidRPr="006B0E44">
        <w:t> </w:t>
      </w:r>
      <w:r w:rsidR="006C1740" w:rsidRPr="006B0E44">
        <w:t>%); dosiahla sa štatistická</w:t>
      </w:r>
      <w:r w:rsidRPr="006B0E44">
        <w:t xml:space="preserve"> noninferiorita (95 % IS -0,11 – </w:t>
      </w:r>
      <w:r w:rsidR="006C1740" w:rsidRPr="006B0E44">
        <w:t>0,20). Zmena telesnej hmotno</w:t>
      </w:r>
      <w:r w:rsidRPr="006B0E44">
        <w:t>sti bola pri vildagliptíne +0,1 kg v </w:t>
      </w:r>
      <w:r w:rsidR="006C1740" w:rsidRPr="006B0E44">
        <w:t>porov</w:t>
      </w:r>
      <w:r w:rsidRPr="006B0E44">
        <w:t>naní so zvýšením hmotnosti +1,4 </w:t>
      </w:r>
      <w:r w:rsidR="006C1740" w:rsidRPr="006B0E44">
        <w:t>kg pri gliklazide.</w:t>
      </w:r>
    </w:p>
    <w:p w14:paraId="21328AD8" w14:textId="77777777" w:rsidR="00484431" w:rsidRDefault="00484431" w:rsidP="007C252A">
      <w:pPr>
        <w:pStyle w:val="Normlndobloku"/>
      </w:pPr>
    </w:p>
    <w:p w14:paraId="2B053C30" w14:textId="77777777" w:rsidR="006C1740" w:rsidRPr="006B0E44" w:rsidRDefault="007569F1" w:rsidP="007C252A">
      <w:pPr>
        <w:pStyle w:val="Normlndobloku"/>
      </w:pPr>
      <w:r w:rsidRPr="006B0E44">
        <w:t>V </w:t>
      </w:r>
      <w:r w:rsidR="006C1740" w:rsidRPr="006B0E44">
        <w:t>klinickom skúšaní trvajúcom 24 týždňov sa vyhodnotila účinnosť pevnej k</w:t>
      </w:r>
      <w:r w:rsidRPr="006B0E44">
        <w:t>ombinácie dávok vildagliptínu a </w:t>
      </w:r>
      <w:r w:rsidR="006C1740" w:rsidRPr="006B0E44">
        <w:t>metformínu (</w:t>
      </w:r>
      <w:r w:rsidRPr="006B0E44">
        <w:t>postupne titrovanej na dávku 50 mg/500 mg dvakrát denne alebo 50 mg/1000 </w:t>
      </w:r>
      <w:r w:rsidR="006C1740" w:rsidRPr="006B0E44">
        <w:t xml:space="preserve">mg dvakrát denne) ako začiatočnej liečby u pacientov, ktorí dovtedy nedostávali žiadne lieky. </w:t>
      </w:r>
      <w:r w:rsidRPr="006B0E44">
        <w:t>Vildagliptín/metformín 50 </w:t>
      </w:r>
      <w:r w:rsidR="006C1740" w:rsidRPr="006B0E44">
        <w:t>mg/1</w:t>
      </w:r>
      <w:r w:rsidRPr="006B0E44">
        <w:t> 000 </w:t>
      </w:r>
      <w:r w:rsidR="006C1740" w:rsidRPr="006B0E44">
        <w:t>mg dvakrát denne znížil HbA1c o -1,82</w:t>
      </w:r>
      <w:r w:rsidRPr="006B0E44">
        <w:t> %, vildagliptín/metformín 50 mg/500 mg dvakrát denne o </w:t>
      </w:r>
      <w:r w:rsidR="006C1740" w:rsidRPr="006B0E44">
        <w:t>-1,61</w:t>
      </w:r>
      <w:r w:rsidRPr="006B0E44">
        <w:t> </w:t>
      </w:r>
      <w:r w:rsidR="006C1740" w:rsidRPr="006B0E44">
        <w:t>%, metformín 1</w:t>
      </w:r>
      <w:r w:rsidRPr="006B0E44">
        <w:t> 000 </w:t>
      </w:r>
      <w:r w:rsidR="006C1740" w:rsidRPr="006B0E44">
        <w:t>mg dvakrát denne o -1,36</w:t>
      </w:r>
      <w:r w:rsidRPr="006B0E44">
        <w:t> % a vildagliptín 50 mg dvakrát denne o </w:t>
      </w:r>
      <w:r w:rsidR="006C1740" w:rsidRPr="006B0E44">
        <w:t>-1,09</w:t>
      </w:r>
      <w:r w:rsidRPr="006B0E44">
        <w:t> </w:t>
      </w:r>
      <w:r w:rsidR="006C1740" w:rsidRPr="006B0E44">
        <w:t>% oproti priemernej východiskovej ho</w:t>
      </w:r>
      <w:r w:rsidRPr="006B0E44">
        <w:t xml:space="preserve">dnote HbA1c </w:t>
      </w:r>
      <w:r w:rsidR="006C1740" w:rsidRPr="006B0E44">
        <w:t>8,6</w:t>
      </w:r>
      <w:r w:rsidRPr="006B0E44">
        <w:t> %. Pokles HbA1c pozorovaný u pacientov s </w:t>
      </w:r>
      <w:r w:rsidR="006C1740" w:rsidRPr="006B0E44">
        <w:t>východiskovou hodnotou ≥10,0</w:t>
      </w:r>
      <w:r w:rsidRPr="006B0E44">
        <w:t> </w:t>
      </w:r>
      <w:r w:rsidR="006C1740" w:rsidRPr="006B0E44">
        <w:t>% bol väčší.</w:t>
      </w:r>
    </w:p>
    <w:p w14:paraId="02E2CE5D" w14:textId="77777777" w:rsidR="00484431" w:rsidRDefault="00484431" w:rsidP="007C252A">
      <w:pPr>
        <w:pStyle w:val="Normlndobloku"/>
      </w:pPr>
    </w:p>
    <w:p w14:paraId="52137FDB" w14:textId="77777777" w:rsidR="006C1740" w:rsidRPr="006B0E44" w:rsidRDefault="006C1740" w:rsidP="007C252A">
      <w:pPr>
        <w:pStyle w:val="Normlndobloku"/>
      </w:pPr>
      <w:r w:rsidRPr="006B0E44">
        <w:t>Vykonalo sa multicentrické, randomizované, dvojito zaslepené,</w:t>
      </w:r>
      <w:r w:rsidR="007569F1" w:rsidRPr="006B0E44">
        <w:t xml:space="preserve"> placebom kontrolované klinické </w:t>
      </w:r>
      <w:r w:rsidRPr="006B0E44">
        <w:t>skúšanie trvajúce 24 týždňov na vyhodnotenie účinku liečby vildagl</w:t>
      </w:r>
      <w:r w:rsidR="007569F1" w:rsidRPr="006B0E44">
        <w:t>iptínom 50 mg raz denne v porovnaní s placebom u 515 pacientov s diabetom 2. typu a </w:t>
      </w:r>
      <w:r w:rsidRPr="006B0E44">
        <w:t xml:space="preserve">stredne ťažkou poruchou funkcie obličiek (N=294) alebo ťažkou poruchou funkcie obličiek (N=221). </w:t>
      </w:r>
      <w:r w:rsidR="007569F1" w:rsidRPr="006B0E44">
        <w:t xml:space="preserve">Na začiatku klinického skúšania </w:t>
      </w:r>
      <w:r w:rsidRPr="006B0E44">
        <w:t>bolo 68,8</w:t>
      </w:r>
      <w:r w:rsidR="007569F1" w:rsidRPr="006B0E44">
        <w:t> % pacientov so stredne ťažkou a </w:t>
      </w:r>
      <w:r w:rsidRPr="006B0E44">
        <w:t>80,5</w:t>
      </w:r>
      <w:r w:rsidR="007569F1" w:rsidRPr="006B0E44">
        <w:t> % s </w:t>
      </w:r>
      <w:r w:rsidRPr="006B0E44">
        <w:t>ťažkou poru</w:t>
      </w:r>
      <w:r w:rsidR="007569F1" w:rsidRPr="006B0E44">
        <w:t xml:space="preserve">chou funkcie obličiek liečených </w:t>
      </w:r>
      <w:r w:rsidRPr="006B0E44">
        <w:t>inzulínom (priem</w:t>
      </w:r>
      <w:r w:rsidR="007569F1" w:rsidRPr="006B0E44">
        <w:t>erná denná dávka 56 jednotiek a 51,6 jednotiek). U </w:t>
      </w:r>
      <w:r w:rsidRPr="006B0E44">
        <w:t xml:space="preserve">pacientov so stredne ťažkou poruchou </w:t>
      </w:r>
      <w:r w:rsidR="007569F1" w:rsidRPr="006B0E44">
        <w:t>funkcie obličiek vildagliptín v porovnaní s </w:t>
      </w:r>
      <w:r w:rsidRPr="006B0E44">
        <w:t>placebom</w:t>
      </w:r>
      <w:r w:rsidR="007569F1" w:rsidRPr="006B0E44">
        <w:t xml:space="preserve"> významne znížil HbA1c (rozdiel </w:t>
      </w:r>
      <w:r w:rsidRPr="006B0E44">
        <w:t>-0,53</w:t>
      </w:r>
      <w:r w:rsidR="007569F1" w:rsidRPr="006B0E44">
        <w:t> </w:t>
      </w:r>
      <w:r w:rsidRPr="006B0E44">
        <w:t>%) oproti východiskovej hodnote 7,9</w:t>
      </w:r>
      <w:r w:rsidR="007569F1" w:rsidRPr="006B0E44">
        <w:t> %. U pacientov s </w:t>
      </w:r>
      <w:r w:rsidRPr="006B0E44">
        <w:t>ť</w:t>
      </w:r>
      <w:r w:rsidR="007569F1" w:rsidRPr="006B0E44">
        <w:t>ažkou poruchou funkcie obličiek vildagliptín v porovnaní s </w:t>
      </w:r>
      <w:r w:rsidRPr="006B0E44">
        <w:t>placebom významne znížil HbA1c (rozdiel -0,56</w:t>
      </w:r>
      <w:r w:rsidR="007569F1" w:rsidRPr="006B0E44">
        <w:t> </w:t>
      </w:r>
      <w:r w:rsidRPr="006B0E44">
        <w:t>%) oproti východiskovej hodnote 7,7</w:t>
      </w:r>
      <w:r w:rsidR="007569F1" w:rsidRPr="006B0E44">
        <w:t> </w:t>
      </w:r>
      <w:r w:rsidRPr="006B0E44">
        <w:t>%.</w:t>
      </w:r>
    </w:p>
    <w:p w14:paraId="511CC5A2" w14:textId="77777777" w:rsidR="007409F7" w:rsidRDefault="007409F7" w:rsidP="007C252A">
      <w:pPr>
        <w:pStyle w:val="Normlndobloku"/>
      </w:pPr>
    </w:p>
    <w:p w14:paraId="57D6B6DC" w14:textId="77777777" w:rsidR="006C1740" w:rsidRPr="006B0E44" w:rsidRDefault="006C1740" w:rsidP="007C252A">
      <w:pPr>
        <w:pStyle w:val="Normlndobloku"/>
      </w:pPr>
      <w:r w:rsidRPr="006B0E44">
        <w:t>Randomizované, dvojito zaslepené, placebom kontrolované klinické skúšanie tr</w:t>
      </w:r>
      <w:r w:rsidR="007569F1" w:rsidRPr="006B0E44">
        <w:t>vajúce 24 týždňov sa vykonalo s </w:t>
      </w:r>
      <w:r w:rsidRPr="006B0E44">
        <w:t>318 pacien</w:t>
      </w:r>
      <w:r w:rsidR="007569F1" w:rsidRPr="006B0E44">
        <w:t>tmi na vyhodnotenie účinnosti a bezpečnosti vildagliptínu (50 mg dvakrát denne) v kombinácii s </w:t>
      </w:r>
      <w:r w:rsidRPr="006B0E44">
        <w:t>metformínom (≥1</w:t>
      </w:r>
      <w:r w:rsidR="007569F1" w:rsidRPr="006B0E44">
        <w:t> 500 mg denne) a glimepiridom (≥4 mg denne). Vildagliptín v kombinácii s metformínom a </w:t>
      </w:r>
      <w:r w:rsidRPr="006B0E44">
        <w:t>glimepiridom význ</w:t>
      </w:r>
      <w:r w:rsidR="007569F1" w:rsidRPr="006B0E44">
        <w:t>amne znížil HbA1c v porovnaní s </w:t>
      </w:r>
      <w:r w:rsidRPr="006B0E44">
        <w:t>placebom. Priemerné zníženie korigované placebom oproti priemernej východiskovej hodnote HbA1c 8,8</w:t>
      </w:r>
      <w:r w:rsidR="007569F1" w:rsidRPr="006B0E44">
        <w:t xml:space="preserve"> % bolo </w:t>
      </w:r>
      <w:r w:rsidRPr="006B0E44">
        <w:t>-0,76</w:t>
      </w:r>
      <w:r w:rsidR="007569F1" w:rsidRPr="006B0E44">
        <w:t> </w:t>
      </w:r>
      <w:r w:rsidRPr="006B0E44">
        <w:t>%.</w:t>
      </w:r>
    </w:p>
    <w:p w14:paraId="6331FC0C" w14:textId="77777777" w:rsidR="007409F7" w:rsidRDefault="007409F7" w:rsidP="007C252A">
      <w:pPr>
        <w:pStyle w:val="Normlndobloku"/>
      </w:pPr>
    </w:p>
    <w:p w14:paraId="0F9F484E" w14:textId="77777777" w:rsidR="006C1740" w:rsidRPr="006B0E44" w:rsidRDefault="006C1740" w:rsidP="007C252A">
      <w:pPr>
        <w:pStyle w:val="Normlndobloku"/>
      </w:pPr>
      <w:r w:rsidRPr="006B0E44">
        <w:t>Randomizované, dvojito zaslepené, placebom kontrolované klinické skúšanie trvajúce 24 týždňov sa vykonalo so 449 pacien</w:t>
      </w:r>
      <w:r w:rsidR="007569F1" w:rsidRPr="006B0E44">
        <w:t>tmi na vyhodnotenie účinnosti a bezpečnosti vildagliptínu (50 mg dvakrát denne) v </w:t>
      </w:r>
      <w:r w:rsidRPr="006B0E44">
        <w:t>kombinácii so stabilnou dávkou bazálneho alebo predmiešaného inzulínu (priemerná denná dávka 41 jednotiek) so súbežne používaným metformínom (N=276), alebo bez neho (</w:t>
      </w:r>
      <w:r w:rsidR="007569F1" w:rsidRPr="006B0E44">
        <w:t xml:space="preserve">N=173). Vildagliptín </w:t>
      </w:r>
      <w:r w:rsidR="007569F1" w:rsidRPr="006B0E44">
        <w:lastRenderedPageBreak/>
        <w:t>v kombinácii s </w:t>
      </w:r>
      <w:r w:rsidRPr="006B0E44">
        <w:t>in</w:t>
      </w:r>
      <w:r w:rsidR="007569F1" w:rsidRPr="006B0E44">
        <w:t>zulínom významne znížil HbA1c v porovnaní s </w:t>
      </w:r>
      <w:r w:rsidRPr="006B0E44">
        <w:t>placebom. Priemerné zníženie korigované placebom oproti priemernej východiskovej hodnote HbA1c 8,8</w:t>
      </w:r>
      <w:r w:rsidR="007569F1" w:rsidRPr="006B0E44">
        <w:t> % v </w:t>
      </w:r>
      <w:r w:rsidRPr="006B0E44">
        <w:t>celkovej populácii bolo -0,72</w:t>
      </w:r>
      <w:r w:rsidR="007569F1" w:rsidRPr="006B0E44">
        <w:t> %. V </w:t>
      </w:r>
      <w:r w:rsidRPr="006B0E44">
        <w:t>podskupinách liečených inzulínom so súbežne podávaným metformínom bolo priemerné zníženie HbA1c korigované placebom -0,63</w:t>
      </w:r>
      <w:r w:rsidR="007569F1" w:rsidRPr="006B0E44">
        <w:t> </w:t>
      </w:r>
      <w:r w:rsidRPr="006B0E44">
        <w:t>% a be</w:t>
      </w:r>
      <w:r w:rsidR="007569F1" w:rsidRPr="006B0E44">
        <w:t xml:space="preserve">z súbežne podávaného metformínu </w:t>
      </w:r>
      <w:r w:rsidRPr="006B0E44">
        <w:t>-0,84</w:t>
      </w:r>
      <w:r w:rsidR="007569F1" w:rsidRPr="006B0E44">
        <w:t> %. Incidencia hypoglykémie v </w:t>
      </w:r>
      <w:r w:rsidRPr="006B0E44">
        <w:t>celkovej populácii bola 8,4</w:t>
      </w:r>
      <w:r w:rsidR="007569F1" w:rsidRPr="006B0E44">
        <w:t> % v skupine vildagliptínu a </w:t>
      </w:r>
      <w:r w:rsidRPr="006B0E44">
        <w:t>7,2</w:t>
      </w:r>
      <w:r w:rsidR="007569F1" w:rsidRPr="006B0E44">
        <w:t> % v skupine placeba. U p</w:t>
      </w:r>
      <w:r w:rsidRPr="006B0E44">
        <w:t>acientov, ktorí dos</w:t>
      </w:r>
      <w:r w:rsidR="007569F1" w:rsidRPr="006B0E44">
        <w:t>távali vildagliptín, nedošlo k </w:t>
      </w:r>
      <w:r w:rsidRPr="006B0E44">
        <w:t>zv</w:t>
      </w:r>
      <w:r w:rsidR="007569F1" w:rsidRPr="006B0E44">
        <w:t>ýšeniu telesnej hmotnosti (+0,2 kg), zatiaľ čo u </w:t>
      </w:r>
      <w:r w:rsidRPr="006B0E44">
        <w:t>pacientov, ktorí dostávali placebo, sa</w:t>
      </w:r>
      <w:r w:rsidR="007569F1" w:rsidRPr="006B0E44">
        <w:t xml:space="preserve"> znížila telesná hmotnosť (-0,7 </w:t>
      </w:r>
      <w:r w:rsidRPr="006B0E44">
        <w:t>kg).</w:t>
      </w:r>
    </w:p>
    <w:p w14:paraId="6CA59A0C" w14:textId="77777777" w:rsidR="007409F7" w:rsidRDefault="007409F7" w:rsidP="007C252A">
      <w:pPr>
        <w:pStyle w:val="Normlndobloku"/>
      </w:pPr>
    </w:p>
    <w:p w14:paraId="2813A3AA" w14:textId="77777777" w:rsidR="006C1740" w:rsidRPr="006B0E44" w:rsidRDefault="007569F1" w:rsidP="007C252A">
      <w:pPr>
        <w:pStyle w:val="Normlndobloku"/>
      </w:pPr>
      <w:r w:rsidRPr="006B0E44">
        <w:t>V </w:t>
      </w:r>
      <w:r w:rsidR="006C1740" w:rsidRPr="006B0E44">
        <w:t>ďalšom klinickom</w:t>
      </w:r>
      <w:r w:rsidRPr="006B0E44">
        <w:t xml:space="preserve"> skúšaní trvajúcom 24 týždňov s pacientmi s </w:t>
      </w:r>
      <w:r w:rsidR="006C1740" w:rsidRPr="006B0E44">
        <w:t>pokročilejším diabetom 2. typu, ktorí neboli dosta</w:t>
      </w:r>
      <w:r w:rsidRPr="006B0E44">
        <w:t>točne kompenzovaní inzulínom (s krátkym a </w:t>
      </w:r>
      <w:r w:rsidR="006C1740" w:rsidRPr="006B0E44">
        <w:t>dlhým úč</w:t>
      </w:r>
      <w:r w:rsidRPr="006B0E44">
        <w:t>inkom, priemerná dávka inzulínu 80 </w:t>
      </w:r>
      <w:r w:rsidR="006C1740" w:rsidRPr="006B0E44">
        <w:t>IU/deň), bolo priemerné zníženie</w:t>
      </w:r>
      <w:r w:rsidRPr="006B0E44">
        <w:t xml:space="preserve"> HbA1c, keď sa vildagliptín (50 mg dvakrát denne) pridal k </w:t>
      </w:r>
      <w:r w:rsidR="006C1740" w:rsidRPr="006B0E44">
        <w:t>inzulínu, štatisticky vý</w:t>
      </w:r>
      <w:r w:rsidRPr="006B0E44">
        <w:t>znamne väčšie ako pri placebe s </w:t>
      </w:r>
      <w:r w:rsidR="006C1740" w:rsidRPr="006B0E44">
        <w:t>inzulínom (0,5</w:t>
      </w:r>
      <w:r w:rsidRPr="006B0E44">
        <w:t> </w:t>
      </w:r>
      <w:r w:rsidR="006C1740" w:rsidRPr="006B0E44">
        <w:t>% oproti 0,2</w:t>
      </w:r>
      <w:r w:rsidRPr="006B0E44">
        <w:t> </w:t>
      </w:r>
      <w:r w:rsidR="006C1740" w:rsidRPr="006B0E44">
        <w:t>%). Incidencia hypoglykémie bola nižši</w:t>
      </w:r>
      <w:r w:rsidRPr="006B0E44">
        <w:t>a v skupine vildagliptínu ako v </w:t>
      </w:r>
      <w:r w:rsidR="006C1740" w:rsidRPr="006B0E44">
        <w:t>skupine placeba (22,9</w:t>
      </w:r>
      <w:r w:rsidRPr="006B0E44">
        <w:t> </w:t>
      </w:r>
      <w:r w:rsidR="006C1740" w:rsidRPr="006B0E44">
        <w:t>% oproti 29,6</w:t>
      </w:r>
      <w:r w:rsidRPr="006B0E44">
        <w:t> </w:t>
      </w:r>
      <w:r w:rsidR="006C1740" w:rsidRPr="006B0E44">
        <w:t>%).</w:t>
      </w:r>
    </w:p>
    <w:p w14:paraId="147A7A6A" w14:textId="77777777" w:rsidR="007409F7" w:rsidRDefault="007409F7" w:rsidP="007C252A">
      <w:pPr>
        <w:pStyle w:val="Normlndobloku"/>
      </w:pPr>
    </w:p>
    <w:p w14:paraId="39B6FD30" w14:textId="77777777" w:rsidR="006C1740" w:rsidRPr="006B0E44" w:rsidRDefault="006C1740" w:rsidP="007C252A">
      <w:pPr>
        <w:pStyle w:val="Normlndobloku"/>
      </w:pPr>
      <w:r w:rsidRPr="006B0E44">
        <w:t>Multicentrické, randomizované, dvojito zaslepené klinické skúšanie tr</w:t>
      </w:r>
      <w:r w:rsidR="007569F1" w:rsidRPr="006B0E44">
        <w:t>vajúce 52 týždňov sa vykonalo u </w:t>
      </w:r>
      <w:r w:rsidRPr="006B0E44">
        <w:t>pacientov</w:t>
      </w:r>
      <w:r w:rsidR="007569F1" w:rsidRPr="006B0E44">
        <w:t xml:space="preserve"> s diabetom 2. typu a </w:t>
      </w:r>
      <w:r w:rsidRPr="006B0E44">
        <w:t xml:space="preserve">kongestívnym zlyhávaním srdca (funkčná trieda I-III podľa </w:t>
      </w:r>
      <w:r w:rsidR="007569F1" w:rsidRPr="006B0E44">
        <w:t>NYHA) na vyhodnotenie účinku 50 </w:t>
      </w:r>
      <w:r w:rsidRPr="006B0E44">
        <w:t>mg vildagliptínu dvakrát denne (N=128) na ejekčn</w:t>
      </w:r>
      <w:r w:rsidR="007569F1" w:rsidRPr="006B0E44">
        <w:t>ú frakciu ľavej komory (LVEF) v porovnaní s </w:t>
      </w:r>
      <w:r w:rsidRPr="006B0E44">
        <w:t>placebom (N=126). Vildagliptín sa nespájal so zmenou funkcie ľavej komory alebo zhoršením už prítomného CHF. Potvrdené kardiovaskulárne udalosti boli celkovo vyrovnané.</w:t>
      </w:r>
    </w:p>
    <w:p w14:paraId="3C1BFB9F" w14:textId="77777777" w:rsidR="007409F7" w:rsidRDefault="007409F7" w:rsidP="007C252A">
      <w:pPr>
        <w:pStyle w:val="Normlndobloku"/>
      </w:pPr>
    </w:p>
    <w:p w14:paraId="1890CCCB" w14:textId="77777777" w:rsidR="006C1740" w:rsidRPr="006B0E44" w:rsidRDefault="007569F1" w:rsidP="007C252A">
      <w:pPr>
        <w:pStyle w:val="Normlndobloku"/>
      </w:pPr>
      <w:r w:rsidRPr="006B0E44">
        <w:t>U </w:t>
      </w:r>
      <w:r w:rsidR="006C1740" w:rsidRPr="006B0E44">
        <w:t>pacientov so zlyhávaním srdca triedy III podľa NYHA liečených vildagliptínom sa vysky</w:t>
      </w:r>
      <w:r w:rsidRPr="006B0E44">
        <w:t>tlo viac kardiálnych udalostí v porovnaní s </w:t>
      </w:r>
      <w:r w:rsidR="006C1740" w:rsidRPr="006B0E44">
        <w:t>placebom. Pri východiskovom kardiovaskulárnom riziku však bola n</w:t>
      </w:r>
      <w:r w:rsidRPr="006B0E44">
        <w:t>erovnováha v prospech placeba a </w:t>
      </w:r>
      <w:r w:rsidR="006C1740" w:rsidRPr="006B0E44">
        <w:t>počet udalostí bol nízky, čo znemožňuje jednoznačné závery.</w:t>
      </w:r>
    </w:p>
    <w:p w14:paraId="060D4CE9" w14:textId="77777777" w:rsidR="006C1740" w:rsidRPr="006B0E44" w:rsidRDefault="007569F1" w:rsidP="007C252A">
      <w:pPr>
        <w:pStyle w:val="Normlndobloku"/>
      </w:pPr>
      <w:r w:rsidRPr="006B0E44">
        <w:t>V porovnaní s </w:t>
      </w:r>
      <w:r w:rsidR="006C1740" w:rsidRPr="006B0E44">
        <w:t>placebom vildagliptín po 16 týždňoch významne znížil HbA1c (rozdiel 0,6</w:t>
      </w:r>
      <w:r w:rsidRPr="006B0E44">
        <w:t> </w:t>
      </w:r>
      <w:r w:rsidR="006C1740" w:rsidRPr="006B0E44">
        <w:t>%) oproti priemernej východiskovej hodnote 7,8</w:t>
      </w:r>
      <w:r w:rsidRPr="006B0E44">
        <w:t> %. V </w:t>
      </w:r>
      <w:r w:rsidR="006C1740" w:rsidRPr="006B0E44">
        <w:t>podskupine s triedou II</w:t>
      </w:r>
      <w:r w:rsidRPr="006B0E44">
        <w:t>I podľa NYHA bol pokles HbA1c v porovnaní s </w:t>
      </w:r>
      <w:r w:rsidR="006C1740" w:rsidRPr="006B0E44">
        <w:t>placebom nižší (rozdiel 0,3</w:t>
      </w:r>
      <w:r w:rsidRPr="006B0E44">
        <w:t> </w:t>
      </w:r>
      <w:r w:rsidR="006C1740" w:rsidRPr="006B0E44">
        <w:t>%), ale tento záver je obmedzený malým počtom pacientov (</w:t>
      </w:r>
      <w:r w:rsidR="00DD14E0" w:rsidRPr="006B0E44">
        <w:t>N</w:t>
      </w:r>
      <w:r w:rsidRPr="006B0E44">
        <w:t>=44). Incidencia hypoglykémie v celkovej populácii v </w:t>
      </w:r>
      <w:r w:rsidR="006C1740" w:rsidRPr="006B0E44">
        <w:t>skupine vildagliptínu bola 4,7</w:t>
      </w:r>
      <w:r w:rsidRPr="006B0E44">
        <w:t> % a v </w:t>
      </w:r>
      <w:r w:rsidR="006C1740" w:rsidRPr="006B0E44">
        <w:t>skupine placeba 5,6</w:t>
      </w:r>
      <w:r w:rsidRPr="006B0E44">
        <w:t> </w:t>
      </w:r>
      <w:r w:rsidR="006C1740" w:rsidRPr="006B0E44">
        <w:t>%.</w:t>
      </w:r>
    </w:p>
    <w:p w14:paraId="474C2CDC" w14:textId="77777777" w:rsidR="007409F7" w:rsidRDefault="007409F7" w:rsidP="005F582D">
      <w:pPr>
        <w:pStyle w:val="Styl4"/>
      </w:pPr>
    </w:p>
    <w:p w14:paraId="5061BFD3" w14:textId="77777777" w:rsidR="006C1740" w:rsidRPr="006B0E44" w:rsidRDefault="006C1740" w:rsidP="005F582D">
      <w:pPr>
        <w:pStyle w:val="Styl4"/>
      </w:pPr>
      <w:r w:rsidRPr="006B0E44">
        <w:t>Kardiovaskulárne riziko</w:t>
      </w:r>
    </w:p>
    <w:p w14:paraId="5108DB91" w14:textId="38E2F5F7" w:rsidR="006C1740" w:rsidRPr="006B0E44" w:rsidRDefault="001A6BAE" w:rsidP="007C252A">
      <w:pPr>
        <w:pStyle w:val="Normlndobloku"/>
      </w:pPr>
      <w:r w:rsidRPr="002631F0">
        <w:t>Uskutočnila sa metaanalýza nezávisle a prospektívne potvrdených kardiovaskulárnych udalostí z 37 klinických skúšaní fázy III a IV monoterapie a kombinovanej liečby trvajúcich viac ako 2 roky (priemerná expozícia vildagliptínu bola 50 týždňov a komparátorom 49 týždňov), ktorá ukázala, že</w:t>
      </w:r>
      <w:r w:rsidRPr="006B0E44">
        <w:t xml:space="preserve"> liečba vildagliptínom sa v porovnaní s komparátormi nespájala so zvýšením kardiovaskulárneho rizika. Zložený ukazovateľ potvrdených závažných nežiaducich kardiovaskulárnych udalostí (MACE) vrátane akútneho infarktu myokardu, cievnej mozgovej príhody alebo smrti z kardiovaskulárnej príčiny bol podobný pri vildagliptíne v porovnaní s kombinovanými účinnými komparátormi a placebom [pomer rizík podľa Mantela–Haenszela (M-H RR) 0,82 (95% IS 0,61-1,11)]. MACE sa vyskytla u 83 z 9 599 (0,86 %) pacientov liečených vildagliptínom a u 85 zo 7 102 (1,20 %) pacientov liečených komparátorom. Vyhodnotenie každej jednotlivej zložky MACE nepreukázalo zvýšené riziko (podobný M-H RR). Potvrdené udalosti srdcového zlyhávania (SZ) definované ako SZ vyžadujúce hospitalizáciu alebo nový výskyt SZ boli hlásené u 41 (0,43 %) pacientov liečených vildagliptínom a u 32 (0,45 %) pacientov liečených komparátorom, s M-H RR 1,08 (95% IS 0,68–1,70).</w:t>
      </w:r>
    </w:p>
    <w:p w14:paraId="5BDC2251" w14:textId="77777777" w:rsidR="007409F7" w:rsidRDefault="007409F7" w:rsidP="007C252A">
      <w:pPr>
        <w:pStyle w:val="Normlndobloku"/>
      </w:pPr>
    </w:p>
    <w:p w14:paraId="271D52B2" w14:textId="77777777" w:rsidR="00690B86" w:rsidRPr="006B0E44" w:rsidRDefault="002014C0" w:rsidP="007C252A">
      <w:pPr>
        <w:pStyle w:val="Normlndobloku"/>
      </w:pPr>
      <w:r w:rsidRPr="006B0E44">
        <w:t xml:space="preserve">Tabuľka 8 </w:t>
      </w:r>
      <w:r w:rsidR="005835A9" w:rsidRPr="006B0E44">
        <w:t xml:space="preserve">- </w:t>
      </w:r>
      <w:r w:rsidRPr="006B0E44">
        <w:t>Kľúčové výsledky účinnosti vildagliptínu v placebom kontrolovaných klinických skúšaniach monoterapie a prídavnej kombinovanej terapie (primárna účinnosť v ITT populácii)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2351"/>
        <w:gridCol w:w="2353"/>
        <w:gridCol w:w="2342"/>
      </w:tblGrid>
      <w:tr w:rsidR="008C1CAB" w:rsidRPr="002631F0" w14:paraId="7375BDA9" w14:textId="77777777" w:rsidTr="00096E4A">
        <w:tc>
          <w:tcPr>
            <w:tcW w:w="2386" w:type="dxa"/>
            <w:shd w:val="clear" w:color="auto" w:fill="auto"/>
          </w:tcPr>
          <w:p w14:paraId="2AFA4544" w14:textId="77777777" w:rsidR="008C1CAB" w:rsidRPr="006B0E44" w:rsidRDefault="008C1CAB" w:rsidP="007C252A">
            <w:pPr>
              <w:pStyle w:val="Normlndobloku"/>
            </w:pPr>
            <w:r w:rsidRPr="006B0E44">
              <w:t>Placebom kontrolované klinické skúšania monoterapie</w:t>
            </w:r>
          </w:p>
        </w:tc>
        <w:tc>
          <w:tcPr>
            <w:tcW w:w="2386" w:type="dxa"/>
            <w:shd w:val="clear" w:color="auto" w:fill="auto"/>
          </w:tcPr>
          <w:p w14:paraId="5E4009EF" w14:textId="77777777" w:rsidR="008C1CAB" w:rsidRPr="006B0E44" w:rsidRDefault="008C1CAB" w:rsidP="007C252A">
            <w:pPr>
              <w:pStyle w:val="Normlndobloku"/>
            </w:pPr>
            <w:r w:rsidRPr="006B0E44">
              <w:t>Priemerná východisková hodnota HbA1c (%)</w:t>
            </w:r>
          </w:p>
        </w:tc>
        <w:tc>
          <w:tcPr>
            <w:tcW w:w="2386" w:type="dxa"/>
            <w:shd w:val="clear" w:color="auto" w:fill="auto"/>
          </w:tcPr>
          <w:p w14:paraId="59C9F38F" w14:textId="77777777" w:rsidR="008C1CAB" w:rsidRPr="006B0E44" w:rsidRDefault="008C1CAB" w:rsidP="007C252A">
            <w:pPr>
              <w:pStyle w:val="Normlndobloku"/>
            </w:pPr>
            <w:r w:rsidRPr="006B0E44">
              <w:t>Priemerná zmena HbA1c (%) oproti východiskovej hodnote v 24. týždni</w:t>
            </w:r>
          </w:p>
        </w:tc>
        <w:tc>
          <w:tcPr>
            <w:tcW w:w="2386" w:type="dxa"/>
            <w:shd w:val="clear" w:color="auto" w:fill="auto"/>
          </w:tcPr>
          <w:p w14:paraId="339197B5" w14:textId="77777777" w:rsidR="008C1CAB" w:rsidRPr="006B0E44" w:rsidRDefault="008C1CAB" w:rsidP="007C252A">
            <w:pPr>
              <w:pStyle w:val="Normlndobloku"/>
            </w:pPr>
            <w:r w:rsidRPr="006B0E44">
              <w:t>Priemerná zmena HbA1c (%) v 24. t</w:t>
            </w:r>
            <w:r w:rsidR="00354180" w:rsidRPr="006B0E44">
              <w:t>ýždni korigovaná na placebo (95</w:t>
            </w:r>
            <w:r w:rsidRPr="006B0E44">
              <w:t>%</w:t>
            </w:r>
            <w:r w:rsidR="006F1D53" w:rsidRPr="006B0E44">
              <w:t xml:space="preserve"> </w:t>
            </w:r>
            <w:r w:rsidRPr="006B0E44">
              <w:t>IS)</w:t>
            </w:r>
          </w:p>
        </w:tc>
      </w:tr>
      <w:tr w:rsidR="008C1CAB" w:rsidRPr="002631F0" w14:paraId="233A9BD4" w14:textId="77777777" w:rsidTr="00096E4A">
        <w:tc>
          <w:tcPr>
            <w:tcW w:w="2386" w:type="dxa"/>
            <w:shd w:val="clear" w:color="auto" w:fill="auto"/>
          </w:tcPr>
          <w:p w14:paraId="06FA0478" w14:textId="77777777" w:rsidR="008C1CAB" w:rsidRPr="002631F0" w:rsidRDefault="0052684D" w:rsidP="007C252A">
            <w:pPr>
              <w:pStyle w:val="Normlndobloku"/>
            </w:pPr>
            <w:r w:rsidRPr="002631F0">
              <w:t>Klinické skúšanie 2 301</w:t>
            </w:r>
          </w:p>
          <w:p w14:paraId="408A1DAD" w14:textId="77777777" w:rsidR="0052684D" w:rsidRPr="006B0E44" w:rsidRDefault="0052684D" w:rsidP="007C252A">
            <w:pPr>
              <w:pStyle w:val="Normlndobloku"/>
            </w:pPr>
            <w:r w:rsidRPr="006B0E44">
              <w:lastRenderedPageBreak/>
              <w:t>Vildagliptín 50 mg dvakrát denne (N=90)</w:t>
            </w:r>
          </w:p>
        </w:tc>
        <w:tc>
          <w:tcPr>
            <w:tcW w:w="2386" w:type="dxa"/>
            <w:shd w:val="clear" w:color="auto" w:fill="auto"/>
          </w:tcPr>
          <w:p w14:paraId="0DA14487" w14:textId="77777777" w:rsidR="008C1CAB" w:rsidRPr="006B0E44" w:rsidRDefault="004169B5" w:rsidP="007C252A">
            <w:pPr>
              <w:pStyle w:val="Normlndobloku"/>
            </w:pPr>
            <w:r w:rsidRPr="006B0E44">
              <w:lastRenderedPageBreak/>
              <w:t>8,6</w:t>
            </w:r>
          </w:p>
        </w:tc>
        <w:tc>
          <w:tcPr>
            <w:tcW w:w="2386" w:type="dxa"/>
            <w:shd w:val="clear" w:color="auto" w:fill="auto"/>
          </w:tcPr>
          <w:p w14:paraId="7ECE97E0" w14:textId="77777777" w:rsidR="008C1CAB" w:rsidRPr="006B0E44" w:rsidRDefault="004169B5" w:rsidP="007C252A">
            <w:pPr>
              <w:pStyle w:val="Normlndobloku"/>
            </w:pPr>
            <w:r w:rsidRPr="006B0E44">
              <w:t>-0,8</w:t>
            </w:r>
          </w:p>
        </w:tc>
        <w:tc>
          <w:tcPr>
            <w:tcW w:w="2386" w:type="dxa"/>
            <w:shd w:val="clear" w:color="auto" w:fill="auto"/>
          </w:tcPr>
          <w:p w14:paraId="56A56C5A" w14:textId="77777777" w:rsidR="008C1CAB" w:rsidRPr="006B0E44" w:rsidRDefault="004169B5" w:rsidP="007C252A">
            <w:pPr>
              <w:pStyle w:val="Normlndobloku"/>
            </w:pPr>
            <w:r w:rsidRPr="006B0E44">
              <w:t>-0,5* (-0,8, -0,1)</w:t>
            </w:r>
          </w:p>
        </w:tc>
      </w:tr>
      <w:tr w:rsidR="008C1CAB" w:rsidRPr="002631F0" w14:paraId="1ED4BAC8" w14:textId="77777777" w:rsidTr="00096E4A">
        <w:tc>
          <w:tcPr>
            <w:tcW w:w="2386" w:type="dxa"/>
            <w:shd w:val="clear" w:color="auto" w:fill="auto"/>
          </w:tcPr>
          <w:p w14:paraId="1A78D368" w14:textId="77777777" w:rsidR="004169B5" w:rsidRPr="002631F0" w:rsidRDefault="004169B5" w:rsidP="007C252A">
            <w:pPr>
              <w:pStyle w:val="Normlndobloku"/>
            </w:pPr>
            <w:r w:rsidRPr="002631F0">
              <w:t>Klinické skúšanie 2 384</w:t>
            </w:r>
          </w:p>
          <w:p w14:paraId="285309E2" w14:textId="77777777" w:rsidR="008C1CAB" w:rsidRPr="002631F0" w:rsidRDefault="004169B5" w:rsidP="007C252A">
            <w:pPr>
              <w:pStyle w:val="Normlndobloku"/>
            </w:pPr>
            <w:r w:rsidRPr="002631F0">
              <w:t>Vildagliptín 50 mg dvakrát denne (N=79)</w:t>
            </w:r>
          </w:p>
        </w:tc>
        <w:tc>
          <w:tcPr>
            <w:tcW w:w="2386" w:type="dxa"/>
            <w:shd w:val="clear" w:color="auto" w:fill="auto"/>
          </w:tcPr>
          <w:p w14:paraId="14AEF96C" w14:textId="77777777" w:rsidR="008C1CAB" w:rsidRPr="006B0E44" w:rsidRDefault="004169B5" w:rsidP="007C252A">
            <w:pPr>
              <w:pStyle w:val="Normlndobloku"/>
            </w:pPr>
            <w:r w:rsidRPr="006B0E44">
              <w:t>8,4</w:t>
            </w:r>
          </w:p>
        </w:tc>
        <w:tc>
          <w:tcPr>
            <w:tcW w:w="2386" w:type="dxa"/>
            <w:shd w:val="clear" w:color="auto" w:fill="auto"/>
          </w:tcPr>
          <w:p w14:paraId="17A3614E" w14:textId="77777777" w:rsidR="008C1CAB" w:rsidRPr="006B0E44" w:rsidRDefault="004169B5" w:rsidP="007C252A">
            <w:pPr>
              <w:pStyle w:val="Normlndobloku"/>
            </w:pPr>
            <w:r w:rsidRPr="006B0E44">
              <w:t>-0,7</w:t>
            </w:r>
          </w:p>
        </w:tc>
        <w:tc>
          <w:tcPr>
            <w:tcW w:w="2386" w:type="dxa"/>
            <w:shd w:val="clear" w:color="auto" w:fill="auto"/>
          </w:tcPr>
          <w:p w14:paraId="71D8A23C" w14:textId="77777777" w:rsidR="008C1CAB" w:rsidRPr="006B0E44" w:rsidRDefault="004169B5" w:rsidP="007C252A">
            <w:pPr>
              <w:pStyle w:val="Normlndobloku"/>
            </w:pPr>
            <w:r w:rsidRPr="006B0E44">
              <w:t>-0,7* (-1,1, -0,4)</w:t>
            </w:r>
          </w:p>
        </w:tc>
      </w:tr>
      <w:tr w:rsidR="00EA2B44" w:rsidRPr="002631F0" w14:paraId="5727B363" w14:textId="77777777" w:rsidTr="00096E4A">
        <w:tc>
          <w:tcPr>
            <w:tcW w:w="9544" w:type="dxa"/>
            <w:gridSpan w:val="4"/>
            <w:shd w:val="clear" w:color="auto" w:fill="auto"/>
          </w:tcPr>
          <w:p w14:paraId="620E3C2F" w14:textId="77777777" w:rsidR="00EA2B44" w:rsidRPr="002631F0" w:rsidRDefault="00EA2B44" w:rsidP="007C252A">
            <w:pPr>
              <w:pStyle w:val="Normlndobloku"/>
            </w:pPr>
            <w:r w:rsidRPr="002631F0">
              <w:t>* p&lt; 0,05 pre porovnanie oproti placebu</w:t>
            </w:r>
          </w:p>
        </w:tc>
      </w:tr>
    </w:tbl>
    <w:p w14:paraId="2919AE6A" w14:textId="77777777" w:rsidR="007D79E5" w:rsidRPr="002631F0" w:rsidRDefault="007D79E5" w:rsidP="007C252A">
      <w:pPr>
        <w:pStyle w:val="Normlndobl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2339"/>
        <w:gridCol w:w="2342"/>
        <w:gridCol w:w="2328"/>
      </w:tblGrid>
      <w:tr w:rsidR="00616542" w:rsidRPr="002631F0" w14:paraId="2DB03432" w14:textId="77777777" w:rsidTr="00096E4A">
        <w:tc>
          <w:tcPr>
            <w:tcW w:w="2386" w:type="dxa"/>
            <w:shd w:val="clear" w:color="auto" w:fill="auto"/>
          </w:tcPr>
          <w:p w14:paraId="5944DCFE" w14:textId="77777777" w:rsidR="00616542" w:rsidRPr="002631F0" w:rsidRDefault="00BA3206" w:rsidP="007C252A">
            <w:pPr>
              <w:pStyle w:val="Normlndobloku"/>
            </w:pPr>
            <w:r w:rsidRPr="002631F0">
              <w:t>Klinické skúšania prídavnej/kombinovanej terapie</w:t>
            </w:r>
          </w:p>
        </w:tc>
        <w:tc>
          <w:tcPr>
            <w:tcW w:w="2386" w:type="dxa"/>
            <w:shd w:val="clear" w:color="auto" w:fill="auto"/>
          </w:tcPr>
          <w:p w14:paraId="41DED6DD" w14:textId="77777777" w:rsidR="00616542" w:rsidRPr="006B0E44" w:rsidRDefault="00BA3206" w:rsidP="007C252A">
            <w:pPr>
              <w:pStyle w:val="Normlndobloku"/>
            </w:pPr>
            <w:r w:rsidRPr="002631F0">
              <w:t>Priemerná východisková hodnota HbA1c (%)</w:t>
            </w:r>
          </w:p>
        </w:tc>
        <w:tc>
          <w:tcPr>
            <w:tcW w:w="2386" w:type="dxa"/>
            <w:shd w:val="clear" w:color="auto" w:fill="auto"/>
          </w:tcPr>
          <w:p w14:paraId="1CE5A6EB" w14:textId="77777777" w:rsidR="00616542" w:rsidRPr="006B0E44" w:rsidRDefault="00BA3206" w:rsidP="007C252A">
            <w:pPr>
              <w:pStyle w:val="Normlndobloku"/>
            </w:pPr>
            <w:r w:rsidRPr="006B0E44">
              <w:t>Priemerná zmena HbA1c (%) oproti východiskovej hodnote v 24. týždni</w:t>
            </w:r>
          </w:p>
        </w:tc>
        <w:tc>
          <w:tcPr>
            <w:tcW w:w="2386" w:type="dxa"/>
            <w:shd w:val="clear" w:color="auto" w:fill="auto"/>
          </w:tcPr>
          <w:p w14:paraId="3141358D" w14:textId="77777777" w:rsidR="00616542" w:rsidRPr="006B0E44" w:rsidRDefault="00BA3206" w:rsidP="007C252A">
            <w:pPr>
              <w:pStyle w:val="Normlndobloku"/>
            </w:pPr>
            <w:r w:rsidRPr="006B0E44">
              <w:t>Priemerná zmena HbA1c (%) v 24. týždni korigovaná na placebo (95%</w:t>
            </w:r>
            <w:r w:rsidR="003A78DE" w:rsidRPr="006B0E44">
              <w:t xml:space="preserve"> </w:t>
            </w:r>
            <w:r w:rsidRPr="006B0E44">
              <w:t>IS)</w:t>
            </w:r>
          </w:p>
        </w:tc>
      </w:tr>
      <w:tr w:rsidR="00616542" w:rsidRPr="002631F0" w14:paraId="468DDEA4" w14:textId="77777777" w:rsidTr="00096E4A">
        <w:tc>
          <w:tcPr>
            <w:tcW w:w="2386" w:type="dxa"/>
            <w:shd w:val="clear" w:color="auto" w:fill="auto"/>
          </w:tcPr>
          <w:p w14:paraId="5BCF3110" w14:textId="77777777" w:rsidR="00616542" w:rsidRPr="002631F0" w:rsidRDefault="00A621C9" w:rsidP="007C252A">
            <w:pPr>
              <w:pStyle w:val="Normlndobloku"/>
            </w:pPr>
            <w:r w:rsidRPr="002631F0">
              <w:t>Vildagliptín 50 mg dvakrát denne + metformín (N=143)</w:t>
            </w:r>
          </w:p>
        </w:tc>
        <w:tc>
          <w:tcPr>
            <w:tcW w:w="2386" w:type="dxa"/>
            <w:shd w:val="clear" w:color="auto" w:fill="auto"/>
          </w:tcPr>
          <w:p w14:paraId="369A16EB" w14:textId="77777777" w:rsidR="00616542" w:rsidRPr="002631F0" w:rsidRDefault="00B567AB" w:rsidP="007C252A">
            <w:pPr>
              <w:pStyle w:val="Normlndobloku"/>
            </w:pPr>
            <w:r w:rsidRPr="002631F0">
              <w:t>8,4</w:t>
            </w:r>
          </w:p>
        </w:tc>
        <w:tc>
          <w:tcPr>
            <w:tcW w:w="2386" w:type="dxa"/>
            <w:shd w:val="clear" w:color="auto" w:fill="auto"/>
          </w:tcPr>
          <w:p w14:paraId="506E029F" w14:textId="77777777" w:rsidR="00616542" w:rsidRPr="006B0E44" w:rsidRDefault="00B567AB" w:rsidP="007C252A">
            <w:pPr>
              <w:pStyle w:val="Normlndobloku"/>
            </w:pPr>
            <w:r w:rsidRPr="006B0E44">
              <w:t>-0,9</w:t>
            </w:r>
          </w:p>
        </w:tc>
        <w:tc>
          <w:tcPr>
            <w:tcW w:w="2386" w:type="dxa"/>
            <w:shd w:val="clear" w:color="auto" w:fill="auto"/>
          </w:tcPr>
          <w:p w14:paraId="27677205" w14:textId="77777777" w:rsidR="00616542" w:rsidRPr="006B0E44" w:rsidRDefault="00B567AB" w:rsidP="007C252A">
            <w:pPr>
              <w:pStyle w:val="Normlndobloku"/>
            </w:pPr>
            <w:r w:rsidRPr="006B0E44">
              <w:t>-1,1* (-1,4, -0,8)</w:t>
            </w:r>
          </w:p>
        </w:tc>
      </w:tr>
      <w:tr w:rsidR="00616542" w:rsidRPr="002631F0" w14:paraId="685F9BC1" w14:textId="77777777" w:rsidTr="00096E4A">
        <w:tc>
          <w:tcPr>
            <w:tcW w:w="2386" w:type="dxa"/>
            <w:shd w:val="clear" w:color="auto" w:fill="auto"/>
          </w:tcPr>
          <w:p w14:paraId="4BA31597" w14:textId="77777777" w:rsidR="00616542" w:rsidRPr="002631F0" w:rsidRDefault="00A621C9" w:rsidP="007C252A">
            <w:pPr>
              <w:pStyle w:val="Normlndobloku"/>
            </w:pPr>
            <w:r w:rsidRPr="002631F0">
              <w:t>Vildagliptín 50 mg dvakrát denne + glimepirid (N=132)</w:t>
            </w:r>
          </w:p>
        </w:tc>
        <w:tc>
          <w:tcPr>
            <w:tcW w:w="2386" w:type="dxa"/>
            <w:shd w:val="clear" w:color="auto" w:fill="auto"/>
          </w:tcPr>
          <w:p w14:paraId="4A801DCB" w14:textId="77777777" w:rsidR="00616542" w:rsidRPr="002631F0" w:rsidRDefault="00E46EFA" w:rsidP="007C252A">
            <w:pPr>
              <w:pStyle w:val="Normlndobloku"/>
            </w:pPr>
            <w:r w:rsidRPr="002631F0">
              <w:t>8,5</w:t>
            </w:r>
          </w:p>
        </w:tc>
        <w:tc>
          <w:tcPr>
            <w:tcW w:w="2386" w:type="dxa"/>
            <w:shd w:val="clear" w:color="auto" w:fill="auto"/>
          </w:tcPr>
          <w:p w14:paraId="3003C9B7" w14:textId="77777777" w:rsidR="00616542" w:rsidRPr="006B0E44" w:rsidRDefault="00E46EFA" w:rsidP="007C252A">
            <w:pPr>
              <w:pStyle w:val="Normlndobloku"/>
            </w:pPr>
            <w:r w:rsidRPr="006B0E44">
              <w:t>-0,6</w:t>
            </w:r>
          </w:p>
        </w:tc>
        <w:tc>
          <w:tcPr>
            <w:tcW w:w="2386" w:type="dxa"/>
            <w:shd w:val="clear" w:color="auto" w:fill="auto"/>
          </w:tcPr>
          <w:p w14:paraId="1C5E4A93" w14:textId="77777777" w:rsidR="00616542" w:rsidRPr="006B0E44" w:rsidRDefault="00E46EFA" w:rsidP="007C252A">
            <w:pPr>
              <w:pStyle w:val="Normlndobloku"/>
            </w:pPr>
            <w:r w:rsidRPr="006B0E44">
              <w:t>-0,6* (-0,9, -0,4)</w:t>
            </w:r>
          </w:p>
        </w:tc>
      </w:tr>
      <w:tr w:rsidR="00616542" w:rsidRPr="002631F0" w14:paraId="390581B6" w14:textId="77777777" w:rsidTr="00096E4A">
        <w:tc>
          <w:tcPr>
            <w:tcW w:w="2386" w:type="dxa"/>
            <w:shd w:val="clear" w:color="auto" w:fill="auto"/>
          </w:tcPr>
          <w:p w14:paraId="36E7175A" w14:textId="77777777" w:rsidR="00616542" w:rsidRPr="002631F0" w:rsidRDefault="00A621C9" w:rsidP="007C252A">
            <w:pPr>
              <w:pStyle w:val="Normlndobloku"/>
            </w:pPr>
            <w:r w:rsidRPr="002631F0">
              <w:t>Vildagliptín 50 mg dvakrát denne + pioglitazón (N=132)</w:t>
            </w:r>
          </w:p>
        </w:tc>
        <w:tc>
          <w:tcPr>
            <w:tcW w:w="2386" w:type="dxa"/>
            <w:shd w:val="clear" w:color="auto" w:fill="auto"/>
          </w:tcPr>
          <w:p w14:paraId="5A77A22C" w14:textId="77777777" w:rsidR="00616542" w:rsidRPr="002631F0" w:rsidRDefault="00E46EFA" w:rsidP="007C252A">
            <w:pPr>
              <w:pStyle w:val="Normlndobloku"/>
            </w:pPr>
            <w:r w:rsidRPr="002631F0">
              <w:t>8,7</w:t>
            </w:r>
          </w:p>
        </w:tc>
        <w:tc>
          <w:tcPr>
            <w:tcW w:w="2386" w:type="dxa"/>
            <w:shd w:val="clear" w:color="auto" w:fill="auto"/>
          </w:tcPr>
          <w:p w14:paraId="3A9560F4" w14:textId="77777777" w:rsidR="00616542" w:rsidRPr="006B0E44" w:rsidRDefault="00E46EFA" w:rsidP="007C252A">
            <w:pPr>
              <w:pStyle w:val="Normlndobloku"/>
            </w:pPr>
            <w:r w:rsidRPr="006B0E44">
              <w:t>-1,0</w:t>
            </w:r>
          </w:p>
        </w:tc>
        <w:tc>
          <w:tcPr>
            <w:tcW w:w="2386" w:type="dxa"/>
            <w:shd w:val="clear" w:color="auto" w:fill="auto"/>
          </w:tcPr>
          <w:p w14:paraId="0FB54ADC" w14:textId="77777777" w:rsidR="00616542" w:rsidRPr="006B0E44" w:rsidRDefault="00E46EFA" w:rsidP="007C252A">
            <w:pPr>
              <w:pStyle w:val="Normlndobloku"/>
            </w:pPr>
            <w:r w:rsidRPr="006B0E44">
              <w:t>-0,7* (-0,9, -0,4)</w:t>
            </w:r>
          </w:p>
        </w:tc>
      </w:tr>
      <w:tr w:rsidR="00616542" w:rsidRPr="002631F0" w14:paraId="1E59FF08" w14:textId="77777777" w:rsidTr="00096E4A">
        <w:tc>
          <w:tcPr>
            <w:tcW w:w="2386" w:type="dxa"/>
            <w:shd w:val="clear" w:color="auto" w:fill="auto"/>
          </w:tcPr>
          <w:p w14:paraId="234DE7E7" w14:textId="77777777" w:rsidR="00616542" w:rsidRPr="002631F0" w:rsidRDefault="00A621C9" w:rsidP="007C252A">
            <w:pPr>
              <w:pStyle w:val="Normlndobloku"/>
            </w:pPr>
            <w:r w:rsidRPr="002631F0">
              <w:t>Vildagliptín 50 mg dvakrát denne + metformín + glimepirid (N=132)</w:t>
            </w:r>
          </w:p>
        </w:tc>
        <w:tc>
          <w:tcPr>
            <w:tcW w:w="2386" w:type="dxa"/>
            <w:shd w:val="clear" w:color="auto" w:fill="auto"/>
          </w:tcPr>
          <w:p w14:paraId="7EC65903" w14:textId="77777777" w:rsidR="00616542" w:rsidRPr="002631F0" w:rsidRDefault="00E46EFA" w:rsidP="007C252A">
            <w:pPr>
              <w:pStyle w:val="Normlndobloku"/>
            </w:pPr>
            <w:r w:rsidRPr="002631F0">
              <w:t>8,8</w:t>
            </w:r>
          </w:p>
        </w:tc>
        <w:tc>
          <w:tcPr>
            <w:tcW w:w="2386" w:type="dxa"/>
            <w:shd w:val="clear" w:color="auto" w:fill="auto"/>
          </w:tcPr>
          <w:p w14:paraId="1A51CEF7" w14:textId="77777777" w:rsidR="00616542" w:rsidRPr="006B0E44" w:rsidRDefault="00E46EFA" w:rsidP="007C252A">
            <w:pPr>
              <w:pStyle w:val="Normlndobloku"/>
            </w:pPr>
            <w:r w:rsidRPr="006B0E44">
              <w:t>-1,0</w:t>
            </w:r>
          </w:p>
        </w:tc>
        <w:tc>
          <w:tcPr>
            <w:tcW w:w="2386" w:type="dxa"/>
            <w:shd w:val="clear" w:color="auto" w:fill="auto"/>
          </w:tcPr>
          <w:p w14:paraId="4F7D8B68" w14:textId="77777777" w:rsidR="00616542" w:rsidRPr="006B0E44" w:rsidRDefault="00E46EFA" w:rsidP="007C252A">
            <w:pPr>
              <w:pStyle w:val="Normlndobloku"/>
            </w:pPr>
            <w:r w:rsidRPr="006B0E44">
              <w:t>-0,8* (-1,0, -0,5)</w:t>
            </w:r>
          </w:p>
        </w:tc>
      </w:tr>
      <w:tr w:rsidR="00A621C9" w:rsidRPr="002631F0" w14:paraId="0979E0C6" w14:textId="77777777" w:rsidTr="00096E4A">
        <w:tc>
          <w:tcPr>
            <w:tcW w:w="9544" w:type="dxa"/>
            <w:gridSpan w:val="4"/>
            <w:shd w:val="clear" w:color="auto" w:fill="auto"/>
          </w:tcPr>
          <w:p w14:paraId="7D999F1C" w14:textId="77777777" w:rsidR="00A621C9" w:rsidRPr="002631F0" w:rsidRDefault="00A621C9" w:rsidP="007C252A">
            <w:pPr>
              <w:pStyle w:val="Normlndobloku"/>
            </w:pPr>
            <w:r w:rsidRPr="002631F0">
              <w:t>* p&lt; 0,05 pre porovnanie oproti placebu + komparátoru</w:t>
            </w:r>
          </w:p>
        </w:tc>
      </w:tr>
    </w:tbl>
    <w:p w14:paraId="23B0B91D" w14:textId="77777777" w:rsidR="005606E4" w:rsidRPr="002631F0" w:rsidRDefault="005606E4" w:rsidP="007C252A">
      <w:pPr>
        <w:pStyle w:val="Normlndobloku"/>
      </w:pPr>
    </w:p>
    <w:p w14:paraId="4DBA5551" w14:textId="77777777" w:rsidR="002014C0" w:rsidRPr="002631F0" w:rsidRDefault="00457489" w:rsidP="006B0E44">
      <w:pPr>
        <w:pStyle w:val="Styl3"/>
        <w:spacing w:after="0"/>
        <w:jc w:val="left"/>
        <w:rPr>
          <w:szCs w:val="22"/>
          <w:lang w:val="sk-SK"/>
        </w:rPr>
      </w:pPr>
      <w:r w:rsidRPr="002631F0">
        <w:rPr>
          <w:szCs w:val="22"/>
          <w:lang w:val="sk-SK"/>
        </w:rPr>
        <w:t>Pediatrická populácia</w:t>
      </w:r>
    </w:p>
    <w:p w14:paraId="0067DEB8" w14:textId="77777777" w:rsidR="00457489" w:rsidRDefault="00457489" w:rsidP="007C252A">
      <w:pPr>
        <w:pStyle w:val="Normlndobloku"/>
      </w:pPr>
      <w:r w:rsidRPr="006B0E44">
        <w:t>Európska agentúra pre lieky udelila výnimku z povinnosti predložiť výsledky štúdií s vildagliptínom vo všetkých podskupinách pediatrickej populácie pre diabetes mellitus 2. typu (informácie o použití v pediatrickej populácii, pozri časť 4.2).</w:t>
      </w:r>
    </w:p>
    <w:p w14:paraId="2BD7E79A" w14:textId="77777777" w:rsidR="007409F7" w:rsidRPr="006B0E44" w:rsidRDefault="007409F7" w:rsidP="007C252A">
      <w:pPr>
        <w:pStyle w:val="Normlndobloku"/>
      </w:pPr>
    </w:p>
    <w:p w14:paraId="14DCBF9D" w14:textId="77777777" w:rsidR="00457489" w:rsidRPr="006B0E44" w:rsidRDefault="00A72EBA" w:rsidP="006B0E44">
      <w:pPr>
        <w:pStyle w:val="Styl2"/>
        <w:spacing w:before="0" w:after="0"/>
        <w:ind w:left="0" w:firstLine="0"/>
        <w:rPr>
          <w:szCs w:val="22"/>
        </w:rPr>
      </w:pPr>
      <w:r w:rsidRPr="006B0E44">
        <w:rPr>
          <w:szCs w:val="22"/>
        </w:rPr>
        <w:t>Farmakokinetické vlastnosti</w:t>
      </w:r>
    </w:p>
    <w:p w14:paraId="73AFA287" w14:textId="77777777" w:rsidR="007409F7" w:rsidRDefault="007409F7" w:rsidP="006B0E44">
      <w:pPr>
        <w:pStyle w:val="Styl3"/>
        <w:spacing w:after="0"/>
        <w:jc w:val="left"/>
        <w:rPr>
          <w:szCs w:val="22"/>
          <w:lang w:val="sk-SK"/>
        </w:rPr>
      </w:pPr>
    </w:p>
    <w:p w14:paraId="33FB1399" w14:textId="77777777" w:rsidR="00457489" w:rsidRPr="006B0E44" w:rsidRDefault="00457489" w:rsidP="006B0E44">
      <w:pPr>
        <w:pStyle w:val="Styl3"/>
        <w:spacing w:after="0"/>
        <w:jc w:val="left"/>
        <w:rPr>
          <w:szCs w:val="22"/>
          <w:lang w:val="sk-SK"/>
        </w:rPr>
      </w:pPr>
      <w:r w:rsidRPr="006B0E44">
        <w:rPr>
          <w:szCs w:val="22"/>
          <w:lang w:val="sk-SK"/>
        </w:rPr>
        <w:t>Absorpcia</w:t>
      </w:r>
    </w:p>
    <w:p w14:paraId="422BA67B" w14:textId="77777777" w:rsidR="00457489" w:rsidRPr="006B0E44" w:rsidRDefault="00457489" w:rsidP="007C252A">
      <w:pPr>
        <w:pStyle w:val="Normlndobloku"/>
      </w:pPr>
      <w:r w:rsidRPr="006B0E44">
        <w:t>Po perorálnom podaní nalačno sa vildagliptín rýchlo vstrebáva a maximálna plazmatická koncentrácia sa pozoruje po 1,7 hodiny. Jedlo mierne predlžuje čas do dosiahnutia maximálnej plazmatickej koncentrácie na 2,5 hodiny, ale nemení celkovú expozíciu (AUC). Podanie vildagliptínu s jedlom viedlo k poklesu C</w:t>
      </w:r>
      <w:r w:rsidRPr="006B0E44">
        <w:rPr>
          <w:vertAlign w:val="subscript"/>
        </w:rPr>
        <w:t>max</w:t>
      </w:r>
      <w:r w:rsidRPr="006B0E44">
        <w:t xml:space="preserve"> (19 %). Rozsah zmeny však nie je klinicky významný, takže vildagliptín možno užívať s jedlom alebo bez neho. Absolútna biologická dostupnosť je 85 %.</w:t>
      </w:r>
    </w:p>
    <w:p w14:paraId="1F9E849E" w14:textId="77777777" w:rsidR="007409F7" w:rsidRDefault="007409F7" w:rsidP="006B0E44">
      <w:pPr>
        <w:pStyle w:val="Styl3"/>
        <w:spacing w:after="0"/>
        <w:jc w:val="left"/>
        <w:rPr>
          <w:szCs w:val="22"/>
          <w:lang w:val="sk-SK"/>
        </w:rPr>
      </w:pPr>
    </w:p>
    <w:p w14:paraId="1F526343" w14:textId="77777777" w:rsidR="00457489" w:rsidRPr="006B0E44" w:rsidRDefault="00457489" w:rsidP="006B0E44">
      <w:pPr>
        <w:pStyle w:val="Styl3"/>
        <w:spacing w:after="0"/>
        <w:jc w:val="left"/>
        <w:rPr>
          <w:szCs w:val="22"/>
          <w:lang w:val="sk-SK"/>
        </w:rPr>
      </w:pPr>
      <w:r w:rsidRPr="006B0E44">
        <w:rPr>
          <w:szCs w:val="22"/>
          <w:lang w:val="sk-SK"/>
        </w:rPr>
        <w:t>Distribúcia</w:t>
      </w:r>
    </w:p>
    <w:p w14:paraId="36B6CE38" w14:textId="77777777" w:rsidR="00457489" w:rsidRPr="006B0E44" w:rsidRDefault="00457489" w:rsidP="007C252A">
      <w:pPr>
        <w:pStyle w:val="Normlndobloku"/>
      </w:pPr>
      <w:r w:rsidRPr="006B0E44">
        <w:t>Väzba vildagliptínu na bielkoviny plazmy je nízka (9,3 %) a vildagliptín sa rovnako distribuuje do plazmy a erytrocytov. Priemerný objem distribúcie vildagliptínu v rovnovážnom stave po intravenóznom podaní (Vss) je 71 litrov, čo poukazuje na extravaskulárnu distribúciu.</w:t>
      </w:r>
    </w:p>
    <w:p w14:paraId="1E11FBC2" w14:textId="77777777" w:rsidR="007409F7" w:rsidRDefault="007409F7" w:rsidP="006B0E44">
      <w:pPr>
        <w:pStyle w:val="Styl3"/>
        <w:spacing w:after="0"/>
        <w:jc w:val="left"/>
        <w:rPr>
          <w:szCs w:val="22"/>
          <w:lang w:val="sk-SK"/>
        </w:rPr>
      </w:pPr>
    </w:p>
    <w:p w14:paraId="32F40AE8" w14:textId="77777777" w:rsidR="00457489" w:rsidRPr="006B0E44" w:rsidRDefault="00457489" w:rsidP="006B0E44">
      <w:pPr>
        <w:pStyle w:val="Styl3"/>
        <w:spacing w:after="0"/>
        <w:jc w:val="left"/>
        <w:rPr>
          <w:szCs w:val="22"/>
          <w:lang w:val="sk-SK"/>
        </w:rPr>
      </w:pPr>
      <w:r w:rsidRPr="006B0E44">
        <w:rPr>
          <w:szCs w:val="22"/>
          <w:lang w:val="sk-SK"/>
        </w:rPr>
        <w:t>Biotransformácia</w:t>
      </w:r>
    </w:p>
    <w:p w14:paraId="5753406B" w14:textId="77777777" w:rsidR="00457489" w:rsidRPr="006B0E44" w:rsidRDefault="00457489" w:rsidP="007C252A">
      <w:pPr>
        <w:pStyle w:val="Normlndobloku"/>
      </w:pPr>
      <w:r w:rsidRPr="006B0E44">
        <w:t xml:space="preserve">Metabolizmus je hlavnou </w:t>
      </w:r>
      <w:r w:rsidR="005470AA" w:rsidRPr="006B0E44">
        <w:t>cestou</w:t>
      </w:r>
      <w:r w:rsidRPr="006B0E44">
        <w:t xml:space="preserve"> eliminácie vildagliptínu u ľudí, pripadá naň 69 % dávky. Hlavný metabolit (LAY 151) je farmakologicky inaktívny produkt hydrolýzy kyanoskupiny molekuly, na ktorý pripadá 57 % dávky, po ňom nasledujú produkty glukuronidácie (BQS867) a hydrolýzy amidu (4 % dávky). Údaje o mikrozómoch ľudskej obličky </w:t>
      </w:r>
      <w:r w:rsidRPr="006B0E44">
        <w:rPr>
          <w:i/>
          <w:iCs/>
        </w:rPr>
        <w:t>in vitro</w:t>
      </w:r>
      <w:r w:rsidRPr="006B0E44">
        <w:t xml:space="preserve"> naznačujú, že oblička môže byť jedným z hlavných orgánov prispievajúcich k hydrolýze vildagliptínu na jeho hlavný inaktívny metabolit LAY151. K hydrolýze vildagliptínu čiastočne prispieva DPP-4 podľa štúdie </w:t>
      </w:r>
      <w:r w:rsidRPr="006B0E44">
        <w:rPr>
          <w:i/>
          <w:iCs/>
        </w:rPr>
        <w:t>in vivo</w:t>
      </w:r>
      <w:r w:rsidRPr="006B0E44">
        <w:t xml:space="preserve"> na potkanoch s deficitom DPP-4. Vildagliptín sa v kvantifikovateľnom rozsahu nemetabolizuje prostredníctvom enzýmov CYP 450. </w:t>
      </w:r>
      <w:r w:rsidRPr="006B0E44">
        <w:lastRenderedPageBreak/>
        <w:t xml:space="preserve">Preto sa nepredpokladá, že by metabolický klírens vildagliptínu ovplyvňovali súčasne podávané liečivá, ktoré sú inhibítormi a/alebo induktormi CYP 450. Štúdie </w:t>
      </w:r>
      <w:r w:rsidRPr="006B0E44">
        <w:rPr>
          <w:i/>
          <w:iCs/>
        </w:rPr>
        <w:t>in vitro</w:t>
      </w:r>
      <w:r w:rsidRPr="006B0E44">
        <w:t xml:space="preserve"> ukázali, že vildagliptín neinhibuje/neindukuje enzýmy CYP 450. Preto nie je pravdepodobné, že by vildagliptín ovplyvňoval metabolický klírens súčasne podávaných liečiv, ktoré sa metabolizujú prostredníctvom CYP 1A2, CYP 2C8, CYP 2C9, CYP 2C19, CYP 2D6, CYP 2E1 alebo CYP 3A4/5.</w:t>
      </w:r>
    </w:p>
    <w:p w14:paraId="2FDB366B" w14:textId="77777777" w:rsidR="007409F7" w:rsidRDefault="007409F7" w:rsidP="006B0E44">
      <w:pPr>
        <w:pStyle w:val="Styl3"/>
        <w:spacing w:after="0"/>
        <w:jc w:val="left"/>
        <w:rPr>
          <w:szCs w:val="22"/>
          <w:lang w:val="sk-SK"/>
        </w:rPr>
      </w:pPr>
    </w:p>
    <w:p w14:paraId="07C36FC8" w14:textId="77777777" w:rsidR="00457489" w:rsidRPr="006B0E44" w:rsidRDefault="00457489" w:rsidP="006B0E44">
      <w:pPr>
        <w:pStyle w:val="Styl3"/>
        <w:spacing w:after="0"/>
        <w:jc w:val="left"/>
        <w:rPr>
          <w:szCs w:val="22"/>
          <w:lang w:val="sk-SK"/>
        </w:rPr>
      </w:pPr>
      <w:r w:rsidRPr="006B0E44">
        <w:rPr>
          <w:szCs w:val="22"/>
          <w:lang w:val="sk-SK"/>
        </w:rPr>
        <w:t>Eliminácia</w:t>
      </w:r>
    </w:p>
    <w:p w14:paraId="6FA3F504" w14:textId="77777777" w:rsidR="00457489" w:rsidRPr="006B0E44" w:rsidRDefault="00457489" w:rsidP="007C252A">
      <w:pPr>
        <w:pStyle w:val="Normlndobloku"/>
      </w:pPr>
      <w:r w:rsidRPr="006B0E44">
        <w:t>Po perorálnom podaní vildagliptínu značeného [14C] sa približne 85 % dávky vylúčilo do moču a 15 % dávky sa našlo v stolici. Na vylučovanie nezmeneného vildagliptínu obličkami po perorálnom podaní pripadá 23 % dávky. Po intravenóznom podaní vildagliptínu zdravým osobám bol celkový plazmatický klírens 41 l/hod a obličkový klírens 13 l/hod. Priemerný polčas eliminácie po intravenóznom podaní je približne 2 hodiny. Polčas eliminácie po perorálnom podaní je približne 3 hodiny.</w:t>
      </w:r>
    </w:p>
    <w:p w14:paraId="2104CC9F" w14:textId="77777777" w:rsidR="006B0E44" w:rsidRDefault="006B0E44" w:rsidP="006B0E44">
      <w:pPr>
        <w:pStyle w:val="Styl3"/>
        <w:spacing w:after="0"/>
        <w:jc w:val="left"/>
        <w:rPr>
          <w:szCs w:val="22"/>
          <w:lang w:val="sk-SK"/>
        </w:rPr>
      </w:pPr>
    </w:p>
    <w:p w14:paraId="7FFB7E7B" w14:textId="26F85C97" w:rsidR="00457489" w:rsidRPr="006B0E44" w:rsidRDefault="00457489" w:rsidP="006B0E44">
      <w:pPr>
        <w:pStyle w:val="Styl3"/>
        <w:spacing w:after="0"/>
        <w:jc w:val="left"/>
        <w:rPr>
          <w:szCs w:val="22"/>
          <w:lang w:val="sk-SK"/>
        </w:rPr>
      </w:pPr>
      <w:r w:rsidRPr="006B0E44">
        <w:rPr>
          <w:szCs w:val="22"/>
          <w:lang w:val="sk-SK"/>
        </w:rPr>
        <w:t>Linearita/nelinearita</w:t>
      </w:r>
    </w:p>
    <w:p w14:paraId="6E302167" w14:textId="77777777" w:rsidR="00457489" w:rsidRPr="006B0E44" w:rsidRDefault="00457489" w:rsidP="007C252A">
      <w:pPr>
        <w:pStyle w:val="Normlndobloku"/>
      </w:pPr>
      <w:r w:rsidRPr="006B0E44">
        <w:t>C</w:t>
      </w:r>
      <w:r w:rsidRPr="006B0E44">
        <w:rPr>
          <w:vertAlign w:val="subscript"/>
        </w:rPr>
        <w:t>max</w:t>
      </w:r>
      <w:r w:rsidRPr="006B0E44">
        <w:t xml:space="preserve"> vildagliptínu a plocha pod krivkou plazmatickej koncentrácie v závislosti od času (AUC) sa v rozmedzí terapeutických dávok zväčšili približne úmerne veľkosti dávky.</w:t>
      </w:r>
    </w:p>
    <w:p w14:paraId="477E5BD6" w14:textId="77777777" w:rsidR="007409F7" w:rsidRDefault="007409F7" w:rsidP="006B0E44">
      <w:pPr>
        <w:pStyle w:val="Styl3"/>
        <w:spacing w:after="0"/>
        <w:jc w:val="left"/>
        <w:rPr>
          <w:szCs w:val="22"/>
          <w:lang w:val="sk-SK"/>
        </w:rPr>
      </w:pPr>
    </w:p>
    <w:p w14:paraId="5595FE7A" w14:textId="77777777" w:rsidR="00457489" w:rsidRPr="006B0E44" w:rsidRDefault="00457489" w:rsidP="006B0E44">
      <w:pPr>
        <w:pStyle w:val="Styl3"/>
        <w:spacing w:after="0"/>
        <w:jc w:val="left"/>
        <w:rPr>
          <w:szCs w:val="22"/>
          <w:lang w:val="sk-SK"/>
        </w:rPr>
      </w:pPr>
      <w:r w:rsidRPr="006B0E44">
        <w:rPr>
          <w:szCs w:val="22"/>
          <w:lang w:val="sk-SK"/>
        </w:rPr>
        <w:t>Charakteristika u osobitných skupín pacientov</w:t>
      </w:r>
    </w:p>
    <w:p w14:paraId="76507113" w14:textId="77777777" w:rsidR="007409F7" w:rsidRDefault="007409F7" w:rsidP="005F582D">
      <w:pPr>
        <w:pStyle w:val="Styl4"/>
      </w:pPr>
    </w:p>
    <w:p w14:paraId="070ECF2E" w14:textId="77777777" w:rsidR="00457489" w:rsidRPr="006B0E44" w:rsidRDefault="00457489" w:rsidP="005F582D">
      <w:pPr>
        <w:pStyle w:val="Styl4"/>
      </w:pPr>
      <w:r w:rsidRPr="006B0E44">
        <w:t>Pohlavie</w:t>
      </w:r>
    </w:p>
    <w:p w14:paraId="5E2ED321" w14:textId="77777777" w:rsidR="00457489" w:rsidRPr="002631F0" w:rsidRDefault="00457489" w:rsidP="007C252A">
      <w:pPr>
        <w:pStyle w:val="Normlndobloku"/>
      </w:pPr>
      <w:r w:rsidRPr="002631F0">
        <w:t>Nepozorovali sa žiadne klinicky významné rozdiely vo farmakokinetike vildagliptínu medzi zdravými mužmi a ženami v rámci širokého rozmedzia veku a indexu telesnej hmotnosti (BMI). Pohlavie nemá vplyv na inhibíciu DPP-4 vildagliptínom.</w:t>
      </w:r>
    </w:p>
    <w:p w14:paraId="45667467" w14:textId="77777777" w:rsidR="00457489" w:rsidRPr="006B0E44" w:rsidRDefault="00457489" w:rsidP="005F582D">
      <w:pPr>
        <w:pStyle w:val="Styl4"/>
      </w:pPr>
      <w:r w:rsidRPr="006B0E44">
        <w:t xml:space="preserve">Starší </w:t>
      </w:r>
      <w:r w:rsidR="00B24296" w:rsidRPr="006B0E44">
        <w:t>ľudia</w:t>
      </w:r>
    </w:p>
    <w:p w14:paraId="068C5DFA" w14:textId="77777777" w:rsidR="00457489" w:rsidRPr="002631F0" w:rsidRDefault="00457489" w:rsidP="007C252A">
      <w:pPr>
        <w:pStyle w:val="Normlndobloku"/>
      </w:pPr>
      <w:r w:rsidRPr="002631F0">
        <w:t>U zdravých starších ľudí (≥ 70 rokov) sa celková expozícia vildagliptínu (100 mg raz denne) zvýšila o 32 % a maximálna plazmatická koncentrácia o 18 % v porovnaní s mladými zdravými osobami (18 </w:t>
      </w:r>
      <w:r w:rsidR="001C72A1" w:rsidRPr="002631F0">
        <w:t>–</w:t>
      </w:r>
      <w:r w:rsidRPr="002631F0">
        <w:t> 40 rokov). Tieto zmeny sa však nepovažujú za klinicky významné. Vek nemá vplyv na inhibíciu DPP-4 vildagliptínom.</w:t>
      </w:r>
    </w:p>
    <w:p w14:paraId="51FDE908" w14:textId="77777777" w:rsidR="007409F7" w:rsidRDefault="007409F7" w:rsidP="005F582D">
      <w:pPr>
        <w:pStyle w:val="Styl4"/>
      </w:pPr>
    </w:p>
    <w:p w14:paraId="14E1AE00" w14:textId="77777777" w:rsidR="00457489" w:rsidRPr="006B0E44" w:rsidRDefault="005470AA" w:rsidP="005F582D">
      <w:pPr>
        <w:pStyle w:val="Styl4"/>
      </w:pPr>
      <w:r w:rsidRPr="006B0E44">
        <w:t>Porucha</w:t>
      </w:r>
      <w:r w:rsidR="00457489" w:rsidRPr="006B0E44">
        <w:t xml:space="preserve"> funkcie pečene</w:t>
      </w:r>
    </w:p>
    <w:p w14:paraId="30DD0487" w14:textId="77777777" w:rsidR="00457489" w:rsidRPr="006B0E44" w:rsidRDefault="00457489" w:rsidP="007C252A">
      <w:pPr>
        <w:pStyle w:val="Normlndobloku"/>
      </w:pPr>
      <w:r w:rsidRPr="002631F0">
        <w:t>Vplyv zhoršenia funkcie pečene na farmakokinetiku vildagliptínu sa skúmal u pacientov s ľahk</w:t>
      </w:r>
      <w:r w:rsidR="00246430" w:rsidRPr="002631F0">
        <w:t>ou</w:t>
      </w:r>
      <w:r w:rsidRPr="002631F0">
        <w:t>, stredne ťažk</w:t>
      </w:r>
      <w:r w:rsidR="00246430" w:rsidRPr="002631F0">
        <w:t>ou</w:t>
      </w:r>
      <w:r w:rsidRPr="002631F0">
        <w:t xml:space="preserve"> a</w:t>
      </w:r>
      <w:r w:rsidR="00246430" w:rsidRPr="002631F0">
        <w:t> </w:t>
      </w:r>
      <w:r w:rsidRPr="002631F0">
        <w:t>ťažk</w:t>
      </w:r>
      <w:r w:rsidR="00246430" w:rsidRPr="006B0E44">
        <w:t>ou poruchou funkcie pečene</w:t>
      </w:r>
      <w:r w:rsidRPr="006B0E44">
        <w:t>, hodnoten</w:t>
      </w:r>
      <w:r w:rsidR="00246430" w:rsidRPr="006B0E44">
        <w:t>ý</w:t>
      </w:r>
      <w:r w:rsidRPr="006B0E44">
        <w:t>m podľa Childa-Pugha (skóre od 6 pre ľahk</w:t>
      </w:r>
      <w:r w:rsidR="000240C8" w:rsidRPr="006B0E44">
        <w:t>ú</w:t>
      </w:r>
      <w:r w:rsidRPr="006B0E44">
        <w:t xml:space="preserve"> po 12 pre ťažk</w:t>
      </w:r>
      <w:r w:rsidR="000240C8" w:rsidRPr="006B0E44">
        <w:t>ú</w:t>
      </w:r>
      <w:r w:rsidRPr="006B0E44">
        <w:t xml:space="preserve"> </w:t>
      </w:r>
      <w:r w:rsidR="001D0F9D" w:rsidRPr="006B0E44">
        <w:t>poruchu</w:t>
      </w:r>
      <w:r w:rsidRPr="006B0E44">
        <w:t>) v porovnaní so zdravými osobami. Expozícia vildagliptínu sa po jednorazovej dávke pacientom s ľahk</w:t>
      </w:r>
      <w:r w:rsidR="00246430" w:rsidRPr="006B0E44">
        <w:t>ou</w:t>
      </w:r>
      <w:r w:rsidRPr="006B0E44">
        <w:t xml:space="preserve"> a stredne ťažk</w:t>
      </w:r>
      <w:r w:rsidR="00246430" w:rsidRPr="006B0E44">
        <w:t>ou</w:t>
      </w:r>
      <w:r w:rsidRPr="006B0E44">
        <w:t xml:space="preserve"> </w:t>
      </w:r>
      <w:r w:rsidR="00246430" w:rsidRPr="006B0E44">
        <w:t>poruchou</w:t>
      </w:r>
      <w:r w:rsidRPr="006B0E44">
        <w:t xml:space="preserve"> funkcie pečene znížila (o 20 % a 8 %), zatiaľ čo expozícia vildagliptínu u pacientov s ťažk</w:t>
      </w:r>
      <w:r w:rsidR="00246430" w:rsidRPr="006B0E44">
        <w:t>ou</w:t>
      </w:r>
      <w:r w:rsidRPr="006B0E44">
        <w:t xml:space="preserve"> po</w:t>
      </w:r>
      <w:r w:rsidR="00246430" w:rsidRPr="006B0E44">
        <w:t>ruchou</w:t>
      </w:r>
      <w:r w:rsidRPr="006B0E44">
        <w:t xml:space="preserve"> funkcie pečene sa zvýšila o 22 %. Najväčšia zmena (zvýšenie alebo zníženie) expozície vildagliptínu je ~30 %, čo sa nepokladá za klinicky významné. Medzi závažnosťou ochorenia pečene a zmenou expozície vildagliptínu nebola korelácia.</w:t>
      </w:r>
    </w:p>
    <w:p w14:paraId="2A03704F" w14:textId="77777777" w:rsidR="007409F7" w:rsidRDefault="007409F7" w:rsidP="005F582D">
      <w:pPr>
        <w:pStyle w:val="Styl4"/>
      </w:pPr>
    </w:p>
    <w:p w14:paraId="60F84231" w14:textId="77777777" w:rsidR="00457489" w:rsidRPr="006B0E44" w:rsidRDefault="005470AA" w:rsidP="005F582D">
      <w:pPr>
        <w:pStyle w:val="Styl4"/>
      </w:pPr>
      <w:r w:rsidRPr="006B0E44">
        <w:t>Porucha</w:t>
      </w:r>
      <w:r w:rsidR="00457489" w:rsidRPr="006B0E44">
        <w:t xml:space="preserve"> funkcie obličiek</w:t>
      </w:r>
    </w:p>
    <w:p w14:paraId="2F10342F" w14:textId="77777777" w:rsidR="00457489" w:rsidRPr="002631F0" w:rsidRDefault="00457489" w:rsidP="007C252A">
      <w:pPr>
        <w:pStyle w:val="Normlndobloku"/>
      </w:pPr>
      <w:r w:rsidRPr="002631F0">
        <w:t>Otvorené klinické skúšanie s opakovaným podávaním sa vykonalo na vyhodnotenie farmakokinetiky nižšej terapeutickej dávky vildagliptínu (50 mg raz denne) u pacientov s rôznym stupňom chronickej poruchy funkcie obličiek definovaným klírensom kreatinínu (ľahký: 50 až &lt; 80 ml/min, stredne ťažký: 30 až &lt; 50 ml/min a ťažký: &lt; 30 ml/min) v porovnaní s kontrolnou skupinou normálnych zdravých osôb.</w:t>
      </w:r>
    </w:p>
    <w:p w14:paraId="1BAEB582" w14:textId="77777777" w:rsidR="00457489" w:rsidRPr="006B0E44" w:rsidRDefault="00457489" w:rsidP="007C252A">
      <w:pPr>
        <w:pStyle w:val="Normlndobloku"/>
      </w:pPr>
      <w:r w:rsidRPr="002631F0">
        <w:t>V porovnaní s normálnymi zdravými osobami sa AUC vildagliptínu v priemere zvýšila 1,4-, 1,7- a 2- násobne u pacientov s ľahkou, stredne ťažkou a ťažkou poruchou funkcie obličiek. AUC metabolitov LAY151 a BQS867 sa v priemere zvýšila približne 1,5-, 3- a 7-násobne u pa</w:t>
      </w:r>
      <w:r w:rsidRPr="006B0E44">
        <w:t>cientov s ľahkou, stredne ťažkou a ťažkou poruchou funkcie obličiek. Obmedzené údaje u pacientov s terminálnou chorobou obličiek (ESRD) naznačujú, že expozícia vildagliptínu je podobná ako u pacientov s ťažkou poruchou funkcie obličiek. Koncentrácie LAY151 boli približne 2- až 3-krát vyššie ako u pacientov s ťažkou poruchou funkcie obličiek.</w:t>
      </w:r>
    </w:p>
    <w:p w14:paraId="18760C2E" w14:textId="77777777" w:rsidR="007409F7" w:rsidRDefault="007409F7" w:rsidP="007C252A">
      <w:pPr>
        <w:pStyle w:val="Normlndobloku"/>
      </w:pPr>
    </w:p>
    <w:p w14:paraId="03BDECEC" w14:textId="77777777" w:rsidR="00457489" w:rsidRPr="006B0E44" w:rsidRDefault="00457489" w:rsidP="007C252A">
      <w:pPr>
        <w:pStyle w:val="Normlndobloku"/>
      </w:pPr>
      <w:r w:rsidRPr="006B0E44">
        <w:t>Vildagliptín sa v obmedzenej miere odstránil hemodialýzou (3 % počas hemodialýzy trvajúcej 3 </w:t>
      </w:r>
      <w:r w:rsidR="0096185A" w:rsidRPr="006B0E44">
        <w:t>–</w:t>
      </w:r>
      <w:r w:rsidRPr="006B0E44">
        <w:t> 4 hodiny, ktorá začala 4 hodiny po podaní).</w:t>
      </w:r>
    </w:p>
    <w:p w14:paraId="2836D3A8" w14:textId="77777777" w:rsidR="007409F7" w:rsidRDefault="007409F7" w:rsidP="005F582D">
      <w:pPr>
        <w:pStyle w:val="Styl4"/>
      </w:pPr>
    </w:p>
    <w:p w14:paraId="5A62972A" w14:textId="77777777" w:rsidR="00457489" w:rsidRPr="006B0E44" w:rsidRDefault="00457489" w:rsidP="005F582D">
      <w:pPr>
        <w:pStyle w:val="Styl4"/>
      </w:pPr>
      <w:r w:rsidRPr="006B0E44">
        <w:t>Etnická príslušnosť</w:t>
      </w:r>
    </w:p>
    <w:p w14:paraId="134E1CDF" w14:textId="77777777" w:rsidR="00457489" w:rsidRDefault="00457489" w:rsidP="007C252A">
      <w:pPr>
        <w:pStyle w:val="Normlndobloku"/>
      </w:pPr>
      <w:r w:rsidRPr="002631F0">
        <w:t>Obmedzené údaje naznačujú, že rasa nemá významný vplyv</w:t>
      </w:r>
      <w:r w:rsidR="005470AA" w:rsidRPr="002631F0">
        <w:t xml:space="preserve"> na</w:t>
      </w:r>
      <w:r w:rsidRPr="002631F0">
        <w:t xml:space="preserve"> farmakokinetiku vildagliptínu.</w:t>
      </w:r>
    </w:p>
    <w:p w14:paraId="36B65F18" w14:textId="77777777" w:rsidR="007409F7" w:rsidRPr="002631F0" w:rsidRDefault="007409F7" w:rsidP="007C252A">
      <w:pPr>
        <w:pStyle w:val="Normlndobloku"/>
      </w:pPr>
    </w:p>
    <w:p w14:paraId="0D6AEB85" w14:textId="77777777" w:rsidR="002A6E0D" w:rsidRPr="002631F0" w:rsidRDefault="00A72EBA" w:rsidP="006B0E44">
      <w:pPr>
        <w:pStyle w:val="Styl2"/>
        <w:spacing w:before="0" w:after="0"/>
        <w:ind w:left="0" w:firstLine="0"/>
        <w:rPr>
          <w:szCs w:val="22"/>
        </w:rPr>
      </w:pPr>
      <w:r w:rsidRPr="002631F0">
        <w:rPr>
          <w:szCs w:val="22"/>
        </w:rPr>
        <w:t>Predklinické údaje o bezpečnosti</w:t>
      </w:r>
    </w:p>
    <w:p w14:paraId="59DA11F3" w14:textId="77777777" w:rsidR="007409F7" w:rsidRDefault="007409F7" w:rsidP="007C252A">
      <w:pPr>
        <w:pStyle w:val="Normlndobloku"/>
      </w:pPr>
    </w:p>
    <w:p w14:paraId="1DEF7FCE" w14:textId="77777777" w:rsidR="002A6E0D" w:rsidRPr="006B0E44" w:rsidRDefault="002A6E0D" w:rsidP="007C252A">
      <w:pPr>
        <w:pStyle w:val="Normlndobloku"/>
      </w:pPr>
      <w:r w:rsidRPr="006B0E44">
        <w:t xml:space="preserve">Spomalenie intrakardiálneho </w:t>
      </w:r>
      <w:r w:rsidR="00F81A23" w:rsidRPr="006B0E44">
        <w:t>prevodu vzruchu sa pozorovalo u psov, s dávkou bez účinku 15 mg/kg (7-násobok expozície u </w:t>
      </w:r>
      <w:r w:rsidRPr="006B0E44">
        <w:t>ľudí na základe C</w:t>
      </w:r>
      <w:r w:rsidRPr="006B0E44">
        <w:rPr>
          <w:vertAlign w:val="subscript"/>
        </w:rPr>
        <w:t>max</w:t>
      </w:r>
      <w:r w:rsidRPr="006B0E44">
        <w:t>).</w:t>
      </w:r>
    </w:p>
    <w:p w14:paraId="0806C43A" w14:textId="77777777" w:rsidR="007409F7" w:rsidRDefault="007409F7" w:rsidP="007C252A">
      <w:pPr>
        <w:pStyle w:val="Normlndobloku"/>
      </w:pPr>
    </w:p>
    <w:p w14:paraId="06A29601" w14:textId="77777777" w:rsidR="002A6E0D" w:rsidRPr="006B0E44" w:rsidRDefault="002A6E0D" w:rsidP="007C252A">
      <w:pPr>
        <w:pStyle w:val="Normlndobloku"/>
      </w:pPr>
      <w:r w:rsidRPr="006B0E44">
        <w:t>Hromadenie pen</w:t>
      </w:r>
      <w:r w:rsidR="00F81A23" w:rsidRPr="006B0E44">
        <w:t>ových alveolárnych makrofágov v pľúcach sa pozorovalo u potkanov a myší. Dávka bez účinku bola u potkanov 25 </w:t>
      </w:r>
      <w:r w:rsidRPr="006B0E44">
        <w:t>mg/kg (5-nás</w:t>
      </w:r>
      <w:r w:rsidR="00F81A23" w:rsidRPr="006B0E44">
        <w:t>obok expozície u </w:t>
      </w:r>
      <w:r w:rsidRPr="006B0E44">
        <w:t>ľudí na základe AUC) a</w:t>
      </w:r>
      <w:r w:rsidR="00F81A23" w:rsidRPr="006B0E44">
        <w:t> u myší 750 mg/kg (142-násobok expozície u </w:t>
      </w:r>
      <w:r w:rsidRPr="006B0E44">
        <w:t>ľudí).</w:t>
      </w:r>
    </w:p>
    <w:p w14:paraId="266148EE" w14:textId="77777777" w:rsidR="007409F7" w:rsidRDefault="007409F7" w:rsidP="007C252A">
      <w:pPr>
        <w:pStyle w:val="Normlndobloku"/>
      </w:pPr>
    </w:p>
    <w:p w14:paraId="7D379E82" w14:textId="77777777" w:rsidR="002A6E0D" w:rsidRPr="006B0E44" w:rsidRDefault="002A6E0D" w:rsidP="007C252A">
      <w:pPr>
        <w:pStyle w:val="Normlndobloku"/>
      </w:pPr>
      <w:r w:rsidRPr="006B0E44">
        <w:t>Gastrointestinálne príznaky, najmä mäkká stolic</w:t>
      </w:r>
      <w:r w:rsidR="00F81A23" w:rsidRPr="006B0E44">
        <w:t>a, hlienovitá stolica, hnačka a pri vyšších dávkach krv v stolici sa pozorovali u </w:t>
      </w:r>
      <w:r w:rsidRPr="006B0E44">
        <w:t>psov. Hladina dávky bez účinku sa nestanovila.</w:t>
      </w:r>
    </w:p>
    <w:p w14:paraId="59C8EF70" w14:textId="77777777" w:rsidR="007409F7" w:rsidRDefault="007409F7" w:rsidP="007C252A">
      <w:pPr>
        <w:pStyle w:val="Normlndobloku"/>
      </w:pPr>
    </w:p>
    <w:p w14:paraId="0C96929A" w14:textId="77777777" w:rsidR="002A6E0D" w:rsidRPr="006B0E44" w:rsidRDefault="00F81A23" w:rsidP="007C252A">
      <w:pPr>
        <w:pStyle w:val="Normlndobloku"/>
      </w:pPr>
      <w:r w:rsidRPr="006B0E44">
        <w:t>Vildagliptín nebol mutagénny v </w:t>
      </w:r>
      <w:r w:rsidR="002A6E0D" w:rsidRPr="006B0E44">
        <w:t xml:space="preserve">bežných testoch genotoxicity </w:t>
      </w:r>
      <w:r w:rsidR="002A6E0D" w:rsidRPr="006B0E44">
        <w:rPr>
          <w:i/>
        </w:rPr>
        <w:t>in vitro</w:t>
      </w:r>
      <w:r w:rsidR="002A6E0D" w:rsidRPr="006B0E44">
        <w:t xml:space="preserve"> </w:t>
      </w:r>
      <w:r w:rsidRPr="006B0E44">
        <w:t>a </w:t>
      </w:r>
      <w:r w:rsidR="002A6E0D" w:rsidRPr="006B0E44">
        <w:rPr>
          <w:i/>
          <w:iCs/>
        </w:rPr>
        <w:t>in vivo</w:t>
      </w:r>
      <w:r w:rsidR="002A6E0D" w:rsidRPr="006B0E44">
        <w:t>.</w:t>
      </w:r>
    </w:p>
    <w:p w14:paraId="0782DB8A" w14:textId="77777777" w:rsidR="007409F7" w:rsidRDefault="007409F7" w:rsidP="007C252A">
      <w:pPr>
        <w:pStyle w:val="Normlndobloku"/>
      </w:pPr>
    </w:p>
    <w:p w14:paraId="422CFC73" w14:textId="77777777" w:rsidR="002A6E0D" w:rsidRPr="006B0E44" w:rsidRDefault="00F81A23" w:rsidP="007C252A">
      <w:pPr>
        <w:pStyle w:val="Normlndobloku"/>
      </w:pPr>
      <w:r w:rsidRPr="006B0E44">
        <w:t>Štúdia fertility a </w:t>
      </w:r>
      <w:r w:rsidR="002A6E0D" w:rsidRPr="006B0E44">
        <w:t>včasného embryonálneho vývi</w:t>
      </w:r>
      <w:r w:rsidRPr="006B0E44">
        <w:t>nu potkanov nepriniesla dôkaz o </w:t>
      </w:r>
      <w:r w:rsidR="002A6E0D" w:rsidRPr="006B0E44">
        <w:t xml:space="preserve">zhoršení fertility, reprodukčných schopností alebo včasného embryonálneho vývinu účinkom </w:t>
      </w:r>
      <w:r w:rsidRPr="006B0E44">
        <w:t>vildagliptínu. Embryonálna a fetálna toxicita sa hodnotila u potkanov a králikov. U </w:t>
      </w:r>
      <w:r w:rsidR="002A6E0D" w:rsidRPr="006B0E44">
        <w:t xml:space="preserve">potkanov sa pozorovala zvýšená incidencia zvlnených rebier spolu so zníženými parametrami telesnej hmotnosti samíc, </w:t>
      </w:r>
      <w:r w:rsidRPr="006B0E44">
        <w:t>pričom dávka bez účinku bola 75 </w:t>
      </w:r>
      <w:r w:rsidR="002A6E0D" w:rsidRPr="006B0E44">
        <w:t>mg/kg (10-násobok expozí</w:t>
      </w:r>
      <w:r w:rsidRPr="006B0E44">
        <w:t>cie u ľudí). U </w:t>
      </w:r>
      <w:r w:rsidR="002A6E0D" w:rsidRPr="006B0E44">
        <w:t>králikov sa zazna</w:t>
      </w:r>
      <w:r w:rsidRPr="006B0E44">
        <w:t>menala znížená hmotnosť plodu a </w:t>
      </w:r>
      <w:r w:rsidR="002A6E0D" w:rsidRPr="006B0E44">
        <w:t>odchýlky skeletu poukazujúce na spomalenie vývinu iba pri z</w:t>
      </w:r>
      <w:r w:rsidRPr="006B0E44">
        <w:t>ávažných toxických príznakoch u samíc, s </w:t>
      </w:r>
      <w:r w:rsidR="002A6E0D" w:rsidRPr="006B0E44">
        <w:t xml:space="preserve">dávkou bez </w:t>
      </w:r>
      <w:r w:rsidRPr="006B0E44">
        <w:t>účinku 50 mg/kg (9-násobok expozície u ľudí). Štúdia pre- a </w:t>
      </w:r>
      <w:r w:rsidR="002A6E0D" w:rsidRPr="006B0E44">
        <w:t>postnatálneho vývoja sa vykonala na potkan</w:t>
      </w:r>
      <w:r w:rsidRPr="006B0E44">
        <w:t>och. Nálezy sa pozorovali iba v súvislosti s toxicitou u samíc pri ≥ 150 mg/kg a </w:t>
      </w:r>
      <w:r w:rsidR="002A6E0D" w:rsidRPr="006B0E44">
        <w:t>zahŕňali precho</w:t>
      </w:r>
      <w:r w:rsidRPr="006B0E44">
        <w:t>dný pokles telesnej hmotnosti a </w:t>
      </w:r>
      <w:r w:rsidR="002A6E0D" w:rsidRPr="006B0E44">
        <w:t>zníženú motorickú aktivitu generácie F1.</w:t>
      </w:r>
    </w:p>
    <w:p w14:paraId="52DD8DE9" w14:textId="77777777" w:rsidR="007409F7" w:rsidRDefault="007409F7" w:rsidP="007C252A">
      <w:pPr>
        <w:pStyle w:val="Normlndobloku"/>
      </w:pPr>
    </w:p>
    <w:p w14:paraId="1899FE16" w14:textId="77777777" w:rsidR="002A6E0D" w:rsidRPr="006B0E44" w:rsidRDefault="002A6E0D" w:rsidP="007C252A">
      <w:pPr>
        <w:pStyle w:val="Normlndobloku"/>
      </w:pPr>
      <w:r w:rsidRPr="006B0E44">
        <w:t>Dvojročná štúdia karcinogenity sa uskutočnila na potkanoch pri per</w:t>
      </w:r>
      <w:r w:rsidR="00F81A23" w:rsidRPr="006B0E44">
        <w:t>orálnych dávkach do 900 </w:t>
      </w:r>
      <w:r w:rsidRPr="006B0E44">
        <w:t>mg/kg (pr</w:t>
      </w:r>
      <w:r w:rsidR="00F81A23" w:rsidRPr="006B0E44">
        <w:t>ibližne 200-násobok expozície u </w:t>
      </w:r>
      <w:r w:rsidRPr="006B0E44">
        <w:t>ľudí pri maximálnej odporúčanej dávke). Nepozorovala sa zvýšená incidencia nádorov, ktorú by bolo možné pripísať vildagliptínu. Ďalšia dvojročná štúdia karcinogenity sa uskutočnila na myšiach</w:t>
      </w:r>
      <w:r w:rsidR="00F81A23" w:rsidRPr="006B0E44">
        <w:t xml:space="preserve"> pri perorálnych dávkach do 1 </w:t>
      </w:r>
      <w:r w:rsidRPr="006B0E44">
        <w:t>000 mg/kg. Pozorovala sa zvýšená incidencia a</w:t>
      </w:r>
      <w:r w:rsidR="00F81A23" w:rsidRPr="006B0E44">
        <w:t>denokarcinómov mliečnej žľazy s dávkou bez účinku 500 mg/kg (59-násobok expozície u ľudí) a hemangiosarkómov s dávkou bez účinku 100 mg/kg (16-násobok expozície u </w:t>
      </w:r>
      <w:r w:rsidRPr="006B0E44">
        <w:t>ľudí). Nepredpokladá sa, že zvýš</w:t>
      </w:r>
      <w:r w:rsidR="00F81A23" w:rsidRPr="006B0E44">
        <w:t>ená incidencia týchto nádorov u </w:t>
      </w:r>
      <w:r w:rsidRPr="006B0E44">
        <w:t>myší predstavuje významné riziko pre ľudí vz</w:t>
      </w:r>
      <w:r w:rsidR="00F81A23" w:rsidRPr="006B0E44">
        <w:t>hľadom na to, že vildagliptín a </w:t>
      </w:r>
      <w:r w:rsidRPr="006B0E44">
        <w:t>jeho hlavný metabolit nie sú genotox</w:t>
      </w:r>
      <w:r w:rsidR="00F81A23" w:rsidRPr="006B0E44">
        <w:t>ické, nádory sa vyskytujú len u jedného živočíšneho druhu a </w:t>
      </w:r>
      <w:r w:rsidRPr="006B0E44">
        <w:t>pomer systémovej expozície, pri ktorom sa nádory pozorovali, je vysoký.</w:t>
      </w:r>
    </w:p>
    <w:p w14:paraId="66B54EAF" w14:textId="77777777" w:rsidR="007409F7" w:rsidRDefault="007409F7" w:rsidP="007C252A">
      <w:pPr>
        <w:pStyle w:val="Normlndobloku"/>
      </w:pPr>
    </w:p>
    <w:p w14:paraId="54986E5C" w14:textId="77777777" w:rsidR="007409F7" w:rsidRDefault="00F81A23" w:rsidP="007C252A">
      <w:pPr>
        <w:pStyle w:val="Normlndobloku"/>
      </w:pPr>
      <w:r w:rsidRPr="006B0E44">
        <w:t>V </w:t>
      </w:r>
      <w:r w:rsidR="002A6E0D" w:rsidRPr="006B0E44">
        <w:t>toxikologickej štúdii trvajúcej 13 týždňov na makakoch krabožravých sa zaznamen</w:t>
      </w:r>
      <w:r w:rsidRPr="006B0E44">
        <w:t>ali kožné lézie pri dávkach ≥ 5 </w:t>
      </w:r>
      <w:r w:rsidR="002A6E0D" w:rsidRPr="006B0E44">
        <w:t>mg/kg/deň. Pravidelne sa nachádzali na akrálnych č</w:t>
      </w:r>
      <w:r w:rsidRPr="006B0E44">
        <w:t>astiach tela (ruky, nohy, uši a chvost). Pri 5 </w:t>
      </w:r>
      <w:r w:rsidR="002A6E0D" w:rsidRPr="006B0E44">
        <w:t>mg/kg/deň (rov</w:t>
      </w:r>
      <w:r w:rsidRPr="006B0E44">
        <w:t>ná sa približne expozícii AUC u ľudí pri dávke 100 </w:t>
      </w:r>
      <w:r w:rsidR="002A6E0D" w:rsidRPr="006B0E44">
        <w:t>mg) sa pozorovali iba pľuzgiere. Boli reverzibilné na</w:t>
      </w:r>
      <w:r w:rsidRPr="006B0E44">
        <w:t>priek pokračujúcemu podávaniu a nespájali sa s </w:t>
      </w:r>
      <w:r w:rsidR="002A6E0D" w:rsidRPr="006B0E44">
        <w:t>histopatologick</w:t>
      </w:r>
      <w:r w:rsidRPr="006B0E44">
        <w:t xml:space="preserve">ými abnormalitami. </w:t>
      </w:r>
    </w:p>
    <w:p w14:paraId="76CE90A4" w14:textId="77777777" w:rsidR="002A6E0D" w:rsidRDefault="00F81A23" w:rsidP="007C252A">
      <w:pPr>
        <w:pStyle w:val="Normlndobloku"/>
      </w:pPr>
      <w:r w:rsidRPr="006B0E44">
        <w:t>Vločkovitá a odlupujúca sa koža, chrasty a </w:t>
      </w:r>
      <w:r w:rsidR="002A6E0D" w:rsidRPr="006B0E44">
        <w:t>bolestivé miesta na chvoste so zodpovedajúcimi histopatologickými zmen</w:t>
      </w:r>
      <w:r w:rsidRPr="006B0E44">
        <w:t>ami sa zistili pri dávkach ≥ 20 </w:t>
      </w:r>
      <w:r w:rsidR="002A6E0D" w:rsidRPr="006B0E44">
        <w:t>mg/kg/deň (pribl</w:t>
      </w:r>
      <w:r w:rsidRPr="006B0E44">
        <w:t>ižne 3- násobok expozície AUC u ľudí pri dávke 100 </w:t>
      </w:r>
      <w:r w:rsidR="002A6E0D" w:rsidRPr="006B0E44">
        <w:t>mg). Nekrotické lézie na</w:t>
      </w:r>
      <w:r w:rsidRPr="006B0E44">
        <w:t xml:space="preserve"> chvoste sa pozorovali pri ≥ 80 </w:t>
      </w:r>
      <w:r w:rsidR="002A6E0D" w:rsidRPr="006B0E44">
        <w:t>mg/kg/deň. Ko</w:t>
      </w:r>
      <w:r w:rsidRPr="006B0E44">
        <w:t>žné lézie neboli reverzibilné u </w:t>
      </w:r>
      <w:r w:rsidR="002A6E0D" w:rsidRPr="006B0E44">
        <w:t xml:space="preserve">opíc, ktoré </w:t>
      </w:r>
      <w:r w:rsidRPr="006B0E44">
        <w:t>dostávali 160 </w:t>
      </w:r>
      <w:r w:rsidR="002A6E0D" w:rsidRPr="006B0E44">
        <w:t>mg/kg/deň počas 4-týždňového obdobia rekonvalescencie.</w:t>
      </w:r>
    </w:p>
    <w:p w14:paraId="6D8FDFE2" w14:textId="77777777" w:rsidR="007409F7" w:rsidRDefault="007409F7" w:rsidP="007C252A">
      <w:pPr>
        <w:pStyle w:val="Normlndobloku"/>
      </w:pPr>
    </w:p>
    <w:p w14:paraId="438CC821" w14:textId="77777777" w:rsidR="007409F7" w:rsidRPr="006B0E44" w:rsidRDefault="007409F7" w:rsidP="007C252A">
      <w:pPr>
        <w:pStyle w:val="Normlndobloku"/>
      </w:pPr>
    </w:p>
    <w:p w14:paraId="0AE66A8A" w14:textId="77777777" w:rsidR="00A72EBA" w:rsidRDefault="00A72EBA">
      <w:pPr>
        <w:pStyle w:val="Styl1"/>
      </w:pPr>
      <w:r w:rsidRPr="002631F0">
        <w:lastRenderedPageBreak/>
        <w:t>FARMACEUTICKÉ INFORMÁCIE</w:t>
      </w:r>
    </w:p>
    <w:p w14:paraId="4491EDB9" w14:textId="77777777" w:rsidR="007409F7" w:rsidRPr="002631F0" w:rsidRDefault="007409F7" w:rsidP="006B0E44">
      <w:pPr>
        <w:pStyle w:val="Styl1"/>
        <w:numPr>
          <w:ilvl w:val="0"/>
          <w:numId w:val="0"/>
        </w:numPr>
      </w:pPr>
    </w:p>
    <w:p w14:paraId="2D59B7E3" w14:textId="77777777" w:rsidR="0021252D" w:rsidRPr="006B0E44" w:rsidRDefault="00A72EBA" w:rsidP="006B0E44">
      <w:pPr>
        <w:pStyle w:val="Styl2"/>
        <w:spacing w:before="0" w:after="0"/>
        <w:ind w:left="0" w:firstLine="0"/>
        <w:rPr>
          <w:szCs w:val="22"/>
        </w:rPr>
      </w:pPr>
      <w:r w:rsidRPr="006B0E44">
        <w:rPr>
          <w:szCs w:val="22"/>
        </w:rPr>
        <w:t>Zoznam pomocných látok</w:t>
      </w:r>
    </w:p>
    <w:p w14:paraId="65F04599" w14:textId="77777777" w:rsidR="007409F7" w:rsidRDefault="007409F7" w:rsidP="007C252A">
      <w:pPr>
        <w:pStyle w:val="Normlndobloku"/>
      </w:pPr>
    </w:p>
    <w:p w14:paraId="4DAAD905" w14:textId="7602C4B7" w:rsidR="0021252D" w:rsidRPr="006B0E44" w:rsidRDefault="007409F7" w:rsidP="007C252A">
      <w:pPr>
        <w:pStyle w:val="Normlndobloku"/>
      </w:pPr>
      <w:r>
        <w:t>m</w:t>
      </w:r>
      <w:r w:rsidR="0021252D" w:rsidRPr="006B0E44">
        <w:t>ikrokryštalická celulóza</w:t>
      </w:r>
    </w:p>
    <w:p w14:paraId="2E5477DF" w14:textId="6341A554" w:rsidR="0021252D" w:rsidRPr="006B0E44" w:rsidRDefault="007409F7" w:rsidP="007C252A">
      <w:pPr>
        <w:pStyle w:val="Normlndobloku"/>
      </w:pPr>
      <w:r>
        <w:t>l</w:t>
      </w:r>
      <w:r w:rsidR="0021252D" w:rsidRPr="006B0E44">
        <w:t>aktóza</w:t>
      </w:r>
      <w:r w:rsidR="00165383" w:rsidRPr="006B0E44">
        <w:t>, bezvodá</w:t>
      </w:r>
    </w:p>
    <w:p w14:paraId="798784CB" w14:textId="6870634D" w:rsidR="0021252D" w:rsidRPr="006B0E44" w:rsidRDefault="007409F7" w:rsidP="007C252A">
      <w:pPr>
        <w:pStyle w:val="Normlndobloku"/>
      </w:pPr>
      <w:r>
        <w:t>k</w:t>
      </w:r>
      <w:r w:rsidR="0021252D" w:rsidRPr="006B0E44">
        <w:t>arboxymetylškrob (typ A)</w:t>
      </w:r>
      <w:r w:rsidR="00D36AB0" w:rsidRPr="006B0E44">
        <w:t>, sodná soľ</w:t>
      </w:r>
    </w:p>
    <w:p w14:paraId="5EFE5755" w14:textId="042F5FA7" w:rsidR="0021252D" w:rsidRDefault="007409F7" w:rsidP="007C252A">
      <w:pPr>
        <w:pStyle w:val="Normlndobloku"/>
      </w:pPr>
      <w:r>
        <w:t>s</w:t>
      </w:r>
      <w:r w:rsidR="00D36AB0" w:rsidRPr="006B0E44">
        <w:t>tear</w:t>
      </w:r>
      <w:r>
        <w:t>át</w:t>
      </w:r>
      <w:r w:rsidR="00D36AB0" w:rsidRPr="006B0E44">
        <w:t xml:space="preserve"> </w:t>
      </w:r>
      <w:r w:rsidRPr="006B0E44">
        <w:t>horečnatý</w:t>
      </w:r>
    </w:p>
    <w:p w14:paraId="5E692DD2" w14:textId="77777777" w:rsidR="007409F7" w:rsidRPr="006B0E44" w:rsidRDefault="007409F7" w:rsidP="007C252A">
      <w:pPr>
        <w:pStyle w:val="Normlndobloku"/>
      </w:pPr>
    </w:p>
    <w:p w14:paraId="040FB83F" w14:textId="77777777" w:rsidR="00A72EBA" w:rsidRDefault="00A72EBA" w:rsidP="006B0E44">
      <w:pPr>
        <w:pStyle w:val="Styl2"/>
        <w:spacing w:before="0" w:after="0"/>
        <w:ind w:left="0" w:firstLine="0"/>
        <w:rPr>
          <w:szCs w:val="22"/>
        </w:rPr>
      </w:pPr>
      <w:r w:rsidRPr="006B0E44">
        <w:rPr>
          <w:szCs w:val="22"/>
        </w:rPr>
        <w:t>Inkompatibility</w:t>
      </w:r>
    </w:p>
    <w:p w14:paraId="6A1BEC07" w14:textId="77777777" w:rsidR="007409F7" w:rsidRPr="006B0E44" w:rsidRDefault="007409F7" w:rsidP="006B0E44">
      <w:pPr>
        <w:pStyle w:val="Styl2"/>
        <w:numPr>
          <w:ilvl w:val="0"/>
          <w:numId w:val="0"/>
        </w:numPr>
        <w:spacing w:before="0" w:after="0"/>
        <w:rPr>
          <w:szCs w:val="22"/>
        </w:rPr>
      </w:pPr>
    </w:p>
    <w:p w14:paraId="4C3AA9A6" w14:textId="77777777" w:rsidR="00A72EBA" w:rsidRDefault="00A72EBA" w:rsidP="007C252A">
      <w:pPr>
        <w:pStyle w:val="Normlndobloku"/>
      </w:pPr>
      <w:r w:rsidRPr="006B0E44">
        <w:t>Neaplikovateľné.</w:t>
      </w:r>
    </w:p>
    <w:p w14:paraId="018B2EBC" w14:textId="77777777" w:rsidR="007409F7" w:rsidRPr="006B0E44" w:rsidRDefault="007409F7" w:rsidP="007C252A">
      <w:pPr>
        <w:pStyle w:val="Normlndobloku"/>
      </w:pPr>
    </w:p>
    <w:p w14:paraId="538C8536" w14:textId="77777777" w:rsidR="00A72EBA" w:rsidRPr="006B0E44" w:rsidRDefault="00A72EBA" w:rsidP="006B0E44">
      <w:pPr>
        <w:pStyle w:val="Styl2"/>
        <w:spacing w:before="0" w:after="0"/>
        <w:ind w:left="0" w:firstLine="0"/>
        <w:rPr>
          <w:szCs w:val="22"/>
        </w:rPr>
      </w:pPr>
      <w:r w:rsidRPr="006B0E44">
        <w:rPr>
          <w:szCs w:val="22"/>
        </w:rPr>
        <w:t>Čas použiteľnosti</w:t>
      </w:r>
    </w:p>
    <w:p w14:paraId="50DF5B2F" w14:textId="77777777" w:rsidR="007409F7" w:rsidRDefault="007409F7" w:rsidP="007C252A">
      <w:pPr>
        <w:pStyle w:val="Normlndobloku"/>
      </w:pPr>
    </w:p>
    <w:p w14:paraId="23B9F4F7" w14:textId="77777777" w:rsidR="00A72EBA" w:rsidRDefault="00F2480A" w:rsidP="007C252A">
      <w:pPr>
        <w:pStyle w:val="Normlndobloku"/>
      </w:pPr>
      <w:r w:rsidRPr="006B0E44">
        <w:t>30 mesiacov</w:t>
      </w:r>
    </w:p>
    <w:p w14:paraId="2FF767DF" w14:textId="77777777" w:rsidR="007409F7" w:rsidRPr="006B0E44" w:rsidRDefault="007409F7" w:rsidP="007C252A">
      <w:pPr>
        <w:pStyle w:val="Normlndobloku"/>
      </w:pPr>
    </w:p>
    <w:p w14:paraId="41589C12" w14:textId="77777777" w:rsidR="00A72EBA" w:rsidRPr="006B0E44" w:rsidRDefault="00A72EBA" w:rsidP="006B0E44">
      <w:pPr>
        <w:pStyle w:val="Styl2"/>
        <w:spacing w:before="0" w:after="0"/>
        <w:ind w:left="0" w:firstLine="0"/>
        <w:rPr>
          <w:szCs w:val="22"/>
        </w:rPr>
      </w:pPr>
      <w:r w:rsidRPr="006B0E44">
        <w:rPr>
          <w:szCs w:val="22"/>
        </w:rPr>
        <w:t>Špeciálne upozornenia na uchovávanie</w:t>
      </w:r>
    </w:p>
    <w:p w14:paraId="7F683201" w14:textId="77777777" w:rsidR="007409F7" w:rsidRDefault="007409F7" w:rsidP="007C252A">
      <w:pPr>
        <w:pStyle w:val="Normlndobloku"/>
      </w:pPr>
    </w:p>
    <w:p w14:paraId="5B535DE7" w14:textId="77777777" w:rsidR="0019382D" w:rsidRDefault="000C069D" w:rsidP="007C252A">
      <w:pPr>
        <w:pStyle w:val="Normlndobloku"/>
      </w:pPr>
      <w:r w:rsidRPr="006B0E44">
        <w:t>Tento liek nevyžaduje žiadne zvláštne podmienky na uchovávanie.</w:t>
      </w:r>
    </w:p>
    <w:p w14:paraId="28464568" w14:textId="77777777" w:rsidR="007409F7" w:rsidRPr="006B0E44" w:rsidRDefault="007409F7" w:rsidP="007C252A">
      <w:pPr>
        <w:pStyle w:val="Normlndobloku"/>
        <w:rPr>
          <w:lang w:eastAsia="en-GB"/>
        </w:rPr>
      </w:pPr>
    </w:p>
    <w:p w14:paraId="2AE15C22" w14:textId="77777777" w:rsidR="0019382D" w:rsidRPr="006B0E44" w:rsidRDefault="00A72EBA" w:rsidP="006B0E44">
      <w:pPr>
        <w:pStyle w:val="Styl2"/>
        <w:spacing w:before="0" w:after="0"/>
        <w:ind w:left="0" w:firstLine="0"/>
        <w:rPr>
          <w:szCs w:val="22"/>
        </w:rPr>
      </w:pPr>
      <w:r w:rsidRPr="006B0E44">
        <w:rPr>
          <w:szCs w:val="22"/>
        </w:rPr>
        <w:t>Druh obalu a obsah balenia</w:t>
      </w:r>
    </w:p>
    <w:p w14:paraId="2298446B" w14:textId="77777777" w:rsidR="007409F7" w:rsidRDefault="007409F7" w:rsidP="007C252A">
      <w:pPr>
        <w:pStyle w:val="Normlndobloku"/>
      </w:pPr>
    </w:p>
    <w:p w14:paraId="46857BF6" w14:textId="77777777" w:rsidR="007E68BB" w:rsidRPr="006B0E44" w:rsidRDefault="00F2480A" w:rsidP="007C252A">
      <w:pPr>
        <w:pStyle w:val="Normlndobloku"/>
      </w:pPr>
      <w:r w:rsidRPr="006B0E44">
        <w:t>Veľkosti balenia: 7, 14, 28, 30, 56, 60, 90, 112, 180 alebo 336 tabliet dostupné v Alu-Alu (PA/Alu/PVC-Alu) blistroch.</w:t>
      </w:r>
    </w:p>
    <w:p w14:paraId="09F163F6" w14:textId="77777777" w:rsidR="007409F7" w:rsidRDefault="007409F7" w:rsidP="007C252A">
      <w:pPr>
        <w:pStyle w:val="Normlndobloku"/>
      </w:pPr>
    </w:p>
    <w:p w14:paraId="0C9494CF" w14:textId="77777777" w:rsidR="00A72EBA" w:rsidRDefault="00A72EBA" w:rsidP="007C252A">
      <w:pPr>
        <w:pStyle w:val="Normlndobloku"/>
      </w:pPr>
      <w:r w:rsidRPr="006B0E44">
        <w:t>Na trh nemusia byť uvedené všetky veľkosti balenia.</w:t>
      </w:r>
    </w:p>
    <w:p w14:paraId="3B1D84C5" w14:textId="77777777" w:rsidR="007409F7" w:rsidRPr="006B0E44" w:rsidRDefault="007409F7" w:rsidP="007C252A">
      <w:pPr>
        <w:pStyle w:val="Normlndobloku"/>
      </w:pPr>
    </w:p>
    <w:p w14:paraId="767B3C8D" w14:textId="77777777" w:rsidR="007D0986" w:rsidRPr="006B0E44" w:rsidRDefault="00A72EBA" w:rsidP="006B0E44">
      <w:pPr>
        <w:pStyle w:val="Styl2"/>
        <w:spacing w:before="0" w:after="0"/>
        <w:ind w:left="0" w:firstLine="0"/>
        <w:rPr>
          <w:szCs w:val="22"/>
        </w:rPr>
      </w:pPr>
      <w:r w:rsidRPr="006B0E44">
        <w:rPr>
          <w:szCs w:val="22"/>
        </w:rPr>
        <w:t>Špeciálne opatrenia na likvidáciu</w:t>
      </w:r>
      <w:r w:rsidR="00165383" w:rsidRPr="006B0E44">
        <w:rPr>
          <w:szCs w:val="22"/>
        </w:rPr>
        <w:t xml:space="preserve"> a iné zaobchádzanie s liekom</w:t>
      </w:r>
    </w:p>
    <w:p w14:paraId="70CED5E5" w14:textId="77777777" w:rsidR="007409F7" w:rsidRDefault="007409F7" w:rsidP="007C252A">
      <w:pPr>
        <w:pStyle w:val="Normlndobloku"/>
      </w:pPr>
    </w:p>
    <w:p w14:paraId="49F0A8F4" w14:textId="77777777" w:rsidR="000C069D" w:rsidRPr="006B0E44" w:rsidRDefault="000C069D" w:rsidP="007C252A">
      <w:pPr>
        <w:pStyle w:val="Normlndobloku"/>
      </w:pPr>
      <w:r w:rsidRPr="006B0E44">
        <w:t>Žiadne zvláštne požiadavky.</w:t>
      </w:r>
    </w:p>
    <w:p w14:paraId="308E6EBC" w14:textId="77777777" w:rsidR="007409F7" w:rsidRDefault="007409F7" w:rsidP="002631F0">
      <w:pPr>
        <w:widowControl w:val="0"/>
        <w:kinsoku w:val="0"/>
        <w:overflowPunct w:val="0"/>
        <w:autoSpaceDE w:val="0"/>
        <w:autoSpaceDN w:val="0"/>
        <w:adjustRightInd w:val="0"/>
        <w:rPr>
          <w:szCs w:val="22"/>
          <w:lang w:eastAsia="de-DE"/>
        </w:rPr>
      </w:pPr>
    </w:p>
    <w:p w14:paraId="633AF0D2" w14:textId="77777777" w:rsidR="00165383" w:rsidRDefault="00165383" w:rsidP="002631F0">
      <w:pPr>
        <w:widowControl w:val="0"/>
        <w:kinsoku w:val="0"/>
        <w:overflowPunct w:val="0"/>
        <w:autoSpaceDE w:val="0"/>
        <w:autoSpaceDN w:val="0"/>
        <w:adjustRightInd w:val="0"/>
        <w:rPr>
          <w:szCs w:val="22"/>
          <w:lang w:eastAsia="de-DE"/>
        </w:rPr>
      </w:pPr>
      <w:r w:rsidRPr="006B0E44">
        <w:rPr>
          <w:szCs w:val="22"/>
          <w:lang w:eastAsia="de-DE"/>
        </w:rPr>
        <w:t>Všetok nepoužitý liek alebo odpad vzniknutý z lieku sa má zlikvidovať v súlade s národnými požiadavkami.</w:t>
      </w:r>
    </w:p>
    <w:p w14:paraId="67358FEA" w14:textId="77777777" w:rsidR="007409F7" w:rsidRDefault="007409F7" w:rsidP="002631F0">
      <w:pPr>
        <w:widowControl w:val="0"/>
        <w:kinsoku w:val="0"/>
        <w:overflowPunct w:val="0"/>
        <w:autoSpaceDE w:val="0"/>
        <w:autoSpaceDN w:val="0"/>
        <w:adjustRightInd w:val="0"/>
        <w:rPr>
          <w:szCs w:val="22"/>
          <w:lang w:eastAsia="de-DE"/>
        </w:rPr>
      </w:pPr>
    </w:p>
    <w:p w14:paraId="0CDEE5DE" w14:textId="77777777" w:rsidR="007409F7" w:rsidRPr="006B0E44" w:rsidRDefault="007409F7" w:rsidP="002631F0">
      <w:pPr>
        <w:widowControl w:val="0"/>
        <w:kinsoku w:val="0"/>
        <w:overflowPunct w:val="0"/>
        <w:autoSpaceDE w:val="0"/>
        <w:autoSpaceDN w:val="0"/>
        <w:adjustRightInd w:val="0"/>
        <w:rPr>
          <w:szCs w:val="22"/>
          <w:lang w:val="sk-SK"/>
        </w:rPr>
      </w:pPr>
    </w:p>
    <w:p w14:paraId="5E2531AA" w14:textId="77777777" w:rsidR="00A72EBA" w:rsidRPr="002631F0" w:rsidRDefault="005D4C05">
      <w:pPr>
        <w:pStyle w:val="Styl1"/>
      </w:pPr>
      <w:r w:rsidRPr="002631F0">
        <w:t>DRŽITEĽ ROZHODNUTIA O </w:t>
      </w:r>
      <w:r w:rsidR="00A72EBA" w:rsidRPr="002631F0">
        <w:t>REGISTRÁCII</w:t>
      </w:r>
    </w:p>
    <w:p w14:paraId="53EF338E" w14:textId="77777777" w:rsidR="007409F7" w:rsidRDefault="007409F7" w:rsidP="007C252A">
      <w:pPr>
        <w:pStyle w:val="Normlndobloku"/>
      </w:pPr>
    </w:p>
    <w:p w14:paraId="1A999E89" w14:textId="77777777" w:rsidR="00A72EBA" w:rsidRDefault="00F2480A" w:rsidP="007C252A">
      <w:pPr>
        <w:pStyle w:val="Normlndobloku"/>
      </w:pPr>
      <w:r w:rsidRPr="006B0E44">
        <w:t>MEDOCHEMIE Ltd., 1-10 Constantinoupoleos Street, 3011 Limassol, Cyprus</w:t>
      </w:r>
    </w:p>
    <w:p w14:paraId="1263C058" w14:textId="77777777" w:rsidR="007409F7" w:rsidRDefault="007409F7" w:rsidP="007C252A">
      <w:pPr>
        <w:pStyle w:val="Normlndobloku"/>
      </w:pPr>
    </w:p>
    <w:p w14:paraId="17D6A9E4" w14:textId="77777777" w:rsidR="007409F7" w:rsidRPr="006B0E44" w:rsidRDefault="007409F7" w:rsidP="007C252A">
      <w:pPr>
        <w:pStyle w:val="Normlndobloku"/>
      </w:pPr>
    </w:p>
    <w:p w14:paraId="214052F7" w14:textId="77777777" w:rsidR="005D4C05" w:rsidRPr="002631F0" w:rsidRDefault="00A72EBA">
      <w:pPr>
        <w:pStyle w:val="Styl1"/>
      </w:pPr>
      <w:r w:rsidRPr="002631F0">
        <w:t>R</w:t>
      </w:r>
      <w:r w:rsidR="005D4C05" w:rsidRPr="002631F0">
        <w:t>EGISTRAČNÉ ČÍSLO</w:t>
      </w:r>
    </w:p>
    <w:p w14:paraId="3BBB9DFB" w14:textId="77777777" w:rsidR="007409F7" w:rsidRDefault="007409F7" w:rsidP="007C252A">
      <w:pPr>
        <w:pStyle w:val="Normlndobloku"/>
      </w:pPr>
    </w:p>
    <w:p w14:paraId="27A86E44" w14:textId="77777777" w:rsidR="00F55A63" w:rsidRDefault="00715C3B" w:rsidP="007C252A">
      <w:pPr>
        <w:pStyle w:val="Normlndobloku"/>
      </w:pPr>
      <w:r w:rsidRPr="006B0E44">
        <w:t>18/0335/17-S</w:t>
      </w:r>
    </w:p>
    <w:p w14:paraId="039AF681" w14:textId="77777777" w:rsidR="007409F7" w:rsidRDefault="007409F7" w:rsidP="007C252A">
      <w:pPr>
        <w:pStyle w:val="Normlndobloku"/>
      </w:pPr>
    </w:p>
    <w:p w14:paraId="6AEF777F" w14:textId="77777777" w:rsidR="007409F7" w:rsidRPr="006B0E44" w:rsidRDefault="007409F7" w:rsidP="007C252A">
      <w:pPr>
        <w:pStyle w:val="Normlndobloku"/>
      </w:pPr>
    </w:p>
    <w:p w14:paraId="7FC82BA8" w14:textId="77777777" w:rsidR="00A72EBA" w:rsidRPr="002631F0" w:rsidRDefault="00A72EBA" w:rsidP="006B0E44">
      <w:pPr>
        <w:pStyle w:val="Styl1"/>
      </w:pPr>
      <w:r w:rsidRPr="002631F0">
        <w:t>DÁTUM PRVEJ REGISTRÁCIE/PREDĹŽENIA REGISTRÁCIE</w:t>
      </w:r>
    </w:p>
    <w:p w14:paraId="3D3FDB38" w14:textId="77777777" w:rsidR="007409F7" w:rsidRDefault="007409F7" w:rsidP="007C252A">
      <w:pPr>
        <w:pStyle w:val="Normlndobloku"/>
      </w:pPr>
    </w:p>
    <w:p w14:paraId="55C9D1AD" w14:textId="1C911AD0" w:rsidR="00A72EBA" w:rsidRPr="006B0E44" w:rsidRDefault="00A72EBA" w:rsidP="007C252A">
      <w:pPr>
        <w:pStyle w:val="Normlndobloku"/>
      </w:pPr>
      <w:r w:rsidRPr="006B0E44">
        <w:t>Dátum prvej registrácie:</w:t>
      </w:r>
      <w:r w:rsidR="007409F7">
        <w:t xml:space="preserve"> 14.</w:t>
      </w:r>
      <w:r w:rsidR="005F582D">
        <w:t xml:space="preserve"> </w:t>
      </w:r>
      <w:r w:rsidR="007409F7">
        <w:t xml:space="preserve">november </w:t>
      </w:r>
      <w:r w:rsidR="007409F7" w:rsidRPr="007409F7">
        <w:t>2017</w:t>
      </w:r>
    </w:p>
    <w:p w14:paraId="3A7DCDFD" w14:textId="287546BC" w:rsidR="007409F7" w:rsidRDefault="007409F7" w:rsidP="007C252A">
      <w:pPr>
        <w:pStyle w:val="Normlndobloku"/>
      </w:pPr>
    </w:p>
    <w:p w14:paraId="07542B38" w14:textId="77777777" w:rsidR="007409F7" w:rsidRPr="006B0E44" w:rsidRDefault="007409F7" w:rsidP="007C252A">
      <w:pPr>
        <w:pStyle w:val="Normlndobloku"/>
      </w:pPr>
    </w:p>
    <w:p w14:paraId="430AC1AF" w14:textId="77777777" w:rsidR="00A72EBA" w:rsidRPr="002631F0" w:rsidRDefault="00A72EBA">
      <w:pPr>
        <w:pStyle w:val="Styl1"/>
      </w:pPr>
      <w:r w:rsidRPr="002631F0">
        <w:t>DÁTUM REVÍZIE TEXTU</w:t>
      </w:r>
    </w:p>
    <w:p w14:paraId="0EB53536" w14:textId="77777777" w:rsidR="007409F7" w:rsidRDefault="007409F7" w:rsidP="002631F0">
      <w:pPr>
        <w:rPr>
          <w:szCs w:val="22"/>
          <w:lang w:val="sk-SK"/>
        </w:rPr>
      </w:pPr>
    </w:p>
    <w:p w14:paraId="58C71BE7" w14:textId="3627758F" w:rsidR="004277C7" w:rsidRPr="006B0E44" w:rsidRDefault="002631F0" w:rsidP="002631F0">
      <w:pPr>
        <w:rPr>
          <w:szCs w:val="22"/>
          <w:lang w:val="sk-SK"/>
        </w:rPr>
      </w:pPr>
      <w:r w:rsidRPr="006B0E44">
        <w:rPr>
          <w:szCs w:val="22"/>
          <w:lang w:val="sk-SK"/>
        </w:rPr>
        <w:lastRenderedPageBreak/>
        <w:t>01/2020</w:t>
      </w:r>
      <w:bookmarkStart w:id="0" w:name="_GoBack"/>
      <w:bookmarkEnd w:id="0"/>
    </w:p>
    <w:sectPr w:rsidR="004277C7" w:rsidRPr="006B0E44" w:rsidSect="006B0E44">
      <w:headerReference w:type="default" r:id="rId8"/>
      <w:footerReference w:type="even" r:id="rId9"/>
      <w:footerReference w:type="default" r:id="rId10"/>
      <w:headerReference w:type="first" r:id="rId11"/>
      <w:footerReference w:type="first" r:id="rId12"/>
      <w:pgSz w:w="12240" w:h="15840" w:code="1"/>
      <w:pgMar w:top="1134" w:right="1418" w:bottom="1134" w:left="1418" w:header="709" w:footer="709" w:gutter="0"/>
      <w:cols w:space="708"/>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AAF084" w16cid:durableId="21DD1C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54E821" w14:textId="77777777" w:rsidR="000B2A79" w:rsidRDefault="000B2A79">
      <w:r>
        <w:separator/>
      </w:r>
    </w:p>
  </w:endnote>
  <w:endnote w:type="continuationSeparator" w:id="0">
    <w:p w14:paraId="5FE3A0CE" w14:textId="77777777" w:rsidR="000B2A79" w:rsidRDefault="000B2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D5D49" w14:textId="77777777" w:rsidR="006B0E44" w:rsidRDefault="006B0E44" w:rsidP="00C821C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B10B260" w14:textId="77777777" w:rsidR="006B0E44" w:rsidRDefault="006B0E44" w:rsidP="00C821C7">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94ACA" w14:textId="77777777" w:rsidR="006B0E44" w:rsidRPr="00C95DFF" w:rsidRDefault="006B0E44">
    <w:pPr>
      <w:pStyle w:val="Pta"/>
      <w:jc w:val="center"/>
      <w:rPr>
        <w:sz w:val="18"/>
        <w:szCs w:val="18"/>
      </w:rPr>
    </w:pPr>
    <w:r w:rsidRPr="00C95DFF">
      <w:rPr>
        <w:sz w:val="18"/>
        <w:szCs w:val="18"/>
      </w:rPr>
      <w:fldChar w:fldCharType="begin"/>
    </w:r>
    <w:r w:rsidRPr="00C95DFF">
      <w:rPr>
        <w:sz w:val="18"/>
        <w:szCs w:val="18"/>
      </w:rPr>
      <w:instrText xml:space="preserve"> PAGE   \* MERGEFORMAT </w:instrText>
    </w:r>
    <w:r w:rsidRPr="00C95DFF">
      <w:rPr>
        <w:sz w:val="18"/>
        <w:szCs w:val="18"/>
      </w:rPr>
      <w:fldChar w:fldCharType="separate"/>
    </w:r>
    <w:r w:rsidR="005F582D">
      <w:rPr>
        <w:noProof/>
        <w:sz w:val="18"/>
        <w:szCs w:val="18"/>
      </w:rPr>
      <w:t>17</w:t>
    </w:r>
    <w:r w:rsidRPr="00C95DFF">
      <w:rPr>
        <w:sz w:val="18"/>
        <w:szCs w:val="18"/>
      </w:rPr>
      <w:fldChar w:fldCharType="end"/>
    </w:r>
  </w:p>
  <w:p w14:paraId="6926FA2D" w14:textId="77777777" w:rsidR="006B0E44" w:rsidRPr="00E621D0" w:rsidRDefault="006B0E44" w:rsidP="00C821C7">
    <w:pPr>
      <w:pStyle w:val="Pta"/>
      <w:jc w:val="cen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B288C" w14:textId="77777777" w:rsidR="006B0E44" w:rsidRDefault="006B0E44">
    <w:pPr>
      <w:pStyle w:val="Pta"/>
      <w:jc w:val="center"/>
    </w:pPr>
    <w:r w:rsidRPr="00C95DFF">
      <w:rPr>
        <w:sz w:val="18"/>
        <w:szCs w:val="18"/>
      </w:rPr>
      <w:fldChar w:fldCharType="begin"/>
    </w:r>
    <w:r w:rsidRPr="00C95DFF">
      <w:rPr>
        <w:sz w:val="18"/>
        <w:szCs w:val="18"/>
      </w:rPr>
      <w:instrText xml:space="preserve"> PAGE   \* MERGEFORMAT </w:instrText>
    </w:r>
    <w:r w:rsidRPr="00C95DFF">
      <w:rPr>
        <w:sz w:val="18"/>
        <w:szCs w:val="18"/>
      </w:rPr>
      <w:fldChar w:fldCharType="separate"/>
    </w:r>
    <w:r>
      <w:rPr>
        <w:noProof/>
        <w:sz w:val="18"/>
        <w:szCs w:val="18"/>
      </w:rPr>
      <w:t>1</w:t>
    </w:r>
    <w:r w:rsidRPr="00C95DFF">
      <w:rPr>
        <w:sz w:val="18"/>
        <w:szCs w:val="18"/>
      </w:rPr>
      <w:fldChar w:fldCharType="end"/>
    </w:r>
  </w:p>
  <w:p w14:paraId="138F6192" w14:textId="77777777" w:rsidR="006B0E44" w:rsidRPr="00E621D0" w:rsidRDefault="006B0E44" w:rsidP="00C821C7">
    <w:pPr>
      <w:pStyle w:val="Pta"/>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A0217" w14:textId="77777777" w:rsidR="000B2A79" w:rsidRDefault="000B2A79">
      <w:r>
        <w:separator/>
      </w:r>
    </w:p>
  </w:footnote>
  <w:footnote w:type="continuationSeparator" w:id="0">
    <w:p w14:paraId="1FD7E99B" w14:textId="77777777" w:rsidR="000B2A79" w:rsidRDefault="000B2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967A9" w14:textId="77777777" w:rsidR="006B0E44" w:rsidRPr="0017401B" w:rsidRDefault="006B0E44" w:rsidP="000C1936">
    <w:pPr>
      <w:outlineLvl w:val="0"/>
      <w:rPr>
        <w:noProof/>
        <w:sz w:val="18"/>
        <w:szCs w:val="18"/>
        <w:lang w:val="sk-SK" w:eastAsia="en-GB"/>
      </w:rPr>
    </w:pPr>
    <w:r w:rsidRPr="006B0E44">
      <w:rPr>
        <w:sz w:val="18"/>
        <w:szCs w:val="18"/>
        <w:lang w:val="sk-SK"/>
      </w:rPr>
      <w:t>Príloha č.1 k notifikácii o zmene, ev. č.:</w:t>
    </w:r>
    <w:r>
      <w:rPr>
        <w:sz w:val="18"/>
        <w:szCs w:val="18"/>
        <w:lang w:val="sk-SK"/>
      </w:rPr>
      <w:t xml:space="preserve"> 2018/07821-ZIB</w:t>
    </w:r>
  </w:p>
  <w:p w14:paraId="16FAB96E" w14:textId="77777777" w:rsidR="006B0E44" w:rsidRDefault="006B0E4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7B5E8" w14:textId="77777777" w:rsidR="006B0E44" w:rsidRPr="0017401B" w:rsidRDefault="006B0E44" w:rsidP="00C821C7">
    <w:pPr>
      <w:outlineLvl w:val="0"/>
      <w:rPr>
        <w:noProof/>
        <w:sz w:val="18"/>
        <w:szCs w:val="18"/>
        <w:lang w:val="sk-SK" w:eastAsia="en-GB"/>
      </w:rPr>
    </w:pPr>
    <w:r w:rsidRPr="00601450">
      <w:rPr>
        <w:noProof/>
        <w:sz w:val="18"/>
        <w:szCs w:val="18"/>
        <w:lang w:val="sk-SK" w:eastAsia="en-GB"/>
      </w:rPr>
      <w:t>Schválený text</w:t>
    </w:r>
    <w:r w:rsidRPr="00601450">
      <w:rPr>
        <w:sz w:val="18"/>
        <w:szCs w:val="18"/>
        <w:lang w:val="sk-SK"/>
      </w:rPr>
      <w:t xml:space="preserve"> k</w:t>
    </w:r>
    <w:r w:rsidRPr="00601450">
      <w:rPr>
        <w:noProof/>
        <w:sz w:val="18"/>
        <w:szCs w:val="18"/>
        <w:lang w:val="sk-SK" w:eastAsia="en-GB"/>
      </w:rPr>
      <w:t xml:space="preserve"> r</w:t>
    </w:r>
    <w:r w:rsidRPr="00601450">
      <w:rPr>
        <w:sz w:val="18"/>
        <w:szCs w:val="18"/>
        <w:lang w:val="sk-SK"/>
      </w:rPr>
      <w:t>ozhodnutiu o </w:t>
    </w:r>
    <w:r w:rsidRPr="0017401B">
      <w:rPr>
        <w:noProof/>
        <w:sz w:val="18"/>
        <w:szCs w:val="18"/>
        <w:lang w:val="sk-SK" w:eastAsia="en-GB"/>
      </w:rPr>
      <w:t>registrácii</w:t>
    </w:r>
    <w:r>
      <w:rPr>
        <w:sz w:val="18"/>
        <w:szCs w:val="18"/>
        <w:lang w:val="sk-SK"/>
      </w:rPr>
      <w:t>, ev</w:t>
    </w:r>
    <w:r w:rsidRPr="00601450">
      <w:rPr>
        <w:sz w:val="18"/>
        <w:szCs w:val="18"/>
        <w:lang w:val="sk-SK"/>
      </w:rPr>
      <w:t>.</w:t>
    </w:r>
    <w:r>
      <w:rPr>
        <w:sz w:val="18"/>
        <w:szCs w:val="18"/>
        <w:lang w:val="sk-SK"/>
      </w:rPr>
      <w:t xml:space="preserve"> </w:t>
    </w:r>
    <w:r w:rsidRPr="00601450">
      <w:rPr>
        <w:sz w:val="18"/>
        <w:szCs w:val="18"/>
        <w:lang w:val="sk-SK"/>
      </w:rPr>
      <w:t>č.:</w:t>
    </w:r>
    <w:r w:rsidRPr="00301BD2">
      <w:t xml:space="preserve"> </w:t>
    </w:r>
    <w:r>
      <w:rPr>
        <w:sz w:val="18"/>
        <w:szCs w:val="18"/>
        <w:lang w:val="sk-SK"/>
      </w:rPr>
      <w:t>2016/01717-REG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A8214CC"/>
    <w:lvl w:ilvl="0">
      <w:start w:val="1"/>
      <w:numFmt w:val="decimal"/>
      <w:lvlText w:val="%1."/>
      <w:lvlJc w:val="left"/>
      <w:pPr>
        <w:tabs>
          <w:tab w:val="num" w:pos="360"/>
        </w:tabs>
        <w:ind w:left="360" w:hanging="360"/>
      </w:pPr>
    </w:lvl>
  </w:abstractNum>
  <w:abstractNum w:abstractNumId="1" w15:restartNumberingAfterBreak="0">
    <w:nsid w:val="0DE12FDE"/>
    <w:multiLevelType w:val="multilevel"/>
    <w:tmpl w:val="198427F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41604D"/>
    <w:multiLevelType w:val="hybridMultilevel"/>
    <w:tmpl w:val="ECAC0E66"/>
    <w:lvl w:ilvl="0" w:tplc="4A227F10">
      <w:numFmt w:val="bullet"/>
      <w:lvlText w:val="-"/>
      <w:lvlJc w:val="left"/>
      <w:pPr>
        <w:tabs>
          <w:tab w:val="num" w:pos="720"/>
        </w:tabs>
        <w:ind w:left="720" w:hanging="36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C7DB5"/>
    <w:multiLevelType w:val="hybridMultilevel"/>
    <w:tmpl w:val="6C321A80"/>
    <w:lvl w:ilvl="0" w:tplc="1A50AD84">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6C972C6"/>
    <w:multiLevelType w:val="multilevel"/>
    <w:tmpl w:val="ADDAFD8A"/>
    <w:lvl w:ilvl="0">
      <w:numFmt w:val="bullet"/>
      <w:lvlText w:val="-"/>
      <w:lvlJc w:val="left"/>
      <w:pPr>
        <w:tabs>
          <w:tab w:val="num" w:pos="360"/>
        </w:tabs>
        <w:ind w:left="360" w:hanging="360"/>
      </w:pPr>
      <w:rPr>
        <w:rFonts w:ascii="Arial" w:eastAsia="Times New Roman" w:hAnsi="Arial" w:cs="Arial"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8880BA3"/>
    <w:multiLevelType w:val="hybridMultilevel"/>
    <w:tmpl w:val="94843926"/>
    <w:lvl w:ilvl="0" w:tplc="663A4272">
      <w:start w:val="1"/>
      <w:numFmt w:val="bullet"/>
      <w:pStyle w:val="Normlnsodrkami"/>
      <w:lvlText w:val=""/>
      <w:lvlJc w:val="left"/>
      <w:pPr>
        <w:ind w:left="720" w:hanging="360"/>
      </w:pPr>
      <w:rPr>
        <w:rFonts w:ascii="Symbol" w:hAnsi="Symbol" w:hint="default"/>
      </w:rPr>
    </w:lvl>
    <w:lvl w:ilvl="1" w:tplc="D8B2DCCE">
      <w:numFmt w:val="bullet"/>
      <w:lvlText w:val="-"/>
      <w:lvlJc w:val="left"/>
      <w:pPr>
        <w:ind w:left="1440" w:hanging="360"/>
      </w:pPr>
      <w:rPr>
        <w:rFonts w:ascii="Times New Roman" w:eastAsia="Calibr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BEF0F49"/>
    <w:multiLevelType w:val="multilevel"/>
    <w:tmpl w:val="9670B2CC"/>
    <w:lvl w:ilvl="0">
      <w:start w:val="1"/>
      <w:numFmt w:val="bullet"/>
      <w:lvlText w:val="o"/>
      <w:lvlJc w:val="left"/>
      <w:pPr>
        <w:ind w:left="720" w:hanging="360"/>
      </w:pPr>
      <w:rPr>
        <w:rFonts w:ascii="Times New Roman" w:hAnsi="Times New Roman"/>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877145"/>
    <w:multiLevelType w:val="singleLevel"/>
    <w:tmpl w:val="BFCC93E6"/>
    <w:lvl w:ilvl="0">
      <w:start w:val="1"/>
      <w:numFmt w:val="bullet"/>
      <w:lvlText w:val=""/>
      <w:lvlJc w:val="left"/>
      <w:pPr>
        <w:ind w:left="1211" w:hanging="360"/>
      </w:pPr>
      <w:rPr>
        <w:rFonts w:ascii="Symbol" w:hAnsi="Symbol" w:hint="default"/>
        <w:sz w:val="22"/>
      </w:rPr>
    </w:lvl>
  </w:abstractNum>
  <w:abstractNum w:abstractNumId="8" w15:restartNumberingAfterBreak="0">
    <w:nsid w:val="42766939"/>
    <w:multiLevelType w:val="multilevel"/>
    <w:tmpl w:val="0A8625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8BD21F7"/>
    <w:multiLevelType w:val="hybridMultilevel"/>
    <w:tmpl w:val="47FCDAB4"/>
    <w:lvl w:ilvl="0" w:tplc="29E6D126">
      <w:start w:val="39"/>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235574D"/>
    <w:multiLevelType w:val="multilevel"/>
    <w:tmpl w:val="C0DC4D94"/>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AAD4AA7"/>
    <w:multiLevelType w:val="multilevel"/>
    <w:tmpl w:val="FD7E7FC2"/>
    <w:lvl w:ilvl="0">
      <w:start w:val="1"/>
      <w:numFmt w:val="decimal"/>
      <w:pStyle w:val="Styl1"/>
      <w:lvlText w:val="%1."/>
      <w:lvlJc w:val="left"/>
      <w:pPr>
        <w:tabs>
          <w:tab w:val="num" w:pos="360"/>
        </w:tabs>
        <w:ind w:left="360" w:hanging="360"/>
      </w:pPr>
      <w:rPr>
        <w:rFonts w:cs="Times New Roman" w:hint="default"/>
      </w:rPr>
    </w:lvl>
    <w:lvl w:ilvl="1">
      <w:start w:val="1"/>
      <w:numFmt w:val="decimal"/>
      <w:pStyle w:val="Styl2"/>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3"/>
  </w:num>
  <w:num w:numId="10">
    <w:abstractNumId w:val="12"/>
  </w:num>
  <w:num w:numId="11">
    <w:abstractNumId w:val="12"/>
  </w:num>
  <w:num w:numId="12">
    <w:abstractNumId w:val="3"/>
  </w:num>
  <w:num w:numId="13">
    <w:abstractNumId w:val="7"/>
  </w:num>
  <w:num w:numId="14">
    <w:abstractNumId w:val="12"/>
  </w:num>
  <w:num w:numId="15">
    <w:abstractNumId w:val="12"/>
  </w:num>
  <w:num w:numId="16">
    <w:abstractNumId w:val="7"/>
  </w:num>
  <w:num w:numId="17">
    <w:abstractNumId w:val="12"/>
  </w:num>
  <w:num w:numId="18">
    <w:abstractNumId w:val="12"/>
  </w:num>
  <w:num w:numId="19">
    <w:abstractNumId w:val="7"/>
  </w:num>
  <w:num w:numId="20">
    <w:abstractNumId w:val="7"/>
  </w:num>
  <w:num w:numId="21">
    <w:abstractNumId w:val="3"/>
  </w:num>
  <w:num w:numId="22">
    <w:abstractNumId w:val="12"/>
  </w:num>
  <w:num w:numId="23">
    <w:abstractNumId w:val="3"/>
  </w:num>
  <w:num w:numId="24">
    <w:abstractNumId w:val="12"/>
  </w:num>
  <w:num w:numId="25">
    <w:abstractNumId w:val="12"/>
  </w:num>
  <w:num w:numId="26">
    <w:abstractNumId w:val="3"/>
  </w:num>
  <w:num w:numId="27">
    <w:abstractNumId w:val="12"/>
  </w:num>
  <w:num w:numId="28">
    <w:abstractNumId w:val="8"/>
  </w:num>
  <w:num w:numId="29">
    <w:abstractNumId w:val="8"/>
  </w:num>
  <w:num w:numId="30">
    <w:abstractNumId w:val="11"/>
  </w:num>
  <w:num w:numId="31">
    <w:abstractNumId w:val="6"/>
  </w:num>
  <w:num w:numId="32">
    <w:abstractNumId w:val="2"/>
  </w:num>
  <w:num w:numId="33">
    <w:abstractNumId w:val="5"/>
  </w:num>
  <w:num w:numId="34">
    <w:abstractNumId w:val="1"/>
  </w:num>
  <w:num w:numId="35">
    <w:abstractNumId w:val="10"/>
  </w:num>
  <w:num w:numId="36">
    <w:abstractNumId w:val="4"/>
  </w:num>
  <w:num w:numId="37">
    <w:abstractNumId w:val="8"/>
  </w:num>
  <w:num w:numId="38">
    <w:abstractNumId w:val="3"/>
  </w:num>
  <w:num w:numId="39">
    <w:abstractNumId w:val="9"/>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EBA"/>
    <w:rsid w:val="00000084"/>
    <w:rsid w:val="0001058A"/>
    <w:rsid w:val="00013459"/>
    <w:rsid w:val="00013A6D"/>
    <w:rsid w:val="000240C8"/>
    <w:rsid w:val="00027FC2"/>
    <w:rsid w:val="00030579"/>
    <w:rsid w:val="000426C4"/>
    <w:rsid w:val="00055FD4"/>
    <w:rsid w:val="000714C7"/>
    <w:rsid w:val="00096E4A"/>
    <w:rsid w:val="000A47B5"/>
    <w:rsid w:val="000A60D9"/>
    <w:rsid w:val="000A6AC1"/>
    <w:rsid w:val="000B16EE"/>
    <w:rsid w:val="000B2A79"/>
    <w:rsid w:val="000B5722"/>
    <w:rsid w:val="000C069D"/>
    <w:rsid w:val="000C1936"/>
    <w:rsid w:val="000C567D"/>
    <w:rsid w:val="000F606D"/>
    <w:rsid w:val="000F70BD"/>
    <w:rsid w:val="00111E43"/>
    <w:rsid w:val="001178AC"/>
    <w:rsid w:val="00126B28"/>
    <w:rsid w:val="0015577D"/>
    <w:rsid w:val="00164810"/>
    <w:rsid w:val="00164E74"/>
    <w:rsid w:val="00165383"/>
    <w:rsid w:val="00171B3A"/>
    <w:rsid w:val="00181BC5"/>
    <w:rsid w:val="00182313"/>
    <w:rsid w:val="0019382D"/>
    <w:rsid w:val="001A6852"/>
    <w:rsid w:val="001A6BAE"/>
    <w:rsid w:val="001C72A1"/>
    <w:rsid w:val="001D0F9D"/>
    <w:rsid w:val="002014C0"/>
    <w:rsid w:val="00202D55"/>
    <w:rsid w:val="0021252D"/>
    <w:rsid w:val="00246430"/>
    <w:rsid w:val="002631F0"/>
    <w:rsid w:val="002A0E3F"/>
    <w:rsid w:val="002A34F5"/>
    <w:rsid w:val="002A6E0D"/>
    <w:rsid w:val="002B6516"/>
    <w:rsid w:val="002C18AF"/>
    <w:rsid w:val="002C6BD0"/>
    <w:rsid w:val="002E1519"/>
    <w:rsid w:val="002F16FE"/>
    <w:rsid w:val="002F2CBA"/>
    <w:rsid w:val="00303C65"/>
    <w:rsid w:val="00334B52"/>
    <w:rsid w:val="003419C8"/>
    <w:rsid w:val="00354180"/>
    <w:rsid w:val="00366821"/>
    <w:rsid w:val="00371594"/>
    <w:rsid w:val="00384677"/>
    <w:rsid w:val="0039773A"/>
    <w:rsid w:val="003A0F28"/>
    <w:rsid w:val="003A3224"/>
    <w:rsid w:val="003A39CE"/>
    <w:rsid w:val="003A78DE"/>
    <w:rsid w:val="003A7C3F"/>
    <w:rsid w:val="003E04C9"/>
    <w:rsid w:val="003F2452"/>
    <w:rsid w:val="003F7565"/>
    <w:rsid w:val="004055F6"/>
    <w:rsid w:val="00412DEB"/>
    <w:rsid w:val="00413C99"/>
    <w:rsid w:val="004169B5"/>
    <w:rsid w:val="00420208"/>
    <w:rsid w:val="0042179E"/>
    <w:rsid w:val="004277C7"/>
    <w:rsid w:val="0043125D"/>
    <w:rsid w:val="00443CA5"/>
    <w:rsid w:val="00454726"/>
    <w:rsid w:val="00457489"/>
    <w:rsid w:val="00465EB9"/>
    <w:rsid w:val="00474C02"/>
    <w:rsid w:val="00475517"/>
    <w:rsid w:val="004759D9"/>
    <w:rsid w:val="00484431"/>
    <w:rsid w:val="004A05F0"/>
    <w:rsid w:val="004B2395"/>
    <w:rsid w:val="004C0C4A"/>
    <w:rsid w:val="004C3264"/>
    <w:rsid w:val="004C7A4F"/>
    <w:rsid w:val="004F01AF"/>
    <w:rsid w:val="004F239A"/>
    <w:rsid w:val="004F2A6C"/>
    <w:rsid w:val="004F2E92"/>
    <w:rsid w:val="004F7F50"/>
    <w:rsid w:val="00505BAF"/>
    <w:rsid w:val="00511B56"/>
    <w:rsid w:val="00517550"/>
    <w:rsid w:val="0052209C"/>
    <w:rsid w:val="0052684D"/>
    <w:rsid w:val="00532D60"/>
    <w:rsid w:val="005334DD"/>
    <w:rsid w:val="00543E91"/>
    <w:rsid w:val="005470AA"/>
    <w:rsid w:val="005606E4"/>
    <w:rsid w:val="0058092D"/>
    <w:rsid w:val="005835A9"/>
    <w:rsid w:val="00591A89"/>
    <w:rsid w:val="005B11AF"/>
    <w:rsid w:val="005D4C05"/>
    <w:rsid w:val="005F5431"/>
    <w:rsid w:val="005F582D"/>
    <w:rsid w:val="00616542"/>
    <w:rsid w:val="00642C6B"/>
    <w:rsid w:val="00665151"/>
    <w:rsid w:val="00666717"/>
    <w:rsid w:val="00667631"/>
    <w:rsid w:val="0068359E"/>
    <w:rsid w:val="00690B86"/>
    <w:rsid w:val="006923A1"/>
    <w:rsid w:val="00696E98"/>
    <w:rsid w:val="006A434C"/>
    <w:rsid w:val="006B0E44"/>
    <w:rsid w:val="006C1740"/>
    <w:rsid w:val="006D24E8"/>
    <w:rsid w:val="006D683B"/>
    <w:rsid w:val="006E581F"/>
    <w:rsid w:val="006E6FA1"/>
    <w:rsid w:val="006F1D53"/>
    <w:rsid w:val="006F3FD7"/>
    <w:rsid w:val="006F6B5A"/>
    <w:rsid w:val="0070042A"/>
    <w:rsid w:val="0070253F"/>
    <w:rsid w:val="00707D18"/>
    <w:rsid w:val="00715C3B"/>
    <w:rsid w:val="007409F7"/>
    <w:rsid w:val="00742562"/>
    <w:rsid w:val="00755B95"/>
    <w:rsid w:val="007569F1"/>
    <w:rsid w:val="007712DB"/>
    <w:rsid w:val="007801EC"/>
    <w:rsid w:val="007A21D6"/>
    <w:rsid w:val="007A681B"/>
    <w:rsid w:val="007B7846"/>
    <w:rsid w:val="007C252A"/>
    <w:rsid w:val="007C4E79"/>
    <w:rsid w:val="007D0986"/>
    <w:rsid w:val="007D42C8"/>
    <w:rsid w:val="007D79E5"/>
    <w:rsid w:val="007E68BB"/>
    <w:rsid w:val="007F51C6"/>
    <w:rsid w:val="00807AC4"/>
    <w:rsid w:val="00816416"/>
    <w:rsid w:val="00826D3D"/>
    <w:rsid w:val="00864740"/>
    <w:rsid w:val="00864D38"/>
    <w:rsid w:val="008754DB"/>
    <w:rsid w:val="008828E0"/>
    <w:rsid w:val="008849D3"/>
    <w:rsid w:val="00894DE7"/>
    <w:rsid w:val="008B5D9E"/>
    <w:rsid w:val="008C1CAB"/>
    <w:rsid w:val="008F0B8F"/>
    <w:rsid w:val="008F2638"/>
    <w:rsid w:val="0092089A"/>
    <w:rsid w:val="009409C3"/>
    <w:rsid w:val="00942ECA"/>
    <w:rsid w:val="00947B14"/>
    <w:rsid w:val="00953E71"/>
    <w:rsid w:val="00957F78"/>
    <w:rsid w:val="0096185A"/>
    <w:rsid w:val="009806CF"/>
    <w:rsid w:val="00996252"/>
    <w:rsid w:val="009A19DE"/>
    <w:rsid w:val="009B5635"/>
    <w:rsid w:val="009B615A"/>
    <w:rsid w:val="009D56F2"/>
    <w:rsid w:val="009E3B79"/>
    <w:rsid w:val="00A03E77"/>
    <w:rsid w:val="00A11D30"/>
    <w:rsid w:val="00A17518"/>
    <w:rsid w:val="00A25C39"/>
    <w:rsid w:val="00A25FAA"/>
    <w:rsid w:val="00A35C2B"/>
    <w:rsid w:val="00A3632D"/>
    <w:rsid w:val="00A621C9"/>
    <w:rsid w:val="00A62855"/>
    <w:rsid w:val="00A72EBA"/>
    <w:rsid w:val="00A77A27"/>
    <w:rsid w:val="00AC784A"/>
    <w:rsid w:val="00AD23C8"/>
    <w:rsid w:val="00AD7C5A"/>
    <w:rsid w:val="00B008F0"/>
    <w:rsid w:val="00B11514"/>
    <w:rsid w:val="00B13E47"/>
    <w:rsid w:val="00B24296"/>
    <w:rsid w:val="00B46238"/>
    <w:rsid w:val="00B519CE"/>
    <w:rsid w:val="00B550C3"/>
    <w:rsid w:val="00B567AB"/>
    <w:rsid w:val="00B80438"/>
    <w:rsid w:val="00BA11EC"/>
    <w:rsid w:val="00BA3206"/>
    <w:rsid w:val="00BA4AFB"/>
    <w:rsid w:val="00BA56D8"/>
    <w:rsid w:val="00BC2C94"/>
    <w:rsid w:val="00BC6E54"/>
    <w:rsid w:val="00BE062A"/>
    <w:rsid w:val="00BE1701"/>
    <w:rsid w:val="00BF2065"/>
    <w:rsid w:val="00BF2119"/>
    <w:rsid w:val="00BF5BDD"/>
    <w:rsid w:val="00C073ED"/>
    <w:rsid w:val="00C40B5E"/>
    <w:rsid w:val="00C551FF"/>
    <w:rsid w:val="00C64D6C"/>
    <w:rsid w:val="00C75301"/>
    <w:rsid w:val="00C821C7"/>
    <w:rsid w:val="00C95DFF"/>
    <w:rsid w:val="00CA4D11"/>
    <w:rsid w:val="00CB132E"/>
    <w:rsid w:val="00CB4E08"/>
    <w:rsid w:val="00CC3BA3"/>
    <w:rsid w:val="00CC5786"/>
    <w:rsid w:val="00CD7D09"/>
    <w:rsid w:val="00CE1F5C"/>
    <w:rsid w:val="00CE381A"/>
    <w:rsid w:val="00CF246C"/>
    <w:rsid w:val="00D0496A"/>
    <w:rsid w:val="00D1798F"/>
    <w:rsid w:val="00D261F0"/>
    <w:rsid w:val="00D31A08"/>
    <w:rsid w:val="00D36AB0"/>
    <w:rsid w:val="00D435C6"/>
    <w:rsid w:val="00D62EAC"/>
    <w:rsid w:val="00D64908"/>
    <w:rsid w:val="00D66B9A"/>
    <w:rsid w:val="00D71C90"/>
    <w:rsid w:val="00D967F0"/>
    <w:rsid w:val="00DA03AB"/>
    <w:rsid w:val="00DB236E"/>
    <w:rsid w:val="00DC16E3"/>
    <w:rsid w:val="00DC2E96"/>
    <w:rsid w:val="00DC569C"/>
    <w:rsid w:val="00DD14E0"/>
    <w:rsid w:val="00DD3AF3"/>
    <w:rsid w:val="00DE7636"/>
    <w:rsid w:val="00DF5B61"/>
    <w:rsid w:val="00E27D74"/>
    <w:rsid w:val="00E46EFA"/>
    <w:rsid w:val="00E621D0"/>
    <w:rsid w:val="00E645CF"/>
    <w:rsid w:val="00E76763"/>
    <w:rsid w:val="00EA2B44"/>
    <w:rsid w:val="00EC7E01"/>
    <w:rsid w:val="00ED76AA"/>
    <w:rsid w:val="00EE1ED1"/>
    <w:rsid w:val="00F07C3D"/>
    <w:rsid w:val="00F10D57"/>
    <w:rsid w:val="00F152F6"/>
    <w:rsid w:val="00F1598C"/>
    <w:rsid w:val="00F2256E"/>
    <w:rsid w:val="00F2480A"/>
    <w:rsid w:val="00F300EA"/>
    <w:rsid w:val="00F32170"/>
    <w:rsid w:val="00F4186F"/>
    <w:rsid w:val="00F511FF"/>
    <w:rsid w:val="00F55A63"/>
    <w:rsid w:val="00F744EB"/>
    <w:rsid w:val="00F81A23"/>
    <w:rsid w:val="00F87BAE"/>
    <w:rsid w:val="00FA5A6E"/>
    <w:rsid w:val="00FC7DE0"/>
    <w:rsid w:val="00FD3E3A"/>
    <w:rsid w:val="00FE5BC3"/>
    <w:rsid w:val="00FF0C26"/>
    <w:rsid w:val="00FF111E"/>
    <w:rsid w:val="00FF19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B0371"/>
  <w15:chartTrackingRefBased/>
  <w15:docId w15:val="{122B7C56-5F47-464B-B358-5EA95281B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20208"/>
    <w:rPr>
      <w:sz w:val="22"/>
      <w:szCs w:val="24"/>
      <w:lang w:val="el-GR" w:eastAsia="el-GR"/>
    </w:rPr>
  </w:style>
  <w:style w:type="paragraph" w:styleId="Nadpis1">
    <w:name w:val="heading 1"/>
    <w:basedOn w:val="Normlny"/>
    <w:next w:val="Normlny"/>
    <w:link w:val="Nadpis1Char"/>
    <w:qFormat/>
    <w:rsid w:val="00505BAF"/>
    <w:pPr>
      <w:keepNext/>
      <w:outlineLvl w:val="0"/>
    </w:pPr>
    <w:rPr>
      <w:b/>
      <w:sz w:val="24"/>
      <w:szCs w:val="20"/>
      <w:lang w:val="en-US" w:eastAsia="sk-SK"/>
    </w:rPr>
  </w:style>
  <w:style w:type="paragraph" w:styleId="Nadpis2">
    <w:name w:val="heading 2"/>
    <w:basedOn w:val="Normlny"/>
    <w:next w:val="Normlny"/>
    <w:link w:val="Nadpis2Char"/>
    <w:qFormat/>
    <w:rsid w:val="00505BAF"/>
    <w:pPr>
      <w:keepNext/>
      <w:outlineLvl w:val="1"/>
    </w:pPr>
    <w:rPr>
      <w:i/>
      <w:sz w:val="24"/>
      <w:szCs w:val="20"/>
      <w:lang w:val="en-US" w:eastAsia="sk-SK"/>
    </w:rPr>
  </w:style>
  <w:style w:type="paragraph" w:styleId="Nadpis3">
    <w:name w:val="heading 3"/>
    <w:basedOn w:val="Normlny"/>
    <w:next w:val="Normlny"/>
    <w:link w:val="Nadpis3Char"/>
    <w:qFormat/>
    <w:rsid w:val="00505BAF"/>
    <w:pPr>
      <w:keepNext/>
      <w:jc w:val="right"/>
      <w:outlineLvl w:val="2"/>
    </w:pPr>
    <w:rPr>
      <w:i/>
      <w:sz w:val="24"/>
      <w:szCs w:val="20"/>
      <w:lang w:val="en-US" w:eastAsia="sk-SK"/>
    </w:rPr>
  </w:style>
  <w:style w:type="paragraph" w:styleId="Nadpis4">
    <w:name w:val="heading 4"/>
    <w:basedOn w:val="Normlny"/>
    <w:next w:val="Normlny"/>
    <w:link w:val="Nadpis4Char"/>
    <w:qFormat/>
    <w:rsid w:val="00505BAF"/>
    <w:pPr>
      <w:keepNext/>
      <w:jc w:val="right"/>
      <w:outlineLvl w:val="3"/>
    </w:pPr>
    <w:rPr>
      <w:sz w:val="24"/>
      <w:szCs w:val="20"/>
      <w:lang w:val="en-US" w:eastAsia="sk-SK"/>
    </w:rPr>
  </w:style>
  <w:style w:type="paragraph" w:styleId="Nadpis5">
    <w:name w:val="heading 5"/>
    <w:basedOn w:val="Normlny"/>
    <w:next w:val="Normlny"/>
    <w:link w:val="Nadpis5Char"/>
    <w:uiPriority w:val="9"/>
    <w:qFormat/>
    <w:rsid w:val="00505BAF"/>
    <w:pPr>
      <w:keepNext/>
      <w:outlineLvl w:val="4"/>
    </w:pPr>
    <w:rPr>
      <w:i/>
      <w:szCs w:val="20"/>
      <w:lang w:val="en-US" w:eastAsia="sk-SK"/>
    </w:rPr>
  </w:style>
  <w:style w:type="paragraph" w:styleId="Nadpis6">
    <w:name w:val="heading 6"/>
    <w:basedOn w:val="Normlny"/>
    <w:next w:val="Normlny"/>
    <w:link w:val="Nadpis6Char"/>
    <w:uiPriority w:val="9"/>
    <w:qFormat/>
    <w:rsid w:val="00505BAF"/>
    <w:pPr>
      <w:keepNext/>
      <w:jc w:val="both"/>
      <w:outlineLvl w:val="5"/>
    </w:pPr>
    <w:rPr>
      <w:sz w:val="24"/>
      <w:szCs w:val="20"/>
      <w:lang w:val="x-none" w:eastAsia="sk-SK"/>
    </w:rPr>
  </w:style>
  <w:style w:type="paragraph" w:styleId="Nadpis7">
    <w:name w:val="heading 7"/>
    <w:basedOn w:val="Normlny"/>
    <w:next w:val="Normlny"/>
    <w:link w:val="Nadpis7Char"/>
    <w:qFormat/>
    <w:rsid w:val="00505BAF"/>
    <w:pPr>
      <w:keepNext/>
      <w:outlineLvl w:val="6"/>
    </w:pPr>
    <w:rPr>
      <w:rFonts w:ascii="Arial" w:hAnsi="Arial"/>
      <w:i/>
      <w:szCs w:val="20"/>
      <w:lang w:val="en-US" w:eastAsia="sk-SK"/>
    </w:rPr>
  </w:style>
  <w:style w:type="paragraph" w:styleId="Nadpis8">
    <w:name w:val="heading 8"/>
    <w:basedOn w:val="Normlny"/>
    <w:next w:val="Normlny"/>
    <w:link w:val="Nadpis8Char"/>
    <w:qFormat/>
    <w:rsid w:val="00505BAF"/>
    <w:pPr>
      <w:keepNext/>
      <w:spacing w:before="120"/>
      <w:outlineLvl w:val="7"/>
    </w:pPr>
    <w:rPr>
      <w:b/>
      <w:bCs/>
      <w:sz w:val="24"/>
      <w:u w:val="single"/>
      <w:lang w:val="en-US" w:eastAsia="x-none"/>
    </w:rPr>
  </w:style>
  <w:style w:type="paragraph" w:styleId="Nadpis9">
    <w:name w:val="heading 9"/>
    <w:basedOn w:val="Normlny"/>
    <w:next w:val="Normlny"/>
    <w:link w:val="Nadpis9Char"/>
    <w:qFormat/>
    <w:rsid w:val="00505BAF"/>
    <w:pPr>
      <w:keepNext/>
      <w:outlineLvl w:val="8"/>
    </w:pPr>
    <w:rPr>
      <w:b/>
      <w:bCs/>
      <w:i/>
      <w:iCs/>
      <w:sz w:val="24"/>
      <w:lang w:val="en-US"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4">
    <w:name w:val="Styl4"/>
    <w:basedOn w:val="Normlndobloku"/>
    <w:autoRedefine/>
    <w:qFormat/>
    <w:rsid w:val="00420208"/>
    <w:pPr>
      <w:spacing w:before="120"/>
    </w:pPr>
    <w:rPr>
      <w:rFonts w:ascii="Times" w:hAnsi="Times"/>
      <w:i/>
    </w:rPr>
  </w:style>
  <w:style w:type="paragraph" w:customStyle="1" w:styleId="Normlndobloku">
    <w:name w:val="Normální do bloku"/>
    <w:basedOn w:val="Normlny"/>
    <w:link w:val="NormlndoblokuChar"/>
    <w:autoRedefine/>
    <w:rsid w:val="007C252A"/>
    <w:pPr>
      <w:suppressAutoHyphens/>
    </w:pPr>
    <w:rPr>
      <w:rFonts w:eastAsia="Calibri"/>
      <w:lang w:val="sk-SK"/>
    </w:rPr>
  </w:style>
  <w:style w:type="character" w:customStyle="1" w:styleId="Nadpis1Char">
    <w:name w:val="Nadpis 1 Char"/>
    <w:link w:val="Nadpis1"/>
    <w:rsid w:val="002E1519"/>
    <w:rPr>
      <w:rFonts w:cs="Arial"/>
      <w:b/>
      <w:sz w:val="24"/>
      <w:lang w:val="en-US" w:eastAsia="sk-SK"/>
    </w:rPr>
  </w:style>
  <w:style w:type="character" w:customStyle="1" w:styleId="NormlndoblokuChar">
    <w:name w:val="Normální do bloku Char"/>
    <w:link w:val="Normlndobloku"/>
    <w:rsid w:val="007C252A"/>
    <w:rPr>
      <w:rFonts w:eastAsia="Calibri"/>
      <w:sz w:val="22"/>
      <w:szCs w:val="24"/>
      <w:lang w:val="sk-SK" w:eastAsia="el-GR"/>
    </w:rPr>
  </w:style>
  <w:style w:type="paragraph" w:customStyle="1" w:styleId="Normlndoblokusodrkami">
    <w:name w:val="Normální do bloku s odrážkami"/>
    <w:basedOn w:val="Normlndobloku"/>
    <w:next w:val="Normlndobloku"/>
    <w:autoRedefine/>
    <w:qFormat/>
    <w:rsid w:val="00F55A63"/>
    <w:pPr>
      <w:numPr>
        <w:numId w:val="26"/>
      </w:numPr>
    </w:pPr>
    <w:rPr>
      <w:noProof/>
    </w:rPr>
  </w:style>
  <w:style w:type="paragraph" w:customStyle="1" w:styleId="Styl1">
    <w:name w:val="Styl1"/>
    <w:basedOn w:val="Normlny"/>
    <w:link w:val="Styl1Char"/>
    <w:autoRedefine/>
    <w:rsid w:val="007409F7"/>
    <w:pPr>
      <w:keepNext/>
      <w:numPr>
        <w:numId w:val="10"/>
      </w:numPr>
      <w:tabs>
        <w:tab w:val="clear" w:pos="360"/>
        <w:tab w:val="num" w:pos="567"/>
      </w:tabs>
      <w:ind w:left="0" w:firstLine="0"/>
    </w:pPr>
    <w:rPr>
      <w:b/>
      <w:bCs/>
      <w:lang w:val="sk-SK"/>
    </w:rPr>
  </w:style>
  <w:style w:type="paragraph" w:customStyle="1" w:styleId="Styl2">
    <w:name w:val="Styl2"/>
    <w:basedOn w:val="Normlny"/>
    <w:autoRedefine/>
    <w:rsid w:val="000714C7"/>
    <w:pPr>
      <w:keepNext/>
      <w:numPr>
        <w:ilvl w:val="1"/>
        <w:numId w:val="10"/>
      </w:numPr>
      <w:spacing w:before="120" w:after="120"/>
      <w:ind w:left="680" w:hanging="680"/>
    </w:pPr>
    <w:rPr>
      <w:b/>
      <w:bCs/>
      <w:lang w:val="sk-SK"/>
    </w:rPr>
  </w:style>
  <w:style w:type="paragraph" w:customStyle="1" w:styleId="Styl2-2">
    <w:name w:val="Styl2-2"/>
    <w:basedOn w:val="Styl2"/>
    <w:next w:val="Normlny"/>
    <w:autoRedefine/>
    <w:qFormat/>
    <w:rsid w:val="00484431"/>
    <w:pPr>
      <w:numPr>
        <w:ilvl w:val="0"/>
        <w:numId w:val="0"/>
      </w:numPr>
      <w:tabs>
        <w:tab w:val="left" w:pos="567"/>
      </w:tabs>
      <w:spacing w:before="0" w:after="0"/>
    </w:pPr>
    <w:rPr>
      <w:b w:val="0"/>
      <w:szCs w:val="22"/>
      <w:u w:val="single"/>
      <w:lang w:eastAsia="en-US"/>
    </w:rPr>
  </w:style>
  <w:style w:type="paragraph" w:customStyle="1" w:styleId="Styl3">
    <w:name w:val="Styl3"/>
    <w:basedOn w:val="Normlny"/>
    <w:link w:val="Styl3Char"/>
    <w:autoRedefine/>
    <w:rsid w:val="00B13E47"/>
    <w:pPr>
      <w:tabs>
        <w:tab w:val="left" w:pos="6946"/>
      </w:tabs>
      <w:spacing w:after="120"/>
      <w:jc w:val="both"/>
    </w:pPr>
    <w:rPr>
      <w:rFonts w:eastAsia="Calibri"/>
      <w:u w:val="single"/>
      <w:lang w:val="cs-CZ"/>
    </w:rPr>
  </w:style>
  <w:style w:type="character" w:customStyle="1" w:styleId="Nadpis2Char">
    <w:name w:val="Nadpis 2 Char"/>
    <w:link w:val="Nadpis2"/>
    <w:rsid w:val="002E1519"/>
    <w:rPr>
      <w:rFonts w:eastAsia="Times New Roman" w:cs="Times New Roman"/>
      <w:i/>
      <w:sz w:val="24"/>
      <w:lang w:val="en-US" w:eastAsia="sk-SK"/>
    </w:rPr>
  </w:style>
  <w:style w:type="character" w:customStyle="1" w:styleId="Nadpis3Char">
    <w:name w:val="Nadpis 3 Char"/>
    <w:link w:val="Nadpis3"/>
    <w:rsid w:val="002E1519"/>
    <w:rPr>
      <w:i/>
      <w:sz w:val="24"/>
      <w:lang w:val="en-US" w:eastAsia="sk-SK"/>
    </w:rPr>
  </w:style>
  <w:style w:type="character" w:customStyle="1" w:styleId="Nadpis4Char">
    <w:name w:val="Nadpis 4 Char"/>
    <w:link w:val="Nadpis4"/>
    <w:rsid w:val="002E1519"/>
    <w:rPr>
      <w:sz w:val="24"/>
      <w:lang w:val="en-US" w:eastAsia="sk-SK"/>
    </w:rPr>
  </w:style>
  <w:style w:type="character" w:customStyle="1" w:styleId="Nadpis5Char">
    <w:name w:val="Nadpis 5 Char"/>
    <w:link w:val="Nadpis5"/>
    <w:uiPriority w:val="9"/>
    <w:rsid w:val="002E1519"/>
    <w:rPr>
      <w:rFonts w:eastAsia="Times New Roman" w:cs="Times New Roman"/>
      <w:i/>
      <w:sz w:val="22"/>
      <w:lang w:val="en-US" w:eastAsia="sk-SK"/>
    </w:rPr>
  </w:style>
  <w:style w:type="character" w:customStyle="1" w:styleId="Nadpis6Char">
    <w:name w:val="Nadpis 6 Char"/>
    <w:link w:val="Nadpis6"/>
    <w:uiPriority w:val="9"/>
    <w:rsid w:val="002E1519"/>
    <w:rPr>
      <w:rFonts w:eastAsia="Times New Roman" w:cs="Times New Roman"/>
      <w:sz w:val="24"/>
      <w:lang w:eastAsia="sk-SK"/>
    </w:rPr>
  </w:style>
  <w:style w:type="character" w:customStyle="1" w:styleId="Nadpis7Char">
    <w:name w:val="Nadpis 7 Char"/>
    <w:link w:val="Nadpis7"/>
    <w:rsid w:val="002E1519"/>
    <w:rPr>
      <w:rFonts w:ascii="Arial" w:hAnsi="Arial"/>
      <w:i/>
      <w:sz w:val="22"/>
      <w:lang w:val="en-US" w:eastAsia="sk-SK"/>
    </w:rPr>
  </w:style>
  <w:style w:type="character" w:customStyle="1" w:styleId="Nadpis8Char">
    <w:name w:val="Nadpis 8 Char"/>
    <w:link w:val="Nadpis8"/>
    <w:rsid w:val="002E1519"/>
    <w:rPr>
      <w:rFonts w:eastAsia="Times New Roman" w:cs="Times New Roman"/>
      <w:b/>
      <w:bCs/>
      <w:sz w:val="24"/>
      <w:szCs w:val="24"/>
      <w:u w:val="single"/>
      <w:lang w:val="en-US"/>
    </w:rPr>
  </w:style>
  <w:style w:type="character" w:customStyle="1" w:styleId="Nadpis9Char">
    <w:name w:val="Nadpis 9 Char"/>
    <w:link w:val="Nadpis9"/>
    <w:rsid w:val="002E1519"/>
    <w:rPr>
      <w:rFonts w:eastAsia="Times New Roman" w:cs="Times New Roman"/>
      <w:b/>
      <w:bCs/>
      <w:i/>
      <w:iCs/>
      <w:sz w:val="24"/>
      <w:szCs w:val="24"/>
      <w:lang w:val="en-US"/>
    </w:rPr>
  </w:style>
  <w:style w:type="character" w:customStyle="1" w:styleId="Styl3Char">
    <w:name w:val="Styl3 Char"/>
    <w:link w:val="Styl3"/>
    <w:rsid w:val="00B13E47"/>
    <w:rPr>
      <w:rFonts w:eastAsia="Calibri"/>
      <w:sz w:val="22"/>
      <w:szCs w:val="24"/>
      <w:u w:val="single"/>
      <w:lang w:val="cs-CZ" w:eastAsia="el-GR"/>
    </w:rPr>
  </w:style>
  <w:style w:type="character" w:styleId="slostrany">
    <w:name w:val="page number"/>
    <w:basedOn w:val="Predvolenpsmoodseku"/>
    <w:rsid w:val="00942ECA"/>
  </w:style>
  <w:style w:type="paragraph" w:customStyle="1" w:styleId="Hlavika1">
    <w:name w:val="Hlavička1"/>
    <w:basedOn w:val="Normlny"/>
    <w:autoRedefine/>
    <w:rsid w:val="00164810"/>
    <w:rPr>
      <w:bCs/>
      <w:sz w:val="18"/>
    </w:rPr>
  </w:style>
  <w:style w:type="character" w:styleId="Hypertextovprepojenie">
    <w:name w:val="Hyperlink"/>
    <w:rsid w:val="00942ECA"/>
    <w:rPr>
      <w:color w:val="0000FF"/>
      <w:u w:val="single"/>
    </w:rPr>
  </w:style>
  <w:style w:type="paragraph" w:styleId="Pta">
    <w:name w:val="footer"/>
    <w:basedOn w:val="Normlny"/>
    <w:link w:val="PtaChar"/>
    <w:uiPriority w:val="99"/>
    <w:rsid w:val="00942ECA"/>
    <w:pPr>
      <w:tabs>
        <w:tab w:val="center" w:pos="4153"/>
        <w:tab w:val="right" w:pos="8306"/>
      </w:tabs>
    </w:pPr>
    <w:rPr>
      <w:lang w:val="x-none" w:eastAsia="sk-SK"/>
    </w:rPr>
  </w:style>
  <w:style w:type="character" w:customStyle="1" w:styleId="PtaChar">
    <w:name w:val="Päta Char"/>
    <w:link w:val="Pta"/>
    <w:uiPriority w:val="99"/>
    <w:rsid w:val="00942ECA"/>
    <w:rPr>
      <w:rFonts w:ascii="Times New Roman" w:hAnsi="Times New Roman"/>
      <w:sz w:val="22"/>
      <w:szCs w:val="24"/>
      <w:lang w:eastAsia="sk-SK"/>
    </w:rPr>
  </w:style>
  <w:style w:type="paragraph" w:customStyle="1" w:styleId="SPCaPILhlavika">
    <w:name w:val="SPC a PIL hlavička"/>
    <w:basedOn w:val="Normlny"/>
    <w:autoRedefine/>
    <w:qFormat/>
    <w:rsid w:val="00755B95"/>
    <w:pPr>
      <w:spacing w:before="240" w:after="120"/>
      <w:jc w:val="center"/>
    </w:pPr>
    <w:rPr>
      <w:b/>
      <w:szCs w:val="22"/>
    </w:rPr>
  </w:style>
  <w:style w:type="character" w:customStyle="1" w:styleId="Bacil">
    <w:name w:val="Bacil"/>
    <w:qFormat/>
    <w:rsid w:val="00A72EBA"/>
    <w:rPr>
      <w:i/>
    </w:rPr>
  </w:style>
  <w:style w:type="paragraph" w:customStyle="1" w:styleId="Odrky2">
    <w:name w:val="Odrážky 2"/>
    <w:basedOn w:val="Normlndoblokusodrkami"/>
    <w:autoRedefine/>
    <w:qFormat/>
    <w:rsid w:val="00A72EBA"/>
    <w:pPr>
      <w:numPr>
        <w:numId w:val="30"/>
      </w:numPr>
    </w:pPr>
  </w:style>
  <w:style w:type="character" w:customStyle="1" w:styleId="atn">
    <w:name w:val="atn"/>
    <w:rsid w:val="00A72EBA"/>
  </w:style>
  <w:style w:type="paragraph" w:customStyle="1" w:styleId="Default">
    <w:name w:val="Default"/>
    <w:rsid w:val="00A72EBA"/>
    <w:pPr>
      <w:autoSpaceDE w:val="0"/>
      <w:autoSpaceDN w:val="0"/>
      <w:adjustRightInd w:val="0"/>
    </w:pPr>
    <w:rPr>
      <w:color w:val="000000"/>
      <w:sz w:val="24"/>
      <w:szCs w:val="24"/>
    </w:rPr>
  </w:style>
  <w:style w:type="paragraph" w:customStyle="1" w:styleId="Tabulkynormlndoblokuzarovnndoleva">
    <w:name w:val="Tabulky = normální do bloku + zarovnání doleva"/>
    <w:basedOn w:val="Normlndobloku"/>
    <w:autoRedefine/>
    <w:rsid w:val="00A72EBA"/>
    <w:rPr>
      <w:rFonts w:ascii="TimesNewRoman" w:hAnsi="TimesNewRoman"/>
    </w:rPr>
  </w:style>
  <w:style w:type="paragraph" w:customStyle="1" w:styleId="Nadpisuvnittabulky">
    <w:name w:val="Nadpis uvnitř tabulky"/>
    <w:basedOn w:val="Tabulkynormlndoblokuzarovnndoleva"/>
    <w:autoRedefine/>
    <w:qFormat/>
    <w:rsid w:val="00A72EBA"/>
    <w:pPr>
      <w:spacing w:before="120"/>
    </w:pPr>
    <w:rPr>
      <w:b/>
    </w:rPr>
  </w:style>
  <w:style w:type="paragraph" w:styleId="Nzov">
    <w:name w:val="Title"/>
    <w:basedOn w:val="Normlny"/>
    <w:link w:val="NzovChar"/>
    <w:qFormat/>
    <w:rsid w:val="00A72EBA"/>
    <w:pPr>
      <w:spacing w:before="240" w:after="60"/>
      <w:jc w:val="center"/>
      <w:outlineLvl w:val="0"/>
    </w:pPr>
    <w:rPr>
      <w:rFonts w:ascii="Arial" w:hAnsi="Arial"/>
      <w:b/>
      <w:bCs/>
      <w:kern w:val="28"/>
      <w:sz w:val="32"/>
      <w:szCs w:val="32"/>
    </w:rPr>
  </w:style>
  <w:style w:type="character" w:customStyle="1" w:styleId="NzovChar">
    <w:name w:val="Názov Char"/>
    <w:link w:val="Nzov"/>
    <w:rsid w:val="00A72EBA"/>
    <w:rPr>
      <w:rFonts w:ascii="Arial" w:hAnsi="Arial" w:cs="Arial"/>
      <w:b/>
      <w:bCs/>
      <w:kern w:val="28"/>
      <w:sz w:val="32"/>
      <w:szCs w:val="32"/>
      <w:lang w:val="el-GR" w:eastAsia="el-GR"/>
    </w:rPr>
  </w:style>
  <w:style w:type="character" w:styleId="Odkaznakomentr">
    <w:name w:val="annotation reference"/>
    <w:uiPriority w:val="99"/>
    <w:unhideWhenUsed/>
    <w:rsid w:val="00A72EBA"/>
    <w:rPr>
      <w:sz w:val="16"/>
      <w:szCs w:val="16"/>
    </w:rPr>
  </w:style>
  <w:style w:type="paragraph" w:styleId="Textkomentra">
    <w:name w:val="annotation text"/>
    <w:basedOn w:val="Normlny"/>
    <w:link w:val="TextkomentraChar"/>
    <w:uiPriority w:val="99"/>
    <w:unhideWhenUsed/>
    <w:rsid w:val="00A72EBA"/>
    <w:rPr>
      <w:sz w:val="20"/>
      <w:szCs w:val="20"/>
    </w:rPr>
  </w:style>
  <w:style w:type="character" w:customStyle="1" w:styleId="TextkomentraChar">
    <w:name w:val="Text komentára Char"/>
    <w:link w:val="Textkomentra"/>
    <w:uiPriority w:val="99"/>
    <w:rsid w:val="00A72EBA"/>
    <w:rPr>
      <w:lang w:val="el-GR" w:eastAsia="el-GR"/>
    </w:rPr>
  </w:style>
  <w:style w:type="paragraph" w:styleId="Predmetkomentra">
    <w:name w:val="annotation subject"/>
    <w:basedOn w:val="Textkomentra"/>
    <w:next w:val="Textkomentra"/>
    <w:link w:val="PredmetkomentraChar"/>
    <w:uiPriority w:val="99"/>
    <w:rsid w:val="00A72EBA"/>
    <w:pPr>
      <w:spacing w:after="200"/>
    </w:pPr>
    <w:rPr>
      <w:rFonts w:ascii="Calibri" w:hAnsi="Calibri"/>
      <w:b/>
      <w:bCs/>
      <w:lang w:val="en-GB"/>
    </w:rPr>
  </w:style>
  <w:style w:type="character" w:customStyle="1" w:styleId="PredmetkomentraChar">
    <w:name w:val="Predmet komentára Char"/>
    <w:link w:val="Predmetkomentra"/>
    <w:uiPriority w:val="99"/>
    <w:rsid w:val="00A72EBA"/>
    <w:rPr>
      <w:rFonts w:ascii="Calibri" w:hAnsi="Calibri"/>
      <w:b/>
      <w:bCs/>
      <w:lang w:val="en-GB" w:eastAsia="el-GR"/>
    </w:rPr>
  </w:style>
  <w:style w:type="paragraph" w:customStyle="1" w:styleId="SPCnadpis">
    <w:name w:val="SPC nadpis"/>
    <w:basedOn w:val="Nadpis1"/>
    <w:rsid w:val="00A72EBA"/>
    <w:pPr>
      <w:keepNext w:val="0"/>
      <w:keepLines/>
      <w:spacing w:before="480" w:after="120"/>
      <w:ind w:left="357" w:hanging="357"/>
    </w:pPr>
    <w:rPr>
      <w:bCs/>
      <w:color w:val="365F91"/>
      <w:sz w:val="22"/>
      <w:szCs w:val="28"/>
    </w:rPr>
  </w:style>
  <w:style w:type="paragraph" w:customStyle="1" w:styleId="Styl2PIL">
    <w:name w:val="Styl2 PIL"/>
    <w:basedOn w:val="Normlny"/>
    <w:autoRedefine/>
    <w:rsid w:val="00A72EBA"/>
    <w:pPr>
      <w:keepNext/>
      <w:spacing w:before="240" w:after="120"/>
    </w:pPr>
    <w:rPr>
      <w:b/>
      <w:bCs/>
    </w:rPr>
  </w:style>
  <w:style w:type="paragraph" w:styleId="Textbubliny">
    <w:name w:val="Balloon Text"/>
    <w:basedOn w:val="Normlny"/>
    <w:link w:val="TextbublinyChar"/>
    <w:uiPriority w:val="99"/>
    <w:semiHidden/>
    <w:unhideWhenUsed/>
    <w:rsid w:val="00A72EBA"/>
    <w:rPr>
      <w:rFonts w:ascii="Tahoma" w:hAnsi="Tahoma"/>
      <w:sz w:val="16"/>
      <w:szCs w:val="16"/>
    </w:rPr>
  </w:style>
  <w:style w:type="character" w:customStyle="1" w:styleId="TextbublinyChar">
    <w:name w:val="Text bubliny Char"/>
    <w:link w:val="Textbubliny"/>
    <w:uiPriority w:val="99"/>
    <w:semiHidden/>
    <w:rsid w:val="00A72EBA"/>
    <w:rPr>
      <w:rFonts w:ascii="Tahoma" w:hAnsi="Tahoma" w:cs="Tahoma"/>
      <w:sz w:val="16"/>
      <w:szCs w:val="16"/>
      <w:lang w:val="el-GR" w:eastAsia="el-GR"/>
    </w:rPr>
  </w:style>
  <w:style w:type="paragraph" w:styleId="Hlavika">
    <w:name w:val="header"/>
    <w:basedOn w:val="Normlny"/>
    <w:link w:val="HlavikaChar"/>
    <w:uiPriority w:val="99"/>
    <w:unhideWhenUsed/>
    <w:rsid w:val="00A72EBA"/>
    <w:pPr>
      <w:tabs>
        <w:tab w:val="center" w:pos="4536"/>
        <w:tab w:val="right" w:pos="9072"/>
      </w:tabs>
    </w:pPr>
  </w:style>
  <w:style w:type="character" w:customStyle="1" w:styleId="HlavikaChar">
    <w:name w:val="Hlavička Char"/>
    <w:link w:val="Hlavika"/>
    <w:uiPriority w:val="99"/>
    <w:rsid w:val="00A72EBA"/>
    <w:rPr>
      <w:sz w:val="22"/>
      <w:szCs w:val="24"/>
      <w:lang w:val="el-GR" w:eastAsia="el-GR"/>
    </w:rPr>
  </w:style>
  <w:style w:type="paragraph" w:customStyle="1" w:styleId="Styl1PIL">
    <w:name w:val="Styl1 PIL"/>
    <w:basedOn w:val="Normlny"/>
    <w:autoRedefine/>
    <w:rsid w:val="00A72EBA"/>
    <w:pPr>
      <w:keepNext/>
      <w:tabs>
        <w:tab w:val="num" w:pos="360"/>
      </w:tabs>
      <w:spacing w:before="360" w:after="240"/>
      <w:ind w:left="360" w:hanging="360"/>
    </w:pPr>
    <w:rPr>
      <w:b/>
      <w:bCs/>
    </w:rPr>
  </w:style>
  <w:style w:type="paragraph" w:styleId="AdresaHTML">
    <w:name w:val="HTML Address"/>
    <w:basedOn w:val="Normlny"/>
    <w:link w:val="AdresaHTMLChar"/>
    <w:uiPriority w:val="99"/>
    <w:unhideWhenUsed/>
    <w:rsid w:val="00A72EBA"/>
    <w:rPr>
      <w:i/>
      <w:iCs/>
    </w:rPr>
  </w:style>
  <w:style w:type="character" w:customStyle="1" w:styleId="AdresaHTMLChar">
    <w:name w:val="Adresa HTML Char"/>
    <w:link w:val="AdresaHTML"/>
    <w:uiPriority w:val="99"/>
    <w:rsid w:val="00A72EBA"/>
    <w:rPr>
      <w:i/>
      <w:iCs/>
      <w:sz w:val="22"/>
      <w:szCs w:val="24"/>
      <w:lang w:val="el-GR" w:eastAsia="el-GR"/>
    </w:rPr>
  </w:style>
  <w:style w:type="character" w:customStyle="1" w:styleId="Styl1Char">
    <w:name w:val="Styl1 Char"/>
    <w:link w:val="Styl1"/>
    <w:rsid w:val="007409F7"/>
    <w:rPr>
      <w:b/>
      <w:bCs/>
      <w:sz w:val="22"/>
      <w:szCs w:val="24"/>
      <w:lang w:val="sk-SK" w:eastAsia="el-GR"/>
    </w:rPr>
  </w:style>
  <w:style w:type="table" w:styleId="Mriekatabuky">
    <w:name w:val="Table Grid"/>
    <w:basedOn w:val="Normlnatabuka"/>
    <w:uiPriority w:val="59"/>
    <w:rsid w:val="00A72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A72EBA"/>
    <w:rPr>
      <w:sz w:val="22"/>
      <w:szCs w:val="24"/>
      <w:lang w:val="el-GR" w:eastAsia="el-GR"/>
    </w:rPr>
  </w:style>
  <w:style w:type="paragraph" w:styleId="Zarkazkladnhotextu">
    <w:name w:val="Body Text Indent"/>
    <w:basedOn w:val="Normlny"/>
    <w:link w:val="ZarkazkladnhotextuChar"/>
    <w:rsid w:val="00A72EBA"/>
    <w:pPr>
      <w:widowControl w:val="0"/>
      <w:ind w:left="426" w:hanging="426"/>
      <w:jc w:val="both"/>
    </w:pPr>
    <w:rPr>
      <w:b/>
      <w:szCs w:val="20"/>
      <w:lang w:val="en-GB" w:eastAsia="x-none"/>
    </w:rPr>
  </w:style>
  <w:style w:type="character" w:customStyle="1" w:styleId="ZarkazkladnhotextuChar">
    <w:name w:val="Zarážka základného textu Char"/>
    <w:link w:val="Zarkazkladnhotextu"/>
    <w:rsid w:val="00A72EBA"/>
    <w:rPr>
      <w:b/>
      <w:sz w:val="22"/>
      <w:lang w:val="en-GB"/>
    </w:rPr>
  </w:style>
  <w:style w:type="paragraph" w:styleId="Zarkazkladnhotextu2">
    <w:name w:val="Body Text Indent 2"/>
    <w:basedOn w:val="Normlny"/>
    <w:link w:val="Zarkazkladnhotextu2Char"/>
    <w:uiPriority w:val="99"/>
    <w:unhideWhenUsed/>
    <w:rsid w:val="00A72EBA"/>
    <w:pPr>
      <w:spacing w:after="120" w:line="480" w:lineRule="auto"/>
      <w:ind w:left="283"/>
    </w:pPr>
  </w:style>
  <w:style w:type="character" w:customStyle="1" w:styleId="Zarkazkladnhotextu2Char">
    <w:name w:val="Zarážka základného textu 2 Char"/>
    <w:link w:val="Zarkazkladnhotextu2"/>
    <w:uiPriority w:val="99"/>
    <w:rsid w:val="00A72EBA"/>
    <w:rPr>
      <w:sz w:val="22"/>
      <w:szCs w:val="24"/>
      <w:lang w:val="el-GR" w:eastAsia="el-GR"/>
    </w:rPr>
  </w:style>
  <w:style w:type="paragraph" w:styleId="Zkladntext">
    <w:name w:val="Body Text"/>
    <w:basedOn w:val="Normlny"/>
    <w:link w:val="ZkladntextChar"/>
    <w:uiPriority w:val="99"/>
    <w:semiHidden/>
    <w:unhideWhenUsed/>
    <w:rsid w:val="00A72EBA"/>
    <w:pPr>
      <w:spacing w:after="120"/>
    </w:pPr>
  </w:style>
  <w:style w:type="character" w:customStyle="1" w:styleId="ZkladntextChar">
    <w:name w:val="Základný text Char"/>
    <w:link w:val="Zkladntext"/>
    <w:uiPriority w:val="99"/>
    <w:semiHidden/>
    <w:rsid w:val="00A72EBA"/>
    <w:rPr>
      <w:sz w:val="22"/>
      <w:szCs w:val="24"/>
      <w:lang w:val="el-GR" w:eastAsia="el-GR"/>
    </w:rPr>
  </w:style>
  <w:style w:type="paragraph" w:styleId="Zkladntext2">
    <w:name w:val="Body Text 2"/>
    <w:basedOn w:val="Normlny"/>
    <w:link w:val="Zkladntext2Char"/>
    <w:uiPriority w:val="99"/>
    <w:semiHidden/>
    <w:unhideWhenUsed/>
    <w:rsid w:val="00A72EBA"/>
    <w:pPr>
      <w:spacing w:after="120" w:line="480" w:lineRule="auto"/>
    </w:pPr>
  </w:style>
  <w:style w:type="character" w:customStyle="1" w:styleId="Zkladntext2Char">
    <w:name w:val="Základný text 2 Char"/>
    <w:link w:val="Zkladntext2"/>
    <w:uiPriority w:val="99"/>
    <w:semiHidden/>
    <w:rsid w:val="00A72EBA"/>
    <w:rPr>
      <w:sz w:val="22"/>
      <w:szCs w:val="24"/>
      <w:lang w:val="el-GR" w:eastAsia="el-GR"/>
    </w:rPr>
  </w:style>
  <w:style w:type="paragraph" w:styleId="Oznaitext">
    <w:name w:val="Block Text"/>
    <w:basedOn w:val="Normlny"/>
    <w:rsid w:val="00A72EBA"/>
    <w:pPr>
      <w:widowControl w:val="0"/>
      <w:ind w:left="426" w:right="-426" w:hanging="426"/>
      <w:jc w:val="both"/>
    </w:pPr>
    <w:rPr>
      <w:sz w:val="24"/>
      <w:szCs w:val="20"/>
      <w:lang w:val="sk-SK" w:eastAsia="en-US"/>
    </w:rPr>
  </w:style>
  <w:style w:type="paragraph" w:customStyle="1" w:styleId="EMEAEnBodyText">
    <w:name w:val="EMEA En Body Text"/>
    <w:basedOn w:val="Normlny"/>
    <w:rsid w:val="00A72EBA"/>
    <w:pPr>
      <w:spacing w:before="120" w:after="120"/>
      <w:jc w:val="both"/>
    </w:pPr>
    <w:rPr>
      <w:szCs w:val="20"/>
      <w:lang w:val="en-US" w:eastAsia="en-US"/>
    </w:rPr>
  </w:style>
  <w:style w:type="paragraph" w:customStyle="1" w:styleId="Normlnsodrkami">
    <w:name w:val="Normální s odrážkami"/>
    <w:basedOn w:val="Normlny"/>
    <w:rsid w:val="00A72EBA"/>
    <w:pPr>
      <w:numPr>
        <w:numId w:val="33"/>
      </w:numPr>
    </w:pPr>
    <w:rPr>
      <w:rFonts w:eastAsia="Calibri"/>
      <w:szCs w:val="22"/>
      <w:lang w:val="cs-CZ" w:eastAsia="en-US"/>
    </w:rPr>
  </w:style>
  <w:style w:type="paragraph" w:styleId="Zkladntext3">
    <w:name w:val="Body Text 3"/>
    <w:basedOn w:val="Normlny"/>
    <w:link w:val="Zkladntext3Char"/>
    <w:uiPriority w:val="99"/>
    <w:unhideWhenUsed/>
    <w:rsid w:val="00A72EBA"/>
    <w:pPr>
      <w:spacing w:after="120"/>
    </w:pPr>
    <w:rPr>
      <w:sz w:val="16"/>
      <w:szCs w:val="16"/>
    </w:rPr>
  </w:style>
  <w:style w:type="character" w:customStyle="1" w:styleId="Zkladntext3Char">
    <w:name w:val="Základný text 3 Char"/>
    <w:link w:val="Zkladntext3"/>
    <w:uiPriority w:val="99"/>
    <w:rsid w:val="00A72EBA"/>
    <w:rPr>
      <w:sz w:val="16"/>
      <w:szCs w:val="16"/>
      <w:lang w:val="el-GR" w:eastAsia="el-GR"/>
    </w:rPr>
  </w:style>
  <w:style w:type="character" w:customStyle="1" w:styleId="st1">
    <w:name w:val="st1"/>
    <w:basedOn w:val="Predvolenpsmoodseku"/>
    <w:rsid w:val="00A72EBA"/>
  </w:style>
  <w:style w:type="character" w:styleId="Zvraznenie">
    <w:name w:val="Emphasis"/>
    <w:uiPriority w:val="20"/>
    <w:qFormat/>
    <w:rsid w:val="00A72EBA"/>
    <w:rPr>
      <w:b/>
      <w:bCs/>
      <w:i w:val="0"/>
      <w:iCs w:val="0"/>
    </w:rPr>
  </w:style>
  <w:style w:type="paragraph" w:customStyle="1" w:styleId="Styl5">
    <w:name w:val="Styl5"/>
    <w:basedOn w:val="Styl4"/>
    <w:next w:val="Normlndobloku"/>
    <w:link w:val="Styl5Char"/>
    <w:qFormat/>
    <w:rsid w:val="004055F6"/>
    <w:pPr>
      <w:keepNext/>
    </w:pPr>
    <w:rPr>
      <w:b/>
    </w:rPr>
  </w:style>
  <w:style w:type="character" w:customStyle="1" w:styleId="Styl5Char">
    <w:name w:val="Styl5 Char"/>
    <w:link w:val="Styl5"/>
    <w:rsid w:val="004055F6"/>
    <w:rPr>
      <w:rFonts w:ascii="Times" w:eastAsia="Calibri" w:hAnsi="Times"/>
      <w:b/>
      <w:i/>
      <w:sz w:val="22"/>
      <w:szCs w:val="24"/>
      <w:lang w:val="sk-SK" w:eastAsia="el-GR"/>
    </w:rPr>
  </w:style>
  <w:style w:type="paragraph" w:styleId="Odsekzoznamu">
    <w:name w:val="List Paragraph"/>
    <w:basedOn w:val="Normlny"/>
    <w:uiPriority w:val="34"/>
    <w:qFormat/>
    <w:rsid w:val="00707D18"/>
    <w:pPr>
      <w:ind w:left="720"/>
      <w:contextualSpacing/>
    </w:pPr>
  </w:style>
  <w:style w:type="character" w:customStyle="1" w:styleId="alt-edited">
    <w:name w:val="alt-edited"/>
    <w:basedOn w:val="Predvolenpsmoodseku"/>
    <w:rsid w:val="00864D38"/>
  </w:style>
  <w:style w:type="paragraph" w:styleId="Normlnywebov">
    <w:name w:val="Normal (Web)"/>
    <w:basedOn w:val="Normlny"/>
    <w:uiPriority w:val="99"/>
    <w:semiHidden/>
    <w:unhideWhenUsed/>
    <w:rsid w:val="008F2638"/>
    <w:pPr>
      <w:spacing w:before="100" w:beforeAutospacing="1" w:after="100" w:afterAutospacing="1"/>
    </w:pPr>
    <w:rPr>
      <w:sz w:val="24"/>
      <w:lang w:val="sk-SK" w:eastAsia="sk-SK"/>
    </w:rPr>
  </w:style>
  <w:style w:type="character" w:styleId="Siln">
    <w:name w:val="Strong"/>
    <w:uiPriority w:val="22"/>
    <w:qFormat/>
    <w:rsid w:val="00C073ED"/>
    <w:rPr>
      <w:b/>
      <w:bCs/>
    </w:rPr>
  </w:style>
  <w:style w:type="paragraph" w:customStyle="1" w:styleId="StylNormlndoblokuKurzva">
    <w:name w:val="Styl Normální do bloku + Kurzíva"/>
    <w:basedOn w:val="Normlndobloku"/>
    <w:rsid w:val="00947B14"/>
    <w:pPr>
      <w:spacing w:before="24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547">
      <w:bodyDiv w:val="1"/>
      <w:marLeft w:val="0"/>
      <w:marRight w:val="0"/>
      <w:marTop w:val="0"/>
      <w:marBottom w:val="0"/>
      <w:divBdr>
        <w:top w:val="none" w:sz="0" w:space="0" w:color="auto"/>
        <w:left w:val="none" w:sz="0" w:space="0" w:color="auto"/>
        <w:bottom w:val="none" w:sz="0" w:space="0" w:color="auto"/>
        <w:right w:val="none" w:sz="0" w:space="0" w:color="auto"/>
      </w:divBdr>
    </w:div>
    <w:div w:id="25645248">
      <w:bodyDiv w:val="1"/>
      <w:marLeft w:val="0"/>
      <w:marRight w:val="0"/>
      <w:marTop w:val="0"/>
      <w:marBottom w:val="0"/>
      <w:divBdr>
        <w:top w:val="none" w:sz="0" w:space="0" w:color="auto"/>
        <w:left w:val="none" w:sz="0" w:space="0" w:color="auto"/>
        <w:bottom w:val="none" w:sz="0" w:space="0" w:color="auto"/>
        <w:right w:val="none" w:sz="0" w:space="0" w:color="auto"/>
      </w:divBdr>
    </w:div>
    <w:div w:id="111638450">
      <w:bodyDiv w:val="1"/>
      <w:marLeft w:val="0"/>
      <w:marRight w:val="0"/>
      <w:marTop w:val="0"/>
      <w:marBottom w:val="0"/>
      <w:divBdr>
        <w:top w:val="none" w:sz="0" w:space="0" w:color="auto"/>
        <w:left w:val="none" w:sz="0" w:space="0" w:color="auto"/>
        <w:bottom w:val="none" w:sz="0" w:space="0" w:color="auto"/>
        <w:right w:val="none" w:sz="0" w:space="0" w:color="auto"/>
      </w:divBdr>
    </w:div>
    <w:div w:id="255865037">
      <w:bodyDiv w:val="1"/>
      <w:marLeft w:val="0"/>
      <w:marRight w:val="0"/>
      <w:marTop w:val="0"/>
      <w:marBottom w:val="0"/>
      <w:divBdr>
        <w:top w:val="none" w:sz="0" w:space="0" w:color="auto"/>
        <w:left w:val="none" w:sz="0" w:space="0" w:color="auto"/>
        <w:bottom w:val="none" w:sz="0" w:space="0" w:color="auto"/>
        <w:right w:val="none" w:sz="0" w:space="0" w:color="auto"/>
      </w:divBdr>
    </w:div>
    <w:div w:id="269975108">
      <w:bodyDiv w:val="1"/>
      <w:marLeft w:val="0"/>
      <w:marRight w:val="0"/>
      <w:marTop w:val="0"/>
      <w:marBottom w:val="0"/>
      <w:divBdr>
        <w:top w:val="none" w:sz="0" w:space="0" w:color="auto"/>
        <w:left w:val="none" w:sz="0" w:space="0" w:color="auto"/>
        <w:bottom w:val="none" w:sz="0" w:space="0" w:color="auto"/>
        <w:right w:val="none" w:sz="0" w:space="0" w:color="auto"/>
      </w:divBdr>
      <w:divsChild>
        <w:div w:id="58948034">
          <w:marLeft w:val="0"/>
          <w:marRight w:val="0"/>
          <w:marTop w:val="0"/>
          <w:marBottom w:val="0"/>
          <w:divBdr>
            <w:top w:val="none" w:sz="0" w:space="0" w:color="auto"/>
            <w:left w:val="none" w:sz="0" w:space="0" w:color="auto"/>
            <w:bottom w:val="none" w:sz="0" w:space="0" w:color="auto"/>
            <w:right w:val="none" w:sz="0" w:space="0" w:color="auto"/>
          </w:divBdr>
        </w:div>
        <w:div w:id="586809734">
          <w:marLeft w:val="0"/>
          <w:marRight w:val="0"/>
          <w:marTop w:val="0"/>
          <w:marBottom w:val="0"/>
          <w:divBdr>
            <w:top w:val="none" w:sz="0" w:space="0" w:color="auto"/>
            <w:left w:val="none" w:sz="0" w:space="0" w:color="auto"/>
            <w:bottom w:val="none" w:sz="0" w:space="0" w:color="auto"/>
            <w:right w:val="none" w:sz="0" w:space="0" w:color="auto"/>
          </w:divBdr>
        </w:div>
        <w:div w:id="702487497">
          <w:marLeft w:val="0"/>
          <w:marRight w:val="0"/>
          <w:marTop w:val="0"/>
          <w:marBottom w:val="0"/>
          <w:divBdr>
            <w:top w:val="none" w:sz="0" w:space="0" w:color="auto"/>
            <w:left w:val="none" w:sz="0" w:space="0" w:color="auto"/>
            <w:bottom w:val="none" w:sz="0" w:space="0" w:color="auto"/>
            <w:right w:val="none" w:sz="0" w:space="0" w:color="auto"/>
          </w:divBdr>
        </w:div>
        <w:div w:id="888803524">
          <w:marLeft w:val="0"/>
          <w:marRight w:val="0"/>
          <w:marTop w:val="0"/>
          <w:marBottom w:val="0"/>
          <w:divBdr>
            <w:top w:val="none" w:sz="0" w:space="0" w:color="auto"/>
            <w:left w:val="none" w:sz="0" w:space="0" w:color="auto"/>
            <w:bottom w:val="none" w:sz="0" w:space="0" w:color="auto"/>
            <w:right w:val="none" w:sz="0" w:space="0" w:color="auto"/>
          </w:divBdr>
        </w:div>
        <w:div w:id="1028022748">
          <w:marLeft w:val="0"/>
          <w:marRight w:val="0"/>
          <w:marTop w:val="0"/>
          <w:marBottom w:val="0"/>
          <w:divBdr>
            <w:top w:val="none" w:sz="0" w:space="0" w:color="auto"/>
            <w:left w:val="none" w:sz="0" w:space="0" w:color="auto"/>
            <w:bottom w:val="none" w:sz="0" w:space="0" w:color="auto"/>
            <w:right w:val="none" w:sz="0" w:space="0" w:color="auto"/>
          </w:divBdr>
        </w:div>
        <w:div w:id="1207180353">
          <w:marLeft w:val="0"/>
          <w:marRight w:val="0"/>
          <w:marTop w:val="0"/>
          <w:marBottom w:val="0"/>
          <w:divBdr>
            <w:top w:val="none" w:sz="0" w:space="0" w:color="auto"/>
            <w:left w:val="none" w:sz="0" w:space="0" w:color="auto"/>
            <w:bottom w:val="none" w:sz="0" w:space="0" w:color="auto"/>
            <w:right w:val="none" w:sz="0" w:space="0" w:color="auto"/>
          </w:divBdr>
        </w:div>
        <w:div w:id="1269967215">
          <w:marLeft w:val="0"/>
          <w:marRight w:val="0"/>
          <w:marTop w:val="0"/>
          <w:marBottom w:val="0"/>
          <w:divBdr>
            <w:top w:val="none" w:sz="0" w:space="0" w:color="auto"/>
            <w:left w:val="none" w:sz="0" w:space="0" w:color="auto"/>
            <w:bottom w:val="none" w:sz="0" w:space="0" w:color="auto"/>
            <w:right w:val="none" w:sz="0" w:space="0" w:color="auto"/>
          </w:divBdr>
        </w:div>
        <w:div w:id="1344816857">
          <w:marLeft w:val="0"/>
          <w:marRight w:val="0"/>
          <w:marTop w:val="0"/>
          <w:marBottom w:val="0"/>
          <w:divBdr>
            <w:top w:val="none" w:sz="0" w:space="0" w:color="auto"/>
            <w:left w:val="none" w:sz="0" w:space="0" w:color="auto"/>
            <w:bottom w:val="none" w:sz="0" w:space="0" w:color="auto"/>
            <w:right w:val="none" w:sz="0" w:space="0" w:color="auto"/>
          </w:divBdr>
        </w:div>
        <w:div w:id="1444959668">
          <w:marLeft w:val="0"/>
          <w:marRight w:val="0"/>
          <w:marTop w:val="0"/>
          <w:marBottom w:val="0"/>
          <w:divBdr>
            <w:top w:val="none" w:sz="0" w:space="0" w:color="auto"/>
            <w:left w:val="none" w:sz="0" w:space="0" w:color="auto"/>
            <w:bottom w:val="none" w:sz="0" w:space="0" w:color="auto"/>
            <w:right w:val="none" w:sz="0" w:space="0" w:color="auto"/>
          </w:divBdr>
        </w:div>
        <w:div w:id="1564831827">
          <w:marLeft w:val="0"/>
          <w:marRight w:val="0"/>
          <w:marTop w:val="0"/>
          <w:marBottom w:val="0"/>
          <w:divBdr>
            <w:top w:val="none" w:sz="0" w:space="0" w:color="auto"/>
            <w:left w:val="none" w:sz="0" w:space="0" w:color="auto"/>
            <w:bottom w:val="none" w:sz="0" w:space="0" w:color="auto"/>
            <w:right w:val="none" w:sz="0" w:space="0" w:color="auto"/>
          </w:divBdr>
        </w:div>
        <w:div w:id="1929342019">
          <w:marLeft w:val="0"/>
          <w:marRight w:val="0"/>
          <w:marTop w:val="0"/>
          <w:marBottom w:val="0"/>
          <w:divBdr>
            <w:top w:val="none" w:sz="0" w:space="0" w:color="auto"/>
            <w:left w:val="none" w:sz="0" w:space="0" w:color="auto"/>
            <w:bottom w:val="none" w:sz="0" w:space="0" w:color="auto"/>
            <w:right w:val="none" w:sz="0" w:space="0" w:color="auto"/>
          </w:divBdr>
        </w:div>
        <w:div w:id="2018774348">
          <w:marLeft w:val="0"/>
          <w:marRight w:val="0"/>
          <w:marTop w:val="0"/>
          <w:marBottom w:val="0"/>
          <w:divBdr>
            <w:top w:val="none" w:sz="0" w:space="0" w:color="auto"/>
            <w:left w:val="none" w:sz="0" w:space="0" w:color="auto"/>
            <w:bottom w:val="none" w:sz="0" w:space="0" w:color="auto"/>
            <w:right w:val="none" w:sz="0" w:space="0" w:color="auto"/>
          </w:divBdr>
        </w:div>
        <w:div w:id="2053458114">
          <w:marLeft w:val="0"/>
          <w:marRight w:val="0"/>
          <w:marTop w:val="0"/>
          <w:marBottom w:val="0"/>
          <w:divBdr>
            <w:top w:val="none" w:sz="0" w:space="0" w:color="auto"/>
            <w:left w:val="none" w:sz="0" w:space="0" w:color="auto"/>
            <w:bottom w:val="none" w:sz="0" w:space="0" w:color="auto"/>
            <w:right w:val="none" w:sz="0" w:space="0" w:color="auto"/>
          </w:divBdr>
        </w:div>
        <w:div w:id="2094235565">
          <w:marLeft w:val="0"/>
          <w:marRight w:val="0"/>
          <w:marTop w:val="0"/>
          <w:marBottom w:val="0"/>
          <w:divBdr>
            <w:top w:val="none" w:sz="0" w:space="0" w:color="auto"/>
            <w:left w:val="none" w:sz="0" w:space="0" w:color="auto"/>
            <w:bottom w:val="none" w:sz="0" w:space="0" w:color="auto"/>
            <w:right w:val="none" w:sz="0" w:space="0" w:color="auto"/>
          </w:divBdr>
        </w:div>
      </w:divsChild>
    </w:div>
    <w:div w:id="310787977">
      <w:bodyDiv w:val="1"/>
      <w:marLeft w:val="0"/>
      <w:marRight w:val="0"/>
      <w:marTop w:val="0"/>
      <w:marBottom w:val="0"/>
      <w:divBdr>
        <w:top w:val="none" w:sz="0" w:space="0" w:color="auto"/>
        <w:left w:val="none" w:sz="0" w:space="0" w:color="auto"/>
        <w:bottom w:val="none" w:sz="0" w:space="0" w:color="auto"/>
        <w:right w:val="none" w:sz="0" w:space="0" w:color="auto"/>
      </w:divBdr>
      <w:divsChild>
        <w:div w:id="100343214">
          <w:marLeft w:val="0"/>
          <w:marRight w:val="0"/>
          <w:marTop w:val="0"/>
          <w:marBottom w:val="0"/>
          <w:divBdr>
            <w:top w:val="none" w:sz="0" w:space="0" w:color="auto"/>
            <w:left w:val="none" w:sz="0" w:space="0" w:color="auto"/>
            <w:bottom w:val="none" w:sz="0" w:space="0" w:color="auto"/>
            <w:right w:val="none" w:sz="0" w:space="0" w:color="auto"/>
          </w:divBdr>
        </w:div>
        <w:div w:id="173693581">
          <w:marLeft w:val="0"/>
          <w:marRight w:val="0"/>
          <w:marTop w:val="0"/>
          <w:marBottom w:val="0"/>
          <w:divBdr>
            <w:top w:val="none" w:sz="0" w:space="0" w:color="auto"/>
            <w:left w:val="none" w:sz="0" w:space="0" w:color="auto"/>
            <w:bottom w:val="none" w:sz="0" w:space="0" w:color="auto"/>
            <w:right w:val="none" w:sz="0" w:space="0" w:color="auto"/>
          </w:divBdr>
        </w:div>
        <w:div w:id="214202150">
          <w:marLeft w:val="0"/>
          <w:marRight w:val="0"/>
          <w:marTop w:val="0"/>
          <w:marBottom w:val="0"/>
          <w:divBdr>
            <w:top w:val="none" w:sz="0" w:space="0" w:color="auto"/>
            <w:left w:val="none" w:sz="0" w:space="0" w:color="auto"/>
            <w:bottom w:val="none" w:sz="0" w:space="0" w:color="auto"/>
            <w:right w:val="none" w:sz="0" w:space="0" w:color="auto"/>
          </w:divBdr>
        </w:div>
        <w:div w:id="402218303">
          <w:marLeft w:val="0"/>
          <w:marRight w:val="0"/>
          <w:marTop w:val="0"/>
          <w:marBottom w:val="0"/>
          <w:divBdr>
            <w:top w:val="none" w:sz="0" w:space="0" w:color="auto"/>
            <w:left w:val="none" w:sz="0" w:space="0" w:color="auto"/>
            <w:bottom w:val="none" w:sz="0" w:space="0" w:color="auto"/>
            <w:right w:val="none" w:sz="0" w:space="0" w:color="auto"/>
          </w:divBdr>
        </w:div>
        <w:div w:id="715273480">
          <w:marLeft w:val="0"/>
          <w:marRight w:val="0"/>
          <w:marTop w:val="0"/>
          <w:marBottom w:val="0"/>
          <w:divBdr>
            <w:top w:val="none" w:sz="0" w:space="0" w:color="auto"/>
            <w:left w:val="none" w:sz="0" w:space="0" w:color="auto"/>
            <w:bottom w:val="none" w:sz="0" w:space="0" w:color="auto"/>
            <w:right w:val="none" w:sz="0" w:space="0" w:color="auto"/>
          </w:divBdr>
        </w:div>
        <w:div w:id="818229538">
          <w:marLeft w:val="0"/>
          <w:marRight w:val="0"/>
          <w:marTop w:val="0"/>
          <w:marBottom w:val="0"/>
          <w:divBdr>
            <w:top w:val="none" w:sz="0" w:space="0" w:color="auto"/>
            <w:left w:val="none" w:sz="0" w:space="0" w:color="auto"/>
            <w:bottom w:val="none" w:sz="0" w:space="0" w:color="auto"/>
            <w:right w:val="none" w:sz="0" w:space="0" w:color="auto"/>
          </w:divBdr>
        </w:div>
        <w:div w:id="961038705">
          <w:marLeft w:val="0"/>
          <w:marRight w:val="0"/>
          <w:marTop w:val="0"/>
          <w:marBottom w:val="0"/>
          <w:divBdr>
            <w:top w:val="none" w:sz="0" w:space="0" w:color="auto"/>
            <w:left w:val="none" w:sz="0" w:space="0" w:color="auto"/>
            <w:bottom w:val="none" w:sz="0" w:space="0" w:color="auto"/>
            <w:right w:val="none" w:sz="0" w:space="0" w:color="auto"/>
          </w:divBdr>
        </w:div>
        <w:div w:id="1420252409">
          <w:marLeft w:val="0"/>
          <w:marRight w:val="0"/>
          <w:marTop w:val="0"/>
          <w:marBottom w:val="0"/>
          <w:divBdr>
            <w:top w:val="none" w:sz="0" w:space="0" w:color="auto"/>
            <w:left w:val="none" w:sz="0" w:space="0" w:color="auto"/>
            <w:bottom w:val="none" w:sz="0" w:space="0" w:color="auto"/>
            <w:right w:val="none" w:sz="0" w:space="0" w:color="auto"/>
          </w:divBdr>
        </w:div>
        <w:div w:id="1867327804">
          <w:marLeft w:val="0"/>
          <w:marRight w:val="0"/>
          <w:marTop w:val="0"/>
          <w:marBottom w:val="0"/>
          <w:divBdr>
            <w:top w:val="none" w:sz="0" w:space="0" w:color="auto"/>
            <w:left w:val="none" w:sz="0" w:space="0" w:color="auto"/>
            <w:bottom w:val="none" w:sz="0" w:space="0" w:color="auto"/>
            <w:right w:val="none" w:sz="0" w:space="0" w:color="auto"/>
          </w:divBdr>
        </w:div>
        <w:div w:id="1930117926">
          <w:marLeft w:val="0"/>
          <w:marRight w:val="0"/>
          <w:marTop w:val="0"/>
          <w:marBottom w:val="0"/>
          <w:divBdr>
            <w:top w:val="none" w:sz="0" w:space="0" w:color="auto"/>
            <w:left w:val="none" w:sz="0" w:space="0" w:color="auto"/>
            <w:bottom w:val="none" w:sz="0" w:space="0" w:color="auto"/>
            <w:right w:val="none" w:sz="0" w:space="0" w:color="auto"/>
          </w:divBdr>
        </w:div>
        <w:div w:id="2021658693">
          <w:marLeft w:val="0"/>
          <w:marRight w:val="0"/>
          <w:marTop w:val="0"/>
          <w:marBottom w:val="0"/>
          <w:divBdr>
            <w:top w:val="none" w:sz="0" w:space="0" w:color="auto"/>
            <w:left w:val="none" w:sz="0" w:space="0" w:color="auto"/>
            <w:bottom w:val="none" w:sz="0" w:space="0" w:color="auto"/>
            <w:right w:val="none" w:sz="0" w:space="0" w:color="auto"/>
          </w:divBdr>
        </w:div>
        <w:div w:id="2042245507">
          <w:marLeft w:val="0"/>
          <w:marRight w:val="0"/>
          <w:marTop w:val="0"/>
          <w:marBottom w:val="0"/>
          <w:divBdr>
            <w:top w:val="none" w:sz="0" w:space="0" w:color="auto"/>
            <w:left w:val="none" w:sz="0" w:space="0" w:color="auto"/>
            <w:bottom w:val="none" w:sz="0" w:space="0" w:color="auto"/>
            <w:right w:val="none" w:sz="0" w:space="0" w:color="auto"/>
          </w:divBdr>
        </w:div>
      </w:divsChild>
    </w:div>
    <w:div w:id="315259802">
      <w:bodyDiv w:val="1"/>
      <w:marLeft w:val="0"/>
      <w:marRight w:val="0"/>
      <w:marTop w:val="0"/>
      <w:marBottom w:val="0"/>
      <w:divBdr>
        <w:top w:val="none" w:sz="0" w:space="0" w:color="auto"/>
        <w:left w:val="none" w:sz="0" w:space="0" w:color="auto"/>
        <w:bottom w:val="none" w:sz="0" w:space="0" w:color="auto"/>
        <w:right w:val="none" w:sz="0" w:space="0" w:color="auto"/>
      </w:divBdr>
    </w:div>
    <w:div w:id="396049747">
      <w:bodyDiv w:val="1"/>
      <w:marLeft w:val="0"/>
      <w:marRight w:val="0"/>
      <w:marTop w:val="0"/>
      <w:marBottom w:val="0"/>
      <w:divBdr>
        <w:top w:val="none" w:sz="0" w:space="0" w:color="auto"/>
        <w:left w:val="none" w:sz="0" w:space="0" w:color="auto"/>
        <w:bottom w:val="none" w:sz="0" w:space="0" w:color="auto"/>
        <w:right w:val="none" w:sz="0" w:space="0" w:color="auto"/>
      </w:divBdr>
    </w:div>
    <w:div w:id="424039875">
      <w:bodyDiv w:val="1"/>
      <w:marLeft w:val="0"/>
      <w:marRight w:val="0"/>
      <w:marTop w:val="0"/>
      <w:marBottom w:val="0"/>
      <w:divBdr>
        <w:top w:val="none" w:sz="0" w:space="0" w:color="auto"/>
        <w:left w:val="none" w:sz="0" w:space="0" w:color="auto"/>
        <w:bottom w:val="none" w:sz="0" w:space="0" w:color="auto"/>
        <w:right w:val="none" w:sz="0" w:space="0" w:color="auto"/>
      </w:divBdr>
    </w:div>
    <w:div w:id="446119654">
      <w:bodyDiv w:val="1"/>
      <w:marLeft w:val="0"/>
      <w:marRight w:val="0"/>
      <w:marTop w:val="0"/>
      <w:marBottom w:val="0"/>
      <w:divBdr>
        <w:top w:val="none" w:sz="0" w:space="0" w:color="auto"/>
        <w:left w:val="none" w:sz="0" w:space="0" w:color="auto"/>
        <w:bottom w:val="none" w:sz="0" w:space="0" w:color="auto"/>
        <w:right w:val="none" w:sz="0" w:space="0" w:color="auto"/>
      </w:divBdr>
      <w:divsChild>
        <w:div w:id="97798786">
          <w:marLeft w:val="0"/>
          <w:marRight w:val="0"/>
          <w:marTop w:val="0"/>
          <w:marBottom w:val="0"/>
          <w:divBdr>
            <w:top w:val="none" w:sz="0" w:space="0" w:color="auto"/>
            <w:left w:val="none" w:sz="0" w:space="0" w:color="auto"/>
            <w:bottom w:val="none" w:sz="0" w:space="0" w:color="auto"/>
            <w:right w:val="none" w:sz="0" w:space="0" w:color="auto"/>
          </w:divBdr>
        </w:div>
        <w:div w:id="101150385">
          <w:marLeft w:val="0"/>
          <w:marRight w:val="0"/>
          <w:marTop w:val="0"/>
          <w:marBottom w:val="0"/>
          <w:divBdr>
            <w:top w:val="none" w:sz="0" w:space="0" w:color="auto"/>
            <w:left w:val="none" w:sz="0" w:space="0" w:color="auto"/>
            <w:bottom w:val="none" w:sz="0" w:space="0" w:color="auto"/>
            <w:right w:val="none" w:sz="0" w:space="0" w:color="auto"/>
          </w:divBdr>
        </w:div>
        <w:div w:id="112360756">
          <w:marLeft w:val="0"/>
          <w:marRight w:val="0"/>
          <w:marTop w:val="0"/>
          <w:marBottom w:val="0"/>
          <w:divBdr>
            <w:top w:val="none" w:sz="0" w:space="0" w:color="auto"/>
            <w:left w:val="none" w:sz="0" w:space="0" w:color="auto"/>
            <w:bottom w:val="none" w:sz="0" w:space="0" w:color="auto"/>
            <w:right w:val="none" w:sz="0" w:space="0" w:color="auto"/>
          </w:divBdr>
        </w:div>
        <w:div w:id="114298424">
          <w:marLeft w:val="0"/>
          <w:marRight w:val="0"/>
          <w:marTop w:val="0"/>
          <w:marBottom w:val="0"/>
          <w:divBdr>
            <w:top w:val="none" w:sz="0" w:space="0" w:color="auto"/>
            <w:left w:val="none" w:sz="0" w:space="0" w:color="auto"/>
            <w:bottom w:val="none" w:sz="0" w:space="0" w:color="auto"/>
            <w:right w:val="none" w:sz="0" w:space="0" w:color="auto"/>
          </w:divBdr>
        </w:div>
        <w:div w:id="153450865">
          <w:marLeft w:val="0"/>
          <w:marRight w:val="0"/>
          <w:marTop w:val="0"/>
          <w:marBottom w:val="0"/>
          <w:divBdr>
            <w:top w:val="none" w:sz="0" w:space="0" w:color="auto"/>
            <w:left w:val="none" w:sz="0" w:space="0" w:color="auto"/>
            <w:bottom w:val="none" w:sz="0" w:space="0" w:color="auto"/>
            <w:right w:val="none" w:sz="0" w:space="0" w:color="auto"/>
          </w:divBdr>
        </w:div>
        <w:div w:id="197474546">
          <w:marLeft w:val="0"/>
          <w:marRight w:val="0"/>
          <w:marTop w:val="0"/>
          <w:marBottom w:val="0"/>
          <w:divBdr>
            <w:top w:val="none" w:sz="0" w:space="0" w:color="auto"/>
            <w:left w:val="none" w:sz="0" w:space="0" w:color="auto"/>
            <w:bottom w:val="none" w:sz="0" w:space="0" w:color="auto"/>
            <w:right w:val="none" w:sz="0" w:space="0" w:color="auto"/>
          </w:divBdr>
        </w:div>
        <w:div w:id="322851760">
          <w:marLeft w:val="0"/>
          <w:marRight w:val="0"/>
          <w:marTop w:val="0"/>
          <w:marBottom w:val="0"/>
          <w:divBdr>
            <w:top w:val="none" w:sz="0" w:space="0" w:color="auto"/>
            <w:left w:val="none" w:sz="0" w:space="0" w:color="auto"/>
            <w:bottom w:val="none" w:sz="0" w:space="0" w:color="auto"/>
            <w:right w:val="none" w:sz="0" w:space="0" w:color="auto"/>
          </w:divBdr>
        </w:div>
        <w:div w:id="405154385">
          <w:marLeft w:val="0"/>
          <w:marRight w:val="0"/>
          <w:marTop w:val="0"/>
          <w:marBottom w:val="0"/>
          <w:divBdr>
            <w:top w:val="none" w:sz="0" w:space="0" w:color="auto"/>
            <w:left w:val="none" w:sz="0" w:space="0" w:color="auto"/>
            <w:bottom w:val="none" w:sz="0" w:space="0" w:color="auto"/>
            <w:right w:val="none" w:sz="0" w:space="0" w:color="auto"/>
          </w:divBdr>
        </w:div>
        <w:div w:id="441414115">
          <w:marLeft w:val="0"/>
          <w:marRight w:val="0"/>
          <w:marTop w:val="0"/>
          <w:marBottom w:val="0"/>
          <w:divBdr>
            <w:top w:val="none" w:sz="0" w:space="0" w:color="auto"/>
            <w:left w:val="none" w:sz="0" w:space="0" w:color="auto"/>
            <w:bottom w:val="none" w:sz="0" w:space="0" w:color="auto"/>
            <w:right w:val="none" w:sz="0" w:space="0" w:color="auto"/>
          </w:divBdr>
        </w:div>
        <w:div w:id="451947334">
          <w:marLeft w:val="0"/>
          <w:marRight w:val="0"/>
          <w:marTop w:val="0"/>
          <w:marBottom w:val="0"/>
          <w:divBdr>
            <w:top w:val="none" w:sz="0" w:space="0" w:color="auto"/>
            <w:left w:val="none" w:sz="0" w:space="0" w:color="auto"/>
            <w:bottom w:val="none" w:sz="0" w:space="0" w:color="auto"/>
            <w:right w:val="none" w:sz="0" w:space="0" w:color="auto"/>
          </w:divBdr>
        </w:div>
        <w:div w:id="453410152">
          <w:marLeft w:val="0"/>
          <w:marRight w:val="0"/>
          <w:marTop w:val="0"/>
          <w:marBottom w:val="0"/>
          <w:divBdr>
            <w:top w:val="none" w:sz="0" w:space="0" w:color="auto"/>
            <w:left w:val="none" w:sz="0" w:space="0" w:color="auto"/>
            <w:bottom w:val="none" w:sz="0" w:space="0" w:color="auto"/>
            <w:right w:val="none" w:sz="0" w:space="0" w:color="auto"/>
          </w:divBdr>
        </w:div>
        <w:div w:id="455106568">
          <w:marLeft w:val="0"/>
          <w:marRight w:val="0"/>
          <w:marTop w:val="0"/>
          <w:marBottom w:val="0"/>
          <w:divBdr>
            <w:top w:val="none" w:sz="0" w:space="0" w:color="auto"/>
            <w:left w:val="none" w:sz="0" w:space="0" w:color="auto"/>
            <w:bottom w:val="none" w:sz="0" w:space="0" w:color="auto"/>
            <w:right w:val="none" w:sz="0" w:space="0" w:color="auto"/>
          </w:divBdr>
        </w:div>
        <w:div w:id="528034769">
          <w:marLeft w:val="0"/>
          <w:marRight w:val="0"/>
          <w:marTop w:val="0"/>
          <w:marBottom w:val="0"/>
          <w:divBdr>
            <w:top w:val="none" w:sz="0" w:space="0" w:color="auto"/>
            <w:left w:val="none" w:sz="0" w:space="0" w:color="auto"/>
            <w:bottom w:val="none" w:sz="0" w:space="0" w:color="auto"/>
            <w:right w:val="none" w:sz="0" w:space="0" w:color="auto"/>
          </w:divBdr>
        </w:div>
        <w:div w:id="535585009">
          <w:marLeft w:val="0"/>
          <w:marRight w:val="0"/>
          <w:marTop w:val="0"/>
          <w:marBottom w:val="0"/>
          <w:divBdr>
            <w:top w:val="none" w:sz="0" w:space="0" w:color="auto"/>
            <w:left w:val="none" w:sz="0" w:space="0" w:color="auto"/>
            <w:bottom w:val="none" w:sz="0" w:space="0" w:color="auto"/>
            <w:right w:val="none" w:sz="0" w:space="0" w:color="auto"/>
          </w:divBdr>
        </w:div>
        <w:div w:id="562638107">
          <w:marLeft w:val="0"/>
          <w:marRight w:val="0"/>
          <w:marTop w:val="0"/>
          <w:marBottom w:val="0"/>
          <w:divBdr>
            <w:top w:val="none" w:sz="0" w:space="0" w:color="auto"/>
            <w:left w:val="none" w:sz="0" w:space="0" w:color="auto"/>
            <w:bottom w:val="none" w:sz="0" w:space="0" w:color="auto"/>
            <w:right w:val="none" w:sz="0" w:space="0" w:color="auto"/>
          </w:divBdr>
        </w:div>
        <w:div w:id="572590310">
          <w:marLeft w:val="0"/>
          <w:marRight w:val="0"/>
          <w:marTop w:val="0"/>
          <w:marBottom w:val="0"/>
          <w:divBdr>
            <w:top w:val="none" w:sz="0" w:space="0" w:color="auto"/>
            <w:left w:val="none" w:sz="0" w:space="0" w:color="auto"/>
            <w:bottom w:val="none" w:sz="0" w:space="0" w:color="auto"/>
            <w:right w:val="none" w:sz="0" w:space="0" w:color="auto"/>
          </w:divBdr>
        </w:div>
        <w:div w:id="610892918">
          <w:marLeft w:val="0"/>
          <w:marRight w:val="0"/>
          <w:marTop w:val="0"/>
          <w:marBottom w:val="0"/>
          <w:divBdr>
            <w:top w:val="none" w:sz="0" w:space="0" w:color="auto"/>
            <w:left w:val="none" w:sz="0" w:space="0" w:color="auto"/>
            <w:bottom w:val="none" w:sz="0" w:space="0" w:color="auto"/>
            <w:right w:val="none" w:sz="0" w:space="0" w:color="auto"/>
          </w:divBdr>
        </w:div>
        <w:div w:id="627199022">
          <w:marLeft w:val="0"/>
          <w:marRight w:val="0"/>
          <w:marTop w:val="0"/>
          <w:marBottom w:val="0"/>
          <w:divBdr>
            <w:top w:val="none" w:sz="0" w:space="0" w:color="auto"/>
            <w:left w:val="none" w:sz="0" w:space="0" w:color="auto"/>
            <w:bottom w:val="none" w:sz="0" w:space="0" w:color="auto"/>
            <w:right w:val="none" w:sz="0" w:space="0" w:color="auto"/>
          </w:divBdr>
        </w:div>
        <w:div w:id="636491618">
          <w:marLeft w:val="0"/>
          <w:marRight w:val="0"/>
          <w:marTop w:val="0"/>
          <w:marBottom w:val="0"/>
          <w:divBdr>
            <w:top w:val="none" w:sz="0" w:space="0" w:color="auto"/>
            <w:left w:val="none" w:sz="0" w:space="0" w:color="auto"/>
            <w:bottom w:val="none" w:sz="0" w:space="0" w:color="auto"/>
            <w:right w:val="none" w:sz="0" w:space="0" w:color="auto"/>
          </w:divBdr>
        </w:div>
        <w:div w:id="719405554">
          <w:marLeft w:val="0"/>
          <w:marRight w:val="0"/>
          <w:marTop w:val="0"/>
          <w:marBottom w:val="0"/>
          <w:divBdr>
            <w:top w:val="none" w:sz="0" w:space="0" w:color="auto"/>
            <w:left w:val="none" w:sz="0" w:space="0" w:color="auto"/>
            <w:bottom w:val="none" w:sz="0" w:space="0" w:color="auto"/>
            <w:right w:val="none" w:sz="0" w:space="0" w:color="auto"/>
          </w:divBdr>
        </w:div>
        <w:div w:id="726760998">
          <w:marLeft w:val="0"/>
          <w:marRight w:val="0"/>
          <w:marTop w:val="0"/>
          <w:marBottom w:val="0"/>
          <w:divBdr>
            <w:top w:val="none" w:sz="0" w:space="0" w:color="auto"/>
            <w:left w:val="none" w:sz="0" w:space="0" w:color="auto"/>
            <w:bottom w:val="none" w:sz="0" w:space="0" w:color="auto"/>
            <w:right w:val="none" w:sz="0" w:space="0" w:color="auto"/>
          </w:divBdr>
        </w:div>
        <w:div w:id="733548209">
          <w:marLeft w:val="0"/>
          <w:marRight w:val="0"/>
          <w:marTop w:val="0"/>
          <w:marBottom w:val="0"/>
          <w:divBdr>
            <w:top w:val="none" w:sz="0" w:space="0" w:color="auto"/>
            <w:left w:val="none" w:sz="0" w:space="0" w:color="auto"/>
            <w:bottom w:val="none" w:sz="0" w:space="0" w:color="auto"/>
            <w:right w:val="none" w:sz="0" w:space="0" w:color="auto"/>
          </w:divBdr>
        </w:div>
        <w:div w:id="743376082">
          <w:marLeft w:val="0"/>
          <w:marRight w:val="0"/>
          <w:marTop w:val="0"/>
          <w:marBottom w:val="0"/>
          <w:divBdr>
            <w:top w:val="none" w:sz="0" w:space="0" w:color="auto"/>
            <w:left w:val="none" w:sz="0" w:space="0" w:color="auto"/>
            <w:bottom w:val="none" w:sz="0" w:space="0" w:color="auto"/>
            <w:right w:val="none" w:sz="0" w:space="0" w:color="auto"/>
          </w:divBdr>
        </w:div>
        <w:div w:id="776561975">
          <w:marLeft w:val="0"/>
          <w:marRight w:val="0"/>
          <w:marTop w:val="0"/>
          <w:marBottom w:val="0"/>
          <w:divBdr>
            <w:top w:val="none" w:sz="0" w:space="0" w:color="auto"/>
            <w:left w:val="none" w:sz="0" w:space="0" w:color="auto"/>
            <w:bottom w:val="none" w:sz="0" w:space="0" w:color="auto"/>
            <w:right w:val="none" w:sz="0" w:space="0" w:color="auto"/>
          </w:divBdr>
        </w:div>
        <w:div w:id="817500262">
          <w:marLeft w:val="0"/>
          <w:marRight w:val="0"/>
          <w:marTop w:val="0"/>
          <w:marBottom w:val="0"/>
          <w:divBdr>
            <w:top w:val="none" w:sz="0" w:space="0" w:color="auto"/>
            <w:left w:val="none" w:sz="0" w:space="0" w:color="auto"/>
            <w:bottom w:val="none" w:sz="0" w:space="0" w:color="auto"/>
            <w:right w:val="none" w:sz="0" w:space="0" w:color="auto"/>
          </w:divBdr>
        </w:div>
        <w:div w:id="818154698">
          <w:marLeft w:val="0"/>
          <w:marRight w:val="0"/>
          <w:marTop w:val="0"/>
          <w:marBottom w:val="0"/>
          <w:divBdr>
            <w:top w:val="none" w:sz="0" w:space="0" w:color="auto"/>
            <w:left w:val="none" w:sz="0" w:space="0" w:color="auto"/>
            <w:bottom w:val="none" w:sz="0" w:space="0" w:color="auto"/>
            <w:right w:val="none" w:sz="0" w:space="0" w:color="auto"/>
          </w:divBdr>
        </w:div>
        <w:div w:id="859851434">
          <w:marLeft w:val="0"/>
          <w:marRight w:val="0"/>
          <w:marTop w:val="0"/>
          <w:marBottom w:val="0"/>
          <w:divBdr>
            <w:top w:val="none" w:sz="0" w:space="0" w:color="auto"/>
            <w:left w:val="none" w:sz="0" w:space="0" w:color="auto"/>
            <w:bottom w:val="none" w:sz="0" w:space="0" w:color="auto"/>
            <w:right w:val="none" w:sz="0" w:space="0" w:color="auto"/>
          </w:divBdr>
        </w:div>
        <w:div w:id="946696651">
          <w:marLeft w:val="0"/>
          <w:marRight w:val="0"/>
          <w:marTop w:val="0"/>
          <w:marBottom w:val="0"/>
          <w:divBdr>
            <w:top w:val="none" w:sz="0" w:space="0" w:color="auto"/>
            <w:left w:val="none" w:sz="0" w:space="0" w:color="auto"/>
            <w:bottom w:val="none" w:sz="0" w:space="0" w:color="auto"/>
            <w:right w:val="none" w:sz="0" w:space="0" w:color="auto"/>
          </w:divBdr>
        </w:div>
        <w:div w:id="982584810">
          <w:marLeft w:val="0"/>
          <w:marRight w:val="0"/>
          <w:marTop w:val="0"/>
          <w:marBottom w:val="0"/>
          <w:divBdr>
            <w:top w:val="none" w:sz="0" w:space="0" w:color="auto"/>
            <w:left w:val="none" w:sz="0" w:space="0" w:color="auto"/>
            <w:bottom w:val="none" w:sz="0" w:space="0" w:color="auto"/>
            <w:right w:val="none" w:sz="0" w:space="0" w:color="auto"/>
          </w:divBdr>
        </w:div>
        <w:div w:id="1026323261">
          <w:marLeft w:val="0"/>
          <w:marRight w:val="0"/>
          <w:marTop w:val="0"/>
          <w:marBottom w:val="0"/>
          <w:divBdr>
            <w:top w:val="none" w:sz="0" w:space="0" w:color="auto"/>
            <w:left w:val="none" w:sz="0" w:space="0" w:color="auto"/>
            <w:bottom w:val="none" w:sz="0" w:space="0" w:color="auto"/>
            <w:right w:val="none" w:sz="0" w:space="0" w:color="auto"/>
          </w:divBdr>
        </w:div>
        <w:div w:id="1142039456">
          <w:marLeft w:val="0"/>
          <w:marRight w:val="0"/>
          <w:marTop w:val="0"/>
          <w:marBottom w:val="0"/>
          <w:divBdr>
            <w:top w:val="none" w:sz="0" w:space="0" w:color="auto"/>
            <w:left w:val="none" w:sz="0" w:space="0" w:color="auto"/>
            <w:bottom w:val="none" w:sz="0" w:space="0" w:color="auto"/>
            <w:right w:val="none" w:sz="0" w:space="0" w:color="auto"/>
          </w:divBdr>
        </w:div>
        <w:div w:id="1180312315">
          <w:marLeft w:val="0"/>
          <w:marRight w:val="0"/>
          <w:marTop w:val="0"/>
          <w:marBottom w:val="0"/>
          <w:divBdr>
            <w:top w:val="none" w:sz="0" w:space="0" w:color="auto"/>
            <w:left w:val="none" w:sz="0" w:space="0" w:color="auto"/>
            <w:bottom w:val="none" w:sz="0" w:space="0" w:color="auto"/>
            <w:right w:val="none" w:sz="0" w:space="0" w:color="auto"/>
          </w:divBdr>
        </w:div>
        <w:div w:id="1190527996">
          <w:marLeft w:val="0"/>
          <w:marRight w:val="0"/>
          <w:marTop w:val="0"/>
          <w:marBottom w:val="0"/>
          <w:divBdr>
            <w:top w:val="none" w:sz="0" w:space="0" w:color="auto"/>
            <w:left w:val="none" w:sz="0" w:space="0" w:color="auto"/>
            <w:bottom w:val="none" w:sz="0" w:space="0" w:color="auto"/>
            <w:right w:val="none" w:sz="0" w:space="0" w:color="auto"/>
          </w:divBdr>
        </w:div>
        <w:div w:id="1227376554">
          <w:marLeft w:val="0"/>
          <w:marRight w:val="0"/>
          <w:marTop w:val="0"/>
          <w:marBottom w:val="0"/>
          <w:divBdr>
            <w:top w:val="none" w:sz="0" w:space="0" w:color="auto"/>
            <w:left w:val="none" w:sz="0" w:space="0" w:color="auto"/>
            <w:bottom w:val="none" w:sz="0" w:space="0" w:color="auto"/>
            <w:right w:val="none" w:sz="0" w:space="0" w:color="auto"/>
          </w:divBdr>
        </w:div>
        <w:div w:id="1261529316">
          <w:marLeft w:val="0"/>
          <w:marRight w:val="0"/>
          <w:marTop w:val="0"/>
          <w:marBottom w:val="0"/>
          <w:divBdr>
            <w:top w:val="none" w:sz="0" w:space="0" w:color="auto"/>
            <w:left w:val="none" w:sz="0" w:space="0" w:color="auto"/>
            <w:bottom w:val="none" w:sz="0" w:space="0" w:color="auto"/>
            <w:right w:val="none" w:sz="0" w:space="0" w:color="auto"/>
          </w:divBdr>
        </w:div>
        <w:div w:id="1288584580">
          <w:marLeft w:val="0"/>
          <w:marRight w:val="0"/>
          <w:marTop w:val="0"/>
          <w:marBottom w:val="0"/>
          <w:divBdr>
            <w:top w:val="none" w:sz="0" w:space="0" w:color="auto"/>
            <w:left w:val="none" w:sz="0" w:space="0" w:color="auto"/>
            <w:bottom w:val="none" w:sz="0" w:space="0" w:color="auto"/>
            <w:right w:val="none" w:sz="0" w:space="0" w:color="auto"/>
          </w:divBdr>
        </w:div>
        <w:div w:id="1369065733">
          <w:marLeft w:val="0"/>
          <w:marRight w:val="0"/>
          <w:marTop w:val="0"/>
          <w:marBottom w:val="0"/>
          <w:divBdr>
            <w:top w:val="none" w:sz="0" w:space="0" w:color="auto"/>
            <w:left w:val="none" w:sz="0" w:space="0" w:color="auto"/>
            <w:bottom w:val="none" w:sz="0" w:space="0" w:color="auto"/>
            <w:right w:val="none" w:sz="0" w:space="0" w:color="auto"/>
          </w:divBdr>
        </w:div>
        <w:div w:id="1401826468">
          <w:marLeft w:val="0"/>
          <w:marRight w:val="0"/>
          <w:marTop w:val="0"/>
          <w:marBottom w:val="0"/>
          <w:divBdr>
            <w:top w:val="none" w:sz="0" w:space="0" w:color="auto"/>
            <w:left w:val="none" w:sz="0" w:space="0" w:color="auto"/>
            <w:bottom w:val="none" w:sz="0" w:space="0" w:color="auto"/>
            <w:right w:val="none" w:sz="0" w:space="0" w:color="auto"/>
          </w:divBdr>
        </w:div>
        <w:div w:id="1511066961">
          <w:marLeft w:val="0"/>
          <w:marRight w:val="0"/>
          <w:marTop w:val="0"/>
          <w:marBottom w:val="0"/>
          <w:divBdr>
            <w:top w:val="none" w:sz="0" w:space="0" w:color="auto"/>
            <w:left w:val="none" w:sz="0" w:space="0" w:color="auto"/>
            <w:bottom w:val="none" w:sz="0" w:space="0" w:color="auto"/>
            <w:right w:val="none" w:sz="0" w:space="0" w:color="auto"/>
          </w:divBdr>
        </w:div>
        <w:div w:id="1545871437">
          <w:marLeft w:val="0"/>
          <w:marRight w:val="0"/>
          <w:marTop w:val="0"/>
          <w:marBottom w:val="0"/>
          <w:divBdr>
            <w:top w:val="none" w:sz="0" w:space="0" w:color="auto"/>
            <w:left w:val="none" w:sz="0" w:space="0" w:color="auto"/>
            <w:bottom w:val="none" w:sz="0" w:space="0" w:color="auto"/>
            <w:right w:val="none" w:sz="0" w:space="0" w:color="auto"/>
          </w:divBdr>
        </w:div>
        <w:div w:id="1557886545">
          <w:marLeft w:val="0"/>
          <w:marRight w:val="0"/>
          <w:marTop w:val="0"/>
          <w:marBottom w:val="0"/>
          <w:divBdr>
            <w:top w:val="none" w:sz="0" w:space="0" w:color="auto"/>
            <w:left w:val="none" w:sz="0" w:space="0" w:color="auto"/>
            <w:bottom w:val="none" w:sz="0" w:space="0" w:color="auto"/>
            <w:right w:val="none" w:sz="0" w:space="0" w:color="auto"/>
          </w:divBdr>
        </w:div>
        <w:div w:id="1587686231">
          <w:marLeft w:val="0"/>
          <w:marRight w:val="0"/>
          <w:marTop w:val="0"/>
          <w:marBottom w:val="0"/>
          <w:divBdr>
            <w:top w:val="none" w:sz="0" w:space="0" w:color="auto"/>
            <w:left w:val="none" w:sz="0" w:space="0" w:color="auto"/>
            <w:bottom w:val="none" w:sz="0" w:space="0" w:color="auto"/>
            <w:right w:val="none" w:sz="0" w:space="0" w:color="auto"/>
          </w:divBdr>
        </w:div>
        <w:div w:id="1596792499">
          <w:marLeft w:val="0"/>
          <w:marRight w:val="0"/>
          <w:marTop w:val="0"/>
          <w:marBottom w:val="0"/>
          <w:divBdr>
            <w:top w:val="none" w:sz="0" w:space="0" w:color="auto"/>
            <w:left w:val="none" w:sz="0" w:space="0" w:color="auto"/>
            <w:bottom w:val="none" w:sz="0" w:space="0" w:color="auto"/>
            <w:right w:val="none" w:sz="0" w:space="0" w:color="auto"/>
          </w:divBdr>
        </w:div>
        <w:div w:id="1698121527">
          <w:marLeft w:val="0"/>
          <w:marRight w:val="0"/>
          <w:marTop w:val="0"/>
          <w:marBottom w:val="0"/>
          <w:divBdr>
            <w:top w:val="none" w:sz="0" w:space="0" w:color="auto"/>
            <w:left w:val="none" w:sz="0" w:space="0" w:color="auto"/>
            <w:bottom w:val="none" w:sz="0" w:space="0" w:color="auto"/>
            <w:right w:val="none" w:sz="0" w:space="0" w:color="auto"/>
          </w:divBdr>
        </w:div>
        <w:div w:id="1744256000">
          <w:marLeft w:val="0"/>
          <w:marRight w:val="0"/>
          <w:marTop w:val="0"/>
          <w:marBottom w:val="0"/>
          <w:divBdr>
            <w:top w:val="none" w:sz="0" w:space="0" w:color="auto"/>
            <w:left w:val="none" w:sz="0" w:space="0" w:color="auto"/>
            <w:bottom w:val="none" w:sz="0" w:space="0" w:color="auto"/>
            <w:right w:val="none" w:sz="0" w:space="0" w:color="auto"/>
          </w:divBdr>
        </w:div>
        <w:div w:id="1775051388">
          <w:marLeft w:val="0"/>
          <w:marRight w:val="0"/>
          <w:marTop w:val="0"/>
          <w:marBottom w:val="0"/>
          <w:divBdr>
            <w:top w:val="none" w:sz="0" w:space="0" w:color="auto"/>
            <w:left w:val="none" w:sz="0" w:space="0" w:color="auto"/>
            <w:bottom w:val="none" w:sz="0" w:space="0" w:color="auto"/>
            <w:right w:val="none" w:sz="0" w:space="0" w:color="auto"/>
          </w:divBdr>
        </w:div>
        <w:div w:id="1792169103">
          <w:marLeft w:val="0"/>
          <w:marRight w:val="0"/>
          <w:marTop w:val="0"/>
          <w:marBottom w:val="0"/>
          <w:divBdr>
            <w:top w:val="none" w:sz="0" w:space="0" w:color="auto"/>
            <w:left w:val="none" w:sz="0" w:space="0" w:color="auto"/>
            <w:bottom w:val="none" w:sz="0" w:space="0" w:color="auto"/>
            <w:right w:val="none" w:sz="0" w:space="0" w:color="auto"/>
          </w:divBdr>
        </w:div>
        <w:div w:id="1792939815">
          <w:marLeft w:val="0"/>
          <w:marRight w:val="0"/>
          <w:marTop w:val="0"/>
          <w:marBottom w:val="0"/>
          <w:divBdr>
            <w:top w:val="none" w:sz="0" w:space="0" w:color="auto"/>
            <w:left w:val="none" w:sz="0" w:space="0" w:color="auto"/>
            <w:bottom w:val="none" w:sz="0" w:space="0" w:color="auto"/>
            <w:right w:val="none" w:sz="0" w:space="0" w:color="auto"/>
          </w:divBdr>
        </w:div>
        <w:div w:id="1823545801">
          <w:marLeft w:val="0"/>
          <w:marRight w:val="0"/>
          <w:marTop w:val="0"/>
          <w:marBottom w:val="0"/>
          <w:divBdr>
            <w:top w:val="none" w:sz="0" w:space="0" w:color="auto"/>
            <w:left w:val="none" w:sz="0" w:space="0" w:color="auto"/>
            <w:bottom w:val="none" w:sz="0" w:space="0" w:color="auto"/>
            <w:right w:val="none" w:sz="0" w:space="0" w:color="auto"/>
          </w:divBdr>
        </w:div>
        <w:div w:id="1862860851">
          <w:marLeft w:val="0"/>
          <w:marRight w:val="0"/>
          <w:marTop w:val="0"/>
          <w:marBottom w:val="0"/>
          <w:divBdr>
            <w:top w:val="none" w:sz="0" w:space="0" w:color="auto"/>
            <w:left w:val="none" w:sz="0" w:space="0" w:color="auto"/>
            <w:bottom w:val="none" w:sz="0" w:space="0" w:color="auto"/>
            <w:right w:val="none" w:sz="0" w:space="0" w:color="auto"/>
          </w:divBdr>
        </w:div>
        <w:div w:id="1988968934">
          <w:marLeft w:val="0"/>
          <w:marRight w:val="0"/>
          <w:marTop w:val="0"/>
          <w:marBottom w:val="0"/>
          <w:divBdr>
            <w:top w:val="none" w:sz="0" w:space="0" w:color="auto"/>
            <w:left w:val="none" w:sz="0" w:space="0" w:color="auto"/>
            <w:bottom w:val="none" w:sz="0" w:space="0" w:color="auto"/>
            <w:right w:val="none" w:sz="0" w:space="0" w:color="auto"/>
          </w:divBdr>
        </w:div>
        <w:div w:id="1999843014">
          <w:marLeft w:val="0"/>
          <w:marRight w:val="0"/>
          <w:marTop w:val="0"/>
          <w:marBottom w:val="0"/>
          <w:divBdr>
            <w:top w:val="none" w:sz="0" w:space="0" w:color="auto"/>
            <w:left w:val="none" w:sz="0" w:space="0" w:color="auto"/>
            <w:bottom w:val="none" w:sz="0" w:space="0" w:color="auto"/>
            <w:right w:val="none" w:sz="0" w:space="0" w:color="auto"/>
          </w:divBdr>
        </w:div>
        <w:div w:id="2019187277">
          <w:marLeft w:val="0"/>
          <w:marRight w:val="0"/>
          <w:marTop w:val="0"/>
          <w:marBottom w:val="0"/>
          <w:divBdr>
            <w:top w:val="none" w:sz="0" w:space="0" w:color="auto"/>
            <w:left w:val="none" w:sz="0" w:space="0" w:color="auto"/>
            <w:bottom w:val="none" w:sz="0" w:space="0" w:color="auto"/>
            <w:right w:val="none" w:sz="0" w:space="0" w:color="auto"/>
          </w:divBdr>
        </w:div>
        <w:div w:id="2099473830">
          <w:marLeft w:val="0"/>
          <w:marRight w:val="0"/>
          <w:marTop w:val="0"/>
          <w:marBottom w:val="0"/>
          <w:divBdr>
            <w:top w:val="none" w:sz="0" w:space="0" w:color="auto"/>
            <w:left w:val="none" w:sz="0" w:space="0" w:color="auto"/>
            <w:bottom w:val="none" w:sz="0" w:space="0" w:color="auto"/>
            <w:right w:val="none" w:sz="0" w:space="0" w:color="auto"/>
          </w:divBdr>
        </w:div>
        <w:div w:id="2109083615">
          <w:marLeft w:val="0"/>
          <w:marRight w:val="0"/>
          <w:marTop w:val="0"/>
          <w:marBottom w:val="0"/>
          <w:divBdr>
            <w:top w:val="none" w:sz="0" w:space="0" w:color="auto"/>
            <w:left w:val="none" w:sz="0" w:space="0" w:color="auto"/>
            <w:bottom w:val="none" w:sz="0" w:space="0" w:color="auto"/>
            <w:right w:val="none" w:sz="0" w:space="0" w:color="auto"/>
          </w:divBdr>
        </w:div>
        <w:div w:id="2109226629">
          <w:marLeft w:val="0"/>
          <w:marRight w:val="0"/>
          <w:marTop w:val="0"/>
          <w:marBottom w:val="0"/>
          <w:divBdr>
            <w:top w:val="none" w:sz="0" w:space="0" w:color="auto"/>
            <w:left w:val="none" w:sz="0" w:space="0" w:color="auto"/>
            <w:bottom w:val="none" w:sz="0" w:space="0" w:color="auto"/>
            <w:right w:val="none" w:sz="0" w:space="0" w:color="auto"/>
          </w:divBdr>
        </w:div>
        <w:div w:id="2122453513">
          <w:marLeft w:val="0"/>
          <w:marRight w:val="0"/>
          <w:marTop w:val="0"/>
          <w:marBottom w:val="0"/>
          <w:divBdr>
            <w:top w:val="none" w:sz="0" w:space="0" w:color="auto"/>
            <w:left w:val="none" w:sz="0" w:space="0" w:color="auto"/>
            <w:bottom w:val="none" w:sz="0" w:space="0" w:color="auto"/>
            <w:right w:val="none" w:sz="0" w:space="0" w:color="auto"/>
          </w:divBdr>
        </w:div>
      </w:divsChild>
    </w:div>
    <w:div w:id="464853222">
      <w:bodyDiv w:val="1"/>
      <w:marLeft w:val="0"/>
      <w:marRight w:val="0"/>
      <w:marTop w:val="0"/>
      <w:marBottom w:val="0"/>
      <w:divBdr>
        <w:top w:val="none" w:sz="0" w:space="0" w:color="auto"/>
        <w:left w:val="none" w:sz="0" w:space="0" w:color="auto"/>
        <w:bottom w:val="none" w:sz="0" w:space="0" w:color="auto"/>
        <w:right w:val="none" w:sz="0" w:space="0" w:color="auto"/>
      </w:divBdr>
      <w:divsChild>
        <w:div w:id="3287523">
          <w:marLeft w:val="0"/>
          <w:marRight w:val="0"/>
          <w:marTop w:val="0"/>
          <w:marBottom w:val="0"/>
          <w:divBdr>
            <w:top w:val="none" w:sz="0" w:space="0" w:color="auto"/>
            <w:left w:val="none" w:sz="0" w:space="0" w:color="auto"/>
            <w:bottom w:val="none" w:sz="0" w:space="0" w:color="auto"/>
            <w:right w:val="none" w:sz="0" w:space="0" w:color="auto"/>
          </w:divBdr>
        </w:div>
        <w:div w:id="9844701">
          <w:marLeft w:val="0"/>
          <w:marRight w:val="0"/>
          <w:marTop w:val="0"/>
          <w:marBottom w:val="0"/>
          <w:divBdr>
            <w:top w:val="none" w:sz="0" w:space="0" w:color="auto"/>
            <w:left w:val="none" w:sz="0" w:space="0" w:color="auto"/>
            <w:bottom w:val="none" w:sz="0" w:space="0" w:color="auto"/>
            <w:right w:val="none" w:sz="0" w:space="0" w:color="auto"/>
          </w:divBdr>
        </w:div>
        <w:div w:id="22944850">
          <w:marLeft w:val="0"/>
          <w:marRight w:val="0"/>
          <w:marTop w:val="0"/>
          <w:marBottom w:val="0"/>
          <w:divBdr>
            <w:top w:val="none" w:sz="0" w:space="0" w:color="auto"/>
            <w:left w:val="none" w:sz="0" w:space="0" w:color="auto"/>
            <w:bottom w:val="none" w:sz="0" w:space="0" w:color="auto"/>
            <w:right w:val="none" w:sz="0" w:space="0" w:color="auto"/>
          </w:divBdr>
        </w:div>
        <w:div w:id="83380650">
          <w:marLeft w:val="0"/>
          <w:marRight w:val="0"/>
          <w:marTop w:val="0"/>
          <w:marBottom w:val="0"/>
          <w:divBdr>
            <w:top w:val="none" w:sz="0" w:space="0" w:color="auto"/>
            <w:left w:val="none" w:sz="0" w:space="0" w:color="auto"/>
            <w:bottom w:val="none" w:sz="0" w:space="0" w:color="auto"/>
            <w:right w:val="none" w:sz="0" w:space="0" w:color="auto"/>
          </w:divBdr>
        </w:div>
        <w:div w:id="118454664">
          <w:marLeft w:val="0"/>
          <w:marRight w:val="0"/>
          <w:marTop w:val="0"/>
          <w:marBottom w:val="0"/>
          <w:divBdr>
            <w:top w:val="none" w:sz="0" w:space="0" w:color="auto"/>
            <w:left w:val="none" w:sz="0" w:space="0" w:color="auto"/>
            <w:bottom w:val="none" w:sz="0" w:space="0" w:color="auto"/>
            <w:right w:val="none" w:sz="0" w:space="0" w:color="auto"/>
          </w:divBdr>
        </w:div>
        <w:div w:id="134758060">
          <w:marLeft w:val="0"/>
          <w:marRight w:val="0"/>
          <w:marTop w:val="0"/>
          <w:marBottom w:val="0"/>
          <w:divBdr>
            <w:top w:val="none" w:sz="0" w:space="0" w:color="auto"/>
            <w:left w:val="none" w:sz="0" w:space="0" w:color="auto"/>
            <w:bottom w:val="none" w:sz="0" w:space="0" w:color="auto"/>
            <w:right w:val="none" w:sz="0" w:space="0" w:color="auto"/>
          </w:divBdr>
        </w:div>
        <w:div w:id="160705016">
          <w:marLeft w:val="0"/>
          <w:marRight w:val="0"/>
          <w:marTop w:val="0"/>
          <w:marBottom w:val="0"/>
          <w:divBdr>
            <w:top w:val="none" w:sz="0" w:space="0" w:color="auto"/>
            <w:left w:val="none" w:sz="0" w:space="0" w:color="auto"/>
            <w:bottom w:val="none" w:sz="0" w:space="0" w:color="auto"/>
            <w:right w:val="none" w:sz="0" w:space="0" w:color="auto"/>
          </w:divBdr>
        </w:div>
        <w:div w:id="212926775">
          <w:marLeft w:val="0"/>
          <w:marRight w:val="0"/>
          <w:marTop w:val="0"/>
          <w:marBottom w:val="0"/>
          <w:divBdr>
            <w:top w:val="none" w:sz="0" w:space="0" w:color="auto"/>
            <w:left w:val="none" w:sz="0" w:space="0" w:color="auto"/>
            <w:bottom w:val="none" w:sz="0" w:space="0" w:color="auto"/>
            <w:right w:val="none" w:sz="0" w:space="0" w:color="auto"/>
          </w:divBdr>
        </w:div>
        <w:div w:id="279069379">
          <w:marLeft w:val="0"/>
          <w:marRight w:val="0"/>
          <w:marTop w:val="0"/>
          <w:marBottom w:val="0"/>
          <w:divBdr>
            <w:top w:val="none" w:sz="0" w:space="0" w:color="auto"/>
            <w:left w:val="none" w:sz="0" w:space="0" w:color="auto"/>
            <w:bottom w:val="none" w:sz="0" w:space="0" w:color="auto"/>
            <w:right w:val="none" w:sz="0" w:space="0" w:color="auto"/>
          </w:divBdr>
        </w:div>
        <w:div w:id="293482880">
          <w:marLeft w:val="0"/>
          <w:marRight w:val="0"/>
          <w:marTop w:val="0"/>
          <w:marBottom w:val="0"/>
          <w:divBdr>
            <w:top w:val="none" w:sz="0" w:space="0" w:color="auto"/>
            <w:left w:val="none" w:sz="0" w:space="0" w:color="auto"/>
            <w:bottom w:val="none" w:sz="0" w:space="0" w:color="auto"/>
            <w:right w:val="none" w:sz="0" w:space="0" w:color="auto"/>
          </w:divBdr>
        </w:div>
        <w:div w:id="299506775">
          <w:marLeft w:val="0"/>
          <w:marRight w:val="0"/>
          <w:marTop w:val="0"/>
          <w:marBottom w:val="0"/>
          <w:divBdr>
            <w:top w:val="none" w:sz="0" w:space="0" w:color="auto"/>
            <w:left w:val="none" w:sz="0" w:space="0" w:color="auto"/>
            <w:bottom w:val="none" w:sz="0" w:space="0" w:color="auto"/>
            <w:right w:val="none" w:sz="0" w:space="0" w:color="auto"/>
          </w:divBdr>
        </w:div>
        <w:div w:id="307520455">
          <w:marLeft w:val="0"/>
          <w:marRight w:val="0"/>
          <w:marTop w:val="0"/>
          <w:marBottom w:val="0"/>
          <w:divBdr>
            <w:top w:val="none" w:sz="0" w:space="0" w:color="auto"/>
            <w:left w:val="none" w:sz="0" w:space="0" w:color="auto"/>
            <w:bottom w:val="none" w:sz="0" w:space="0" w:color="auto"/>
            <w:right w:val="none" w:sz="0" w:space="0" w:color="auto"/>
          </w:divBdr>
        </w:div>
        <w:div w:id="313728195">
          <w:marLeft w:val="0"/>
          <w:marRight w:val="0"/>
          <w:marTop w:val="0"/>
          <w:marBottom w:val="0"/>
          <w:divBdr>
            <w:top w:val="none" w:sz="0" w:space="0" w:color="auto"/>
            <w:left w:val="none" w:sz="0" w:space="0" w:color="auto"/>
            <w:bottom w:val="none" w:sz="0" w:space="0" w:color="auto"/>
            <w:right w:val="none" w:sz="0" w:space="0" w:color="auto"/>
          </w:divBdr>
        </w:div>
        <w:div w:id="339627950">
          <w:marLeft w:val="0"/>
          <w:marRight w:val="0"/>
          <w:marTop w:val="0"/>
          <w:marBottom w:val="0"/>
          <w:divBdr>
            <w:top w:val="none" w:sz="0" w:space="0" w:color="auto"/>
            <w:left w:val="none" w:sz="0" w:space="0" w:color="auto"/>
            <w:bottom w:val="none" w:sz="0" w:space="0" w:color="auto"/>
            <w:right w:val="none" w:sz="0" w:space="0" w:color="auto"/>
          </w:divBdr>
        </w:div>
        <w:div w:id="347827440">
          <w:marLeft w:val="0"/>
          <w:marRight w:val="0"/>
          <w:marTop w:val="0"/>
          <w:marBottom w:val="0"/>
          <w:divBdr>
            <w:top w:val="none" w:sz="0" w:space="0" w:color="auto"/>
            <w:left w:val="none" w:sz="0" w:space="0" w:color="auto"/>
            <w:bottom w:val="none" w:sz="0" w:space="0" w:color="auto"/>
            <w:right w:val="none" w:sz="0" w:space="0" w:color="auto"/>
          </w:divBdr>
        </w:div>
        <w:div w:id="354354696">
          <w:marLeft w:val="0"/>
          <w:marRight w:val="0"/>
          <w:marTop w:val="0"/>
          <w:marBottom w:val="0"/>
          <w:divBdr>
            <w:top w:val="none" w:sz="0" w:space="0" w:color="auto"/>
            <w:left w:val="none" w:sz="0" w:space="0" w:color="auto"/>
            <w:bottom w:val="none" w:sz="0" w:space="0" w:color="auto"/>
            <w:right w:val="none" w:sz="0" w:space="0" w:color="auto"/>
          </w:divBdr>
        </w:div>
        <w:div w:id="397826604">
          <w:marLeft w:val="0"/>
          <w:marRight w:val="0"/>
          <w:marTop w:val="0"/>
          <w:marBottom w:val="0"/>
          <w:divBdr>
            <w:top w:val="none" w:sz="0" w:space="0" w:color="auto"/>
            <w:left w:val="none" w:sz="0" w:space="0" w:color="auto"/>
            <w:bottom w:val="none" w:sz="0" w:space="0" w:color="auto"/>
            <w:right w:val="none" w:sz="0" w:space="0" w:color="auto"/>
          </w:divBdr>
        </w:div>
        <w:div w:id="434594812">
          <w:marLeft w:val="0"/>
          <w:marRight w:val="0"/>
          <w:marTop w:val="0"/>
          <w:marBottom w:val="0"/>
          <w:divBdr>
            <w:top w:val="none" w:sz="0" w:space="0" w:color="auto"/>
            <w:left w:val="none" w:sz="0" w:space="0" w:color="auto"/>
            <w:bottom w:val="none" w:sz="0" w:space="0" w:color="auto"/>
            <w:right w:val="none" w:sz="0" w:space="0" w:color="auto"/>
          </w:divBdr>
        </w:div>
        <w:div w:id="436219810">
          <w:marLeft w:val="0"/>
          <w:marRight w:val="0"/>
          <w:marTop w:val="0"/>
          <w:marBottom w:val="0"/>
          <w:divBdr>
            <w:top w:val="none" w:sz="0" w:space="0" w:color="auto"/>
            <w:left w:val="none" w:sz="0" w:space="0" w:color="auto"/>
            <w:bottom w:val="none" w:sz="0" w:space="0" w:color="auto"/>
            <w:right w:val="none" w:sz="0" w:space="0" w:color="auto"/>
          </w:divBdr>
        </w:div>
        <w:div w:id="454057959">
          <w:marLeft w:val="0"/>
          <w:marRight w:val="0"/>
          <w:marTop w:val="0"/>
          <w:marBottom w:val="0"/>
          <w:divBdr>
            <w:top w:val="none" w:sz="0" w:space="0" w:color="auto"/>
            <w:left w:val="none" w:sz="0" w:space="0" w:color="auto"/>
            <w:bottom w:val="none" w:sz="0" w:space="0" w:color="auto"/>
            <w:right w:val="none" w:sz="0" w:space="0" w:color="auto"/>
          </w:divBdr>
        </w:div>
        <w:div w:id="562495531">
          <w:marLeft w:val="0"/>
          <w:marRight w:val="0"/>
          <w:marTop w:val="0"/>
          <w:marBottom w:val="0"/>
          <w:divBdr>
            <w:top w:val="none" w:sz="0" w:space="0" w:color="auto"/>
            <w:left w:val="none" w:sz="0" w:space="0" w:color="auto"/>
            <w:bottom w:val="none" w:sz="0" w:space="0" w:color="auto"/>
            <w:right w:val="none" w:sz="0" w:space="0" w:color="auto"/>
          </w:divBdr>
        </w:div>
        <w:div w:id="596182158">
          <w:marLeft w:val="0"/>
          <w:marRight w:val="0"/>
          <w:marTop w:val="0"/>
          <w:marBottom w:val="0"/>
          <w:divBdr>
            <w:top w:val="none" w:sz="0" w:space="0" w:color="auto"/>
            <w:left w:val="none" w:sz="0" w:space="0" w:color="auto"/>
            <w:bottom w:val="none" w:sz="0" w:space="0" w:color="auto"/>
            <w:right w:val="none" w:sz="0" w:space="0" w:color="auto"/>
          </w:divBdr>
        </w:div>
        <w:div w:id="624165847">
          <w:marLeft w:val="0"/>
          <w:marRight w:val="0"/>
          <w:marTop w:val="0"/>
          <w:marBottom w:val="0"/>
          <w:divBdr>
            <w:top w:val="none" w:sz="0" w:space="0" w:color="auto"/>
            <w:left w:val="none" w:sz="0" w:space="0" w:color="auto"/>
            <w:bottom w:val="none" w:sz="0" w:space="0" w:color="auto"/>
            <w:right w:val="none" w:sz="0" w:space="0" w:color="auto"/>
          </w:divBdr>
        </w:div>
        <w:div w:id="625964408">
          <w:marLeft w:val="0"/>
          <w:marRight w:val="0"/>
          <w:marTop w:val="0"/>
          <w:marBottom w:val="0"/>
          <w:divBdr>
            <w:top w:val="none" w:sz="0" w:space="0" w:color="auto"/>
            <w:left w:val="none" w:sz="0" w:space="0" w:color="auto"/>
            <w:bottom w:val="none" w:sz="0" w:space="0" w:color="auto"/>
            <w:right w:val="none" w:sz="0" w:space="0" w:color="auto"/>
          </w:divBdr>
        </w:div>
        <w:div w:id="649866988">
          <w:marLeft w:val="0"/>
          <w:marRight w:val="0"/>
          <w:marTop w:val="0"/>
          <w:marBottom w:val="0"/>
          <w:divBdr>
            <w:top w:val="none" w:sz="0" w:space="0" w:color="auto"/>
            <w:left w:val="none" w:sz="0" w:space="0" w:color="auto"/>
            <w:bottom w:val="none" w:sz="0" w:space="0" w:color="auto"/>
            <w:right w:val="none" w:sz="0" w:space="0" w:color="auto"/>
          </w:divBdr>
        </w:div>
        <w:div w:id="658389706">
          <w:marLeft w:val="0"/>
          <w:marRight w:val="0"/>
          <w:marTop w:val="0"/>
          <w:marBottom w:val="0"/>
          <w:divBdr>
            <w:top w:val="none" w:sz="0" w:space="0" w:color="auto"/>
            <w:left w:val="none" w:sz="0" w:space="0" w:color="auto"/>
            <w:bottom w:val="none" w:sz="0" w:space="0" w:color="auto"/>
            <w:right w:val="none" w:sz="0" w:space="0" w:color="auto"/>
          </w:divBdr>
        </w:div>
        <w:div w:id="666789013">
          <w:marLeft w:val="0"/>
          <w:marRight w:val="0"/>
          <w:marTop w:val="0"/>
          <w:marBottom w:val="0"/>
          <w:divBdr>
            <w:top w:val="none" w:sz="0" w:space="0" w:color="auto"/>
            <w:left w:val="none" w:sz="0" w:space="0" w:color="auto"/>
            <w:bottom w:val="none" w:sz="0" w:space="0" w:color="auto"/>
            <w:right w:val="none" w:sz="0" w:space="0" w:color="auto"/>
          </w:divBdr>
        </w:div>
        <w:div w:id="738014943">
          <w:marLeft w:val="0"/>
          <w:marRight w:val="0"/>
          <w:marTop w:val="0"/>
          <w:marBottom w:val="0"/>
          <w:divBdr>
            <w:top w:val="none" w:sz="0" w:space="0" w:color="auto"/>
            <w:left w:val="none" w:sz="0" w:space="0" w:color="auto"/>
            <w:bottom w:val="none" w:sz="0" w:space="0" w:color="auto"/>
            <w:right w:val="none" w:sz="0" w:space="0" w:color="auto"/>
          </w:divBdr>
        </w:div>
        <w:div w:id="740441266">
          <w:marLeft w:val="0"/>
          <w:marRight w:val="0"/>
          <w:marTop w:val="0"/>
          <w:marBottom w:val="0"/>
          <w:divBdr>
            <w:top w:val="none" w:sz="0" w:space="0" w:color="auto"/>
            <w:left w:val="none" w:sz="0" w:space="0" w:color="auto"/>
            <w:bottom w:val="none" w:sz="0" w:space="0" w:color="auto"/>
            <w:right w:val="none" w:sz="0" w:space="0" w:color="auto"/>
          </w:divBdr>
        </w:div>
        <w:div w:id="759104030">
          <w:marLeft w:val="0"/>
          <w:marRight w:val="0"/>
          <w:marTop w:val="0"/>
          <w:marBottom w:val="0"/>
          <w:divBdr>
            <w:top w:val="none" w:sz="0" w:space="0" w:color="auto"/>
            <w:left w:val="none" w:sz="0" w:space="0" w:color="auto"/>
            <w:bottom w:val="none" w:sz="0" w:space="0" w:color="auto"/>
            <w:right w:val="none" w:sz="0" w:space="0" w:color="auto"/>
          </w:divBdr>
        </w:div>
        <w:div w:id="787893473">
          <w:marLeft w:val="0"/>
          <w:marRight w:val="0"/>
          <w:marTop w:val="0"/>
          <w:marBottom w:val="0"/>
          <w:divBdr>
            <w:top w:val="none" w:sz="0" w:space="0" w:color="auto"/>
            <w:left w:val="none" w:sz="0" w:space="0" w:color="auto"/>
            <w:bottom w:val="none" w:sz="0" w:space="0" w:color="auto"/>
            <w:right w:val="none" w:sz="0" w:space="0" w:color="auto"/>
          </w:divBdr>
        </w:div>
        <w:div w:id="791554869">
          <w:marLeft w:val="0"/>
          <w:marRight w:val="0"/>
          <w:marTop w:val="0"/>
          <w:marBottom w:val="0"/>
          <w:divBdr>
            <w:top w:val="none" w:sz="0" w:space="0" w:color="auto"/>
            <w:left w:val="none" w:sz="0" w:space="0" w:color="auto"/>
            <w:bottom w:val="none" w:sz="0" w:space="0" w:color="auto"/>
            <w:right w:val="none" w:sz="0" w:space="0" w:color="auto"/>
          </w:divBdr>
        </w:div>
        <w:div w:id="824934374">
          <w:marLeft w:val="0"/>
          <w:marRight w:val="0"/>
          <w:marTop w:val="0"/>
          <w:marBottom w:val="0"/>
          <w:divBdr>
            <w:top w:val="none" w:sz="0" w:space="0" w:color="auto"/>
            <w:left w:val="none" w:sz="0" w:space="0" w:color="auto"/>
            <w:bottom w:val="none" w:sz="0" w:space="0" w:color="auto"/>
            <w:right w:val="none" w:sz="0" w:space="0" w:color="auto"/>
          </w:divBdr>
        </w:div>
        <w:div w:id="837963168">
          <w:marLeft w:val="0"/>
          <w:marRight w:val="0"/>
          <w:marTop w:val="0"/>
          <w:marBottom w:val="0"/>
          <w:divBdr>
            <w:top w:val="none" w:sz="0" w:space="0" w:color="auto"/>
            <w:left w:val="none" w:sz="0" w:space="0" w:color="auto"/>
            <w:bottom w:val="none" w:sz="0" w:space="0" w:color="auto"/>
            <w:right w:val="none" w:sz="0" w:space="0" w:color="auto"/>
          </w:divBdr>
        </w:div>
        <w:div w:id="853886780">
          <w:marLeft w:val="0"/>
          <w:marRight w:val="0"/>
          <w:marTop w:val="0"/>
          <w:marBottom w:val="0"/>
          <w:divBdr>
            <w:top w:val="none" w:sz="0" w:space="0" w:color="auto"/>
            <w:left w:val="none" w:sz="0" w:space="0" w:color="auto"/>
            <w:bottom w:val="none" w:sz="0" w:space="0" w:color="auto"/>
            <w:right w:val="none" w:sz="0" w:space="0" w:color="auto"/>
          </w:divBdr>
        </w:div>
        <w:div w:id="907375402">
          <w:marLeft w:val="0"/>
          <w:marRight w:val="0"/>
          <w:marTop w:val="0"/>
          <w:marBottom w:val="0"/>
          <w:divBdr>
            <w:top w:val="none" w:sz="0" w:space="0" w:color="auto"/>
            <w:left w:val="none" w:sz="0" w:space="0" w:color="auto"/>
            <w:bottom w:val="none" w:sz="0" w:space="0" w:color="auto"/>
            <w:right w:val="none" w:sz="0" w:space="0" w:color="auto"/>
          </w:divBdr>
        </w:div>
        <w:div w:id="933514086">
          <w:marLeft w:val="0"/>
          <w:marRight w:val="0"/>
          <w:marTop w:val="0"/>
          <w:marBottom w:val="0"/>
          <w:divBdr>
            <w:top w:val="none" w:sz="0" w:space="0" w:color="auto"/>
            <w:left w:val="none" w:sz="0" w:space="0" w:color="auto"/>
            <w:bottom w:val="none" w:sz="0" w:space="0" w:color="auto"/>
            <w:right w:val="none" w:sz="0" w:space="0" w:color="auto"/>
          </w:divBdr>
        </w:div>
        <w:div w:id="934826545">
          <w:marLeft w:val="0"/>
          <w:marRight w:val="0"/>
          <w:marTop w:val="0"/>
          <w:marBottom w:val="0"/>
          <w:divBdr>
            <w:top w:val="none" w:sz="0" w:space="0" w:color="auto"/>
            <w:left w:val="none" w:sz="0" w:space="0" w:color="auto"/>
            <w:bottom w:val="none" w:sz="0" w:space="0" w:color="auto"/>
            <w:right w:val="none" w:sz="0" w:space="0" w:color="auto"/>
          </w:divBdr>
        </w:div>
        <w:div w:id="942345900">
          <w:marLeft w:val="0"/>
          <w:marRight w:val="0"/>
          <w:marTop w:val="0"/>
          <w:marBottom w:val="0"/>
          <w:divBdr>
            <w:top w:val="none" w:sz="0" w:space="0" w:color="auto"/>
            <w:left w:val="none" w:sz="0" w:space="0" w:color="auto"/>
            <w:bottom w:val="none" w:sz="0" w:space="0" w:color="auto"/>
            <w:right w:val="none" w:sz="0" w:space="0" w:color="auto"/>
          </w:divBdr>
        </w:div>
        <w:div w:id="982737898">
          <w:marLeft w:val="0"/>
          <w:marRight w:val="0"/>
          <w:marTop w:val="0"/>
          <w:marBottom w:val="0"/>
          <w:divBdr>
            <w:top w:val="none" w:sz="0" w:space="0" w:color="auto"/>
            <w:left w:val="none" w:sz="0" w:space="0" w:color="auto"/>
            <w:bottom w:val="none" w:sz="0" w:space="0" w:color="auto"/>
            <w:right w:val="none" w:sz="0" w:space="0" w:color="auto"/>
          </w:divBdr>
        </w:div>
        <w:div w:id="997417518">
          <w:marLeft w:val="0"/>
          <w:marRight w:val="0"/>
          <w:marTop w:val="0"/>
          <w:marBottom w:val="0"/>
          <w:divBdr>
            <w:top w:val="none" w:sz="0" w:space="0" w:color="auto"/>
            <w:left w:val="none" w:sz="0" w:space="0" w:color="auto"/>
            <w:bottom w:val="none" w:sz="0" w:space="0" w:color="auto"/>
            <w:right w:val="none" w:sz="0" w:space="0" w:color="auto"/>
          </w:divBdr>
        </w:div>
        <w:div w:id="1010525513">
          <w:marLeft w:val="0"/>
          <w:marRight w:val="0"/>
          <w:marTop w:val="0"/>
          <w:marBottom w:val="0"/>
          <w:divBdr>
            <w:top w:val="none" w:sz="0" w:space="0" w:color="auto"/>
            <w:left w:val="none" w:sz="0" w:space="0" w:color="auto"/>
            <w:bottom w:val="none" w:sz="0" w:space="0" w:color="auto"/>
            <w:right w:val="none" w:sz="0" w:space="0" w:color="auto"/>
          </w:divBdr>
        </w:div>
        <w:div w:id="1036349698">
          <w:marLeft w:val="0"/>
          <w:marRight w:val="0"/>
          <w:marTop w:val="0"/>
          <w:marBottom w:val="0"/>
          <w:divBdr>
            <w:top w:val="none" w:sz="0" w:space="0" w:color="auto"/>
            <w:left w:val="none" w:sz="0" w:space="0" w:color="auto"/>
            <w:bottom w:val="none" w:sz="0" w:space="0" w:color="auto"/>
            <w:right w:val="none" w:sz="0" w:space="0" w:color="auto"/>
          </w:divBdr>
        </w:div>
        <w:div w:id="1045908055">
          <w:marLeft w:val="0"/>
          <w:marRight w:val="0"/>
          <w:marTop w:val="0"/>
          <w:marBottom w:val="0"/>
          <w:divBdr>
            <w:top w:val="none" w:sz="0" w:space="0" w:color="auto"/>
            <w:left w:val="none" w:sz="0" w:space="0" w:color="auto"/>
            <w:bottom w:val="none" w:sz="0" w:space="0" w:color="auto"/>
            <w:right w:val="none" w:sz="0" w:space="0" w:color="auto"/>
          </w:divBdr>
        </w:div>
        <w:div w:id="1061055348">
          <w:marLeft w:val="0"/>
          <w:marRight w:val="0"/>
          <w:marTop w:val="0"/>
          <w:marBottom w:val="0"/>
          <w:divBdr>
            <w:top w:val="none" w:sz="0" w:space="0" w:color="auto"/>
            <w:left w:val="none" w:sz="0" w:space="0" w:color="auto"/>
            <w:bottom w:val="none" w:sz="0" w:space="0" w:color="auto"/>
            <w:right w:val="none" w:sz="0" w:space="0" w:color="auto"/>
          </w:divBdr>
        </w:div>
        <w:div w:id="1065225286">
          <w:marLeft w:val="0"/>
          <w:marRight w:val="0"/>
          <w:marTop w:val="0"/>
          <w:marBottom w:val="0"/>
          <w:divBdr>
            <w:top w:val="none" w:sz="0" w:space="0" w:color="auto"/>
            <w:left w:val="none" w:sz="0" w:space="0" w:color="auto"/>
            <w:bottom w:val="none" w:sz="0" w:space="0" w:color="auto"/>
            <w:right w:val="none" w:sz="0" w:space="0" w:color="auto"/>
          </w:divBdr>
        </w:div>
        <w:div w:id="1074863229">
          <w:marLeft w:val="0"/>
          <w:marRight w:val="0"/>
          <w:marTop w:val="0"/>
          <w:marBottom w:val="0"/>
          <w:divBdr>
            <w:top w:val="none" w:sz="0" w:space="0" w:color="auto"/>
            <w:left w:val="none" w:sz="0" w:space="0" w:color="auto"/>
            <w:bottom w:val="none" w:sz="0" w:space="0" w:color="auto"/>
            <w:right w:val="none" w:sz="0" w:space="0" w:color="auto"/>
          </w:divBdr>
        </w:div>
        <w:div w:id="1193957795">
          <w:marLeft w:val="0"/>
          <w:marRight w:val="0"/>
          <w:marTop w:val="0"/>
          <w:marBottom w:val="0"/>
          <w:divBdr>
            <w:top w:val="none" w:sz="0" w:space="0" w:color="auto"/>
            <w:left w:val="none" w:sz="0" w:space="0" w:color="auto"/>
            <w:bottom w:val="none" w:sz="0" w:space="0" w:color="auto"/>
            <w:right w:val="none" w:sz="0" w:space="0" w:color="auto"/>
          </w:divBdr>
        </w:div>
        <w:div w:id="1218468868">
          <w:marLeft w:val="0"/>
          <w:marRight w:val="0"/>
          <w:marTop w:val="0"/>
          <w:marBottom w:val="0"/>
          <w:divBdr>
            <w:top w:val="none" w:sz="0" w:space="0" w:color="auto"/>
            <w:left w:val="none" w:sz="0" w:space="0" w:color="auto"/>
            <w:bottom w:val="none" w:sz="0" w:space="0" w:color="auto"/>
            <w:right w:val="none" w:sz="0" w:space="0" w:color="auto"/>
          </w:divBdr>
        </w:div>
        <w:div w:id="1285114173">
          <w:marLeft w:val="0"/>
          <w:marRight w:val="0"/>
          <w:marTop w:val="0"/>
          <w:marBottom w:val="0"/>
          <w:divBdr>
            <w:top w:val="none" w:sz="0" w:space="0" w:color="auto"/>
            <w:left w:val="none" w:sz="0" w:space="0" w:color="auto"/>
            <w:bottom w:val="none" w:sz="0" w:space="0" w:color="auto"/>
            <w:right w:val="none" w:sz="0" w:space="0" w:color="auto"/>
          </w:divBdr>
        </w:div>
        <w:div w:id="1301228212">
          <w:marLeft w:val="0"/>
          <w:marRight w:val="0"/>
          <w:marTop w:val="0"/>
          <w:marBottom w:val="0"/>
          <w:divBdr>
            <w:top w:val="none" w:sz="0" w:space="0" w:color="auto"/>
            <w:left w:val="none" w:sz="0" w:space="0" w:color="auto"/>
            <w:bottom w:val="none" w:sz="0" w:space="0" w:color="auto"/>
            <w:right w:val="none" w:sz="0" w:space="0" w:color="auto"/>
          </w:divBdr>
        </w:div>
        <w:div w:id="1301571715">
          <w:marLeft w:val="0"/>
          <w:marRight w:val="0"/>
          <w:marTop w:val="0"/>
          <w:marBottom w:val="0"/>
          <w:divBdr>
            <w:top w:val="none" w:sz="0" w:space="0" w:color="auto"/>
            <w:left w:val="none" w:sz="0" w:space="0" w:color="auto"/>
            <w:bottom w:val="none" w:sz="0" w:space="0" w:color="auto"/>
            <w:right w:val="none" w:sz="0" w:space="0" w:color="auto"/>
          </w:divBdr>
        </w:div>
        <w:div w:id="1322466839">
          <w:marLeft w:val="0"/>
          <w:marRight w:val="0"/>
          <w:marTop w:val="0"/>
          <w:marBottom w:val="0"/>
          <w:divBdr>
            <w:top w:val="none" w:sz="0" w:space="0" w:color="auto"/>
            <w:left w:val="none" w:sz="0" w:space="0" w:color="auto"/>
            <w:bottom w:val="none" w:sz="0" w:space="0" w:color="auto"/>
            <w:right w:val="none" w:sz="0" w:space="0" w:color="auto"/>
          </w:divBdr>
        </w:div>
        <w:div w:id="1327511826">
          <w:marLeft w:val="0"/>
          <w:marRight w:val="0"/>
          <w:marTop w:val="0"/>
          <w:marBottom w:val="0"/>
          <w:divBdr>
            <w:top w:val="none" w:sz="0" w:space="0" w:color="auto"/>
            <w:left w:val="none" w:sz="0" w:space="0" w:color="auto"/>
            <w:bottom w:val="none" w:sz="0" w:space="0" w:color="auto"/>
            <w:right w:val="none" w:sz="0" w:space="0" w:color="auto"/>
          </w:divBdr>
        </w:div>
        <w:div w:id="1329559563">
          <w:marLeft w:val="0"/>
          <w:marRight w:val="0"/>
          <w:marTop w:val="0"/>
          <w:marBottom w:val="0"/>
          <w:divBdr>
            <w:top w:val="none" w:sz="0" w:space="0" w:color="auto"/>
            <w:left w:val="none" w:sz="0" w:space="0" w:color="auto"/>
            <w:bottom w:val="none" w:sz="0" w:space="0" w:color="auto"/>
            <w:right w:val="none" w:sz="0" w:space="0" w:color="auto"/>
          </w:divBdr>
        </w:div>
        <w:div w:id="1347058847">
          <w:marLeft w:val="0"/>
          <w:marRight w:val="0"/>
          <w:marTop w:val="0"/>
          <w:marBottom w:val="0"/>
          <w:divBdr>
            <w:top w:val="none" w:sz="0" w:space="0" w:color="auto"/>
            <w:left w:val="none" w:sz="0" w:space="0" w:color="auto"/>
            <w:bottom w:val="none" w:sz="0" w:space="0" w:color="auto"/>
            <w:right w:val="none" w:sz="0" w:space="0" w:color="auto"/>
          </w:divBdr>
        </w:div>
        <w:div w:id="1370302875">
          <w:marLeft w:val="0"/>
          <w:marRight w:val="0"/>
          <w:marTop w:val="0"/>
          <w:marBottom w:val="0"/>
          <w:divBdr>
            <w:top w:val="none" w:sz="0" w:space="0" w:color="auto"/>
            <w:left w:val="none" w:sz="0" w:space="0" w:color="auto"/>
            <w:bottom w:val="none" w:sz="0" w:space="0" w:color="auto"/>
            <w:right w:val="none" w:sz="0" w:space="0" w:color="auto"/>
          </w:divBdr>
        </w:div>
        <w:div w:id="1460688354">
          <w:marLeft w:val="0"/>
          <w:marRight w:val="0"/>
          <w:marTop w:val="0"/>
          <w:marBottom w:val="0"/>
          <w:divBdr>
            <w:top w:val="none" w:sz="0" w:space="0" w:color="auto"/>
            <w:left w:val="none" w:sz="0" w:space="0" w:color="auto"/>
            <w:bottom w:val="none" w:sz="0" w:space="0" w:color="auto"/>
            <w:right w:val="none" w:sz="0" w:space="0" w:color="auto"/>
          </w:divBdr>
        </w:div>
        <w:div w:id="1471744933">
          <w:marLeft w:val="0"/>
          <w:marRight w:val="0"/>
          <w:marTop w:val="0"/>
          <w:marBottom w:val="0"/>
          <w:divBdr>
            <w:top w:val="none" w:sz="0" w:space="0" w:color="auto"/>
            <w:left w:val="none" w:sz="0" w:space="0" w:color="auto"/>
            <w:bottom w:val="none" w:sz="0" w:space="0" w:color="auto"/>
            <w:right w:val="none" w:sz="0" w:space="0" w:color="auto"/>
          </w:divBdr>
        </w:div>
        <w:div w:id="1472863338">
          <w:marLeft w:val="0"/>
          <w:marRight w:val="0"/>
          <w:marTop w:val="0"/>
          <w:marBottom w:val="0"/>
          <w:divBdr>
            <w:top w:val="none" w:sz="0" w:space="0" w:color="auto"/>
            <w:left w:val="none" w:sz="0" w:space="0" w:color="auto"/>
            <w:bottom w:val="none" w:sz="0" w:space="0" w:color="auto"/>
            <w:right w:val="none" w:sz="0" w:space="0" w:color="auto"/>
          </w:divBdr>
        </w:div>
        <w:div w:id="1477600465">
          <w:marLeft w:val="0"/>
          <w:marRight w:val="0"/>
          <w:marTop w:val="0"/>
          <w:marBottom w:val="0"/>
          <w:divBdr>
            <w:top w:val="none" w:sz="0" w:space="0" w:color="auto"/>
            <w:left w:val="none" w:sz="0" w:space="0" w:color="auto"/>
            <w:bottom w:val="none" w:sz="0" w:space="0" w:color="auto"/>
            <w:right w:val="none" w:sz="0" w:space="0" w:color="auto"/>
          </w:divBdr>
        </w:div>
        <w:div w:id="1496267065">
          <w:marLeft w:val="0"/>
          <w:marRight w:val="0"/>
          <w:marTop w:val="0"/>
          <w:marBottom w:val="0"/>
          <w:divBdr>
            <w:top w:val="none" w:sz="0" w:space="0" w:color="auto"/>
            <w:left w:val="none" w:sz="0" w:space="0" w:color="auto"/>
            <w:bottom w:val="none" w:sz="0" w:space="0" w:color="auto"/>
            <w:right w:val="none" w:sz="0" w:space="0" w:color="auto"/>
          </w:divBdr>
        </w:div>
        <w:div w:id="1528366870">
          <w:marLeft w:val="0"/>
          <w:marRight w:val="0"/>
          <w:marTop w:val="0"/>
          <w:marBottom w:val="0"/>
          <w:divBdr>
            <w:top w:val="none" w:sz="0" w:space="0" w:color="auto"/>
            <w:left w:val="none" w:sz="0" w:space="0" w:color="auto"/>
            <w:bottom w:val="none" w:sz="0" w:space="0" w:color="auto"/>
            <w:right w:val="none" w:sz="0" w:space="0" w:color="auto"/>
          </w:divBdr>
        </w:div>
        <w:div w:id="1549296341">
          <w:marLeft w:val="0"/>
          <w:marRight w:val="0"/>
          <w:marTop w:val="0"/>
          <w:marBottom w:val="0"/>
          <w:divBdr>
            <w:top w:val="none" w:sz="0" w:space="0" w:color="auto"/>
            <w:left w:val="none" w:sz="0" w:space="0" w:color="auto"/>
            <w:bottom w:val="none" w:sz="0" w:space="0" w:color="auto"/>
            <w:right w:val="none" w:sz="0" w:space="0" w:color="auto"/>
          </w:divBdr>
        </w:div>
        <w:div w:id="1552885560">
          <w:marLeft w:val="0"/>
          <w:marRight w:val="0"/>
          <w:marTop w:val="0"/>
          <w:marBottom w:val="0"/>
          <w:divBdr>
            <w:top w:val="none" w:sz="0" w:space="0" w:color="auto"/>
            <w:left w:val="none" w:sz="0" w:space="0" w:color="auto"/>
            <w:bottom w:val="none" w:sz="0" w:space="0" w:color="auto"/>
            <w:right w:val="none" w:sz="0" w:space="0" w:color="auto"/>
          </w:divBdr>
        </w:div>
        <w:div w:id="1584415083">
          <w:marLeft w:val="0"/>
          <w:marRight w:val="0"/>
          <w:marTop w:val="0"/>
          <w:marBottom w:val="0"/>
          <w:divBdr>
            <w:top w:val="none" w:sz="0" w:space="0" w:color="auto"/>
            <w:left w:val="none" w:sz="0" w:space="0" w:color="auto"/>
            <w:bottom w:val="none" w:sz="0" w:space="0" w:color="auto"/>
            <w:right w:val="none" w:sz="0" w:space="0" w:color="auto"/>
          </w:divBdr>
        </w:div>
        <w:div w:id="1601571027">
          <w:marLeft w:val="0"/>
          <w:marRight w:val="0"/>
          <w:marTop w:val="0"/>
          <w:marBottom w:val="0"/>
          <w:divBdr>
            <w:top w:val="none" w:sz="0" w:space="0" w:color="auto"/>
            <w:left w:val="none" w:sz="0" w:space="0" w:color="auto"/>
            <w:bottom w:val="none" w:sz="0" w:space="0" w:color="auto"/>
            <w:right w:val="none" w:sz="0" w:space="0" w:color="auto"/>
          </w:divBdr>
        </w:div>
        <w:div w:id="1618871093">
          <w:marLeft w:val="0"/>
          <w:marRight w:val="0"/>
          <w:marTop w:val="0"/>
          <w:marBottom w:val="0"/>
          <w:divBdr>
            <w:top w:val="none" w:sz="0" w:space="0" w:color="auto"/>
            <w:left w:val="none" w:sz="0" w:space="0" w:color="auto"/>
            <w:bottom w:val="none" w:sz="0" w:space="0" w:color="auto"/>
            <w:right w:val="none" w:sz="0" w:space="0" w:color="auto"/>
          </w:divBdr>
        </w:div>
        <w:div w:id="1623727241">
          <w:marLeft w:val="0"/>
          <w:marRight w:val="0"/>
          <w:marTop w:val="0"/>
          <w:marBottom w:val="0"/>
          <w:divBdr>
            <w:top w:val="none" w:sz="0" w:space="0" w:color="auto"/>
            <w:left w:val="none" w:sz="0" w:space="0" w:color="auto"/>
            <w:bottom w:val="none" w:sz="0" w:space="0" w:color="auto"/>
            <w:right w:val="none" w:sz="0" w:space="0" w:color="auto"/>
          </w:divBdr>
        </w:div>
        <w:div w:id="1631353036">
          <w:marLeft w:val="0"/>
          <w:marRight w:val="0"/>
          <w:marTop w:val="0"/>
          <w:marBottom w:val="0"/>
          <w:divBdr>
            <w:top w:val="none" w:sz="0" w:space="0" w:color="auto"/>
            <w:left w:val="none" w:sz="0" w:space="0" w:color="auto"/>
            <w:bottom w:val="none" w:sz="0" w:space="0" w:color="auto"/>
            <w:right w:val="none" w:sz="0" w:space="0" w:color="auto"/>
          </w:divBdr>
        </w:div>
        <w:div w:id="1641306484">
          <w:marLeft w:val="0"/>
          <w:marRight w:val="0"/>
          <w:marTop w:val="0"/>
          <w:marBottom w:val="0"/>
          <w:divBdr>
            <w:top w:val="none" w:sz="0" w:space="0" w:color="auto"/>
            <w:left w:val="none" w:sz="0" w:space="0" w:color="auto"/>
            <w:bottom w:val="none" w:sz="0" w:space="0" w:color="auto"/>
            <w:right w:val="none" w:sz="0" w:space="0" w:color="auto"/>
          </w:divBdr>
        </w:div>
        <w:div w:id="1643775508">
          <w:marLeft w:val="0"/>
          <w:marRight w:val="0"/>
          <w:marTop w:val="0"/>
          <w:marBottom w:val="0"/>
          <w:divBdr>
            <w:top w:val="none" w:sz="0" w:space="0" w:color="auto"/>
            <w:left w:val="none" w:sz="0" w:space="0" w:color="auto"/>
            <w:bottom w:val="none" w:sz="0" w:space="0" w:color="auto"/>
            <w:right w:val="none" w:sz="0" w:space="0" w:color="auto"/>
          </w:divBdr>
        </w:div>
        <w:div w:id="1656370316">
          <w:marLeft w:val="0"/>
          <w:marRight w:val="0"/>
          <w:marTop w:val="0"/>
          <w:marBottom w:val="0"/>
          <w:divBdr>
            <w:top w:val="none" w:sz="0" w:space="0" w:color="auto"/>
            <w:left w:val="none" w:sz="0" w:space="0" w:color="auto"/>
            <w:bottom w:val="none" w:sz="0" w:space="0" w:color="auto"/>
            <w:right w:val="none" w:sz="0" w:space="0" w:color="auto"/>
          </w:divBdr>
        </w:div>
        <w:div w:id="1692756477">
          <w:marLeft w:val="0"/>
          <w:marRight w:val="0"/>
          <w:marTop w:val="0"/>
          <w:marBottom w:val="0"/>
          <w:divBdr>
            <w:top w:val="none" w:sz="0" w:space="0" w:color="auto"/>
            <w:left w:val="none" w:sz="0" w:space="0" w:color="auto"/>
            <w:bottom w:val="none" w:sz="0" w:space="0" w:color="auto"/>
            <w:right w:val="none" w:sz="0" w:space="0" w:color="auto"/>
          </w:divBdr>
        </w:div>
        <w:div w:id="1719625276">
          <w:marLeft w:val="0"/>
          <w:marRight w:val="0"/>
          <w:marTop w:val="0"/>
          <w:marBottom w:val="0"/>
          <w:divBdr>
            <w:top w:val="none" w:sz="0" w:space="0" w:color="auto"/>
            <w:left w:val="none" w:sz="0" w:space="0" w:color="auto"/>
            <w:bottom w:val="none" w:sz="0" w:space="0" w:color="auto"/>
            <w:right w:val="none" w:sz="0" w:space="0" w:color="auto"/>
          </w:divBdr>
        </w:div>
        <w:div w:id="1735273969">
          <w:marLeft w:val="0"/>
          <w:marRight w:val="0"/>
          <w:marTop w:val="0"/>
          <w:marBottom w:val="0"/>
          <w:divBdr>
            <w:top w:val="none" w:sz="0" w:space="0" w:color="auto"/>
            <w:left w:val="none" w:sz="0" w:space="0" w:color="auto"/>
            <w:bottom w:val="none" w:sz="0" w:space="0" w:color="auto"/>
            <w:right w:val="none" w:sz="0" w:space="0" w:color="auto"/>
          </w:divBdr>
        </w:div>
        <w:div w:id="1737700800">
          <w:marLeft w:val="0"/>
          <w:marRight w:val="0"/>
          <w:marTop w:val="0"/>
          <w:marBottom w:val="0"/>
          <w:divBdr>
            <w:top w:val="none" w:sz="0" w:space="0" w:color="auto"/>
            <w:left w:val="none" w:sz="0" w:space="0" w:color="auto"/>
            <w:bottom w:val="none" w:sz="0" w:space="0" w:color="auto"/>
            <w:right w:val="none" w:sz="0" w:space="0" w:color="auto"/>
          </w:divBdr>
        </w:div>
        <w:div w:id="1755516633">
          <w:marLeft w:val="0"/>
          <w:marRight w:val="0"/>
          <w:marTop w:val="0"/>
          <w:marBottom w:val="0"/>
          <w:divBdr>
            <w:top w:val="none" w:sz="0" w:space="0" w:color="auto"/>
            <w:left w:val="none" w:sz="0" w:space="0" w:color="auto"/>
            <w:bottom w:val="none" w:sz="0" w:space="0" w:color="auto"/>
            <w:right w:val="none" w:sz="0" w:space="0" w:color="auto"/>
          </w:divBdr>
        </w:div>
        <w:div w:id="1768187197">
          <w:marLeft w:val="0"/>
          <w:marRight w:val="0"/>
          <w:marTop w:val="0"/>
          <w:marBottom w:val="0"/>
          <w:divBdr>
            <w:top w:val="none" w:sz="0" w:space="0" w:color="auto"/>
            <w:left w:val="none" w:sz="0" w:space="0" w:color="auto"/>
            <w:bottom w:val="none" w:sz="0" w:space="0" w:color="auto"/>
            <w:right w:val="none" w:sz="0" w:space="0" w:color="auto"/>
          </w:divBdr>
        </w:div>
        <w:div w:id="1786464825">
          <w:marLeft w:val="0"/>
          <w:marRight w:val="0"/>
          <w:marTop w:val="0"/>
          <w:marBottom w:val="0"/>
          <w:divBdr>
            <w:top w:val="none" w:sz="0" w:space="0" w:color="auto"/>
            <w:left w:val="none" w:sz="0" w:space="0" w:color="auto"/>
            <w:bottom w:val="none" w:sz="0" w:space="0" w:color="auto"/>
            <w:right w:val="none" w:sz="0" w:space="0" w:color="auto"/>
          </w:divBdr>
        </w:div>
        <w:div w:id="1811828532">
          <w:marLeft w:val="0"/>
          <w:marRight w:val="0"/>
          <w:marTop w:val="0"/>
          <w:marBottom w:val="0"/>
          <w:divBdr>
            <w:top w:val="none" w:sz="0" w:space="0" w:color="auto"/>
            <w:left w:val="none" w:sz="0" w:space="0" w:color="auto"/>
            <w:bottom w:val="none" w:sz="0" w:space="0" w:color="auto"/>
            <w:right w:val="none" w:sz="0" w:space="0" w:color="auto"/>
          </w:divBdr>
        </w:div>
        <w:div w:id="1835491408">
          <w:marLeft w:val="0"/>
          <w:marRight w:val="0"/>
          <w:marTop w:val="0"/>
          <w:marBottom w:val="0"/>
          <w:divBdr>
            <w:top w:val="none" w:sz="0" w:space="0" w:color="auto"/>
            <w:left w:val="none" w:sz="0" w:space="0" w:color="auto"/>
            <w:bottom w:val="none" w:sz="0" w:space="0" w:color="auto"/>
            <w:right w:val="none" w:sz="0" w:space="0" w:color="auto"/>
          </w:divBdr>
        </w:div>
        <w:div w:id="1845240171">
          <w:marLeft w:val="0"/>
          <w:marRight w:val="0"/>
          <w:marTop w:val="0"/>
          <w:marBottom w:val="0"/>
          <w:divBdr>
            <w:top w:val="none" w:sz="0" w:space="0" w:color="auto"/>
            <w:left w:val="none" w:sz="0" w:space="0" w:color="auto"/>
            <w:bottom w:val="none" w:sz="0" w:space="0" w:color="auto"/>
            <w:right w:val="none" w:sz="0" w:space="0" w:color="auto"/>
          </w:divBdr>
        </w:div>
        <w:div w:id="1846820993">
          <w:marLeft w:val="0"/>
          <w:marRight w:val="0"/>
          <w:marTop w:val="0"/>
          <w:marBottom w:val="0"/>
          <w:divBdr>
            <w:top w:val="none" w:sz="0" w:space="0" w:color="auto"/>
            <w:left w:val="none" w:sz="0" w:space="0" w:color="auto"/>
            <w:bottom w:val="none" w:sz="0" w:space="0" w:color="auto"/>
            <w:right w:val="none" w:sz="0" w:space="0" w:color="auto"/>
          </w:divBdr>
        </w:div>
        <w:div w:id="1857379887">
          <w:marLeft w:val="0"/>
          <w:marRight w:val="0"/>
          <w:marTop w:val="0"/>
          <w:marBottom w:val="0"/>
          <w:divBdr>
            <w:top w:val="none" w:sz="0" w:space="0" w:color="auto"/>
            <w:left w:val="none" w:sz="0" w:space="0" w:color="auto"/>
            <w:bottom w:val="none" w:sz="0" w:space="0" w:color="auto"/>
            <w:right w:val="none" w:sz="0" w:space="0" w:color="auto"/>
          </w:divBdr>
        </w:div>
        <w:div w:id="1879200075">
          <w:marLeft w:val="0"/>
          <w:marRight w:val="0"/>
          <w:marTop w:val="0"/>
          <w:marBottom w:val="0"/>
          <w:divBdr>
            <w:top w:val="none" w:sz="0" w:space="0" w:color="auto"/>
            <w:left w:val="none" w:sz="0" w:space="0" w:color="auto"/>
            <w:bottom w:val="none" w:sz="0" w:space="0" w:color="auto"/>
            <w:right w:val="none" w:sz="0" w:space="0" w:color="auto"/>
          </w:divBdr>
        </w:div>
        <w:div w:id="1959411505">
          <w:marLeft w:val="0"/>
          <w:marRight w:val="0"/>
          <w:marTop w:val="0"/>
          <w:marBottom w:val="0"/>
          <w:divBdr>
            <w:top w:val="none" w:sz="0" w:space="0" w:color="auto"/>
            <w:left w:val="none" w:sz="0" w:space="0" w:color="auto"/>
            <w:bottom w:val="none" w:sz="0" w:space="0" w:color="auto"/>
            <w:right w:val="none" w:sz="0" w:space="0" w:color="auto"/>
          </w:divBdr>
        </w:div>
        <w:div w:id="2002270006">
          <w:marLeft w:val="0"/>
          <w:marRight w:val="0"/>
          <w:marTop w:val="0"/>
          <w:marBottom w:val="0"/>
          <w:divBdr>
            <w:top w:val="none" w:sz="0" w:space="0" w:color="auto"/>
            <w:left w:val="none" w:sz="0" w:space="0" w:color="auto"/>
            <w:bottom w:val="none" w:sz="0" w:space="0" w:color="auto"/>
            <w:right w:val="none" w:sz="0" w:space="0" w:color="auto"/>
          </w:divBdr>
        </w:div>
        <w:div w:id="2020423965">
          <w:marLeft w:val="0"/>
          <w:marRight w:val="0"/>
          <w:marTop w:val="0"/>
          <w:marBottom w:val="0"/>
          <w:divBdr>
            <w:top w:val="none" w:sz="0" w:space="0" w:color="auto"/>
            <w:left w:val="none" w:sz="0" w:space="0" w:color="auto"/>
            <w:bottom w:val="none" w:sz="0" w:space="0" w:color="auto"/>
            <w:right w:val="none" w:sz="0" w:space="0" w:color="auto"/>
          </w:divBdr>
        </w:div>
        <w:div w:id="2045473526">
          <w:marLeft w:val="0"/>
          <w:marRight w:val="0"/>
          <w:marTop w:val="0"/>
          <w:marBottom w:val="0"/>
          <w:divBdr>
            <w:top w:val="none" w:sz="0" w:space="0" w:color="auto"/>
            <w:left w:val="none" w:sz="0" w:space="0" w:color="auto"/>
            <w:bottom w:val="none" w:sz="0" w:space="0" w:color="auto"/>
            <w:right w:val="none" w:sz="0" w:space="0" w:color="auto"/>
          </w:divBdr>
        </w:div>
        <w:div w:id="2078286502">
          <w:marLeft w:val="0"/>
          <w:marRight w:val="0"/>
          <w:marTop w:val="0"/>
          <w:marBottom w:val="0"/>
          <w:divBdr>
            <w:top w:val="none" w:sz="0" w:space="0" w:color="auto"/>
            <w:left w:val="none" w:sz="0" w:space="0" w:color="auto"/>
            <w:bottom w:val="none" w:sz="0" w:space="0" w:color="auto"/>
            <w:right w:val="none" w:sz="0" w:space="0" w:color="auto"/>
          </w:divBdr>
        </w:div>
        <w:div w:id="2087800377">
          <w:marLeft w:val="0"/>
          <w:marRight w:val="0"/>
          <w:marTop w:val="0"/>
          <w:marBottom w:val="0"/>
          <w:divBdr>
            <w:top w:val="none" w:sz="0" w:space="0" w:color="auto"/>
            <w:left w:val="none" w:sz="0" w:space="0" w:color="auto"/>
            <w:bottom w:val="none" w:sz="0" w:space="0" w:color="auto"/>
            <w:right w:val="none" w:sz="0" w:space="0" w:color="auto"/>
          </w:divBdr>
        </w:div>
        <w:div w:id="2107529212">
          <w:marLeft w:val="0"/>
          <w:marRight w:val="0"/>
          <w:marTop w:val="0"/>
          <w:marBottom w:val="0"/>
          <w:divBdr>
            <w:top w:val="none" w:sz="0" w:space="0" w:color="auto"/>
            <w:left w:val="none" w:sz="0" w:space="0" w:color="auto"/>
            <w:bottom w:val="none" w:sz="0" w:space="0" w:color="auto"/>
            <w:right w:val="none" w:sz="0" w:space="0" w:color="auto"/>
          </w:divBdr>
        </w:div>
      </w:divsChild>
    </w:div>
    <w:div w:id="491528521">
      <w:bodyDiv w:val="1"/>
      <w:marLeft w:val="0"/>
      <w:marRight w:val="0"/>
      <w:marTop w:val="0"/>
      <w:marBottom w:val="0"/>
      <w:divBdr>
        <w:top w:val="none" w:sz="0" w:space="0" w:color="auto"/>
        <w:left w:val="none" w:sz="0" w:space="0" w:color="auto"/>
        <w:bottom w:val="none" w:sz="0" w:space="0" w:color="auto"/>
        <w:right w:val="none" w:sz="0" w:space="0" w:color="auto"/>
      </w:divBdr>
    </w:div>
    <w:div w:id="506135381">
      <w:bodyDiv w:val="1"/>
      <w:marLeft w:val="0"/>
      <w:marRight w:val="0"/>
      <w:marTop w:val="0"/>
      <w:marBottom w:val="0"/>
      <w:divBdr>
        <w:top w:val="none" w:sz="0" w:space="0" w:color="auto"/>
        <w:left w:val="none" w:sz="0" w:space="0" w:color="auto"/>
        <w:bottom w:val="none" w:sz="0" w:space="0" w:color="auto"/>
        <w:right w:val="none" w:sz="0" w:space="0" w:color="auto"/>
      </w:divBdr>
    </w:div>
    <w:div w:id="593364011">
      <w:bodyDiv w:val="1"/>
      <w:marLeft w:val="0"/>
      <w:marRight w:val="0"/>
      <w:marTop w:val="0"/>
      <w:marBottom w:val="0"/>
      <w:divBdr>
        <w:top w:val="none" w:sz="0" w:space="0" w:color="auto"/>
        <w:left w:val="none" w:sz="0" w:space="0" w:color="auto"/>
        <w:bottom w:val="none" w:sz="0" w:space="0" w:color="auto"/>
        <w:right w:val="none" w:sz="0" w:space="0" w:color="auto"/>
      </w:divBdr>
    </w:div>
    <w:div w:id="726808094">
      <w:bodyDiv w:val="1"/>
      <w:marLeft w:val="0"/>
      <w:marRight w:val="0"/>
      <w:marTop w:val="0"/>
      <w:marBottom w:val="0"/>
      <w:divBdr>
        <w:top w:val="none" w:sz="0" w:space="0" w:color="auto"/>
        <w:left w:val="none" w:sz="0" w:space="0" w:color="auto"/>
        <w:bottom w:val="none" w:sz="0" w:space="0" w:color="auto"/>
        <w:right w:val="none" w:sz="0" w:space="0" w:color="auto"/>
      </w:divBdr>
      <w:divsChild>
        <w:div w:id="25182705">
          <w:marLeft w:val="0"/>
          <w:marRight w:val="0"/>
          <w:marTop w:val="0"/>
          <w:marBottom w:val="0"/>
          <w:divBdr>
            <w:top w:val="none" w:sz="0" w:space="0" w:color="auto"/>
            <w:left w:val="none" w:sz="0" w:space="0" w:color="auto"/>
            <w:bottom w:val="none" w:sz="0" w:space="0" w:color="auto"/>
            <w:right w:val="none" w:sz="0" w:space="0" w:color="auto"/>
          </w:divBdr>
        </w:div>
        <w:div w:id="25260177">
          <w:marLeft w:val="0"/>
          <w:marRight w:val="0"/>
          <w:marTop w:val="0"/>
          <w:marBottom w:val="0"/>
          <w:divBdr>
            <w:top w:val="none" w:sz="0" w:space="0" w:color="auto"/>
            <w:left w:val="none" w:sz="0" w:space="0" w:color="auto"/>
            <w:bottom w:val="none" w:sz="0" w:space="0" w:color="auto"/>
            <w:right w:val="none" w:sz="0" w:space="0" w:color="auto"/>
          </w:divBdr>
        </w:div>
        <w:div w:id="37244747">
          <w:marLeft w:val="0"/>
          <w:marRight w:val="0"/>
          <w:marTop w:val="0"/>
          <w:marBottom w:val="0"/>
          <w:divBdr>
            <w:top w:val="none" w:sz="0" w:space="0" w:color="auto"/>
            <w:left w:val="none" w:sz="0" w:space="0" w:color="auto"/>
            <w:bottom w:val="none" w:sz="0" w:space="0" w:color="auto"/>
            <w:right w:val="none" w:sz="0" w:space="0" w:color="auto"/>
          </w:divBdr>
        </w:div>
        <w:div w:id="50738836">
          <w:marLeft w:val="0"/>
          <w:marRight w:val="0"/>
          <w:marTop w:val="0"/>
          <w:marBottom w:val="0"/>
          <w:divBdr>
            <w:top w:val="none" w:sz="0" w:space="0" w:color="auto"/>
            <w:left w:val="none" w:sz="0" w:space="0" w:color="auto"/>
            <w:bottom w:val="none" w:sz="0" w:space="0" w:color="auto"/>
            <w:right w:val="none" w:sz="0" w:space="0" w:color="auto"/>
          </w:divBdr>
        </w:div>
        <w:div w:id="61677617">
          <w:marLeft w:val="0"/>
          <w:marRight w:val="0"/>
          <w:marTop w:val="0"/>
          <w:marBottom w:val="0"/>
          <w:divBdr>
            <w:top w:val="none" w:sz="0" w:space="0" w:color="auto"/>
            <w:left w:val="none" w:sz="0" w:space="0" w:color="auto"/>
            <w:bottom w:val="none" w:sz="0" w:space="0" w:color="auto"/>
            <w:right w:val="none" w:sz="0" w:space="0" w:color="auto"/>
          </w:divBdr>
        </w:div>
        <w:div w:id="113527118">
          <w:marLeft w:val="0"/>
          <w:marRight w:val="0"/>
          <w:marTop w:val="0"/>
          <w:marBottom w:val="0"/>
          <w:divBdr>
            <w:top w:val="none" w:sz="0" w:space="0" w:color="auto"/>
            <w:left w:val="none" w:sz="0" w:space="0" w:color="auto"/>
            <w:bottom w:val="none" w:sz="0" w:space="0" w:color="auto"/>
            <w:right w:val="none" w:sz="0" w:space="0" w:color="auto"/>
          </w:divBdr>
        </w:div>
        <w:div w:id="130097545">
          <w:marLeft w:val="0"/>
          <w:marRight w:val="0"/>
          <w:marTop w:val="0"/>
          <w:marBottom w:val="0"/>
          <w:divBdr>
            <w:top w:val="none" w:sz="0" w:space="0" w:color="auto"/>
            <w:left w:val="none" w:sz="0" w:space="0" w:color="auto"/>
            <w:bottom w:val="none" w:sz="0" w:space="0" w:color="auto"/>
            <w:right w:val="none" w:sz="0" w:space="0" w:color="auto"/>
          </w:divBdr>
        </w:div>
        <w:div w:id="145628455">
          <w:marLeft w:val="0"/>
          <w:marRight w:val="0"/>
          <w:marTop w:val="0"/>
          <w:marBottom w:val="0"/>
          <w:divBdr>
            <w:top w:val="none" w:sz="0" w:space="0" w:color="auto"/>
            <w:left w:val="none" w:sz="0" w:space="0" w:color="auto"/>
            <w:bottom w:val="none" w:sz="0" w:space="0" w:color="auto"/>
            <w:right w:val="none" w:sz="0" w:space="0" w:color="auto"/>
          </w:divBdr>
        </w:div>
        <w:div w:id="249626716">
          <w:marLeft w:val="0"/>
          <w:marRight w:val="0"/>
          <w:marTop w:val="0"/>
          <w:marBottom w:val="0"/>
          <w:divBdr>
            <w:top w:val="none" w:sz="0" w:space="0" w:color="auto"/>
            <w:left w:val="none" w:sz="0" w:space="0" w:color="auto"/>
            <w:bottom w:val="none" w:sz="0" w:space="0" w:color="auto"/>
            <w:right w:val="none" w:sz="0" w:space="0" w:color="auto"/>
          </w:divBdr>
        </w:div>
        <w:div w:id="254679301">
          <w:marLeft w:val="0"/>
          <w:marRight w:val="0"/>
          <w:marTop w:val="0"/>
          <w:marBottom w:val="0"/>
          <w:divBdr>
            <w:top w:val="none" w:sz="0" w:space="0" w:color="auto"/>
            <w:left w:val="none" w:sz="0" w:space="0" w:color="auto"/>
            <w:bottom w:val="none" w:sz="0" w:space="0" w:color="auto"/>
            <w:right w:val="none" w:sz="0" w:space="0" w:color="auto"/>
          </w:divBdr>
        </w:div>
        <w:div w:id="260450955">
          <w:marLeft w:val="0"/>
          <w:marRight w:val="0"/>
          <w:marTop w:val="0"/>
          <w:marBottom w:val="0"/>
          <w:divBdr>
            <w:top w:val="none" w:sz="0" w:space="0" w:color="auto"/>
            <w:left w:val="none" w:sz="0" w:space="0" w:color="auto"/>
            <w:bottom w:val="none" w:sz="0" w:space="0" w:color="auto"/>
            <w:right w:val="none" w:sz="0" w:space="0" w:color="auto"/>
          </w:divBdr>
        </w:div>
        <w:div w:id="262686471">
          <w:marLeft w:val="0"/>
          <w:marRight w:val="0"/>
          <w:marTop w:val="0"/>
          <w:marBottom w:val="0"/>
          <w:divBdr>
            <w:top w:val="none" w:sz="0" w:space="0" w:color="auto"/>
            <w:left w:val="none" w:sz="0" w:space="0" w:color="auto"/>
            <w:bottom w:val="none" w:sz="0" w:space="0" w:color="auto"/>
            <w:right w:val="none" w:sz="0" w:space="0" w:color="auto"/>
          </w:divBdr>
        </w:div>
        <w:div w:id="283735387">
          <w:marLeft w:val="0"/>
          <w:marRight w:val="0"/>
          <w:marTop w:val="0"/>
          <w:marBottom w:val="0"/>
          <w:divBdr>
            <w:top w:val="none" w:sz="0" w:space="0" w:color="auto"/>
            <w:left w:val="none" w:sz="0" w:space="0" w:color="auto"/>
            <w:bottom w:val="none" w:sz="0" w:space="0" w:color="auto"/>
            <w:right w:val="none" w:sz="0" w:space="0" w:color="auto"/>
          </w:divBdr>
        </w:div>
        <w:div w:id="321079696">
          <w:marLeft w:val="0"/>
          <w:marRight w:val="0"/>
          <w:marTop w:val="0"/>
          <w:marBottom w:val="0"/>
          <w:divBdr>
            <w:top w:val="none" w:sz="0" w:space="0" w:color="auto"/>
            <w:left w:val="none" w:sz="0" w:space="0" w:color="auto"/>
            <w:bottom w:val="none" w:sz="0" w:space="0" w:color="auto"/>
            <w:right w:val="none" w:sz="0" w:space="0" w:color="auto"/>
          </w:divBdr>
        </w:div>
        <w:div w:id="346442606">
          <w:marLeft w:val="0"/>
          <w:marRight w:val="0"/>
          <w:marTop w:val="0"/>
          <w:marBottom w:val="0"/>
          <w:divBdr>
            <w:top w:val="none" w:sz="0" w:space="0" w:color="auto"/>
            <w:left w:val="none" w:sz="0" w:space="0" w:color="auto"/>
            <w:bottom w:val="none" w:sz="0" w:space="0" w:color="auto"/>
            <w:right w:val="none" w:sz="0" w:space="0" w:color="auto"/>
          </w:divBdr>
        </w:div>
        <w:div w:id="373849359">
          <w:marLeft w:val="0"/>
          <w:marRight w:val="0"/>
          <w:marTop w:val="0"/>
          <w:marBottom w:val="0"/>
          <w:divBdr>
            <w:top w:val="none" w:sz="0" w:space="0" w:color="auto"/>
            <w:left w:val="none" w:sz="0" w:space="0" w:color="auto"/>
            <w:bottom w:val="none" w:sz="0" w:space="0" w:color="auto"/>
            <w:right w:val="none" w:sz="0" w:space="0" w:color="auto"/>
          </w:divBdr>
        </w:div>
        <w:div w:id="397097512">
          <w:marLeft w:val="0"/>
          <w:marRight w:val="0"/>
          <w:marTop w:val="0"/>
          <w:marBottom w:val="0"/>
          <w:divBdr>
            <w:top w:val="none" w:sz="0" w:space="0" w:color="auto"/>
            <w:left w:val="none" w:sz="0" w:space="0" w:color="auto"/>
            <w:bottom w:val="none" w:sz="0" w:space="0" w:color="auto"/>
            <w:right w:val="none" w:sz="0" w:space="0" w:color="auto"/>
          </w:divBdr>
        </w:div>
        <w:div w:id="422998203">
          <w:marLeft w:val="0"/>
          <w:marRight w:val="0"/>
          <w:marTop w:val="0"/>
          <w:marBottom w:val="0"/>
          <w:divBdr>
            <w:top w:val="none" w:sz="0" w:space="0" w:color="auto"/>
            <w:left w:val="none" w:sz="0" w:space="0" w:color="auto"/>
            <w:bottom w:val="none" w:sz="0" w:space="0" w:color="auto"/>
            <w:right w:val="none" w:sz="0" w:space="0" w:color="auto"/>
          </w:divBdr>
        </w:div>
        <w:div w:id="485364658">
          <w:marLeft w:val="0"/>
          <w:marRight w:val="0"/>
          <w:marTop w:val="0"/>
          <w:marBottom w:val="0"/>
          <w:divBdr>
            <w:top w:val="none" w:sz="0" w:space="0" w:color="auto"/>
            <w:left w:val="none" w:sz="0" w:space="0" w:color="auto"/>
            <w:bottom w:val="none" w:sz="0" w:space="0" w:color="auto"/>
            <w:right w:val="none" w:sz="0" w:space="0" w:color="auto"/>
          </w:divBdr>
        </w:div>
        <w:div w:id="495148648">
          <w:marLeft w:val="0"/>
          <w:marRight w:val="0"/>
          <w:marTop w:val="0"/>
          <w:marBottom w:val="0"/>
          <w:divBdr>
            <w:top w:val="none" w:sz="0" w:space="0" w:color="auto"/>
            <w:left w:val="none" w:sz="0" w:space="0" w:color="auto"/>
            <w:bottom w:val="none" w:sz="0" w:space="0" w:color="auto"/>
            <w:right w:val="none" w:sz="0" w:space="0" w:color="auto"/>
          </w:divBdr>
        </w:div>
        <w:div w:id="511798472">
          <w:marLeft w:val="0"/>
          <w:marRight w:val="0"/>
          <w:marTop w:val="0"/>
          <w:marBottom w:val="0"/>
          <w:divBdr>
            <w:top w:val="none" w:sz="0" w:space="0" w:color="auto"/>
            <w:left w:val="none" w:sz="0" w:space="0" w:color="auto"/>
            <w:bottom w:val="none" w:sz="0" w:space="0" w:color="auto"/>
            <w:right w:val="none" w:sz="0" w:space="0" w:color="auto"/>
          </w:divBdr>
        </w:div>
        <w:div w:id="532767392">
          <w:marLeft w:val="0"/>
          <w:marRight w:val="0"/>
          <w:marTop w:val="0"/>
          <w:marBottom w:val="0"/>
          <w:divBdr>
            <w:top w:val="none" w:sz="0" w:space="0" w:color="auto"/>
            <w:left w:val="none" w:sz="0" w:space="0" w:color="auto"/>
            <w:bottom w:val="none" w:sz="0" w:space="0" w:color="auto"/>
            <w:right w:val="none" w:sz="0" w:space="0" w:color="auto"/>
          </w:divBdr>
        </w:div>
        <w:div w:id="557515295">
          <w:marLeft w:val="0"/>
          <w:marRight w:val="0"/>
          <w:marTop w:val="0"/>
          <w:marBottom w:val="0"/>
          <w:divBdr>
            <w:top w:val="none" w:sz="0" w:space="0" w:color="auto"/>
            <w:left w:val="none" w:sz="0" w:space="0" w:color="auto"/>
            <w:bottom w:val="none" w:sz="0" w:space="0" w:color="auto"/>
            <w:right w:val="none" w:sz="0" w:space="0" w:color="auto"/>
          </w:divBdr>
        </w:div>
        <w:div w:id="594947289">
          <w:marLeft w:val="0"/>
          <w:marRight w:val="0"/>
          <w:marTop w:val="0"/>
          <w:marBottom w:val="0"/>
          <w:divBdr>
            <w:top w:val="none" w:sz="0" w:space="0" w:color="auto"/>
            <w:left w:val="none" w:sz="0" w:space="0" w:color="auto"/>
            <w:bottom w:val="none" w:sz="0" w:space="0" w:color="auto"/>
            <w:right w:val="none" w:sz="0" w:space="0" w:color="auto"/>
          </w:divBdr>
        </w:div>
        <w:div w:id="601886754">
          <w:marLeft w:val="0"/>
          <w:marRight w:val="0"/>
          <w:marTop w:val="0"/>
          <w:marBottom w:val="0"/>
          <w:divBdr>
            <w:top w:val="none" w:sz="0" w:space="0" w:color="auto"/>
            <w:left w:val="none" w:sz="0" w:space="0" w:color="auto"/>
            <w:bottom w:val="none" w:sz="0" w:space="0" w:color="auto"/>
            <w:right w:val="none" w:sz="0" w:space="0" w:color="auto"/>
          </w:divBdr>
        </w:div>
        <w:div w:id="645281731">
          <w:marLeft w:val="0"/>
          <w:marRight w:val="0"/>
          <w:marTop w:val="0"/>
          <w:marBottom w:val="0"/>
          <w:divBdr>
            <w:top w:val="none" w:sz="0" w:space="0" w:color="auto"/>
            <w:left w:val="none" w:sz="0" w:space="0" w:color="auto"/>
            <w:bottom w:val="none" w:sz="0" w:space="0" w:color="auto"/>
            <w:right w:val="none" w:sz="0" w:space="0" w:color="auto"/>
          </w:divBdr>
        </w:div>
        <w:div w:id="730349939">
          <w:marLeft w:val="0"/>
          <w:marRight w:val="0"/>
          <w:marTop w:val="0"/>
          <w:marBottom w:val="0"/>
          <w:divBdr>
            <w:top w:val="none" w:sz="0" w:space="0" w:color="auto"/>
            <w:left w:val="none" w:sz="0" w:space="0" w:color="auto"/>
            <w:bottom w:val="none" w:sz="0" w:space="0" w:color="auto"/>
            <w:right w:val="none" w:sz="0" w:space="0" w:color="auto"/>
          </w:divBdr>
        </w:div>
        <w:div w:id="734817340">
          <w:marLeft w:val="0"/>
          <w:marRight w:val="0"/>
          <w:marTop w:val="0"/>
          <w:marBottom w:val="0"/>
          <w:divBdr>
            <w:top w:val="none" w:sz="0" w:space="0" w:color="auto"/>
            <w:left w:val="none" w:sz="0" w:space="0" w:color="auto"/>
            <w:bottom w:val="none" w:sz="0" w:space="0" w:color="auto"/>
            <w:right w:val="none" w:sz="0" w:space="0" w:color="auto"/>
          </w:divBdr>
        </w:div>
        <w:div w:id="735712097">
          <w:marLeft w:val="0"/>
          <w:marRight w:val="0"/>
          <w:marTop w:val="0"/>
          <w:marBottom w:val="0"/>
          <w:divBdr>
            <w:top w:val="none" w:sz="0" w:space="0" w:color="auto"/>
            <w:left w:val="none" w:sz="0" w:space="0" w:color="auto"/>
            <w:bottom w:val="none" w:sz="0" w:space="0" w:color="auto"/>
            <w:right w:val="none" w:sz="0" w:space="0" w:color="auto"/>
          </w:divBdr>
        </w:div>
        <w:div w:id="771706634">
          <w:marLeft w:val="0"/>
          <w:marRight w:val="0"/>
          <w:marTop w:val="0"/>
          <w:marBottom w:val="0"/>
          <w:divBdr>
            <w:top w:val="none" w:sz="0" w:space="0" w:color="auto"/>
            <w:left w:val="none" w:sz="0" w:space="0" w:color="auto"/>
            <w:bottom w:val="none" w:sz="0" w:space="0" w:color="auto"/>
            <w:right w:val="none" w:sz="0" w:space="0" w:color="auto"/>
          </w:divBdr>
        </w:div>
        <w:div w:id="776100344">
          <w:marLeft w:val="0"/>
          <w:marRight w:val="0"/>
          <w:marTop w:val="0"/>
          <w:marBottom w:val="0"/>
          <w:divBdr>
            <w:top w:val="none" w:sz="0" w:space="0" w:color="auto"/>
            <w:left w:val="none" w:sz="0" w:space="0" w:color="auto"/>
            <w:bottom w:val="none" w:sz="0" w:space="0" w:color="auto"/>
            <w:right w:val="none" w:sz="0" w:space="0" w:color="auto"/>
          </w:divBdr>
        </w:div>
        <w:div w:id="847450850">
          <w:marLeft w:val="0"/>
          <w:marRight w:val="0"/>
          <w:marTop w:val="0"/>
          <w:marBottom w:val="0"/>
          <w:divBdr>
            <w:top w:val="none" w:sz="0" w:space="0" w:color="auto"/>
            <w:left w:val="none" w:sz="0" w:space="0" w:color="auto"/>
            <w:bottom w:val="none" w:sz="0" w:space="0" w:color="auto"/>
            <w:right w:val="none" w:sz="0" w:space="0" w:color="auto"/>
          </w:divBdr>
        </w:div>
        <w:div w:id="850607191">
          <w:marLeft w:val="0"/>
          <w:marRight w:val="0"/>
          <w:marTop w:val="0"/>
          <w:marBottom w:val="0"/>
          <w:divBdr>
            <w:top w:val="none" w:sz="0" w:space="0" w:color="auto"/>
            <w:left w:val="none" w:sz="0" w:space="0" w:color="auto"/>
            <w:bottom w:val="none" w:sz="0" w:space="0" w:color="auto"/>
            <w:right w:val="none" w:sz="0" w:space="0" w:color="auto"/>
          </w:divBdr>
        </w:div>
        <w:div w:id="857888843">
          <w:marLeft w:val="0"/>
          <w:marRight w:val="0"/>
          <w:marTop w:val="0"/>
          <w:marBottom w:val="0"/>
          <w:divBdr>
            <w:top w:val="none" w:sz="0" w:space="0" w:color="auto"/>
            <w:left w:val="none" w:sz="0" w:space="0" w:color="auto"/>
            <w:bottom w:val="none" w:sz="0" w:space="0" w:color="auto"/>
            <w:right w:val="none" w:sz="0" w:space="0" w:color="auto"/>
          </w:divBdr>
        </w:div>
        <w:div w:id="891355966">
          <w:marLeft w:val="0"/>
          <w:marRight w:val="0"/>
          <w:marTop w:val="0"/>
          <w:marBottom w:val="0"/>
          <w:divBdr>
            <w:top w:val="none" w:sz="0" w:space="0" w:color="auto"/>
            <w:left w:val="none" w:sz="0" w:space="0" w:color="auto"/>
            <w:bottom w:val="none" w:sz="0" w:space="0" w:color="auto"/>
            <w:right w:val="none" w:sz="0" w:space="0" w:color="auto"/>
          </w:divBdr>
        </w:div>
        <w:div w:id="902764038">
          <w:marLeft w:val="0"/>
          <w:marRight w:val="0"/>
          <w:marTop w:val="0"/>
          <w:marBottom w:val="0"/>
          <w:divBdr>
            <w:top w:val="none" w:sz="0" w:space="0" w:color="auto"/>
            <w:left w:val="none" w:sz="0" w:space="0" w:color="auto"/>
            <w:bottom w:val="none" w:sz="0" w:space="0" w:color="auto"/>
            <w:right w:val="none" w:sz="0" w:space="0" w:color="auto"/>
          </w:divBdr>
        </w:div>
        <w:div w:id="914318708">
          <w:marLeft w:val="0"/>
          <w:marRight w:val="0"/>
          <w:marTop w:val="0"/>
          <w:marBottom w:val="0"/>
          <w:divBdr>
            <w:top w:val="none" w:sz="0" w:space="0" w:color="auto"/>
            <w:left w:val="none" w:sz="0" w:space="0" w:color="auto"/>
            <w:bottom w:val="none" w:sz="0" w:space="0" w:color="auto"/>
            <w:right w:val="none" w:sz="0" w:space="0" w:color="auto"/>
          </w:divBdr>
        </w:div>
        <w:div w:id="943880040">
          <w:marLeft w:val="0"/>
          <w:marRight w:val="0"/>
          <w:marTop w:val="0"/>
          <w:marBottom w:val="0"/>
          <w:divBdr>
            <w:top w:val="none" w:sz="0" w:space="0" w:color="auto"/>
            <w:left w:val="none" w:sz="0" w:space="0" w:color="auto"/>
            <w:bottom w:val="none" w:sz="0" w:space="0" w:color="auto"/>
            <w:right w:val="none" w:sz="0" w:space="0" w:color="auto"/>
          </w:divBdr>
        </w:div>
        <w:div w:id="957488351">
          <w:marLeft w:val="0"/>
          <w:marRight w:val="0"/>
          <w:marTop w:val="0"/>
          <w:marBottom w:val="0"/>
          <w:divBdr>
            <w:top w:val="none" w:sz="0" w:space="0" w:color="auto"/>
            <w:left w:val="none" w:sz="0" w:space="0" w:color="auto"/>
            <w:bottom w:val="none" w:sz="0" w:space="0" w:color="auto"/>
            <w:right w:val="none" w:sz="0" w:space="0" w:color="auto"/>
          </w:divBdr>
        </w:div>
        <w:div w:id="997655699">
          <w:marLeft w:val="0"/>
          <w:marRight w:val="0"/>
          <w:marTop w:val="0"/>
          <w:marBottom w:val="0"/>
          <w:divBdr>
            <w:top w:val="none" w:sz="0" w:space="0" w:color="auto"/>
            <w:left w:val="none" w:sz="0" w:space="0" w:color="auto"/>
            <w:bottom w:val="none" w:sz="0" w:space="0" w:color="auto"/>
            <w:right w:val="none" w:sz="0" w:space="0" w:color="auto"/>
          </w:divBdr>
        </w:div>
        <w:div w:id="1029992856">
          <w:marLeft w:val="0"/>
          <w:marRight w:val="0"/>
          <w:marTop w:val="0"/>
          <w:marBottom w:val="0"/>
          <w:divBdr>
            <w:top w:val="none" w:sz="0" w:space="0" w:color="auto"/>
            <w:left w:val="none" w:sz="0" w:space="0" w:color="auto"/>
            <w:bottom w:val="none" w:sz="0" w:space="0" w:color="auto"/>
            <w:right w:val="none" w:sz="0" w:space="0" w:color="auto"/>
          </w:divBdr>
        </w:div>
        <w:div w:id="1049762042">
          <w:marLeft w:val="0"/>
          <w:marRight w:val="0"/>
          <w:marTop w:val="0"/>
          <w:marBottom w:val="0"/>
          <w:divBdr>
            <w:top w:val="none" w:sz="0" w:space="0" w:color="auto"/>
            <w:left w:val="none" w:sz="0" w:space="0" w:color="auto"/>
            <w:bottom w:val="none" w:sz="0" w:space="0" w:color="auto"/>
            <w:right w:val="none" w:sz="0" w:space="0" w:color="auto"/>
          </w:divBdr>
        </w:div>
        <w:div w:id="1086801950">
          <w:marLeft w:val="0"/>
          <w:marRight w:val="0"/>
          <w:marTop w:val="0"/>
          <w:marBottom w:val="0"/>
          <w:divBdr>
            <w:top w:val="none" w:sz="0" w:space="0" w:color="auto"/>
            <w:left w:val="none" w:sz="0" w:space="0" w:color="auto"/>
            <w:bottom w:val="none" w:sz="0" w:space="0" w:color="auto"/>
            <w:right w:val="none" w:sz="0" w:space="0" w:color="auto"/>
          </w:divBdr>
        </w:div>
        <w:div w:id="1099564955">
          <w:marLeft w:val="0"/>
          <w:marRight w:val="0"/>
          <w:marTop w:val="0"/>
          <w:marBottom w:val="0"/>
          <w:divBdr>
            <w:top w:val="none" w:sz="0" w:space="0" w:color="auto"/>
            <w:left w:val="none" w:sz="0" w:space="0" w:color="auto"/>
            <w:bottom w:val="none" w:sz="0" w:space="0" w:color="auto"/>
            <w:right w:val="none" w:sz="0" w:space="0" w:color="auto"/>
          </w:divBdr>
        </w:div>
        <w:div w:id="1146974932">
          <w:marLeft w:val="0"/>
          <w:marRight w:val="0"/>
          <w:marTop w:val="0"/>
          <w:marBottom w:val="0"/>
          <w:divBdr>
            <w:top w:val="none" w:sz="0" w:space="0" w:color="auto"/>
            <w:left w:val="none" w:sz="0" w:space="0" w:color="auto"/>
            <w:bottom w:val="none" w:sz="0" w:space="0" w:color="auto"/>
            <w:right w:val="none" w:sz="0" w:space="0" w:color="auto"/>
          </w:divBdr>
        </w:div>
        <w:div w:id="1154907100">
          <w:marLeft w:val="0"/>
          <w:marRight w:val="0"/>
          <w:marTop w:val="0"/>
          <w:marBottom w:val="0"/>
          <w:divBdr>
            <w:top w:val="none" w:sz="0" w:space="0" w:color="auto"/>
            <w:left w:val="none" w:sz="0" w:space="0" w:color="auto"/>
            <w:bottom w:val="none" w:sz="0" w:space="0" w:color="auto"/>
            <w:right w:val="none" w:sz="0" w:space="0" w:color="auto"/>
          </w:divBdr>
        </w:div>
        <w:div w:id="1158308897">
          <w:marLeft w:val="0"/>
          <w:marRight w:val="0"/>
          <w:marTop w:val="0"/>
          <w:marBottom w:val="0"/>
          <w:divBdr>
            <w:top w:val="none" w:sz="0" w:space="0" w:color="auto"/>
            <w:left w:val="none" w:sz="0" w:space="0" w:color="auto"/>
            <w:bottom w:val="none" w:sz="0" w:space="0" w:color="auto"/>
            <w:right w:val="none" w:sz="0" w:space="0" w:color="auto"/>
          </w:divBdr>
        </w:div>
        <w:div w:id="1177110317">
          <w:marLeft w:val="0"/>
          <w:marRight w:val="0"/>
          <w:marTop w:val="0"/>
          <w:marBottom w:val="0"/>
          <w:divBdr>
            <w:top w:val="none" w:sz="0" w:space="0" w:color="auto"/>
            <w:left w:val="none" w:sz="0" w:space="0" w:color="auto"/>
            <w:bottom w:val="none" w:sz="0" w:space="0" w:color="auto"/>
            <w:right w:val="none" w:sz="0" w:space="0" w:color="auto"/>
          </w:divBdr>
        </w:div>
        <w:div w:id="1218972181">
          <w:marLeft w:val="0"/>
          <w:marRight w:val="0"/>
          <w:marTop w:val="0"/>
          <w:marBottom w:val="0"/>
          <w:divBdr>
            <w:top w:val="none" w:sz="0" w:space="0" w:color="auto"/>
            <w:left w:val="none" w:sz="0" w:space="0" w:color="auto"/>
            <w:bottom w:val="none" w:sz="0" w:space="0" w:color="auto"/>
            <w:right w:val="none" w:sz="0" w:space="0" w:color="auto"/>
          </w:divBdr>
        </w:div>
        <w:div w:id="1223129497">
          <w:marLeft w:val="0"/>
          <w:marRight w:val="0"/>
          <w:marTop w:val="0"/>
          <w:marBottom w:val="0"/>
          <w:divBdr>
            <w:top w:val="none" w:sz="0" w:space="0" w:color="auto"/>
            <w:left w:val="none" w:sz="0" w:space="0" w:color="auto"/>
            <w:bottom w:val="none" w:sz="0" w:space="0" w:color="auto"/>
            <w:right w:val="none" w:sz="0" w:space="0" w:color="auto"/>
          </w:divBdr>
        </w:div>
        <w:div w:id="1223909425">
          <w:marLeft w:val="0"/>
          <w:marRight w:val="0"/>
          <w:marTop w:val="0"/>
          <w:marBottom w:val="0"/>
          <w:divBdr>
            <w:top w:val="none" w:sz="0" w:space="0" w:color="auto"/>
            <w:left w:val="none" w:sz="0" w:space="0" w:color="auto"/>
            <w:bottom w:val="none" w:sz="0" w:space="0" w:color="auto"/>
            <w:right w:val="none" w:sz="0" w:space="0" w:color="auto"/>
          </w:divBdr>
        </w:div>
        <w:div w:id="1226836839">
          <w:marLeft w:val="0"/>
          <w:marRight w:val="0"/>
          <w:marTop w:val="0"/>
          <w:marBottom w:val="0"/>
          <w:divBdr>
            <w:top w:val="none" w:sz="0" w:space="0" w:color="auto"/>
            <w:left w:val="none" w:sz="0" w:space="0" w:color="auto"/>
            <w:bottom w:val="none" w:sz="0" w:space="0" w:color="auto"/>
            <w:right w:val="none" w:sz="0" w:space="0" w:color="auto"/>
          </w:divBdr>
        </w:div>
        <w:div w:id="1260673889">
          <w:marLeft w:val="0"/>
          <w:marRight w:val="0"/>
          <w:marTop w:val="0"/>
          <w:marBottom w:val="0"/>
          <w:divBdr>
            <w:top w:val="none" w:sz="0" w:space="0" w:color="auto"/>
            <w:left w:val="none" w:sz="0" w:space="0" w:color="auto"/>
            <w:bottom w:val="none" w:sz="0" w:space="0" w:color="auto"/>
            <w:right w:val="none" w:sz="0" w:space="0" w:color="auto"/>
          </w:divBdr>
        </w:div>
        <w:div w:id="1267035736">
          <w:marLeft w:val="0"/>
          <w:marRight w:val="0"/>
          <w:marTop w:val="0"/>
          <w:marBottom w:val="0"/>
          <w:divBdr>
            <w:top w:val="none" w:sz="0" w:space="0" w:color="auto"/>
            <w:left w:val="none" w:sz="0" w:space="0" w:color="auto"/>
            <w:bottom w:val="none" w:sz="0" w:space="0" w:color="auto"/>
            <w:right w:val="none" w:sz="0" w:space="0" w:color="auto"/>
          </w:divBdr>
        </w:div>
        <w:div w:id="1289314780">
          <w:marLeft w:val="0"/>
          <w:marRight w:val="0"/>
          <w:marTop w:val="0"/>
          <w:marBottom w:val="0"/>
          <w:divBdr>
            <w:top w:val="none" w:sz="0" w:space="0" w:color="auto"/>
            <w:left w:val="none" w:sz="0" w:space="0" w:color="auto"/>
            <w:bottom w:val="none" w:sz="0" w:space="0" w:color="auto"/>
            <w:right w:val="none" w:sz="0" w:space="0" w:color="auto"/>
          </w:divBdr>
        </w:div>
        <w:div w:id="1298730400">
          <w:marLeft w:val="0"/>
          <w:marRight w:val="0"/>
          <w:marTop w:val="0"/>
          <w:marBottom w:val="0"/>
          <w:divBdr>
            <w:top w:val="none" w:sz="0" w:space="0" w:color="auto"/>
            <w:left w:val="none" w:sz="0" w:space="0" w:color="auto"/>
            <w:bottom w:val="none" w:sz="0" w:space="0" w:color="auto"/>
            <w:right w:val="none" w:sz="0" w:space="0" w:color="auto"/>
          </w:divBdr>
        </w:div>
        <w:div w:id="1304774910">
          <w:marLeft w:val="0"/>
          <w:marRight w:val="0"/>
          <w:marTop w:val="0"/>
          <w:marBottom w:val="0"/>
          <w:divBdr>
            <w:top w:val="none" w:sz="0" w:space="0" w:color="auto"/>
            <w:left w:val="none" w:sz="0" w:space="0" w:color="auto"/>
            <w:bottom w:val="none" w:sz="0" w:space="0" w:color="auto"/>
            <w:right w:val="none" w:sz="0" w:space="0" w:color="auto"/>
          </w:divBdr>
        </w:div>
        <w:div w:id="1323511633">
          <w:marLeft w:val="0"/>
          <w:marRight w:val="0"/>
          <w:marTop w:val="0"/>
          <w:marBottom w:val="0"/>
          <w:divBdr>
            <w:top w:val="none" w:sz="0" w:space="0" w:color="auto"/>
            <w:left w:val="none" w:sz="0" w:space="0" w:color="auto"/>
            <w:bottom w:val="none" w:sz="0" w:space="0" w:color="auto"/>
            <w:right w:val="none" w:sz="0" w:space="0" w:color="auto"/>
          </w:divBdr>
        </w:div>
        <w:div w:id="1323582344">
          <w:marLeft w:val="0"/>
          <w:marRight w:val="0"/>
          <w:marTop w:val="0"/>
          <w:marBottom w:val="0"/>
          <w:divBdr>
            <w:top w:val="none" w:sz="0" w:space="0" w:color="auto"/>
            <w:left w:val="none" w:sz="0" w:space="0" w:color="auto"/>
            <w:bottom w:val="none" w:sz="0" w:space="0" w:color="auto"/>
            <w:right w:val="none" w:sz="0" w:space="0" w:color="auto"/>
          </w:divBdr>
        </w:div>
        <w:div w:id="1340540141">
          <w:marLeft w:val="0"/>
          <w:marRight w:val="0"/>
          <w:marTop w:val="0"/>
          <w:marBottom w:val="0"/>
          <w:divBdr>
            <w:top w:val="none" w:sz="0" w:space="0" w:color="auto"/>
            <w:left w:val="none" w:sz="0" w:space="0" w:color="auto"/>
            <w:bottom w:val="none" w:sz="0" w:space="0" w:color="auto"/>
            <w:right w:val="none" w:sz="0" w:space="0" w:color="auto"/>
          </w:divBdr>
        </w:div>
        <w:div w:id="1352611671">
          <w:marLeft w:val="0"/>
          <w:marRight w:val="0"/>
          <w:marTop w:val="0"/>
          <w:marBottom w:val="0"/>
          <w:divBdr>
            <w:top w:val="none" w:sz="0" w:space="0" w:color="auto"/>
            <w:left w:val="none" w:sz="0" w:space="0" w:color="auto"/>
            <w:bottom w:val="none" w:sz="0" w:space="0" w:color="auto"/>
            <w:right w:val="none" w:sz="0" w:space="0" w:color="auto"/>
          </w:divBdr>
        </w:div>
        <w:div w:id="1356426264">
          <w:marLeft w:val="0"/>
          <w:marRight w:val="0"/>
          <w:marTop w:val="0"/>
          <w:marBottom w:val="0"/>
          <w:divBdr>
            <w:top w:val="none" w:sz="0" w:space="0" w:color="auto"/>
            <w:left w:val="none" w:sz="0" w:space="0" w:color="auto"/>
            <w:bottom w:val="none" w:sz="0" w:space="0" w:color="auto"/>
            <w:right w:val="none" w:sz="0" w:space="0" w:color="auto"/>
          </w:divBdr>
        </w:div>
        <w:div w:id="1368024480">
          <w:marLeft w:val="0"/>
          <w:marRight w:val="0"/>
          <w:marTop w:val="0"/>
          <w:marBottom w:val="0"/>
          <w:divBdr>
            <w:top w:val="none" w:sz="0" w:space="0" w:color="auto"/>
            <w:left w:val="none" w:sz="0" w:space="0" w:color="auto"/>
            <w:bottom w:val="none" w:sz="0" w:space="0" w:color="auto"/>
            <w:right w:val="none" w:sz="0" w:space="0" w:color="auto"/>
          </w:divBdr>
        </w:div>
        <w:div w:id="1387072404">
          <w:marLeft w:val="0"/>
          <w:marRight w:val="0"/>
          <w:marTop w:val="0"/>
          <w:marBottom w:val="0"/>
          <w:divBdr>
            <w:top w:val="none" w:sz="0" w:space="0" w:color="auto"/>
            <w:left w:val="none" w:sz="0" w:space="0" w:color="auto"/>
            <w:bottom w:val="none" w:sz="0" w:space="0" w:color="auto"/>
            <w:right w:val="none" w:sz="0" w:space="0" w:color="auto"/>
          </w:divBdr>
        </w:div>
        <w:div w:id="1403484103">
          <w:marLeft w:val="0"/>
          <w:marRight w:val="0"/>
          <w:marTop w:val="0"/>
          <w:marBottom w:val="0"/>
          <w:divBdr>
            <w:top w:val="none" w:sz="0" w:space="0" w:color="auto"/>
            <w:left w:val="none" w:sz="0" w:space="0" w:color="auto"/>
            <w:bottom w:val="none" w:sz="0" w:space="0" w:color="auto"/>
            <w:right w:val="none" w:sz="0" w:space="0" w:color="auto"/>
          </w:divBdr>
        </w:div>
        <w:div w:id="1419256038">
          <w:marLeft w:val="0"/>
          <w:marRight w:val="0"/>
          <w:marTop w:val="0"/>
          <w:marBottom w:val="0"/>
          <w:divBdr>
            <w:top w:val="none" w:sz="0" w:space="0" w:color="auto"/>
            <w:left w:val="none" w:sz="0" w:space="0" w:color="auto"/>
            <w:bottom w:val="none" w:sz="0" w:space="0" w:color="auto"/>
            <w:right w:val="none" w:sz="0" w:space="0" w:color="auto"/>
          </w:divBdr>
        </w:div>
        <w:div w:id="1437214694">
          <w:marLeft w:val="0"/>
          <w:marRight w:val="0"/>
          <w:marTop w:val="0"/>
          <w:marBottom w:val="0"/>
          <w:divBdr>
            <w:top w:val="none" w:sz="0" w:space="0" w:color="auto"/>
            <w:left w:val="none" w:sz="0" w:space="0" w:color="auto"/>
            <w:bottom w:val="none" w:sz="0" w:space="0" w:color="auto"/>
            <w:right w:val="none" w:sz="0" w:space="0" w:color="auto"/>
          </w:divBdr>
        </w:div>
        <w:div w:id="1509711414">
          <w:marLeft w:val="0"/>
          <w:marRight w:val="0"/>
          <w:marTop w:val="0"/>
          <w:marBottom w:val="0"/>
          <w:divBdr>
            <w:top w:val="none" w:sz="0" w:space="0" w:color="auto"/>
            <w:left w:val="none" w:sz="0" w:space="0" w:color="auto"/>
            <w:bottom w:val="none" w:sz="0" w:space="0" w:color="auto"/>
            <w:right w:val="none" w:sz="0" w:space="0" w:color="auto"/>
          </w:divBdr>
        </w:div>
        <w:div w:id="1514766005">
          <w:marLeft w:val="0"/>
          <w:marRight w:val="0"/>
          <w:marTop w:val="0"/>
          <w:marBottom w:val="0"/>
          <w:divBdr>
            <w:top w:val="none" w:sz="0" w:space="0" w:color="auto"/>
            <w:left w:val="none" w:sz="0" w:space="0" w:color="auto"/>
            <w:bottom w:val="none" w:sz="0" w:space="0" w:color="auto"/>
            <w:right w:val="none" w:sz="0" w:space="0" w:color="auto"/>
          </w:divBdr>
        </w:div>
        <w:div w:id="1517227290">
          <w:marLeft w:val="0"/>
          <w:marRight w:val="0"/>
          <w:marTop w:val="0"/>
          <w:marBottom w:val="0"/>
          <w:divBdr>
            <w:top w:val="none" w:sz="0" w:space="0" w:color="auto"/>
            <w:left w:val="none" w:sz="0" w:space="0" w:color="auto"/>
            <w:bottom w:val="none" w:sz="0" w:space="0" w:color="auto"/>
            <w:right w:val="none" w:sz="0" w:space="0" w:color="auto"/>
          </w:divBdr>
        </w:div>
        <w:div w:id="1534466335">
          <w:marLeft w:val="0"/>
          <w:marRight w:val="0"/>
          <w:marTop w:val="0"/>
          <w:marBottom w:val="0"/>
          <w:divBdr>
            <w:top w:val="none" w:sz="0" w:space="0" w:color="auto"/>
            <w:left w:val="none" w:sz="0" w:space="0" w:color="auto"/>
            <w:bottom w:val="none" w:sz="0" w:space="0" w:color="auto"/>
            <w:right w:val="none" w:sz="0" w:space="0" w:color="auto"/>
          </w:divBdr>
        </w:div>
        <w:div w:id="1568682050">
          <w:marLeft w:val="0"/>
          <w:marRight w:val="0"/>
          <w:marTop w:val="0"/>
          <w:marBottom w:val="0"/>
          <w:divBdr>
            <w:top w:val="none" w:sz="0" w:space="0" w:color="auto"/>
            <w:left w:val="none" w:sz="0" w:space="0" w:color="auto"/>
            <w:bottom w:val="none" w:sz="0" w:space="0" w:color="auto"/>
            <w:right w:val="none" w:sz="0" w:space="0" w:color="auto"/>
          </w:divBdr>
        </w:div>
        <w:div w:id="1591770062">
          <w:marLeft w:val="0"/>
          <w:marRight w:val="0"/>
          <w:marTop w:val="0"/>
          <w:marBottom w:val="0"/>
          <w:divBdr>
            <w:top w:val="none" w:sz="0" w:space="0" w:color="auto"/>
            <w:left w:val="none" w:sz="0" w:space="0" w:color="auto"/>
            <w:bottom w:val="none" w:sz="0" w:space="0" w:color="auto"/>
            <w:right w:val="none" w:sz="0" w:space="0" w:color="auto"/>
          </w:divBdr>
        </w:div>
        <w:div w:id="1638951055">
          <w:marLeft w:val="0"/>
          <w:marRight w:val="0"/>
          <w:marTop w:val="0"/>
          <w:marBottom w:val="0"/>
          <w:divBdr>
            <w:top w:val="none" w:sz="0" w:space="0" w:color="auto"/>
            <w:left w:val="none" w:sz="0" w:space="0" w:color="auto"/>
            <w:bottom w:val="none" w:sz="0" w:space="0" w:color="auto"/>
            <w:right w:val="none" w:sz="0" w:space="0" w:color="auto"/>
          </w:divBdr>
        </w:div>
        <w:div w:id="1654942645">
          <w:marLeft w:val="0"/>
          <w:marRight w:val="0"/>
          <w:marTop w:val="0"/>
          <w:marBottom w:val="0"/>
          <w:divBdr>
            <w:top w:val="none" w:sz="0" w:space="0" w:color="auto"/>
            <w:left w:val="none" w:sz="0" w:space="0" w:color="auto"/>
            <w:bottom w:val="none" w:sz="0" w:space="0" w:color="auto"/>
            <w:right w:val="none" w:sz="0" w:space="0" w:color="auto"/>
          </w:divBdr>
        </w:div>
        <w:div w:id="1684285047">
          <w:marLeft w:val="0"/>
          <w:marRight w:val="0"/>
          <w:marTop w:val="0"/>
          <w:marBottom w:val="0"/>
          <w:divBdr>
            <w:top w:val="none" w:sz="0" w:space="0" w:color="auto"/>
            <w:left w:val="none" w:sz="0" w:space="0" w:color="auto"/>
            <w:bottom w:val="none" w:sz="0" w:space="0" w:color="auto"/>
            <w:right w:val="none" w:sz="0" w:space="0" w:color="auto"/>
          </w:divBdr>
        </w:div>
        <w:div w:id="1706249226">
          <w:marLeft w:val="0"/>
          <w:marRight w:val="0"/>
          <w:marTop w:val="0"/>
          <w:marBottom w:val="0"/>
          <w:divBdr>
            <w:top w:val="none" w:sz="0" w:space="0" w:color="auto"/>
            <w:left w:val="none" w:sz="0" w:space="0" w:color="auto"/>
            <w:bottom w:val="none" w:sz="0" w:space="0" w:color="auto"/>
            <w:right w:val="none" w:sz="0" w:space="0" w:color="auto"/>
          </w:divBdr>
        </w:div>
        <w:div w:id="1728407693">
          <w:marLeft w:val="0"/>
          <w:marRight w:val="0"/>
          <w:marTop w:val="0"/>
          <w:marBottom w:val="0"/>
          <w:divBdr>
            <w:top w:val="none" w:sz="0" w:space="0" w:color="auto"/>
            <w:left w:val="none" w:sz="0" w:space="0" w:color="auto"/>
            <w:bottom w:val="none" w:sz="0" w:space="0" w:color="auto"/>
            <w:right w:val="none" w:sz="0" w:space="0" w:color="auto"/>
          </w:divBdr>
        </w:div>
        <w:div w:id="1731146946">
          <w:marLeft w:val="0"/>
          <w:marRight w:val="0"/>
          <w:marTop w:val="0"/>
          <w:marBottom w:val="0"/>
          <w:divBdr>
            <w:top w:val="none" w:sz="0" w:space="0" w:color="auto"/>
            <w:left w:val="none" w:sz="0" w:space="0" w:color="auto"/>
            <w:bottom w:val="none" w:sz="0" w:space="0" w:color="auto"/>
            <w:right w:val="none" w:sz="0" w:space="0" w:color="auto"/>
          </w:divBdr>
        </w:div>
        <w:div w:id="1772973152">
          <w:marLeft w:val="0"/>
          <w:marRight w:val="0"/>
          <w:marTop w:val="0"/>
          <w:marBottom w:val="0"/>
          <w:divBdr>
            <w:top w:val="none" w:sz="0" w:space="0" w:color="auto"/>
            <w:left w:val="none" w:sz="0" w:space="0" w:color="auto"/>
            <w:bottom w:val="none" w:sz="0" w:space="0" w:color="auto"/>
            <w:right w:val="none" w:sz="0" w:space="0" w:color="auto"/>
          </w:divBdr>
        </w:div>
        <w:div w:id="1795325399">
          <w:marLeft w:val="0"/>
          <w:marRight w:val="0"/>
          <w:marTop w:val="0"/>
          <w:marBottom w:val="0"/>
          <w:divBdr>
            <w:top w:val="none" w:sz="0" w:space="0" w:color="auto"/>
            <w:left w:val="none" w:sz="0" w:space="0" w:color="auto"/>
            <w:bottom w:val="none" w:sz="0" w:space="0" w:color="auto"/>
            <w:right w:val="none" w:sz="0" w:space="0" w:color="auto"/>
          </w:divBdr>
        </w:div>
        <w:div w:id="1821573975">
          <w:marLeft w:val="0"/>
          <w:marRight w:val="0"/>
          <w:marTop w:val="0"/>
          <w:marBottom w:val="0"/>
          <w:divBdr>
            <w:top w:val="none" w:sz="0" w:space="0" w:color="auto"/>
            <w:left w:val="none" w:sz="0" w:space="0" w:color="auto"/>
            <w:bottom w:val="none" w:sz="0" w:space="0" w:color="auto"/>
            <w:right w:val="none" w:sz="0" w:space="0" w:color="auto"/>
          </w:divBdr>
        </w:div>
        <w:div w:id="1833401605">
          <w:marLeft w:val="0"/>
          <w:marRight w:val="0"/>
          <w:marTop w:val="0"/>
          <w:marBottom w:val="0"/>
          <w:divBdr>
            <w:top w:val="none" w:sz="0" w:space="0" w:color="auto"/>
            <w:left w:val="none" w:sz="0" w:space="0" w:color="auto"/>
            <w:bottom w:val="none" w:sz="0" w:space="0" w:color="auto"/>
            <w:right w:val="none" w:sz="0" w:space="0" w:color="auto"/>
          </w:divBdr>
        </w:div>
        <w:div w:id="1879321640">
          <w:marLeft w:val="0"/>
          <w:marRight w:val="0"/>
          <w:marTop w:val="0"/>
          <w:marBottom w:val="0"/>
          <w:divBdr>
            <w:top w:val="none" w:sz="0" w:space="0" w:color="auto"/>
            <w:left w:val="none" w:sz="0" w:space="0" w:color="auto"/>
            <w:bottom w:val="none" w:sz="0" w:space="0" w:color="auto"/>
            <w:right w:val="none" w:sz="0" w:space="0" w:color="auto"/>
          </w:divBdr>
        </w:div>
        <w:div w:id="1885676027">
          <w:marLeft w:val="0"/>
          <w:marRight w:val="0"/>
          <w:marTop w:val="0"/>
          <w:marBottom w:val="0"/>
          <w:divBdr>
            <w:top w:val="none" w:sz="0" w:space="0" w:color="auto"/>
            <w:left w:val="none" w:sz="0" w:space="0" w:color="auto"/>
            <w:bottom w:val="none" w:sz="0" w:space="0" w:color="auto"/>
            <w:right w:val="none" w:sz="0" w:space="0" w:color="auto"/>
          </w:divBdr>
        </w:div>
        <w:div w:id="1891305110">
          <w:marLeft w:val="0"/>
          <w:marRight w:val="0"/>
          <w:marTop w:val="0"/>
          <w:marBottom w:val="0"/>
          <w:divBdr>
            <w:top w:val="none" w:sz="0" w:space="0" w:color="auto"/>
            <w:left w:val="none" w:sz="0" w:space="0" w:color="auto"/>
            <w:bottom w:val="none" w:sz="0" w:space="0" w:color="auto"/>
            <w:right w:val="none" w:sz="0" w:space="0" w:color="auto"/>
          </w:divBdr>
        </w:div>
        <w:div w:id="1910000236">
          <w:marLeft w:val="0"/>
          <w:marRight w:val="0"/>
          <w:marTop w:val="0"/>
          <w:marBottom w:val="0"/>
          <w:divBdr>
            <w:top w:val="none" w:sz="0" w:space="0" w:color="auto"/>
            <w:left w:val="none" w:sz="0" w:space="0" w:color="auto"/>
            <w:bottom w:val="none" w:sz="0" w:space="0" w:color="auto"/>
            <w:right w:val="none" w:sz="0" w:space="0" w:color="auto"/>
          </w:divBdr>
        </w:div>
        <w:div w:id="1988778325">
          <w:marLeft w:val="0"/>
          <w:marRight w:val="0"/>
          <w:marTop w:val="0"/>
          <w:marBottom w:val="0"/>
          <w:divBdr>
            <w:top w:val="none" w:sz="0" w:space="0" w:color="auto"/>
            <w:left w:val="none" w:sz="0" w:space="0" w:color="auto"/>
            <w:bottom w:val="none" w:sz="0" w:space="0" w:color="auto"/>
            <w:right w:val="none" w:sz="0" w:space="0" w:color="auto"/>
          </w:divBdr>
        </w:div>
        <w:div w:id="2036154253">
          <w:marLeft w:val="0"/>
          <w:marRight w:val="0"/>
          <w:marTop w:val="0"/>
          <w:marBottom w:val="0"/>
          <w:divBdr>
            <w:top w:val="none" w:sz="0" w:space="0" w:color="auto"/>
            <w:left w:val="none" w:sz="0" w:space="0" w:color="auto"/>
            <w:bottom w:val="none" w:sz="0" w:space="0" w:color="auto"/>
            <w:right w:val="none" w:sz="0" w:space="0" w:color="auto"/>
          </w:divBdr>
        </w:div>
        <w:div w:id="2039576484">
          <w:marLeft w:val="0"/>
          <w:marRight w:val="0"/>
          <w:marTop w:val="0"/>
          <w:marBottom w:val="0"/>
          <w:divBdr>
            <w:top w:val="none" w:sz="0" w:space="0" w:color="auto"/>
            <w:left w:val="none" w:sz="0" w:space="0" w:color="auto"/>
            <w:bottom w:val="none" w:sz="0" w:space="0" w:color="auto"/>
            <w:right w:val="none" w:sz="0" w:space="0" w:color="auto"/>
          </w:divBdr>
        </w:div>
        <w:div w:id="2069955419">
          <w:marLeft w:val="0"/>
          <w:marRight w:val="0"/>
          <w:marTop w:val="0"/>
          <w:marBottom w:val="0"/>
          <w:divBdr>
            <w:top w:val="none" w:sz="0" w:space="0" w:color="auto"/>
            <w:left w:val="none" w:sz="0" w:space="0" w:color="auto"/>
            <w:bottom w:val="none" w:sz="0" w:space="0" w:color="auto"/>
            <w:right w:val="none" w:sz="0" w:space="0" w:color="auto"/>
          </w:divBdr>
        </w:div>
        <w:div w:id="2072387630">
          <w:marLeft w:val="0"/>
          <w:marRight w:val="0"/>
          <w:marTop w:val="0"/>
          <w:marBottom w:val="0"/>
          <w:divBdr>
            <w:top w:val="none" w:sz="0" w:space="0" w:color="auto"/>
            <w:left w:val="none" w:sz="0" w:space="0" w:color="auto"/>
            <w:bottom w:val="none" w:sz="0" w:space="0" w:color="auto"/>
            <w:right w:val="none" w:sz="0" w:space="0" w:color="auto"/>
          </w:divBdr>
        </w:div>
        <w:div w:id="2091273159">
          <w:marLeft w:val="0"/>
          <w:marRight w:val="0"/>
          <w:marTop w:val="0"/>
          <w:marBottom w:val="0"/>
          <w:divBdr>
            <w:top w:val="none" w:sz="0" w:space="0" w:color="auto"/>
            <w:left w:val="none" w:sz="0" w:space="0" w:color="auto"/>
            <w:bottom w:val="none" w:sz="0" w:space="0" w:color="auto"/>
            <w:right w:val="none" w:sz="0" w:space="0" w:color="auto"/>
          </w:divBdr>
        </w:div>
      </w:divsChild>
    </w:div>
    <w:div w:id="745146131">
      <w:bodyDiv w:val="1"/>
      <w:marLeft w:val="0"/>
      <w:marRight w:val="0"/>
      <w:marTop w:val="0"/>
      <w:marBottom w:val="0"/>
      <w:divBdr>
        <w:top w:val="none" w:sz="0" w:space="0" w:color="auto"/>
        <w:left w:val="none" w:sz="0" w:space="0" w:color="auto"/>
        <w:bottom w:val="none" w:sz="0" w:space="0" w:color="auto"/>
        <w:right w:val="none" w:sz="0" w:space="0" w:color="auto"/>
      </w:divBdr>
    </w:div>
    <w:div w:id="818688175">
      <w:bodyDiv w:val="1"/>
      <w:marLeft w:val="0"/>
      <w:marRight w:val="0"/>
      <w:marTop w:val="0"/>
      <w:marBottom w:val="0"/>
      <w:divBdr>
        <w:top w:val="none" w:sz="0" w:space="0" w:color="auto"/>
        <w:left w:val="none" w:sz="0" w:space="0" w:color="auto"/>
        <w:bottom w:val="none" w:sz="0" w:space="0" w:color="auto"/>
        <w:right w:val="none" w:sz="0" w:space="0" w:color="auto"/>
      </w:divBdr>
    </w:div>
    <w:div w:id="873998757">
      <w:bodyDiv w:val="1"/>
      <w:marLeft w:val="0"/>
      <w:marRight w:val="0"/>
      <w:marTop w:val="0"/>
      <w:marBottom w:val="0"/>
      <w:divBdr>
        <w:top w:val="none" w:sz="0" w:space="0" w:color="auto"/>
        <w:left w:val="none" w:sz="0" w:space="0" w:color="auto"/>
        <w:bottom w:val="none" w:sz="0" w:space="0" w:color="auto"/>
        <w:right w:val="none" w:sz="0" w:space="0" w:color="auto"/>
      </w:divBdr>
      <w:divsChild>
        <w:div w:id="33965492">
          <w:marLeft w:val="0"/>
          <w:marRight w:val="0"/>
          <w:marTop w:val="0"/>
          <w:marBottom w:val="0"/>
          <w:divBdr>
            <w:top w:val="none" w:sz="0" w:space="0" w:color="auto"/>
            <w:left w:val="none" w:sz="0" w:space="0" w:color="auto"/>
            <w:bottom w:val="none" w:sz="0" w:space="0" w:color="auto"/>
            <w:right w:val="none" w:sz="0" w:space="0" w:color="auto"/>
          </w:divBdr>
        </w:div>
        <w:div w:id="255988370">
          <w:marLeft w:val="0"/>
          <w:marRight w:val="0"/>
          <w:marTop w:val="0"/>
          <w:marBottom w:val="0"/>
          <w:divBdr>
            <w:top w:val="none" w:sz="0" w:space="0" w:color="auto"/>
            <w:left w:val="none" w:sz="0" w:space="0" w:color="auto"/>
            <w:bottom w:val="none" w:sz="0" w:space="0" w:color="auto"/>
            <w:right w:val="none" w:sz="0" w:space="0" w:color="auto"/>
          </w:divBdr>
        </w:div>
        <w:div w:id="295843169">
          <w:marLeft w:val="0"/>
          <w:marRight w:val="0"/>
          <w:marTop w:val="0"/>
          <w:marBottom w:val="0"/>
          <w:divBdr>
            <w:top w:val="none" w:sz="0" w:space="0" w:color="auto"/>
            <w:left w:val="none" w:sz="0" w:space="0" w:color="auto"/>
            <w:bottom w:val="none" w:sz="0" w:space="0" w:color="auto"/>
            <w:right w:val="none" w:sz="0" w:space="0" w:color="auto"/>
          </w:divBdr>
        </w:div>
        <w:div w:id="414935993">
          <w:marLeft w:val="0"/>
          <w:marRight w:val="0"/>
          <w:marTop w:val="0"/>
          <w:marBottom w:val="0"/>
          <w:divBdr>
            <w:top w:val="none" w:sz="0" w:space="0" w:color="auto"/>
            <w:left w:val="none" w:sz="0" w:space="0" w:color="auto"/>
            <w:bottom w:val="none" w:sz="0" w:space="0" w:color="auto"/>
            <w:right w:val="none" w:sz="0" w:space="0" w:color="auto"/>
          </w:divBdr>
        </w:div>
        <w:div w:id="921839375">
          <w:marLeft w:val="0"/>
          <w:marRight w:val="0"/>
          <w:marTop w:val="0"/>
          <w:marBottom w:val="0"/>
          <w:divBdr>
            <w:top w:val="none" w:sz="0" w:space="0" w:color="auto"/>
            <w:left w:val="none" w:sz="0" w:space="0" w:color="auto"/>
            <w:bottom w:val="none" w:sz="0" w:space="0" w:color="auto"/>
            <w:right w:val="none" w:sz="0" w:space="0" w:color="auto"/>
          </w:divBdr>
        </w:div>
        <w:div w:id="924875653">
          <w:marLeft w:val="0"/>
          <w:marRight w:val="0"/>
          <w:marTop w:val="0"/>
          <w:marBottom w:val="0"/>
          <w:divBdr>
            <w:top w:val="none" w:sz="0" w:space="0" w:color="auto"/>
            <w:left w:val="none" w:sz="0" w:space="0" w:color="auto"/>
            <w:bottom w:val="none" w:sz="0" w:space="0" w:color="auto"/>
            <w:right w:val="none" w:sz="0" w:space="0" w:color="auto"/>
          </w:divBdr>
        </w:div>
        <w:div w:id="943924104">
          <w:marLeft w:val="0"/>
          <w:marRight w:val="0"/>
          <w:marTop w:val="0"/>
          <w:marBottom w:val="0"/>
          <w:divBdr>
            <w:top w:val="none" w:sz="0" w:space="0" w:color="auto"/>
            <w:left w:val="none" w:sz="0" w:space="0" w:color="auto"/>
            <w:bottom w:val="none" w:sz="0" w:space="0" w:color="auto"/>
            <w:right w:val="none" w:sz="0" w:space="0" w:color="auto"/>
          </w:divBdr>
        </w:div>
        <w:div w:id="1050807010">
          <w:marLeft w:val="0"/>
          <w:marRight w:val="0"/>
          <w:marTop w:val="0"/>
          <w:marBottom w:val="0"/>
          <w:divBdr>
            <w:top w:val="none" w:sz="0" w:space="0" w:color="auto"/>
            <w:left w:val="none" w:sz="0" w:space="0" w:color="auto"/>
            <w:bottom w:val="none" w:sz="0" w:space="0" w:color="auto"/>
            <w:right w:val="none" w:sz="0" w:space="0" w:color="auto"/>
          </w:divBdr>
        </w:div>
        <w:div w:id="1109659290">
          <w:marLeft w:val="0"/>
          <w:marRight w:val="0"/>
          <w:marTop w:val="0"/>
          <w:marBottom w:val="0"/>
          <w:divBdr>
            <w:top w:val="none" w:sz="0" w:space="0" w:color="auto"/>
            <w:left w:val="none" w:sz="0" w:space="0" w:color="auto"/>
            <w:bottom w:val="none" w:sz="0" w:space="0" w:color="auto"/>
            <w:right w:val="none" w:sz="0" w:space="0" w:color="auto"/>
          </w:divBdr>
        </w:div>
        <w:div w:id="1133672248">
          <w:marLeft w:val="0"/>
          <w:marRight w:val="0"/>
          <w:marTop w:val="0"/>
          <w:marBottom w:val="0"/>
          <w:divBdr>
            <w:top w:val="none" w:sz="0" w:space="0" w:color="auto"/>
            <w:left w:val="none" w:sz="0" w:space="0" w:color="auto"/>
            <w:bottom w:val="none" w:sz="0" w:space="0" w:color="auto"/>
            <w:right w:val="none" w:sz="0" w:space="0" w:color="auto"/>
          </w:divBdr>
        </w:div>
        <w:div w:id="1482431069">
          <w:marLeft w:val="0"/>
          <w:marRight w:val="0"/>
          <w:marTop w:val="0"/>
          <w:marBottom w:val="0"/>
          <w:divBdr>
            <w:top w:val="none" w:sz="0" w:space="0" w:color="auto"/>
            <w:left w:val="none" w:sz="0" w:space="0" w:color="auto"/>
            <w:bottom w:val="none" w:sz="0" w:space="0" w:color="auto"/>
            <w:right w:val="none" w:sz="0" w:space="0" w:color="auto"/>
          </w:divBdr>
        </w:div>
        <w:div w:id="1649242908">
          <w:marLeft w:val="0"/>
          <w:marRight w:val="0"/>
          <w:marTop w:val="0"/>
          <w:marBottom w:val="0"/>
          <w:divBdr>
            <w:top w:val="none" w:sz="0" w:space="0" w:color="auto"/>
            <w:left w:val="none" w:sz="0" w:space="0" w:color="auto"/>
            <w:bottom w:val="none" w:sz="0" w:space="0" w:color="auto"/>
            <w:right w:val="none" w:sz="0" w:space="0" w:color="auto"/>
          </w:divBdr>
        </w:div>
        <w:div w:id="1704018444">
          <w:marLeft w:val="0"/>
          <w:marRight w:val="0"/>
          <w:marTop w:val="0"/>
          <w:marBottom w:val="0"/>
          <w:divBdr>
            <w:top w:val="none" w:sz="0" w:space="0" w:color="auto"/>
            <w:left w:val="none" w:sz="0" w:space="0" w:color="auto"/>
            <w:bottom w:val="none" w:sz="0" w:space="0" w:color="auto"/>
            <w:right w:val="none" w:sz="0" w:space="0" w:color="auto"/>
          </w:divBdr>
        </w:div>
        <w:div w:id="1758866165">
          <w:marLeft w:val="0"/>
          <w:marRight w:val="0"/>
          <w:marTop w:val="0"/>
          <w:marBottom w:val="0"/>
          <w:divBdr>
            <w:top w:val="none" w:sz="0" w:space="0" w:color="auto"/>
            <w:left w:val="none" w:sz="0" w:space="0" w:color="auto"/>
            <w:bottom w:val="none" w:sz="0" w:space="0" w:color="auto"/>
            <w:right w:val="none" w:sz="0" w:space="0" w:color="auto"/>
          </w:divBdr>
        </w:div>
        <w:div w:id="1886485825">
          <w:marLeft w:val="0"/>
          <w:marRight w:val="0"/>
          <w:marTop w:val="0"/>
          <w:marBottom w:val="0"/>
          <w:divBdr>
            <w:top w:val="none" w:sz="0" w:space="0" w:color="auto"/>
            <w:left w:val="none" w:sz="0" w:space="0" w:color="auto"/>
            <w:bottom w:val="none" w:sz="0" w:space="0" w:color="auto"/>
            <w:right w:val="none" w:sz="0" w:space="0" w:color="auto"/>
          </w:divBdr>
        </w:div>
      </w:divsChild>
    </w:div>
    <w:div w:id="911696904">
      <w:bodyDiv w:val="1"/>
      <w:marLeft w:val="0"/>
      <w:marRight w:val="0"/>
      <w:marTop w:val="0"/>
      <w:marBottom w:val="0"/>
      <w:divBdr>
        <w:top w:val="none" w:sz="0" w:space="0" w:color="auto"/>
        <w:left w:val="none" w:sz="0" w:space="0" w:color="auto"/>
        <w:bottom w:val="none" w:sz="0" w:space="0" w:color="auto"/>
        <w:right w:val="none" w:sz="0" w:space="0" w:color="auto"/>
      </w:divBdr>
      <w:divsChild>
        <w:div w:id="1759668263">
          <w:marLeft w:val="0"/>
          <w:marRight w:val="0"/>
          <w:marTop w:val="0"/>
          <w:marBottom w:val="0"/>
          <w:divBdr>
            <w:top w:val="none" w:sz="0" w:space="0" w:color="auto"/>
            <w:left w:val="none" w:sz="0" w:space="0" w:color="auto"/>
            <w:bottom w:val="none" w:sz="0" w:space="0" w:color="auto"/>
            <w:right w:val="none" w:sz="0" w:space="0" w:color="auto"/>
          </w:divBdr>
          <w:divsChild>
            <w:div w:id="11685488">
              <w:marLeft w:val="0"/>
              <w:marRight w:val="0"/>
              <w:marTop w:val="0"/>
              <w:marBottom w:val="0"/>
              <w:divBdr>
                <w:top w:val="none" w:sz="0" w:space="0" w:color="auto"/>
                <w:left w:val="none" w:sz="0" w:space="0" w:color="auto"/>
                <w:bottom w:val="none" w:sz="0" w:space="0" w:color="auto"/>
                <w:right w:val="none" w:sz="0" w:space="0" w:color="auto"/>
              </w:divBdr>
            </w:div>
            <w:div w:id="42755753">
              <w:marLeft w:val="0"/>
              <w:marRight w:val="0"/>
              <w:marTop w:val="0"/>
              <w:marBottom w:val="0"/>
              <w:divBdr>
                <w:top w:val="none" w:sz="0" w:space="0" w:color="auto"/>
                <w:left w:val="none" w:sz="0" w:space="0" w:color="auto"/>
                <w:bottom w:val="none" w:sz="0" w:space="0" w:color="auto"/>
                <w:right w:val="none" w:sz="0" w:space="0" w:color="auto"/>
              </w:divBdr>
            </w:div>
            <w:div w:id="50542214">
              <w:marLeft w:val="0"/>
              <w:marRight w:val="0"/>
              <w:marTop w:val="0"/>
              <w:marBottom w:val="0"/>
              <w:divBdr>
                <w:top w:val="none" w:sz="0" w:space="0" w:color="auto"/>
                <w:left w:val="none" w:sz="0" w:space="0" w:color="auto"/>
                <w:bottom w:val="none" w:sz="0" w:space="0" w:color="auto"/>
                <w:right w:val="none" w:sz="0" w:space="0" w:color="auto"/>
              </w:divBdr>
            </w:div>
            <w:div w:id="55590626">
              <w:marLeft w:val="0"/>
              <w:marRight w:val="0"/>
              <w:marTop w:val="0"/>
              <w:marBottom w:val="0"/>
              <w:divBdr>
                <w:top w:val="none" w:sz="0" w:space="0" w:color="auto"/>
                <w:left w:val="none" w:sz="0" w:space="0" w:color="auto"/>
                <w:bottom w:val="none" w:sz="0" w:space="0" w:color="auto"/>
                <w:right w:val="none" w:sz="0" w:space="0" w:color="auto"/>
              </w:divBdr>
            </w:div>
            <w:div w:id="90592853">
              <w:marLeft w:val="0"/>
              <w:marRight w:val="0"/>
              <w:marTop w:val="0"/>
              <w:marBottom w:val="0"/>
              <w:divBdr>
                <w:top w:val="none" w:sz="0" w:space="0" w:color="auto"/>
                <w:left w:val="none" w:sz="0" w:space="0" w:color="auto"/>
                <w:bottom w:val="none" w:sz="0" w:space="0" w:color="auto"/>
                <w:right w:val="none" w:sz="0" w:space="0" w:color="auto"/>
              </w:divBdr>
            </w:div>
            <w:div w:id="111636411">
              <w:marLeft w:val="0"/>
              <w:marRight w:val="0"/>
              <w:marTop w:val="0"/>
              <w:marBottom w:val="0"/>
              <w:divBdr>
                <w:top w:val="none" w:sz="0" w:space="0" w:color="auto"/>
                <w:left w:val="none" w:sz="0" w:space="0" w:color="auto"/>
                <w:bottom w:val="none" w:sz="0" w:space="0" w:color="auto"/>
                <w:right w:val="none" w:sz="0" w:space="0" w:color="auto"/>
              </w:divBdr>
            </w:div>
            <w:div w:id="132800126">
              <w:marLeft w:val="0"/>
              <w:marRight w:val="0"/>
              <w:marTop w:val="0"/>
              <w:marBottom w:val="0"/>
              <w:divBdr>
                <w:top w:val="none" w:sz="0" w:space="0" w:color="auto"/>
                <w:left w:val="none" w:sz="0" w:space="0" w:color="auto"/>
                <w:bottom w:val="none" w:sz="0" w:space="0" w:color="auto"/>
                <w:right w:val="none" w:sz="0" w:space="0" w:color="auto"/>
              </w:divBdr>
            </w:div>
            <w:div w:id="139077374">
              <w:marLeft w:val="0"/>
              <w:marRight w:val="0"/>
              <w:marTop w:val="0"/>
              <w:marBottom w:val="0"/>
              <w:divBdr>
                <w:top w:val="none" w:sz="0" w:space="0" w:color="auto"/>
                <w:left w:val="none" w:sz="0" w:space="0" w:color="auto"/>
                <w:bottom w:val="none" w:sz="0" w:space="0" w:color="auto"/>
                <w:right w:val="none" w:sz="0" w:space="0" w:color="auto"/>
              </w:divBdr>
            </w:div>
            <w:div w:id="149906594">
              <w:marLeft w:val="0"/>
              <w:marRight w:val="0"/>
              <w:marTop w:val="0"/>
              <w:marBottom w:val="0"/>
              <w:divBdr>
                <w:top w:val="none" w:sz="0" w:space="0" w:color="auto"/>
                <w:left w:val="none" w:sz="0" w:space="0" w:color="auto"/>
                <w:bottom w:val="none" w:sz="0" w:space="0" w:color="auto"/>
                <w:right w:val="none" w:sz="0" w:space="0" w:color="auto"/>
              </w:divBdr>
            </w:div>
            <w:div w:id="195120525">
              <w:marLeft w:val="0"/>
              <w:marRight w:val="0"/>
              <w:marTop w:val="0"/>
              <w:marBottom w:val="0"/>
              <w:divBdr>
                <w:top w:val="none" w:sz="0" w:space="0" w:color="auto"/>
                <w:left w:val="none" w:sz="0" w:space="0" w:color="auto"/>
                <w:bottom w:val="none" w:sz="0" w:space="0" w:color="auto"/>
                <w:right w:val="none" w:sz="0" w:space="0" w:color="auto"/>
              </w:divBdr>
            </w:div>
            <w:div w:id="218437766">
              <w:marLeft w:val="0"/>
              <w:marRight w:val="0"/>
              <w:marTop w:val="0"/>
              <w:marBottom w:val="0"/>
              <w:divBdr>
                <w:top w:val="none" w:sz="0" w:space="0" w:color="auto"/>
                <w:left w:val="none" w:sz="0" w:space="0" w:color="auto"/>
                <w:bottom w:val="none" w:sz="0" w:space="0" w:color="auto"/>
                <w:right w:val="none" w:sz="0" w:space="0" w:color="auto"/>
              </w:divBdr>
            </w:div>
            <w:div w:id="243688184">
              <w:marLeft w:val="0"/>
              <w:marRight w:val="0"/>
              <w:marTop w:val="0"/>
              <w:marBottom w:val="0"/>
              <w:divBdr>
                <w:top w:val="none" w:sz="0" w:space="0" w:color="auto"/>
                <w:left w:val="none" w:sz="0" w:space="0" w:color="auto"/>
                <w:bottom w:val="none" w:sz="0" w:space="0" w:color="auto"/>
                <w:right w:val="none" w:sz="0" w:space="0" w:color="auto"/>
              </w:divBdr>
            </w:div>
            <w:div w:id="248513913">
              <w:marLeft w:val="0"/>
              <w:marRight w:val="0"/>
              <w:marTop w:val="0"/>
              <w:marBottom w:val="0"/>
              <w:divBdr>
                <w:top w:val="none" w:sz="0" w:space="0" w:color="auto"/>
                <w:left w:val="none" w:sz="0" w:space="0" w:color="auto"/>
                <w:bottom w:val="none" w:sz="0" w:space="0" w:color="auto"/>
                <w:right w:val="none" w:sz="0" w:space="0" w:color="auto"/>
              </w:divBdr>
            </w:div>
            <w:div w:id="268047379">
              <w:marLeft w:val="0"/>
              <w:marRight w:val="0"/>
              <w:marTop w:val="0"/>
              <w:marBottom w:val="0"/>
              <w:divBdr>
                <w:top w:val="none" w:sz="0" w:space="0" w:color="auto"/>
                <w:left w:val="none" w:sz="0" w:space="0" w:color="auto"/>
                <w:bottom w:val="none" w:sz="0" w:space="0" w:color="auto"/>
                <w:right w:val="none" w:sz="0" w:space="0" w:color="auto"/>
              </w:divBdr>
            </w:div>
            <w:div w:id="282082203">
              <w:marLeft w:val="0"/>
              <w:marRight w:val="0"/>
              <w:marTop w:val="0"/>
              <w:marBottom w:val="0"/>
              <w:divBdr>
                <w:top w:val="none" w:sz="0" w:space="0" w:color="auto"/>
                <w:left w:val="none" w:sz="0" w:space="0" w:color="auto"/>
                <w:bottom w:val="none" w:sz="0" w:space="0" w:color="auto"/>
                <w:right w:val="none" w:sz="0" w:space="0" w:color="auto"/>
              </w:divBdr>
            </w:div>
            <w:div w:id="329871683">
              <w:marLeft w:val="0"/>
              <w:marRight w:val="0"/>
              <w:marTop w:val="0"/>
              <w:marBottom w:val="0"/>
              <w:divBdr>
                <w:top w:val="none" w:sz="0" w:space="0" w:color="auto"/>
                <w:left w:val="none" w:sz="0" w:space="0" w:color="auto"/>
                <w:bottom w:val="none" w:sz="0" w:space="0" w:color="auto"/>
                <w:right w:val="none" w:sz="0" w:space="0" w:color="auto"/>
              </w:divBdr>
            </w:div>
            <w:div w:id="371466527">
              <w:marLeft w:val="0"/>
              <w:marRight w:val="0"/>
              <w:marTop w:val="0"/>
              <w:marBottom w:val="0"/>
              <w:divBdr>
                <w:top w:val="none" w:sz="0" w:space="0" w:color="auto"/>
                <w:left w:val="none" w:sz="0" w:space="0" w:color="auto"/>
                <w:bottom w:val="none" w:sz="0" w:space="0" w:color="auto"/>
                <w:right w:val="none" w:sz="0" w:space="0" w:color="auto"/>
              </w:divBdr>
            </w:div>
            <w:div w:id="447546606">
              <w:marLeft w:val="0"/>
              <w:marRight w:val="0"/>
              <w:marTop w:val="0"/>
              <w:marBottom w:val="0"/>
              <w:divBdr>
                <w:top w:val="none" w:sz="0" w:space="0" w:color="auto"/>
                <w:left w:val="none" w:sz="0" w:space="0" w:color="auto"/>
                <w:bottom w:val="none" w:sz="0" w:space="0" w:color="auto"/>
                <w:right w:val="none" w:sz="0" w:space="0" w:color="auto"/>
              </w:divBdr>
            </w:div>
            <w:div w:id="453402149">
              <w:marLeft w:val="0"/>
              <w:marRight w:val="0"/>
              <w:marTop w:val="0"/>
              <w:marBottom w:val="0"/>
              <w:divBdr>
                <w:top w:val="none" w:sz="0" w:space="0" w:color="auto"/>
                <w:left w:val="none" w:sz="0" w:space="0" w:color="auto"/>
                <w:bottom w:val="none" w:sz="0" w:space="0" w:color="auto"/>
                <w:right w:val="none" w:sz="0" w:space="0" w:color="auto"/>
              </w:divBdr>
            </w:div>
            <w:div w:id="496963773">
              <w:marLeft w:val="0"/>
              <w:marRight w:val="0"/>
              <w:marTop w:val="0"/>
              <w:marBottom w:val="0"/>
              <w:divBdr>
                <w:top w:val="none" w:sz="0" w:space="0" w:color="auto"/>
                <w:left w:val="none" w:sz="0" w:space="0" w:color="auto"/>
                <w:bottom w:val="none" w:sz="0" w:space="0" w:color="auto"/>
                <w:right w:val="none" w:sz="0" w:space="0" w:color="auto"/>
              </w:divBdr>
            </w:div>
            <w:div w:id="497890199">
              <w:marLeft w:val="0"/>
              <w:marRight w:val="0"/>
              <w:marTop w:val="0"/>
              <w:marBottom w:val="0"/>
              <w:divBdr>
                <w:top w:val="none" w:sz="0" w:space="0" w:color="auto"/>
                <w:left w:val="none" w:sz="0" w:space="0" w:color="auto"/>
                <w:bottom w:val="none" w:sz="0" w:space="0" w:color="auto"/>
                <w:right w:val="none" w:sz="0" w:space="0" w:color="auto"/>
              </w:divBdr>
            </w:div>
            <w:div w:id="512844475">
              <w:marLeft w:val="0"/>
              <w:marRight w:val="0"/>
              <w:marTop w:val="0"/>
              <w:marBottom w:val="0"/>
              <w:divBdr>
                <w:top w:val="none" w:sz="0" w:space="0" w:color="auto"/>
                <w:left w:val="none" w:sz="0" w:space="0" w:color="auto"/>
                <w:bottom w:val="none" w:sz="0" w:space="0" w:color="auto"/>
                <w:right w:val="none" w:sz="0" w:space="0" w:color="auto"/>
              </w:divBdr>
            </w:div>
            <w:div w:id="521359532">
              <w:marLeft w:val="0"/>
              <w:marRight w:val="0"/>
              <w:marTop w:val="0"/>
              <w:marBottom w:val="0"/>
              <w:divBdr>
                <w:top w:val="none" w:sz="0" w:space="0" w:color="auto"/>
                <w:left w:val="none" w:sz="0" w:space="0" w:color="auto"/>
                <w:bottom w:val="none" w:sz="0" w:space="0" w:color="auto"/>
                <w:right w:val="none" w:sz="0" w:space="0" w:color="auto"/>
              </w:divBdr>
            </w:div>
            <w:div w:id="533663339">
              <w:marLeft w:val="0"/>
              <w:marRight w:val="0"/>
              <w:marTop w:val="0"/>
              <w:marBottom w:val="0"/>
              <w:divBdr>
                <w:top w:val="none" w:sz="0" w:space="0" w:color="auto"/>
                <w:left w:val="none" w:sz="0" w:space="0" w:color="auto"/>
                <w:bottom w:val="none" w:sz="0" w:space="0" w:color="auto"/>
                <w:right w:val="none" w:sz="0" w:space="0" w:color="auto"/>
              </w:divBdr>
            </w:div>
            <w:div w:id="547764328">
              <w:marLeft w:val="0"/>
              <w:marRight w:val="0"/>
              <w:marTop w:val="0"/>
              <w:marBottom w:val="0"/>
              <w:divBdr>
                <w:top w:val="none" w:sz="0" w:space="0" w:color="auto"/>
                <w:left w:val="none" w:sz="0" w:space="0" w:color="auto"/>
                <w:bottom w:val="none" w:sz="0" w:space="0" w:color="auto"/>
                <w:right w:val="none" w:sz="0" w:space="0" w:color="auto"/>
              </w:divBdr>
            </w:div>
            <w:div w:id="580649301">
              <w:marLeft w:val="0"/>
              <w:marRight w:val="0"/>
              <w:marTop w:val="0"/>
              <w:marBottom w:val="0"/>
              <w:divBdr>
                <w:top w:val="none" w:sz="0" w:space="0" w:color="auto"/>
                <w:left w:val="none" w:sz="0" w:space="0" w:color="auto"/>
                <w:bottom w:val="none" w:sz="0" w:space="0" w:color="auto"/>
                <w:right w:val="none" w:sz="0" w:space="0" w:color="auto"/>
              </w:divBdr>
            </w:div>
            <w:div w:id="613951283">
              <w:marLeft w:val="0"/>
              <w:marRight w:val="0"/>
              <w:marTop w:val="0"/>
              <w:marBottom w:val="0"/>
              <w:divBdr>
                <w:top w:val="none" w:sz="0" w:space="0" w:color="auto"/>
                <w:left w:val="none" w:sz="0" w:space="0" w:color="auto"/>
                <w:bottom w:val="none" w:sz="0" w:space="0" w:color="auto"/>
                <w:right w:val="none" w:sz="0" w:space="0" w:color="auto"/>
              </w:divBdr>
            </w:div>
            <w:div w:id="623387067">
              <w:marLeft w:val="0"/>
              <w:marRight w:val="0"/>
              <w:marTop w:val="0"/>
              <w:marBottom w:val="0"/>
              <w:divBdr>
                <w:top w:val="none" w:sz="0" w:space="0" w:color="auto"/>
                <w:left w:val="none" w:sz="0" w:space="0" w:color="auto"/>
                <w:bottom w:val="none" w:sz="0" w:space="0" w:color="auto"/>
                <w:right w:val="none" w:sz="0" w:space="0" w:color="auto"/>
              </w:divBdr>
            </w:div>
            <w:div w:id="648048326">
              <w:marLeft w:val="0"/>
              <w:marRight w:val="0"/>
              <w:marTop w:val="0"/>
              <w:marBottom w:val="0"/>
              <w:divBdr>
                <w:top w:val="none" w:sz="0" w:space="0" w:color="auto"/>
                <w:left w:val="none" w:sz="0" w:space="0" w:color="auto"/>
                <w:bottom w:val="none" w:sz="0" w:space="0" w:color="auto"/>
                <w:right w:val="none" w:sz="0" w:space="0" w:color="auto"/>
              </w:divBdr>
            </w:div>
            <w:div w:id="682442940">
              <w:marLeft w:val="0"/>
              <w:marRight w:val="0"/>
              <w:marTop w:val="0"/>
              <w:marBottom w:val="0"/>
              <w:divBdr>
                <w:top w:val="none" w:sz="0" w:space="0" w:color="auto"/>
                <w:left w:val="none" w:sz="0" w:space="0" w:color="auto"/>
                <w:bottom w:val="none" w:sz="0" w:space="0" w:color="auto"/>
                <w:right w:val="none" w:sz="0" w:space="0" w:color="auto"/>
              </w:divBdr>
            </w:div>
            <w:div w:id="726418076">
              <w:marLeft w:val="0"/>
              <w:marRight w:val="0"/>
              <w:marTop w:val="0"/>
              <w:marBottom w:val="0"/>
              <w:divBdr>
                <w:top w:val="none" w:sz="0" w:space="0" w:color="auto"/>
                <w:left w:val="none" w:sz="0" w:space="0" w:color="auto"/>
                <w:bottom w:val="none" w:sz="0" w:space="0" w:color="auto"/>
                <w:right w:val="none" w:sz="0" w:space="0" w:color="auto"/>
              </w:divBdr>
            </w:div>
            <w:div w:id="743917538">
              <w:marLeft w:val="0"/>
              <w:marRight w:val="0"/>
              <w:marTop w:val="0"/>
              <w:marBottom w:val="0"/>
              <w:divBdr>
                <w:top w:val="none" w:sz="0" w:space="0" w:color="auto"/>
                <w:left w:val="none" w:sz="0" w:space="0" w:color="auto"/>
                <w:bottom w:val="none" w:sz="0" w:space="0" w:color="auto"/>
                <w:right w:val="none" w:sz="0" w:space="0" w:color="auto"/>
              </w:divBdr>
            </w:div>
            <w:div w:id="761147078">
              <w:marLeft w:val="0"/>
              <w:marRight w:val="0"/>
              <w:marTop w:val="0"/>
              <w:marBottom w:val="0"/>
              <w:divBdr>
                <w:top w:val="none" w:sz="0" w:space="0" w:color="auto"/>
                <w:left w:val="none" w:sz="0" w:space="0" w:color="auto"/>
                <w:bottom w:val="none" w:sz="0" w:space="0" w:color="auto"/>
                <w:right w:val="none" w:sz="0" w:space="0" w:color="auto"/>
              </w:divBdr>
            </w:div>
            <w:div w:id="761418536">
              <w:marLeft w:val="0"/>
              <w:marRight w:val="0"/>
              <w:marTop w:val="0"/>
              <w:marBottom w:val="0"/>
              <w:divBdr>
                <w:top w:val="none" w:sz="0" w:space="0" w:color="auto"/>
                <w:left w:val="none" w:sz="0" w:space="0" w:color="auto"/>
                <w:bottom w:val="none" w:sz="0" w:space="0" w:color="auto"/>
                <w:right w:val="none" w:sz="0" w:space="0" w:color="auto"/>
              </w:divBdr>
            </w:div>
            <w:div w:id="798764396">
              <w:marLeft w:val="0"/>
              <w:marRight w:val="0"/>
              <w:marTop w:val="0"/>
              <w:marBottom w:val="0"/>
              <w:divBdr>
                <w:top w:val="none" w:sz="0" w:space="0" w:color="auto"/>
                <w:left w:val="none" w:sz="0" w:space="0" w:color="auto"/>
                <w:bottom w:val="none" w:sz="0" w:space="0" w:color="auto"/>
                <w:right w:val="none" w:sz="0" w:space="0" w:color="auto"/>
              </w:divBdr>
            </w:div>
            <w:div w:id="814642938">
              <w:marLeft w:val="0"/>
              <w:marRight w:val="0"/>
              <w:marTop w:val="0"/>
              <w:marBottom w:val="0"/>
              <w:divBdr>
                <w:top w:val="none" w:sz="0" w:space="0" w:color="auto"/>
                <w:left w:val="none" w:sz="0" w:space="0" w:color="auto"/>
                <w:bottom w:val="none" w:sz="0" w:space="0" w:color="auto"/>
                <w:right w:val="none" w:sz="0" w:space="0" w:color="auto"/>
              </w:divBdr>
            </w:div>
            <w:div w:id="835146803">
              <w:marLeft w:val="0"/>
              <w:marRight w:val="0"/>
              <w:marTop w:val="0"/>
              <w:marBottom w:val="0"/>
              <w:divBdr>
                <w:top w:val="none" w:sz="0" w:space="0" w:color="auto"/>
                <w:left w:val="none" w:sz="0" w:space="0" w:color="auto"/>
                <w:bottom w:val="none" w:sz="0" w:space="0" w:color="auto"/>
                <w:right w:val="none" w:sz="0" w:space="0" w:color="auto"/>
              </w:divBdr>
            </w:div>
            <w:div w:id="847449126">
              <w:marLeft w:val="0"/>
              <w:marRight w:val="0"/>
              <w:marTop w:val="0"/>
              <w:marBottom w:val="0"/>
              <w:divBdr>
                <w:top w:val="none" w:sz="0" w:space="0" w:color="auto"/>
                <w:left w:val="none" w:sz="0" w:space="0" w:color="auto"/>
                <w:bottom w:val="none" w:sz="0" w:space="0" w:color="auto"/>
                <w:right w:val="none" w:sz="0" w:space="0" w:color="auto"/>
              </w:divBdr>
            </w:div>
            <w:div w:id="890045609">
              <w:marLeft w:val="0"/>
              <w:marRight w:val="0"/>
              <w:marTop w:val="0"/>
              <w:marBottom w:val="0"/>
              <w:divBdr>
                <w:top w:val="none" w:sz="0" w:space="0" w:color="auto"/>
                <w:left w:val="none" w:sz="0" w:space="0" w:color="auto"/>
                <w:bottom w:val="none" w:sz="0" w:space="0" w:color="auto"/>
                <w:right w:val="none" w:sz="0" w:space="0" w:color="auto"/>
              </w:divBdr>
            </w:div>
            <w:div w:id="893665113">
              <w:marLeft w:val="0"/>
              <w:marRight w:val="0"/>
              <w:marTop w:val="0"/>
              <w:marBottom w:val="0"/>
              <w:divBdr>
                <w:top w:val="none" w:sz="0" w:space="0" w:color="auto"/>
                <w:left w:val="none" w:sz="0" w:space="0" w:color="auto"/>
                <w:bottom w:val="none" w:sz="0" w:space="0" w:color="auto"/>
                <w:right w:val="none" w:sz="0" w:space="0" w:color="auto"/>
              </w:divBdr>
            </w:div>
            <w:div w:id="918445422">
              <w:marLeft w:val="0"/>
              <w:marRight w:val="0"/>
              <w:marTop w:val="0"/>
              <w:marBottom w:val="0"/>
              <w:divBdr>
                <w:top w:val="none" w:sz="0" w:space="0" w:color="auto"/>
                <w:left w:val="none" w:sz="0" w:space="0" w:color="auto"/>
                <w:bottom w:val="none" w:sz="0" w:space="0" w:color="auto"/>
                <w:right w:val="none" w:sz="0" w:space="0" w:color="auto"/>
              </w:divBdr>
            </w:div>
            <w:div w:id="926696764">
              <w:marLeft w:val="0"/>
              <w:marRight w:val="0"/>
              <w:marTop w:val="0"/>
              <w:marBottom w:val="0"/>
              <w:divBdr>
                <w:top w:val="none" w:sz="0" w:space="0" w:color="auto"/>
                <w:left w:val="none" w:sz="0" w:space="0" w:color="auto"/>
                <w:bottom w:val="none" w:sz="0" w:space="0" w:color="auto"/>
                <w:right w:val="none" w:sz="0" w:space="0" w:color="auto"/>
              </w:divBdr>
            </w:div>
            <w:div w:id="934751671">
              <w:marLeft w:val="0"/>
              <w:marRight w:val="0"/>
              <w:marTop w:val="0"/>
              <w:marBottom w:val="0"/>
              <w:divBdr>
                <w:top w:val="none" w:sz="0" w:space="0" w:color="auto"/>
                <w:left w:val="none" w:sz="0" w:space="0" w:color="auto"/>
                <w:bottom w:val="none" w:sz="0" w:space="0" w:color="auto"/>
                <w:right w:val="none" w:sz="0" w:space="0" w:color="auto"/>
              </w:divBdr>
            </w:div>
            <w:div w:id="945431788">
              <w:marLeft w:val="0"/>
              <w:marRight w:val="0"/>
              <w:marTop w:val="0"/>
              <w:marBottom w:val="0"/>
              <w:divBdr>
                <w:top w:val="none" w:sz="0" w:space="0" w:color="auto"/>
                <w:left w:val="none" w:sz="0" w:space="0" w:color="auto"/>
                <w:bottom w:val="none" w:sz="0" w:space="0" w:color="auto"/>
                <w:right w:val="none" w:sz="0" w:space="0" w:color="auto"/>
              </w:divBdr>
            </w:div>
            <w:div w:id="955526986">
              <w:marLeft w:val="0"/>
              <w:marRight w:val="0"/>
              <w:marTop w:val="0"/>
              <w:marBottom w:val="0"/>
              <w:divBdr>
                <w:top w:val="none" w:sz="0" w:space="0" w:color="auto"/>
                <w:left w:val="none" w:sz="0" w:space="0" w:color="auto"/>
                <w:bottom w:val="none" w:sz="0" w:space="0" w:color="auto"/>
                <w:right w:val="none" w:sz="0" w:space="0" w:color="auto"/>
              </w:divBdr>
            </w:div>
            <w:div w:id="974719187">
              <w:marLeft w:val="0"/>
              <w:marRight w:val="0"/>
              <w:marTop w:val="0"/>
              <w:marBottom w:val="0"/>
              <w:divBdr>
                <w:top w:val="none" w:sz="0" w:space="0" w:color="auto"/>
                <w:left w:val="none" w:sz="0" w:space="0" w:color="auto"/>
                <w:bottom w:val="none" w:sz="0" w:space="0" w:color="auto"/>
                <w:right w:val="none" w:sz="0" w:space="0" w:color="auto"/>
              </w:divBdr>
            </w:div>
            <w:div w:id="1021470701">
              <w:marLeft w:val="0"/>
              <w:marRight w:val="0"/>
              <w:marTop w:val="0"/>
              <w:marBottom w:val="0"/>
              <w:divBdr>
                <w:top w:val="none" w:sz="0" w:space="0" w:color="auto"/>
                <w:left w:val="none" w:sz="0" w:space="0" w:color="auto"/>
                <w:bottom w:val="none" w:sz="0" w:space="0" w:color="auto"/>
                <w:right w:val="none" w:sz="0" w:space="0" w:color="auto"/>
              </w:divBdr>
            </w:div>
            <w:div w:id="1026102803">
              <w:marLeft w:val="0"/>
              <w:marRight w:val="0"/>
              <w:marTop w:val="0"/>
              <w:marBottom w:val="0"/>
              <w:divBdr>
                <w:top w:val="none" w:sz="0" w:space="0" w:color="auto"/>
                <w:left w:val="none" w:sz="0" w:space="0" w:color="auto"/>
                <w:bottom w:val="none" w:sz="0" w:space="0" w:color="auto"/>
                <w:right w:val="none" w:sz="0" w:space="0" w:color="auto"/>
              </w:divBdr>
            </w:div>
            <w:div w:id="1031305066">
              <w:marLeft w:val="0"/>
              <w:marRight w:val="0"/>
              <w:marTop w:val="0"/>
              <w:marBottom w:val="0"/>
              <w:divBdr>
                <w:top w:val="none" w:sz="0" w:space="0" w:color="auto"/>
                <w:left w:val="none" w:sz="0" w:space="0" w:color="auto"/>
                <w:bottom w:val="none" w:sz="0" w:space="0" w:color="auto"/>
                <w:right w:val="none" w:sz="0" w:space="0" w:color="auto"/>
              </w:divBdr>
            </w:div>
            <w:div w:id="1057437479">
              <w:marLeft w:val="0"/>
              <w:marRight w:val="0"/>
              <w:marTop w:val="0"/>
              <w:marBottom w:val="0"/>
              <w:divBdr>
                <w:top w:val="none" w:sz="0" w:space="0" w:color="auto"/>
                <w:left w:val="none" w:sz="0" w:space="0" w:color="auto"/>
                <w:bottom w:val="none" w:sz="0" w:space="0" w:color="auto"/>
                <w:right w:val="none" w:sz="0" w:space="0" w:color="auto"/>
              </w:divBdr>
            </w:div>
            <w:div w:id="1069496122">
              <w:marLeft w:val="0"/>
              <w:marRight w:val="0"/>
              <w:marTop w:val="0"/>
              <w:marBottom w:val="0"/>
              <w:divBdr>
                <w:top w:val="none" w:sz="0" w:space="0" w:color="auto"/>
                <w:left w:val="none" w:sz="0" w:space="0" w:color="auto"/>
                <w:bottom w:val="none" w:sz="0" w:space="0" w:color="auto"/>
                <w:right w:val="none" w:sz="0" w:space="0" w:color="auto"/>
              </w:divBdr>
            </w:div>
            <w:div w:id="1083339910">
              <w:marLeft w:val="0"/>
              <w:marRight w:val="0"/>
              <w:marTop w:val="0"/>
              <w:marBottom w:val="0"/>
              <w:divBdr>
                <w:top w:val="none" w:sz="0" w:space="0" w:color="auto"/>
                <w:left w:val="none" w:sz="0" w:space="0" w:color="auto"/>
                <w:bottom w:val="none" w:sz="0" w:space="0" w:color="auto"/>
                <w:right w:val="none" w:sz="0" w:space="0" w:color="auto"/>
              </w:divBdr>
            </w:div>
            <w:div w:id="1119295693">
              <w:marLeft w:val="0"/>
              <w:marRight w:val="0"/>
              <w:marTop w:val="0"/>
              <w:marBottom w:val="0"/>
              <w:divBdr>
                <w:top w:val="none" w:sz="0" w:space="0" w:color="auto"/>
                <w:left w:val="none" w:sz="0" w:space="0" w:color="auto"/>
                <w:bottom w:val="none" w:sz="0" w:space="0" w:color="auto"/>
                <w:right w:val="none" w:sz="0" w:space="0" w:color="auto"/>
              </w:divBdr>
            </w:div>
            <w:div w:id="1150054715">
              <w:marLeft w:val="0"/>
              <w:marRight w:val="0"/>
              <w:marTop w:val="0"/>
              <w:marBottom w:val="0"/>
              <w:divBdr>
                <w:top w:val="none" w:sz="0" w:space="0" w:color="auto"/>
                <w:left w:val="none" w:sz="0" w:space="0" w:color="auto"/>
                <w:bottom w:val="none" w:sz="0" w:space="0" w:color="auto"/>
                <w:right w:val="none" w:sz="0" w:space="0" w:color="auto"/>
              </w:divBdr>
            </w:div>
            <w:div w:id="1152716769">
              <w:marLeft w:val="0"/>
              <w:marRight w:val="0"/>
              <w:marTop w:val="0"/>
              <w:marBottom w:val="0"/>
              <w:divBdr>
                <w:top w:val="none" w:sz="0" w:space="0" w:color="auto"/>
                <w:left w:val="none" w:sz="0" w:space="0" w:color="auto"/>
                <w:bottom w:val="none" w:sz="0" w:space="0" w:color="auto"/>
                <w:right w:val="none" w:sz="0" w:space="0" w:color="auto"/>
              </w:divBdr>
            </w:div>
            <w:div w:id="1180395126">
              <w:marLeft w:val="0"/>
              <w:marRight w:val="0"/>
              <w:marTop w:val="0"/>
              <w:marBottom w:val="0"/>
              <w:divBdr>
                <w:top w:val="none" w:sz="0" w:space="0" w:color="auto"/>
                <w:left w:val="none" w:sz="0" w:space="0" w:color="auto"/>
                <w:bottom w:val="none" w:sz="0" w:space="0" w:color="auto"/>
                <w:right w:val="none" w:sz="0" w:space="0" w:color="auto"/>
              </w:divBdr>
            </w:div>
            <w:div w:id="1184397811">
              <w:marLeft w:val="0"/>
              <w:marRight w:val="0"/>
              <w:marTop w:val="0"/>
              <w:marBottom w:val="0"/>
              <w:divBdr>
                <w:top w:val="none" w:sz="0" w:space="0" w:color="auto"/>
                <w:left w:val="none" w:sz="0" w:space="0" w:color="auto"/>
                <w:bottom w:val="none" w:sz="0" w:space="0" w:color="auto"/>
                <w:right w:val="none" w:sz="0" w:space="0" w:color="auto"/>
              </w:divBdr>
            </w:div>
            <w:div w:id="1187670425">
              <w:marLeft w:val="0"/>
              <w:marRight w:val="0"/>
              <w:marTop w:val="0"/>
              <w:marBottom w:val="0"/>
              <w:divBdr>
                <w:top w:val="none" w:sz="0" w:space="0" w:color="auto"/>
                <w:left w:val="none" w:sz="0" w:space="0" w:color="auto"/>
                <w:bottom w:val="none" w:sz="0" w:space="0" w:color="auto"/>
                <w:right w:val="none" w:sz="0" w:space="0" w:color="auto"/>
              </w:divBdr>
            </w:div>
            <w:div w:id="1193687205">
              <w:marLeft w:val="0"/>
              <w:marRight w:val="0"/>
              <w:marTop w:val="0"/>
              <w:marBottom w:val="0"/>
              <w:divBdr>
                <w:top w:val="none" w:sz="0" w:space="0" w:color="auto"/>
                <w:left w:val="none" w:sz="0" w:space="0" w:color="auto"/>
                <w:bottom w:val="none" w:sz="0" w:space="0" w:color="auto"/>
                <w:right w:val="none" w:sz="0" w:space="0" w:color="auto"/>
              </w:divBdr>
            </w:div>
            <w:div w:id="1193768583">
              <w:marLeft w:val="0"/>
              <w:marRight w:val="0"/>
              <w:marTop w:val="0"/>
              <w:marBottom w:val="0"/>
              <w:divBdr>
                <w:top w:val="none" w:sz="0" w:space="0" w:color="auto"/>
                <w:left w:val="none" w:sz="0" w:space="0" w:color="auto"/>
                <w:bottom w:val="none" w:sz="0" w:space="0" w:color="auto"/>
                <w:right w:val="none" w:sz="0" w:space="0" w:color="auto"/>
              </w:divBdr>
            </w:div>
            <w:div w:id="1200896789">
              <w:marLeft w:val="0"/>
              <w:marRight w:val="0"/>
              <w:marTop w:val="0"/>
              <w:marBottom w:val="0"/>
              <w:divBdr>
                <w:top w:val="none" w:sz="0" w:space="0" w:color="auto"/>
                <w:left w:val="none" w:sz="0" w:space="0" w:color="auto"/>
                <w:bottom w:val="none" w:sz="0" w:space="0" w:color="auto"/>
                <w:right w:val="none" w:sz="0" w:space="0" w:color="auto"/>
              </w:divBdr>
            </w:div>
            <w:div w:id="1231815089">
              <w:marLeft w:val="0"/>
              <w:marRight w:val="0"/>
              <w:marTop w:val="0"/>
              <w:marBottom w:val="0"/>
              <w:divBdr>
                <w:top w:val="none" w:sz="0" w:space="0" w:color="auto"/>
                <w:left w:val="none" w:sz="0" w:space="0" w:color="auto"/>
                <w:bottom w:val="none" w:sz="0" w:space="0" w:color="auto"/>
                <w:right w:val="none" w:sz="0" w:space="0" w:color="auto"/>
              </w:divBdr>
            </w:div>
            <w:div w:id="1257715863">
              <w:marLeft w:val="0"/>
              <w:marRight w:val="0"/>
              <w:marTop w:val="0"/>
              <w:marBottom w:val="0"/>
              <w:divBdr>
                <w:top w:val="none" w:sz="0" w:space="0" w:color="auto"/>
                <w:left w:val="none" w:sz="0" w:space="0" w:color="auto"/>
                <w:bottom w:val="none" w:sz="0" w:space="0" w:color="auto"/>
                <w:right w:val="none" w:sz="0" w:space="0" w:color="auto"/>
              </w:divBdr>
            </w:div>
            <w:div w:id="1288387766">
              <w:marLeft w:val="0"/>
              <w:marRight w:val="0"/>
              <w:marTop w:val="0"/>
              <w:marBottom w:val="0"/>
              <w:divBdr>
                <w:top w:val="none" w:sz="0" w:space="0" w:color="auto"/>
                <w:left w:val="none" w:sz="0" w:space="0" w:color="auto"/>
                <w:bottom w:val="none" w:sz="0" w:space="0" w:color="auto"/>
                <w:right w:val="none" w:sz="0" w:space="0" w:color="auto"/>
              </w:divBdr>
            </w:div>
            <w:div w:id="1293905303">
              <w:marLeft w:val="0"/>
              <w:marRight w:val="0"/>
              <w:marTop w:val="0"/>
              <w:marBottom w:val="0"/>
              <w:divBdr>
                <w:top w:val="none" w:sz="0" w:space="0" w:color="auto"/>
                <w:left w:val="none" w:sz="0" w:space="0" w:color="auto"/>
                <w:bottom w:val="none" w:sz="0" w:space="0" w:color="auto"/>
                <w:right w:val="none" w:sz="0" w:space="0" w:color="auto"/>
              </w:divBdr>
            </w:div>
            <w:div w:id="1342581445">
              <w:marLeft w:val="0"/>
              <w:marRight w:val="0"/>
              <w:marTop w:val="0"/>
              <w:marBottom w:val="0"/>
              <w:divBdr>
                <w:top w:val="none" w:sz="0" w:space="0" w:color="auto"/>
                <w:left w:val="none" w:sz="0" w:space="0" w:color="auto"/>
                <w:bottom w:val="none" w:sz="0" w:space="0" w:color="auto"/>
                <w:right w:val="none" w:sz="0" w:space="0" w:color="auto"/>
              </w:divBdr>
            </w:div>
            <w:div w:id="1360356298">
              <w:marLeft w:val="0"/>
              <w:marRight w:val="0"/>
              <w:marTop w:val="0"/>
              <w:marBottom w:val="0"/>
              <w:divBdr>
                <w:top w:val="none" w:sz="0" w:space="0" w:color="auto"/>
                <w:left w:val="none" w:sz="0" w:space="0" w:color="auto"/>
                <w:bottom w:val="none" w:sz="0" w:space="0" w:color="auto"/>
                <w:right w:val="none" w:sz="0" w:space="0" w:color="auto"/>
              </w:divBdr>
            </w:div>
            <w:div w:id="1379357355">
              <w:marLeft w:val="0"/>
              <w:marRight w:val="0"/>
              <w:marTop w:val="0"/>
              <w:marBottom w:val="0"/>
              <w:divBdr>
                <w:top w:val="none" w:sz="0" w:space="0" w:color="auto"/>
                <w:left w:val="none" w:sz="0" w:space="0" w:color="auto"/>
                <w:bottom w:val="none" w:sz="0" w:space="0" w:color="auto"/>
                <w:right w:val="none" w:sz="0" w:space="0" w:color="auto"/>
              </w:divBdr>
            </w:div>
            <w:div w:id="1410618302">
              <w:marLeft w:val="0"/>
              <w:marRight w:val="0"/>
              <w:marTop w:val="0"/>
              <w:marBottom w:val="0"/>
              <w:divBdr>
                <w:top w:val="none" w:sz="0" w:space="0" w:color="auto"/>
                <w:left w:val="none" w:sz="0" w:space="0" w:color="auto"/>
                <w:bottom w:val="none" w:sz="0" w:space="0" w:color="auto"/>
                <w:right w:val="none" w:sz="0" w:space="0" w:color="auto"/>
              </w:divBdr>
            </w:div>
            <w:div w:id="1440491262">
              <w:marLeft w:val="0"/>
              <w:marRight w:val="0"/>
              <w:marTop w:val="0"/>
              <w:marBottom w:val="0"/>
              <w:divBdr>
                <w:top w:val="none" w:sz="0" w:space="0" w:color="auto"/>
                <w:left w:val="none" w:sz="0" w:space="0" w:color="auto"/>
                <w:bottom w:val="none" w:sz="0" w:space="0" w:color="auto"/>
                <w:right w:val="none" w:sz="0" w:space="0" w:color="auto"/>
              </w:divBdr>
            </w:div>
            <w:div w:id="1459640469">
              <w:marLeft w:val="0"/>
              <w:marRight w:val="0"/>
              <w:marTop w:val="0"/>
              <w:marBottom w:val="0"/>
              <w:divBdr>
                <w:top w:val="none" w:sz="0" w:space="0" w:color="auto"/>
                <w:left w:val="none" w:sz="0" w:space="0" w:color="auto"/>
                <w:bottom w:val="none" w:sz="0" w:space="0" w:color="auto"/>
                <w:right w:val="none" w:sz="0" w:space="0" w:color="auto"/>
              </w:divBdr>
            </w:div>
            <w:div w:id="1470126451">
              <w:marLeft w:val="0"/>
              <w:marRight w:val="0"/>
              <w:marTop w:val="0"/>
              <w:marBottom w:val="0"/>
              <w:divBdr>
                <w:top w:val="none" w:sz="0" w:space="0" w:color="auto"/>
                <w:left w:val="none" w:sz="0" w:space="0" w:color="auto"/>
                <w:bottom w:val="none" w:sz="0" w:space="0" w:color="auto"/>
                <w:right w:val="none" w:sz="0" w:space="0" w:color="auto"/>
              </w:divBdr>
            </w:div>
            <w:div w:id="1471706897">
              <w:marLeft w:val="0"/>
              <w:marRight w:val="0"/>
              <w:marTop w:val="0"/>
              <w:marBottom w:val="0"/>
              <w:divBdr>
                <w:top w:val="none" w:sz="0" w:space="0" w:color="auto"/>
                <w:left w:val="none" w:sz="0" w:space="0" w:color="auto"/>
                <w:bottom w:val="none" w:sz="0" w:space="0" w:color="auto"/>
                <w:right w:val="none" w:sz="0" w:space="0" w:color="auto"/>
              </w:divBdr>
            </w:div>
            <w:div w:id="1477526967">
              <w:marLeft w:val="0"/>
              <w:marRight w:val="0"/>
              <w:marTop w:val="0"/>
              <w:marBottom w:val="0"/>
              <w:divBdr>
                <w:top w:val="none" w:sz="0" w:space="0" w:color="auto"/>
                <w:left w:val="none" w:sz="0" w:space="0" w:color="auto"/>
                <w:bottom w:val="none" w:sz="0" w:space="0" w:color="auto"/>
                <w:right w:val="none" w:sz="0" w:space="0" w:color="auto"/>
              </w:divBdr>
            </w:div>
            <w:div w:id="1522549298">
              <w:marLeft w:val="0"/>
              <w:marRight w:val="0"/>
              <w:marTop w:val="0"/>
              <w:marBottom w:val="0"/>
              <w:divBdr>
                <w:top w:val="none" w:sz="0" w:space="0" w:color="auto"/>
                <w:left w:val="none" w:sz="0" w:space="0" w:color="auto"/>
                <w:bottom w:val="none" w:sz="0" w:space="0" w:color="auto"/>
                <w:right w:val="none" w:sz="0" w:space="0" w:color="auto"/>
              </w:divBdr>
            </w:div>
            <w:div w:id="1573932174">
              <w:marLeft w:val="0"/>
              <w:marRight w:val="0"/>
              <w:marTop w:val="0"/>
              <w:marBottom w:val="0"/>
              <w:divBdr>
                <w:top w:val="none" w:sz="0" w:space="0" w:color="auto"/>
                <w:left w:val="none" w:sz="0" w:space="0" w:color="auto"/>
                <w:bottom w:val="none" w:sz="0" w:space="0" w:color="auto"/>
                <w:right w:val="none" w:sz="0" w:space="0" w:color="auto"/>
              </w:divBdr>
            </w:div>
            <w:div w:id="1616594003">
              <w:marLeft w:val="0"/>
              <w:marRight w:val="0"/>
              <w:marTop w:val="0"/>
              <w:marBottom w:val="0"/>
              <w:divBdr>
                <w:top w:val="none" w:sz="0" w:space="0" w:color="auto"/>
                <w:left w:val="none" w:sz="0" w:space="0" w:color="auto"/>
                <w:bottom w:val="none" w:sz="0" w:space="0" w:color="auto"/>
                <w:right w:val="none" w:sz="0" w:space="0" w:color="auto"/>
              </w:divBdr>
            </w:div>
            <w:div w:id="1618829410">
              <w:marLeft w:val="0"/>
              <w:marRight w:val="0"/>
              <w:marTop w:val="0"/>
              <w:marBottom w:val="0"/>
              <w:divBdr>
                <w:top w:val="none" w:sz="0" w:space="0" w:color="auto"/>
                <w:left w:val="none" w:sz="0" w:space="0" w:color="auto"/>
                <w:bottom w:val="none" w:sz="0" w:space="0" w:color="auto"/>
                <w:right w:val="none" w:sz="0" w:space="0" w:color="auto"/>
              </w:divBdr>
            </w:div>
            <w:div w:id="1646665958">
              <w:marLeft w:val="0"/>
              <w:marRight w:val="0"/>
              <w:marTop w:val="0"/>
              <w:marBottom w:val="0"/>
              <w:divBdr>
                <w:top w:val="none" w:sz="0" w:space="0" w:color="auto"/>
                <w:left w:val="none" w:sz="0" w:space="0" w:color="auto"/>
                <w:bottom w:val="none" w:sz="0" w:space="0" w:color="auto"/>
                <w:right w:val="none" w:sz="0" w:space="0" w:color="auto"/>
              </w:divBdr>
            </w:div>
            <w:div w:id="1673407476">
              <w:marLeft w:val="0"/>
              <w:marRight w:val="0"/>
              <w:marTop w:val="0"/>
              <w:marBottom w:val="0"/>
              <w:divBdr>
                <w:top w:val="none" w:sz="0" w:space="0" w:color="auto"/>
                <w:left w:val="none" w:sz="0" w:space="0" w:color="auto"/>
                <w:bottom w:val="none" w:sz="0" w:space="0" w:color="auto"/>
                <w:right w:val="none" w:sz="0" w:space="0" w:color="auto"/>
              </w:divBdr>
            </w:div>
            <w:div w:id="1860317374">
              <w:marLeft w:val="0"/>
              <w:marRight w:val="0"/>
              <w:marTop w:val="0"/>
              <w:marBottom w:val="0"/>
              <w:divBdr>
                <w:top w:val="none" w:sz="0" w:space="0" w:color="auto"/>
                <w:left w:val="none" w:sz="0" w:space="0" w:color="auto"/>
                <w:bottom w:val="none" w:sz="0" w:space="0" w:color="auto"/>
                <w:right w:val="none" w:sz="0" w:space="0" w:color="auto"/>
              </w:divBdr>
            </w:div>
            <w:div w:id="1898124016">
              <w:marLeft w:val="0"/>
              <w:marRight w:val="0"/>
              <w:marTop w:val="0"/>
              <w:marBottom w:val="0"/>
              <w:divBdr>
                <w:top w:val="none" w:sz="0" w:space="0" w:color="auto"/>
                <w:left w:val="none" w:sz="0" w:space="0" w:color="auto"/>
                <w:bottom w:val="none" w:sz="0" w:space="0" w:color="auto"/>
                <w:right w:val="none" w:sz="0" w:space="0" w:color="auto"/>
              </w:divBdr>
            </w:div>
            <w:div w:id="1928730510">
              <w:marLeft w:val="0"/>
              <w:marRight w:val="0"/>
              <w:marTop w:val="0"/>
              <w:marBottom w:val="0"/>
              <w:divBdr>
                <w:top w:val="none" w:sz="0" w:space="0" w:color="auto"/>
                <w:left w:val="none" w:sz="0" w:space="0" w:color="auto"/>
                <w:bottom w:val="none" w:sz="0" w:space="0" w:color="auto"/>
                <w:right w:val="none" w:sz="0" w:space="0" w:color="auto"/>
              </w:divBdr>
            </w:div>
            <w:div w:id="1931229930">
              <w:marLeft w:val="0"/>
              <w:marRight w:val="0"/>
              <w:marTop w:val="0"/>
              <w:marBottom w:val="0"/>
              <w:divBdr>
                <w:top w:val="none" w:sz="0" w:space="0" w:color="auto"/>
                <w:left w:val="none" w:sz="0" w:space="0" w:color="auto"/>
                <w:bottom w:val="none" w:sz="0" w:space="0" w:color="auto"/>
                <w:right w:val="none" w:sz="0" w:space="0" w:color="auto"/>
              </w:divBdr>
            </w:div>
            <w:div w:id="1944025128">
              <w:marLeft w:val="0"/>
              <w:marRight w:val="0"/>
              <w:marTop w:val="0"/>
              <w:marBottom w:val="0"/>
              <w:divBdr>
                <w:top w:val="none" w:sz="0" w:space="0" w:color="auto"/>
                <w:left w:val="none" w:sz="0" w:space="0" w:color="auto"/>
                <w:bottom w:val="none" w:sz="0" w:space="0" w:color="auto"/>
                <w:right w:val="none" w:sz="0" w:space="0" w:color="auto"/>
              </w:divBdr>
            </w:div>
            <w:div w:id="1962878647">
              <w:marLeft w:val="0"/>
              <w:marRight w:val="0"/>
              <w:marTop w:val="0"/>
              <w:marBottom w:val="0"/>
              <w:divBdr>
                <w:top w:val="none" w:sz="0" w:space="0" w:color="auto"/>
                <w:left w:val="none" w:sz="0" w:space="0" w:color="auto"/>
                <w:bottom w:val="none" w:sz="0" w:space="0" w:color="auto"/>
                <w:right w:val="none" w:sz="0" w:space="0" w:color="auto"/>
              </w:divBdr>
            </w:div>
            <w:div w:id="1965456363">
              <w:marLeft w:val="0"/>
              <w:marRight w:val="0"/>
              <w:marTop w:val="0"/>
              <w:marBottom w:val="0"/>
              <w:divBdr>
                <w:top w:val="none" w:sz="0" w:space="0" w:color="auto"/>
                <w:left w:val="none" w:sz="0" w:space="0" w:color="auto"/>
                <w:bottom w:val="none" w:sz="0" w:space="0" w:color="auto"/>
                <w:right w:val="none" w:sz="0" w:space="0" w:color="auto"/>
              </w:divBdr>
            </w:div>
            <w:div w:id="2056536796">
              <w:marLeft w:val="0"/>
              <w:marRight w:val="0"/>
              <w:marTop w:val="0"/>
              <w:marBottom w:val="0"/>
              <w:divBdr>
                <w:top w:val="none" w:sz="0" w:space="0" w:color="auto"/>
                <w:left w:val="none" w:sz="0" w:space="0" w:color="auto"/>
                <w:bottom w:val="none" w:sz="0" w:space="0" w:color="auto"/>
                <w:right w:val="none" w:sz="0" w:space="0" w:color="auto"/>
              </w:divBdr>
            </w:div>
            <w:div w:id="2060860591">
              <w:marLeft w:val="0"/>
              <w:marRight w:val="0"/>
              <w:marTop w:val="0"/>
              <w:marBottom w:val="0"/>
              <w:divBdr>
                <w:top w:val="none" w:sz="0" w:space="0" w:color="auto"/>
                <w:left w:val="none" w:sz="0" w:space="0" w:color="auto"/>
                <w:bottom w:val="none" w:sz="0" w:space="0" w:color="auto"/>
                <w:right w:val="none" w:sz="0" w:space="0" w:color="auto"/>
              </w:divBdr>
            </w:div>
            <w:div w:id="2080899770">
              <w:marLeft w:val="0"/>
              <w:marRight w:val="0"/>
              <w:marTop w:val="0"/>
              <w:marBottom w:val="0"/>
              <w:divBdr>
                <w:top w:val="none" w:sz="0" w:space="0" w:color="auto"/>
                <w:left w:val="none" w:sz="0" w:space="0" w:color="auto"/>
                <w:bottom w:val="none" w:sz="0" w:space="0" w:color="auto"/>
                <w:right w:val="none" w:sz="0" w:space="0" w:color="auto"/>
              </w:divBdr>
            </w:div>
            <w:div w:id="20895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33122">
      <w:bodyDiv w:val="1"/>
      <w:marLeft w:val="0"/>
      <w:marRight w:val="0"/>
      <w:marTop w:val="0"/>
      <w:marBottom w:val="0"/>
      <w:divBdr>
        <w:top w:val="none" w:sz="0" w:space="0" w:color="auto"/>
        <w:left w:val="none" w:sz="0" w:space="0" w:color="auto"/>
        <w:bottom w:val="none" w:sz="0" w:space="0" w:color="auto"/>
        <w:right w:val="none" w:sz="0" w:space="0" w:color="auto"/>
      </w:divBdr>
    </w:div>
    <w:div w:id="1002777979">
      <w:bodyDiv w:val="1"/>
      <w:marLeft w:val="0"/>
      <w:marRight w:val="0"/>
      <w:marTop w:val="0"/>
      <w:marBottom w:val="0"/>
      <w:divBdr>
        <w:top w:val="none" w:sz="0" w:space="0" w:color="auto"/>
        <w:left w:val="none" w:sz="0" w:space="0" w:color="auto"/>
        <w:bottom w:val="none" w:sz="0" w:space="0" w:color="auto"/>
        <w:right w:val="none" w:sz="0" w:space="0" w:color="auto"/>
      </w:divBdr>
      <w:divsChild>
        <w:div w:id="234362706">
          <w:marLeft w:val="0"/>
          <w:marRight w:val="0"/>
          <w:marTop w:val="0"/>
          <w:marBottom w:val="0"/>
          <w:divBdr>
            <w:top w:val="none" w:sz="0" w:space="0" w:color="auto"/>
            <w:left w:val="none" w:sz="0" w:space="0" w:color="auto"/>
            <w:bottom w:val="none" w:sz="0" w:space="0" w:color="auto"/>
            <w:right w:val="none" w:sz="0" w:space="0" w:color="auto"/>
          </w:divBdr>
        </w:div>
        <w:div w:id="633294051">
          <w:marLeft w:val="0"/>
          <w:marRight w:val="0"/>
          <w:marTop w:val="0"/>
          <w:marBottom w:val="0"/>
          <w:divBdr>
            <w:top w:val="none" w:sz="0" w:space="0" w:color="auto"/>
            <w:left w:val="none" w:sz="0" w:space="0" w:color="auto"/>
            <w:bottom w:val="none" w:sz="0" w:space="0" w:color="auto"/>
            <w:right w:val="none" w:sz="0" w:space="0" w:color="auto"/>
          </w:divBdr>
        </w:div>
      </w:divsChild>
    </w:div>
    <w:div w:id="1004825114">
      <w:bodyDiv w:val="1"/>
      <w:marLeft w:val="0"/>
      <w:marRight w:val="0"/>
      <w:marTop w:val="0"/>
      <w:marBottom w:val="0"/>
      <w:divBdr>
        <w:top w:val="none" w:sz="0" w:space="0" w:color="auto"/>
        <w:left w:val="none" w:sz="0" w:space="0" w:color="auto"/>
        <w:bottom w:val="none" w:sz="0" w:space="0" w:color="auto"/>
        <w:right w:val="none" w:sz="0" w:space="0" w:color="auto"/>
      </w:divBdr>
    </w:div>
    <w:div w:id="1043364377">
      <w:bodyDiv w:val="1"/>
      <w:marLeft w:val="0"/>
      <w:marRight w:val="0"/>
      <w:marTop w:val="0"/>
      <w:marBottom w:val="0"/>
      <w:divBdr>
        <w:top w:val="none" w:sz="0" w:space="0" w:color="auto"/>
        <w:left w:val="none" w:sz="0" w:space="0" w:color="auto"/>
        <w:bottom w:val="none" w:sz="0" w:space="0" w:color="auto"/>
        <w:right w:val="none" w:sz="0" w:space="0" w:color="auto"/>
      </w:divBdr>
      <w:divsChild>
        <w:div w:id="4748618">
          <w:marLeft w:val="0"/>
          <w:marRight w:val="0"/>
          <w:marTop w:val="0"/>
          <w:marBottom w:val="0"/>
          <w:divBdr>
            <w:top w:val="none" w:sz="0" w:space="0" w:color="auto"/>
            <w:left w:val="none" w:sz="0" w:space="0" w:color="auto"/>
            <w:bottom w:val="none" w:sz="0" w:space="0" w:color="auto"/>
            <w:right w:val="none" w:sz="0" w:space="0" w:color="auto"/>
          </w:divBdr>
        </w:div>
        <w:div w:id="18553848">
          <w:marLeft w:val="0"/>
          <w:marRight w:val="0"/>
          <w:marTop w:val="0"/>
          <w:marBottom w:val="0"/>
          <w:divBdr>
            <w:top w:val="none" w:sz="0" w:space="0" w:color="auto"/>
            <w:left w:val="none" w:sz="0" w:space="0" w:color="auto"/>
            <w:bottom w:val="none" w:sz="0" w:space="0" w:color="auto"/>
            <w:right w:val="none" w:sz="0" w:space="0" w:color="auto"/>
          </w:divBdr>
        </w:div>
        <w:div w:id="143087374">
          <w:marLeft w:val="0"/>
          <w:marRight w:val="0"/>
          <w:marTop w:val="0"/>
          <w:marBottom w:val="0"/>
          <w:divBdr>
            <w:top w:val="none" w:sz="0" w:space="0" w:color="auto"/>
            <w:left w:val="none" w:sz="0" w:space="0" w:color="auto"/>
            <w:bottom w:val="none" w:sz="0" w:space="0" w:color="auto"/>
            <w:right w:val="none" w:sz="0" w:space="0" w:color="auto"/>
          </w:divBdr>
        </w:div>
        <w:div w:id="162861462">
          <w:marLeft w:val="0"/>
          <w:marRight w:val="0"/>
          <w:marTop w:val="0"/>
          <w:marBottom w:val="0"/>
          <w:divBdr>
            <w:top w:val="none" w:sz="0" w:space="0" w:color="auto"/>
            <w:left w:val="none" w:sz="0" w:space="0" w:color="auto"/>
            <w:bottom w:val="none" w:sz="0" w:space="0" w:color="auto"/>
            <w:right w:val="none" w:sz="0" w:space="0" w:color="auto"/>
          </w:divBdr>
        </w:div>
        <w:div w:id="220332367">
          <w:marLeft w:val="0"/>
          <w:marRight w:val="0"/>
          <w:marTop w:val="0"/>
          <w:marBottom w:val="0"/>
          <w:divBdr>
            <w:top w:val="none" w:sz="0" w:space="0" w:color="auto"/>
            <w:left w:val="none" w:sz="0" w:space="0" w:color="auto"/>
            <w:bottom w:val="none" w:sz="0" w:space="0" w:color="auto"/>
            <w:right w:val="none" w:sz="0" w:space="0" w:color="auto"/>
          </w:divBdr>
        </w:div>
        <w:div w:id="223805986">
          <w:marLeft w:val="0"/>
          <w:marRight w:val="0"/>
          <w:marTop w:val="0"/>
          <w:marBottom w:val="0"/>
          <w:divBdr>
            <w:top w:val="none" w:sz="0" w:space="0" w:color="auto"/>
            <w:left w:val="none" w:sz="0" w:space="0" w:color="auto"/>
            <w:bottom w:val="none" w:sz="0" w:space="0" w:color="auto"/>
            <w:right w:val="none" w:sz="0" w:space="0" w:color="auto"/>
          </w:divBdr>
        </w:div>
        <w:div w:id="268464939">
          <w:marLeft w:val="0"/>
          <w:marRight w:val="0"/>
          <w:marTop w:val="0"/>
          <w:marBottom w:val="0"/>
          <w:divBdr>
            <w:top w:val="none" w:sz="0" w:space="0" w:color="auto"/>
            <w:left w:val="none" w:sz="0" w:space="0" w:color="auto"/>
            <w:bottom w:val="none" w:sz="0" w:space="0" w:color="auto"/>
            <w:right w:val="none" w:sz="0" w:space="0" w:color="auto"/>
          </w:divBdr>
        </w:div>
        <w:div w:id="300308962">
          <w:marLeft w:val="0"/>
          <w:marRight w:val="0"/>
          <w:marTop w:val="0"/>
          <w:marBottom w:val="0"/>
          <w:divBdr>
            <w:top w:val="none" w:sz="0" w:space="0" w:color="auto"/>
            <w:left w:val="none" w:sz="0" w:space="0" w:color="auto"/>
            <w:bottom w:val="none" w:sz="0" w:space="0" w:color="auto"/>
            <w:right w:val="none" w:sz="0" w:space="0" w:color="auto"/>
          </w:divBdr>
        </w:div>
        <w:div w:id="300699345">
          <w:marLeft w:val="0"/>
          <w:marRight w:val="0"/>
          <w:marTop w:val="0"/>
          <w:marBottom w:val="0"/>
          <w:divBdr>
            <w:top w:val="none" w:sz="0" w:space="0" w:color="auto"/>
            <w:left w:val="none" w:sz="0" w:space="0" w:color="auto"/>
            <w:bottom w:val="none" w:sz="0" w:space="0" w:color="auto"/>
            <w:right w:val="none" w:sz="0" w:space="0" w:color="auto"/>
          </w:divBdr>
        </w:div>
        <w:div w:id="320618118">
          <w:marLeft w:val="0"/>
          <w:marRight w:val="0"/>
          <w:marTop w:val="0"/>
          <w:marBottom w:val="0"/>
          <w:divBdr>
            <w:top w:val="none" w:sz="0" w:space="0" w:color="auto"/>
            <w:left w:val="none" w:sz="0" w:space="0" w:color="auto"/>
            <w:bottom w:val="none" w:sz="0" w:space="0" w:color="auto"/>
            <w:right w:val="none" w:sz="0" w:space="0" w:color="auto"/>
          </w:divBdr>
        </w:div>
        <w:div w:id="323356360">
          <w:marLeft w:val="0"/>
          <w:marRight w:val="0"/>
          <w:marTop w:val="0"/>
          <w:marBottom w:val="0"/>
          <w:divBdr>
            <w:top w:val="none" w:sz="0" w:space="0" w:color="auto"/>
            <w:left w:val="none" w:sz="0" w:space="0" w:color="auto"/>
            <w:bottom w:val="none" w:sz="0" w:space="0" w:color="auto"/>
            <w:right w:val="none" w:sz="0" w:space="0" w:color="auto"/>
          </w:divBdr>
        </w:div>
        <w:div w:id="391199825">
          <w:marLeft w:val="0"/>
          <w:marRight w:val="0"/>
          <w:marTop w:val="0"/>
          <w:marBottom w:val="0"/>
          <w:divBdr>
            <w:top w:val="none" w:sz="0" w:space="0" w:color="auto"/>
            <w:left w:val="none" w:sz="0" w:space="0" w:color="auto"/>
            <w:bottom w:val="none" w:sz="0" w:space="0" w:color="auto"/>
            <w:right w:val="none" w:sz="0" w:space="0" w:color="auto"/>
          </w:divBdr>
        </w:div>
        <w:div w:id="487021351">
          <w:marLeft w:val="0"/>
          <w:marRight w:val="0"/>
          <w:marTop w:val="0"/>
          <w:marBottom w:val="0"/>
          <w:divBdr>
            <w:top w:val="none" w:sz="0" w:space="0" w:color="auto"/>
            <w:left w:val="none" w:sz="0" w:space="0" w:color="auto"/>
            <w:bottom w:val="none" w:sz="0" w:space="0" w:color="auto"/>
            <w:right w:val="none" w:sz="0" w:space="0" w:color="auto"/>
          </w:divBdr>
        </w:div>
        <w:div w:id="563834549">
          <w:marLeft w:val="0"/>
          <w:marRight w:val="0"/>
          <w:marTop w:val="0"/>
          <w:marBottom w:val="0"/>
          <w:divBdr>
            <w:top w:val="none" w:sz="0" w:space="0" w:color="auto"/>
            <w:left w:val="none" w:sz="0" w:space="0" w:color="auto"/>
            <w:bottom w:val="none" w:sz="0" w:space="0" w:color="auto"/>
            <w:right w:val="none" w:sz="0" w:space="0" w:color="auto"/>
          </w:divBdr>
        </w:div>
        <w:div w:id="586547266">
          <w:marLeft w:val="0"/>
          <w:marRight w:val="0"/>
          <w:marTop w:val="0"/>
          <w:marBottom w:val="0"/>
          <w:divBdr>
            <w:top w:val="none" w:sz="0" w:space="0" w:color="auto"/>
            <w:left w:val="none" w:sz="0" w:space="0" w:color="auto"/>
            <w:bottom w:val="none" w:sz="0" w:space="0" w:color="auto"/>
            <w:right w:val="none" w:sz="0" w:space="0" w:color="auto"/>
          </w:divBdr>
        </w:div>
        <w:div w:id="654334409">
          <w:marLeft w:val="0"/>
          <w:marRight w:val="0"/>
          <w:marTop w:val="0"/>
          <w:marBottom w:val="0"/>
          <w:divBdr>
            <w:top w:val="none" w:sz="0" w:space="0" w:color="auto"/>
            <w:left w:val="none" w:sz="0" w:space="0" w:color="auto"/>
            <w:bottom w:val="none" w:sz="0" w:space="0" w:color="auto"/>
            <w:right w:val="none" w:sz="0" w:space="0" w:color="auto"/>
          </w:divBdr>
        </w:div>
        <w:div w:id="661467447">
          <w:marLeft w:val="0"/>
          <w:marRight w:val="0"/>
          <w:marTop w:val="0"/>
          <w:marBottom w:val="0"/>
          <w:divBdr>
            <w:top w:val="none" w:sz="0" w:space="0" w:color="auto"/>
            <w:left w:val="none" w:sz="0" w:space="0" w:color="auto"/>
            <w:bottom w:val="none" w:sz="0" w:space="0" w:color="auto"/>
            <w:right w:val="none" w:sz="0" w:space="0" w:color="auto"/>
          </w:divBdr>
        </w:div>
        <w:div w:id="682129250">
          <w:marLeft w:val="0"/>
          <w:marRight w:val="0"/>
          <w:marTop w:val="0"/>
          <w:marBottom w:val="0"/>
          <w:divBdr>
            <w:top w:val="none" w:sz="0" w:space="0" w:color="auto"/>
            <w:left w:val="none" w:sz="0" w:space="0" w:color="auto"/>
            <w:bottom w:val="none" w:sz="0" w:space="0" w:color="auto"/>
            <w:right w:val="none" w:sz="0" w:space="0" w:color="auto"/>
          </w:divBdr>
        </w:div>
        <w:div w:id="687829646">
          <w:marLeft w:val="0"/>
          <w:marRight w:val="0"/>
          <w:marTop w:val="0"/>
          <w:marBottom w:val="0"/>
          <w:divBdr>
            <w:top w:val="none" w:sz="0" w:space="0" w:color="auto"/>
            <w:left w:val="none" w:sz="0" w:space="0" w:color="auto"/>
            <w:bottom w:val="none" w:sz="0" w:space="0" w:color="auto"/>
            <w:right w:val="none" w:sz="0" w:space="0" w:color="auto"/>
          </w:divBdr>
        </w:div>
        <w:div w:id="695429573">
          <w:marLeft w:val="0"/>
          <w:marRight w:val="0"/>
          <w:marTop w:val="0"/>
          <w:marBottom w:val="0"/>
          <w:divBdr>
            <w:top w:val="none" w:sz="0" w:space="0" w:color="auto"/>
            <w:left w:val="none" w:sz="0" w:space="0" w:color="auto"/>
            <w:bottom w:val="none" w:sz="0" w:space="0" w:color="auto"/>
            <w:right w:val="none" w:sz="0" w:space="0" w:color="auto"/>
          </w:divBdr>
        </w:div>
        <w:div w:id="704983045">
          <w:marLeft w:val="0"/>
          <w:marRight w:val="0"/>
          <w:marTop w:val="0"/>
          <w:marBottom w:val="0"/>
          <w:divBdr>
            <w:top w:val="none" w:sz="0" w:space="0" w:color="auto"/>
            <w:left w:val="none" w:sz="0" w:space="0" w:color="auto"/>
            <w:bottom w:val="none" w:sz="0" w:space="0" w:color="auto"/>
            <w:right w:val="none" w:sz="0" w:space="0" w:color="auto"/>
          </w:divBdr>
        </w:div>
        <w:div w:id="708535041">
          <w:marLeft w:val="0"/>
          <w:marRight w:val="0"/>
          <w:marTop w:val="0"/>
          <w:marBottom w:val="0"/>
          <w:divBdr>
            <w:top w:val="none" w:sz="0" w:space="0" w:color="auto"/>
            <w:left w:val="none" w:sz="0" w:space="0" w:color="auto"/>
            <w:bottom w:val="none" w:sz="0" w:space="0" w:color="auto"/>
            <w:right w:val="none" w:sz="0" w:space="0" w:color="auto"/>
          </w:divBdr>
        </w:div>
        <w:div w:id="731779258">
          <w:marLeft w:val="0"/>
          <w:marRight w:val="0"/>
          <w:marTop w:val="0"/>
          <w:marBottom w:val="0"/>
          <w:divBdr>
            <w:top w:val="none" w:sz="0" w:space="0" w:color="auto"/>
            <w:left w:val="none" w:sz="0" w:space="0" w:color="auto"/>
            <w:bottom w:val="none" w:sz="0" w:space="0" w:color="auto"/>
            <w:right w:val="none" w:sz="0" w:space="0" w:color="auto"/>
          </w:divBdr>
        </w:div>
        <w:div w:id="739445577">
          <w:marLeft w:val="0"/>
          <w:marRight w:val="0"/>
          <w:marTop w:val="0"/>
          <w:marBottom w:val="0"/>
          <w:divBdr>
            <w:top w:val="none" w:sz="0" w:space="0" w:color="auto"/>
            <w:left w:val="none" w:sz="0" w:space="0" w:color="auto"/>
            <w:bottom w:val="none" w:sz="0" w:space="0" w:color="auto"/>
            <w:right w:val="none" w:sz="0" w:space="0" w:color="auto"/>
          </w:divBdr>
        </w:div>
        <w:div w:id="757675544">
          <w:marLeft w:val="0"/>
          <w:marRight w:val="0"/>
          <w:marTop w:val="0"/>
          <w:marBottom w:val="0"/>
          <w:divBdr>
            <w:top w:val="none" w:sz="0" w:space="0" w:color="auto"/>
            <w:left w:val="none" w:sz="0" w:space="0" w:color="auto"/>
            <w:bottom w:val="none" w:sz="0" w:space="0" w:color="auto"/>
            <w:right w:val="none" w:sz="0" w:space="0" w:color="auto"/>
          </w:divBdr>
        </w:div>
        <w:div w:id="762528598">
          <w:marLeft w:val="0"/>
          <w:marRight w:val="0"/>
          <w:marTop w:val="0"/>
          <w:marBottom w:val="0"/>
          <w:divBdr>
            <w:top w:val="none" w:sz="0" w:space="0" w:color="auto"/>
            <w:left w:val="none" w:sz="0" w:space="0" w:color="auto"/>
            <w:bottom w:val="none" w:sz="0" w:space="0" w:color="auto"/>
            <w:right w:val="none" w:sz="0" w:space="0" w:color="auto"/>
          </w:divBdr>
        </w:div>
        <w:div w:id="794255381">
          <w:marLeft w:val="0"/>
          <w:marRight w:val="0"/>
          <w:marTop w:val="0"/>
          <w:marBottom w:val="0"/>
          <w:divBdr>
            <w:top w:val="none" w:sz="0" w:space="0" w:color="auto"/>
            <w:left w:val="none" w:sz="0" w:space="0" w:color="auto"/>
            <w:bottom w:val="none" w:sz="0" w:space="0" w:color="auto"/>
            <w:right w:val="none" w:sz="0" w:space="0" w:color="auto"/>
          </w:divBdr>
        </w:div>
        <w:div w:id="860047923">
          <w:marLeft w:val="0"/>
          <w:marRight w:val="0"/>
          <w:marTop w:val="0"/>
          <w:marBottom w:val="0"/>
          <w:divBdr>
            <w:top w:val="none" w:sz="0" w:space="0" w:color="auto"/>
            <w:left w:val="none" w:sz="0" w:space="0" w:color="auto"/>
            <w:bottom w:val="none" w:sz="0" w:space="0" w:color="auto"/>
            <w:right w:val="none" w:sz="0" w:space="0" w:color="auto"/>
          </w:divBdr>
        </w:div>
        <w:div w:id="885988624">
          <w:marLeft w:val="0"/>
          <w:marRight w:val="0"/>
          <w:marTop w:val="0"/>
          <w:marBottom w:val="0"/>
          <w:divBdr>
            <w:top w:val="none" w:sz="0" w:space="0" w:color="auto"/>
            <w:left w:val="none" w:sz="0" w:space="0" w:color="auto"/>
            <w:bottom w:val="none" w:sz="0" w:space="0" w:color="auto"/>
            <w:right w:val="none" w:sz="0" w:space="0" w:color="auto"/>
          </w:divBdr>
        </w:div>
        <w:div w:id="901596503">
          <w:marLeft w:val="0"/>
          <w:marRight w:val="0"/>
          <w:marTop w:val="0"/>
          <w:marBottom w:val="0"/>
          <w:divBdr>
            <w:top w:val="none" w:sz="0" w:space="0" w:color="auto"/>
            <w:left w:val="none" w:sz="0" w:space="0" w:color="auto"/>
            <w:bottom w:val="none" w:sz="0" w:space="0" w:color="auto"/>
            <w:right w:val="none" w:sz="0" w:space="0" w:color="auto"/>
          </w:divBdr>
        </w:div>
        <w:div w:id="961573833">
          <w:marLeft w:val="0"/>
          <w:marRight w:val="0"/>
          <w:marTop w:val="0"/>
          <w:marBottom w:val="0"/>
          <w:divBdr>
            <w:top w:val="none" w:sz="0" w:space="0" w:color="auto"/>
            <w:left w:val="none" w:sz="0" w:space="0" w:color="auto"/>
            <w:bottom w:val="none" w:sz="0" w:space="0" w:color="auto"/>
            <w:right w:val="none" w:sz="0" w:space="0" w:color="auto"/>
          </w:divBdr>
        </w:div>
        <w:div w:id="1095445719">
          <w:marLeft w:val="0"/>
          <w:marRight w:val="0"/>
          <w:marTop w:val="0"/>
          <w:marBottom w:val="0"/>
          <w:divBdr>
            <w:top w:val="none" w:sz="0" w:space="0" w:color="auto"/>
            <w:left w:val="none" w:sz="0" w:space="0" w:color="auto"/>
            <w:bottom w:val="none" w:sz="0" w:space="0" w:color="auto"/>
            <w:right w:val="none" w:sz="0" w:space="0" w:color="auto"/>
          </w:divBdr>
        </w:div>
        <w:div w:id="1148088679">
          <w:marLeft w:val="0"/>
          <w:marRight w:val="0"/>
          <w:marTop w:val="0"/>
          <w:marBottom w:val="0"/>
          <w:divBdr>
            <w:top w:val="none" w:sz="0" w:space="0" w:color="auto"/>
            <w:left w:val="none" w:sz="0" w:space="0" w:color="auto"/>
            <w:bottom w:val="none" w:sz="0" w:space="0" w:color="auto"/>
            <w:right w:val="none" w:sz="0" w:space="0" w:color="auto"/>
          </w:divBdr>
        </w:div>
        <w:div w:id="1183712754">
          <w:marLeft w:val="0"/>
          <w:marRight w:val="0"/>
          <w:marTop w:val="0"/>
          <w:marBottom w:val="0"/>
          <w:divBdr>
            <w:top w:val="none" w:sz="0" w:space="0" w:color="auto"/>
            <w:left w:val="none" w:sz="0" w:space="0" w:color="auto"/>
            <w:bottom w:val="none" w:sz="0" w:space="0" w:color="auto"/>
            <w:right w:val="none" w:sz="0" w:space="0" w:color="auto"/>
          </w:divBdr>
        </w:div>
        <w:div w:id="1187865275">
          <w:marLeft w:val="0"/>
          <w:marRight w:val="0"/>
          <w:marTop w:val="0"/>
          <w:marBottom w:val="0"/>
          <w:divBdr>
            <w:top w:val="none" w:sz="0" w:space="0" w:color="auto"/>
            <w:left w:val="none" w:sz="0" w:space="0" w:color="auto"/>
            <w:bottom w:val="none" w:sz="0" w:space="0" w:color="auto"/>
            <w:right w:val="none" w:sz="0" w:space="0" w:color="auto"/>
          </w:divBdr>
        </w:div>
        <w:div w:id="1261185903">
          <w:marLeft w:val="0"/>
          <w:marRight w:val="0"/>
          <w:marTop w:val="0"/>
          <w:marBottom w:val="0"/>
          <w:divBdr>
            <w:top w:val="none" w:sz="0" w:space="0" w:color="auto"/>
            <w:left w:val="none" w:sz="0" w:space="0" w:color="auto"/>
            <w:bottom w:val="none" w:sz="0" w:space="0" w:color="auto"/>
            <w:right w:val="none" w:sz="0" w:space="0" w:color="auto"/>
          </w:divBdr>
        </w:div>
        <w:div w:id="1266690996">
          <w:marLeft w:val="0"/>
          <w:marRight w:val="0"/>
          <w:marTop w:val="0"/>
          <w:marBottom w:val="0"/>
          <w:divBdr>
            <w:top w:val="none" w:sz="0" w:space="0" w:color="auto"/>
            <w:left w:val="none" w:sz="0" w:space="0" w:color="auto"/>
            <w:bottom w:val="none" w:sz="0" w:space="0" w:color="auto"/>
            <w:right w:val="none" w:sz="0" w:space="0" w:color="auto"/>
          </w:divBdr>
        </w:div>
        <w:div w:id="1279752788">
          <w:marLeft w:val="0"/>
          <w:marRight w:val="0"/>
          <w:marTop w:val="0"/>
          <w:marBottom w:val="0"/>
          <w:divBdr>
            <w:top w:val="none" w:sz="0" w:space="0" w:color="auto"/>
            <w:left w:val="none" w:sz="0" w:space="0" w:color="auto"/>
            <w:bottom w:val="none" w:sz="0" w:space="0" w:color="auto"/>
            <w:right w:val="none" w:sz="0" w:space="0" w:color="auto"/>
          </w:divBdr>
        </w:div>
        <w:div w:id="1288052263">
          <w:marLeft w:val="0"/>
          <w:marRight w:val="0"/>
          <w:marTop w:val="0"/>
          <w:marBottom w:val="0"/>
          <w:divBdr>
            <w:top w:val="none" w:sz="0" w:space="0" w:color="auto"/>
            <w:left w:val="none" w:sz="0" w:space="0" w:color="auto"/>
            <w:bottom w:val="none" w:sz="0" w:space="0" w:color="auto"/>
            <w:right w:val="none" w:sz="0" w:space="0" w:color="auto"/>
          </w:divBdr>
        </w:div>
        <w:div w:id="1300183455">
          <w:marLeft w:val="0"/>
          <w:marRight w:val="0"/>
          <w:marTop w:val="0"/>
          <w:marBottom w:val="0"/>
          <w:divBdr>
            <w:top w:val="none" w:sz="0" w:space="0" w:color="auto"/>
            <w:left w:val="none" w:sz="0" w:space="0" w:color="auto"/>
            <w:bottom w:val="none" w:sz="0" w:space="0" w:color="auto"/>
            <w:right w:val="none" w:sz="0" w:space="0" w:color="auto"/>
          </w:divBdr>
        </w:div>
        <w:div w:id="1370301170">
          <w:marLeft w:val="0"/>
          <w:marRight w:val="0"/>
          <w:marTop w:val="0"/>
          <w:marBottom w:val="0"/>
          <w:divBdr>
            <w:top w:val="none" w:sz="0" w:space="0" w:color="auto"/>
            <w:left w:val="none" w:sz="0" w:space="0" w:color="auto"/>
            <w:bottom w:val="none" w:sz="0" w:space="0" w:color="auto"/>
            <w:right w:val="none" w:sz="0" w:space="0" w:color="auto"/>
          </w:divBdr>
        </w:div>
        <w:div w:id="1394965525">
          <w:marLeft w:val="0"/>
          <w:marRight w:val="0"/>
          <w:marTop w:val="0"/>
          <w:marBottom w:val="0"/>
          <w:divBdr>
            <w:top w:val="none" w:sz="0" w:space="0" w:color="auto"/>
            <w:left w:val="none" w:sz="0" w:space="0" w:color="auto"/>
            <w:bottom w:val="none" w:sz="0" w:space="0" w:color="auto"/>
            <w:right w:val="none" w:sz="0" w:space="0" w:color="auto"/>
          </w:divBdr>
        </w:div>
        <w:div w:id="1409233000">
          <w:marLeft w:val="0"/>
          <w:marRight w:val="0"/>
          <w:marTop w:val="0"/>
          <w:marBottom w:val="0"/>
          <w:divBdr>
            <w:top w:val="none" w:sz="0" w:space="0" w:color="auto"/>
            <w:left w:val="none" w:sz="0" w:space="0" w:color="auto"/>
            <w:bottom w:val="none" w:sz="0" w:space="0" w:color="auto"/>
            <w:right w:val="none" w:sz="0" w:space="0" w:color="auto"/>
          </w:divBdr>
        </w:div>
        <w:div w:id="1430469056">
          <w:marLeft w:val="0"/>
          <w:marRight w:val="0"/>
          <w:marTop w:val="0"/>
          <w:marBottom w:val="0"/>
          <w:divBdr>
            <w:top w:val="none" w:sz="0" w:space="0" w:color="auto"/>
            <w:left w:val="none" w:sz="0" w:space="0" w:color="auto"/>
            <w:bottom w:val="none" w:sz="0" w:space="0" w:color="auto"/>
            <w:right w:val="none" w:sz="0" w:space="0" w:color="auto"/>
          </w:divBdr>
        </w:div>
        <w:div w:id="1433477438">
          <w:marLeft w:val="0"/>
          <w:marRight w:val="0"/>
          <w:marTop w:val="0"/>
          <w:marBottom w:val="0"/>
          <w:divBdr>
            <w:top w:val="none" w:sz="0" w:space="0" w:color="auto"/>
            <w:left w:val="none" w:sz="0" w:space="0" w:color="auto"/>
            <w:bottom w:val="none" w:sz="0" w:space="0" w:color="auto"/>
            <w:right w:val="none" w:sz="0" w:space="0" w:color="auto"/>
          </w:divBdr>
        </w:div>
        <w:div w:id="1435322942">
          <w:marLeft w:val="0"/>
          <w:marRight w:val="0"/>
          <w:marTop w:val="0"/>
          <w:marBottom w:val="0"/>
          <w:divBdr>
            <w:top w:val="none" w:sz="0" w:space="0" w:color="auto"/>
            <w:left w:val="none" w:sz="0" w:space="0" w:color="auto"/>
            <w:bottom w:val="none" w:sz="0" w:space="0" w:color="auto"/>
            <w:right w:val="none" w:sz="0" w:space="0" w:color="auto"/>
          </w:divBdr>
        </w:div>
        <w:div w:id="1462067371">
          <w:marLeft w:val="0"/>
          <w:marRight w:val="0"/>
          <w:marTop w:val="0"/>
          <w:marBottom w:val="0"/>
          <w:divBdr>
            <w:top w:val="none" w:sz="0" w:space="0" w:color="auto"/>
            <w:left w:val="none" w:sz="0" w:space="0" w:color="auto"/>
            <w:bottom w:val="none" w:sz="0" w:space="0" w:color="auto"/>
            <w:right w:val="none" w:sz="0" w:space="0" w:color="auto"/>
          </w:divBdr>
        </w:div>
        <w:div w:id="1477915674">
          <w:marLeft w:val="0"/>
          <w:marRight w:val="0"/>
          <w:marTop w:val="0"/>
          <w:marBottom w:val="0"/>
          <w:divBdr>
            <w:top w:val="none" w:sz="0" w:space="0" w:color="auto"/>
            <w:left w:val="none" w:sz="0" w:space="0" w:color="auto"/>
            <w:bottom w:val="none" w:sz="0" w:space="0" w:color="auto"/>
            <w:right w:val="none" w:sz="0" w:space="0" w:color="auto"/>
          </w:divBdr>
        </w:div>
        <w:div w:id="1510750492">
          <w:marLeft w:val="0"/>
          <w:marRight w:val="0"/>
          <w:marTop w:val="0"/>
          <w:marBottom w:val="0"/>
          <w:divBdr>
            <w:top w:val="none" w:sz="0" w:space="0" w:color="auto"/>
            <w:left w:val="none" w:sz="0" w:space="0" w:color="auto"/>
            <w:bottom w:val="none" w:sz="0" w:space="0" w:color="auto"/>
            <w:right w:val="none" w:sz="0" w:space="0" w:color="auto"/>
          </w:divBdr>
        </w:div>
        <w:div w:id="1592547597">
          <w:marLeft w:val="0"/>
          <w:marRight w:val="0"/>
          <w:marTop w:val="0"/>
          <w:marBottom w:val="0"/>
          <w:divBdr>
            <w:top w:val="none" w:sz="0" w:space="0" w:color="auto"/>
            <w:left w:val="none" w:sz="0" w:space="0" w:color="auto"/>
            <w:bottom w:val="none" w:sz="0" w:space="0" w:color="auto"/>
            <w:right w:val="none" w:sz="0" w:space="0" w:color="auto"/>
          </w:divBdr>
        </w:div>
        <w:div w:id="1605571538">
          <w:marLeft w:val="0"/>
          <w:marRight w:val="0"/>
          <w:marTop w:val="0"/>
          <w:marBottom w:val="0"/>
          <w:divBdr>
            <w:top w:val="none" w:sz="0" w:space="0" w:color="auto"/>
            <w:left w:val="none" w:sz="0" w:space="0" w:color="auto"/>
            <w:bottom w:val="none" w:sz="0" w:space="0" w:color="auto"/>
            <w:right w:val="none" w:sz="0" w:space="0" w:color="auto"/>
          </w:divBdr>
        </w:div>
        <w:div w:id="1614439068">
          <w:marLeft w:val="0"/>
          <w:marRight w:val="0"/>
          <w:marTop w:val="0"/>
          <w:marBottom w:val="0"/>
          <w:divBdr>
            <w:top w:val="none" w:sz="0" w:space="0" w:color="auto"/>
            <w:left w:val="none" w:sz="0" w:space="0" w:color="auto"/>
            <w:bottom w:val="none" w:sz="0" w:space="0" w:color="auto"/>
            <w:right w:val="none" w:sz="0" w:space="0" w:color="auto"/>
          </w:divBdr>
        </w:div>
        <w:div w:id="1616208962">
          <w:marLeft w:val="0"/>
          <w:marRight w:val="0"/>
          <w:marTop w:val="0"/>
          <w:marBottom w:val="0"/>
          <w:divBdr>
            <w:top w:val="none" w:sz="0" w:space="0" w:color="auto"/>
            <w:left w:val="none" w:sz="0" w:space="0" w:color="auto"/>
            <w:bottom w:val="none" w:sz="0" w:space="0" w:color="auto"/>
            <w:right w:val="none" w:sz="0" w:space="0" w:color="auto"/>
          </w:divBdr>
        </w:div>
        <w:div w:id="1628855505">
          <w:marLeft w:val="0"/>
          <w:marRight w:val="0"/>
          <w:marTop w:val="0"/>
          <w:marBottom w:val="0"/>
          <w:divBdr>
            <w:top w:val="none" w:sz="0" w:space="0" w:color="auto"/>
            <w:left w:val="none" w:sz="0" w:space="0" w:color="auto"/>
            <w:bottom w:val="none" w:sz="0" w:space="0" w:color="auto"/>
            <w:right w:val="none" w:sz="0" w:space="0" w:color="auto"/>
          </w:divBdr>
        </w:div>
        <w:div w:id="1642661067">
          <w:marLeft w:val="0"/>
          <w:marRight w:val="0"/>
          <w:marTop w:val="0"/>
          <w:marBottom w:val="0"/>
          <w:divBdr>
            <w:top w:val="none" w:sz="0" w:space="0" w:color="auto"/>
            <w:left w:val="none" w:sz="0" w:space="0" w:color="auto"/>
            <w:bottom w:val="none" w:sz="0" w:space="0" w:color="auto"/>
            <w:right w:val="none" w:sz="0" w:space="0" w:color="auto"/>
          </w:divBdr>
        </w:div>
        <w:div w:id="1714040705">
          <w:marLeft w:val="0"/>
          <w:marRight w:val="0"/>
          <w:marTop w:val="0"/>
          <w:marBottom w:val="0"/>
          <w:divBdr>
            <w:top w:val="none" w:sz="0" w:space="0" w:color="auto"/>
            <w:left w:val="none" w:sz="0" w:space="0" w:color="auto"/>
            <w:bottom w:val="none" w:sz="0" w:space="0" w:color="auto"/>
            <w:right w:val="none" w:sz="0" w:space="0" w:color="auto"/>
          </w:divBdr>
        </w:div>
        <w:div w:id="1715155244">
          <w:marLeft w:val="0"/>
          <w:marRight w:val="0"/>
          <w:marTop w:val="0"/>
          <w:marBottom w:val="0"/>
          <w:divBdr>
            <w:top w:val="none" w:sz="0" w:space="0" w:color="auto"/>
            <w:left w:val="none" w:sz="0" w:space="0" w:color="auto"/>
            <w:bottom w:val="none" w:sz="0" w:space="0" w:color="auto"/>
            <w:right w:val="none" w:sz="0" w:space="0" w:color="auto"/>
          </w:divBdr>
        </w:div>
        <w:div w:id="1759866530">
          <w:marLeft w:val="0"/>
          <w:marRight w:val="0"/>
          <w:marTop w:val="0"/>
          <w:marBottom w:val="0"/>
          <w:divBdr>
            <w:top w:val="none" w:sz="0" w:space="0" w:color="auto"/>
            <w:left w:val="none" w:sz="0" w:space="0" w:color="auto"/>
            <w:bottom w:val="none" w:sz="0" w:space="0" w:color="auto"/>
            <w:right w:val="none" w:sz="0" w:space="0" w:color="auto"/>
          </w:divBdr>
        </w:div>
        <w:div w:id="1793358422">
          <w:marLeft w:val="0"/>
          <w:marRight w:val="0"/>
          <w:marTop w:val="0"/>
          <w:marBottom w:val="0"/>
          <w:divBdr>
            <w:top w:val="none" w:sz="0" w:space="0" w:color="auto"/>
            <w:left w:val="none" w:sz="0" w:space="0" w:color="auto"/>
            <w:bottom w:val="none" w:sz="0" w:space="0" w:color="auto"/>
            <w:right w:val="none" w:sz="0" w:space="0" w:color="auto"/>
          </w:divBdr>
        </w:div>
        <w:div w:id="1832745593">
          <w:marLeft w:val="0"/>
          <w:marRight w:val="0"/>
          <w:marTop w:val="0"/>
          <w:marBottom w:val="0"/>
          <w:divBdr>
            <w:top w:val="none" w:sz="0" w:space="0" w:color="auto"/>
            <w:left w:val="none" w:sz="0" w:space="0" w:color="auto"/>
            <w:bottom w:val="none" w:sz="0" w:space="0" w:color="auto"/>
            <w:right w:val="none" w:sz="0" w:space="0" w:color="auto"/>
          </w:divBdr>
        </w:div>
        <w:div w:id="1857890270">
          <w:marLeft w:val="0"/>
          <w:marRight w:val="0"/>
          <w:marTop w:val="0"/>
          <w:marBottom w:val="0"/>
          <w:divBdr>
            <w:top w:val="none" w:sz="0" w:space="0" w:color="auto"/>
            <w:left w:val="none" w:sz="0" w:space="0" w:color="auto"/>
            <w:bottom w:val="none" w:sz="0" w:space="0" w:color="auto"/>
            <w:right w:val="none" w:sz="0" w:space="0" w:color="auto"/>
          </w:divBdr>
        </w:div>
        <w:div w:id="1915964502">
          <w:marLeft w:val="0"/>
          <w:marRight w:val="0"/>
          <w:marTop w:val="0"/>
          <w:marBottom w:val="0"/>
          <w:divBdr>
            <w:top w:val="none" w:sz="0" w:space="0" w:color="auto"/>
            <w:left w:val="none" w:sz="0" w:space="0" w:color="auto"/>
            <w:bottom w:val="none" w:sz="0" w:space="0" w:color="auto"/>
            <w:right w:val="none" w:sz="0" w:space="0" w:color="auto"/>
          </w:divBdr>
        </w:div>
        <w:div w:id="1978224411">
          <w:marLeft w:val="0"/>
          <w:marRight w:val="0"/>
          <w:marTop w:val="0"/>
          <w:marBottom w:val="0"/>
          <w:divBdr>
            <w:top w:val="none" w:sz="0" w:space="0" w:color="auto"/>
            <w:left w:val="none" w:sz="0" w:space="0" w:color="auto"/>
            <w:bottom w:val="none" w:sz="0" w:space="0" w:color="auto"/>
            <w:right w:val="none" w:sz="0" w:space="0" w:color="auto"/>
          </w:divBdr>
        </w:div>
        <w:div w:id="2013339947">
          <w:marLeft w:val="0"/>
          <w:marRight w:val="0"/>
          <w:marTop w:val="0"/>
          <w:marBottom w:val="0"/>
          <w:divBdr>
            <w:top w:val="none" w:sz="0" w:space="0" w:color="auto"/>
            <w:left w:val="none" w:sz="0" w:space="0" w:color="auto"/>
            <w:bottom w:val="none" w:sz="0" w:space="0" w:color="auto"/>
            <w:right w:val="none" w:sz="0" w:space="0" w:color="auto"/>
          </w:divBdr>
        </w:div>
        <w:div w:id="2020811092">
          <w:marLeft w:val="0"/>
          <w:marRight w:val="0"/>
          <w:marTop w:val="0"/>
          <w:marBottom w:val="0"/>
          <w:divBdr>
            <w:top w:val="none" w:sz="0" w:space="0" w:color="auto"/>
            <w:left w:val="none" w:sz="0" w:space="0" w:color="auto"/>
            <w:bottom w:val="none" w:sz="0" w:space="0" w:color="auto"/>
            <w:right w:val="none" w:sz="0" w:space="0" w:color="auto"/>
          </w:divBdr>
        </w:div>
        <w:div w:id="2023049539">
          <w:marLeft w:val="0"/>
          <w:marRight w:val="0"/>
          <w:marTop w:val="0"/>
          <w:marBottom w:val="0"/>
          <w:divBdr>
            <w:top w:val="none" w:sz="0" w:space="0" w:color="auto"/>
            <w:left w:val="none" w:sz="0" w:space="0" w:color="auto"/>
            <w:bottom w:val="none" w:sz="0" w:space="0" w:color="auto"/>
            <w:right w:val="none" w:sz="0" w:space="0" w:color="auto"/>
          </w:divBdr>
        </w:div>
        <w:div w:id="2131313638">
          <w:marLeft w:val="0"/>
          <w:marRight w:val="0"/>
          <w:marTop w:val="0"/>
          <w:marBottom w:val="0"/>
          <w:divBdr>
            <w:top w:val="none" w:sz="0" w:space="0" w:color="auto"/>
            <w:left w:val="none" w:sz="0" w:space="0" w:color="auto"/>
            <w:bottom w:val="none" w:sz="0" w:space="0" w:color="auto"/>
            <w:right w:val="none" w:sz="0" w:space="0" w:color="auto"/>
          </w:divBdr>
        </w:div>
      </w:divsChild>
    </w:div>
    <w:div w:id="1116751927">
      <w:bodyDiv w:val="1"/>
      <w:marLeft w:val="0"/>
      <w:marRight w:val="0"/>
      <w:marTop w:val="0"/>
      <w:marBottom w:val="0"/>
      <w:divBdr>
        <w:top w:val="none" w:sz="0" w:space="0" w:color="auto"/>
        <w:left w:val="none" w:sz="0" w:space="0" w:color="auto"/>
        <w:bottom w:val="none" w:sz="0" w:space="0" w:color="auto"/>
        <w:right w:val="none" w:sz="0" w:space="0" w:color="auto"/>
      </w:divBdr>
      <w:divsChild>
        <w:div w:id="1432700305">
          <w:marLeft w:val="0"/>
          <w:marRight w:val="0"/>
          <w:marTop w:val="0"/>
          <w:marBottom w:val="0"/>
          <w:divBdr>
            <w:top w:val="none" w:sz="0" w:space="0" w:color="auto"/>
            <w:left w:val="none" w:sz="0" w:space="0" w:color="auto"/>
            <w:bottom w:val="none" w:sz="0" w:space="0" w:color="auto"/>
            <w:right w:val="none" w:sz="0" w:space="0" w:color="auto"/>
          </w:divBdr>
        </w:div>
        <w:div w:id="1494106889">
          <w:marLeft w:val="0"/>
          <w:marRight w:val="0"/>
          <w:marTop w:val="0"/>
          <w:marBottom w:val="0"/>
          <w:divBdr>
            <w:top w:val="none" w:sz="0" w:space="0" w:color="auto"/>
            <w:left w:val="none" w:sz="0" w:space="0" w:color="auto"/>
            <w:bottom w:val="none" w:sz="0" w:space="0" w:color="auto"/>
            <w:right w:val="none" w:sz="0" w:space="0" w:color="auto"/>
          </w:divBdr>
        </w:div>
        <w:div w:id="1562865921">
          <w:marLeft w:val="0"/>
          <w:marRight w:val="0"/>
          <w:marTop w:val="0"/>
          <w:marBottom w:val="0"/>
          <w:divBdr>
            <w:top w:val="none" w:sz="0" w:space="0" w:color="auto"/>
            <w:left w:val="none" w:sz="0" w:space="0" w:color="auto"/>
            <w:bottom w:val="none" w:sz="0" w:space="0" w:color="auto"/>
            <w:right w:val="none" w:sz="0" w:space="0" w:color="auto"/>
          </w:divBdr>
        </w:div>
      </w:divsChild>
    </w:div>
    <w:div w:id="1175266634">
      <w:bodyDiv w:val="1"/>
      <w:marLeft w:val="0"/>
      <w:marRight w:val="0"/>
      <w:marTop w:val="0"/>
      <w:marBottom w:val="0"/>
      <w:divBdr>
        <w:top w:val="none" w:sz="0" w:space="0" w:color="auto"/>
        <w:left w:val="none" w:sz="0" w:space="0" w:color="auto"/>
        <w:bottom w:val="none" w:sz="0" w:space="0" w:color="auto"/>
        <w:right w:val="none" w:sz="0" w:space="0" w:color="auto"/>
      </w:divBdr>
      <w:divsChild>
        <w:div w:id="26873856">
          <w:marLeft w:val="0"/>
          <w:marRight w:val="0"/>
          <w:marTop w:val="0"/>
          <w:marBottom w:val="0"/>
          <w:divBdr>
            <w:top w:val="none" w:sz="0" w:space="0" w:color="auto"/>
            <w:left w:val="none" w:sz="0" w:space="0" w:color="auto"/>
            <w:bottom w:val="none" w:sz="0" w:space="0" w:color="auto"/>
            <w:right w:val="none" w:sz="0" w:space="0" w:color="auto"/>
          </w:divBdr>
        </w:div>
        <w:div w:id="35545925">
          <w:marLeft w:val="0"/>
          <w:marRight w:val="0"/>
          <w:marTop w:val="0"/>
          <w:marBottom w:val="0"/>
          <w:divBdr>
            <w:top w:val="none" w:sz="0" w:space="0" w:color="auto"/>
            <w:left w:val="none" w:sz="0" w:space="0" w:color="auto"/>
            <w:bottom w:val="none" w:sz="0" w:space="0" w:color="auto"/>
            <w:right w:val="none" w:sz="0" w:space="0" w:color="auto"/>
          </w:divBdr>
        </w:div>
        <w:div w:id="69622036">
          <w:marLeft w:val="0"/>
          <w:marRight w:val="0"/>
          <w:marTop w:val="0"/>
          <w:marBottom w:val="0"/>
          <w:divBdr>
            <w:top w:val="none" w:sz="0" w:space="0" w:color="auto"/>
            <w:left w:val="none" w:sz="0" w:space="0" w:color="auto"/>
            <w:bottom w:val="none" w:sz="0" w:space="0" w:color="auto"/>
            <w:right w:val="none" w:sz="0" w:space="0" w:color="auto"/>
          </w:divBdr>
        </w:div>
        <w:div w:id="91780677">
          <w:marLeft w:val="0"/>
          <w:marRight w:val="0"/>
          <w:marTop w:val="0"/>
          <w:marBottom w:val="0"/>
          <w:divBdr>
            <w:top w:val="none" w:sz="0" w:space="0" w:color="auto"/>
            <w:left w:val="none" w:sz="0" w:space="0" w:color="auto"/>
            <w:bottom w:val="none" w:sz="0" w:space="0" w:color="auto"/>
            <w:right w:val="none" w:sz="0" w:space="0" w:color="auto"/>
          </w:divBdr>
        </w:div>
        <w:div w:id="149365887">
          <w:marLeft w:val="0"/>
          <w:marRight w:val="0"/>
          <w:marTop w:val="0"/>
          <w:marBottom w:val="0"/>
          <w:divBdr>
            <w:top w:val="none" w:sz="0" w:space="0" w:color="auto"/>
            <w:left w:val="none" w:sz="0" w:space="0" w:color="auto"/>
            <w:bottom w:val="none" w:sz="0" w:space="0" w:color="auto"/>
            <w:right w:val="none" w:sz="0" w:space="0" w:color="auto"/>
          </w:divBdr>
        </w:div>
        <w:div w:id="151021995">
          <w:marLeft w:val="0"/>
          <w:marRight w:val="0"/>
          <w:marTop w:val="0"/>
          <w:marBottom w:val="0"/>
          <w:divBdr>
            <w:top w:val="none" w:sz="0" w:space="0" w:color="auto"/>
            <w:left w:val="none" w:sz="0" w:space="0" w:color="auto"/>
            <w:bottom w:val="none" w:sz="0" w:space="0" w:color="auto"/>
            <w:right w:val="none" w:sz="0" w:space="0" w:color="auto"/>
          </w:divBdr>
        </w:div>
        <w:div w:id="172302938">
          <w:marLeft w:val="0"/>
          <w:marRight w:val="0"/>
          <w:marTop w:val="0"/>
          <w:marBottom w:val="0"/>
          <w:divBdr>
            <w:top w:val="none" w:sz="0" w:space="0" w:color="auto"/>
            <w:left w:val="none" w:sz="0" w:space="0" w:color="auto"/>
            <w:bottom w:val="none" w:sz="0" w:space="0" w:color="auto"/>
            <w:right w:val="none" w:sz="0" w:space="0" w:color="auto"/>
          </w:divBdr>
        </w:div>
        <w:div w:id="242371324">
          <w:marLeft w:val="0"/>
          <w:marRight w:val="0"/>
          <w:marTop w:val="0"/>
          <w:marBottom w:val="0"/>
          <w:divBdr>
            <w:top w:val="none" w:sz="0" w:space="0" w:color="auto"/>
            <w:left w:val="none" w:sz="0" w:space="0" w:color="auto"/>
            <w:bottom w:val="none" w:sz="0" w:space="0" w:color="auto"/>
            <w:right w:val="none" w:sz="0" w:space="0" w:color="auto"/>
          </w:divBdr>
        </w:div>
        <w:div w:id="281034196">
          <w:marLeft w:val="0"/>
          <w:marRight w:val="0"/>
          <w:marTop w:val="0"/>
          <w:marBottom w:val="0"/>
          <w:divBdr>
            <w:top w:val="none" w:sz="0" w:space="0" w:color="auto"/>
            <w:left w:val="none" w:sz="0" w:space="0" w:color="auto"/>
            <w:bottom w:val="none" w:sz="0" w:space="0" w:color="auto"/>
            <w:right w:val="none" w:sz="0" w:space="0" w:color="auto"/>
          </w:divBdr>
        </w:div>
        <w:div w:id="293099616">
          <w:marLeft w:val="0"/>
          <w:marRight w:val="0"/>
          <w:marTop w:val="0"/>
          <w:marBottom w:val="0"/>
          <w:divBdr>
            <w:top w:val="none" w:sz="0" w:space="0" w:color="auto"/>
            <w:left w:val="none" w:sz="0" w:space="0" w:color="auto"/>
            <w:bottom w:val="none" w:sz="0" w:space="0" w:color="auto"/>
            <w:right w:val="none" w:sz="0" w:space="0" w:color="auto"/>
          </w:divBdr>
        </w:div>
        <w:div w:id="315840057">
          <w:marLeft w:val="0"/>
          <w:marRight w:val="0"/>
          <w:marTop w:val="0"/>
          <w:marBottom w:val="0"/>
          <w:divBdr>
            <w:top w:val="none" w:sz="0" w:space="0" w:color="auto"/>
            <w:left w:val="none" w:sz="0" w:space="0" w:color="auto"/>
            <w:bottom w:val="none" w:sz="0" w:space="0" w:color="auto"/>
            <w:right w:val="none" w:sz="0" w:space="0" w:color="auto"/>
          </w:divBdr>
        </w:div>
        <w:div w:id="376050896">
          <w:marLeft w:val="0"/>
          <w:marRight w:val="0"/>
          <w:marTop w:val="0"/>
          <w:marBottom w:val="0"/>
          <w:divBdr>
            <w:top w:val="none" w:sz="0" w:space="0" w:color="auto"/>
            <w:left w:val="none" w:sz="0" w:space="0" w:color="auto"/>
            <w:bottom w:val="none" w:sz="0" w:space="0" w:color="auto"/>
            <w:right w:val="none" w:sz="0" w:space="0" w:color="auto"/>
          </w:divBdr>
        </w:div>
        <w:div w:id="457996717">
          <w:marLeft w:val="0"/>
          <w:marRight w:val="0"/>
          <w:marTop w:val="0"/>
          <w:marBottom w:val="0"/>
          <w:divBdr>
            <w:top w:val="none" w:sz="0" w:space="0" w:color="auto"/>
            <w:left w:val="none" w:sz="0" w:space="0" w:color="auto"/>
            <w:bottom w:val="none" w:sz="0" w:space="0" w:color="auto"/>
            <w:right w:val="none" w:sz="0" w:space="0" w:color="auto"/>
          </w:divBdr>
        </w:div>
        <w:div w:id="487983924">
          <w:marLeft w:val="0"/>
          <w:marRight w:val="0"/>
          <w:marTop w:val="0"/>
          <w:marBottom w:val="0"/>
          <w:divBdr>
            <w:top w:val="none" w:sz="0" w:space="0" w:color="auto"/>
            <w:left w:val="none" w:sz="0" w:space="0" w:color="auto"/>
            <w:bottom w:val="none" w:sz="0" w:space="0" w:color="auto"/>
            <w:right w:val="none" w:sz="0" w:space="0" w:color="auto"/>
          </w:divBdr>
        </w:div>
        <w:div w:id="488595669">
          <w:marLeft w:val="0"/>
          <w:marRight w:val="0"/>
          <w:marTop w:val="0"/>
          <w:marBottom w:val="0"/>
          <w:divBdr>
            <w:top w:val="none" w:sz="0" w:space="0" w:color="auto"/>
            <w:left w:val="none" w:sz="0" w:space="0" w:color="auto"/>
            <w:bottom w:val="none" w:sz="0" w:space="0" w:color="auto"/>
            <w:right w:val="none" w:sz="0" w:space="0" w:color="auto"/>
          </w:divBdr>
        </w:div>
        <w:div w:id="516844616">
          <w:marLeft w:val="0"/>
          <w:marRight w:val="0"/>
          <w:marTop w:val="0"/>
          <w:marBottom w:val="0"/>
          <w:divBdr>
            <w:top w:val="none" w:sz="0" w:space="0" w:color="auto"/>
            <w:left w:val="none" w:sz="0" w:space="0" w:color="auto"/>
            <w:bottom w:val="none" w:sz="0" w:space="0" w:color="auto"/>
            <w:right w:val="none" w:sz="0" w:space="0" w:color="auto"/>
          </w:divBdr>
        </w:div>
        <w:div w:id="649749601">
          <w:marLeft w:val="0"/>
          <w:marRight w:val="0"/>
          <w:marTop w:val="0"/>
          <w:marBottom w:val="0"/>
          <w:divBdr>
            <w:top w:val="none" w:sz="0" w:space="0" w:color="auto"/>
            <w:left w:val="none" w:sz="0" w:space="0" w:color="auto"/>
            <w:bottom w:val="none" w:sz="0" w:space="0" w:color="auto"/>
            <w:right w:val="none" w:sz="0" w:space="0" w:color="auto"/>
          </w:divBdr>
        </w:div>
        <w:div w:id="660694799">
          <w:marLeft w:val="0"/>
          <w:marRight w:val="0"/>
          <w:marTop w:val="0"/>
          <w:marBottom w:val="0"/>
          <w:divBdr>
            <w:top w:val="none" w:sz="0" w:space="0" w:color="auto"/>
            <w:left w:val="none" w:sz="0" w:space="0" w:color="auto"/>
            <w:bottom w:val="none" w:sz="0" w:space="0" w:color="auto"/>
            <w:right w:val="none" w:sz="0" w:space="0" w:color="auto"/>
          </w:divBdr>
        </w:div>
        <w:div w:id="712535291">
          <w:marLeft w:val="0"/>
          <w:marRight w:val="0"/>
          <w:marTop w:val="0"/>
          <w:marBottom w:val="0"/>
          <w:divBdr>
            <w:top w:val="none" w:sz="0" w:space="0" w:color="auto"/>
            <w:left w:val="none" w:sz="0" w:space="0" w:color="auto"/>
            <w:bottom w:val="none" w:sz="0" w:space="0" w:color="auto"/>
            <w:right w:val="none" w:sz="0" w:space="0" w:color="auto"/>
          </w:divBdr>
        </w:div>
        <w:div w:id="758133620">
          <w:marLeft w:val="0"/>
          <w:marRight w:val="0"/>
          <w:marTop w:val="0"/>
          <w:marBottom w:val="0"/>
          <w:divBdr>
            <w:top w:val="none" w:sz="0" w:space="0" w:color="auto"/>
            <w:left w:val="none" w:sz="0" w:space="0" w:color="auto"/>
            <w:bottom w:val="none" w:sz="0" w:space="0" w:color="auto"/>
            <w:right w:val="none" w:sz="0" w:space="0" w:color="auto"/>
          </w:divBdr>
        </w:div>
        <w:div w:id="849101096">
          <w:marLeft w:val="0"/>
          <w:marRight w:val="0"/>
          <w:marTop w:val="0"/>
          <w:marBottom w:val="0"/>
          <w:divBdr>
            <w:top w:val="none" w:sz="0" w:space="0" w:color="auto"/>
            <w:left w:val="none" w:sz="0" w:space="0" w:color="auto"/>
            <w:bottom w:val="none" w:sz="0" w:space="0" w:color="auto"/>
            <w:right w:val="none" w:sz="0" w:space="0" w:color="auto"/>
          </w:divBdr>
        </w:div>
        <w:div w:id="888303151">
          <w:marLeft w:val="0"/>
          <w:marRight w:val="0"/>
          <w:marTop w:val="0"/>
          <w:marBottom w:val="0"/>
          <w:divBdr>
            <w:top w:val="none" w:sz="0" w:space="0" w:color="auto"/>
            <w:left w:val="none" w:sz="0" w:space="0" w:color="auto"/>
            <w:bottom w:val="none" w:sz="0" w:space="0" w:color="auto"/>
            <w:right w:val="none" w:sz="0" w:space="0" w:color="auto"/>
          </w:divBdr>
        </w:div>
        <w:div w:id="894589868">
          <w:marLeft w:val="0"/>
          <w:marRight w:val="0"/>
          <w:marTop w:val="0"/>
          <w:marBottom w:val="0"/>
          <w:divBdr>
            <w:top w:val="none" w:sz="0" w:space="0" w:color="auto"/>
            <w:left w:val="none" w:sz="0" w:space="0" w:color="auto"/>
            <w:bottom w:val="none" w:sz="0" w:space="0" w:color="auto"/>
            <w:right w:val="none" w:sz="0" w:space="0" w:color="auto"/>
          </w:divBdr>
        </w:div>
        <w:div w:id="916133805">
          <w:marLeft w:val="0"/>
          <w:marRight w:val="0"/>
          <w:marTop w:val="0"/>
          <w:marBottom w:val="0"/>
          <w:divBdr>
            <w:top w:val="none" w:sz="0" w:space="0" w:color="auto"/>
            <w:left w:val="none" w:sz="0" w:space="0" w:color="auto"/>
            <w:bottom w:val="none" w:sz="0" w:space="0" w:color="auto"/>
            <w:right w:val="none" w:sz="0" w:space="0" w:color="auto"/>
          </w:divBdr>
        </w:div>
        <w:div w:id="941648470">
          <w:marLeft w:val="0"/>
          <w:marRight w:val="0"/>
          <w:marTop w:val="0"/>
          <w:marBottom w:val="0"/>
          <w:divBdr>
            <w:top w:val="none" w:sz="0" w:space="0" w:color="auto"/>
            <w:left w:val="none" w:sz="0" w:space="0" w:color="auto"/>
            <w:bottom w:val="none" w:sz="0" w:space="0" w:color="auto"/>
            <w:right w:val="none" w:sz="0" w:space="0" w:color="auto"/>
          </w:divBdr>
        </w:div>
        <w:div w:id="946161278">
          <w:marLeft w:val="0"/>
          <w:marRight w:val="0"/>
          <w:marTop w:val="0"/>
          <w:marBottom w:val="0"/>
          <w:divBdr>
            <w:top w:val="none" w:sz="0" w:space="0" w:color="auto"/>
            <w:left w:val="none" w:sz="0" w:space="0" w:color="auto"/>
            <w:bottom w:val="none" w:sz="0" w:space="0" w:color="auto"/>
            <w:right w:val="none" w:sz="0" w:space="0" w:color="auto"/>
          </w:divBdr>
        </w:div>
        <w:div w:id="1002516014">
          <w:marLeft w:val="0"/>
          <w:marRight w:val="0"/>
          <w:marTop w:val="0"/>
          <w:marBottom w:val="0"/>
          <w:divBdr>
            <w:top w:val="none" w:sz="0" w:space="0" w:color="auto"/>
            <w:left w:val="none" w:sz="0" w:space="0" w:color="auto"/>
            <w:bottom w:val="none" w:sz="0" w:space="0" w:color="auto"/>
            <w:right w:val="none" w:sz="0" w:space="0" w:color="auto"/>
          </w:divBdr>
        </w:div>
        <w:div w:id="1027298109">
          <w:marLeft w:val="0"/>
          <w:marRight w:val="0"/>
          <w:marTop w:val="0"/>
          <w:marBottom w:val="0"/>
          <w:divBdr>
            <w:top w:val="none" w:sz="0" w:space="0" w:color="auto"/>
            <w:left w:val="none" w:sz="0" w:space="0" w:color="auto"/>
            <w:bottom w:val="none" w:sz="0" w:space="0" w:color="auto"/>
            <w:right w:val="none" w:sz="0" w:space="0" w:color="auto"/>
          </w:divBdr>
        </w:div>
        <w:div w:id="1068726346">
          <w:marLeft w:val="0"/>
          <w:marRight w:val="0"/>
          <w:marTop w:val="0"/>
          <w:marBottom w:val="0"/>
          <w:divBdr>
            <w:top w:val="none" w:sz="0" w:space="0" w:color="auto"/>
            <w:left w:val="none" w:sz="0" w:space="0" w:color="auto"/>
            <w:bottom w:val="none" w:sz="0" w:space="0" w:color="auto"/>
            <w:right w:val="none" w:sz="0" w:space="0" w:color="auto"/>
          </w:divBdr>
        </w:div>
        <w:div w:id="1108507616">
          <w:marLeft w:val="0"/>
          <w:marRight w:val="0"/>
          <w:marTop w:val="0"/>
          <w:marBottom w:val="0"/>
          <w:divBdr>
            <w:top w:val="none" w:sz="0" w:space="0" w:color="auto"/>
            <w:left w:val="none" w:sz="0" w:space="0" w:color="auto"/>
            <w:bottom w:val="none" w:sz="0" w:space="0" w:color="auto"/>
            <w:right w:val="none" w:sz="0" w:space="0" w:color="auto"/>
          </w:divBdr>
        </w:div>
        <w:div w:id="1118600810">
          <w:marLeft w:val="0"/>
          <w:marRight w:val="0"/>
          <w:marTop w:val="0"/>
          <w:marBottom w:val="0"/>
          <w:divBdr>
            <w:top w:val="none" w:sz="0" w:space="0" w:color="auto"/>
            <w:left w:val="none" w:sz="0" w:space="0" w:color="auto"/>
            <w:bottom w:val="none" w:sz="0" w:space="0" w:color="auto"/>
            <w:right w:val="none" w:sz="0" w:space="0" w:color="auto"/>
          </w:divBdr>
        </w:div>
        <w:div w:id="1128818700">
          <w:marLeft w:val="0"/>
          <w:marRight w:val="0"/>
          <w:marTop w:val="0"/>
          <w:marBottom w:val="0"/>
          <w:divBdr>
            <w:top w:val="none" w:sz="0" w:space="0" w:color="auto"/>
            <w:left w:val="none" w:sz="0" w:space="0" w:color="auto"/>
            <w:bottom w:val="none" w:sz="0" w:space="0" w:color="auto"/>
            <w:right w:val="none" w:sz="0" w:space="0" w:color="auto"/>
          </w:divBdr>
        </w:div>
        <w:div w:id="1185093640">
          <w:marLeft w:val="0"/>
          <w:marRight w:val="0"/>
          <w:marTop w:val="0"/>
          <w:marBottom w:val="0"/>
          <w:divBdr>
            <w:top w:val="none" w:sz="0" w:space="0" w:color="auto"/>
            <w:left w:val="none" w:sz="0" w:space="0" w:color="auto"/>
            <w:bottom w:val="none" w:sz="0" w:space="0" w:color="auto"/>
            <w:right w:val="none" w:sz="0" w:space="0" w:color="auto"/>
          </w:divBdr>
        </w:div>
        <w:div w:id="1215194281">
          <w:marLeft w:val="0"/>
          <w:marRight w:val="0"/>
          <w:marTop w:val="0"/>
          <w:marBottom w:val="0"/>
          <w:divBdr>
            <w:top w:val="none" w:sz="0" w:space="0" w:color="auto"/>
            <w:left w:val="none" w:sz="0" w:space="0" w:color="auto"/>
            <w:bottom w:val="none" w:sz="0" w:space="0" w:color="auto"/>
            <w:right w:val="none" w:sz="0" w:space="0" w:color="auto"/>
          </w:divBdr>
        </w:div>
        <w:div w:id="1215847421">
          <w:marLeft w:val="0"/>
          <w:marRight w:val="0"/>
          <w:marTop w:val="0"/>
          <w:marBottom w:val="0"/>
          <w:divBdr>
            <w:top w:val="none" w:sz="0" w:space="0" w:color="auto"/>
            <w:left w:val="none" w:sz="0" w:space="0" w:color="auto"/>
            <w:bottom w:val="none" w:sz="0" w:space="0" w:color="auto"/>
            <w:right w:val="none" w:sz="0" w:space="0" w:color="auto"/>
          </w:divBdr>
        </w:div>
        <w:div w:id="1261372632">
          <w:marLeft w:val="0"/>
          <w:marRight w:val="0"/>
          <w:marTop w:val="0"/>
          <w:marBottom w:val="0"/>
          <w:divBdr>
            <w:top w:val="none" w:sz="0" w:space="0" w:color="auto"/>
            <w:left w:val="none" w:sz="0" w:space="0" w:color="auto"/>
            <w:bottom w:val="none" w:sz="0" w:space="0" w:color="auto"/>
            <w:right w:val="none" w:sz="0" w:space="0" w:color="auto"/>
          </w:divBdr>
        </w:div>
        <w:div w:id="1314872527">
          <w:marLeft w:val="0"/>
          <w:marRight w:val="0"/>
          <w:marTop w:val="0"/>
          <w:marBottom w:val="0"/>
          <w:divBdr>
            <w:top w:val="none" w:sz="0" w:space="0" w:color="auto"/>
            <w:left w:val="none" w:sz="0" w:space="0" w:color="auto"/>
            <w:bottom w:val="none" w:sz="0" w:space="0" w:color="auto"/>
            <w:right w:val="none" w:sz="0" w:space="0" w:color="auto"/>
          </w:divBdr>
        </w:div>
        <w:div w:id="1315570453">
          <w:marLeft w:val="0"/>
          <w:marRight w:val="0"/>
          <w:marTop w:val="0"/>
          <w:marBottom w:val="0"/>
          <w:divBdr>
            <w:top w:val="none" w:sz="0" w:space="0" w:color="auto"/>
            <w:left w:val="none" w:sz="0" w:space="0" w:color="auto"/>
            <w:bottom w:val="none" w:sz="0" w:space="0" w:color="auto"/>
            <w:right w:val="none" w:sz="0" w:space="0" w:color="auto"/>
          </w:divBdr>
        </w:div>
        <w:div w:id="1324970333">
          <w:marLeft w:val="0"/>
          <w:marRight w:val="0"/>
          <w:marTop w:val="0"/>
          <w:marBottom w:val="0"/>
          <w:divBdr>
            <w:top w:val="none" w:sz="0" w:space="0" w:color="auto"/>
            <w:left w:val="none" w:sz="0" w:space="0" w:color="auto"/>
            <w:bottom w:val="none" w:sz="0" w:space="0" w:color="auto"/>
            <w:right w:val="none" w:sz="0" w:space="0" w:color="auto"/>
          </w:divBdr>
        </w:div>
        <w:div w:id="1329333384">
          <w:marLeft w:val="0"/>
          <w:marRight w:val="0"/>
          <w:marTop w:val="0"/>
          <w:marBottom w:val="0"/>
          <w:divBdr>
            <w:top w:val="none" w:sz="0" w:space="0" w:color="auto"/>
            <w:left w:val="none" w:sz="0" w:space="0" w:color="auto"/>
            <w:bottom w:val="none" w:sz="0" w:space="0" w:color="auto"/>
            <w:right w:val="none" w:sz="0" w:space="0" w:color="auto"/>
          </w:divBdr>
        </w:div>
        <w:div w:id="1334259175">
          <w:marLeft w:val="0"/>
          <w:marRight w:val="0"/>
          <w:marTop w:val="0"/>
          <w:marBottom w:val="0"/>
          <w:divBdr>
            <w:top w:val="none" w:sz="0" w:space="0" w:color="auto"/>
            <w:left w:val="none" w:sz="0" w:space="0" w:color="auto"/>
            <w:bottom w:val="none" w:sz="0" w:space="0" w:color="auto"/>
            <w:right w:val="none" w:sz="0" w:space="0" w:color="auto"/>
          </w:divBdr>
        </w:div>
        <w:div w:id="1380128414">
          <w:marLeft w:val="0"/>
          <w:marRight w:val="0"/>
          <w:marTop w:val="0"/>
          <w:marBottom w:val="0"/>
          <w:divBdr>
            <w:top w:val="none" w:sz="0" w:space="0" w:color="auto"/>
            <w:left w:val="none" w:sz="0" w:space="0" w:color="auto"/>
            <w:bottom w:val="none" w:sz="0" w:space="0" w:color="auto"/>
            <w:right w:val="none" w:sz="0" w:space="0" w:color="auto"/>
          </w:divBdr>
        </w:div>
        <w:div w:id="1395740809">
          <w:marLeft w:val="0"/>
          <w:marRight w:val="0"/>
          <w:marTop w:val="0"/>
          <w:marBottom w:val="0"/>
          <w:divBdr>
            <w:top w:val="none" w:sz="0" w:space="0" w:color="auto"/>
            <w:left w:val="none" w:sz="0" w:space="0" w:color="auto"/>
            <w:bottom w:val="none" w:sz="0" w:space="0" w:color="auto"/>
            <w:right w:val="none" w:sz="0" w:space="0" w:color="auto"/>
          </w:divBdr>
        </w:div>
        <w:div w:id="1521621859">
          <w:marLeft w:val="0"/>
          <w:marRight w:val="0"/>
          <w:marTop w:val="0"/>
          <w:marBottom w:val="0"/>
          <w:divBdr>
            <w:top w:val="none" w:sz="0" w:space="0" w:color="auto"/>
            <w:left w:val="none" w:sz="0" w:space="0" w:color="auto"/>
            <w:bottom w:val="none" w:sz="0" w:space="0" w:color="auto"/>
            <w:right w:val="none" w:sz="0" w:space="0" w:color="auto"/>
          </w:divBdr>
        </w:div>
        <w:div w:id="1550727354">
          <w:marLeft w:val="0"/>
          <w:marRight w:val="0"/>
          <w:marTop w:val="0"/>
          <w:marBottom w:val="0"/>
          <w:divBdr>
            <w:top w:val="none" w:sz="0" w:space="0" w:color="auto"/>
            <w:left w:val="none" w:sz="0" w:space="0" w:color="auto"/>
            <w:bottom w:val="none" w:sz="0" w:space="0" w:color="auto"/>
            <w:right w:val="none" w:sz="0" w:space="0" w:color="auto"/>
          </w:divBdr>
        </w:div>
        <w:div w:id="1553345731">
          <w:marLeft w:val="0"/>
          <w:marRight w:val="0"/>
          <w:marTop w:val="0"/>
          <w:marBottom w:val="0"/>
          <w:divBdr>
            <w:top w:val="none" w:sz="0" w:space="0" w:color="auto"/>
            <w:left w:val="none" w:sz="0" w:space="0" w:color="auto"/>
            <w:bottom w:val="none" w:sz="0" w:space="0" w:color="auto"/>
            <w:right w:val="none" w:sz="0" w:space="0" w:color="auto"/>
          </w:divBdr>
        </w:div>
        <w:div w:id="1554776212">
          <w:marLeft w:val="0"/>
          <w:marRight w:val="0"/>
          <w:marTop w:val="0"/>
          <w:marBottom w:val="0"/>
          <w:divBdr>
            <w:top w:val="none" w:sz="0" w:space="0" w:color="auto"/>
            <w:left w:val="none" w:sz="0" w:space="0" w:color="auto"/>
            <w:bottom w:val="none" w:sz="0" w:space="0" w:color="auto"/>
            <w:right w:val="none" w:sz="0" w:space="0" w:color="auto"/>
          </w:divBdr>
        </w:div>
        <w:div w:id="1602686759">
          <w:marLeft w:val="0"/>
          <w:marRight w:val="0"/>
          <w:marTop w:val="0"/>
          <w:marBottom w:val="0"/>
          <w:divBdr>
            <w:top w:val="none" w:sz="0" w:space="0" w:color="auto"/>
            <w:left w:val="none" w:sz="0" w:space="0" w:color="auto"/>
            <w:bottom w:val="none" w:sz="0" w:space="0" w:color="auto"/>
            <w:right w:val="none" w:sz="0" w:space="0" w:color="auto"/>
          </w:divBdr>
        </w:div>
        <w:div w:id="1645617763">
          <w:marLeft w:val="0"/>
          <w:marRight w:val="0"/>
          <w:marTop w:val="0"/>
          <w:marBottom w:val="0"/>
          <w:divBdr>
            <w:top w:val="none" w:sz="0" w:space="0" w:color="auto"/>
            <w:left w:val="none" w:sz="0" w:space="0" w:color="auto"/>
            <w:bottom w:val="none" w:sz="0" w:space="0" w:color="auto"/>
            <w:right w:val="none" w:sz="0" w:space="0" w:color="auto"/>
          </w:divBdr>
        </w:div>
        <w:div w:id="1685865838">
          <w:marLeft w:val="0"/>
          <w:marRight w:val="0"/>
          <w:marTop w:val="0"/>
          <w:marBottom w:val="0"/>
          <w:divBdr>
            <w:top w:val="none" w:sz="0" w:space="0" w:color="auto"/>
            <w:left w:val="none" w:sz="0" w:space="0" w:color="auto"/>
            <w:bottom w:val="none" w:sz="0" w:space="0" w:color="auto"/>
            <w:right w:val="none" w:sz="0" w:space="0" w:color="auto"/>
          </w:divBdr>
        </w:div>
        <w:div w:id="1698432881">
          <w:marLeft w:val="0"/>
          <w:marRight w:val="0"/>
          <w:marTop w:val="0"/>
          <w:marBottom w:val="0"/>
          <w:divBdr>
            <w:top w:val="none" w:sz="0" w:space="0" w:color="auto"/>
            <w:left w:val="none" w:sz="0" w:space="0" w:color="auto"/>
            <w:bottom w:val="none" w:sz="0" w:space="0" w:color="auto"/>
            <w:right w:val="none" w:sz="0" w:space="0" w:color="auto"/>
          </w:divBdr>
        </w:div>
        <w:div w:id="1698968946">
          <w:marLeft w:val="0"/>
          <w:marRight w:val="0"/>
          <w:marTop w:val="0"/>
          <w:marBottom w:val="0"/>
          <w:divBdr>
            <w:top w:val="none" w:sz="0" w:space="0" w:color="auto"/>
            <w:left w:val="none" w:sz="0" w:space="0" w:color="auto"/>
            <w:bottom w:val="none" w:sz="0" w:space="0" w:color="auto"/>
            <w:right w:val="none" w:sz="0" w:space="0" w:color="auto"/>
          </w:divBdr>
        </w:div>
        <w:div w:id="1719624053">
          <w:marLeft w:val="0"/>
          <w:marRight w:val="0"/>
          <w:marTop w:val="0"/>
          <w:marBottom w:val="0"/>
          <w:divBdr>
            <w:top w:val="none" w:sz="0" w:space="0" w:color="auto"/>
            <w:left w:val="none" w:sz="0" w:space="0" w:color="auto"/>
            <w:bottom w:val="none" w:sz="0" w:space="0" w:color="auto"/>
            <w:right w:val="none" w:sz="0" w:space="0" w:color="auto"/>
          </w:divBdr>
        </w:div>
        <w:div w:id="1727337494">
          <w:marLeft w:val="0"/>
          <w:marRight w:val="0"/>
          <w:marTop w:val="0"/>
          <w:marBottom w:val="0"/>
          <w:divBdr>
            <w:top w:val="none" w:sz="0" w:space="0" w:color="auto"/>
            <w:left w:val="none" w:sz="0" w:space="0" w:color="auto"/>
            <w:bottom w:val="none" w:sz="0" w:space="0" w:color="auto"/>
            <w:right w:val="none" w:sz="0" w:space="0" w:color="auto"/>
          </w:divBdr>
        </w:div>
        <w:div w:id="1762753653">
          <w:marLeft w:val="0"/>
          <w:marRight w:val="0"/>
          <w:marTop w:val="0"/>
          <w:marBottom w:val="0"/>
          <w:divBdr>
            <w:top w:val="none" w:sz="0" w:space="0" w:color="auto"/>
            <w:left w:val="none" w:sz="0" w:space="0" w:color="auto"/>
            <w:bottom w:val="none" w:sz="0" w:space="0" w:color="auto"/>
            <w:right w:val="none" w:sz="0" w:space="0" w:color="auto"/>
          </w:divBdr>
        </w:div>
        <w:div w:id="1784767677">
          <w:marLeft w:val="0"/>
          <w:marRight w:val="0"/>
          <w:marTop w:val="0"/>
          <w:marBottom w:val="0"/>
          <w:divBdr>
            <w:top w:val="none" w:sz="0" w:space="0" w:color="auto"/>
            <w:left w:val="none" w:sz="0" w:space="0" w:color="auto"/>
            <w:bottom w:val="none" w:sz="0" w:space="0" w:color="auto"/>
            <w:right w:val="none" w:sz="0" w:space="0" w:color="auto"/>
          </w:divBdr>
        </w:div>
        <w:div w:id="1811510909">
          <w:marLeft w:val="0"/>
          <w:marRight w:val="0"/>
          <w:marTop w:val="0"/>
          <w:marBottom w:val="0"/>
          <w:divBdr>
            <w:top w:val="none" w:sz="0" w:space="0" w:color="auto"/>
            <w:left w:val="none" w:sz="0" w:space="0" w:color="auto"/>
            <w:bottom w:val="none" w:sz="0" w:space="0" w:color="auto"/>
            <w:right w:val="none" w:sz="0" w:space="0" w:color="auto"/>
          </w:divBdr>
        </w:div>
        <w:div w:id="1837963609">
          <w:marLeft w:val="0"/>
          <w:marRight w:val="0"/>
          <w:marTop w:val="0"/>
          <w:marBottom w:val="0"/>
          <w:divBdr>
            <w:top w:val="none" w:sz="0" w:space="0" w:color="auto"/>
            <w:left w:val="none" w:sz="0" w:space="0" w:color="auto"/>
            <w:bottom w:val="none" w:sz="0" w:space="0" w:color="auto"/>
            <w:right w:val="none" w:sz="0" w:space="0" w:color="auto"/>
          </w:divBdr>
        </w:div>
        <w:div w:id="1842115714">
          <w:marLeft w:val="0"/>
          <w:marRight w:val="0"/>
          <w:marTop w:val="0"/>
          <w:marBottom w:val="0"/>
          <w:divBdr>
            <w:top w:val="none" w:sz="0" w:space="0" w:color="auto"/>
            <w:left w:val="none" w:sz="0" w:space="0" w:color="auto"/>
            <w:bottom w:val="none" w:sz="0" w:space="0" w:color="auto"/>
            <w:right w:val="none" w:sz="0" w:space="0" w:color="auto"/>
          </w:divBdr>
        </w:div>
        <w:div w:id="1864661259">
          <w:marLeft w:val="0"/>
          <w:marRight w:val="0"/>
          <w:marTop w:val="0"/>
          <w:marBottom w:val="0"/>
          <w:divBdr>
            <w:top w:val="none" w:sz="0" w:space="0" w:color="auto"/>
            <w:left w:val="none" w:sz="0" w:space="0" w:color="auto"/>
            <w:bottom w:val="none" w:sz="0" w:space="0" w:color="auto"/>
            <w:right w:val="none" w:sz="0" w:space="0" w:color="auto"/>
          </w:divBdr>
        </w:div>
        <w:div w:id="1890727639">
          <w:marLeft w:val="0"/>
          <w:marRight w:val="0"/>
          <w:marTop w:val="0"/>
          <w:marBottom w:val="0"/>
          <w:divBdr>
            <w:top w:val="none" w:sz="0" w:space="0" w:color="auto"/>
            <w:left w:val="none" w:sz="0" w:space="0" w:color="auto"/>
            <w:bottom w:val="none" w:sz="0" w:space="0" w:color="auto"/>
            <w:right w:val="none" w:sz="0" w:space="0" w:color="auto"/>
          </w:divBdr>
        </w:div>
        <w:div w:id="1896046655">
          <w:marLeft w:val="0"/>
          <w:marRight w:val="0"/>
          <w:marTop w:val="0"/>
          <w:marBottom w:val="0"/>
          <w:divBdr>
            <w:top w:val="none" w:sz="0" w:space="0" w:color="auto"/>
            <w:left w:val="none" w:sz="0" w:space="0" w:color="auto"/>
            <w:bottom w:val="none" w:sz="0" w:space="0" w:color="auto"/>
            <w:right w:val="none" w:sz="0" w:space="0" w:color="auto"/>
          </w:divBdr>
        </w:div>
        <w:div w:id="1898123684">
          <w:marLeft w:val="0"/>
          <w:marRight w:val="0"/>
          <w:marTop w:val="0"/>
          <w:marBottom w:val="0"/>
          <w:divBdr>
            <w:top w:val="none" w:sz="0" w:space="0" w:color="auto"/>
            <w:left w:val="none" w:sz="0" w:space="0" w:color="auto"/>
            <w:bottom w:val="none" w:sz="0" w:space="0" w:color="auto"/>
            <w:right w:val="none" w:sz="0" w:space="0" w:color="auto"/>
          </w:divBdr>
        </w:div>
        <w:div w:id="1916937943">
          <w:marLeft w:val="0"/>
          <w:marRight w:val="0"/>
          <w:marTop w:val="0"/>
          <w:marBottom w:val="0"/>
          <w:divBdr>
            <w:top w:val="none" w:sz="0" w:space="0" w:color="auto"/>
            <w:left w:val="none" w:sz="0" w:space="0" w:color="auto"/>
            <w:bottom w:val="none" w:sz="0" w:space="0" w:color="auto"/>
            <w:right w:val="none" w:sz="0" w:space="0" w:color="auto"/>
          </w:divBdr>
        </w:div>
        <w:div w:id="1982886126">
          <w:marLeft w:val="0"/>
          <w:marRight w:val="0"/>
          <w:marTop w:val="0"/>
          <w:marBottom w:val="0"/>
          <w:divBdr>
            <w:top w:val="none" w:sz="0" w:space="0" w:color="auto"/>
            <w:left w:val="none" w:sz="0" w:space="0" w:color="auto"/>
            <w:bottom w:val="none" w:sz="0" w:space="0" w:color="auto"/>
            <w:right w:val="none" w:sz="0" w:space="0" w:color="auto"/>
          </w:divBdr>
        </w:div>
        <w:div w:id="2100177198">
          <w:marLeft w:val="0"/>
          <w:marRight w:val="0"/>
          <w:marTop w:val="0"/>
          <w:marBottom w:val="0"/>
          <w:divBdr>
            <w:top w:val="none" w:sz="0" w:space="0" w:color="auto"/>
            <w:left w:val="none" w:sz="0" w:space="0" w:color="auto"/>
            <w:bottom w:val="none" w:sz="0" w:space="0" w:color="auto"/>
            <w:right w:val="none" w:sz="0" w:space="0" w:color="auto"/>
          </w:divBdr>
        </w:div>
        <w:div w:id="2111504809">
          <w:marLeft w:val="0"/>
          <w:marRight w:val="0"/>
          <w:marTop w:val="0"/>
          <w:marBottom w:val="0"/>
          <w:divBdr>
            <w:top w:val="none" w:sz="0" w:space="0" w:color="auto"/>
            <w:left w:val="none" w:sz="0" w:space="0" w:color="auto"/>
            <w:bottom w:val="none" w:sz="0" w:space="0" w:color="auto"/>
            <w:right w:val="none" w:sz="0" w:space="0" w:color="auto"/>
          </w:divBdr>
        </w:div>
      </w:divsChild>
    </w:div>
    <w:div w:id="1215579975">
      <w:bodyDiv w:val="1"/>
      <w:marLeft w:val="0"/>
      <w:marRight w:val="0"/>
      <w:marTop w:val="0"/>
      <w:marBottom w:val="0"/>
      <w:divBdr>
        <w:top w:val="none" w:sz="0" w:space="0" w:color="auto"/>
        <w:left w:val="none" w:sz="0" w:space="0" w:color="auto"/>
        <w:bottom w:val="none" w:sz="0" w:space="0" w:color="auto"/>
        <w:right w:val="none" w:sz="0" w:space="0" w:color="auto"/>
      </w:divBdr>
    </w:div>
    <w:div w:id="1266495362">
      <w:bodyDiv w:val="1"/>
      <w:marLeft w:val="0"/>
      <w:marRight w:val="0"/>
      <w:marTop w:val="0"/>
      <w:marBottom w:val="0"/>
      <w:divBdr>
        <w:top w:val="none" w:sz="0" w:space="0" w:color="auto"/>
        <w:left w:val="none" w:sz="0" w:space="0" w:color="auto"/>
        <w:bottom w:val="none" w:sz="0" w:space="0" w:color="auto"/>
        <w:right w:val="none" w:sz="0" w:space="0" w:color="auto"/>
      </w:divBdr>
      <w:divsChild>
        <w:div w:id="5787451">
          <w:marLeft w:val="0"/>
          <w:marRight w:val="0"/>
          <w:marTop w:val="0"/>
          <w:marBottom w:val="0"/>
          <w:divBdr>
            <w:top w:val="none" w:sz="0" w:space="0" w:color="auto"/>
            <w:left w:val="none" w:sz="0" w:space="0" w:color="auto"/>
            <w:bottom w:val="none" w:sz="0" w:space="0" w:color="auto"/>
            <w:right w:val="none" w:sz="0" w:space="0" w:color="auto"/>
          </w:divBdr>
        </w:div>
        <w:div w:id="13112542">
          <w:marLeft w:val="0"/>
          <w:marRight w:val="0"/>
          <w:marTop w:val="0"/>
          <w:marBottom w:val="0"/>
          <w:divBdr>
            <w:top w:val="none" w:sz="0" w:space="0" w:color="auto"/>
            <w:left w:val="none" w:sz="0" w:space="0" w:color="auto"/>
            <w:bottom w:val="none" w:sz="0" w:space="0" w:color="auto"/>
            <w:right w:val="none" w:sz="0" w:space="0" w:color="auto"/>
          </w:divBdr>
        </w:div>
        <w:div w:id="48725262">
          <w:marLeft w:val="0"/>
          <w:marRight w:val="0"/>
          <w:marTop w:val="0"/>
          <w:marBottom w:val="0"/>
          <w:divBdr>
            <w:top w:val="none" w:sz="0" w:space="0" w:color="auto"/>
            <w:left w:val="none" w:sz="0" w:space="0" w:color="auto"/>
            <w:bottom w:val="none" w:sz="0" w:space="0" w:color="auto"/>
            <w:right w:val="none" w:sz="0" w:space="0" w:color="auto"/>
          </w:divBdr>
        </w:div>
        <w:div w:id="68428526">
          <w:marLeft w:val="0"/>
          <w:marRight w:val="0"/>
          <w:marTop w:val="0"/>
          <w:marBottom w:val="0"/>
          <w:divBdr>
            <w:top w:val="none" w:sz="0" w:space="0" w:color="auto"/>
            <w:left w:val="none" w:sz="0" w:space="0" w:color="auto"/>
            <w:bottom w:val="none" w:sz="0" w:space="0" w:color="auto"/>
            <w:right w:val="none" w:sz="0" w:space="0" w:color="auto"/>
          </w:divBdr>
        </w:div>
        <w:div w:id="92668592">
          <w:marLeft w:val="0"/>
          <w:marRight w:val="0"/>
          <w:marTop w:val="0"/>
          <w:marBottom w:val="0"/>
          <w:divBdr>
            <w:top w:val="none" w:sz="0" w:space="0" w:color="auto"/>
            <w:left w:val="none" w:sz="0" w:space="0" w:color="auto"/>
            <w:bottom w:val="none" w:sz="0" w:space="0" w:color="auto"/>
            <w:right w:val="none" w:sz="0" w:space="0" w:color="auto"/>
          </w:divBdr>
        </w:div>
        <w:div w:id="287128163">
          <w:marLeft w:val="0"/>
          <w:marRight w:val="0"/>
          <w:marTop w:val="0"/>
          <w:marBottom w:val="0"/>
          <w:divBdr>
            <w:top w:val="none" w:sz="0" w:space="0" w:color="auto"/>
            <w:left w:val="none" w:sz="0" w:space="0" w:color="auto"/>
            <w:bottom w:val="none" w:sz="0" w:space="0" w:color="auto"/>
            <w:right w:val="none" w:sz="0" w:space="0" w:color="auto"/>
          </w:divBdr>
        </w:div>
        <w:div w:id="305936360">
          <w:marLeft w:val="0"/>
          <w:marRight w:val="0"/>
          <w:marTop w:val="0"/>
          <w:marBottom w:val="0"/>
          <w:divBdr>
            <w:top w:val="none" w:sz="0" w:space="0" w:color="auto"/>
            <w:left w:val="none" w:sz="0" w:space="0" w:color="auto"/>
            <w:bottom w:val="none" w:sz="0" w:space="0" w:color="auto"/>
            <w:right w:val="none" w:sz="0" w:space="0" w:color="auto"/>
          </w:divBdr>
        </w:div>
        <w:div w:id="338166415">
          <w:marLeft w:val="0"/>
          <w:marRight w:val="0"/>
          <w:marTop w:val="0"/>
          <w:marBottom w:val="0"/>
          <w:divBdr>
            <w:top w:val="none" w:sz="0" w:space="0" w:color="auto"/>
            <w:left w:val="none" w:sz="0" w:space="0" w:color="auto"/>
            <w:bottom w:val="none" w:sz="0" w:space="0" w:color="auto"/>
            <w:right w:val="none" w:sz="0" w:space="0" w:color="auto"/>
          </w:divBdr>
        </w:div>
        <w:div w:id="388304927">
          <w:marLeft w:val="0"/>
          <w:marRight w:val="0"/>
          <w:marTop w:val="0"/>
          <w:marBottom w:val="0"/>
          <w:divBdr>
            <w:top w:val="none" w:sz="0" w:space="0" w:color="auto"/>
            <w:left w:val="none" w:sz="0" w:space="0" w:color="auto"/>
            <w:bottom w:val="none" w:sz="0" w:space="0" w:color="auto"/>
            <w:right w:val="none" w:sz="0" w:space="0" w:color="auto"/>
          </w:divBdr>
        </w:div>
        <w:div w:id="520240171">
          <w:marLeft w:val="0"/>
          <w:marRight w:val="0"/>
          <w:marTop w:val="0"/>
          <w:marBottom w:val="0"/>
          <w:divBdr>
            <w:top w:val="none" w:sz="0" w:space="0" w:color="auto"/>
            <w:left w:val="none" w:sz="0" w:space="0" w:color="auto"/>
            <w:bottom w:val="none" w:sz="0" w:space="0" w:color="auto"/>
            <w:right w:val="none" w:sz="0" w:space="0" w:color="auto"/>
          </w:divBdr>
        </w:div>
        <w:div w:id="593780998">
          <w:marLeft w:val="0"/>
          <w:marRight w:val="0"/>
          <w:marTop w:val="0"/>
          <w:marBottom w:val="0"/>
          <w:divBdr>
            <w:top w:val="none" w:sz="0" w:space="0" w:color="auto"/>
            <w:left w:val="none" w:sz="0" w:space="0" w:color="auto"/>
            <w:bottom w:val="none" w:sz="0" w:space="0" w:color="auto"/>
            <w:right w:val="none" w:sz="0" w:space="0" w:color="auto"/>
          </w:divBdr>
        </w:div>
        <w:div w:id="604651536">
          <w:marLeft w:val="0"/>
          <w:marRight w:val="0"/>
          <w:marTop w:val="0"/>
          <w:marBottom w:val="0"/>
          <w:divBdr>
            <w:top w:val="none" w:sz="0" w:space="0" w:color="auto"/>
            <w:left w:val="none" w:sz="0" w:space="0" w:color="auto"/>
            <w:bottom w:val="none" w:sz="0" w:space="0" w:color="auto"/>
            <w:right w:val="none" w:sz="0" w:space="0" w:color="auto"/>
          </w:divBdr>
        </w:div>
        <w:div w:id="637149782">
          <w:marLeft w:val="0"/>
          <w:marRight w:val="0"/>
          <w:marTop w:val="0"/>
          <w:marBottom w:val="0"/>
          <w:divBdr>
            <w:top w:val="none" w:sz="0" w:space="0" w:color="auto"/>
            <w:left w:val="none" w:sz="0" w:space="0" w:color="auto"/>
            <w:bottom w:val="none" w:sz="0" w:space="0" w:color="auto"/>
            <w:right w:val="none" w:sz="0" w:space="0" w:color="auto"/>
          </w:divBdr>
        </w:div>
        <w:div w:id="711267239">
          <w:marLeft w:val="0"/>
          <w:marRight w:val="0"/>
          <w:marTop w:val="0"/>
          <w:marBottom w:val="0"/>
          <w:divBdr>
            <w:top w:val="none" w:sz="0" w:space="0" w:color="auto"/>
            <w:left w:val="none" w:sz="0" w:space="0" w:color="auto"/>
            <w:bottom w:val="none" w:sz="0" w:space="0" w:color="auto"/>
            <w:right w:val="none" w:sz="0" w:space="0" w:color="auto"/>
          </w:divBdr>
        </w:div>
        <w:div w:id="767235441">
          <w:marLeft w:val="0"/>
          <w:marRight w:val="0"/>
          <w:marTop w:val="0"/>
          <w:marBottom w:val="0"/>
          <w:divBdr>
            <w:top w:val="none" w:sz="0" w:space="0" w:color="auto"/>
            <w:left w:val="none" w:sz="0" w:space="0" w:color="auto"/>
            <w:bottom w:val="none" w:sz="0" w:space="0" w:color="auto"/>
            <w:right w:val="none" w:sz="0" w:space="0" w:color="auto"/>
          </w:divBdr>
        </w:div>
        <w:div w:id="837968095">
          <w:marLeft w:val="0"/>
          <w:marRight w:val="0"/>
          <w:marTop w:val="0"/>
          <w:marBottom w:val="0"/>
          <w:divBdr>
            <w:top w:val="none" w:sz="0" w:space="0" w:color="auto"/>
            <w:left w:val="none" w:sz="0" w:space="0" w:color="auto"/>
            <w:bottom w:val="none" w:sz="0" w:space="0" w:color="auto"/>
            <w:right w:val="none" w:sz="0" w:space="0" w:color="auto"/>
          </w:divBdr>
        </w:div>
        <w:div w:id="895512692">
          <w:marLeft w:val="0"/>
          <w:marRight w:val="0"/>
          <w:marTop w:val="0"/>
          <w:marBottom w:val="0"/>
          <w:divBdr>
            <w:top w:val="none" w:sz="0" w:space="0" w:color="auto"/>
            <w:left w:val="none" w:sz="0" w:space="0" w:color="auto"/>
            <w:bottom w:val="none" w:sz="0" w:space="0" w:color="auto"/>
            <w:right w:val="none" w:sz="0" w:space="0" w:color="auto"/>
          </w:divBdr>
        </w:div>
        <w:div w:id="938373834">
          <w:marLeft w:val="0"/>
          <w:marRight w:val="0"/>
          <w:marTop w:val="0"/>
          <w:marBottom w:val="0"/>
          <w:divBdr>
            <w:top w:val="none" w:sz="0" w:space="0" w:color="auto"/>
            <w:left w:val="none" w:sz="0" w:space="0" w:color="auto"/>
            <w:bottom w:val="none" w:sz="0" w:space="0" w:color="auto"/>
            <w:right w:val="none" w:sz="0" w:space="0" w:color="auto"/>
          </w:divBdr>
        </w:div>
        <w:div w:id="1008750662">
          <w:marLeft w:val="0"/>
          <w:marRight w:val="0"/>
          <w:marTop w:val="0"/>
          <w:marBottom w:val="0"/>
          <w:divBdr>
            <w:top w:val="none" w:sz="0" w:space="0" w:color="auto"/>
            <w:left w:val="none" w:sz="0" w:space="0" w:color="auto"/>
            <w:bottom w:val="none" w:sz="0" w:space="0" w:color="auto"/>
            <w:right w:val="none" w:sz="0" w:space="0" w:color="auto"/>
          </w:divBdr>
        </w:div>
        <w:div w:id="1089152998">
          <w:marLeft w:val="0"/>
          <w:marRight w:val="0"/>
          <w:marTop w:val="0"/>
          <w:marBottom w:val="0"/>
          <w:divBdr>
            <w:top w:val="none" w:sz="0" w:space="0" w:color="auto"/>
            <w:left w:val="none" w:sz="0" w:space="0" w:color="auto"/>
            <w:bottom w:val="none" w:sz="0" w:space="0" w:color="auto"/>
            <w:right w:val="none" w:sz="0" w:space="0" w:color="auto"/>
          </w:divBdr>
        </w:div>
        <w:div w:id="1089430926">
          <w:marLeft w:val="0"/>
          <w:marRight w:val="0"/>
          <w:marTop w:val="0"/>
          <w:marBottom w:val="0"/>
          <w:divBdr>
            <w:top w:val="none" w:sz="0" w:space="0" w:color="auto"/>
            <w:left w:val="none" w:sz="0" w:space="0" w:color="auto"/>
            <w:bottom w:val="none" w:sz="0" w:space="0" w:color="auto"/>
            <w:right w:val="none" w:sz="0" w:space="0" w:color="auto"/>
          </w:divBdr>
        </w:div>
        <w:div w:id="1115251205">
          <w:marLeft w:val="0"/>
          <w:marRight w:val="0"/>
          <w:marTop w:val="0"/>
          <w:marBottom w:val="0"/>
          <w:divBdr>
            <w:top w:val="none" w:sz="0" w:space="0" w:color="auto"/>
            <w:left w:val="none" w:sz="0" w:space="0" w:color="auto"/>
            <w:bottom w:val="none" w:sz="0" w:space="0" w:color="auto"/>
            <w:right w:val="none" w:sz="0" w:space="0" w:color="auto"/>
          </w:divBdr>
        </w:div>
        <w:div w:id="1169710644">
          <w:marLeft w:val="0"/>
          <w:marRight w:val="0"/>
          <w:marTop w:val="0"/>
          <w:marBottom w:val="0"/>
          <w:divBdr>
            <w:top w:val="none" w:sz="0" w:space="0" w:color="auto"/>
            <w:left w:val="none" w:sz="0" w:space="0" w:color="auto"/>
            <w:bottom w:val="none" w:sz="0" w:space="0" w:color="auto"/>
            <w:right w:val="none" w:sz="0" w:space="0" w:color="auto"/>
          </w:divBdr>
        </w:div>
        <w:div w:id="1178083159">
          <w:marLeft w:val="0"/>
          <w:marRight w:val="0"/>
          <w:marTop w:val="0"/>
          <w:marBottom w:val="0"/>
          <w:divBdr>
            <w:top w:val="none" w:sz="0" w:space="0" w:color="auto"/>
            <w:left w:val="none" w:sz="0" w:space="0" w:color="auto"/>
            <w:bottom w:val="none" w:sz="0" w:space="0" w:color="auto"/>
            <w:right w:val="none" w:sz="0" w:space="0" w:color="auto"/>
          </w:divBdr>
        </w:div>
        <w:div w:id="1230113828">
          <w:marLeft w:val="0"/>
          <w:marRight w:val="0"/>
          <w:marTop w:val="0"/>
          <w:marBottom w:val="0"/>
          <w:divBdr>
            <w:top w:val="none" w:sz="0" w:space="0" w:color="auto"/>
            <w:left w:val="none" w:sz="0" w:space="0" w:color="auto"/>
            <w:bottom w:val="none" w:sz="0" w:space="0" w:color="auto"/>
            <w:right w:val="none" w:sz="0" w:space="0" w:color="auto"/>
          </w:divBdr>
        </w:div>
        <w:div w:id="1275751154">
          <w:marLeft w:val="0"/>
          <w:marRight w:val="0"/>
          <w:marTop w:val="0"/>
          <w:marBottom w:val="0"/>
          <w:divBdr>
            <w:top w:val="none" w:sz="0" w:space="0" w:color="auto"/>
            <w:left w:val="none" w:sz="0" w:space="0" w:color="auto"/>
            <w:bottom w:val="none" w:sz="0" w:space="0" w:color="auto"/>
            <w:right w:val="none" w:sz="0" w:space="0" w:color="auto"/>
          </w:divBdr>
        </w:div>
        <w:div w:id="1358774860">
          <w:marLeft w:val="0"/>
          <w:marRight w:val="0"/>
          <w:marTop w:val="0"/>
          <w:marBottom w:val="0"/>
          <w:divBdr>
            <w:top w:val="none" w:sz="0" w:space="0" w:color="auto"/>
            <w:left w:val="none" w:sz="0" w:space="0" w:color="auto"/>
            <w:bottom w:val="none" w:sz="0" w:space="0" w:color="auto"/>
            <w:right w:val="none" w:sz="0" w:space="0" w:color="auto"/>
          </w:divBdr>
        </w:div>
        <w:div w:id="1455518000">
          <w:marLeft w:val="0"/>
          <w:marRight w:val="0"/>
          <w:marTop w:val="0"/>
          <w:marBottom w:val="0"/>
          <w:divBdr>
            <w:top w:val="none" w:sz="0" w:space="0" w:color="auto"/>
            <w:left w:val="none" w:sz="0" w:space="0" w:color="auto"/>
            <w:bottom w:val="none" w:sz="0" w:space="0" w:color="auto"/>
            <w:right w:val="none" w:sz="0" w:space="0" w:color="auto"/>
          </w:divBdr>
        </w:div>
        <w:div w:id="1503619733">
          <w:marLeft w:val="0"/>
          <w:marRight w:val="0"/>
          <w:marTop w:val="0"/>
          <w:marBottom w:val="0"/>
          <w:divBdr>
            <w:top w:val="none" w:sz="0" w:space="0" w:color="auto"/>
            <w:left w:val="none" w:sz="0" w:space="0" w:color="auto"/>
            <w:bottom w:val="none" w:sz="0" w:space="0" w:color="auto"/>
            <w:right w:val="none" w:sz="0" w:space="0" w:color="auto"/>
          </w:divBdr>
        </w:div>
        <w:div w:id="1793790565">
          <w:marLeft w:val="0"/>
          <w:marRight w:val="0"/>
          <w:marTop w:val="0"/>
          <w:marBottom w:val="0"/>
          <w:divBdr>
            <w:top w:val="none" w:sz="0" w:space="0" w:color="auto"/>
            <w:left w:val="none" w:sz="0" w:space="0" w:color="auto"/>
            <w:bottom w:val="none" w:sz="0" w:space="0" w:color="auto"/>
            <w:right w:val="none" w:sz="0" w:space="0" w:color="auto"/>
          </w:divBdr>
        </w:div>
        <w:div w:id="1922064884">
          <w:marLeft w:val="0"/>
          <w:marRight w:val="0"/>
          <w:marTop w:val="0"/>
          <w:marBottom w:val="0"/>
          <w:divBdr>
            <w:top w:val="none" w:sz="0" w:space="0" w:color="auto"/>
            <w:left w:val="none" w:sz="0" w:space="0" w:color="auto"/>
            <w:bottom w:val="none" w:sz="0" w:space="0" w:color="auto"/>
            <w:right w:val="none" w:sz="0" w:space="0" w:color="auto"/>
          </w:divBdr>
        </w:div>
        <w:div w:id="2018384673">
          <w:marLeft w:val="0"/>
          <w:marRight w:val="0"/>
          <w:marTop w:val="0"/>
          <w:marBottom w:val="0"/>
          <w:divBdr>
            <w:top w:val="none" w:sz="0" w:space="0" w:color="auto"/>
            <w:left w:val="none" w:sz="0" w:space="0" w:color="auto"/>
            <w:bottom w:val="none" w:sz="0" w:space="0" w:color="auto"/>
            <w:right w:val="none" w:sz="0" w:space="0" w:color="auto"/>
          </w:divBdr>
        </w:div>
        <w:div w:id="2119450520">
          <w:marLeft w:val="0"/>
          <w:marRight w:val="0"/>
          <w:marTop w:val="0"/>
          <w:marBottom w:val="0"/>
          <w:divBdr>
            <w:top w:val="none" w:sz="0" w:space="0" w:color="auto"/>
            <w:left w:val="none" w:sz="0" w:space="0" w:color="auto"/>
            <w:bottom w:val="none" w:sz="0" w:space="0" w:color="auto"/>
            <w:right w:val="none" w:sz="0" w:space="0" w:color="auto"/>
          </w:divBdr>
        </w:div>
      </w:divsChild>
    </w:div>
    <w:div w:id="1296108668">
      <w:bodyDiv w:val="1"/>
      <w:marLeft w:val="0"/>
      <w:marRight w:val="0"/>
      <w:marTop w:val="0"/>
      <w:marBottom w:val="0"/>
      <w:divBdr>
        <w:top w:val="none" w:sz="0" w:space="0" w:color="auto"/>
        <w:left w:val="none" w:sz="0" w:space="0" w:color="auto"/>
        <w:bottom w:val="none" w:sz="0" w:space="0" w:color="auto"/>
        <w:right w:val="none" w:sz="0" w:space="0" w:color="auto"/>
      </w:divBdr>
      <w:divsChild>
        <w:div w:id="74783694">
          <w:marLeft w:val="0"/>
          <w:marRight w:val="0"/>
          <w:marTop w:val="0"/>
          <w:marBottom w:val="0"/>
          <w:divBdr>
            <w:top w:val="none" w:sz="0" w:space="0" w:color="auto"/>
            <w:left w:val="none" w:sz="0" w:space="0" w:color="auto"/>
            <w:bottom w:val="none" w:sz="0" w:space="0" w:color="auto"/>
            <w:right w:val="none" w:sz="0" w:space="0" w:color="auto"/>
          </w:divBdr>
        </w:div>
        <w:div w:id="1346401067">
          <w:marLeft w:val="0"/>
          <w:marRight w:val="0"/>
          <w:marTop w:val="0"/>
          <w:marBottom w:val="0"/>
          <w:divBdr>
            <w:top w:val="none" w:sz="0" w:space="0" w:color="auto"/>
            <w:left w:val="none" w:sz="0" w:space="0" w:color="auto"/>
            <w:bottom w:val="none" w:sz="0" w:space="0" w:color="auto"/>
            <w:right w:val="none" w:sz="0" w:space="0" w:color="auto"/>
          </w:divBdr>
        </w:div>
        <w:div w:id="1568033624">
          <w:marLeft w:val="0"/>
          <w:marRight w:val="0"/>
          <w:marTop w:val="0"/>
          <w:marBottom w:val="0"/>
          <w:divBdr>
            <w:top w:val="none" w:sz="0" w:space="0" w:color="auto"/>
            <w:left w:val="none" w:sz="0" w:space="0" w:color="auto"/>
            <w:bottom w:val="none" w:sz="0" w:space="0" w:color="auto"/>
            <w:right w:val="none" w:sz="0" w:space="0" w:color="auto"/>
          </w:divBdr>
        </w:div>
      </w:divsChild>
    </w:div>
    <w:div w:id="1328091750">
      <w:bodyDiv w:val="1"/>
      <w:marLeft w:val="0"/>
      <w:marRight w:val="0"/>
      <w:marTop w:val="0"/>
      <w:marBottom w:val="0"/>
      <w:divBdr>
        <w:top w:val="none" w:sz="0" w:space="0" w:color="auto"/>
        <w:left w:val="none" w:sz="0" w:space="0" w:color="auto"/>
        <w:bottom w:val="none" w:sz="0" w:space="0" w:color="auto"/>
        <w:right w:val="none" w:sz="0" w:space="0" w:color="auto"/>
      </w:divBdr>
    </w:div>
    <w:div w:id="1338924947">
      <w:bodyDiv w:val="1"/>
      <w:marLeft w:val="0"/>
      <w:marRight w:val="0"/>
      <w:marTop w:val="0"/>
      <w:marBottom w:val="0"/>
      <w:divBdr>
        <w:top w:val="none" w:sz="0" w:space="0" w:color="auto"/>
        <w:left w:val="none" w:sz="0" w:space="0" w:color="auto"/>
        <w:bottom w:val="none" w:sz="0" w:space="0" w:color="auto"/>
        <w:right w:val="none" w:sz="0" w:space="0" w:color="auto"/>
      </w:divBdr>
    </w:div>
    <w:div w:id="1383866784">
      <w:bodyDiv w:val="1"/>
      <w:marLeft w:val="0"/>
      <w:marRight w:val="0"/>
      <w:marTop w:val="0"/>
      <w:marBottom w:val="0"/>
      <w:divBdr>
        <w:top w:val="none" w:sz="0" w:space="0" w:color="auto"/>
        <w:left w:val="none" w:sz="0" w:space="0" w:color="auto"/>
        <w:bottom w:val="none" w:sz="0" w:space="0" w:color="auto"/>
        <w:right w:val="none" w:sz="0" w:space="0" w:color="auto"/>
      </w:divBdr>
    </w:div>
    <w:div w:id="1410348780">
      <w:bodyDiv w:val="1"/>
      <w:marLeft w:val="0"/>
      <w:marRight w:val="0"/>
      <w:marTop w:val="0"/>
      <w:marBottom w:val="0"/>
      <w:divBdr>
        <w:top w:val="none" w:sz="0" w:space="0" w:color="auto"/>
        <w:left w:val="none" w:sz="0" w:space="0" w:color="auto"/>
        <w:bottom w:val="none" w:sz="0" w:space="0" w:color="auto"/>
        <w:right w:val="none" w:sz="0" w:space="0" w:color="auto"/>
      </w:divBdr>
    </w:div>
    <w:div w:id="1444307658">
      <w:bodyDiv w:val="1"/>
      <w:marLeft w:val="0"/>
      <w:marRight w:val="0"/>
      <w:marTop w:val="0"/>
      <w:marBottom w:val="0"/>
      <w:divBdr>
        <w:top w:val="none" w:sz="0" w:space="0" w:color="auto"/>
        <w:left w:val="none" w:sz="0" w:space="0" w:color="auto"/>
        <w:bottom w:val="none" w:sz="0" w:space="0" w:color="auto"/>
        <w:right w:val="none" w:sz="0" w:space="0" w:color="auto"/>
      </w:divBdr>
      <w:divsChild>
        <w:div w:id="242298155">
          <w:marLeft w:val="0"/>
          <w:marRight w:val="0"/>
          <w:marTop w:val="0"/>
          <w:marBottom w:val="0"/>
          <w:divBdr>
            <w:top w:val="none" w:sz="0" w:space="0" w:color="auto"/>
            <w:left w:val="none" w:sz="0" w:space="0" w:color="auto"/>
            <w:bottom w:val="none" w:sz="0" w:space="0" w:color="auto"/>
            <w:right w:val="none" w:sz="0" w:space="0" w:color="auto"/>
          </w:divBdr>
        </w:div>
        <w:div w:id="1354959505">
          <w:marLeft w:val="0"/>
          <w:marRight w:val="0"/>
          <w:marTop w:val="0"/>
          <w:marBottom w:val="0"/>
          <w:divBdr>
            <w:top w:val="none" w:sz="0" w:space="0" w:color="auto"/>
            <w:left w:val="none" w:sz="0" w:space="0" w:color="auto"/>
            <w:bottom w:val="none" w:sz="0" w:space="0" w:color="auto"/>
            <w:right w:val="none" w:sz="0" w:space="0" w:color="auto"/>
          </w:divBdr>
        </w:div>
        <w:div w:id="2006086187">
          <w:marLeft w:val="0"/>
          <w:marRight w:val="0"/>
          <w:marTop w:val="0"/>
          <w:marBottom w:val="0"/>
          <w:divBdr>
            <w:top w:val="none" w:sz="0" w:space="0" w:color="auto"/>
            <w:left w:val="none" w:sz="0" w:space="0" w:color="auto"/>
            <w:bottom w:val="none" w:sz="0" w:space="0" w:color="auto"/>
            <w:right w:val="none" w:sz="0" w:space="0" w:color="auto"/>
          </w:divBdr>
        </w:div>
      </w:divsChild>
    </w:div>
    <w:div w:id="1552032552">
      <w:bodyDiv w:val="1"/>
      <w:marLeft w:val="0"/>
      <w:marRight w:val="0"/>
      <w:marTop w:val="0"/>
      <w:marBottom w:val="0"/>
      <w:divBdr>
        <w:top w:val="none" w:sz="0" w:space="0" w:color="auto"/>
        <w:left w:val="none" w:sz="0" w:space="0" w:color="auto"/>
        <w:bottom w:val="none" w:sz="0" w:space="0" w:color="auto"/>
        <w:right w:val="none" w:sz="0" w:space="0" w:color="auto"/>
      </w:divBdr>
    </w:div>
    <w:div w:id="1665166292">
      <w:bodyDiv w:val="1"/>
      <w:marLeft w:val="0"/>
      <w:marRight w:val="0"/>
      <w:marTop w:val="0"/>
      <w:marBottom w:val="0"/>
      <w:divBdr>
        <w:top w:val="none" w:sz="0" w:space="0" w:color="auto"/>
        <w:left w:val="none" w:sz="0" w:space="0" w:color="auto"/>
        <w:bottom w:val="none" w:sz="0" w:space="0" w:color="auto"/>
        <w:right w:val="none" w:sz="0" w:space="0" w:color="auto"/>
      </w:divBdr>
      <w:divsChild>
        <w:div w:id="71975194">
          <w:marLeft w:val="0"/>
          <w:marRight w:val="0"/>
          <w:marTop w:val="0"/>
          <w:marBottom w:val="0"/>
          <w:divBdr>
            <w:top w:val="none" w:sz="0" w:space="0" w:color="auto"/>
            <w:left w:val="none" w:sz="0" w:space="0" w:color="auto"/>
            <w:bottom w:val="none" w:sz="0" w:space="0" w:color="auto"/>
            <w:right w:val="none" w:sz="0" w:space="0" w:color="auto"/>
          </w:divBdr>
        </w:div>
        <w:div w:id="94717259">
          <w:marLeft w:val="0"/>
          <w:marRight w:val="0"/>
          <w:marTop w:val="0"/>
          <w:marBottom w:val="0"/>
          <w:divBdr>
            <w:top w:val="none" w:sz="0" w:space="0" w:color="auto"/>
            <w:left w:val="none" w:sz="0" w:space="0" w:color="auto"/>
            <w:bottom w:val="none" w:sz="0" w:space="0" w:color="auto"/>
            <w:right w:val="none" w:sz="0" w:space="0" w:color="auto"/>
          </w:divBdr>
        </w:div>
        <w:div w:id="143358147">
          <w:marLeft w:val="0"/>
          <w:marRight w:val="0"/>
          <w:marTop w:val="0"/>
          <w:marBottom w:val="0"/>
          <w:divBdr>
            <w:top w:val="none" w:sz="0" w:space="0" w:color="auto"/>
            <w:left w:val="none" w:sz="0" w:space="0" w:color="auto"/>
            <w:bottom w:val="none" w:sz="0" w:space="0" w:color="auto"/>
            <w:right w:val="none" w:sz="0" w:space="0" w:color="auto"/>
          </w:divBdr>
        </w:div>
        <w:div w:id="167407557">
          <w:marLeft w:val="0"/>
          <w:marRight w:val="0"/>
          <w:marTop w:val="0"/>
          <w:marBottom w:val="0"/>
          <w:divBdr>
            <w:top w:val="none" w:sz="0" w:space="0" w:color="auto"/>
            <w:left w:val="none" w:sz="0" w:space="0" w:color="auto"/>
            <w:bottom w:val="none" w:sz="0" w:space="0" w:color="auto"/>
            <w:right w:val="none" w:sz="0" w:space="0" w:color="auto"/>
          </w:divBdr>
        </w:div>
        <w:div w:id="168297615">
          <w:marLeft w:val="0"/>
          <w:marRight w:val="0"/>
          <w:marTop w:val="0"/>
          <w:marBottom w:val="0"/>
          <w:divBdr>
            <w:top w:val="none" w:sz="0" w:space="0" w:color="auto"/>
            <w:left w:val="none" w:sz="0" w:space="0" w:color="auto"/>
            <w:bottom w:val="none" w:sz="0" w:space="0" w:color="auto"/>
            <w:right w:val="none" w:sz="0" w:space="0" w:color="auto"/>
          </w:divBdr>
        </w:div>
        <w:div w:id="195192427">
          <w:marLeft w:val="0"/>
          <w:marRight w:val="0"/>
          <w:marTop w:val="0"/>
          <w:marBottom w:val="0"/>
          <w:divBdr>
            <w:top w:val="none" w:sz="0" w:space="0" w:color="auto"/>
            <w:left w:val="none" w:sz="0" w:space="0" w:color="auto"/>
            <w:bottom w:val="none" w:sz="0" w:space="0" w:color="auto"/>
            <w:right w:val="none" w:sz="0" w:space="0" w:color="auto"/>
          </w:divBdr>
        </w:div>
        <w:div w:id="238444646">
          <w:marLeft w:val="0"/>
          <w:marRight w:val="0"/>
          <w:marTop w:val="0"/>
          <w:marBottom w:val="0"/>
          <w:divBdr>
            <w:top w:val="none" w:sz="0" w:space="0" w:color="auto"/>
            <w:left w:val="none" w:sz="0" w:space="0" w:color="auto"/>
            <w:bottom w:val="none" w:sz="0" w:space="0" w:color="auto"/>
            <w:right w:val="none" w:sz="0" w:space="0" w:color="auto"/>
          </w:divBdr>
        </w:div>
        <w:div w:id="251161340">
          <w:marLeft w:val="0"/>
          <w:marRight w:val="0"/>
          <w:marTop w:val="0"/>
          <w:marBottom w:val="0"/>
          <w:divBdr>
            <w:top w:val="none" w:sz="0" w:space="0" w:color="auto"/>
            <w:left w:val="none" w:sz="0" w:space="0" w:color="auto"/>
            <w:bottom w:val="none" w:sz="0" w:space="0" w:color="auto"/>
            <w:right w:val="none" w:sz="0" w:space="0" w:color="auto"/>
          </w:divBdr>
        </w:div>
        <w:div w:id="264195389">
          <w:marLeft w:val="0"/>
          <w:marRight w:val="0"/>
          <w:marTop w:val="0"/>
          <w:marBottom w:val="0"/>
          <w:divBdr>
            <w:top w:val="none" w:sz="0" w:space="0" w:color="auto"/>
            <w:left w:val="none" w:sz="0" w:space="0" w:color="auto"/>
            <w:bottom w:val="none" w:sz="0" w:space="0" w:color="auto"/>
            <w:right w:val="none" w:sz="0" w:space="0" w:color="auto"/>
          </w:divBdr>
        </w:div>
        <w:div w:id="285817193">
          <w:marLeft w:val="0"/>
          <w:marRight w:val="0"/>
          <w:marTop w:val="0"/>
          <w:marBottom w:val="0"/>
          <w:divBdr>
            <w:top w:val="none" w:sz="0" w:space="0" w:color="auto"/>
            <w:left w:val="none" w:sz="0" w:space="0" w:color="auto"/>
            <w:bottom w:val="none" w:sz="0" w:space="0" w:color="auto"/>
            <w:right w:val="none" w:sz="0" w:space="0" w:color="auto"/>
          </w:divBdr>
        </w:div>
        <w:div w:id="289476734">
          <w:marLeft w:val="0"/>
          <w:marRight w:val="0"/>
          <w:marTop w:val="0"/>
          <w:marBottom w:val="0"/>
          <w:divBdr>
            <w:top w:val="none" w:sz="0" w:space="0" w:color="auto"/>
            <w:left w:val="none" w:sz="0" w:space="0" w:color="auto"/>
            <w:bottom w:val="none" w:sz="0" w:space="0" w:color="auto"/>
            <w:right w:val="none" w:sz="0" w:space="0" w:color="auto"/>
          </w:divBdr>
        </w:div>
        <w:div w:id="373431706">
          <w:marLeft w:val="0"/>
          <w:marRight w:val="0"/>
          <w:marTop w:val="0"/>
          <w:marBottom w:val="0"/>
          <w:divBdr>
            <w:top w:val="none" w:sz="0" w:space="0" w:color="auto"/>
            <w:left w:val="none" w:sz="0" w:space="0" w:color="auto"/>
            <w:bottom w:val="none" w:sz="0" w:space="0" w:color="auto"/>
            <w:right w:val="none" w:sz="0" w:space="0" w:color="auto"/>
          </w:divBdr>
        </w:div>
        <w:div w:id="423310609">
          <w:marLeft w:val="0"/>
          <w:marRight w:val="0"/>
          <w:marTop w:val="0"/>
          <w:marBottom w:val="0"/>
          <w:divBdr>
            <w:top w:val="none" w:sz="0" w:space="0" w:color="auto"/>
            <w:left w:val="none" w:sz="0" w:space="0" w:color="auto"/>
            <w:bottom w:val="none" w:sz="0" w:space="0" w:color="auto"/>
            <w:right w:val="none" w:sz="0" w:space="0" w:color="auto"/>
          </w:divBdr>
        </w:div>
        <w:div w:id="464200695">
          <w:marLeft w:val="0"/>
          <w:marRight w:val="0"/>
          <w:marTop w:val="0"/>
          <w:marBottom w:val="0"/>
          <w:divBdr>
            <w:top w:val="none" w:sz="0" w:space="0" w:color="auto"/>
            <w:left w:val="none" w:sz="0" w:space="0" w:color="auto"/>
            <w:bottom w:val="none" w:sz="0" w:space="0" w:color="auto"/>
            <w:right w:val="none" w:sz="0" w:space="0" w:color="auto"/>
          </w:divBdr>
        </w:div>
        <w:div w:id="491147355">
          <w:marLeft w:val="0"/>
          <w:marRight w:val="0"/>
          <w:marTop w:val="0"/>
          <w:marBottom w:val="0"/>
          <w:divBdr>
            <w:top w:val="none" w:sz="0" w:space="0" w:color="auto"/>
            <w:left w:val="none" w:sz="0" w:space="0" w:color="auto"/>
            <w:bottom w:val="none" w:sz="0" w:space="0" w:color="auto"/>
            <w:right w:val="none" w:sz="0" w:space="0" w:color="auto"/>
          </w:divBdr>
        </w:div>
        <w:div w:id="577902704">
          <w:marLeft w:val="0"/>
          <w:marRight w:val="0"/>
          <w:marTop w:val="0"/>
          <w:marBottom w:val="0"/>
          <w:divBdr>
            <w:top w:val="none" w:sz="0" w:space="0" w:color="auto"/>
            <w:left w:val="none" w:sz="0" w:space="0" w:color="auto"/>
            <w:bottom w:val="none" w:sz="0" w:space="0" w:color="auto"/>
            <w:right w:val="none" w:sz="0" w:space="0" w:color="auto"/>
          </w:divBdr>
        </w:div>
        <w:div w:id="614990546">
          <w:marLeft w:val="0"/>
          <w:marRight w:val="0"/>
          <w:marTop w:val="0"/>
          <w:marBottom w:val="0"/>
          <w:divBdr>
            <w:top w:val="none" w:sz="0" w:space="0" w:color="auto"/>
            <w:left w:val="none" w:sz="0" w:space="0" w:color="auto"/>
            <w:bottom w:val="none" w:sz="0" w:space="0" w:color="auto"/>
            <w:right w:val="none" w:sz="0" w:space="0" w:color="auto"/>
          </w:divBdr>
        </w:div>
        <w:div w:id="633559639">
          <w:marLeft w:val="0"/>
          <w:marRight w:val="0"/>
          <w:marTop w:val="0"/>
          <w:marBottom w:val="0"/>
          <w:divBdr>
            <w:top w:val="none" w:sz="0" w:space="0" w:color="auto"/>
            <w:left w:val="none" w:sz="0" w:space="0" w:color="auto"/>
            <w:bottom w:val="none" w:sz="0" w:space="0" w:color="auto"/>
            <w:right w:val="none" w:sz="0" w:space="0" w:color="auto"/>
          </w:divBdr>
        </w:div>
        <w:div w:id="692388816">
          <w:marLeft w:val="0"/>
          <w:marRight w:val="0"/>
          <w:marTop w:val="0"/>
          <w:marBottom w:val="0"/>
          <w:divBdr>
            <w:top w:val="none" w:sz="0" w:space="0" w:color="auto"/>
            <w:left w:val="none" w:sz="0" w:space="0" w:color="auto"/>
            <w:bottom w:val="none" w:sz="0" w:space="0" w:color="auto"/>
            <w:right w:val="none" w:sz="0" w:space="0" w:color="auto"/>
          </w:divBdr>
        </w:div>
        <w:div w:id="700974997">
          <w:marLeft w:val="0"/>
          <w:marRight w:val="0"/>
          <w:marTop w:val="0"/>
          <w:marBottom w:val="0"/>
          <w:divBdr>
            <w:top w:val="none" w:sz="0" w:space="0" w:color="auto"/>
            <w:left w:val="none" w:sz="0" w:space="0" w:color="auto"/>
            <w:bottom w:val="none" w:sz="0" w:space="0" w:color="auto"/>
            <w:right w:val="none" w:sz="0" w:space="0" w:color="auto"/>
          </w:divBdr>
        </w:div>
        <w:div w:id="758480428">
          <w:marLeft w:val="0"/>
          <w:marRight w:val="0"/>
          <w:marTop w:val="0"/>
          <w:marBottom w:val="0"/>
          <w:divBdr>
            <w:top w:val="none" w:sz="0" w:space="0" w:color="auto"/>
            <w:left w:val="none" w:sz="0" w:space="0" w:color="auto"/>
            <w:bottom w:val="none" w:sz="0" w:space="0" w:color="auto"/>
            <w:right w:val="none" w:sz="0" w:space="0" w:color="auto"/>
          </w:divBdr>
        </w:div>
        <w:div w:id="814761938">
          <w:marLeft w:val="0"/>
          <w:marRight w:val="0"/>
          <w:marTop w:val="0"/>
          <w:marBottom w:val="0"/>
          <w:divBdr>
            <w:top w:val="none" w:sz="0" w:space="0" w:color="auto"/>
            <w:left w:val="none" w:sz="0" w:space="0" w:color="auto"/>
            <w:bottom w:val="none" w:sz="0" w:space="0" w:color="auto"/>
            <w:right w:val="none" w:sz="0" w:space="0" w:color="auto"/>
          </w:divBdr>
        </w:div>
        <w:div w:id="827212179">
          <w:marLeft w:val="0"/>
          <w:marRight w:val="0"/>
          <w:marTop w:val="0"/>
          <w:marBottom w:val="0"/>
          <w:divBdr>
            <w:top w:val="none" w:sz="0" w:space="0" w:color="auto"/>
            <w:left w:val="none" w:sz="0" w:space="0" w:color="auto"/>
            <w:bottom w:val="none" w:sz="0" w:space="0" w:color="auto"/>
            <w:right w:val="none" w:sz="0" w:space="0" w:color="auto"/>
          </w:divBdr>
        </w:div>
        <w:div w:id="850408634">
          <w:marLeft w:val="0"/>
          <w:marRight w:val="0"/>
          <w:marTop w:val="0"/>
          <w:marBottom w:val="0"/>
          <w:divBdr>
            <w:top w:val="none" w:sz="0" w:space="0" w:color="auto"/>
            <w:left w:val="none" w:sz="0" w:space="0" w:color="auto"/>
            <w:bottom w:val="none" w:sz="0" w:space="0" w:color="auto"/>
            <w:right w:val="none" w:sz="0" w:space="0" w:color="auto"/>
          </w:divBdr>
        </w:div>
        <w:div w:id="869732155">
          <w:marLeft w:val="0"/>
          <w:marRight w:val="0"/>
          <w:marTop w:val="0"/>
          <w:marBottom w:val="0"/>
          <w:divBdr>
            <w:top w:val="none" w:sz="0" w:space="0" w:color="auto"/>
            <w:left w:val="none" w:sz="0" w:space="0" w:color="auto"/>
            <w:bottom w:val="none" w:sz="0" w:space="0" w:color="auto"/>
            <w:right w:val="none" w:sz="0" w:space="0" w:color="auto"/>
          </w:divBdr>
        </w:div>
        <w:div w:id="880941183">
          <w:marLeft w:val="0"/>
          <w:marRight w:val="0"/>
          <w:marTop w:val="0"/>
          <w:marBottom w:val="0"/>
          <w:divBdr>
            <w:top w:val="none" w:sz="0" w:space="0" w:color="auto"/>
            <w:left w:val="none" w:sz="0" w:space="0" w:color="auto"/>
            <w:bottom w:val="none" w:sz="0" w:space="0" w:color="auto"/>
            <w:right w:val="none" w:sz="0" w:space="0" w:color="auto"/>
          </w:divBdr>
        </w:div>
        <w:div w:id="882248509">
          <w:marLeft w:val="0"/>
          <w:marRight w:val="0"/>
          <w:marTop w:val="0"/>
          <w:marBottom w:val="0"/>
          <w:divBdr>
            <w:top w:val="none" w:sz="0" w:space="0" w:color="auto"/>
            <w:left w:val="none" w:sz="0" w:space="0" w:color="auto"/>
            <w:bottom w:val="none" w:sz="0" w:space="0" w:color="auto"/>
            <w:right w:val="none" w:sz="0" w:space="0" w:color="auto"/>
          </w:divBdr>
        </w:div>
        <w:div w:id="932206085">
          <w:marLeft w:val="0"/>
          <w:marRight w:val="0"/>
          <w:marTop w:val="0"/>
          <w:marBottom w:val="0"/>
          <w:divBdr>
            <w:top w:val="none" w:sz="0" w:space="0" w:color="auto"/>
            <w:left w:val="none" w:sz="0" w:space="0" w:color="auto"/>
            <w:bottom w:val="none" w:sz="0" w:space="0" w:color="auto"/>
            <w:right w:val="none" w:sz="0" w:space="0" w:color="auto"/>
          </w:divBdr>
        </w:div>
        <w:div w:id="940916218">
          <w:marLeft w:val="0"/>
          <w:marRight w:val="0"/>
          <w:marTop w:val="0"/>
          <w:marBottom w:val="0"/>
          <w:divBdr>
            <w:top w:val="none" w:sz="0" w:space="0" w:color="auto"/>
            <w:left w:val="none" w:sz="0" w:space="0" w:color="auto"/>
            <w:bottom w:val="none" w:sz="0" w:space="0" w:color="auto"/>
            <w:right w:val="none" w:sz="0" w:space="0" w:color="auto"/>
          </w:divBdr>
        </w:div>
        <w:div w:id="969092233">
          <w:marLeft w:val="0"/>
          <w:marRight w:val="0"/>
          <w:marTop w:val="0"/>
          <w:marBottom w:val="0"/>
          <w:divBdr>
            <w:top w:val="none" w:sz="0" w:space="0" w:color="auto"/>
            <w:left w:val="none" w:sz="0" w:space="0" w:color="auto"/>
            <w:bottom w:val="none" w:sz="0" w:space="0" w:color="auto"/>
            <w:right w:val="none" w:sz="0" w:space="0" w:color="auto"/>
          </w:divBdr>
        </w:div>
        <w:div w:id="1022244982">
          <w:marLeft w:val="0"/>
          <w:marRight w:val="0"/>
          <w:marTop w:val="0"/>
          <w:marBottom w:val="0"/>
          <w:divBdr>
            <w:top w:val="none" w:sz="0" w:space="0" w:color="auto"/>
            <w:left w:val="none" w:sz="0" w:space="0" w:color="auto"/>
            <w:bottom w:val="none" w:sz="0" w:space="0" w:color="auto"/>
            <w:right w:val="none" w:sz="0" w:space="0" w:color="auto"/>
          </w:divBdr>
        </w:div>
        <w:div w:id="1038050641">
          <w:marLeft w:val="0"/>
          <w:marRight w:val="0"/>
          <w:marTop w:val="0"/>
          <w:marBottom w:val="0"/>
          <w:divBdr>
            <w:top w:val="none" w:sz="0" w:space="0" w:color="auto"/>
            <w:left w:val="none" w:sz="0" w:space="0" w:color="auto"/>
            <w:bottom w:val="none" w:sz="0" w:space="0" w:color="auto"/>
            <w:right w:val="none" w:sz="0" w:space="0" w:color="auto"/>
          </w:divBdr>
        </w:div>
        <w:div w:id="1050230397">
          <w:marLeft w:val="0"/>
          <w:marRight w:val="0"/>
          <w:marTop w:val="0"/>
          <w:marBottom w:val="0"/>
          <w:divBdr>
            <w:top w:val="none" w:sz="0" w:space="0" w:color="auto"/>
            <w:left w:val="none" w:sz="0" w:space="0" w:color="auto"/>
            <w:bottom w:val="none" w:sz="0" w:space="0" w:color="auto"/>
            <w:right w:val="none" w:sz="0" w:space="0" w:color="auto"/>
          </w:divBdr>
        </w:div>
        <w:div w:id="1051072926">
          <w:marLeft w:val="0"/>
          <w:marRight w:val="0"/>
          <w:marTop w:val="0"/>
          <w:marBottom w:val="0"/>
          <w:divBdr>
            <w:top w:val="none" w:sz="0" w:space="0" w:color="auto"/>
            <w:left w:val="none" w:sz="0" w:space="0" w:color="auto"/>
            <w:bottom w:val="none" w:sz="0" w:space="0" w:color="auto"/>
            <w:right w:val="none" w:sz="0" w:space="0" w:color="auto"/>
          </w:divBdr>
        </w:div>
        <w:div w:id="1061833438">
          <w:marLeft w:val="0"/>
          <w:marRight w:val="0"/>
          <w:marTop w:val="0"/>
          <w:marBottom w:val="0"/>
          <w:divBdr>
            <w:top w:val="none" w:sz="0" w:space="0" w:color="auto"/>
            <w:left w:val="none" w:sz="0" w:space="0" w:color="auto"/>
            <w:bottom w:val="none" w:sz="0" w:space="0" w:color="auto"/>
            <w:right w:val="none" w:sz="0" w:space="0" w:color="auto"/>
          </w:divBdr>
        </w:div>
        <w:div w:id="1061976604">
          <w:marLeft w:val="0"/>
          <w:marRight w:val="0"/>
          <w:marTop w:val="0"/>
          <w:marBottom w:val="0"/>
          <w:divBdr>
            <w:top w:val="none" w:sz="0" w:space="0" w:color="auto"/>
            <w:left w:val="none" w:sz="0" w:space="0" w:color="auto"/>
            <w:bottom w:val="none" w:sz="0" w:space="0" w:color="auto"/>
            <w:right w:val="none" w:sz="0" w:space="0" w:color="auto"/>
          </w:divBdr>
        </w:div>
        <w:div w:id="1073507497">
          <w:marLeft w:val="0"/>
          <w:marRight w:val="0"/>
          <w:marTop w:val="0"/>
          <w:marBottom w:val="0"/>
          <w:divBdr>
            <w:top w:val="none" w:sz="0" w:space="0" w:color="auto"/>
            <w:left w:val="none" w:sz="0" w:space="0" w:color="auto"/>
            <w:bottom w:val="none" w:sz="0" w:space="0" w:color="auto"/>
            <w:right w:val="none" w:sz="0" w:space="0" w:color="auto"/>
          </w:divBdr>
        </w:div>
        <w:div w:id="1101030439">
          <w:marLeft w:val="0"/>
          <w:marRight w:val="0"/>
          <w:marTop w:val="0"/>
          <w:marBottom w:val="0"/>
          <w:divBdr>
            <w:top w:val="none" w:sz="0" w:space="0" w:color="auto"/>
            <w:left w:val="none" w:sz="0" w:space="0" w:color="auto"/>
            <w:bottom w:val="none" w:sz="0" w:space="0" w:color="auto"/>
            <w:right w:val="none" w:sz="0" w:space="0" w:color="auto"/>
          </w:divBdr>
        </w:div>
        <w:div w:id="1150176781">
          <w:marLeft w:val="0"/>
          <w:marRight w:val="0"/>
          <w:marTop w:val="0"/>
          <w:marBottom w:val="0"/>
          <w:divBdr>
            <w:top w:val="none" w:sz="0" w:space="0" w:color="auto"/>
            <w:left w:val="none" w:sz="0" w:space="0" w:color="auto"/>
            <w:bottom w:val="none" w:sz="0" w:space="0" w:color="auto"/>
            <w:right w:val="none" w:sz="0" w:space="0" w:color="auto"/>
          </w:divBdr>
        </w:div>
        <w:div w:id="1192495899">
          <w:marLeft w:val="0"/>
          <w:marRight w:val="0"/>
          <w:marTop w:val="0"/>
          <w:marBottom w:val="0"/>
          <w:divBdr>
            <w:top w:val="none" w:sz="0" w:space="0" w:color="auto"/>
            <w:left w:val="none" w:sz="0" w:space="0" w:color="auto"/>
            <w:bottom w:val="none" w:sz="0" w:space="0" w:color="auto"/>
            <w:right w:val="none" w:sz="0" w:space="0" w:color="auto"/>
          </w:divBdr>
        </w:div>
        <w:div w:id="1214074285">
          <w:marLeft w:val="0"/>
          <w:marRight w:val="0"/>
          <w:marTop w:val="0"/>
          <w:marBottom w:val="0"/>
          <w:divBdr>
            <w:top w:val="none" w:sz="0" w:space="0" w:color="auto"/>
            <w:left w:val="none" w:sz="0" w:space="0" w:color="auto"/>
            <w:bottom w:val="none" w:sz="0" w:space="0" w:color="auto"/>
            <w:right w:val="none" w:sz="0" w:space="0" w:color="auto"/>
          </w:divBdr>
        </w:div>
        <w:div w:id="1281642743">
          <w:marLeft w:val="0"/>
          <w:marRight w:val="0"/>
          <w:marTop w:val="0"/>
          <w:marBottom w:val="0"/>
          <w:divBdr>
            <w:top w:val="none" w:sz="0" w:space="0" w:color="auto"/>
            <w:left w:val="none" w:sz="0" w:space="0" w:color="auto"/>
            <w:bottom w:val="none" w:sz="0" w:space="0" w:color="auto"/>
            <w:right w:val="none" w:sz="0" w:space="0" w:color="auto"/>
          </w:divBdr>
        </w:div>
        <w:div w:id="1317537608">
          <w:marLeft w:val="0"/>
          <w:marRight w:val="0"/>
          <w:marTop w:val="0"/>
          <w:marBottom w:val="0"/>
          <w:divBdr>
            <w:top w:val="none" w:sz="0" w:space="0" w:color="auto"/>
            <w:left w:val="none" w:sz="0" w:space="0" w:color="auto"/>
            <w:bottom w:val="none" w:sz="0" w:space="0" w:color="auto"/>
            <w:right w:val="none" w:sz="0" w:space="0" w:color="auto"/>
          </w:divBdr>
        </w:div>
        <w:div w:id="1345984465">
          <w:marLeft w:val="0"/>
          <w:marRight w:val="0"/>
          <w:marTop w:val="0"/>
          <w:marBottom w:val="0"/>
          <w:divBdr>
            <w:top w:val="none" w:sz="0" w:space="0" w:color="auto"/>
            <w:left w:val="none" w:sz="0" w:space="0" w:color="auto"/>
            <w:bottom w:val="none" w:sz="0" w:space="0" w:color="auto"/>
            <w:right w:val="none" w:sz="0" w:space="0" w:color="auto"/>
          </w:divBdr>
        </w:div>
        <w:div w:id="1364743999">
          <w:marLeft w:val="0"/>
          <w:marRight w:val="0"/>
          <w:marTop w:val="0"/>
          <w:marBottom w:val="0"/>
          <w:divBdr>
            <w:top w:val="none" w:sz="0" w:space="0" w:color="auto"/>
            <w:left w:val="none" w:sz="0" w:space="0" w:color="auto"/>
            <w:bottom w:val="none" w:sz="0" w:space="0" w:color="auto"/>
            <w:right w:val="none" w:sz="0" w:space="0" w:color="auto"/>
          </w:divBdr>
        </w:div>
        <w:div w:id="1372610066">
          <w:marLeft w:val="0"/>
          <w:marRight w:val="0"/>
          <w:marTop w:val="0"/>
          <w:marBottom w:val="0"/>
          <w:divBdr>
            <w:top w:val="none" w:sz="0" w:space="0" w:color="auto"/>
            <w:left w:val="none" w:sz="0" w:space="0" w:color="auto"/>
            <w:bottom w:val="none" w:sz="0" w:space="0" w:color="auto"/>
            <w:right w:val="none" w:sz="0" w:space="0" w:color="auto"/>
          </w:divBdr>
        </w:div>
        <w:div w:id="1397125840">
          <w:marLeft w:val="0"/>
          <w:marRight w:val="0"/>
          <w:marTop w:val="0"/>
          <w:marBottom w:val="0"/>
          <w:divBdr>
            <w:top w:val="none" w:sz="0" w:space="0" w:color="auto"/>
            <w:left w:val="none" w:sz="0" w:space="0" w:color="auto"/>
            <w:bottom w:val="none" w:sz="0" w:space="0" w:color="auto"/>
            <w:right w:val="none" w:sz="0" w:space="0" w:color="auto"/>
          </w:divBdr>
        </w:div>
        <w:div w:id="1491019859">
          <w:marLeft w:val="0"/>
          <w:marRight w:val="0"/>
          <w:marTop w:val="0"/>
          <w:marBottom w:val="0"/>
          <w:divBdr>
            <w:top w:val="none" w:sz="0" w:space="0" w:color="auto"/>
            <w:left w:val="none" w:sz="0" w:space="0" w:color="auto"/>
            <w:bottom w:val="none" w:sz="0" w:space="0" w:color="auto"/>
            <w:right w:val="none" w:sz="0" w:space="0" w:color="auto"/>
          </w:divBdr>
        </w:div>
        <w:div w:id="1566184289">
          <w:marLeft w:val="0"/>
          <w:marRight w:val="0"/>
          <w:marTop w:val="0"/>
          <w:marBottom w:val="0"/>
          <w:divBdr>
            <w:top w:val="none" w:sz="0" w:space="0" w:color="auto"/>
            <w:left w:val="none" w:sz="0" w:space="0" w:color="auto"/>
            <w:bottom w:val="none" w:sz="0" w:space="0" w:color="auto"/>
            <w:right w:val="none" w:sz="0" w:space="0" w:color="auto"/>
          </w:divBdr>
        </w:div>
        <w:div w:id="1643926530">
          <w:marLeft w:val="0"/>
          <w:marRight w:val="0"/>
          <w:marTop w:val="0"/>
          <w:marBottom w:val="0"/>
          <w:divBdr>
            <w:top w:val="none" w:sz="0" w:space="0" w:color="auto"/>
            <w:left w:val="none" w:sz="0" w:space="0" w:color="auto"/>
            <w:bottom w:val="none" w:sz="0" w:space="0" w:color="auto"/>
            <w:right w:val="none" w:sz="0" w:space="0" w:color="auto"/>
          </w:divBdr>
        </w:div>
        <w:div w:id="1645231551">
          <w:marLeft w:val="0"/>
          <w:marRight w:val="0"/>
          <w:marTop w:val="0"/>
          <w:marBottom w:val="0"/>
          <w:divBdr>
            <w:top w:val="none" w:sz="0" w:space="0" w:color="auto"/>
            <w:left w:val="none" w:sz="0" w:space="0" w:color="auto"/>
            <w:bottom w:val="none" w:sz="0" w:space="0" w:color="auto"/>
            <w:right w:val="none" w:sz="0" w:space="0" w:color="auto"/>
          </w:divBdr>
        </w:div>
        <w:div w:id="1668050868">
          <w:marLeft w:val="0"/>
          <w:marRight w:val="0"/>
          <w:marTop w:val="0"/>
          <w:marBottom w:val="0"/>
          <w:divBdr>
            <w:top w:val="none" w:sz="0" w:space="0" w:color="auto"/>
            <w:left w:val="none" w:sz="0" w:space="0" w:color="auto"/>
            <w:bottom w:val="none" w:sz="0" w:space="0" w:color="auto"/>
            <w:right w:val="none" w:sz="0" w:space="0" w:color="auto"/>
          </w:divBdr>
        </w:div>
        <w:div w:id="1676034400">
          <w:marLeft w:val="0"/>
          <w:marRight w:val="0"/>
          <w:marTop w:val="0"/>
          <w:marBottom w:val="0"/>
          <w:divBdr>
            <w:top w:val="none" w:sz="0" w:space="0" w:color="auto"/>
            <w:left w:val="none" w:sz="0" w:space="0" w:color="auto"/>
            <w:bottom w:val="none" w:sz="0" w:space="0" w:color="auto"/>
            <w:right w:val="none" w:sz="0" w:space="0" w:color="auto"/>
          </w:divBdr>
        </w:div>
        <w:div w:id="1681277156">
          <w:marLeft w:val="0"/>
          <w:marRight w:val="0"/>
          <w:marTop w:val="0"/>
          <w:marBottom w:val="0"/>
          <w:divBdr>
            <w:top w:val="none" w:sz="0" w:space="0" w:color="auto"/>
            <w:left w:val="none" w:sz="0" w:space="0" w:color="auto"/>
            <w:bottom w:val="none" w:sz="0" w:space="0" w:color="auto"/>
            <w:right w:val="none" w:sz="0" w:space="0" w:color="auto"/>
          </w:divBdr>
        </w:div>
        <w:div w:id="1687293844">
          <w:marLeft w:val="0"/>
          <w:marRight w:val="0"/>
          <w:marTop w:val="0"/>
          <w:marBottom w:val="0"/>
          <w:divBdr>
            <w:top w:val="none" w:sz="0" w:space="0" w:color="auto"/>
            <w:left w:val="none" w:sz="0" w:space="0" w:color="auto"/>
            <w:bottom w:val="none" w:sz="0" w:space="0" w:color="auto"/>
            <w:right w:val="none" w:sz="0" w:space="0" w:color="auto"/>
          </w:divBdr>
        </w:div>
        <w:div w:id="1688365655">
          <w:marLeft w:val="0"/>
          <w:marRight w:val="0"/>
          <w:marTop w:val="0"/>
          <w:marBottom w:val="0"/>
          <w:divBdr>
            <w:top w:val="none" w:sz="0" w:space="0" w:color="auto"/>
            <w:left w:val="none" w:sz="0" w:space="0" w:color="auto"/>
            <w:bottom w:val="none" w:sz="0" w:space="0" w:color="auto"/>
            <w:right w:val="none" w:sz="0" w:space="0" w:color="auto"/>
          </w:divBdr>
        </w:div>
        <w:div w:id="1698509974">
          <w:marLeft w:val="0"/>
          <w:marRight w:val="0"/>
          <w:marTop w:val="0"/>
          <w:marBottom w:val="0"/>
          <w:divBdr>
            <w:top w:val="none" w:sz="0" w:space="0" w:color="auto"/>
            <w:left w:val="none" w:sz="0" w:space="0" w:color="auto"/>
            <w:bottom w:val="none" w:sz="0" w:space="0" w:color="auto"/>
            <w:right w:val="none" w:sz="0" w:space="0" w:color="auto"/>
          </w:divBdr>
        </w:div>
        <w:div w:id="1765177616">
          <w:marLeft w:val="0"/>
          <w:marRight w:val="0"/>
          <w:marTop w:val="0"/>
          <w:marBottom w:val="0"/>
          <w:divBdr>
            <w:top w:val="none" w:sz="0" w:space="0" w:color="auto"/>
            <w:left w:val="none" w:sz="0" w:space="0" w:color="auto"/>
            <w:bottom w:val="none" w:sz="0" w:space="0" w:color="auto"/>
            <w:right w:val="none" w:sz="0" w:space="0" w:color="auto"/>
          </w:divBdr>
        </w:div>
        <w:div w:id="1769615161">
          <w:marLeft w:val="0"/>
          <w:marRight w:val="0"/>
          <w:marTop w:val="0"/>
          <w:marBottom w:val="0"/>
          <w:divBdr>
            <w:top w:val="none" w:sz="0" w:space="0" w:color="auto"/>
            <w:left w:val="none" w:sz="0" w:space="0" w:color="auto"/>
            <w:bottom w:val="none" w:sz="0" w:space="0" w:color="auto"/>
            <w:right w:val="none" w:sz="0" w:space="0" w:color="auto"/>
          </w:divBdr>
        </w:div>
        <w:div w:id="1832208085">
          <w:marLeft w:val="0"/>
          <w:marRight w:val="0"/>
          <w:marTop w:val="0"/>
          <w:marBottom w:val="0"/>
          <w:divBdr>
            <w:top w:val="none" w:sz="0" w:space="0" w:color="auto"/>
            <w:left w:val="none" w:sz="0" w:space="0" w:color="auto"/>
            <w:bottom w:val="none" w:sz="0" w:space="0" w:color="auto"/>
            <w:right w:val="none" w:sz="0" w:space="0" w:color="auto"/>
          </w:divBdr>
        </w:div>
        <w:div w:id="1838038481">
          <w:marLeft w:val="0"/>
          <w:marRight w:val="0"/>
          <w:marTop w:val="0"/>
          <w:marBottom w:val="0"/>
          <w:divBdr>
            <w:top w:val="none" w:sz="0" w:space="0" w:color="auto"/>
            <w:left w:val="none" w:sz="0" w:space="0" w:color="auto"/>
            <w:bottom w:val="none" w:sz="0" w:space="0" w:color="auto"/>
            <w:right w:val="none" w:sz="0" w:space="0" w:color="auto"/>
          </w:divBdr>
        </w:div>
        <w:div w:id="1877353588">
          <w:marLeft w:val="0"/>
          <w:marRight w:val="0"/>
          <w:marTop w:val="0"/>
          <w:marBottom w:val="0"/>
          <w:divBdr>
            <w:top w:val="none" w:sz="0" w:space="0" w:color="auto"/>
            <w:left w:val="none" w:sz="0" w:space="0" w:color="auto"/>
            <w:bottom w:val="none" w:sz="0" w:space="0" w:color="auto"/>
            <w:right w:val="none" w:sz="0" w:space="0" w:color="auto"/>
          </w:divBdr>
        </w:div>
        <w:div w:id="1878200324">
          <w:marLeft w:val="0"/>
          <w:marRight w:val="0"/>
          <w:marTop w:val="0"/>
          <w:marBottom w:val="0"/>
          <w:divBdr>
            <w:top w:val="none" w:sz="0" w:space="0" w:color="auto"/>
            <w:left w:val="none" w:sz="0" w:space="0" w:color="auto"/>
            <w:bottom w:val="none" w:sz="0" w:space="0" w:color="auto"/>
            <w:right w:val="none" w:sz="0" w:space="0" w:color="auto"/>
          </w:divBdr>
        </w:div>
        <w:div w:id="1882085982">
          <w:marLeft w:val="0"/>
          <w:marRight w:val="0"/>
          <w:marTop w:val="0"/>
          <w:marBottom w:val="0"/>
          <w:divBdr>
            <w:top w:val="none" w:sz="0" w:space="0" w:color="auto"/>
            <w:left w:val="none" w:sz="0" w:space="0" w:color="auto"/>
            <w:bottom w:val="none" w:sz="0" w:space="0" w:color="auto"/>
            <w:right w:val="none" w:sz="0" w:space="0" w:color="auto"/>
          </w:divBdr>
        </w:div>
        <w:div w:id="1969701568">
          <w:marLeft w:val="0"/>
          <w:marRight w:val="0"/>
          <w:marTop w:val="0"/>
          <w:marBottom w:val="0"/>
          <w:divBdr>
            <w:top w:val="none" w:sz="0" w:space="0" w:color="auto"/>
            <w:left w:val="none" w:sz="0" w:space="0" w:color="auto"/>
            <w:bottom w:val="none" w:sz="0" w:space="0" w:color="auto"/>
            <w:right w:val="none" w:sz="0" w:space="0" w:color="auto"/>
          </w:divBdr>
        </w:div>
        <w:div w:id="2025813726">
          <w:marLeft w:val="0"/>
          <w:marRight w:val="0"/>
          <w:marTop w:val="0"/>
          <w:marBottom w:val="0"/>
          <w:divBdr>
            <w:top w:val="none" w:sz="0" w:space="0" w:color="auto"/>
            <w:left w:val="none" w:sz="0" w:space="0" w:color="auto"/>
            <w:bottom w:val="none" w:sz="0" w:space="0" w:color="auto"/>
            <w:right w:val="none" w:sz="0" w:space="0" w:color="auto"/>
          </w:divBdr>
        </w:div>
        <w:div w:id="2033146764">
          <w:marLeft w:val="0"/>
          <w:marRight w:val="0"/>
          <w:marTop w:val="0"/>
          <w:marBottom w:val="0"/>
          <w:divBdr>
            <w:top w:val="none" w:sz="0" w:space="0" w:color="auto"/>
            <w:left w:val="none" w:sz="0" w:space="0" w:color="auto"/>
            <w:bottom w:val="none" w:sz="0" w:space="0" w:color="auto"/>
            <w:right w:val="none" w:sz="0" w:space="0" w:color="auto"/>
          </w:divBdr>
        </w:div>
        <w:div w:id="2040081564">
          <w:marLeft w:val="0"/>
          <w:marRight w:val="0"/>
          <w:marTop w:val="0"/>
          <w:marBottom w:val="0"/>
          <w:divBdr>
            <w:top w:val="none" w:sz="0" w:space="0" w:color="auto"/>
            <w:left w:val="none" w:sz="0" w:space="0" w:color="auto"/>
            <w:bottom w:val="none" w:sz="0" w:space="0" w:color="auto"/>
            <w:right w:val="none" w:sz="0" w:space="0" w:color="auto"/>
          </w:divBdr>
        </w:div>
        <w:div w:id="2133747588">
          <w:marLeft w:val="0"/>
          <w:marRight w:val="0"/>
          <w:marTop w:val="0"/>
          <w:marBottom w:val="0"/>
          <w:divBdr>
            <w:top w:val="none" w:sz="0" w:space="0" w:color="auto"/>
            <w:left w:val="none" w:sz="0" w:space="0" w:color="auto"/>
            <w:bottom w:val="none" w:sz="0" w:space="0" w:color="auto"/>
            <w:right w:val="none" w:sz="0" w:space="0" w:color="auto"/>
          </w:divBdr>
        </w:div>
      </w:divsChild>
    </w:div>
    <w:div w:id="1711034981">
      <w:bodyDiv w:val="1"/>
      <w:marLeft w:val="0"/>
      <w:marRight w:val="0"/>
      <w:marTop w:val="0"/>
      <w:marBottom w:val="0"/>
      <w:divBdr>
        <w:top w:val="none" w:sz="0" w:space="0" w:color="auto"/>
        <w:left w:val="none" w:sz="0" w:space="0" w:color="auto"/>
        <w:bottom w:val="none" w:sz="0" w:space="0" w:color="auto"/>
        <w:right w:val="none" w:sz="0" w:space="0" w:color="auto"/>
      </w:divBdr>
    </w:div>
    <w:div w:id="1738166623">
      <w:bodyDiv w:val="1"/>
      <w:marLeft w:val="0"/>
      <w:marRight w:val="0"/>
      <w:marTop w:val="0"/>
      <w:marBottom w:val="0"/>
      <w:divBdr>
        <w:top w:val="none" w:sz="0" w:space="0" w:color="auto"/>
        <w:left w:val="none" w:sz="0" w:space="0" w:color="auto"/>
        <w:bottom w:val="none" w:sz="0" w:space="0" w:color="auto"/>
        <w:right w:val="none" w:sz="0" w:space="0" w:color="auto"/>
      </w:divBdr>
    </w:div>
    <w:div w:id="1797480341">
      <w:bodyDiv w:val="1"/>
      <w:marLeft w:val="0"/>
      <w:marRight w:val="0"/>
      <w:marTop w:val="0"/>
      <w:marBottom w:val="0"/>
      <w:divBdr>
        <w:top w:val="none" w:sz="0" w:space="0" w:color="auto"/>
        <w:left w:val="none" w:sz="0" w:space="0" w:color="auto"/>
        <w:bottom w:val="none" w:sz="0" w:space="0" w:color="auto"/>
        <w:right w:val="none" w:sz="0" w:space="0" w:color="auto"/>
      </w:divBdr>
    </w:div>
    <w:div w:id="1854220005">
      <w:bodyDiv w:val="1"/>
      <w:marLeft w:val="0"/>
      <w:marRight w:val="0"/>
      <w:marTop w:val="0"/>
      <w:marBottom w:val="0"/>
      <w:divBdr>
        <w:top w:val="none" w:sz="0" w:space="0" w:color="auto"/>
        <w:left w:val="none" w:sz="0" w:space="0" w:color="auto"/>
        <w:bottom w:val="none" w:sz="0" w:space="0" w:color="auto"/>
        <w:right w:val="none" w:sz="0" w:space="0" w:color="auto"/>
      </w:divBdr>
      <w:divsChild>
        <w:div w:id="40442347">
          <w:marLeft w:val="0"/>
          <w:marRight w:val="0"/>
          <w:marTop w:val="0"/>
          <w:marBottom w:val="0"/>
          <w:divBdr>
            <w:top w:val="none" w:sz="0" w:space="0" w:color="auto"/>
            <w:left w:val="none" w:sz="0" w:space="0" w:color="auto"/>
            <w:bottom w:val="none" w:sz="0" w:space="0" w:color="auto"/>
            <w:right w:val="none" w:sz="0" w:space="0" w:color="auto"/>
          </w:divBdr>
        </w:div>
        <w:div w:id="74014506">
          <w:marLeft w:val="0"/>
          <w:marRight w:val="0"/>
          <w:marTop w:val="0"/>
          <w:marBottom w:val="0"/>
          <w:divBdr>
            <w:top w:val="none" w:sz="0" w:space="0" w:color="auto"/>
            <w:left w:val="none" w:sz="0" w:space="0" w:color="auto"/>
            <w:bottom w:val="none" w:sz="0" w:space="0" w:color="auto"/>
            <w:right w:val="none" w:sz="0" w:space="0" w:color="auto"/>
          </w:divBdr>
        </w:div>
        <w:div w:id="95099705">
          <w:marLeft w:val="0"/>
          <w:marRight w:val="0"/>
          <w:marTop w:val="0"/>
          <w:marBottom w:val="0"/>
          <w:divBdr>
            <w:top w:val="none" w:sz="0" w:space="0" w:color="auto"/>
            <w:left w:val="none" w:sz="0" w:space="0" w:color="auto"/>
            <w:bottom w:val="none" w:sz="0" w:space="0" w:color="auto"/>
            <w:right w:val="none" w:sz="0" w:space="0" w:color="auto"/>
          </w:divBdr>
        </w:div>
        <w:div w:id="115880177">
          <w:marLeft w:val="0"/>
          <w:marRight w:val="0"/>
          <w:marTop w:val="0"/>
          <w:marBottom w:val="0"/>
          <w:divBdr>
            <w:top w:val="none" w:sz="0" w:space="0" w:color="auto"/>
            <w:left w:val="none" w:sz="0" w:space="0" w:color="auto"/>
            <w:bottom w:val="none" w:sz="0" w:space="0" w:color="auto"/>
            <w:right w:val="none" w:sz="0" w:space="0" w:color="auto"/>
          </w:divBdr>
        </w:div>
        <w:div w:id="237323403">
          <w:marLeft w:val="0"/>
          <w:marRight w:val="0"/>
          <w:marTop w:val="0"/>
          <w:marBottom w:val="0"/>
          <w:divBdr>
            <w:top w:val="none" w:sz="0" w:space="0" w:color="auto"/>
            <w:left w:val="none" w:sz="0" w:space="0" w:color="auto"/>
            <w:bottom w:val="none" w:sz="0" w:space="0" w:color="auto"/>
            <w:right w:val="none" w:sz="0" w:space="0" w:color="auto"/>
          </w:divBdr>
        </w:div>
        <w:div w:id="283392658">
          <w:marLeft w:val="0"/>
          <w:marRight w:val="0"/>
          <w:marTop w:val="0"/>
          <w:marBottom w:val="0"/>
          <w:divBdr>
            <w:top w:val="none" w:sz="0" w:space="0" w:color="auto"/>
            <w:left w:val="none" w:sz="0" w:space="0" w:color="auto"/>
            <w:bottom w:val="none" w:sz="0" w:space="0" w:color="auto"/>
            <w:right w:val="none" w:sz="0" w:space="0" w:color="auto"/>
          </w:divBdr>
        </w:div>
        <w:div w:id="309481574">
          <w:marLeft w:val="0"/>
          <w:marRight w:val="0"/>
          <w:marTop w:val="0"/>
          <w:marBottom w:val="0"/>
          <w:divBdr>
            <w:top w:val="none" w:sz="0" w:space="0" w:color="auto"/>
            <w:left w:val="none" w:sz="0" w:space="0" w:color="auto"/>
            <w:bottom w:val="none" w:sz="0" w:space="0" w:color="auto"/>
            <w:right w:val="none" w:sz="0" w:space="0" w:color="auto"/>
          </w:divBdr>
        </w:div>
        <w:div w:id="369955719">
          <w:marLeft w:val="0"/>
          <w:marRight w:val="0"/>
          <w:marTop w:val="0"/>
          <w:marBottom w:val="0"/>
          <w:divBdr>
            <w:top w:val="none" w:sz="0" w:space="0" w:color="auto"/>
            <w:left w:val="none" w:sz="0" w:space="0" w:color="auto"/>
            <w:bottom w:val="none" w:sz="0" w:space="0" w:color="auto"/>
            <w:right w:val="none" w:sz="0" w:space="0" w:color="auto"/>
          </w:divBdr>
        </w:div>
        <w:div w:id="376781039">
          <w:marLeft w:val="0"/>
          <w:marRight w:val="0"/>
          <w:marTop w:val="0"/>
          <w:marBottom w:val="0"/>
          <w:divBdr>
            <w:top w:val="none" w:sz="0" w:space="0" w:color="auto"/>
            <w:left w:val="none" w:sz="0" w:space="0" w:color="auto"/>
            <w:bottom w:val="none" w:sz="0" w:space="0" w:color="auto"/>
            <w:right w:val="none" w:sz="0" w:space="0" w:color="auto"/>
          </w:divBdr>
        </w:div>
        <w:div w:id="388575727">
          <w:marLeft w:val="0"/>
          <w:marRight w:val="0"/>
          <w:marTop w:val="0"/>
          <w:marBottom w:val="0"/>
          <w:divBdr>
            <w:top w:val="none" w:sz="0" w:space="0" w:color="auto"/>
            <w:left w:val="none" w:sz="0" w:space="0" w:color="auto"/>
            <w:bottom w:val="none" w:sz="0" w:space="0" w:color="auto"/>
            <w:right w:val="none" w:sz="0" w:space="0" w:color="auto"/>
          </w:divBdr>
        </w:div>
        <w:div w:id="407968250">
          <w:marLeft w:val="0"/>
          <w:marRight w:val="0"/>
          <w:marTop w:val="0"/>
          <w:marBottom w:val="0"/>
          <w:divBdr>
            <w:top w:val="none" w:sz="0" w:space="0" w:color="auto"/>
            <w:left w:val="none" w:sz="0" w:space="0" w:color="auto"/>
            <w:bottom w:val="none" w:sz="0" w:space="0" w:color="auto"/>
            <w:right w:val="none" w:sz="0" w:space="0" w:color="auto"/>
          </w:divBdr>
        </w:div>
        <w:div w:id="428047071">
          <w:marLeft w:val="0"/>
          <w:marRight w:val="0"/>
          <w:marTop w:val="0"/>
          <w:marBottom w:val="0"/>
          <w:divBdr>
            <w:top w:val="none" w:sz="0" w:space="0" w:color="auto"/>
            <w:left w:val="none" w:sz="0" w:space="0" w:color="auto"/>
            <w:bottom w:val="none" w:sz="0" w:space="0" w:color="auto"/>
            <w:right w:val="none" w:sz="0" w:space="0" w:color="auto"/>
          </w:divBdr>
        </w:div>
        <w:div w:id="446432482">
          <w:marLeft w:val="0"/>
          <w:marRight w:val="0"/>
          <w:marTop w:val="0"/>
          <w:marBottom w:val="0"/>
          <w:divBdr>
            <w:top w:val="none" w:sz="0" w:space="0" w:color="auto"/>
            <w:left w:val="none" w:sz="0" w:space="0" w:color="auto"/>
            <w:bottom w:val="none" w:sz="0" w:space="0" w:color="auto"/>
            <w:right w:val="none" w:sz="0" w:space="0" w:color="auto"/>
          </w:divBdr>
        </w:div>
        <w:div w:id="476844599">
          <w:marLeft w:val="0"/>
          <w:marRight w:val="0"/>
          <w:marTop w:val="0"/>
          <w:marBottom w:val="0"/>
          <w:divBdr>
            <w:top w:val="none" w:sz="0" w:space="0" w:color="auto"/>
            <w:left w:val="none" w:sz="0" w:space="0" w:color="auto"/>
            <w:bottom w:val="none" w:sz="0" w:space="0" w:color="auto"/>
            <w:right w:val="none" w:sz="0" w:space="0" w:color="auto"/>
          </w:divBdr>
        </w:div>
        <w:div w:id="504057246">
          <w:marLeft w:val="0"/>
          <w:marRight w:val="0"/>
          <w:marTop w:val="0"/>
          <w:marBottom w:val="0"/>
          <w:divBdr>
            <w:top w:val="none" w:sz="0" w:space="0" w:color="auto"/>
            <w:left w:val="none" w:sz="0" w:space="0" w:color="auto"/>
            <w:bottom w:val="none" w:sz="0" w:space="0" w:color="auto"/>
            <w:right w:val="none" w:sz="0" w:space="0" w:color="auto"/>
          </w:divBdr>
        </w:div>
        <w:div w:id="510685860">
          <w:marLeft w:val="0"/>
          <w:marRight w:val="0"/>
          <w:marTop w:val="0"/>
          <w:marBottom w:val="0"/>
          <w:divBdr>
            <w:top w:val="none" w:sz="0" w:space="0" w:color="auto"/>
            <w:left w:val="none" w:sz="0" w:space="0" w:color="auto"/>
            <w:bottom w:val="none" w:sz="0" w:space="0" w:color="auto"/>
            <w:right w:val="none" w:sz="0" w:space="0" w:color="auto"/>
          </w:divBdr>
        </w:div>
        <w:div w:id="520821780">
          <w:marLeft w:val="0"/>
          <w:marRight w:val="0"/>
          <w:marTop w:val="0"/>
          <w:marBottom w:val="0"/>
          <w:divBdr>
            <w:top w:val="none" w:sz="0" w:space="0" w:color="auto"/>
            <w:left w:val="none" w:sz="0" w:space="0" w:color="auto"/>
            <w:bottom w:val="none" w:sz="0" w:space="0" w:color="auto"/>
            <w:right w:val="none" w:sz="0" w:space="0" w:color="auto"/>
          </w:divBdr>
        </w:div>
        <w:div w:id="541551763">
          <w:marLeft w:val="0"/>
          <w:marRight w:val="0"/>
          <w:marTop w:val="0"/>
          <w:marBottom w:val="0"/>
          <w:divBdr>
            <w:top w:val="none" w:sz="0" w:space="0" w:color="auto"/>
            <w:left w:val="none" w:sz="0" w:space="0" w:color="auto"/>
            <w:bottom w:val="none" w:sz="0" w:space="0" w:color="auto"/>
            <w:right w:val="none" w:sz="0" w:space="0" w:color="auto"/>
          </w:divBdr>
        </w:div>
        <w:div w:id="560211939">
          <w:marLeft w:val="0"/>
          <w:marRight w:val="0"/>
          <w:marTop w:val="0"/>
          <w:marBottom w:val="0"/>
          <w:divBdr>
            <w:top w:val="none" w:sz="0" w:space="0" w:color="auto"/>
            <w:left w:val="none" w:sz="0" w:space="0" w:color="auto"/>
            <w:bottom w:val="none" w:sz="0" w:space="0" w:color="auto"/>
            <w:right w:val="none" w:sz="0" w:space="0" w:color="auto"/>
          </w:divBdr>
        </w:div>
        <w:div w:id="595556519">
          <w:marLeft w:val="0"/>
          <w:marRight w:val="0"/>
          <w:marTop w:val="0"/>
          <w:marBottom w:val="0"/>
          <w:divBdr>
            <w:top w:val="none" w:sz="0" w:space="0" w:color="auto"/>
            <w:left w:val="none" w:sz="0" w:space="0" w:color="auto"/>
            <w:bottom w:val="none" w:sz="0" w:space="0" w:color="auto"/>
            <w:right w:val="none" w:sz="0" w:space="0" w:color="auto"/>
          </w:divBdr>
        </w:div>
        <w:div w:id="631324841">
          <w:marLeft w:val="0"/>
          <w:marRight w:val="0"/>
          <w:marTop w:val="0"/>
          <w:marBottom w:val="0"/>
          <w:divBdr>
            <w:top w:val="none" w:sz="0" w:space="0" w:color="auto"/>
            <w:left w:val="none" w:sz="0" w:space="0" w:color="auto"/>
            <w:bottom w:val="none" w:sz="0" w:space="0" w:color="auto"/>
            <w:right w:val="none" w:sz="0" w:space="0" w:color="auto"/>
          </w:divBdr>
        </w:div>
        <w:div w:id="631636640">
          <w:marLeft w:val="0"/>
          <w:marRight w:val="0"/>
          <w:marTop w:val="0"/>
          <w:marBottom w:val="0"/>
          <w:divBdr>
            <w:top w:val="none" w:sz="0" w:space="0" w:color="auto"/>
            <w:left w:val="none" w:sz="0" w:space="0" w:color="auto"/>
            <w:bottom w:val="none" w:sz="0" w:space="0" w:color="auto"/>
            <w:right w:val="none" w:sz="0" w:space="0" w:color="auto"/>
          </w:divBdr>
        </w:div>
        <w:div w:id="644698048">
          <w:marLeft w:val="0"/>
          <w:marRight w:val="0"/>
          <w:marTop w:val="0"/>
          <w:marBottom w:val="0"/>
          <w:divBdr>
            <w:top w:val="none" w:sz="0" w:space="0" w:color="auto"/>
            <w:left w:val="none" w:sz="0" w:space="0" w:color="auto"/>
            <w:bottom w:val="none" w:sz="0" w:space="0" w:color="auto"/>
            <w:right w:val="none" w:sz="0" w:space="0" w:color="auto"/>
          </w:divBdr>
        </w:div>
        <w:div w:id="644698917">
          <w:marLeft w:val="0"/>
          <w:marRight w:val="0"/>
          <w:marTop w:val="0"/>
          <w:marBottom w:val="0"/>
          <w:divBdr>
            <w:top w:val="none" w:sz="0" w:space="0" w:color="auto"/>
            <w:left w:val="none" w:sz="0" w:space="0" w:color="auto"/>
            <w:bottom w:val="none" w:sz="0" w:space="0" w:color="auto"/>
            <w:right w:val="none" w:sz="0" w:space="0" w:color="auto"/>
          </w:divBdr>
        </w:div>
        <w:div w:id="716121433">
          <w:marLeft w:val="0"/>
          <w:marRight w:val="0"/>
          <w:marTop w:val="0"/>
          <w:marBottom w:val="0"/>
          <w:divBdr>
            <w:top w:val="none" w:sz="0" w:space="0" w:color="auto"/>
            <w:left w:val="none" w:sz="0" w:space="0" w:color="auto"/>
            <w:bottom w:val="none" w:sz="0" w:space="0" w:color="auto"/>
            <w:right w:val="none" w:sz="0" w:space="0" w:color="auto"/>
          </w:divBdr>
        </w:div>
        <w:div w:id="727458969">
          <w:marLeft w:val="0"/>
          <w:marRight w:val="0"/>
          <w:marTop w:val="0"/>
          <w:marBottom w:val="0"/>
          <w:divBdr>
            <w:top w:val="none" w:sz="0" w:space="0" w:color="auto"/>
            <w:left w:val="none" w:sz="0" w:space="0" w:color="auto"/>
            <w:bottom w:val="none" w:sz="0" w:space="0" w:color="auto"/>
            <w:right w:val="none" w:sz="0" w:space="0" w:color="auto"/>
          </w:divBdr>
        </w:div>
        <w:div w:id="734593900">
          <w:marLeft w:val="0"/>
          <w:marRight w:val="0"/>
          <w:marTop w:val="0"/>
          <w:marBottom w:val="0"/>
          <w:divBdr>
            <w:top w:val="none" w:sz="0" w:space="0" w:color="auto"/>
            <w:left w:val="none" w:sz="0" w:space="0" w:color="auto"/>
            <w:bottom w:val="none" w:sz="0" w:space="0" w:color="auto"/>
            <w:right w:val="none" w:sz="0" w:space="0" w:color="auto"/>
          </w:divBdr>
        </w:div>
        <w:div w:id="809903778">
          <w:marLeft w:val="0"/>
          <w:marRight w:val="0"/>
          <w:marTop w:val="0"/>
          <w:marBottom w:val="0"/>
          <w:divBdr>
            <w:top w:val="none" w:sz="0" w:space="0" w:color="auto"/>
            <w:left w:val="none" w:sz="0" w:space="0" w:color="auto"/>
            <w:bottom w:val="none" w:sz="0" w:space="0" w:color="auto"/>
            <w:right w:val="none" w:sz="0" w:space="0" w:color="auto"/>
          </w:divBdr>
        </w:div>
        <w:div w:id="875855553">
          <w:marLeft w:val="0"/>
          <w:marRight w:val="0"/>
          <w:marTop w:val="0"/>
          <w:marBottom w:val="0"/>
          <w:divBdr>
            <w:top w:val="none" w:sz="0" w:space="0" w:color="auto"/>
            <w:left w:val="none" w:sz="0" w:space="0" w:color="auto"/>
            <w:bottom w:val="none" w:sz="0" w:space="0" w:color="auto"/>
            <w:right w:val="none" w:sz="0" w:space="0" w:color="auto"/>
          </w:divBdr>
        </w:div>
        <w:div w:id="877083803">
          <w:marLeft w:val="0"/>
          <w:marRight w:val="0"/>
          <w:marTop w:val="0"/>
          <w:marBottom w:val="0"/>
          <w:divBdr>
            <w:top w:val="none" w:sz="0" w:space="0" w:color="auto"/>
            <w:left w:val="none" w:sz="0" w:space="0" w:color="auto"/>
            <w:bottom w:val="none" w:sz="0" w:space="0" w:color="auto"/>
            <w:right w:val="none" w:sz="0" w:space="0" w:color="auto"/>
          </w:divBdr>
        </w:div>
        <w:div w:id="886188381">
          <w:marLeft w:val="0"/>
          <w:marRight w:val="0"/>
          <w:marTop w:val="0"/>
          <w:marBottom w:val="0"/>
          <w:divBdr>
            <w:top w:val="none" w:sz="0" w:space="0" w:color="auto"/>
            <w:left w:val="none" w:sz="0" w:space="0" w:color="auto"/>
            <w:bottom w:val="none" w:sz="0" w:space="0" w:color="auto"/>
            <w:right w:val="none" w:sz="0" w:space="0" w:color="auto"/>
          </w:divBdr>
        </w:div>
        <w:div w:id="987977665">
          <w:marLeft w:val="0"/>
          <w:marRight w:val="0"/>
          <w:marTop w:val="0"/>
          <w:marBottom w:val="0"/>
          <w:divBdr>
            <w:top w:val="none" w:sz="0" w:space="0" w:color="auto"/>
            <w:left w:val="none" w:sz="0" w:space="0" w:color="auto"/>
            <w:bottom w:val="none" w:sz="0" w:space="0" w:color="auto"/>
            <w:right w:val="none" w:sz="0" w:space="0" w:color="auto"/>
          </w:divBdr>
        </w:div>
        <w:div w:id="989095439">
          <w:marLeft w:val="0"/>
          <w:marRight w:val="0"/>
          <w:marTop w:val="0"/>
          <w:marBottom w:val="0"/>
          <w:divBdr>
            <w:top w:val="none" w:sz="0" w:space="0" w:color="auto"/>
            <w:left w:val="none" w:sz="0" w:space="0" w:color="auto"/>
            <w:bottom w:val="none" w:sz="0" w:space="0" w:color="auto"/>
            <w:right w:val="none" w:sz="0" w:space="0" w:color="auto"/>
          </w:divBdr>
        </w:div>
        <w:div w:id="1091271995">
          <w:marLeft w:val="0"/>
          <w:marRight w:val="0"/>
          <w:marTop w:val="0"/>
          <w:marBottom w:val="0"/>
          <w:divBdr>
            <w:top w:val="none" w:sz="0" w:space="0" w:color="auto"/>
            <w:left w:val="none" w:sz="0" w:space="0" w:color="auto"/>
            <w:bottom w:val="none" w:sz="0" w:space="0" w:color="auto"/>
            <w:right w:val="none" w:sz="0" w:space="0" w:color="auto"/>
          </w:divBdr>
        </w:div>
        <w:div w:id="1152603683">
          <w:marLeft w:val="0"/>
          <w:marRight w:val="0"/>
          <w:marTop w:val="0"/>
          <w:marBottom w:val="0"/>
          <w:divBdr>
            <w:top w:val="none" w:sz="0" w:space="0" w:color="auto"/>
            <w:left w:val="none" w:sz="0" w:space="0" w:color="auto"/>
            <w:bottom w:val="none" w:sz="0" w:space="0" w:color="auto"/>
            <w:right w:val="none" w:sz="0" w:space="0" w:color="auto"/>
          </w:divBdr>
        </w:div>
        <w:div w:id="1161047265">
          <w:marLeft w:val="0"/>
          <w:marRight w:val="0"/>
          <w:marTop w:val="0"/>
          <w:marBottom w:val="0"/>
          <w:divBdr>
            <w:top w:val="none" w:sz="0" w:space="0" w:color="auto"/>
            <w:left w:val="none" w:sz="0" w:space="0" w:color="auto"/>
            <w:bottom w:val="none" w:sz="0" w:space="0" w:color="auto"/>
            <w:right w:val="none" w:sz="0" w:space="0" w:color="auto"/>
          </w:divBdr>
        </w:div>
        <w:div w:id="1165820677">
          <w:marLeft w:val="0"/>
          <w:marRight w:val="0"/>
          <w:marTop w:val="0"/>
          <w:marBottom w:val="0"/>
          <w:divBdr>
            <w:top w:val="none" w:sz="0" w:space="0" w:color="auto"/>
            <w:left w:val="none" w:sz="0" w:space="0" w:color="auto"/>
            <w:bottom w:val="none" w:sz="0" w:space="0" w:color="auto"/>
            <w:right w:val="none" w:sz="0" w:space="0" w:color="auto"/>
          </w:divBdr>
        </w:div>
        <w:div w:id="1174223488">
          <w:marLeft w:val="0"/>
          <w:marRight w:val="0"/>
          <w:marTop w:val="0"/>
          <w:marBottom w:val="0"/>
          <w:divBdr>
            <w:top w:val="none" w:sz="0" w:space="0" w:color="auto"/>
            <w:left w:val="none" w:sz="0" w:space="0" w:color="auto"/>
            <w:bottom w:val="none" w:sz="0" w:space="0" w:color="auto"/>
            <w:right w:val="none" w:sz="0" w:space="0" w:color="auto"/>
          </w:divBdr>
        </w:div>
        <w:div w:id="1182620314">
          <w:marLeft w:val="0"/>
          <w:marRight w:val="0"/>
          <w:marTop w:val="0"/>
          <w:marBottom w:val="0"/>
          <w:divBdr>
            <w:top w:val="none" w:sz="0" w:space="0" w:color="auto"/>
            <w:left w:val="none" w:sz="0" w:space="0" w:color="auto"/>
            <w:bottom w:val="none" w:sz="0" w:space="0" w:color="auto"/>
            <w:right w:val="none" w:sz="0" w:space="0" w:color="auto"/>
          </w:divBdr>
        </w:div>
        <w:div w:id="1198859681">
          <w:marLeft w:val="0"/>
          <w:marRight w:val="0"/>
          <w:marTop w:val="0"/>
          <w:marBottom w:val="0"/>
          <w:divBdr>
            <w:top w:val="none" w:sz="0" w:space="0" w:color="auto"/>
            <w:left w:val="none" w:sz="0" w:space="0" w:color="auto"/>
            <w:bottom w:val="none" w:sz="0" w:space="0" w:color="auto"/>
            <w:right w:val="none" w:sz="0" w:space="0" w:color="auto"/>
          </w:divBdr>
        </w:div>
        <w:div w:id="1218933796">
          <w:marLeft w:val="0"/>
          <w:marRight w:val="0"/>
          <w:marTop w:val="0"/>
          <w:marBottom w:val="0"/>
          <w:divBdr>
            <w:top w:val="none" w:sz="0" w:space="0" w:color="auto"/>
            <w:left w:val="none" w:sz="0" w:space="0" w:color="auto"/>
            <w:bottom w:val="none" w:sz="0" w:space="0" w:color="auto"/>
            <w:right w:val="none" w:sz="0" w:space="0" w:color="auto"/>
          </w:divBdr>
        </w:div>
        <w:div w:id="1223447167">
          <w:marLeft w:val="0"/>
          <w:marRight w:val="0"/>
          <w:marTop w:val="0"/>
          <w:marBottom w:val="0"/>
          <w:divBdr>
            <w:top w:val="none" w:sz="0" w:space="0" w:color="auto"/>
            <w:left w:val="none" w:sz="0" w:space="0" w:color="auto"/>
            <w:bottom w:val="none" w:sz="0" w:space="0" w:color="auto"/>
            <w:right w:val="none" w:sz="0" w:space="0" w:color="auto"/>
          </w:divBdr>
        </w:div>
        <w:div w:id="1255549806">
          <w:marLeft w:val="0"/>
          <w:marRight w:val="0"/>
          <w:marTop w:val="0"/>
          <w:marBottom w:val="0"/>
          <w:divBdr>
            <w:top w:val="none" w:sz="0" w:space="0" w:color="auto"/>
            <w:left w:val="none" w:sz="0" w:space="0" w:color="auto"/>
            <w:bottom w:val="none" w:sz="0" w:space="0" w:color="auto"/>
            <w:right w:val="none" w:sz="0" w:space="0" w:color="auto"/>
          </w:divBdr>
        </w:div>
        <w:div w:id="1263342000">
          <w:marLeft w:val="0"/>
          <w:marRight w:val="0"/>
          <w:marTop w:val="0"/>
          <w:marBottom w:val="0"/>
          <w:divBdr>
            <w:top w:val="none" w:sz="0" w:space="0" w:color="auto"/>
            <w:left w:val="none" w:sz="0" w:space="0" w:color="auto"/>
            <w:bottom w:val="none" w:sz="0" w:space="0" w:color="auto"/>
            <w:right w:val="none" w:sz="0" w:space="0" w:color="auto"/>
          </w:divBdr>
        </w:div>
        <w:div w:id="1291477258">
          <w:marLeft w:val="0"/>
          <w:marRight w:val="0"/>
          <w:marTop w:val="0"/>
          <w:marBottom w:val="0"/>
          <w:divBdr>
            <w:top w:val="none" w:sz="0" w:space="0" w:color="auto"/>
            <w:left w:val="none" w:sz="0" w:space="0" w:color="auto"/>
            <w:bottom w:val="none" w:sz="0" w:space="0" w:color="auto"/>
            <w:right w:val="none" w:sz="0" w:space="0" w:color="auto"/>
          </w:divBdr>
        </w:div>
        <w:div w:id="1326276254">
          <w:marLeft w:val="0"/>
          <w:marRight w:val="0"/>
          <w:marTop w:val="0"/>
          <w:marBottom w:val="0"/>
          <w:divBdr>
            <w:top w:val="none" w:sz="0" w:space="0" w:color="auto"/>
            <w:left w:val="none" w:sz="0" w:space="0" w:color="auto"/>
            <w:bottom w:val="none" w:sz="0" w:space="0" w:color="auto"/>
            <w:right w:val="none" w:sz="0" w:space="0" w:color="auto"/>
          </w:divBdr>
        </w:div>
        <w:div w:id="1342582461">
          <w:marLeft w:val="0"/>
          <w:marRight w:val="0"/>
          <w:marTop w:val="0"/>
          <w:marBottom w:val="0"/>
          <w:divBdr>
            <w:top w:val="none" w:sz="0" w:space="0" w:color="auto"/>
            <w:left w:val="none" w:sz="0" w:space="0" w:color="auto"/>
            <w:bottom w:val="none" w:sz="0" w:space="0" w:color="auto"/>
            <w:right w:val="none" w:sz="0" w:space="0" w:color="auto"/>
          </w:divBdr>
        </w:div>
        <w:div w:id="1374034491">
          <w:marLeft w:val="0"/>
          <w:marRight w:val="0"/>
          <w:marTop w:val="0"/>
          <w:marBottom w:val="0"/>
          <w:divBdr>
            <w:top w:val="none" w:sz="0" w:space="0" w:color="auto"/>
            <w:left w:val="none" w:sz="0" w:space="0" w:color="auto"/>
            <w:bottom w:val="none" w:sz="0" w:space="0" w:color="auto"/>
            <w:right w:val="none" w:sz="0" w:space="0" w:color="auto"/>
          </w:divBdr>
        </w:div>
        <w:div w:id="1409381388">
          <w:marLeft w:val="0"/>
          <w:marRight w:val="0"/>
          <w:marTop w:val="0"/>
          <w:marBottom w:val="0"/>
          <w:divBdr>
            <w:top w:val="none" w:sz="0" w:space="0" w:color="auto"/>
            <w:left w:val="none" w:sz="0" w:space="0" w:color="auto"/>
            <w:bottom w:val="none" w:sz="0" w:space="0" w:color="auto"/>
            <w:right w:val="none" w:sz="0" w:space="0" w:color="auto"/>
          </w:divBdr>
        </w:div>
        <w:div w:id="1424842886">
          <w:marLeft w:val="0"/>
          <w:marRight w:val="0"/>
          <w:marTop w:val="0"/>
          <w:marBottom w:val="0"/>
          <w:divBdr>
            <w:top w:val="none" w:sz="0" w:space="0" w:color="auto"/>
            <w:left w:val="none" w:sz="0" w:space="0" w:color="auto"/>
            <w:bottom w:val="none" w:sz="0" w:space="0" w:color="auto"/>
            <w:right w:val="none" w:sz="0" w:space="0" w:color="auto"/>
          </w:divBdr>
        </w:div>
        <w:div w:id="1465079018">
          <w:marLeft w:val="0"/>
          <w:marRight w:val="0"/>
          <w:marTop w:val="0"/>
          <w:marBottom w:val="0"/>
          <w:divBdr>
            <w:top w:val="none" w:sz="0" w:space="0" w:color="auto"/>
            <w:left w:val="none" w:sz="0" w:space="0" w:color="auto"/>
            <w:bottom w:val="none" w:sz="0" w:space="0" w:color="auto"/>
            <w:right w:val="none" w:sz="0" w:space="0" w:color="auto"/>
          </w:divBdr>
        </w:div>
        <w:div w:id="1519082496">
          <w:marLeft w:val="0"/>
          <w:marRight w:val="0"/>
          <w:marTop w:val="0"/>
          <w:marBottom w:val="0"/>
          <w:divBdr>
            <w:top w:val="none" w:sz="0" w:space="0" w:color="auto"/>
            <w:left w:val="none" w:sz="0" w:space="0" w:color="auto"/>
            <w:bottom w:val="none" w:sz="0" w:space="0" w:color="auto"/>
            <w:right w:val="none" w:sz="0" w:space="0" w:color="auto"/>
          </w:divBdr>
        </w:div>
        <w:div w:id="1568298616">
          <w:marLeft w:val="0"/>
          <w:marRight w:val="0"/>
          <w:marTop w:val="0"/>
          <w:marBottom w:val="0"/>
          <w:divBdr>
            <w:top w:val="none" w:sz="0" w:space="0" w:color="auto"/>
            <w:left w:val="none" w:sz="0" w:space="0" w:color="auto"/>
            <w:bottom w:val="none" w:sz="0" w:space="0" w:color="auto"/>
            <w:right w:val="none" w:sz="0" w:space="0" w:color="auto"/>
          </w:divBdr>
        </w:div>
        <w:div w:id="1596093841">
          <w:marLeft w:val="0"/>
          <w:marRight w:val="0"/>
          <w:marTop w:val="0"/>
          <w:marBottom w:val="0"/>
          <w:divBdr>
            <w:top w:val="none" w:sz="0" w:space="0" w:color="auto"/>
            <w:left w:val="none" w:sz="0" w:space="0" w:color="auto"/>
            <w:bottom w:val="none" w:sz="0" w:space="0" w:color="auto"/>
            <w:right w:val="none" w:sz="0" w:space="0" w:color="auto"/>
          </w:divBdr>
        </w:div>
        <w:div w:id="1623730429">
          <w:marLeft w:val="0"/>
          <w:marRight w:val="0"/>
          <w:marTop w:val="0"/>
          <w:marBottom w:val="0"/>
          <w:divBdr>
            <w:top w:val="none" w:sz="0" w:space="0" w:color="auto"/>
            <w:left w:val="none" w:sz="0" w:space="0" w:color="auto"/>
            <w:bottom w:val="none" w:sz="0" w:space="0" w:color="auto"/>
            <w:right w:val="none" w:sz="0" w:space="0" w:color="auto"/>
          </w:divBdr>
        </w:div>
        <w:div w:id="1655140984">
          <w:marLeft w:val="0"/>
          <w:marRight w:val="0"/>
          <w:marTop w:val="0"/>
          <w:marBottom w:val="0"/>
          <w:divBdr>
            <w:top w:val="none" w:sz="0" w:space="0" w:color="auto"/>
            <w:left w:val="none" w:sz="0" w:space="0" w:color="auto"/>
            <w:bottom w:val="none" w:sz="0" w:space="0" w:color="auto"/>
            <w:right w:val="none" w:sz="0" w:space="0" w:color="auto"/>
          </w:divBdr>
        </w:div>
        <w:div w:id="1662344540">
          <w:marLeft w:val="0"/>
          <w:marRight w:val="0"/>
          <w:marTop w:val="0"/>
          <w:marBottom w:val="0"/>
          <w:divBdr>
            <w:top w:val="none" w:sz="0" w:space="0" w:color="auto"/>
            <w:left w:val="none" w:sz="0" w:space="0" w:color="auto"/>
            <w:bottom w:val="none" w:sz="0" w:space="0" w:color="auto"/>
            <w:right w:val="none" w:sz="0" w:space="0" w:color="auto"/>
          </w:divBdr>
        </w:div>
        <w:div w:id="1673920942">
          <w:marLeft w:val="0"/>
          <w:marRight w:val="0"/>
          <w:marTop w:val="0"/>
          <w:marBottom w:val="0"/>
          <w:divBdr>
            <w:top w:val="none" w:sz="0" w:space="0" w:color="auto"/>
            <w:left w:val="none" w:sz="0" w:space="0" w:color="auto"/>
            <w:bottom w:val="none" w:sz="0" w:space="0" w:color="auto"/>
            <w:right w:val="none" w:sz="0" w:space="0" w:color="auto"/>
          </w:divBdr>
        </w:div>
        <w:div w:id="1687560566">
          <w:marLeft w:val="0"/>
          <w:marRight w:val="0"/>
          <w:marTop w:val="0"/>
          <w:marBottom w:val="0"/>
          <w:divBdr>
            <w:top w:val="none" w:sz="0" w:space="0" w:color="auto"/>
            <w:left w:val="none" w:sz="0" w:space="0" w:color="auto"/>
            <w:bottom w:val="none" w:sz="0" w:space="0" w:color="auto"/>
            <w:right w:val="none" w:sz="0" w:space="0" w:color="auto"/>
          </w:divBdr>
        </w:div>
        <w:div w:id="1729261211">
          <w:marLeft w:val="0"/>
          <w:marRight w:val="0"/>
          <w:marTop w:val="0"/>
          <w:marBottom w:val="0"/>
          <w:divBdr>
            <w:top w:val="none" w:sz="0" w:space="0" w:color="auto"/>
            <w:left w:val="none" w:sz="0" w:space="0" w:color="auto"/>
            <w:bottom w:val="none" w:sz="0" w:space="0" w:color="auto"/>
            <w:right w:val="none" w:sz="0" w:space="0" w:color="auto"/>
          </w:divBdr>
        </w:div>
        <w:div w:id="1798983456">
          <w:marLeft w:val="0"/>
          <w:marRight w:val="0"/>
          <w:marTop w:val="0"/>
          <w:marBottom w:val="0"/>
          <w:divBdr>
            <w:top w:val="none" w:sz="0" w:space="0" w:color="auto"/>
            <w:left w:val="none" w:sz="0" w:space="0" w:color="auto"/>
            <w:bottom w:val="none" w:sz="0" w:space="0" w:color="auto"/>
            <w:right w:val="none" w:sz="0" w:space="0" w:color="auto"/>
          </w:divBdr>
        </w:div>
        <w:div w:id="1816334366">
          <w:marLeft w:val="0"/>
          <w:marRight w:val="0"/>
          <w:marTop w:val="0"/>
          <w:marBottom w:val="0"/>
          <w:divBdr>
            <w:top w:val="none" w:sz="0" w:space="0" w:color="auto"/>
            <w:left w:val="none" w:sz="0" w:space="0" w:color="auto"/>
            <w:bottom w:val="none" w:sz="0" w:space="0" w:color="auto"/>
            <w:right w:val="none" w:sz="0" w:space="0" w:color="auto"/>
          </w:divBdr>
        </w:div>
        <w:div w:id="1822693894">
          <w:marLeft w:val="0"/>
          <w:marRight w:val="0"/>
          <w:marTop w:val="0"/>
          <w:marBottom w:val="0"/>
          <w:divBdr>
            <w:top w:val="none" w:sz="0" w:space="0" w:color="auto"/>
            <w:left w:val="none" w:sz="0" w:space="0" w:color="auto"/>
            <w:bottom w:val="none" w:sz="0" w:space="0" w:color="auto"/>
            <w:right w:val="none" w:sz="0" w:space="0" w:color="auto"/>
          </w:divBdr>
        </w:div>
        <w:div w:id="1891383698">
          <w:marLeft w:val="0"/>
          <w:marRight w:val="0"/>
          <w:marTop w:val="0"/>
          <w:marBottom w:val="0"/>
          <w:divBdr>
            <w:top w:val="none" w:sz="0" w:space="0" w:color="auto"/>
            <w:left w:val="none" w:sz="0" w:space="0" w:color="auto"/>
            <w:bottom w:val="none" w:sz="0" w:space="0" w:color="auto"/>
            <w:right w:val="none" w:sz="0" w:space="0" w:color="auto"/>
          </w:divBdr>
        </w:div>
        <w:div w:id="1914271401">
          <w:marLeft w:val="0"/>
          <w:marRight w:val="0"/>
          <w:marTop w:val="0"/>
          <w:marBottom w:val="0"/>
          <w:divBdr>
            <w:top w:val="none" w:sz="0" w:space="0" w:color="auto"/>
            <w:left w:val="none" w:sz="0" w:space="0" w:color="auto"/>
            <w:bottom w:val="none" w:sz="0" w:space="0" w:color="auto"/>
            <w:right w:val="none" w:sz="0" w:space="0" w:color="auto"/>
          </w:divBdr>
        </w:div>
        <w:div w:id="1955819371">
          <w:marLeft w:val="0"/>
          <w:marRight w:val="0"/>
          <w:marTop w:val="0"/>
          <w:marBottom w:val="0"/>
          <w:divBdr>
            <w:top w:val="none" w:sz="0" w:space="0" w:color="auto"/>
            <w:left w:val="none" w:sz="0" w:space="0" w:color="auto"/>
            <w:bottom w:val="none" w:sz="0" w:space="0" w:color="auto"/>
            <w:right w:val="none" w:sz="0" w:space="0" w:color="auto"/>
          </w:divBdr>
        </w:div>
        <w:div w:id="1965305746">
          <w:marLeft w:val="0"/>
          <w:marRight w:val="0"/>
          <w:marTop w:val="0"/>
          <w:marBottom w:val="0"/>
          <w:divBdr>
            <w:top w:val="none" w:sz="0" w:space="0" w:color="auto"/>
            <w:left w:val="none" w:sz="0" w:space="0" w:color="auto"/>
            <w:bottom w:val="none" w:sz="0" w:space="0" w:color="auto"/>
            <w:right w:val="none" w:sz="0" w:space="0" w:color="auto"/>
          </w:divBdr>
        </w:div>
        <w:div w:id="1971592112">
          <w:marLeft w:val="0"/>
          <w:marRight w:val="0"/>
          <w:marTop w:val="0"/>
          <w:marBottom w:val="0"/>
          <w:divBdr>
            <w:top w:val="none" w:sz="0" w:space="0" w:color="auto"/>
            <w:left w:val="none" w:sz="0" w:space="0" w:color="auto"/>
            <w:bottom w:val="none" w:sz="0" w:space="0" w:color="auto"/>
            <w:right w:val="none" w:sz="0" w:space="0" w:color="auto"/>
          </w:divBdr>
        </w:div>
        <w:div w:id="1993828438">
          <w:marLeft w:val="0"/>
          <w:marRight w:val="0"/>
          <w:marTop w:val="0"/>
          <w:marBottom w:val="0"/>
          <w:divBdr>
            <w:top w:val="none" w:sz="0" w:space="0" w:color="auto"/>
            <w:left w:val="none" w:sz="0" w:space="0" w:color="auto"/>
            <w:bottom w:val="none" w:sz="0" w:space="0" w:color="auto"/>
            <w:right w:val="none" w:sz="0" w:space="0" w:color="auto"/>
          </w:divBdr>
        </w:div>
        <w:div w:id="1998990477">
          <w:marLeft w:val="0"/>
          <w:marRight w:val="0"/>
          <w:marTop w:val="0"/>
          <w:marBottom w:val="0"/>
          <w:divBdr>
            <w:top w:val="none" w:sz="0" w:space="0" w:color="auto"/>
            <w:left w:val="none" w:sz="0" w:space="0" w:color="auto"/>
            <w:bottom w:val="none" w:sz="0" w:space="0" w:color="auto"/>
            <w:right w:val="none" w:sz="0" w:space="0" w:color="auto"/>
          </w:divBdr>
        </w:div>
        <w:div w:id="2006739222">
          <w:marLeft w:val="0"/>
          <w:marRight w:val="0"/>
          <w:marTop w:val="0"/>
          <w:marBottom w:val="0"/>
          <w:divBdr>
            <w:top w:val="none" w:sz="0" w:space="0" w:color="auto"/>
            <w:left w:val="none" w:sz="0" w:space="0" w:color="auto"/>
            <w:bottom w:val="none" w:sz="0" w:space="0" w:color="auto"/>
            <w:right w:val="none" w:sz="0" w:space="0" w:color="auto"/>
          </w:divBdr>
        </w:div>
        <w:div w:id="2028363257">
          <w:marLeft w:val="0"/>
          <w:marRight w:val="0"/>
          <w:marTop w:val="0"/>
          <w:marBottom w:val="0"/>
          <w:divBdr>
            <w:top w:val="none" w:sz="0" w:space="0" w:color="auto"/>
            <w:left w:val="none" w:sz="0" w:space="0" w:color="auto"/>
            <w:bottom w:val="none" w:sz="0" w:space="0" w:color="auto"/>
            <w:right w:val="none" w:sz="0" w:space="0" w:color="auto"/>
          </w:divBdr>
        </w:div>
        <w:div w:id="2104644363">
          <w:marLeft w:val="0"/>
          <w:marRight w:val="0"/>
          <w:marTop w:val="0"/>
          <w:marBottom w:val="0"/>
          <w:divBdr>
            <w:top w:val="none" w:sz="0" w:space="0" w:color="auto"/>
            <w:left w:val="none" w:sz="0" w:space="0" w:color="auto"/>
            <w:bottom w:val="none" w:sz="0" w:space="0" w:color="auto"/>
            <w:right w:val="none" w:sz="0" w:space="0" w:color="auto"/>
          </w:divBdr>
        </w:div>
        <w:div w:id="2107850052">
          <w:marLeft w:val="0"/>
          <w:marRight w:val="0"/>
          <w:marTop w:val="0"/>
          <w:marBottom w:val="0"/>
          <w:divBdr>
            <w:top w:val="none" w:sz="0" w:space="0" w:color="auto"/>
            <w:left w:val="none" w:sz="0" w:space="0" w:color="auto"/>
            <w:bottom w:val="none" w:sz="0" w:space="0" w:color="auto"/>
            <w:right w:val="none" w:sz="0" w:space="0" w:color="auto"/>
          </w:divBdr>
        </w:div>
        <w:div w:id="2137209878">
          <w:marLeft w:val="0"/>
          <w:marRight w:val="0"/>
          <w:marTop w:val="0"/>
          <w:marBottom w:val="0"/>
          <w:divBdr>
            <w:top w:val="none" w:sz="0" w:space="0" w:color="auto"/>
            <w:left w:val="none" w:sz="0" w:space="0" w:color="auto"/>
            <w:bottom w:val="none" w:sz="0" w:space="0" w:color="auto"/>
            <w:right w:val="none" w:sz="0" w:space="0" w:color="auto"/>
          </w:divBdr>
        </w:div>
      </w:divsChild>
    </w:div>
    <w:div w:id="1854299480">
      <w:bodyDiv w:val="1"/>
      <w:marLeft w:val="0"/>
      <w:marRight w:val="0"/>
      <w:marTop w:val="0"/>
      <w:marBottom w:val="0"/>
      <w:divBdr>
        <w:top w:val="none" w:sz="0" w:space="0" w:color="auto"/>
        <w:left w:val="none" w:sz="0" w:space="0" w:color="auto"/>
        <w:bottom w:val="none" w:sz="0" w:space="0" w:color="auto"/>
        <w:right w:val="none" w:sz="0" w:space="0" w:color="auto"/>
      </w:divBdr>
    </w:div>
    <w:div w:id="1903131487">
      <w:bodyDiv w:val="1"/>
      <w:marLeft w:val="0"/>
      <w:marRight w:val="0"/>
      <w:marTop w:val="0"/>
      <w:marBottom w:val="0"/>
      <w:divBdr>
        <w:top w:val="none" w:sz="0" w:space="0" w:color="auto"/>
        <w:left w:val="none" w:sz="0" w:space="0" w:color="auto"/>
        <w:bottom w:val="none" w:sz="0" w:space="0" w:color="auto"/>
        <w:right w:val="none" w:sz="0" w:space="0" w:color="auto"/>
      </w:divBdr>
      <w:divsChild>
        <w:div w:id="19667485">
          <w:marLeft w:val="0"/>
          <w:marRight w:val="0"/>
          <w:marTop w:val="0"/>
          <w:marBottom w:val="0"/>
          <w:divBdr>
            <w:top w:val="none" w:sz="0" w:space="0" w:color="auto"/>
            <w:left w:val="none" w:sz="0" w:space="0" w:color="auto"/>
            <w:bottom w:val="none" w:sz="0" w:space="0" w:color="auto"/>
            <w:right w:val="none" w:sz="0" w:space="0" w:color="auto"/>
          </w:divBdr>
        </w:div>
        <w:div w:id="67070853">
          <w:marLeft w:val="0"/>
          <w:marRight w:val="0"/>
          <w:marTop w:val="0"/>
          <w:marBottom w:val="0"/>
          <w:divBdr>
            <w:top w:val="none" w:sz="0" w:space="0" w:color="auto"/>
            <w:left w:val="none" w:sz="0" w:space="0" w:color="auto"/>
            <w:bottom w:val="none" w:sz="0" w:space="0" w:color="auto"/>
            <w:right w:val="none" w:sz="0" w:space="0" w:color="auto"/>
          </w:divBdr>
        </w:div>
        <w:div w:id="87233659">
          <w:marLeft w:val="0"/>
          <w:marRight w:val="0"/>
          <w:marTop w:val="0"/>
          <w:marBottom w:val="0"/>
          <w:divBdr>
            <w:top w:val="none" w:sz="0" w:space="0" w:color="auto"/>
            <w:left w:val="none" w:sz="0" w:space="0" w:color="auto"/>
            <w:bottom w:val="none" w:sz="0" w:space="0" w:color="auto"/>
            <w:right w:val="none" w:sz="0" w:space="0" w:color="auto"/>
          </w:divBdr>
        </w:div>
        <w:div w:id="92628739">
          <w:marLeft w:val="0"/>
          <w:marRight w:val="0"/>
          <w:marTop w:val="0"/>
          <w:marBottom w:val="0"/>
          <w:divBdr>
            <w:top w:val="none" w:sz="0" w:space="0" w:color="auto"/>
            <w:left w:val="none" w:sz="0" w:space="0" w:color="auto"/>
            <w:bottom w:val="none" w:sz="0" w:space="0" w:color="auto"/>
            <w:right w:val="none" w:sz="0" w:space="0" w:color="auto"/>
          </w:divBdr>
        </w:div>
        <w:div w:id="114493397">
          <w:marLeft w:val="0"/>
          <w:marRight w:val="0"/>
          <w:marTop w:val="0"/>
          <w:marBottom w:val="0"/>
          <w:divBdr>
            <w:top w:val="none" w:sz="0" w:space="0" w:color="auto"/>
            <w:left w:val="none" w:sz="0" w:space="0" w:color="auto"/>
            <w:bottom w:val="none" w:sz="0" w:space="0" w:color="auto"/>
            <w:right w:val="none" w:sz="0" w:space="0" w:color="auto"/>
          </w:divBdr>
        </w:div>
        <w:div w:id="127360151">
          <w:marLeft w:val="0"/>
          <w:marRight w:val="0"/>
          <w:marTop w:val="0"/>
          <w:marBottom w:val="0"/>
          <w:divBdr>
            <w:top w:val="none" w:sz="0" w:space="0" w:color="auto"/>
            <w:left w:val="none" w:sz="0" w:space="0" w:color="auto"/>
            <w:bottom w:val="none" w:sz="0" w:space="0" w:color="auto"/>
            <w:right w:val="none" w:sz="0" w:space="0" w:color="auto"/>
          </w:divBdr>
        </w:div>
        <w:div w:id="130438628">
          <w:marLeft w:val="0"/>
          <w:marRight w:val="0"/>
          <w:marTop w:val="0"/>
          <w:marBottom w:val="0"/>
          <w:divBdr>
            <w:top w:val="none" w:sz="0" w:space="0" w:color="auto"/>
            <w:left w:val="none" w:sz="0" w:space="0" w:color="auto"/>
            <w:bottom w:val="none" w:sz="0" w:space="0" w:color="auto"/>
            <w:right w:val="none" w:sz="0" w:space="0" w:color="auto"/>
          </w:divBdr>
        </w:div>
        <w:div w:id="140268509">
          <w:marLeft w:val="0"/>
          <w:marRight w:val="0"/>
          <w:marTop w:val="0"/>
          <w:marBottom w:val="0"/>
          <w:divBdr>
            <w:top w:val="none" w:sz="0" w:space="0" w:color="auto"/>
            <w:left w:val="none" w:sz="0" w:space="0" w:color="auto"/>
            <w:bottom w:val="none" w:sz="0" w:space="0" w:color="auto"/>
            <w:right w:val="none" w:sz="0" w:space="0" w:color="auto"/>
          </w:divBdr>
        </w:div>
        <w:div w:id="168837563">
          <w:marLeft w:val="0"/>
          <w:marRight w:val="0"/>
          <w:marTop w:val="0"/>
          <w:marBottom w:val="0"/>
          <w:divBdr>
            <w:top w:val="none" w:sz="0" w:space="0" w:color="auto"/>
            <w:left w:val="none" w:sz="0" w:space="0" w:color="auto"/>
            <w:bottom w:val="none" w:sz="0" w:space="0" w:color="auto"/>
            <w:right w:val="none" w:sz="0" w:space="0" w:color="auto"/>
          </w:divBdr>
        </w:div>
        <w:div w:id="215244206">
          <w:marLeft w:val="0"/>
          <w:marRight w:val="0"/>
          <w:marTop w:val="0"/>
          <w:marBottom w:val="0"/>
          <w:divBdr>
            <w:top w:val="none" w:sz="0" w:space="0" w:color="auto"/>
            <w:left w:val="none" w:sz="0" w:space="0" w:color="auto"/>
            <w:bottom w:val="none" w:sz="0" w:space="0" w:color="auto"/>
            <w:right w:val="none" w:sz="0" w:space="0" w:color="auto"/>
          </w:divBdr>
        </w:div>
        <w:div w:id="234972350">
          <w:marLeft w:val="0"/>
          <w:marRight w:val="0"/>
          <w:marTop w:val="0"/>
          <w:marBottom w:val="0"/>
          <w:divBdr>
            <w:top w:val="none" w:sz="0" w:space="0" w:color="auto"/>
            <w:left w:val="none" w:sz="0" w:space="0" w:color="auto"/>
            <w:bottom w:val="none" w:sz="0" w:space="0" w:color="auto"/>
            <w:right w:val="none" w:sz="0" w:space="0" w:color="auto"/>
          </w:divBdr>
        </w:div>
        <w:div w:id="269168500">
          <w:marLeft w:val="0"/>
          <w:marRight w:val="0"/>
          <w:marTop w:val="0"/>
          <w:marBottom w:val="0"/>
          <w:divBdr>
            <w:top w:val="none" w:sz="0" w:space="0" w:color="auto"/>
            <w:left w:val="none" w:sz="0" w:space="0" w:color="auto"/>
            <w:bottom w:val="none" w:sz="0" w:space="0" w:color="auto"/>
            <w:right w:val="none" w:sz="0" w:space="0" w:color="auto"/>
          </w:divBdr>
        </w:div>
        <w:div w:id="301270352">
          <w:marLeft w:val="0"/>
          <w:marRight w:val="0"/>
          <w:marTop w:val="0"/>
          <w:marBottom w:val="0"/>
          <w:divBdr>
            <w:top w:val="none" w:sz="0" w:space="0" w:color="auto"/>
            <w:left w:val="none" w:sz="0" w:space="0" w:color="auto"/>
            <w:bottom w:val="none" w:sz="0" w:space="0" w:color="auto"/>
            <w:right w:val="none" w:sz="0" w:space="0" w:color="auto"/>
          </w:divBdr>
        </w:div>
        <w:div w:id="321203059">
          <w:marLeft w:val="0"/>
          <w:marRight w:val="0"/>
          <w:marTop w:val="0"/>
          <w:marBottom w:val="0"/>
          <w:divBdr>
            <w:top w:val="none" w:sz="0" w:space="0" w:color="auto"/>
            <w:left w:val="none" w:sz="0" w:space="0" w:color="auto"/>
            <w:bottom w:val="none" w:sz="0" w:space="0" w:color="auto"/>
            <w:right w:val="none" w:sz="0" w:space="0" w:color="auto"/>
          </w:divBdr>
        </w:div>
        <w:div w:id="344870508">
          <w:marLeft w:val="0"/>
          <w:marRight w:val="0"/>
          <w:marTop w:val="0"/>
          <w:marBottom w:val="0"/>
          <w:divBdr>
            <w:top w:val="none" w:sz="0" w:space="0" w:color="auto"/>
            <w:left w:val="none" w:sz="0" w:space="0" w:color="auto"/>
            <w:bottom w:val="none" w:sz="0" w:space="0" w:color="auto"/>
            <w:right w:val="none" w:sz="0" w:space="0" w:color="auto"/>
          </w:divBdr>
        </w:div>
        <w:div w:id="363411524">
          <w:marLeft w:val="0"/>
          <w:marRight w:val="0"/>
          <w:marTop w:val="0"/>
          <w:marBottom w:val="0"/>
          <w:divBdr>
            <w:top w:val="none" w:sz="0" w:space="0" w:color="auto"/>
            <w:left w:val="none" w:sz="0" w:space="0" w:color="auto"/>
            <w:bottom w:val="none" w:sz="0" w:space="0" w:color="auto"/>
            <w:right w:val="none" w:sz="0" w:space="0" w:color="auto"/>
          </w:divBdr>
        </w:div>
        <w:div w:id="371805495">
          <w:marLeft w:val="0"/>
          <w:marRight w:val="0"/>
          <w:marTop w:val="0"/>
          <w:marBottom w:val="0"/>
          <w:divBdr>
            <w:top w:val="none" w:sz="0" w:space="0" w:color="auto"/>
            <w:left w:val="none" w:sz="0" w:space="0" w:color="auto"/>
            <w:bottom w:val="none" w:sz="0" w:space="0" w:color="auto"/>
            <w:right w:val="none" w:sz="0" w:space="0" w:color="auto"/>
          </w:divBdr>
        </w:div>
        <w:div w:id="462192165">
          <w:marLeft w:val="0"/>
          <w:marRight w:val="0"/>
          <w:marTop w:val="0"/>
          <w:marBottom w:val="0"/>
          <w:divBdr>
            <w:top w:val="none" w:sz="0" w:space="0" w:color="auto"/>
            <w:left w:val="none" w:sz="0" w:space="0" w:color="auto"/>
            <w:bottom w:val="none" w:sz="0" w:space="0" w:color="auto"/>
            <w:right w:val="none" w:sz="0" w:space="0" w:color="auto"/>
          </w:divBdr>
        </w:div>
        <w:div w:id="489904767">
          <w:marLeft w:val="0"/>
          <w:marRight w:val="0"/>
          <w:marTop w:val="0"/>
          <w:marBottom w:val="0"/>
          <w:divBdr>
            <w:top w:val="none" w:sz="0" w:space="0" w:color="auto"/>
            <w:left w:val="none" w:sz="0" w:space="0" w:color="auto"/>
            <w:bottom w:val="none" w:sz="0" w:space="0" w:color="auto"/>
            <w:right w:val="none" w:sz="0" w:space="0" w:color="auto"/>
          </w:divBdr>
        </w:div>
        <w:div w:id="520822193">
          <w:marLeft w:val="0"/>
          <w:marRight w:val="0"/>
          <w:marTop w:val="0"/>
          <w:marBottom w:val="0"/>
          <w:divBdr>
            <w:top w:val="none" w:sz="0" w:space="0" w:color="auto"/>
            <w:left w:val="none" w:sz="0" w:space="0" w:color="auto"/>
            <w:bottom w:val="none" w:sz="0" w:space="0" w:color="auto"/>
            <w:right w:val="none" w:sz="0" w:space="0" w:color="auto"/>
          </w:divBdr>
        </w:div>
        <w:div w:id="524448096">
          <w:marLeft w:val="0"/>
          <w:marRight w:val="0"/>
          <w:marTop w:val="0"/>
          <w:marBottom w:val="0"/>
          <w:divBdr>
            <w:top w:val="none" w:sz="0" w:space="0" w:color="auto"/>
            <w:left w:val="none" w:sz="0" w:space="0" w:color="auto"/>
            <w:bottom w:val="none" w:sz="0" w:space="0" w:color="auto"/>
            <w:right w:val="none" w:sz="0" w:space="0" w:color="auto"/>
          </w:divBdr>
        </w:div>
        <w:div w:id="543563551">
          <w:marLeft w:val="0"/>
          <w:marRight w:val="0"/>
          <w:marTop w:val="0"/>
          <w:marBottom w:val="0"/>
          <w:divBdr>
            <w:top w:val="none" w:sz="0" w:space="0" w:color="auto"/>
            <w:left w:val="none" w:sz="0" w:space="0" w:color="auto"/>
            <w:bottom w:val="none" w:sz="0" w:space="0" w:color="auto"/>
            <w:right w:val="none" w:sz="0" w:space="0" w:color="auto"/>
          </w:divBdr>
        </w:div>
        <w:div w:id="544030740">
          <w:marLeft w:val="0"/>
          <w:marRight w:val="0"/>
          <w:marTop w:val="0"/>
          <w:marBottom w:val="0"/>
          <w:divBdr>
            <w:top w:val="none" w:sz="0" w:space="0" w:color="auto"/>
            <w:left w:val="none" w:sz="0" w:space="0" w:color="auto"/>
            <w:bottom w:val="none" w:sz="0" w:space="0" w:color="auto"/>
            <w:right w:val="none" w:sz="0" w:space="0" w:color="auto"/>
          </w:divBdr>
        </w:div>
        <w:div w:id="544373918">
          <w:marLeft w:val="0"/>
          <w:marRight w:val="0"/>
          <w:marTop w:val="0"/>
          <w:marBottom w:val="0"/>
          <w:divBdr>
            <w:top w:val="none" w:sz="0" w:space="0" w:color="auto"/>
            <w:left w:val="none" w:sz="0" w:space="0" w:color="auto"/>
            <w:bottom w:val="none" w:sz="0" w:space="0" w:color="auto"/>
            <w:right w:val="none" w:sz="0" w:space="0" w:color="auto"/>
          </w:divBdr>
        </w:div>
        <w:div w:id="550652081">
          <w:marLeft w:val="0"/>
          <w:marRight w:val="0"/>
          <w:marTop w:val="0"/>
          <w:marBottom w:val="0"/>
          <w:divBdr>
            <w:top w:val="none" w:sz="0" w:space="0" w:color="auto"/>
            <w:left w:val="none" w:sz="0" w:space="0" w:color="auto"/>
            <w:bottom w:val="none" w:sz="0" w:space="0" w:color="auto"/>
            <w:right w:val="none" w:sz="0" w:space="0" w:color="auto"/>
          </w:divBdr>
        </w:div>
        <w:div w:id="579099298">
          <w:marLeft w:val="0"/>
          <w:marRight w:val="0"/>
          <w:marTop w:val="0"/>
          <w:marBottom w:val="0"/>
          <w:divBdr>
            <w:top w:val="none" w:sz="0" w:space="0" w:color="auto"/>
            <w:left w:val="none" w:sz="0" w:space="0" w:color="auto"/>
            <w:bottom w:val="none" w:sz="0" w:space="0" w:color="auto"/>
            <w:right w:val="none" w:sz="0" w:space="0" w:color="auto"/>
          </w:divBdr>
        </w:div>
        <w:div w:id="579757664">
          <w:marLeft w:val="0"/>
          <w:marRight w:val="0"/>
          <w:marTop w:val="0"/>
          <w:marBottom w:val="0"/>
          <w:divBdr>
            <w:top w:val="none" w:sz="0" w:space="0" w:color="auto"/>
            <w:left w:val="none" w:sz="0" w:space="0" w:color="auto"/>
            <w:bottom w:val="none" w:sz="0" w:space="0" w:color="auto"/>
            <w:right w:val="none" w:sz="0" w:space="0" w:color="auto"/>
          </w:divBdr>
        </w:div>
        <w:div w:id="624317380">
          <w:marLeft w:val="0"/>
          <w:marRight w:val="0"/>
          <w:marTop w:val="0"/>
          <w:marBottom w:val="0"/>
          <w:divBdr>
            <w:top w:val="none" w:sz="0" w:space="0" w:color="auto"/>
            <w:left w:val="none" w:sz="0" w:space="0" w:color="auto"/>
            <w:bottom w:val="none" w:sz="0" w:space="0" w:color="auto"/>
            <w:right w:val="none" w:sz="0" w:space="0" w:color="auto"/>
          </w:divBdr>
        </w:div>
        <w:div w:id="663357817">
          <w:marLeft w:val="0"/>
          <w:marRight w:val="0"/>
          <w:marTop w:val="0"/>
          <w:marBottom w:val="0"/>
          <w:divBdr>
            <w:top w:val="none" w:sz="0" w:space="0" w:color="auto"/>
            <w:left w:val="none" w:sz="0" w:space="0" w:color="auto"/>
            <w:bottom w:val="none" w:sz="0" w:space="0" w:color="auto"/>
            <w:right w:val="none" w:sz="0" w:space="0" w:color="auto"/>
          </w:divBdr>
        </w:div>
        <w:div w:id="683633097">
          <w:marLeft w:val="0"/>
          <w:marRight w:val="0"/>
          <w:marTop w:val="0"/>
          <w:marBottom w:val="0"/>
          <w:divBdr>
            <w:top w:val="none" w:sz="0" w:space="0" w:color="auto"/>
            <w:left w:val="none" w:sz="0" w:space="0" w:color="auto"/>
            <w:bottom w:val="none" w:sz="0" w:space="0" w:color="auto"/>
            <w:right w:val="none" w:sz="0" w:space="0" w:color="auto"/>
          </w:divBdr>
        </w:div>
        <w:div w:id="698703274">
          <w:marLeft w:val="0"/>
          <w:marRight w:val="0"/>
          <w:marTop w:val="0"/>
          <w:marBottom w:val="0"/>
          <w:divBdr>
            <w:top w:val="none" w:sz="0" w:space="0" w:color="auto"/>
            <w:left w:val="none" w:sz="0" w:space="0" w:color="auto"/>
            <w:bottom w:val="none" w:sz="0" w:space="0" w:color="auto"/>
            <w:right w:val="none" w:sz="0" w:space="0" w:color="auto"/>
          </w:divBdr>
        </w:div>
        <w:div w:id="804009729">
          <w:marLeft w:val="0"/>
          <w:marRight w:val="0"/>
          <w:marTop w:val="0"/>
          <w:marBottom w:val="0"/>
          <w:divBdr>
            <w:top w:val="none" w:sz="0" w:space="0" w:color="auto"/>
            <w:left w:val="none" w:sz="0" w:space="0" w:color="auto"/>
            <w:bottom w:val="none" w:sz="0" w:space="0" w:color="auto"/>
            <w:right w:val="none" w:sz="0" w:space="0" w:color="auto"/>
          </w:divBdr>
        </w:div>
        <w:div w:id="805781173">
          <w:marLeft w:val="0"/>
          <w:marRight w:val="0"/>
          <w:marTop w:val="0"/>
          <w:marBottom w:val="0"/>
          <w:divBdr>
            <w:top w:val="none" w:sz="0" w:space="0" w:color="auto"/>
            <w:left w:val="none" w:sz="0" w:space="0" w:color="auto"/>
            <w:bottom w:val="none" w:sz="0" w:space="0" w:color="auto"/>
            <w:right w:val="none" w:sz="0" w:space="0" w:color="auto"/>
          </w:divBdr>
        </w:div>
        <w:div w:id="808715153">
          <w:marLeft w:val="0"/>
          <w:marRight w:val="0"/>
          <w:marTop w:val="0"/>
          <w:marBottom w:val="0"/>
          <w:divBdr>
            <w:top w:val="none" w:sz="0" w:space="0" w:color="auto"/>
            <w:left w:val="none" w:sz="0" w:space="0" w:color="auto"/>
            <w:bottom w:val="none" w:sz="0" w:space="0" w:color="auto"/>
            <w:right w:val="none" w:sz="0" w:space="0" w:color="auto"/>
          </w:divBdr>
        </w:div>
        <w:div w:id="809052310">
          <w:marLeft w:val="0"/>
          <w:marRight w:val="0"/>
          <w:marTop w:val="0"/>
          <w:marBottom w:val="0"/>
          <w:divBdr>
            <w:top w:val="none" w:sz="0" w:space="0" w:color="auto"/>
            <w:left w:val="none" w:sz="0" w:space="0" w:color="auto"/>
            <w:bottom w:val="none" w:sz="0" w:space="0" w:color="auto"/>
            <w:right w:val="none" w:sz="0" w:space="0" w:color="auto"/>
          </w:divBdr>
        </w:div>
        <w:div w:id="860896862">
          <w:marLeft w:val="0"/>
          <w:marRight w:val="0"/>
          <w:marTop w:val="0"/>
          <w:marBottom w:val="0"/>
          <w:divBdr>
            <w:top w:val="none" w:sz="0" w:space="0" w:color="auto"/>
            <w:left w:val="none" w:sz="0" w:space="0" w:color="auto"/>
            <w:bottom w:val="none" w:sz="0" w:space="0" w:color="auto"/>
            <w:right w:val="none" w:sz="0" w:space="0" w:color="auto"/>
          </w:divBdr>
        </w:div>
        <w:div w:id="872227746">
          <w:marLeft w:val="0"/>
          <w:marRight w:val="0"/>
          <w:marTop w:val="0"/>
          <w:marBottom w:val="0"/>
          <w:divBdr>
            <w:top w:val="none" w:sz="0" w:space="0" w:color="auto"/>
            <w:left w:val="none" w:sz="0" w:space="0" w:color="auto"/>
            <w:bottom w:val="none" w:sz="0" w:space="0" w:color="auto"/>
            <w:right w:val="none" w:sz="0" w:space="0" w:color="auto"/>
          </w:divBdr>
        </w:div>
        <w:div w:id="920338245">
          <w:marLeft w:val="0"/>
          <w:marRight w:val="0"/>
          <w:marTop w:val="0"/>
          <w:marBottom w:val="0"/>
          <w:divBdr>
            <w:top w:val="none" w:sz="0" w:space="0" w:color="auto"/>
            <w:left w:val="none" w:sz="0" w:space="0" w:color="auto"/>
            <w:bottom w:val="none" w:sz="0" w:space="0" w:color="auto"/>
            <w:right w:val="none" w:sz="0" w:space="0" w:color="auto"/>
          </w:divBdr>
        </w:div>
        <w:div w:id="935286072">
          <w:marLeft w:val="0"/>
          <w:marRight w:val="0"/>
          <w:marTop w:val="0"/>
          <w:marBottom w:val="0"/>
          <w:divBdr>
            <w:top w:val="none" w:sz="0" w:space="0" w:color="auto"/>
            <w:left w:val="none" w:sz="0" w:space="0" w:color="auto"/>
            <w:bottom w:val="none" w:sz="0" w:space="0" w:color="auto"/>
            <w:right w:val="none" w:sz="0" w:space="0" w:color="auto"/>
          </w:divBdr>
        </w:div>
        <w:div w:id="974874785">
          <w:marLeft w:val="0"/>
          <w:marRight w:val="0"/>
          <w:marTop w:val="0"/>
          <w:marBottom w:val="0"/>
          <w:divBdr>
            <w:top w:val="none" w:sz="0" w:space="0" w:color="auto"/>
            <w:left w:val="none" w:sz="0" w:space="0" w:color="auto"/>
            <w:bottom w:val="none" w:sz="0" w:space="0" w:color="auto"/>
            <w:right w:val="none" w:sz="0" w:space="0" w:color="auto"/>
          </w:divBdr>
        </w:div>
        <w:div w:id="985859648">
          <w:marLeft w:val="0"/>
          <w:marRight w:val="0"/>
          <w:marTop w:val="0"/>
          <w:marBottom w:val="0"/>
          <w:divBdr>
            <w:top w:val="none" w:sz="0" w:space="0" w:color="auto"/>
            <w:left w:val="none" w:sz="0" w:space="0" w:color="auto"/>
            <w:bottom w:val="none" w:sz="0" w:space="0" w:color="auto"/>
            <w:right w:val="none" w:sz="0" w:space="0" w:color="auto"/>
          </w:divBdr>
        </w:div>
        <w:div w:id="1033117046">
          <w:marLeft w:val="0"/>
          <w:marRight w:val="0"/>
          <w:marTop w:val="0"/>
          <w:marBottom w:val="0"/>
          <w:divBdr>
            <w:top w:val="none" w:sz="0" w:space="0" w:color="auto"/>
            <w:left w:val="none" w:sz="0" w:space="0" w:color="auto"/>
            <w:bottom w:val="none" w:sz="0" w:space="0" w:color="auto"/>
            <w:right w:val="none" w:sz="0" w:space="0" w:color="auto"/>
          </w:divBdr>
        </w:div>
        <w:div w:id="1036127493">
          <w:marLeft w:val="0"/>
          <w:marRight w:val="0"/>
          <w:marTop w:val="0"/>
          <w:marBottom w:val="0"/>
          <w:divBdr>
            <w:top w:val="none" w:sz="0" w:space="0" w:color="auto"/>
            <w:left w:val="none" w:sz="0" w:space="0" w:color="auto"/>
            <w:bottom w:val="none" w:sz="0" w:space="0" w:color="auto"/>
            <w:right w:val="none" w:sz="0" w:space="0" w:color="auto"/>
          </w:divBdr>
        </w:div>
        <w:div w:id="1074088299">
          <w:marLeft w:val="0"/>
          <w:marRight w:val="0"/>
          <w:marTop w:val="0"/>
          <w:marBottom w:val="0"/>
          <w:divBdr>
            <w:top w:val="none" w:sz="0" w:space="0" w:color="auto"/>
            <w:left w:val="none" w:sz="0" w:space="0" w:color="auto"/>
            <w:bottom w:val="none" w:sz="0" w:space="0" w:color="auto"/>
            <w:right w:val="none" w:sz="0" w:space="0" w:color="auto"/>
          </w:divBdr>
        </w:div>
        <w:div w:id="1085227187">
          <w:marLeft w:val="0"/>
          <w:marRight w:val="0"/>
          <w:marTop w:val="0"/>
          <w:marBottom w:val="0"/>
          <w:divBdr>
            <w:top w:val="none" w:sz="0" w:space="0" w:color="auto"/>
            <w:left w:val="none" w:sz="0" w:space="0" w:color="auto"/>
            <w:bottom w:val="none" w:sz="0" w:space="0" w:color="auto"/>
            <w:right w:val="none" w:sz="0" w:space="0" w:color="auto"/>
          </w:divBdr>
        </w:div>
        <w:div w:id="1100023913">
          <w:marLeft w:val="0"/>
          <w:marRight w:val="0"/>
          <w:marTop w:val="0"/>
          <w:marBottom w:val="0"/>
          <w:divBdr>
            <w:top w:val="none" w:sz="0" w:space="0" w:color="auto"/>
            <w:left w:val="none" w:sz="0" w:space="0" w:color="auto"/>
            <w:bottom w:val="none" w:sz="0" w:space="0" w:color="auto"/>
            <w:right w:val="none" w:sz="0" w:space="0" w:color="auto"/>
          </w:divBdr>
        </w:div>
        <w:div w:id="1140734790">
          <w:marLeft w:val="0"/>
          <w:marRight w:val="0"/>
          <w:marTop w:val="0"/>
          <w:marBottom w:val="0"/>
          <w:divBdr>
            <w:top w:val="none" w:sz="0" w:space="0" w:color="auto"/>
            <w:left w:val="none" w:sz="0" w:space="0" w:color="auto"/>
            <w:bottom w:val="none" w:sz="0" w:space="0" w:color="auto"/>
            <w:right w:val="none" w:sz="0" w:space="0" w:color="auto"/>
          </w:divBdr>
        </w:div>
        <w:div w:id="1154294391">
          <w:marLeft w:val="0"/>
          <w:marRight w:val="0"/>
          <w:marTop w:val="0"/>
          <w:marBottom w:val="0"/>
          <w:divBdr>
            <w:top w:val="none" w:sz="0" w:space="0" w:color="auto"/>
            <w:left w:val="none" w:sz="0" w:space="0" w:color="auto"/>
            <w:bottom w:val="none" w:sz="0" w:space="0" w:color="auto"/>
            <w:right w:val="none" w:sz="0" w:space="0" w:color="auto"/>
          </w:divBdr>
        </w:div>
        <w:div w:id="1172188022">
          <w:marLeft w:val="0"/>
          <w:marRight w:val="0"/>
          <w:marTop w:val="0"/>
          <w:marBottom w:val="0"/>
          <w:divBdr>
            <w:top w:val="none" w:sz="0" w:space="0" w:color="auto"/>
            <w:left w:val="none" w:sz="0" w:space="0" w:color="auto"/>
            <w:bottom w:val="none" w:sz="0" w:space="0" w:color="auto"/>
            <w:right w:val="none" w:sz="0" w:space="0" w:color="auto"/>
          </w:divBdr>
        </w:div>
        <w:div w:id="1174101822">
          <w:marLeft w:val="0"/>
          <w:marRight w:val="0"/>
          <w:marTop w:val="0"/>
          <w:marBottom w:val="0"/>
          <w:divBdr>
            <w:top w:val="none" w:sz="0" w:space="0" w:color="auto"/>
            <w:left w:val="none" w:sz="0" w:space="0" w:color="auto"/>
            <w:bottom w:val="none" w:sz="0" w:space="0" w:color="auto"/>
            <w:right w:val="none" w:sz="0" w:space="0" w:color="auto"/>
          </w:divBdr>
        </w:div>
        <w:div w:id="1176769119">
          <w:marLeft w:val="0"/>
          <w:marRight w:val="0"/>
          <w:marTop w:val="0"/>
          <w:marBottom w:val="0"/>
          <w:divBdr>
            <w:top w:val="none" w:sz="0" w:space="0" w:color="auto"/>
            <w:left w:val="none" w:sz="0" w:space="0" w:color="auto"/>
            <w:bottom w:val="none" w:sz="0" w:space="0" w:color="auto"/>
            <w:right w:val="none" w:sz="0" w:space="0" w:color="auto"/>
          </w:divBdr>
        </w:div>
        <w:div w:id="1262252015">
          <w:marLeft w:val="0"/>
          <w:marRight w:val="0"/>
          <w:marTop w:val="0"/>
          <w:marBottom w:val="0"/>
          <w:divBdr>
            <w:top w:val="none" w:sz="0" w:space="0" w:color="auto"/>
            <w:left w:val="none" w:sz="0" w:space="0" w:color="auto"/>
            <w:bottom w:val="none" w:sz="0" w:space="0" w:color="auto"/>
            <w:right w:val="none" w:sz="0" w:space="0" w:color="auto"/>
          </w:divBdr>
        </w:div>
        <w:div w:id="1287198078">
          <w:marLeft w:val="0"/>
          <w:marRight w:val="0"/>
          <w:marTop w:val="0"/>
          <w:marBottom w:val="0"/>
          <w:divBdr>
            <w:top w:val="none" w:sz="0" w:space="0" w:color="auto"/>
            <w:left w:val="none" w:sz="0" w:space="0" w:color="auto"/>
            <w:bottom w:val="none" w:sz="0" w:space="0" w:color="auto"/>
            <w:right w:val="none" w:sz="0" w:space="0" w:color="auto"/>
          </w:divBdr>
        </w:div>
        <w:div w:id="1298490645">
          <w:marLeft w:val="0"/>
          <w:marRight w:val="0"/>
          <w:marTop w:val="0"/>
          <w:marBottom w:val="0"/>
          <w:divBdr>
            <w:top w:val="none" w:sz="0" w:space="0" w:color="auto"/>
            <w:left w:val="none" w:sz="0" w:space="0" w:color="auto"/>
            <w:bottom w:val="none" w:sz="0" w:space="0" w:color="auto"/>
            <w:right w:val="none" w:sz="0" w:space="0" w:color="auto"/>
          </w:divBdr>
        </w:div>
        <w:div w:id="1318916199">
          <w:marLeft w:val="0"/>
          <w:marRight w:val="0"/>
          <w:marTop w:val="0"/>
          <w:marBottom w:val="0"/>
          <w:divBdr>
            <w:top w:val="none" w:sz="0" w:space="0" w:color="auto"/>
            <w:left w:val="none" w:sz="0" w:space="0" w:color="auto"/>
            <w:bottom w:val="none" w:sz="0" w:space="0" w:color="auto"/>
            <w:right w:val="none" w:sz="0" w:space="0" w:color="auto"/>
          </w:divBdr>
        </w:div>
        <w:div w:id="1350445621">
          <w:marLeft w:val="0"/>
          <w:marRight w:val="0"/>
          <w:marTop w:val="0"/>
          <w:marBottom w:val="0"/>
          <w:divBdr>
            <w:top w:val="none" w:sz="0" w:space="0" w:color="auto"/>
            <w:left w:val="none" w:sz="0" w:space="0" w:color="auto"/>
            <w:bottom w:val="none" w:sz="0" w:space="0" w:color="auto"/>
            <w:right w:val="none" w:sz="0" w:space="0" w:color="auto"/>
          </w:divBdr>
        </w:div>
        <w:div w:id="1383679260">
          <w:marLeft w:val="0"/>
          <w:marRight w:val="0"/>
          <w:marTop w:val="0"/>
          <w:marBottom w:val="0"/>
          <w:divBdr>
            <w:top w:val="none" w:sz="0" w:space="0" w:color="auto"/>
            <w:left w:val="none" w:sz="0" w:space="0" w:color="auto"/>
            <w:bottom w:val="none" w:sz="0" w:space="0" w:color="auto"/>
            <w:right w:val="none" w:sz="0" w:space="0" w:color="auto"/>
          </w:divBdr>
        </w:div>
        <w:div w:id="1401825322">
          <w:marLeft w:val="0"/>
          <w:marRight w:val="0"/>
          <w:marTop w:val="0"/>
          <w:marBottom w:val="0"/>
          <w:divBdr>
            <w:top w:val="none" w:sz="0" w:space="0" w:color="auto"/>
            <w:left w:val="none" w:sz="0" w:space="0" w:color="auto"/>
            <w:bottom w:val="none" w:sz="0" w:space="0" w:color="auto"/>
            <w:right w:val="none" w:sz="0" w:space="0" w:color="auto"/>
          </w:divBdr>
        </w:div>
        <w:div w:id="1414089676">
          <w:marLeft w:val="0"/>
          <w:marRight w:val="0"/>
          <w:marTop w:val="0"/>
          <w:marBottom w:val="0"/>
          <w:divBdr>
            <w:top w:val="none" w:sz="0" w:space="0" w:color="auto"/>
            <w:left w:val="none" w:sz="0" w:space="0" w:color="auto"/>
            <w:bottom w:val="none" w:sz="0" w:space="0" w:color="auto"/>
            <w:right w:val="none" w:sz="0" w:space="0" w:color="auto"/>
          </w:divBdr>
        </w:div>
        <w:div w:id="1442917550">
          <w:marLeft w:val="0"/>
          <w:marRight w:val="0"/>
          <w:marTop w:val="0"/>
          <w:marBottom w:val="0"/>
          <w:divBdr>
            <w:top w:val="none" w:sz="0" w:space="0" w:color="auto"/>
            <w:left w:val="none" w:sz="0" w:space="0" w:color="auto"/>
            <w:bottom w:val="none" w:sz="0" w:space="0" w:color="auto"/>
            <w:right w:val="none" w:sz="0" w:space="0" w:color="auto"/>
          </w:divBdr>
        </w:div>
        <w:div w:id="1460802055">
          <w:marLeft w:val="0"/>
          <w:marRight w:val="0"/>
          <w:marTop w:val="0"/>
          <w:marBottom w:val="0"/>
          <w:divBdr>
            <w:top w:val="none" w:sz="0" w:space="0" w:color="auto"/>
            <w:left w:val="none" w:sz="0" w:space="0" w:color="auto"/>
            <w:bottom w:val="none" w:sz="0" w:space="0" w:color="auto"/>
            <w:right w:val="none" w:sz="0" w:space="0" w:color="auto"/>
          </w:divBdr>
        </w:div>
        <w:div w:id="1472358121">
          <w:marLeft w:val="0"/>
          <w:marRight w:val="0"/>
          <w:marTop w:val="0"/>
          <w:marBottom w:val="0"/>
          <w:divBdr>
            <w:top w:val="none" w:sz="0" w:space="0" w:color="auto"/>
            <w:left w:val="none" w:sz="0" w:space="0" w:color="auto"/>
            <w:bottom w:val="none" w:sz="0" w:space="0" w:color="auto"/>
            <w:right w:val="none" w:sz="0" w:space="0" w:color="auto"/>
          </w:divBdr>
        </w:div>
        <w:div w:id="1476408920">
          <w:marLeft w:val="0"/>
          <w:marRight w:val="0"/>
          <w:marTop w:val="0"/>
          <w:marBottom w:val="0"/>
          <w:divBdr>
            <w:top w:val="none" w:sz="0" w:space="0" w:color="auto"/>
            <w:left w:val="none" w:sz="0" w:space="0" w:color="auto"/>
            <w:bottom w:val="none" w:sz="0" w:space="0" w:color="auto"/>
            <w:right w:val="none" w:sz="0" w:space="0" w:color="auto"/>
          </w:divBdr>
        </w:div>
        <w:div w:id="1476533868">
          <w:marLeft w:val="0"/>
          <w:marRight w:val="0"/>
          <w:marTop w:val="0"/>
          <w:marBottom w:val="0"/>
          <w:divBdr>
            <w:top w:val="none" w:sz="0" w:space="0" w:color="auto"/>
            <w:left w:val="none" w:sz="0" w:space="0" w:color="auto"/>
            <w:bottom w:val="none" w:sz="0" w:space="0" w:color="auto"/>
            <w:right w:val="none" w:sz="0" w:space="0" w:color="auto"/>
          </w:divBdr>
        </w:div>
        <w:div w:id="1485661439">
          <w:marLeft w:val="0"/>
          <w:marRight w:val="0"/>
          <w:marTop w:val="0"/>
          <w:marBottom w:val="0"/>
          <w:divBdr>
            <w:top w:val="none" w:sz="0" w:space="0" w:color="auto"/>
            <w:left w:val="none" w:sz="0" w:space="0" w:color="auto"/>
            <w:bottom w:val="none" w:sz="0" w:space="0" w:color="auto"/>
            <w:right w:val="none" w:sz="0" w:space="0" w:color="auto"/>
          </w:divBdr>
        </w:div>
        <w:div w:id="1549417813">
          <w:marLeft w:val="0"/>
          <w:marRight w:val="0"/>
          <w:marTop w:val="0"/>
          <w:marBottom w:val="0"/>
          <w:divBdr>
            <w:top w:val="none" w:sz="0" w:space="0" w:color="auto"/>
            <w:left w:val="none" w:sz="0" w:space="0" w:color="auto"/>
            <w:bottom w:val="none" w:sz="0" w:space="0" w:color="auto"/>
            <w:right w:val="none" w:sz="0" w:space="0" w:color="auto"/>
          </w:divBdr>
        </w:div>
        <w:div w:id="1580603712">
          <w:marLeft w:val="0"/>
          <w:marRight w:val="0"/>
          <w:marTop w:val="0"/>
          <w:marBottom w:val="0"/>
          <w:divBdr>
            <w:top w:val="none" w:sz="0" w:space="0" w:color="auto"/>
            <w:left w:val="none" w:sz="0" w:space="0" w:color="auto"/>
            <w:bottom w:val="none" w:sz="0" w:space="0" w:color="auto"/>
            <w:right w:val="none" w:sz="0" w:space="0" w:color="auto"/>
          </w:divBdr>
        </w:div>
        <w:div w:id="1581207105">
          <w:marLeft w:val="0"/>
          <w:marRight w:val="0"/>
          <w:marTop w:val="0"/>
          <w:marBottom w:val="0"/>
          <w:divBdr>
            <w:top w:val="none" w:sz="0" w:space="0" w:color="auto"/>
            <w:left w:val="none" w:sz="0" w:space="0" w:color="auto"/>
            <w:bottom w:val="none" w:sz="0" w:space="0" w:color="auto"/>
            <w:right w:val="none" w:sz="0" w:space="0" w:color="auto"/>
          </w:divBdr>
        </w:div>
        <w:div w:id="1593008122">
          <w:marLeft w:val="0"/>
          <w:marRight w:val="0"/>
          <w:marTop w:val="0"/>
          <w:marBottom w:val="0"/>
          <w:divBdr>
            <w:top w:val="none" w:sz="0" w:space="0" w:color="auto"/>
            <w:left w:val="none" w:sz="0" w:space="0" w:color="auto"/>
            <w:bottom w:val="none" w:sz="0" w:space="0" w:color="auto"/>
            <w:right w:val="none" w:sz="0" w:space="0" w:color="auto"/>
          </w:divBdr>
        </w:div>
        <w:div w:id="1599486309">
          <w:marLeft w:val="0"/>
          <w:marRight w:val="0"/>
          <w:marTop w:val="0"/>
          <w:marBottom w:val="0"/>
          <w:divBdr>
            <w:top w:val="none" w:sz="0" w:space="0" w:color="auto"/>
            <w:left w:val="none" w:sz="0" w:space="0" w:color="auto"/>
            <w:bottom w:val="none" w:sz="0" w:space="0" w:color="auto"/>
            <w:right w:val="none" w:sz="0" w:space="0" w:color="auto"/>
          </w:divBdr>
        </w:div>
        <w:div w:id="1618220447">
          <w:marLeft w:val="0"/>
          <w:marRight w:val="0"/>
          <w:marTop w:val="0"/>
          <w:marBottom w:val="0"/>
          <w:divBdr>
            <w:top w:val="none" w:sz="0" w:space="0" w:color="auto"/>
            <w:left w:val="none" w:sz="0" w:space="0" w:color="auto"/>
            <w:bottom w:val="none" w:sz="0" w:space="0" w:color="auto"/>
            <w:right w:val="none" w:sz="0" w:space="0" w:color="auto"/>
          </w:divBdr>
        </w:div>
        <w:div w:id="1667323743">
          <w:marLeft w:val="0"/>
          <w:marRight w:val="0"/>
          <w:marTop w:val="0"/>
          <w:marBottom w:val="0"/>
          <w:divBdr>
            <w:top w:val="none" w:sz="0" w:space="0" w:color="auto"/>
            <w:left w:val="none" w:sz="0" w:space="0" w:color="auto"/>
            <w:bottom w:val="none" w:sz="0" w:space="0" w:color="auto"/>
            <w:right w:val="none" w:sz="0" w:space="0" w:color="auto"/>
          </w:divBdr>
        </w:div>
        <w:div w:id="1677071948">
          <w:marLeft w:val="0"/>
          <w:marRight w:val="0"/>
          <w:marTop w:val="0"/>
          <w:marBottom w:val="0"/>
          <w:divBdr>
            <w:top w:val="none" w:sz="0" w:space="0" w:color="auto"/>
            <w:left w:val="none" w:sz="0" w:space="0" w:color="auto"/>
            <w:bottom w:val="none" w:sz="0" w:space="0" w:color="auto"/>
            <w:right w:val="none" w:sz="0" w:space="0" w:color="auto"/>
          </w:divBdr>
        </w:div>
        <w:div w:id="1693453218">
          <w:marLeft w:val="0"/>
          <w:marRight w:val="0"/>
          <w:marTop w:val="0"/>
          <w:marBottom w:val="0"/>
          <w:divBdr>
            <w:top w:val="none" w:sz="0" w:space="0" w:color="auto"/>
            <w:left w:val="none" w:sz="0" w:space="0" w:color="auto"/>
            <w:bottom w:val="none" w:sz="0" w:space="0" w:color="auto"/>
            <w:right w:val="none" w:sz="0" w:space="0" w:color="auto"/>
          </w:divBdr>
        </w:div>
        <w:div w:id="1707490424">
          <w:marLeft w:val="0"/>
          <w:marRight w:val="0"/>
          <w:marTop w:val="0"/>
          <w:marBottom w:val="0"/>
          <w:divBdr>
            <w:top w:val="none" w:sz="0" w:space="0" w:color="auto"/>
            <w:left w:val="none" w:sz="0" w:space="0" w:color="auto"/>
            <w:bottom w:val="none" w:sz="0" w:space="0" w:color="auto"/>
            <w:right w:val="none" w:sz="0" w:space="0" w:color="auto"/>
          </w:divBdr>
        </w:div>
        <w:div w:id="1754623101">
          <w:marLeft w:val="0"/>
          <w:marRight w:val="0"/>
          <w:marTop w:val="0"/>
          <w:marBottom w:val="0"/>
          <w:divBdr>
            <w:top w:val="none" w:sz="0" w:space="0" w:color="auto"/>
            <w:left w:val="none" w:sz="0" w:space="0" w:color="auto"/>
            <w:bottom w:val="none" w:sz="0" w:space="0" w:color="auto"/>
            <w:right w:val="none" w:sz="0" w:space="0" w:color="auto"/>
          </w:divBdr>
        </w:div>
        <w:div w:id="1761441001">
          <w:marLeft w:val="0"/>
          <w:marRight w:val="0"/>
          <w:marTop w:val="0"/>
          <w:marBottom w:val="0"/>
          <w:divBdr>
            <w:top w:val="none" w:sz="0" w:space="0" w:color="auto"/>
            <w:left w:val="none" w:sz="0" w:space="0" w:color="auto"/>
            <w:bottom w:val="none" w:sz="0" w:space="0" w:color="auto"/>
            <w:right w:val="none" w:sz="0" w:space="0" w:color="auto"/>
          </w:divBdr>
        </w:div>
        <w:div w:id="1774396208">
          <w:marLeft w:val="0"/>
          <w:marRight w:val="0"/>
          <w:marTop w:val="0"/>
          <w:marBottom w:val="0"/>
          <w:divBdr>
            <w:top w:val="none" w:sz="0" w:space="0" w:color="auto"/>
            <w:left w:val="none" w:sz="0" w:space="0" w:color="auto"/>
            <w:bottom w:val="none" w:sz="0" w:space="0" w:color="auto"/>
            <w:right w:val="none" w:sz="0" w:space="0" w:color="auto"/>
          </w:divBdr>
        </w:div>
        <w:div w:id="1810778804">
          <w:marLeft w:val="0"/>
          <w:marRight w:val="0"/>
          <w:marTop w:val="0"/>
          <w:marBottom w:val="0"/>
          <w:divBdr>
            <w:top w:val="none" w:sz="0" w:space="0" w:color="auto"/>
            <w:left w:val="none" w:sz="0" w:space="0" w:color="auto"/>
            <w:bottom w:val="none" w:sz="0" w:space="0" w:color="auto"/>
            <w:right w:val="none" w:sz="0" w:space="0" w:color="auto"/>
          </w:divBdr>
        </w:div>
        <w:div w:id="1821266101">
          <w:marLeft w:val="0"/>
          <w:marRight w:val="0"/>
          <w:marTop w:val="0"/>
          <w:marBottom w:val="0"/>
          <w:divBdr>
            <w:top w:val="none" w:sz="0" w:space="0" w:color="auto"/>
            <w:left w:val="none" w:sz="0" w:space="0" w:color="auto"/>
            <w:bottom w:val="none" w:sz="0" w:space="0" w:color="auto"/>
            <w:right w:val="none" w:sz="0" w:space="0" w:color="auto"/>
          </w:divBdr>
        </w:div>
        <w:div w:id="1833523875">
          <w:marLeft w:val="0"/>
          <w:marRight w:val="0"/>
          <w:marTop w:val="0"/>
          <w:marBottom w:val="0"/>
          <w:divBdr>
            <w:top w:val="none" w:sz="0" w:space="0" w:color="auto"/>
            <w:left w:val="none" w:sz="0" w:space="0" w:color="auto"/>
            <w:bottom w:val="none" w:sz="0" w:space="0" w:color="auto"/>
            <w:right w:val="none" w:sz="0" w:space="0" w:color="auto"/>
          </w:divBdr>
        </w:div>
        <w:div w:id="1835758642">
          <w:marLeft w:val="0"/>
          <w:marRight w:val="0"/>
          <w:marTop w:val="0"/>
          <w:marBottom w:val="0"/>
          <w:divBdr>
            <w:top w:val="none" w:sz="0" w:space="0" w:color="auto"/>
            <w:left w:val="none" w:sz="0" w:space="0" w:color="auto"/>
            <w:bottom w:val="none" w:sz="0" w:space="0" w:color="auto"/>
            <w:right w:val="none" w:sz="0" w:space="0" w:color="auto"/>
          </w:divBdr>
        </w:div>
        <w:div w:id="1864051577">
          <w:marLeft w:val="0"/>
          <w:marRight w:val="0"/>
          <w:marTop w:val="0"/>
          <w:marBottom w:val="0"/>
          <w:divBdr>
            <w:top w:val="none" w:sz="0" w:space="0" w:color="auto"/>
            <w:left w:val="none" w:sz="0" w:space="0" w:color="auto"/>
            <w:bottom w:val="none" w:sz="0" w:space="0" w:color="auto"/>
            <w:right w:val="none" w:sz="0" w:space="0" w:color="auto"/>
          </w:divBdr>
        </w:div>
        <w:div w:id="1874226248">
          <w:marLeft w:val="0"/>
          <w:marRight w:val="0"/>
          <w:marTop w:val="0"/>
          <w:marBottom w:val="0"/>
          <w:divBdr>
            <w:top w:val="none" w:sz="0" w:space="0" w:color="auto"/>
            <w:left w:val="none" w:sz="0" w:space="0" w:color="auto"/>
            <w:bottom w:val="none" w:sz="0" w:space="0" w:color="auto"/>
            <w:right w:val="none" w:sz="0" w:space="0" w:color="auto"/>
          </w:divBdr>
        </w:div>
        <w:div w:id="1876893304">
          <w:marLeft w:val="0"/>
          <w:marRight w:val="0"/>
          <w:marTop w:val="0"/>
          <w:marBottom w:val="0"/>
          <w:divBdr>
            <w:top w:val="none" w:sz="0" w:space="0" w:color="auto"/>
            <w:left w:val="none" w:sz="0" w:space="0" w:color="auto"/>
            <w:bottom w:val="none" w:sz="0" w:space="0" w:color="auto"/>
            <w:right w:val="none" w:sz="0" w:space="0" w:color="auto"/>
          </w:divBdr>
        </w:div>
        <w:div w:id="1898317695">
          <w:marLeft w:val="0"/>
          <w:marRight w:val="0"/>
          <w:marTop w:val="0"/>
          <w:marBottom w:val="0"/>
          <w:divBdr>
            <w:top w:val="none" w:sz="0" w:space="0" w:color="auto"/>
            <w:left w:val="none" w:sz="0" w:space="0" w:color="auto"/>
            <w:bottom w:val="none" w:sz="0" w:space="0" w:color="auto"/>
            <w:right w:val="none" w:sz="0" w:space="0" w:color="auto"/>
          </w:divBdr>
        </w:div>
        <w:div w:id="1940601439">
          <w:marLeft w:val="0"/>
          <w:marRight w:val="0"/>
          <w:marTop w:val="0"/>
          <w:marBottom w:val="0"/>
          <w:divBdr>
            <w:top w:val="none" w:sz="0" w:space="0" w:color="auto"/>
            <w:left w:val="none" w:sz="0" w:space="0" w:color="auto"/>
            <w:bottom w:val="none" w:sz="0" w:space="0" w:color="auto"/>
            <w:right w:val="none" w:sz="0" w:space="0" w:color="auto"/>
          </w:divBdr>
        </w:div>
        <w:div w:id="1956253340">
          <w:marLeft w:val="0"/>
          <w:marRight w:val="0"/>
          <w:marTop w:val="0"/>
          <w:marBottom w:val="0"/>
          <w:divBdr>
            <w:top w:val="none" w:sz="0" w:space="0" w:color="auto"/>
            <w:left w:val="none" w:sz="0" w:space="0" w:color="auto"/>
            <w:bottom w:val="none" w:sz="0" w:space="0" w:color="auto"/>
            <w:right w:val="none" w:sz="0" w:space="0" w:color="auto"/>
          </w:divBdr>
        </w:div>
        <w:div w:id="1956787103">
          <w:marLeft w:val="0"/>
          <w:marRight w:val="0"/>
          <w:marTop w:val="0"/>
          <w:marBottom w:val="0"/>
          <w:divBdr>
            <w:top w:val="none" w:sz="0" w:space="0" w:color="auto"/>
            <w:left w:val="none" w:sz="0" w:space="0" w:color="auto"/>
            <w:bottom w:val="none" w:sz="0" w:space="0" w:color="auto"/>
            <w:right w:val="none" w:sz="0" w:space="0" w:color="auto"/>
          </w:divBdr>
        </w:div>
        <w:div w:id="1981617978">
          <w:marLeft w:val="0"/>
          <w:marRight w:val="0"/>
          <w:marTop w:val="0"/>
          <w:marBottom w:val="0"/>
          <w:divBdr>
            <w:top w:val="none" w:sz="0" w:space="0" w:color="auto"/>
            <w:left w:val="none" w:sz="0" w:space="0" w:color="auto"/>
            <w:bottom w:val="none" w:sz="0" w:space="0" w:color="auto"/>
            <w:right w:val="none" w:sz="0" w:space="0" w:color="auto"/>
          </w:divBdr>
        </w:div>
        <w:div w:id="1984771689">
          <w:marLeft w:val="0"/>
          <w:marRight w:val="0"/>
          <w:marTop w:val="0"/>
          <w:marBottom w:val="0"/>
          <w:divBdr>
            <w:top w:val="none" w:sz="0" w:space="0" w:color="auto"/>
            <w:left w:val="none" w:sz="0" w:space="0" w:color="auto"/>
            <w:bottom w:val="none" w:sz="0" w:space="0" w:color="auto"/>
            <w:right w:val="none" w:sz="0" w:space="0" w:color="auto"/>
          </w:divBdr>
        </w:div>
        <w:div w:id="2016954250">
          <w:marLeft w:val="0"/>
          <w:marRight w:val="0"/>
          <w:marTop w:val="0"/>
          <w:marBottom w:val="0"/>
          <w:divBdr>
            <w:top w:val="none" w:sz="0" w:space="0" w:color="auto"/>
            <w:left w:val="none" w:sz="0" w:space="0" w:color="auto"/>
            <w:bottom w:val="none" w:sz="0" w:space="0" w:color="auto"/>
            <w:right w:val="none" w:sz="0" w:space="0" w:color="auto"/>
          </w:divBdr>
        </w:div>
        <w:div w:id="2059744574">
          <w:marLeft w:val="0"/>
          <w:marRight w:val="0"/>
          <w:marTop w:val="0"/>
          <w:marBottom w:val="0"/>
          <w:divBdr>
            <w:top w:val="none" w:sz="0" w:space="0" w:color="auto"/>
            <w:left w:val="none" w:sz="0" w:space="0" w:color="auto"/>
            <w:bottom w:val="none" w:sz="0" w:space="0" w:color="auto"/>
            <w:right w:val="none" w:sz="0" w:space="0" w:color="auto"/>
          </w:divBdr>
        </w:div>
        <w:div w:id="2064478299">
          <w:marLeft w:val="0"/>
          <w:marRight w:val="0"/>
          <w:marTop w:val="0"/>
          <w:marBottom w:val="0"/>
          <w:divBdr>
            <w:top w:val="none" w:sz="0" w:space="0" w:color="auto"/>
            <w:left w:val="none" w:sz="0" w:space="0" w:color="auto"/>
            <w:bottom w:val="none" w:sz="0" w:space="0" w:color="auto"/>
            <w:right w:val="none" w:sz="0" w:space="0" w:color="auto"/>
          </w:divBdr>
        </w:div>
        <w:div w:id="2068986762">
          <w:marLeft w:val="0"/>
          <w:marRight w:val="0"/>
          <w:marTop w:val="0"/>
          <w:marBottom w:val="0"/>
          <w:divBdr>
            <w:top w:val="none" w:sz="0" w:space="0" w:color="auto"/>
            <w:left w:val="none" w:sz="0" w:space="0" w:color="auto"/>
            <w:bottom w:val="none" w:sz="0" w:space="0" w:color="auto"/>
            <w:right w:val="none" w:sz="0" w:space="0" w:color="auto"/>
          </w:divBdr>
        </w:div>
        <w:div w:id="2095933112">
          <w:marLeft w:val="0"/>
          <w:marRight w:val="0"/>
          <w:marTop w:val="0"/>
          <w:marBottom w:val="0"/>
          <w:divBdr>
            <w:top w:val="none" w:sz="0" w:space="0" w:color="auto"/>
            <w:left w:val="none" w:sz="0" w:space="0" w:color="auto"/>
            <w:bottom w:val="none" w:sz="0" w:space="0" w:color="auto"/>
            <w:right w:val="none" w:sz="0" w:space="0" w:color="auto"/>
          </w:divBdr>
        </w:div>
        <w:div w:id="2096516801">
          <w:marLeft w:val="0"/>
          <w:marRight w:val="0"/>
          <w:marTop w:val="0"/>
          <w:marBottom w:val="0"/>
          <w:divBdr>
            <w:top w:val="none" w:sz="0" w:space="0" w:color="auto"/>
            <w:left w:val="none" w:sz="0" w:space="0" w:color="auto"/>
            <w:bottom w:val="none" w:sz="0" w:space="0" w:color="auto"/>
            <w:right w:val="none" w:sz="0" w:space="0" w:color="auto"/>
          </w:divBdr>
        </w:div>
        <w:div w:id="2124034038">
          <w:marLeft w:val="0"/>
          <w:marRight w:val="0"/>
          <w:marTop w:val="0"/>
          <w:marBottom w:val="0"/>
          <w:divBdr>
            <w:top w:val="none" w:sz="0" w:space="0" w:color="auto"/>
            <w:left w:val="none" w:sz="0" w:space="0" w:color="auto"/>
            <w:bottom w:val="none" w:sz="0" w:space="0" w:color="auto"/>
            <w:right w:val="none" w:sz="0" w:space="0" w:color="auto"/>
          </w:divBdr>
        </w:div>
        <w:div w:id="2132622833">
          <w:marLeft w:val="0"/>
          <w:marRight w:val="0"/>
          <w:marTop w:val="0"/>
          <w:marBottom w:val="0"/>
          <w:divBdr>
            <w:top w:val="none" w:sz="0" w:space="0" w:color="auto"/>
            <w:left w:val="none" w:sz="0" w:space="0" w:color="auto"/>
            <w:bottom w:val="none" w:sz="0" w:space="0" w:color="auto"/>
            <w:right w:val="none" w:sz="0" w:space="0" w:color="auto"/>
          </w:divBdr>
        </w:div>
      </w:divsChild>
    </w:div>
    <w:div w:id="2055690688">
      <w:bodyDiv w:val="1"/>
      <w:marLeft w:val="0"/>
      <w:marRight w:val="0"/>
      <w:marTop w:val="0"/>
      <w:marBottom w:val="0"/>
      <w:divBdr>
        <w:top w:val="none" w:sz="0" w:space="0" w:color="auto"/>
        <w:left w:val="none" w:sz="0" w:space="0" w:color="auto"/>
        <w:bottom w:val="none" w:sz="0" w:space="0" w:color="auto"/>
        <w:right w:val="none" w:sz="0" w:space="0" w:color="auto"/>
      </w:divBdr>
    </w:div>
    <w:div w:id="2081755590">
      <w:bodyDiv w:val="1"/>
      <w:marLeft w:val="0"/>
      <w:marRight w:val="0"/>
      <w:marTop w:val="0"/>
      <w:marBottom w:val="0"/>
      <w:divBdr>
        <w:top w:val="none" w:sz="0" w:space="0" w:color="auto"/>
        <w:left w:val="none" w:sz="0" w:space="0" w:color="auto"/>
        <w:bottom w:val="none" w:sz="0" w:space="0" w:color="auto"/>
        <w:right w:val="none" w:sz="0" w:space="0" w:color="auto"/>
      </w:divBdr>
      <w:divsChild>
        <w:div w:id="965964768">
          <w:marLeft w:val="0"/>
          <w:marRight w:val="0"/>
          <w:marTop w:val="0"/>
          <w:marBottom w:val="0"/>
          <w:divBdr>
            <w:top w:val="none" w:sz="0" w:space="0" w:color="auto"/>
            <w:left w:val="none" w:sz="0" w:space="0" w:color="auto"/>
            <w:bottom w:val="none" w:sz="0" w:space="0" w:color="auto"/>
            <w:right w:val="none" w:sz="0" w:space="0" w:color="auto"/>
          </w:divBdr>
        </w:div>
        <w:div w:id="1295402231">
          <w:marLeft w:val="0"/>
          <w:marRight w:val="0"/>
          <w:marTop w:val="0"/>
          <w:marBottom w:val="0"/>
          <w:divBdr>
            <w:top w:val="none" w:sz="0" w:space="0" w:color="auto"/>
            <w:left w:val="none" w:sz="0" w:space="0" w:color="auto"/>
            <w:bottom w:val="none" w:sz="0" w:space="0" w:color="auto"/>
            <w:right w:val="none" w:sz="0" w:space="0" w:color="auto"/>
          </w:divBdr>
        </w:div>
        <w:div w:id="1512061586">
          <w:marLeft w:val="0"/>
          <w:marRight w:val="0"/>
          <w:marTop w:val="0"/>
          <w:marBottom w:val="0"/>
          <w:divBdr>
            <w:top w:val="none" w:sz="0" w:space="0" w:color="auto"/>
            <w:left w:val="none" w:sz="0" w:space="0" w:color="auto"/>
            <w:bottom w:val="none" w:sz="0" w:space="0" w:color="auto"/>
            <w:right w:val="none" w:sz="0" w:space="0" w:color="auto"/>
          </w:divBdr>
        </w:div>
        <w:div w:id="1539506491">
          <w:marLeft w:val="0"/>
          <w:marRight w:val="0"/>
          <w:marTop w:val="0"/>
          <w:marBottom w:val="0"/>
          <w:divBdr>
            <w:top w:val="none" w:sz="0" w:space="0" w:color="auto"/>
            <w:left w:val="none" w:sz="0" w:space="0" w:color="auto"/>
            <w:bottom w:val="none" w:sz="0" w:space="0" w:color="auto"/>
            <w:right w:val="none" w:sz="0" w:space="0" w:color="auto"/>
          </w:divBdr>
        </w:div>
        <w:div w:id="1632706618">
          <w:marLeft w:val="0"/>
          <w:marRight w:val="0"/>
          <w:marTop w:val="0"/>
          <w:marBottom w:val="0"/>
          <w:divBdr>
            <w:top w:val="none" w:sz="0" w:space="0" w:color="auto"/>
            <w:left w:val="none" w:sz="0" w:space="0" w:color="auto"/>
            <w:bottom w:val="none" w:sz="0" w:space="0" w:color="auto"/>
            <w:right w:val="none" w:sz="0" w:space="0" w:color="auto"/>
          </w:divBdr>
        </w:div>
        <w:div w:id="2060976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6880</Words>
  <Characters>39221</Characters>
  <Application>Microsoft Office Word</Application>
  <DocSecurity>0</DocSecurity>
  <Lines>326</Lines>
  <Paragraphs>92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Medochemie, Ltd.</Company>
  <LinksUpToDate>false</LinksUpToDate>
  <CharactersWithSpaces>46009</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Janka Šeböková</dc:creator>
  <cp:keywords/>
  <cp:lastModifiedBy>zuzana molnarova</cp:lastModifiedBy>
  <cp:revision>6</cp:revision>
  <cp:lastPrinted>2020-01-30T08:54:00Z</cp:lastPrinted>
  <dcterms:created xsi:type="dcterms:W3CDTF">2020-01-30T08:23:00Z</dcterms:created>
  <dcterms:modified xsi:type="dcterms:W3CDTF">2020-01-30T08:54:00Z</dcterms:modified>
</cp:coreProperties>
</file>