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98D3D" w14:textId="77777777" w:rsidR="006C5930" w:rsidRDefault="006C5930">
      <w:pPr>
        <w:pStyle w:val="Nzov"/>
        <w:rPr>
          <w:caps/>
          <w:sz w:val="22"/>
          <w:lang w:val="sk-SK"/>
        </w:rPr>
      </w:pPr>
      <w:bookmarkStart w:id="0" w:name="_GoBack"/>
      <w:bookmarkEnd w:id="0"/>
    </w:p>
    <w:p w14:paraId="624C0505" w14:textId="77777777" w:rsidR="006C5930" w:rsidRPr="00B1293F" w:rsidRDefault="006C5930">
      <w:pPr>
        <w:pStyle w:val="Nzov"/>
        <w:rPr>
          <w:rFonts w:ascii="Times New Roman" w:hAnsi="Times New Roman"/>
          <w:caps/>
          <w:sz w:val="22"/>
          <w:szCs w:val="22"/>
          <w:lang w:val="sk-SK"/>
        </w:rPr>
      </w:pPr>
      <w:r w:rsidRPr="00B1293F">
        <w:rPr>
          <w:rFonts w:ascii="Times New Roman" w:hAnsi="Times New Roman"/>
          <w:caps/>
          <w:sz w:val="22"/>
          <w:szCs w:val="22"/>
          <w:lang w:val="sk-SK"/>
        </w:rPr>
        <w:t xml:space="preserve">Súhrn charakteristických vlastností lieku </w:t>
      </w:r>
    </w:p>
    <w:p w14:paraId="196982EF" w14:textId="77777777" w:rsidR="006C5930" w:rsidRPr="002D78F8" w:rsidRDefault="006C5930">
      <w:pPr>
        <w:rPr>
          <w:sz w:val="22"/>
          <w:szCs w:val="22"/>
          <w:lang w:val="sk-SK"/>
        </w:rPr>
      </w:pPr>
    </w:p>
    <w:p w14:paraId="7FD0D6CC" w14:textId="77777777" w:rsidR="006C5930" w:rsidRPr="001375E9" w:rsidRDefault="006C5930">
      <w:pPr>
        <w:rPr>
          <w:sz w:val="22"/>
          <w:szCs w:val="22"/>
          <w:lang w:val="sk-SK"/>
        </w:rPr>
      </w:pPr>
    </w:p>
    <w:p w14:paraId="09CD575C" w14:textId="77777777" w:rsidR="006C5930" w:rsidRPr="00555500" w:rsidRDefault="006C5930" w:rsidP="00555500">
      <w:pPr>
        <w:numPr>
          <w:ilvl w:val="0"/>
          <w:numId w:val="15"/>
        </w:numPr>
        <w:tabs>
          <w:tab w:val="clear" w:pos="360"/>
          <w:tab w:val="num" w:pos="709"/>
        </w:tabs>
        <w:rPr>
          <w:b/>
          <w:sz w:val="22"/>
          <w:szCs w:val="22"/>
          <w:lang w:val="sk-SK"/>
        </w:rPr>
      </w:pPr>
      <w:r w:rsidRPr="00555500">
        <w:rPr>
          <w:b/>
          <w:sz w:val="22"/>
          <w:szCs w:val="22"/>
          <w:lang w:val="sk-SK"/>
        </w:rPr>
        <w:t>NÁZOV LIEKU</w:t>
      </w:r>
    </w:p>
    <w:p w14:paraId="259D12A8" w14:textId="77777777" w:rsidR="006C5930" w:rsidRPr="00555500" w:rsidRDefault="006C5930" w:rsidP="00555500">
      <w:pPr>
        <w:rPr>
          <w:sz w:val="22"/>
          <w:szCs w:val="22"/>
          <w:lang w:val="sk-SK"/>
        </w:rPr>
      </w:pPr>
    </w:p>
    <w:p w14:paraId="15E16D48" w14:textId="77777777" w:rsidR="006C5930" w:rsidRPr="00555500" w:rsidRDefault="006C5930" w:rsidP="00555500">
      <w:pPr>
        <w:rPr>
          <w:color w:val="000000"/>
          <w:sz w:val="22"/>
          <w:szCs w:val="22"/>
          <w:lang w:val="sk-SK"/>
        </w:rPr>
      </w:pPr>
      <w:r w:rsidRPr="00555500">
        <w:rPr>
          <w:sz w:val="22"/>
          <w:szCs w:val="22"/>
          <w:lang w:val="sk-SK"/>
        </w:rPr>
        <w:t>Stopex na suchý kašeľ</w:t>
      </w:r>
      <w:r w:rsidR="00FC2ACC">
        <w:rPr>
          <w:sz w:val="22"/>
          <w:szCs w:val="22"/>
          <w:lang w:val="sk-SK"/>
        </w:rPr>
        <w:t xml:space="preserve"> 10 mg/5 ml perorálny roztok</w:t>
      </w:r>
    </w:p>
    <w:p w14:paraId="042A2A1E" w14:textId="77777777" w:rsidR="006C5930" w:rsidRPr="00555500" w:rsidRDefault="006C5930" w:rsidP="00555500">
      <w:pPr>
        <w:rPr>
          <w:sz w:val="22"/>
          <w:szCs w:val="22"/>
          <w:lang w:val="sk-SK"/>
        </w:rPr>
      </w:pPr>
    </w:p>
    <w:p w14:paraId="609E74E6" w14:textId="77777777" w:rsidR="006C5930" w:rsidRPr="00555500" w:rsidRDefault="006C5930" w:rsidP="00555500">
      <w:pPr>
        <w:rPr>
          <w:sz w:val="22"/>
          <w:szCs w:val="22"/>
          <w:lang w:val="sk-SK"/>
        </w:rPr>
      </w:pPr>
    </w:p>
    <w:p w14:paraId="39F777A4" w14:textId="77777777" w:rsidR="006C5930" w:rsidRPr="00555500" w:rsidRDefault="006C5930" w:rsidP="00555500">
      <w:pPr>
        <w:rPr>
          <w:b/>
          <w:sz w:val="22"/>
          <w:szCs w:val="22"/>
          <w:lang w:val="sk-SK"/>
        </w:rPr>
      </w:pPr>
      <w:r w:rsidRPr="00555500">
        <w:rPr>
          <w:b/>
          <w:sz w:val="22"/>
          <w:szCs w:val="22"/>
          <w:lang w:val="sk-SK"/>
        </w:rPr>
        <w:t xml:space="preserve">2. </w:t>
      </w:r>
      <w:r w:rsidRPr="00555500">
        <w:rPr>
          <w:b/>
          <w:sz w:val="22"/>
          <w:szCs w:val="22"/>
          <w:lang w:val="sk-SK"/>
        </w:rPr>
        <w:tab/>
        <w:t xml:space="preserve">KVALITATÍVNE A KVANTITATÍVNE ZLOŽENIE </w:t>
      </w:r>
    </w:p>
    <w:p w14:paraId="65B5B17B" w14:textId="77777777" w:rsidR="00EE3EA1" w:rsidRDefault="006C5930" w:rsidP="00EE3EA1">
      <w:pPr>
        <w:rPr>
          <w:sz w:val="22"/>
          <w:szCs w:val="22"/>
          <w:lang w:val="sk-SK"/>
        </w:rPr>
      </w:pPr>
      <w:r w:rsidRPr="00555500">
        <w:rPr>
          <w:sz w:val="22"/>
          <w:szCs w:val="22"/>
          <w:lang w:val="sk-SK"/>
        </w:rPr>
        <w:br/>
      </w:r>
      <w:r w:rsidR="00EE3EA1">
        <w:rPr>
          <w:sz w:val="22"/>
          <w:szCs w:val="22"/>
          <w:lang w:val="sk-SK"/>
        </w:rPr>
        <w:t>Každý 1 ml perorálneho roztoku obsahuje 2 mg d</w:t>
      </w:r>
      <w:r w:rsidR="00EE3EA1" w:rsidRPr="00555500">
        <w:rPr>
          <w:sz w:val="22"/>
          <w:szCs w:val="22"/>
          <w:lang w:val="sk-SK"/>
        </w:rPr>
        <w:t>extrometorfániumbromid</w:t>
      </w:r>
      <w:r w:rsidR="00EE3EA1">
        <w:rPr>
          <w:sz w:val="22"/>
          <w:szCs w:val="22"/>
          <w:lang w:val="sk-SK"/>
        </w:rPr>
        <w:t>u</w:t>
      </w:r>
      <w:r w:rsidR="00EE3EA1" w:rsidRPr="00555500">
        <w:rPr>
          <w:sz w:val="22"/>
          <w:szCs w:val="22"/>
          <w:lang w:val="sk-SK"/>
        </w:rPr>
        <w:t>.</w:t>
      </w:r>
      <w:r w:rsidR="00EE3EA1">
        <w:rPr>
          <w:sz w:val="22"/>
          <w:szCs w:val="22"/>
          <w:lang w:val="sk-SK"/>
        </w:rPr>
        <w:t xml:space="preserve"> Jedna dávka (5 ml) perorálneho roztoku obsahuje 10 mg d</w:t>
      </w:r>
      <w:r w:rsidR="00EE3EA1" w:rsidRPr="00555500">
        <w:rPr>
          <w:sz w:val="22"/>
          <w:szCs w:val="22"/>
          <w:lang w:val="sk-SK"/>
        </w:rPr>
        <w:t>extrometorfániumbromid</w:t>
      </w:r>
      <w:r w:rsidR="00EE3EA1">
        <w:rPr>
          <w:sz w:val="22"/>
          <w:szCs w:val="22"/>
          <w:lang w:val="sk-SK"/>
        </w:rPr>
        <w:t>u</w:t>
      </w:r>
      <w:r w:rsidR="00EE3EA1" w:rsidRPr="00555500">
        <w:rPr>
          <w:sz w:val="22"/>
          <w:szCs w:val="22"/>
          <w:lang w:val="sk-SK"/>
        </w:rPr>
        <w:t>.</w:t>
      </w:r>
    </w:p>
    <w:p w14:paraId="0666B2E6" w14:textId="77777777" w:rsidR="00FC2ACC" w:rsidRDefault="006C5930" w:rsidP="00555500">
      <w:pPr>
        <w:rPr>
          <w:sz w:val="22"/>
          <w:szCs w:val="22"/>
          <w:u w:val="single"/>
          <w:lang w:val="sk-SK"/>
        </w:rPr>
      </w:pPr>
      <w:r w:rsidRPr="00555500">
        <w:rPr>
          <w:sz w:val="22"/>
          <w:szCs w:val="22"/>
          <w:lang w:val="sk-SK"/>
        </w:rPr>
        <w:br/>
      </w:r>
      <w:bookmarkStart w:id="1" w:name="OLE_LINK1"/>
      <w:r w:rsidR="00FC2ACC">
        <w:rPr>
          <w:sz w:val="22"/>
          <w:szCs w:val="22"/>
          <w:u w:val="single"/>
          <w:lang w:val="sk-SK"/>
        </w:rPr>
        <w:t>Pomocné látky so známym účinkom:</w:t>
      </w:r>
    </w:p>
    <w:p w14:paraId="2CE9D4A8" w14:textId="77777777" w:rsidR="00FC2ACC" w:rsidRDefault="00FC2ACC" w:rsidP="0055550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Každých 5 ml perorálneho roztoku obsahuje:</w:t>
      </w:r>
    </w:p>
    <w:p w14:paraId="2190063A" w14:textId="77777777" w:rsidR="00FC2ACC" w:rsidRPr="00FC2ACC" w:rsidRDefault="00FC2ACC" w:rsidP="00555500">
      <w:pPr>
        <w:rPr>
          <w:sz w:val="22"/>
          <w:szCs w:val="22"/>
          <w:lang w:val="sk-SK"/>
        </w:rPr>
      </w:pPr>
      <w:r w:rsidRPr="00CD01EB">
        <w:rPr>
          <w:sz w:val="22"/>
          <w:szCs w:val="22"/>
          <w:lang w:val="sk-SK"/>
        </w:rPr>
        <w:t>maltitol</w:t>
      </w:r>
      <w:r w:rsidR="004664A8">
        <w:rPr>
          <w:sz w:val="22"/>
          <w:szCs w:val="22"/>
          <w:lang w:val="sk-SK"/>
        </w:rPr>
        <w:t>,</w:t>
      </w:r>
      <w:r w:rsidR="004664A8" w:rsidRPr="004664A8">
        <w:rPr>
          <w:sz w:val="22"/>
          <w:szCs w:val="22"/>
          <w:lang w:val="sk-SK"/>
        </w:rPr>
        <w:t xml:space="preserve"> </w:t>
      </w:r>
      <w:r w:rsidR="004664A8" w:rsidRPr="00CD01EB">
        <w:rPr>
          <w:sz w:val="22"/>
          <w:szCs w:val="22"/>
          <w:lang w:val="sk-SK"/>
        </w:rPr>
        <w:t>roztok</w:t>
      </w:r>
      <w:r w:rsidR="00883CFA" w:rsidRPr="00CD01EB">
        <w:rPr>
          <w:sz w:val="22"/>
          <w:szCs w:val="22"/>
          <w:lang w:val="sk-SK"/>
        </w:rPr>
        <w:tab/>
        <w:t xml:space="preserve">: </w:t>
      </w:r>
      <w:r w:rsidRPr="00CD01EB">
        <w:rPr>
          <w:sz w:val="22"/>
          <w:szCs w:val="22"/>
          <w:lang w:val="sk-SK"/>
        </w:rPr>
        <w:t>3750 mg</w:t>
      </w:r>
    </w:p>
    <w:p w14:paraId="2D4BA6B4" w14:textId="77777777" w:rsidR="00FC2ACC" w:rsidRDefault="00FC2ACC" w:rsidP="00555500">
      <w:pPr>
        <w:rPr>
          <w:sz w:val="22"/>
          <w:szCs w:val="22"/>
          <w:lang w:val="sk-SK"/>
        </w:rPr>
      </w:pPr>
    </w:p>
    <w:p w14:paraId="4A4713BE" w14:textId="77777777" w:rsidR="006C5930" w:rsidRPr="00555500" w:rsidRDefault="006C5930" w:rsidP="00555500">
      <w:pPr>
        <w:rPr>
          <w:sz w:val="22"/>
          <w:szCs w:val="22"/>
          <w:lang w:val="sk-SK"/>
        </w:rPr>
      </w:pPr>
      <w:r w:rsidRPr="00555500">
        <w:rPr>
          <w:sz w:val="22"/>
          <w:szCs w:val="22"/>
          <w:lang w:val="sk-SK"/>
        </w:rPr>
        <w:t>Úplný zoznam pomocných látok, pozri časť 6.1.</w:t>
      </w:r>
      <w:bookmarkEnd w:id="1"/>
    </w:p>
    <w:p w14:paraId="23CD3D63" w14:textId="77777777" w:rsidR="006C5930" w:rsidRPr="00555500" w:rsidRDefault="006C5930" w:rsidP="00555500">
      <w:pPr>
        <w:rPr>
          <w:sz w:val="22"/>
          <w:szCs w:val="22"/>
          <w:lang w:val="sk-SK"/>
        </w:rPr>
      </w:pPr>
    </w:p>
    <w:p w14:paraId="13B8BEE2" w14:textId="77777777" w:rsidR="006C5930" w:rsidRPr="00555500" w:rsidRDefault="006C5930" w:rsidP="00555500">
      <w:pPr>
        <w:rPr>
          <w:sz w:val="22"/>
          <w:szCs w:val="22"/>
          <w:lang w:val="sk-SK"/>
        </w:rPr>
      </w:pPr>
    </w:p>
    <w:p w14:paraId="317F9541" w14:textId="77777777" w:rsidR="006C5930" w:rsidRPr="00555500" w:rsidRDefault="006C5930" w:rsidP="00555500">
      <w:pPr>
        <w:rPr>
          <w:b/>
          <w:sz w:val="22"/>
          <w:szCs w:val="22"/>
          <w:lang w:val="sk-SK"/>
        </w:rPr>
      </w:pPr>
      <w:r w:rsidRPr="00555500">
        <w:rPr>
          <w:b/>
          <w:sz w:val="22"/>
          <w:szCs w:val="22"/>
          <w:lang w:val="sk-SK"/>
        </w:rPr>
        <w:t xml:space="preserve">3.   </w:t>
      </w:r>
      <w:r w:rsidRPr="00555500">
        <w:rPr>
          <w:b/>
          <w:sz w:val="22"/>
          <w:szCs w:val="22"/>
          <w:lang w:val="sk-SK"/>
        </w:rPr>
        <w:tab/>
        <w:t>LIEKOVÁ FORMA</w:t>
      </w:r>
    </w:p>
    <w:p w14:paraId="068DBE73" w14:textId="77777777" w:rsidR="006C5930" w:rsidRPr="00555500" w:rsidRDefault="006C5930" w:rsidP="00555500">
      <w:pPr>
        <w:rPr>
          <w:sz w:val="22"/>
          <w:szCs w:val="22"/>
          <w:lang w:val="sk-SK"/>
        </w:rPr>
      </w:pPr>
    </w:p>
    <w:p w14:paraId="06D00178" w14:textId="77777777" w:rsidR="006C5930" w:rsidRPr="00555500" w:rsidRDefault="0090187F" w:rsidP="0055550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Perorálny roztok.</w:t>
      </w:r>
    </w:p>
    <w:p w14:paraId="74D51B34" w14:textId="77777777" w:rsidR="006C5930" w:rsidRPr="00555500" w:rsidRDefault="0090187F" w:rsidP="0055550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Číry roztok s </w:t>
      </w:r>
      <w:r w:rsidR="00DE34DC">
        <w:rPr>
          <w:sz w:val="22"/>
          <w:szCs w:val="22"/>
          <w:lang w:val="sk-SK"/>
        </w:rPr>
        <w:t xml:space="preserve">charakteristickou </w:t>
      </w:r>
      <w:r>
        <w:rPr>
          <w:sz w:val="22"/>
          <w:szCs w:val="22"/>
          <w:lang w:val="sk-SK"/>
        </w:rPr>
        <w:t>jahodovou príchuťou a vôňou.</w:t>
      </w:r>
    </w:p>
    <w:p w14:paraId="2E818617" w14:textId="77777777" w:rsidR="006C5930" w:rsidRPr="00555500" w:rsidRDefault="006C5930" w:rsidP="00555500">
      <w:pPr>
        <w:rPr>
          <w:sz w:val="22"/>
          <w:szCs w:val="22"/>
          <w:lang w:val="sk-SK"/>
        </w:rPr>
      </w:pPr>
    </w:p>
    <w:p w14:paraId="3A01DEEC" w14:textId="77777777" w:rsidR="006C5930" w:rsidRPr="00555500" w:rsidRDefault="006C5930" w:rsidP="00555500">
      <w:pPr>
        <w:rPr>
          <w:sz w:val="22"/>
          <w:szCs w:val="22"/>
          <w:lang w:val="sk-SK"/>
        </w:rPr>
      </w:pPr>
    </w:p>
    <w:p w14:paraId="74D1D0E8" w14:textId="77777777" w:rsidR="006C5930" w:rsidRPr="00555500" w:rsidRDefault="006C5930" w:rsidP="00555500">
      <w:pPr>
        <w:rPr>
          <w:b/>
          <w:sz w:val="22"/>
          <w:szCs w:val="22"/>
          <w:lang w:val="sk-SK"/>
        </w:rPr>
      </w:pPr>
      <w:r w:rsidRPr="00555500">
        <w:rPr>
          <w:b/>
          <w:sz w:val="22"/>
          <w:szCs w:val="22"/>
          <w:lang w:val="sk-SK"/>
        </w:rPr>
        <w:t xml:space="preserve">4.  </w:t>
      </w:r>
      <w:r w:rsidRPr="00555500">
        <w:rPr>
          <w:b/>
          <w:sz w:val="22"/>
          <w:szCs w:val="22"/>
          <w:lang w:val="sk-SK"/>
        </w:rPr>
        <w:tab/>
        <w:t>KLINICKÉ ÚDAJE</w:t>
      </w:r>
    </w:p>
    <w:p w14:paraId="304857EE" w14:textId="77777777" w:rsidR="006C5930" w:rsidRPr="00555500" w:rsidRDefault="006C5930" w:rsidP="00555500">
      <w:pPr>
        <w:rPr>
          <w:b/>
          <w:sz w:val="22"/>
          <w:szCs w:val="22"/>
          <w:lang w:val="sk-SK"/>
        </w:rPr>
      </w:pPr>
    </w:p>
    <w:p w14:paraId="626224D8" w14:textId="77777777" w:rsidR="006C5930" w:rsidRPr="00555500" w:rsidRDefault="006C5930" w:rsidP="00555500">
      <w:pPr>
        <w:rPr>
          <w:b/>
          <w:sz w:val="22"/>
          <w:szCs w:val="22"/>
          <w:lang w:val="sk-SK"/>
        </w:rPr>
      </w:pPr>
      <w:r w:rsidRPr="00555500">
        <w:rPr>
          <w:b/>
          <w:sz w:val="22"/>
          <w:szCs w:val="22"/>
          <w:lang w:val="sk-SK"/>
        </w:rPr>
        <w:t xml:space="preserve">4.1 </w:t>
      </w:r>
      <w:r w:rsidRPr="00555500">
        <w:rPr>
          <w:b/>
          <w:sz w:val="22"/>
          <w:szCs w:val="22"/>
          <w:lang w:val="sk-SK"/>
        </w:rPr>
        <w:tab/>
        <w:t>Terapeutické indikácie</w:t>
      </w:r>
    </w:p>
    <w:p w14:paraId="6A2C5512" w14:textId="77777777" w:rsidR="006C5930" w:rsidRPr="00555500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41C8953D" w14:textId="77777777" w:rsidR="006C5930" w:rsidRPr="00555500" w:rsidRDefault="0090187F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Symptomatická l</w:t>
      </w:r>
      <w:r w:rsidR="00DE34DC">
        <w:rPr>
          <w:sz w:val="22"/>
          <w:szCs w:val="22"/>
          <w:lang w:val="sk-SK"/>
        </w:rPr>
        <w:t>iečba</w:t>
      </w:r>
      <w:r>
        <w:rPr>
          <w:sz w:val="22"/>
          <w:szCs w:val="22"/>
          <w:lang w:val="sk-SK"/>
        </w:rPr>
        <w:t xml:space="preserve"> všetkých foriem </w:t>
      </w:r>
      <w:r w:rsidR="006C5930" w:rsidRPr="00555500">
        <w:rPr>
          <w:sz w:val="22"/>
          <w:szCs w:val="22"/>
          <w:lang w:val="sk-SK"/>
        </w:rPr>
        <w:t>neproduktívneho kašľa</w:t>
      </w:r>
      <w:r>
        <w:rPr>
          <w:sz w:val="22"/>
          <w:szCs w:val="22"/>
          <w:lang w:val="sk-SK"/>
        </w:rPr>
        <w:t xml:space="preserve"> (dráždivý kašeľ) u dospelých a detí od 12 rokov.</w:t>
      </w:r>
    </w:p>
    <w:p w14:paraId="47122F1C" w14:textId="77777777" w:rsidR="006C5930" w:rsidRPr="00555500" w:rsidRDefault="006C5930" w:rsidP="00555500">
      <w:pPr>
        <w:rPr>
          <w:b/>
          <w:sz w:val="22"/>
          <w:szCs w:val="22"/>
          <w:lang w:val="sk-SK"/>
        </w:rPr>
      </w:pPr>
    </w:p>
    <w:p w14:paraId="1FA618DE" w14:textId="77777777" w:rsidR="006C5930" w:rsidRPr="00555500" w:rsidRDefault="006C5930" w:rsidP="00555500">
      <w:pPr>
        <w:rPr>
          <w:b/>
          <w:sz w:val="22"/>
          <w:szCs w:val="22"/>
          <w:lang w:val="sk-SK"/>
        </w:rPr>
      </w:pPr>
      <w:r w:rsidRPr="00555500">
        <w:rPr>
          <w:b/>
          <w:sz w:val="22"/>
          <w:szCs w:val="22"/>
          <w:lang w:val="sk-SK"/>
        </w:rPr>
        <w:t xml:space="preserve">4.2 </w:t>
      </w:r>
      <w:r w:rsidRPr="00555500">
        <w:rPr>
          <w:b/>
          <w:sz w:val="22"/>
          <w:szCs w:val="22"/>
          <w:lang w:val="sk-SK"/>
        </w:rPr>
        <w:tab/>
        <w:t>Dávkovanie a spôsob podávania</w:t>
      </w:r>
    </w:p>
    <w:p w14:paraId="4214D25E" w14:textId="77777777" w:rsidR="006C5930" w:rsidRPr="00555500" w:rsidRDefault="006C593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33D73232" w14:textId="77777777" w:rsidR="006C5930" w:rsidRPr="00555500" w:rsidRDefault="006C5930" w:rsidP="00555500">
      <w:pPr>
        <w:pStyle w:val="Zkladntext2"/>
        <w:jc w:val="left"/>
        <w:rPr>
          <w:sz w:val="22"/>
          <w:szCs w:val="22"/>
          <w:lang w:val="sk-SK"/>
        </w:rPr>
      </w:pPr>
      <w:r w:rsidRPr="00555500">
        <w:rPr>
          <w:sz w:val="22"/>
          <w:szCs w:val="22"/>
          <w:u w:val="single"/>
          <w:lang w:val="sk-SK"/>
        </w:rPr>
        <w:t>Dávkovanie</w:t>
      </w:r>
      <w:r w:rsidRPr="00555500">
        <w:rPr>
          <w:sz w:val="22"/>
          <w:szCs w:val="22"/>
          <w:lang w:val="sk-SK"/>
        </w:rPr>
        <w:t xml:space="preserve"> </w:t>
      </w:r>
    </w:p>
    <w:p w14:paraId="61AD7E08" w14:textId="77777777" w:rsidR="006C5930" w:rsidRPr="00555500" w:rsidRDefault="006C593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57C8D8E3" w14:textId="77777777" w:rsidR="0090187F" w:rsidRDefault="006C5930" w:rsidP="0055550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90187F">
        <w:rPr>
          <w:b/>
          <w:sz w:val="22"/>
          <w:szCs w:val="22"/>
          <w:lang w:val="sk-SK"/>
        </w:rPr>
        <w:t>Dospelí a deti od 12 rokov:</w:t>
      </w:r>
      <w:r w:rsidRPr="00555500">
        <w:rPr>
          <w:sz w:val="22"/>
          <w:szCs w:val="22"/>
          <w:lang w:val="sk-SK"/>
        </w:rPr>
        <w:t xml:space="preserve"> </w:t>
      </w:r>
      <w:r w:rsidR="00DE34DC">
        <w:rPr>
          <w:sz w:val="22"/>
          <w:szCs w:val="22"/>
          <w:lang w:val="sk-SK"/>
        </w:rPr>
        <w:t>z</w:t>
      </w:r>
      <w:r w:rsidR="0090187F">
        <w:rPr>
          <w:sz w:val="22"/>
          <w:szCs w:val="22"/>
          <w:lang w:val="sk-SK"/>
        </w:rPr>
        <w:t>vyčajná dávka sú 3 lyži</w:t>
      </w:r>
      <w:r w:rsidR="008D7F09">
        <w:rPr>
          <w:sz w:val="22"/>
          <w:szCs w:val="22"/>
          <w:lang w:val="sk-SK"/>
        </w:rPr>
        <w:t>čky</w:t>
      </w:r>
      <w:r w:rsidR="0090187F">
        <w:rPr>
          <w:sz w:val="22"/>
          <w:szCs w:val="22"/>
          <w:lang w:val="sk-SK"/>
        </w:rPr>
        <w:t xml:space="preserve"> po 5 ml (30 mg </w:t>
      </w:r>
      <w:r w:rsidR="0090187F" w:rsidRPr="0081697A">
        <w:rPr>
          <w:sz w:val="22"/>
          <w:szCs w:val="22"/>
          <w:lang w:val="sk-SK"/>
        </w:rPr>
        <w:t>dextrometorfániumbromid</w:t>
      </w:r>
      <w:r w:rsidR="0090187F" w:rsidRPr="001E4072">
        <w:rPr>
          <w:sz w:val="22"/>
          <w:szCs w:val="22"/>
          <w:lang w:val="sk-SK"/>
        </w:rPr>
        <w:t xml:space="preserve">u) každých 6-8 hodín. Maximálna dávka je 60 ml (120 mg </w:t>
      </w:r>
      <w:r w:rsidR="0090187F" w:rsidRPr="00970CC8">
        <w:rPr>
          <w:sz w:val="22"/>
          <w:szCs w:val="22"/>
          <w:lang w:val="sk-SK"/>
        </w:rPr>
        <w:t>dextrometorfániumbromidu) / deň.</w:t>
      </w:r>
    </w:p>
    <w:p w14:paraId="4F357074" w14:textId="77777777" w:rsidR="0090187F" w:rsidRDefault="0090187F" w:rsidP="0055550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027F2DF" w14:textId="77777777" w:rsidR="0090187F" w:rsidRDefault="0090187F" w:rsidP="0055550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Odporúčaná dávka sa nemá prekročiť.</w:t>
      </w:r>
    </w:p>
    <w:p w14:paraId="279D41F6" w14:textId="77777777" w:rsidR="0090187F" w:rsidRDefault="0090187F" w:rsidP="0055550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6F831E3" w14:textId="77777777" w:rsidR="0090187F" w:rsidRDefault="0090187F" w:rsidP="00555500">
      <w:pPr>
        <w:numPr>
          <w:ilvl w:val="12"/>
          <w:numId w:val="0"/>
        </w:numPr>
        <w:ind w:right="-2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Porucha funkcie pečene</w:t>
      </w:r>
    </w:p>
    <w:p w14:paraId="0A9EC229" w14:textId="77777777" w:rsidR="0090187F" w:rsidRDefault="0090187F" w:rsidP="0055550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78B5991" w14:textId="77777777" w:rsidR="0090187F" w:rsidRPr="0090187F" w:rsidRDefault="0090187F" w:rsidP="0055550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 pacientov so stredne ťažkou až ťažkou poruchou funkcie pečene sa má užiť polovičná jednotlivá dávka (3 lyži</w:t>
      </w:r>
      <w:r w:rsidR="008D7F09">
        <w:rPr>
          <w:sz w:val="22"/>
          <w:szCs w:val="22"/>
          <w:lang w:val="sk-SK"/>
        </w:rPr>
        <w:t>čky</w:t>
      </w:r>
      <w:r>
        <w:rPr>
          <w:sz w:val="22"/>
          <w:szCs w:val="22"/>
          <w:lang w:val="sk-SK"/>
        </w:rPr>
        <w:t xml:space="preserve"> po 2,5 ml – t.j. 15 mg d</w:t>
      </w:r>
      <w:r w:rsidRPr="00555500">
        <w:rPr>
          <w:sz w:val="22"/>
          <w:szCs w:val="22"/>
          <w:lang w:val="sk-SK"/>
        </w:rPr>
        <w:t>extrometorfániumbromid</w:t>
      </w:r>
      <w:r>
        <w:rPr>
          <w:sz w:val="22"/>
          <w:szCs w:val="22"/>
          <w:lang w:val="sk-SK"/>
        </w:rPr>
        <w:t>u) a nemá sa prekročiť maximálna denná dávka zložená zo 4 jednotlivých dávok.</w:t>
      </w:r>
    </w:p>
    <w:p w14:paraId="07F7CBC6" w14:textId="77777777" w:rsidR="00893FF6" w:rsidRPr="00555500" w:rsidRDefault="00893FF6" w:rsidP="00555500">
      <w:pPr>
        <w:pStyle w:val="Zkladntext2"/>
        <w:jc w:val="left"/>
        <w:rPr>
          <w:sz w:val="22"/>
          <w:szCs w:val="22"/>
          <w:u w:val="single"/>
          <w:lang w:val="sk-SK"/>
        </w:rPr>
      </w:pPr>
    </w:p>
    <w:p w14:paraId="485111F8" w14:textId="77777777" w:rsidR="006C5930" w:rsidRPr="007419F4" w:rsidRDefault="006C5930" w:rsidP="00555500">
      <w:pPr>
        <w:pStyle w:val="Zkladntext2"/>
        <w:jc w:val="left"/>
        <w:rPr>
          <w:sz w:val="22"/>
          <w:szCs w:val="22"/>
          <w:lang w:val="sk-SK"/>
        </w:rPr>
      </w:pPr>
      <w:r w:rsidRPr="007419F4">
        <w:rPr>
          <w:sz w:val="22"/>
          <w:szCs w:val="22"/>
          <w:u w:val="single"/>
          <w:lang w:val="sk-SK"/>
        </w:rPr>
        <w:t>Spôsob podávania</w:t>
      </w:r>
      <w:r w:rsidRPr="007419F4">
        <w:rPr>
          <w:sz w:val="22"/>
          <w:szCs w:val="22"/>
          <w:lang w:val="sk-SK"/>
        </w:rPr>
        <w:t xml:space="preserve"> </w:t>
      </w:r>
    </w:p>
    <w:p w14:paraId="692B22EB" w14:textId="77777777" w:rsidR="006C5930" w:rsidRPr="0081697A" w:rsidRDefault="00003022" w:rsidP="00555500">
      <w:pPr>
        <w:pStyle w:val="Zkladntext2"/>
        <w:jc w:val="left"/>
        <w:rPr>
          <w:sz w:val="22"/>
          <w:szCs w:val="22"/>
          <w:lang w:val="sk-SK"/>
        </w:rPr>
      </w:pPr>
      <w:r w:rsidRPr="0081697A">
        <w:rPr>
          <w:sz w:val="22"/>
          <w:szCs w:val="22"/>
          <w:lang w:val="sk-SK"/>
        </w:rPr>
        <w:t>Liek sa podáva perorálne.</w:t>
      </w:r>
    </w:p>
    <w:p w14:paraId="36E78AAE" w14:textId="77777777" w:rsidR="00003022" w:rsidRDefault="00003022" w:rsidP="00555500">
      <w:pPr>
        <w:pStyle w:val="Zkladntext2"/>
        <w:jc w:val="left"/>
        <w:rPr>
          <w:sz w:val="22"/>
          <w:szCs w:val="22"/>
          <w:lang w:val="sk-SK"/>
        </w:rPr>
      </w:pPr>
      <w:r w:rsidRPr="00970CC8">
        <w:rPr>
          <w:sz w:val="22"/>
          <w:szCs w:val="22"/>
          <w:lang w:val="sk-SK"/>
        </w:rPr>
        <w:t>Na správne dávkovanie je priložená</w:t>
      </w:r>
      <w:r>
        <w:rPr>
          <w:sz w:val="22"/>
          <w:szCs w:val="22"/>
          <w:lang w:val="sk-SK"/>
        </w:rPr>
        <w:t xml:space="preserve"> obojstranná lyžička s ryskami na odmeranie 1,25; 2,5 a 5 ml.</w:t>
      </w:r>
    </w:p>
    <w:p w14:paraId="6BC011F8" w14:textId="77777777" w:rsidR="00003022" w:rsidRDefault="00003022" w:rsidP="00555500">
      <w:pPr>
        <w:pStyle w:val="Zkladntext2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Umyte lyžičku po každom použití.</w:t>
      </w:r>
    </w:p>
    <w:p w14:paraId="427E525A" w14:textId="77777777" w:rsidR="006C5930" w:rsidRPr="00555500" w:rsidRDefault="006C5930" w:rsidP="00555500">
      <w:pPr>
        <w:rPr>
          <w:b/>
          <w:sz w:val="22"/>
          <w:szCs w:val="22"/>
          <w:lang w:val="sk-SK"/>
        </w:rPr>
      </w:pPr>
    </w:p>
    <w:p w14:paraId="032A18E5" w14:textId="77777777" w:rsidR="006C5930" w:rsidRPr="00555500" w:rsidRDefault="006C5930" w:rsidP="00555500">
      <w:pPr>
        <w:rPr>
          <w:b/>
          <w:sz w:val="22"/>
          <w:szCs w:val="22"/>
          <w:lang w:val="sk-SK"/>
        </w:rPr>
      </w:pPr>
      <w:r w:rsidRPr="00555500">
        <w:rPr>
          <w:b/>
          <w:sz w:val="22"/>
          <w:szCs w:val="22"/>
          <w:lang w:val="sk-SK"/>
        </w:rPr>
        <w:t xml:space="preserve">4.3 </w:t>
      </w:r>
      <w:r w:rsidRPr="00555500">
        <w:rPr>
          <w:b/>
          <w:sz w:val="22"/>
          <w:szCs w:val="22"/>
          <w:lang w:val="sk-SK"/>
        </w:rPr>
        <w:tab/>
        <w:t>Kontraindikácie</w:t>
      </w:r>
    </w:p>
    <w:p w14:paraId="0109C6A3" w14:textId="77777777" w:rsidR="006C5930" w:rsidRPr="00555500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6F160C98" w14:textId="77777777" w:rsidR="006C5930" w:rsidRPr="00970CC8" w:rsidRDefault="006C5930" w:rsidP="00003022">
      <w:pPr>
        <w:pStyle w:val="Zkladntext"/>
        <w:numPr>
          <w:ilvl w:val="0"/>
          <w:numId w:val="16"/>
        </w:numPr>
        <w:spacing w:before="0"/>
        <w:ind w:left="284" w:hanging="284"/>
        <w:jc w:val="left"/>
        <w:rPr>
          <w:sz w:val="22"/>
          <w:szCs w:val="22"/>
          <w:lang w:val="sk-SK"/>
        </w:rPr>
      </w:pPr>
      <w:r w:rsidRPr="001E4072">
        <w:rPr>
          <w:sz w:val="22"/>
          <w:szCs w:val="22"/>
          <w:lang w:val="sk-SK"/>
        </w:rPr>
        <w:t>Precitlivenosť na liečivo alebo na ktorúkoľvek z pomocných látok uvedených v časti 6.1.</w:t>
      </w:r>
    </w:p>
    <w:p w14:paraId="3BEE0897" w14:textId="77777777" w:rsidR="00003022" w:rsidRPr="00970CC8" w:rsidRDefault="00003022" w:rsidP="00003022">
      <w:pPr>
        <w:pStyle w:val="Zkladntext"/>
        <w:numPr>
          <w:ilvl w:val="0"/>
          <w:numId w:val="16"/>
        </w:numPr>
        <w:spacing w:before="0"/>
        <w:ind w:left="284" w:hanging="284"/>
        <w:jc w:val="left"/>
        <w:rPr>
          <w:sz w:val="22"/>
          <w:szCs w:val="22"/>
          <w:lang w:val="sk-SK"/>
        </w:rPr>
      </w:pPr>
      <w:r w:rsidRPr="00970CC8">
        <w:rPr>
          <w:sz w:val="22"/>
          <w:szCs w:val="22"/>
          <w:lang w:val="sk-SK"/>
        </w:rPr>
        <w:lastRenderedPageBreak/>
        <w:t>Kašeľ z bronchiálnej astmy.</w:t>
      </w:r>
    </w:p>
    <w:p w14:paraId="35CC6CBC" w14:textId="77777777" w:rsidR="00003022" w:rsidRDefault="00003022" w:rsidP="00003022">
      <w:pPr>
        <w:pStyle w:val="Zkladntext"/>
        <w:numPr>
          <w:ilvl w:val="0"/>
          <w:numId w:val="16"/>
        </w:numPr>
        <w:spacing w:before="0"/>
        <w:ind w:left="284" w:hanging="284"/>
        <w:jc w:val="left"/>
        <w:rPr>
          <w:sz w:val="22"/>
          <w:szCs w:val="22"/>
          <w:lang w:val="sk-SK"/>
        </w:rPr>
      </w:pPr>
      <w:r w:rsidRPr="00970CC8">
        <w:rPr>
          <w:sz w:val="22"/>
          <w:szCs w:val="22"/>
          <w:lang w:val="sk-SK"/>
        </w:rPr>
        <w:t>Pacienti s pretrvávajúcim alebo chronickým</w:t>
      </w:r>
      <w:r>
        <w:rPr>
          <w:sz w:val="22"/>
          <w:szCs w:val="22"/>
          <w:lang w:val="sk-SK"/>
        </w:rPr>
        <w:t xml:space="preserve"> kašľom, </w:t>
      </w:r>
      <w:r w:rsidRPr="00555500">
        <w:rPr>
          <w:sz w:val="22"/>
          <w:szCs w:val="22"/>
          <w:lang w:val="sk-SK"/>
        </w:rPr>
        <w:t>ktorý sa objavuje pri fajčení, astme a emfyzéme pľúc.</w:t>
      </w:r>
    </w:p>
    <w:p w14:paraId="7E744701" w14:textId="77777777" w:rsidR="00003022" w:rsidRPr="00555500" w:rsidRDefault="00003022" w:rsidP="00003022">
      <w:pPr>
        <w:pStyle w:val="Zkladntext"/>
        <w:numPr>
          <w:ilvl w:val="0"/>
          <w:numId w:val="16"/>
        </w:numPr>
        <w:spacing w:before="0"/>
        <w:ind w:left="284" w:hanging="284"/>
        <w:jc w:val="left"/>
        <w:rPr>
          <w:sz w:val="22"/>
          <w:szCs w:val="22"/>
          <w:lang w:val="sk-SK"/>
        </w:rPr>
      </w:pPr>
      <w:r w:rsidRPr="00555500">
        <w:rPr>
          <w:sz w:val="22"/>
          <w:szCs w:val="22"/>
          <w:lang w:val="sk-SK"/>
        </w:rPr>
        <w:t>Respiračné ochorenia spojené s produktívnym kašľom.</w:t>
      </w:r>
    </w:p>
    <w:p w14:paraId="4DD4E1FB" w14:textId="77777777" w:rsidR="001F5AEC" w:rsidRPr="00555500" w:rsidRDefault="001F5AEC" w:rsidP="00003022">
      <w:pPr>
        <w:pStyle w:val="Zkladntext"/>
        <w:numPr>
          <w:ilvl w:val="0"/>
          <w:numId w:val="16"/>
        </w:numPr>
        <w:spacing w:before="0"/>
        <w:ind w:left="284" w:hanging="284"/>
        <w:jc w:val="left"/>
        <w:rPr>
          <w:sz w:val="22"/>
          <w:szCs w:val="22"/>
          <w:lang w:val="sk-SK"/>
        </w:rPr>
      </w:pPr>
      <w:r w:rsidRPr="00555500">
        <w:rPr>
          <w:sz w:val="22"/>
          <w:szCs w:val="22"/>
          <w:lang w:val="sk-SK"/>
        </w:rPr>
        <w:t xml:space="preserve">Pacienti s respiračnou </w:t>
      </w:r>
      <w:r w:rsidR="00DE34DC">
        <w:rPr>
          <w:sz w:val="22"/>
          <w:szCs w:val="22"/>
          <w:lang w:val="sk-SK"/>
        </w:rPr>
        <w:t>insuficienciou</w:t>
      </w:r>
      <w:r w:rsidR="00DE34DC" w:rsidRPr="00555500">
        <w:rPr>
          <w:sz w:val="22"/>
          <w:szCs w:val="22"/>
          <w:lang w:val="sk-SK"/>
        </w:rPr>
        <w:t xml:space="preserve"> </w:t>
      </w:r>
      <w:r w:rsidRPr="00555500">
        <w:rPr>
          <w:sz w:val="22"/>
          <w:szCs w:val="22"/>
          <w:lang w:val="sk-SK"/>
        </w:rPr>
        <w:t xml:space="preserve">alebo rizikom </w:t>
      </w:r>
      <w:r w:rsidR="00DE34DC">
        <w:rPr>
          <w:sz w:val="22"/>
          <w:szCs w:val="22"/>
          <w:lang w:val="sk-SK"/>
        </w:rPr>
        <w:t>vzniku respiračného zlyhania</w:t>
      </w:r>
      <w:r w:rsidRPr="00555500">
        <w:rPr>
          <w:sz w:val="22"/>
          <w:szCs w:val="22"/>
          <w:lang w:val="sk-SK"/>
        </w:rPr>
        <w:t>.</w:t>
      </w:r>
    </w:p>
    <w:p w14:paraId="7AEE3452" w14:textId="77777777" w:rsidR="001F5AEC" w:rsidRPr="00CD01EB" w:rsidRDefault="001F5AEC" w:rsidP="00555500">
      <w:pPr>
        <w:pStyle w:val="Zkladntext"/>
        <w:numPr>
          <w:ilvl w:val="0"/>
          <w:numId w:val="16"/>
        </w:numPr>
        <w:spacing w:before="0"/>
        <w:ind w:left="284" w:hanging="284"/>
        <w:jc w:val="left"/>
        <w:rPr>
          <w:sz w:val="22"/>
          <w:szCs w:val="22"/>
          <w:lang w:val="sk-SK"/>
        </w:rPr>
      </w:pPr>
      <w:r w:rsidRPr="00E071DF">
        <w:rPr>
          <w:sz w:val="22"/>
          <w:szCs w:val="22"/>
          <w:lang w:val="sk-SK"/>
        </w:rPr>
        <w:t>Pacienti, ktorí užívajú inhibítory MAO, alebo ktorí ich užívali počas posledných 2 týždňov (pozri časť 4.5).</w:t>
      </w:r>
      <w:r w:rsidR="00E071DF" w:rsidRPr="00E071DF">
        <w:rPr>
          <w:sz w:val="22"/>
          <w:szCs w:val="22"/>
          <w:lang w:val="sk-SK"/>
        </w:rPr>
        <w:t xml:space="preserve"> </w:t>
      </w:r>
      <w:r w:rsidRPr="00E071DF">
        <w:rPr>
          <w:sz w:val="22"/>
          <w:szCs w:val="22"/>
          <w:lang w:val="sk-SK"/>
        </w:rPr>
        <w:t xml:space="preserve">Súbežné užívanie liekov s obsahom dextrometorfánu a inhibítorov </w:t>
      </w:r>
      <w:r w:rsidR="00E071DF" w:rsidRPr="00CD01EB">
        <w:rPr>
          <w:sz w:val="22"/>
          <w:szCs w:val="22"/>
          <w:lang w:val="sk-SK"/>
        </w:rPr>
        <w:t>monoamíno</w:t>
      </w:r>
      <w:r w:rsidR="00A75A66" w:rsidRPr="00CD01EB">
        <w:rPr>
          <w:sz w:val="22"/>
          <w:szCs w:val="22"/>
          <w:lang w:val="sk-SK"/>
        </w:rPr>
        <w:t>o</w:t>
      </w:r>
      <w:r w:rsidR="00E071DF" w:rsidRPr="00CD01EB">
        <w:rPr>
          <w:sz w:val="22"/>
          <w:szCs w:val="22"/>
          <w:lang w:val="sk-SK"/>
        </w:rPr>
        <w:t>xidázy</w:t>
      </w:r>
      <w:r w:rsidRPr="00CD01EB">
        <w:rPr>
          <w:sz w:val="22"/>
          <w:szCs w:val="22"/>
          <w:lang w:val="sk-SK"/>
        </w:rPr>
        <w:t xml:space="preserve"> môže viesť k symptómom, ako sú hyperpyrexia, halucinácie, silná excitácia alebo kóma.</w:t>
      </w:r>
    </w:p>
    <w:p w14:paraId="1F5A1B56" w14:textId="77777777" w:rsidR="006C5930" w:rsidRPr="00CD01EB" w:rsidRDefault="006C5930" w:rsidP="00555500">
      <w:pPr>
        <w:rPr>
          <w:b/>
          <w:sz w:val="22"/>
          <w:szCs w:val="22"/>
          <w:lang w:val="sk-SK"/>
        </w:rPr>
      </w:pPr>
    </w:p>
    <w:p w14:paraId="5ED77B4C" w14:textId="77777777" w:rsidR="006C5930" w:rsidRPr="00CD01EB" w:rsidRDefault="006C5930" w:rsidP="00555500">
      <w:pPr>
        <w:rPr>
          <w:b/>
          <w:sz w:val="22"/>
          <w:szCs w:val="22"/>
          <w:lang w:val="sk-SK"/>
        </w:rPr>
      </w:pPr>
      <w:r w:rsidRPr="00CD01EB">
        <w:rPr>
          <w:b/>
          <w:sz w:val="22"/>
          <w:szCs w:val="22"/>
          <w:lang w:val="sk-SK"/>
        </w:rPr>
        <w:t xml:space="preserve">4.4  </w:t>
      </w:r>
      <w:r w:rsidRPr="00CD01EB">
        <w:rPr>
          <w:b/>
          <w:noProof/>
          <w:sz w:val="22"/>
          <w:szCs w:val="22"/>
        </w:rPr>
        <w:t xml:space="preserve"> </w:t>
      </w:r>
      <w:r w:rsidRPr="00CD01EB">
        <w:rPr>
          <w:b/>
          <w:noProof/>
          <w:sz w:val="22"/>
          <w:szCs w:val="22"/>
        </w:rPr>
        <w:tab/>
        <w:t>Osobitné upozornenia a opatrenia pri používaní</w:t>
      </w:r>
    </w:p>
    <w:p w14:paraId="0BA1F046" w14:textId="77777777" w:rsidR="006C5930" w:rsidRPr="00CD01EB" w:rsidRDefault="006C593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5E8B62DA" w14:textId="77777777" w:rsidR="006C5930" w:rsidRPr="00555500" w:rsidRDefault="006C5930" w:rsidP="00555500">
      <w:pPr>
        <w:pStyle w:val="Zkladntext2"/>
        <w:jc w:val="left"/>
        <w:rPr>
          <w:sz w:val="22"/>
          <w:szCs w:val="22"/>
          <w:lang w:val="sk-SK"/>
        </w:rPr>
      </w:pPr>
      <w:r w:rsidRPr="00CD01EB">
        <w:rPr>
          <w:sz w:val="22"/>
          <w:szCs w:val="22"/>
          <w:lang w:val="sk-SK"/>
        </w:rPr>
        <w:t>Opatrnosť je nutná u pacientov s</w:t>
      </w:r>
      <w:r w:rsidR="001F5AEC" w:rsidRPr="00CD01EB">
        <w:rPr>
          <w:sz w:val="22"/>
          <w:szCs w:val="22"/>
          <w:lang w:val="sk-SK"/>
        </w:rPr>
        <w:t>o stredne ťažkou až ťažkou</w:t>
      </w:r>
      <w:r w:rsidRPr="00CD01EB">
        <w:rPr>
          <w:sz w:val="22"/>
          <w:szCs w:val="22"/>
          <w:lang w:val="sk-SK"/>
        </w:rPr>
        <w:t xml:space="preserve"> poruchou funkcie pečene</w:t>
      </w:r>
      <w:r w:rsidR="001F5AEC" w:rsidRPr="00CD01EB">
        <w:rPr>
          <w:sz w:val="22"/>
          <w:szCs w:val="22"/>
          <w:lang w:val="sk-SK"/>
        </w:rPr>
        <w:t>, pretože môže by</w:t>
      </w:r>
      <w:r w:rsidR="00A75A66" w:rsidRPr="00CD01EB">
        <w:rPr>
          <w:sz w:val="22"/>
          <w:szCs w:val="22"/>
          <w:lang w:val="sk-SK"/>
        </w:rPr>
        <w:t>ť ovplyvnený metabolizmus dextro</w:t>
      </w:r>
      <w:r w:rsidR="001F5AEC" w:rsidRPr="00CD01EB">
        <w:rPr>
          <w:sz w:val="22"/>
          <w:szCs w:val="22"/>
          <w:lang w:val="sk-SK"/>
        </w:rPr>
        <w:t>metorfánu.</w:t>
      </w:r>
    </w:p>
    <w:p w14:paraId="245C3298" w14:textId="77777777" w:rsidR="00CF244D" w:rsidRPr="00555500" w:rsidRDefault="00E071DF" w:rsidP="00555500">
      <w:pPr>
        <w:pStyle w:val="Zkladntext2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kašeľ pretrváva dlhšie než jeden týždeň alebo je sprevádzaný vysokou horúčkou, vyrážkami alebo pretrvávajúcimi bolesťami hlavy, pacient musí byť poučený, aby vyhľadal lekársku pomoc.</w:t>
      </w:r>
    </w:p>
    <w:p w14:paraId="000DAC31" w14:textId="77777777" w:rsidR="001F5AEC" w:rsidRPr="00555500" w:rsidRDefault="001F5AEC" w:rsidP="00555500">
      <w:pPr>
        <w:pStyle w:val="Zkladntext2"/>
        <w:jc w:val="left"/>
        <w:rPr>
          <w:sz w:val="22"/>
          <w:szCs w:val="22"/>
          <w:lang w:val="sk-SK"/>
        </w:rPr>
      </w:pPr>
      <w:r w:rsidRPr="00555500">
        <w:rPr>
          <w:sz w:val="22"/>
          <w:szCs w:val="22"/>
          <w:lang w:val="sk-SK"/>
        </w:rPr>
        <w:t>Dextrometorfán má nízky potenciál na vznik závislosti. Pri dlhodobom užívaní sa môže u pacienta vyvinúť tolerancia, psychická a fyzická závislosť. Pacienti s predispozíciou k zneužívaniu liekov alebo vzniku závislosti môžu užívať tento liek iba krátky čas a pod prísnym lekárskym dohľadom.</w:t>
      </w:r>
    </w:p>
    <w:p w14:paraId="27938568" w14:textId="77777777" w:rsidR="00492556" w:rsidRDefault="00492556" w:rsidP="00555500">
      <w:pPr>
        <w:pStyle w:val="Zkladntext2"/>
        <w:jc w:val="left"/>
        <w:rPr>
          <w:sz w:val="22"/>
          <w:szCs w:val="22"/>
          <w:lang w:val="sk-SK"/>
        </w:rPr>
      </w:pPr>
    </w:p>
    <w:p w14:paraId="6171A3B3" w14:textId="77777777" w:rsidR="00492556" w:rsidRDefault="00492556" w:rsidP="009E4683">
      <w:pPr>
        <w:pStyle w:val="Default"/>
        <w:rPr>
          <w:bCs/>
          <w:sz w:val="22"/>
          <w:szCs w:val="22"/>
        </w:rPr>
      </w:pPr>
      <w:r w:rsidRPr="009A6F5E">
        <w:rPr>
          <w:bCs/>
          <w:sz w:val="22"/>
          <w:szCs w:val="22"/>
        </w:rPr>
        <w:t>Boli hlásené prípady zneužívania dextrometorfánu. Odporúča sa zvýšená pozornosť predovšetkým u dospievajúcich a mladých dospelých, ako aj u pacientov s užívan</w:t>
      </w:r>
      <w:r w:rsidR="00550470">
        <w:rPr>
          <w:bCs/>
          <w:sz w:val="22"/>
          <w:szCs w:val="22"/>
        </w:rPr>
        <w:t>ím</w:t>
      </w:r>
      <w:r w:rsidRPr="009A6F5E">
        <w:rPr>
          <w:bCs/>
          <w:sz w:val="22"/>
          <w:szCs w:val="22"/>
        </w:rPr>
        <w:t xml:space="preserve"> drog alebo psychoaktívnych látok</w:t>
      </w:r>
      <w:r w:rsidR="00550470" w:rsidRPr="00550470">
        <w:rPr>
          <w:bCs/>
          <w:sz w:val="22"/>
          <w:szCs w:val="22"/>
        </w:rPr>
        <w:t xml:space="preserve"> </w:t>
      </w:r>
      <w:r w:rsidR="00550470">
        <w:rPr>
          <w:bCs/>
          <w:sz w:val="22"/>
          <w:szCs w:val="22"/>
        </w:rPr>
        <w:t xml:space="preserve">v </w:t>
      </w:r>
      <w:r w:rsidR="00550470" w:rsidRPr="009A6F5E">
        <w:rPr>
          <w:bCs/>
          <w:sz w:val="22"/>
          <w:szCs w:val="22"/>
        </w:rPr>
        <w:t>anamnéz</w:t>
      </w:r>
      <w:r w:rsidR="00550470">
        <w:rPr>
          <w:bCs/>
          <w:sz w:val="22"/>
          <w:szCs w:val="22"/>
        </w:rPr>
        <w:t>e</w:t>
      </w:r>
      <w:r w:rsidRPr="009A6F5E">
        <w:rPr>
          <w:bCs/>
          <w:sz w:val="22"/>
          <w:szCs w:val="22"/>
        </w:rPr>
        <w:t xml:space="preserve">. </w:t>
      </w:r>
    </w:p>
    <w:p w14:paraId="5FA1E4FD" w14:textId="77777777" w:rsidR="00E11F59" w:rsidRPr="00550470" w:rsidRDefault="00E11F59" w:rsidP="009E4683">
      <w:pPr>
        <w:pStyle w:val="Default"/>
        <w:rPr>
          <w:bCs/>
          <w:sz w:val="22"/>
          <w:szCs w:val="22"/>
        </w:rPr>
      </w:pPr>
    </w:p>
    <w:p w14:paraId="60DAAB61" w14:textId="77777777" w:rsidR="00E071DF" w:rsidRPr="0081697A" w:rsidRDefault="00E071DF" w:rsidP="00555500">
      <w:pPr>
        <w:pStyle w:val="Zkladntext2"/>
        <w:jc w:val="left"/>
        <w:rPr>
          <w:sz w:val="22"/>
          <w:szCs w:val="22"/>
          <w:lang w:val="sk-SK"/>
        </w:rPr>
      </w:pPr>
      <w:r w:rsidRPr="00327682">
        <w:rPr>
          <w:sz w:val="22"/>
          <w:szCs w:val="22"/>
          <w:lang w:val="sk-SK"/>
        </w:rPr>
        <w:t>Vzhľadom na možnosť zneužívania dextrometorfánu</w:t>
      </w:r>
      <w:r w:rsidR="00DE34DC">
        <w:rPr>
          <w:sz w:val="22"/>
          <w:szCs w:val="22"/>
          <w:lang w:val="sk-SK"/>
        </w:rPr>
        <w:t xml:space="preserve"> </w:t>
      </w:r>
      <w:r w:rsidRPr="00327682">
        <w:rPr>
          <w:sz w:val="22"/>
          <w:szCs w:val="22"/>
          <w:lang w:val="sk-SK"/>
        </w:rPr>
        <w:t xml:space="preserve">majú lekári u pacientov zhodnotiť anamnézu </w:t>
      </w:r>
      <w:r w:rsidRPr="007419F4">
        <w:rPr>
          <w:sz w:val="22"/>
          <w:szCs w:val="22"/>
          <w:lang w:val="sk-SK"/>
        </w:rPr>
        <w:t xml:space="preserve">zneužívania </w:t>
      </w:r>
      <w:r w:rsidR="00327682" w:rsidRPr="007419F4">
        <w:rPr>
          <w:sz w:val="22"/>
          <w:szCs w:val="22"/>
          <w:lang w:val="sk-SK"/>
        </w:rPr>
        <w:t>liekov</w:t>
      </w:r>
      <w:r w:rsidRPr="0081697A">
        <w:rPr>
          <w:sz w:val="22"/>
          <w:szCs w:val="22"/>
          <w:lang w:val="sk-SK"/>
        </w:rPr>
        <w:t xml:space="preserve"> a dôkladne sledovať takýchto pacientov na prejavy nesprávneho použitia alebo zneužitia lieku (napr. </w:t>
      </w:r>
      <w:r w:rsidR="007419F4" w:rsidRPr="00883CFA">
        <w:rPr>
          <w:sz w:val="22"/>
          <w:szCs w:val="22"/>
          <w:lang w:val="sk-SK"/>
        </w:rPr>
        <w:t>vznik</w:t>
      </w:r>
      <w:r w:rsidRPr="007419F4">
        <w:rPr>
          <w:sz w:val="22"/>
          <w:szCs w:val="22"/>
          <w:lang w:val="sk-SK"/>
        </w:rPr>
        <w:t xml:space="preserve"> tolerancie</w:t>
      </w:r>
      <w:r w:rsidRPr="0081697A">
        <w:rPr>
          <w:sz w:val="22"/>
          <w:szCs w:val="22"/>
          <w:lang w:val="sk-SK"/>
        </w:rPr>
        <w:t xml:space="preserve">, zvyšovania dávok, </w:t>
      </w:r>
      <w:r w:rsidR="004C3DB7" w:rsidRPr="0081697A">
        <w:rPr>
          <w:sz w:val="22"/>
          <w:szCs w:val="22"/>
          <w:lang w:val="sk-SK"/>
        </w:rPr>
        <w:t>správanie pri zháňaní drog).</w:t>
      </w:r>
    </w:p>
    <w:p w14:paraId="3FED908A" w14:textId="77777777" w:rsidR="001F5AEC" w:rsidRDefault="004C3DB7" w:rsidP="00555500">
      <w:pPr>
        <w:pStyle w:val="Zkladntext2"/>
        <w:jc w:val="left"/>
        <w:rPr>
          <w:sz w:val="22"/>
          <w:szCs w:val="22"/>
          <w:lang w:val="sk-SK"/>
        </w:rPr>
      </w:pPr>
      <w:r w:rsidRPr="00970CC8">
        <w:rPr>
          <w:sz w:val="22"/>
          <w:szCs w:val="22"/>
          <w:lang w:val="sk-SK"/>
        </w:rPr>
        <w:t>Možnosť zneužitia dextrometorfánu</w:t>
      </w:r>
      <w:r w:rsidR="001F5AEC" w:rsidRPr="00970CC8">
        <w:rPr>
          <w:sz w:val="22"/>
          <w:szCs w:val="22"/>
          <w:lang w:val="sk-SK"/>
        </w:rPr>
        <w:t xml:space="preserve"> sa musí</w:t>
      </w:r>
      <w:r w:rsidR="001F5AEC" w:rsidRPr="00327682">
        <w:rPr>
          <w:sz w:val="22"/>
          <w:szCs w:val="22"/>
          <w:lang w:val="sk-SK"/>
        </w:rPr>
        <w:t xml:space="preserve"> vziať do úvahy, pretože môže dôjsť k vzniku závažných nežiaducich </w:t>
      </w:r>
      <w:r w:rsidRPr="00327682">
        <w:rPr>
          <w:sz w:val="22"/>
          <w:szCs w:val="22"/>
          <w:lang w:val="sk-SK"/>
        </w:rPr>
        <w:t>reakcií</w:t>
      </w:r>
      <w:r w:rsidR="001F5AEC" w:rsidRPr="00327682">
        <w:rPr>
          <w:sz w:val="22"/>
          <w:szCs w:val="22"/>
          <w:lang w:val="sk-SK"/>
        </w:rPr>
        <w:t xml:space="preserve"> (pozri</w:t>
      </w:r>
      <w:r w:rsidRPr="00327682">
        <w:rPr>
          <w:sz w:val="22"/>
          <w:szCs w:val="22"/>
          <w:lang w:val="sk-SK"/>
        </w:rPr>
        <w:t xml:space="preserve"> tiež časti 4.8 Nežiaduce účinky a </w:t>
      </w:r>
      <w:r w:rsidR="001F5AEC" w:rsidRPr="00327682">
        <w:rPr>
          <w:sz w:val="22"/>
          <w:szCs w:val="22"/>
          <w:lang w:val="sk-SK"/>
        </w:rPr>
        <w:t>4.9</w:t>
      </w:r>
      <w:r w:rsidRPr="00327682">
        <w:rPr>
          <w:sz w:val="22"/>
          <w:szCs w:val="22"/>
          <w:lang w:val="sk-SK"/>
        </w:rPr>
        <w:t xml:space="preserve"> Predávkovanie</w:t>
      </w:r>
      <w:r w:rsidR="001F5AEC" w:rsidRPr="00327682">
        <w:rPr>
          <w:sz w:val="22"/>
          <w:szCs w:val="22"/>
          <w:lang w:val="sk-SK"/>
        </w:rPr>
        <w:t>).</w:t>
      </w:r>
    </w:p>
    <w:p w14:paraId="17CED1FB" w14:textId="77777777" w:rsidR="00492556" w:rsidRDefault="00492556" w:rsidP="00492556">
      <w:pPr>
        <w:pStyle w:val="Default"/>
        <w:rPr>
          <w:bCs/>
          <w:sz w:val="22"/>
          <w:szCs w:val="22"/>
        </w:rPr>
      </w:pPr>
    </w:p>
    <w:p w14:paraId="745A4779" w14:textId="77777777" w:rsidR="00492556" w:rsidRDefault="00492556" w:rsidP="00492556">
      <w:pPr>
        <w:pStyle w:val="Default"/>
        <w:rPr>
          <w:bCs/>
          <w:sz w:val="22"/>
          <w:szCs w:val="22"/>
        </w:rPr>
      </w:pPr>
      <w:r w:rsidRPr="009A6F5E">
        <w:rPr>
          <w:bCs/>
          <w:sz w:val="22"/>
          <w:szCs w:val="22"/>
        </w:rPr>
        <w:t>Dextrometorfán je metabolizovaný pečeňovým cytochrómom P450 2D6. Aktivita tohto enzýmu je daná geneticky. Približne 10 % celkovej populácie slabo metabolizuje CYP2D6. U osôb slabo metabolizujúcich CYP2D6 a pacientov súčasne užívajúcich inhibítory CYP2D6 môže dochádzať k zvýšeným a/alebo predĺženým účinkom dextrometorfánu. Preto</w:t>
      </w:r>
      <w:r w:rsidR="00550470">
        <w:rPr>
          <w:bCs/>
          <w:sz w:val="22"/>
          <w:szCs w:val="22"/>
        </w:rPr>
        <w:t xml:space="preserve"> </w:t>
      </w:r>
      <w:r w:rsidRPr="009A6F5E">
        <w:rPr>
          <w:bCs/>
          <w:sz w:val="22"/>
          <w:szCs w:val="22"/>
        </w:rPr>
        <w:t xml:space="preserve">sa </w:t>
      </w:r>
      <w:r w:rsidR="00550470">
        <w:rPr>
          <w:bCs/>
          <w:sz w:val="22"/>
          <w:szCs w:val="22"/>
        </w:rPr>
        <w:t xml:space="preserve">má </w:t>
      </w:r>
      <w:r w:rsidR="00550470" w:rsidRPr="009A6F5E">
        <w:rPr>
          <w:bCs/>
          <w:sz w:val="22"/>
          <w:szCs w:val="22"/>
        </w:rPr>
        <w:t xml:space="preserve">zvýšiť pozornosť </w:t>
      </w:r>
      <w:r w:rsidRPr="009A6F5E">
        <w:rPr>
          <w:bCs/>
          <w:sz w:val="22"/>
          <w:szCs w:val="22"/>
        </w:rPr>
        <w:t xml:space="preserve">u pacientov pomaly metabolizujúcich CYP2D6 alebo užívajúcich inhibítory CYP2D6 (pozri aj časť 4.5). </w:t>
      </w:r>
    </w:p>
    <w:p w14:paraId="4674DD20" w14:textId="77777777" w:rsidR="00CA617B" w:rsidRDefault="00CA617B" w:rsidP="00492556">
      <w:pPr>
        <w:pStyle w:val="Default"/>
        <w:rPr>
          <w:bCs/>
          <w:sz w:val="22"/>
          <w:szCs w:val="22"/>
        </w:rPr>
      </w:pPr>
    </w:p>
    <w:p w14:paraId="0C53EB52" w14:textId="77777777" w:rsidR="00CA617B" w:rsidRPr="00134F3B" w:rsidRDefault="00CA617B" w:rsidP="00CA617B">
      <w:pPr>
        <w:pStyle w:val="Default"/>
        <w:rPr>
          <w:sz w:val="22"/>
          <w:szCs w:val="22"/>
          <w:u w:val="single"/>
        </w:rPr>
      </w:pPr>
      <w:r w:rsidRPr="00134F3B">
        <w:rPr>
          <w:sz w:val="22"/>
          <w:szCs w:val="22"/>
          <w:u w:val="single"/>
        </w:rPr>
        <w:t>Riziko vyplývajúce zo súčasného užívania s</w:t>
      </w:r>
      <w:r w:rsidR="00134F3B">
        <w:rPr>
          <w:sz w:val="22"/>
          <w:szCs w:val="22"/>
          <w:u w:val="single"/>
        </w:rPr>
        <w:t>o</w:t>
      </w:r>
      <w:r w:rsidRPr="00134F3B">
        <w:rPr>
          <w:sz w:val="22"/>
          <w:szCs w:val="22"/>
          <w:u w:val="single"/>
        </w:rPr>
        <w:t xml:space="preserve"> </w:t>
      </w:r>
      <w:r w:rsidR="00134F3B">
        <w:rPr>
          <w:sz w:val="22"/>
          <w:szCs w:val="22"/>
          <w:u w:val="single"/>
        </w:rPr>
        <w:t> sedatívami, ako sú benzodiazepíny a im podobné lieky</w:t>
      </w:r>
    </w:p>
    <w:p w14:paraId="0A776256" w14:textId="77777777" w:rsidR="00CA617B" w:rsidRPr="009E4683" w:rsidRDefault="00CA617B" w:rsidP="00CA617B">
      <w:pPr>
        <w:pStyle w:val="Default"/>
        <w:rPr>
          <w:sz w:val="22"/>
          <w:szCs w:val="22"/>
        </w:rPr>
      </w:pPr>
    </w:p>
    <w:p w14:paraId="210443E7" w14:textId="77777777" w:rsidR="00CA617B" w:rsidRPr="009E4683" w:rsidRDefault="00CA617B" w:rsidP="00CA617B">
      <w:pPr>
        <w:pStyle w:val="Default"/>
        <w:rPr>
          <w:sz w:val="22"/>
          <w:szCs w:val="22"/>
        </w:rPr>
      </w:pPr>
      <w:r w:rsidRPr="009E4683">
        <w:rPr>
          <w:sz w:val="22"/>
          <w:szCs w:val="22"/>
        </w:rPr>
        <w:t xml:space="preserve">Súčasné užívanie lieku Stopex na suchý kašeľ a </w:t>
      </w:r>
      <w:r w:rsidR="00134F3B" w:rsidRPr="00B26EBA">
        <w:rPr>
          <w:sz w:val="22"/>
          <w:szCs w:val="22"/>
        </w:rPr>
        <w:t>sedatív, ako sú benzodiazepíny a im podobné lieky</w:t>
      </w:r>
      <w:r w:rsidR="00134F3B">
        <w:rPr>
          <w:sz w:val="22"/>
          <w:szCs w:val="22"/>
          <w:u w:val="single"/>
        </w:rPr>
        <w:t xml:space="preserve"> </w:t>
      </w:r>
      <w:r w:rsidRPr="009E4683">
        <w:rPr>
          <w:sz w:val="22"/>
          <w:szCs w:val="22"/>
        </w:rPr>
        <w:t xml:space="preserve">môže viesť k sedácii, respiračnej depresii, kóme a smrti. Vzhľadom na tieto riziká je súčasné predpisovanie </w:t>
      </w:r>
      <w:r w:rsidR="00134F3B">
        <w:rPr>
          <w:sz w:val="22"/>
          <w:szCs w:val="22"/>
        </w:rPr>
        <w:t xml:space="preserve">týchto </w:t>
      </w:r>
      <w:r w:rsidRPr="009E4683">
        <w:rPr>
          <w:sz w:val="22"/>
          <w:szCs w:val="22"/>
        </w:rPr>
        <w:t>sedatív vyhradené pacientom, u ktorých nie sú alternatívne možnosti liečby. V prípade rozhodnutia predpísať Stopex na suchý kašeľ súčasne s</w:t>
      </w:r>
      <w:r w:rsidR="00134F3B">
        <w:rPr>
          <w:sz w:val="22"/>
          <w:szCs w:val="22"/>
        </w:rPr>
        <w:t>o sedatívami</w:t>
      </w:r>
      <w:r w:rsidR="002B60D7" w:rsidRPr="009E4683">
        <w:rPr>
          <w:sz w:val="22"/>
          <w:szCs w:val="22"/>
        </w:rPr>
        <w:t>,</w:t>
      </w:r>
      <w:r w:rsidRPr="009E4683">
        <w:rPr>
          <w:sz w:val="22"/>
          <w:szCs w:val="22"/>
        </w:rPr>
        <w:t xml:space="preserve"> je nutné predpísať najnižšiu účinnú dávku na najkratší možný čas liečby.</w:t>
      </w:r>
    </w:p>
    <w:p w14:paraId="3BADB369" w14:textId="77777777" w:rsidR="00CA617B" w:rsidRPr="009E4683" w:rsidRDefault="00CA617B" w:rsidP="00CA617B">
      <w:pPr>
        <w:pStyle w:val="Default"/>
        <w:rPr>
          <w:sz w:val="22"/>
          <w:szCs w:val="22"/>
        </w:rPr>
      </w:pPr>
    </w:p>
    <w:p w14:paraId="11C8895B" w14:textId="77777777" w:rsidR="00CA617B" w:rsidRPr="009A6F5E" w:rsidRDefault="00CA617B" w:rsidP="00CA617B">
      <w:pPr>
        <w:pStyle w:val="Default"/>
        <w:rPr>
          <w:sz w:val="22"/>
          <w:szCs w:val="22"/>
        </w:rPr>
      </w:pPr>
      <w:r w:rsidRPr="009E4683">
        <w:rPr>
          <w:sz w:val="22"/>
          <w:szCs w:val="22"/>
        </w:rPr>
        <w:t>Pacientov je nutné starostlivo sledovať kvôli možným prejavom a príznakom respiračnej depresie a sedácie. V tejto súvislosti sa dôrazne odporúča informovať pacientov a ich opatrovateľov, aby o týchto príznakoch vedeli (pozri časť 4.5).</w:t>
      </w:r>
    </w:p>
    <w:p w14:paraId="554A231A" w14:textId="77777777" w:rsidR="00492556" w:rsidRPr="00327682" w:rsidRDefault="00492556" w:rsidP="00555500">
      <w:pPr>
        <w:pStyle w:val="Zkladntext2"/>
        <w:jc w:val="left"/>
        <w:rPr>
          <w:sz w:val="22"/>
          <w:szCs w:val="22"/>
          <w:lang w:val="sk-SK"/>
        </w:rPr>
      </w:pPr>
    </w:p>
    <w:p w14:paraId="18317B62" w14:textId="77777777" w:rsidR="00DE34DC" w:rsidRDefault="00327682" w:rsidP="00555500">
      <w:pPr>
        <w:pStyle w:val="Zkladntext2"/>
        <w:jc w:val="left"/>
        <w:rPr>
          <w:sz w:val="22"/>
          <w:szCs w:val="22"/>
          <w:lang w:val="sk-SK"/>
        </w:rPr>
      </w:pPr>
      <w:r w:rsidRPr="00327682">
        <w:rPr>
          <w:sz w:val="22"/>
          <w:szCs w:val="22"/>
          <w:lang w:val="sk-SK"/>
        </w:rPr>
        <w:t>Tento liek obsahuje roztok maltitolu, ktorý môže mať miern</w:t>
      </w:r>
      <w:r w:rsidR="00DE34DC">
        <w:rPr>
          <w:sz w:val="22"/>
          <w:szCs w:val="22"/>
          <w:lang w:val="sk-SK"/>
        </w:rPr>
        <w:t>y</w:t>
      </w:r>
      <w:r w:rsidRPr="00327682">
        <w:rPr>
          <w:sz w:val="22"/>
          <w:szCs w:val="22"/>
          <w:lang w:val="sk-SK"/>
        </w:rPr>
        <w:t xml:space="preserve"> laxatívny účinok. </w:t>
      </w:r>
    </w:p>
    <w:p w14:paraId="3D571766" w14:textId="77777777" w:rsidR="00327682" w:rsidRPr="00327682" w:rsidRDefault="00327682" w:rsidP="00555500">
      <w:pPr>
        <w:pStyle w:val="Zkladntext2"/>
        <w:jc w:val="left"/>
        <w:rPr>
          <w:sz w:val="22"/>
          <w:szCs w:val="22"/>
          <w:lang w:val="sk-SK"/>
        </w:rPr>
      </w:pPr>
      <w:r w:rsidRPr="00327682">
        <w:rPr>
          <w:sz w:val="22"/>
          <w:szCs w:val="22"/>
          <w:lang w:val="pt-PT"/>
        </w:rPr>
        <w:t>Pacienti so zriedkavými dedičnými problémami intolerancie fruktózy nesmú užívať tento liek.</w:t>
      </w:r>
    </w:p>
    <w:p w14:paraId="512971C1" w14:textId="77777777" w:rsidR="006C5930" w:rsidRPr="00555500" w:rsidRDefault="006C5930" w:rsidP="00555500">
      <w:pPr>
        <w:rPr>
          <w:b/>
          <w:sz w:val="22"/>
          <w:szCs w:val="22"/>
          <w:lang w:val="sk-SK"/>
        </w:rPr>
      </w:pPr>
    </w:p>
    <w:p w14:paraId="3DFDE0D1" w14:textId="77777777" w:rsidR="006C5930" w:rsidRPr="00B02B2B" w:rsidRDefault="006C5930" w:rsidP="00555500">
      <w:pPr>
        <w:rPr>
          <w:b/>
          <w:sz w:val="22"/>
          <w:szCs w:val="22"/>
          <w:lang w:val="sk-SK"/>
        </w:rPr>
      </w:pPr>
      <w:r w:rsidRPr="00B02B2B">
        <w:rPr>
          <w:b/>
          <w:sz w:val="22"/>
          <w:szCs w:val="22"/>
          <w:lang w:val="sk-SK"/>
        </w:rPr>
        <w:t xml:space="preserve">4.5 </w:t>
      </w:r>
      <w:r w:rsidRPr="00B02B2B">
        <w:rPr>
          <w:b/>
          <w:sz w:val="22"/>
          <w:szCs w:val="22"/>
          <w:lang w:val="sk-SK"/>
        </w:rPr>
        <w:tab/>
        <w:t>Liekové a iné interakcie</w:t>
      </w:r>
    </w:p>
    <w:p w14:paraId="4FA67463" w14:textId="77777777" w:rsidR="006C5930" w:rsidRPr="00B02B2B" w:rsidRDefault="006C5930" w:rsidP="00555500">
      <w:pPr>
        <w:rPr>
          <w:sz w:val="22"/>
          <w:szCs w:val="22"/>
          <w:lang w:val="sk-SK"/>
        </w:rPr>
      </w:pPr>
    </w:p>
    <w:p w14:paraId="3FCBD83A" w14:textId="77777777" w:rsidR="00B02B2B" w:rsidRPr="00B02B2B" w:rsidRDefault="001F5AEC" w:rsidP="00555500">
      <w:pPr>
        <w:pStyle w:val="Zkladntext3"/>
        <w:rPr>
          <w:sz w:val="22"/>
          <w:szCs w:val="22"/>
          <w:lang w:val="sk-SK"/>
        </w:rPr>
      </w:pPr>
      <w:r w:rsidRPr="00B02B2B">
        <w:rPr>
          <w:sz w:val="22"/>
          <w:szCs w:val="22"/>
          <w:lang w:val="sk-SK"/>
        </w:rPr>
        <w:t xml:space="preserve">Nesmie sa podávať pacientom, ktorí užívajú alebo v posledných </w:t>
      </w:r>
      <w:r w:rsidR="00B02B2B">
        <w:rPr>
          <w:sz w:val="22"/>
          <w:szCs w:val="22"/>
          <w:lang w:val="sk-SK"/>
        </w:rPr>
        <w:t>dvoch</w:t>
      </w:r>
      <w:r w:rsidRPr="00B02B2B">
        <w:rPr>
          <w:sz w:val="22"/>
          <w:szCs w:val="22"/>
          <w:lang w:val="sk-SK"/>
        </w:rPr>
        <w:t xml:space="preserve"> týždňoch užívali inhibítory MAO (IMAO ako sú napr. furazolidón, prokarbazín, pargylín, moklobemid, selegilín, izoniazid a linezolid). Súbežné užívanie IMAO s dextrometorfánom môže spôsobiť ťažké toxické reakcie charakterizované excitáciou, hypertenziou a hyperpyrexiou.</w:t>
      </w:r>
      <w:r w:rsidR="00896521" w:rsidRPr="00B02B2B">
        <w:rPr>
          <w:sz w:val="22"/>
          <w:szCs w:val="22"/>
          <w:lang w:val="sk-SK"/>
        </w:rPr>
        <w:t xml:space="preserve"> </w:t>
      </w:r>
    </w:p>
    <w:p w14:paraId="0A32EFE2" w14:textId="77777777" w:rsidR="00B02B2B" w:rsidRPr="00B02B2B" w:rsidRDefault="00B02B2B" w:rsidP="00555500">
      <w:pPr>
        <w:pStyle w:val="Zkladntext3"/>
        <w:rPr>
          <w:sz w:val="22"/>
          <w:szCs w:val="22"/>
          <w:lang w:val="sk-SK"/>
        </w:rPr>
      </w:pPr>
    </w:p>
    <w:p w14:paraId="5F29572A" w14:textId="77777777" w:rsidR="001F5AEC" w:rsidRPr="00B02B2B" w:rsidRDefault="001F5AEC" w:rsidP="00555500">
      <w:pPr>
        <w:pStyle w:val="Zkladntext3"/>
        <w:rPr>
          <w:sz w:val="22"/>
          <w:szCs w:val="22"/>
          <w:lang w:val="sk-SK"/>
        </w:rPr>
      </w:pPr>
      <w:r w:rsidRPr="00B02B2B">
        <w:rPr>
          <w:sz w:val="22"/>
          <w:szCs w:val="22"/>
          <w:lang w:val="sk-SK"/>
        </w:rPr>
        <w:lastRenderedPageBreak/>
        <w:t>Chinidín zvyšuje plazmatické koncentrácie dextrometorfánu, ktoré môž</w:t>
      </w:r>
      <w:r w:rsidR="004502E3" w:rsidRPr="00B02B2B">
        <w:rPr>
          <w:sz w:val="22"/>
          <w:szCs w:val="22"/>
          <w:lang w:val="sk-SK"/>
        </w:rPr>
        <w:t>u</w:t>
      </w:r>
      <w:r w:rsidRPr="00B02B2B">
        <w:rPr>
          <w:sz w:val="22"/>
          <w:szCs w:val="22"/>
          <w:lang w:val="sk-SK"/>
        </w:rPr>
        <w:t xml:space="preserve"> dosiahnuť toxické hodnoty.</w:t>
      </w:r>
    </w:p>
    <w:p w14:paraId="5001CA96" w14:textId="77777777" w:rsidR="001F5AEC" w:rsidRPr="00B02B2B" w:rsidRDefault="001F5AEC" w:rsidP="00555500">
      <w:pPr>
        <w:pStyle w:val="Zkladntext3"/>
        <w:rPr>
          <w:sz w:val="22"/>
          <w:szCs w:val="22"/>
          <w:lang w:val="sk-SK"/>
        </w:rPr>
      </w:pPr>
      <w:r w:rsidRPr="00B02B2B">
        <w:rPr>
          <w:sz w:val="22"/>
          <w:szCs w:val="22"/>
          <w:lang w:val="sk-SK"/>
        </w:rPr>
        <w:t>Nesmie sa podávať pacientom, ktorí užívajú selektívne inhibítory spätného vychytávania sérotonínu (SSRI), ako je fluoxetín, paroxetín a sertralín. Mechanizmom inter</w:t>
      </w:r>
      <w:r w:rsidR="009E203A" w:rsidRPr="00B02B2B">
        <w:rPr>
          <w:sz w:val="22"/>
          <w:szCs w:val="22"/>
          <w:lang w:val="sk-SK"/>
        </w:rPr>
        <w:t>a</w:t>
      </w:r>
      <w:r w:rsidRPr="00B02B2B">
        <w:rPr>
          <w:sz w:val="22"/>
          <w:szCs w:val="22"/>
          <w:lang w:val="sk-SK"/>
        </w:rPr>
        <w:t>kcie je vzájomná kompetitívna enzýmová inhibícia metabolizmu</w:t>
      </w:r>
      <w:r w:rsidR="00B02B2B" w:rsidRPr="00B02B2B">
        <w:rPr>
          <w:sz w:val="22"/>
          <w:szCs w:val="22"/>
          <w:lang w:val="sk-SK"/>
        </w:rPr>
        <w:t xml:space="preserve"> medzi týmito liečivami</w:t>
      </w:r>
      <w:r w:rsidRPr="00B02B2B">
        <w:rPr>
          <w:sz w:val="22"/>
          <w:szCs w:val="22"/>
          <w:lang w:val="sk-SK"/>
        </w:rPr>
        <w:t>, ktorá má za následok zvýšenú toxicitu dextrometorfánu alebo sérotonínový syndróm.</w:t>
      </w:r>
    </w:p>
    <w:p w14:paraId="6FC5BEA5" w14:textId="77777777" w:rsidR="008E5290" w:rsidRPr="00B02B2B" w:rsidRDefault="008E5290" w:rsidP="00555500">
      <w:pPr>
        <w:pStyle w:val="Zkladntext3"/>
        <w:rPr>
          <w:sz w:val="22"/>
          <w:szCs w:val="22"/>
          <w:lang w:val="sk-SK"/>
        </w:rPr>
      </w:pPr>
    </w:p>
    <w:p w14:paraId="102FBE33" w14:textId="77777777" w:rsidR="001F5AEC" w:rsidRPr="00B02B2B" w:rsidRDefault="001F5AEC" w:rsidP="00555500">
      <w:pPr>
        <w:pStyle w:val="Zkladntext3"/>
        <w:rPr>
          <w:sz w:val="22"/>
          <w:szCs w:val="22"/>
          <w:lang w:val="sk-SK"/>
        </w:rPr>
      </w:pPr>
      <w:r w:rsidRPr="00B02B2B">
        <w:rPr>
          <w:sz w:val="22"/>
          <w:szCs w:val="22"/>
          <w:lang w:val="sk-SK"/>
        </w:rPr>
        <w:t xml:space="preserve">Haloperidol zvyšuje plazmatické koncentrácie dextrometorfánu, čo zvyšuje riziko nežiaducich </w:t>
      </w:r>
      <w:r w:rsidR="00B02B2B">
        <w:rPr>
          <w:sz w:val="22"/>
          <w:szCs w:val="22"/>
          <w:lang w:val="sk-SK"/>
        </w:rPr>
        <w:t>udalostí</w:t>
      </w:r>
      <w:r w:rsidRPr="00B02B2B">
        <w:rPr>
          <w:sz w:val="22"/>
          <w:szCs w:val="22"/>
          <w:lang w:val="sk-SK"/>
        </w:rPr>
        <w:t xml:space="preserve"> dextrometorfánu.</w:t>
      </w:r>
    </w:p>
    <w:p w14:paraId="12A0608E" w14:textId="77777777" w:rsidR="008E5290" w:rsidRPr="00B02B2B" w:rsidRDefault="008E5290" w:rsidP="00555500">
      <w:pPr>
        <w:pStyle w:val="Zkladntext3"/>
        <w:rPr>
          <w:sz w:val="22"/>
          <w:szCs w:val="22"/>
          <w:lang w:val="sk-SK"/>
        </w:rPr>
      </w:pPr>
    </w:p>
    <w:p w14:paraId="2DA4D9A4" w14:textId="77777777" w:rsidR="001F5AEC" w:rsidRPr="00B02B2B" w:rsidRDefault="001F5AEC" w:rsidP="00555500">
      <w:pPr>
        <w:pStyle w:val="Zkladntext3"/>
        <w:rPr>
          <w:sz w:val="22"/>
          <w:szCs w:val="22"/>
          <w:lang w:val="sk-SK"/>
        </w:rPr>
      </w:pPr>
      <w:r w:rsidRPr="00B02B2B">
        <w:rPr>
          <w:sz w:val="22"/>
          <w:szCs w:val="22"/>
          <w:lang w:val="sk-SK"/>
        </w:rPr>
        <w:t>Koxiby, ako je celekoxib, parekoxib alebo valdekoxib, zvyšujú plazmatické koncentrácie dextrometorfánu.</w:t>
      </w:r>
    </w:p>
    <w:p w14:paraId="283E28F1" w14:textId="77777777" w:rsidR="008E5290" w:rsidRPr="00B02B2B" w:rsidRDefault="008E5290" w:rsidP="00555500">
      <w:pPr>
        <w:pStyle w:val="Zkladntext3"/>
        <w:rPr>
          <w:sz w:val="22"/>
          <w:szCs w:val="22"/>
          <w:lang w:val="sk-SK"/>
        </w:rPr>
      </w:pPr>
    </w:p>
    <w:p w14:paraId="73B58083" w14:textId="77777777" w:rsidR="001F5AEC" w:rsidRDefault="001F5AEC" w:rsidP="00555500">
      <w:pPr>
        <w:pStyle w:val="Zkladntext3"/>
        <w:rPr>
          <w:sz w:val="22"/>
          <w:szCs w:val="22"/>
          <w:lang w:val="sk-SK"/>
        </w:rPr>
      </w:pPr>
      <w:r w:rsidRPr="00B02B2B">
        <w:rPr>
          <w:sz w:val="22"/>
          <w:szCs w:val="22"/>
          <w:lang w:val="sk-SK"/>
        </w:rPr>
        <w:t>Nesmie sa podávať pacientom, ktorí užívajú sibutramín, pretože dextrometorfán pôsobí ako slabý inhibítor spätného vychytávania sérotonínu a zvyšuje intrasynaptický sérotonín, čím vzniká sérotonínový syndróm.</w:t>
      </w:r>
    </w:p>
    <w:p w14:paraId="15100F10" w14:textId="77777777" w:rsidR="00492556" w:rsidRDefault="00492556" w:rsidP="00555500">
      <w:pPr>
        <w:pStyle w:val="Zkladntext3"/>
        <w:rPr>
          <w:sz w:val="22"/>
          <w:szCs w:val="22"/>
          <w:lang w:val="sk-SK"/>
        </w:rPr>
      </w:pPr>
    </w:p>
    <w:p w14:paraId="241E9AD4" w14:textId="77777777" w:rsidR="00492556" w:rsidRPr="009A6F5E" w:rsidRDefault="00492556" w:rsidP="00492556">
      <w:pPr>
        <w:pStyle w:val="Default"/>
        <w:rPr>
          <w:sz w:val="22"/>
          <w:szCs w:val="22"/>
          <w:u w:val="single"/>
        </w:rPr>
      </w:pPr>
      <w:r w:rsidRPr="009A6F5E">
        <w:rPr>
          <w:bCs/>
          <w:sz w:val="22"/>
          <w:szCs w:val="22"/>
          <w:u w:val="single"/>
        </w:rPr>
        <w:t xml:space="preserve">Inhibítory CYP2D6 </w:t>
      </w:r>
    </w:p>
    <w:p w14:paraId="45266B77" w14:textId="77777777" w:rsidR="00492556" w:rsidRDefault="00492556" w:rsidP="009E4683">
      <w:pPr>
        <w:pStyle w:val="Default"/>
        <w:rPr>
          <w:bCs/>
          <w:sz w:val="22"/>
          <w:szCs w:val="22"/>
        </w:rPr>
      </w:pPr>
      <w:r w:rsidRPr="009A6F5E">
        <w:rPr>
          <w:bCs/>
          <w:sz w:val="22"/>
          <w:szCs w:val="22"/>
        </w:rPr>
        <w:t>Dextrometorfán je metabolizovaný enzýmom CYP2D6 a má rozsiahly first-pass metabolizmus (metabolizmus prvého priechodu). Súčasné užívanie potenciálnych inhibítorov enzýmu CYP2D6 môže zvýšiť koncentrácie dextrometorfánu v tele na hodnoty niekoľkonásobne vyššie, ako je normálne. To u pacienta zvýši riziko výskytu toxických účinkov dextrometorfánu (podráždenie, zmätenosť, tras, nespavosť, hnačka a respiračná depresia) a rozvoja s</w:t>
      </w:r>
      <w:r w:rsidR="00525657">
        <w:rPr>
          <w:bCs/>
          <w:sz w:val="22"/>
          <w:szCs w:val="22"/>
        </w:rPr>
        <w:t>é</w:t>
      </w:r>
      <w:r w:rsidRPr="009A6F5E">
        <w:rPr>
          <w:bCs/>
          <w:sz w:val="22"/>
          <w:szCs w:val="22"/>
        </w:rPr>
        <w:t xml:space="preserve">rotonínového syndrómu. Potenciálne inhibítory enzýmu CYP2D6 zahŕňajú fluoxetín, paroxetín, </w:t>
      </w:r>
      <w:r w:rsidR="00AB6905">
        <w:rPr>
          <w:bCs/>
          <w:sz w:val="22"/>
          <w:szCs w:val="22"/>
        </w:rPr>
        <w:t>ch</w:t>
      </w:r>
      <w:r w:rsidRPr="009A6F5E">
        <w:rPr>
          <w:bCs/>
          <w:sz w:val="22"/>
          <w:szCs w:val="22"/>
        </w:rPr>
        <w:t xml:space="preserve">inidín a terbinafín. Pri súčasnom užívaní s kvinidínom sa koncentrácie dextrometorfánu v plazme zvýšili až 20-násobne, čo zvýšilo nežiaduce účinky lieku na CNS. Amiodarón, flekainid a propafenón, sertralín, bupropión, metadón, cinakalcet, haloperidol, perfenazín aj tioridazín majú tiež podobné účinky na metabolizmus dextrometorfánu. Ak je potrebné súčasné užívanie inhibítorov CYP2D6 a dextrometorfánu, pacient sa musí sledovať a môže byť nutné znížiť dávkovanie dextrometorfánu. </w:t>
      </w:r>
    </w:p>
    <w:p w14:paraId="6DF593C3" w14:textId="77777777" w:rsidR="00CA617B" w:rsidRDefault="00CA617B" w:rsidP="009E4683">
      <w:pPr>
        <w:pStyle w:val="Default"/>
        <w:rPr>
          <w:bCs/>
          <w:sz w:val="22"/>
          <w:szCs w:val="22"/>
        </w:rPr>
      </w:pPr>
    </w:p>
    <w:p w14:paraId="01329063" w14:textId="77777777" w:rsidR="00553E6A" w:rsidRPr="009E4683" w:rsidRDefault="00134F3B" w:rsidP="00CA617B">
      <w:pPr>
        <w:pStyle w:val="Default"/>
        <w:rPr>
          <w:bCs/>
          <w:sz w:val="22"/>
          <w:szCs w:val="22"/>
          <w:u w:val="single"/>
        </w:rPr>
      </w:pPr>
      <w:r>
        <w:rPr>
          <w:sz w:val="22"/>
          <w:szCs w:val="22"/>
          <w:u w:val="single"/>
        </w:rPr>
        <w:t>Sedatíva ako sú benzodiazepíny a im podobné lieky</w:t>
      </w:r>
    </w:p>
    <w:p w14:paraId="0BD9D2DA" w14:textId="77777777" w:rsidR="00CA617B" w:rsidRPr="00550470" w:rsidRDefault="00CA617B" w:rsidP="009E4683">
      <w:pPr>
        <w:pStyle w:val="Default"/>
        <w:rPr>
          <w:bCs/>
          <w:sz w:val="22"/>
          <w:szCs w:val="22"/>
        </w:rPr>
      </w:pPr>
      <w:r w:rsidRPr="009E4683">
        <w:rPr>
          <w:bCs/>
          <w:sz w:val="22"/>
          <w:szCs w:val="22"/>
        </w:rPr>
        <w:t xml:space="preserve">Súčasné užívanie </w:t>
      </w:r>
      <w:r w:rsidR="00134F3B">
        <w:rPr>
          <w:bCs/>
          <w:sz w:val="22"/>
          <w:szCs w:val="22"/>
        </w:rPr>
        <w:t>opioidov</w:t>
      </w:r>
      <w:r w:rsidR="00D55236">
        <w:rPr>
          <w:bCs/>
          <w:sz w:val="22"/>
          <w:szCs w:val="22"/>
        </w:rPr>
        <w:t xml:space="preserve"> spolu so </w:t>
      </w:r>
      <w:r w:rsidRPr="009E4683">
        <w:rPr>
          <w:bCs/>
          <w:sz w:val="22"/>
          <w:szCs w:val="22"/>
        </w:rPr>
        <w:t>sedatív</w:t>
      </w:r>
      <w:r w:rsidR="00D55236">
        <w:rPr>
          <w:bCs/>
          <w:sz w:val="22"/>
          <w:szCs w:val="22"/>
        </w:rPr>
        <w:t>ami</w:t>
      </w:r>
      <w:r w:rsidRPr="009E4683">
        <w:rPr>
          <w:bCs/>
          <w:sz w:val="22"/>
          <w:szCs w:val="22"/>
        </w:rPr>
        <w:t xml:space="preserve">, ako sú benzodiazepíny alebo im podobné </w:t>
      </w:r>
      <w:r w:rsidR="00525657" w:rsidRPr="009E4683">
        <w:rPr>
          <w:bCs/>
          <w:sz w:val="22"/>
          <w:szCs w:val="22"/>
        </w:rPr>
        <w:t>lieky</w:t>
      </w:r>
      <w:r w:rsidRPr="009E4683">
        <w:rPr>
          <w:bCs/>
          <w:sz w:val="22"/>
          <w:szCs w:val="22"/>
        </w:rPr>
        <w:t xml:space="preserve"> zvyšuje riziko sedácie, respiračnej depresie, kómy a smrti v dôsledku aditívneho tlmivého účinku na CNS. Je potrebné obmedziť dávku a dĺžku trvania ich súčasného užívania (pozri časť 4.4).</w:t>
      </w:r>
    </w:p>
    <w:p w14:paraId="3E7AA11B" w14:textId="77777777" w:rsidR="008E5290" w:rsidRPr="00B02B2B" w:rsidRDefault="008E5290" w:rsidP="00555500">
      <w:pPr>
        <w:pStyle w:val="Zkladntext3"/>
        <w:rPr>
          <w:sz w:val="22"/>
          <w:szCs w:val="22"/>
          <w:lang w:val="sk-SK"/>
        </w:rPr>
      </w:pPr>
    </w:p>
    <w:p w14:paraId="018358B9" w14:textId="77777777" w:rsidR="001F5AEC" w:rsidRPr="00B02B2B" w:rsidRDefault="001F5AEC" w:rsidP="00555500">
      <w:pPr>
        <w:pStyle w:val="Zkladntext3"/>
        <w:rPr>
          <w:sz w:val="22"/>
          <w:szCs w:val="22"/>
          <w:lang w:val="sk-SK"/>
        </w:rPr>
      </w:pPr>
      <w:r w:rsidRPr="00B02B2B">
        <w:rPr>
          <w:sz w:val="22"/>
          <w:szCs w:val="22"/>
          <w:lang w:val="sk-SK"/>
        </w:rPr>
        <w:t>Dextrometorfán sa nesmie užívať súčasne s grapefruitovou šťavou alebo kyslou pomarančovou šťavou, pretože významne zvyšujú jeho biologickú dostupnosť a absorpciu.</w:t>
      </w:r>
    </w:p>
    <w:p w14:paraId="26EF6D27" w14:textId="77777777" w:rsidR="008E5290" w:rsidRPr="00555500" w:rsidRDefault="008E5290" w:rsidP="00555500">
      <w:pPr>
        <w:pStyle w:val="Zkladntext3"/>
        <w:rPr>
          <w:sz w:val="22"/>
          <w:szCs w:val="22"/>
        </w:rPr>
      </w:pPr>
    </w:p>
    <w:p w14:paraId="4A3B30A2" w14:textId="77777777" w:rsidR="001F5AEC" w:rsidRPr="00B02B2B" w:rsidRDefault="001F5AEC" w:rsidP="00555500">
      <w:pPr>
        <w:pStyle w:val="Zkladntext3"/>
        <w:rPr>
          <w:sz w:val="22"/>
          <w:szCs w:val="22"/>
          <w:lang w:val="sk-SK"/>
        </w:rPr>
      </w:pPr>
      <w:r w:rsidRPr="00B02B2B">
        <w:rPr>
          <w:sz w:val="22"/>
          <w:szCs w:val="22"/>
          <w:lang w:val="sk-SK"/>
        </w:rPr>
        <w:t xml:space="preserve">Konzumácia alkoholu počas liečby môže zvýšiť výskyt nežiaducich účinkov. Počas liečby sa nesmú </w:t>
      </w:r>
      <w:r w:rsidR="00623103" w:rsidRPr="00B02B2B">
        <w:rPr>
          <w:sz w:val="22"/>
          <w:szCs w:val="22"/>
          <w:lang w:val="sk-SK"/>
        </w:rPr>
        <w:t>konzumovať</w:t>
      </w:r>
      <w:r w:rsidRPr="00B02B2B">
        <w:rPr>
          <w:sz w:val="22"/>
          <w:szCs w:val="22"/>
          <w:lang w:val="sk-SK"/>
        </w:rPr>
        <w:t xml:space="preserve"> alkoholické nápoje.</w:t>
      </w:r>
    </w:p>
    <w:p w14:paraId="5BC5966C" w14:textId="77777777" w:rsidR="006C5930" w:rsidRPr="00B02B2B" w:rsidRDefault="006C5930" w:rsidP="00555500">
      <w:pPr>
        <w:rPr>
          <w:b/>
          <w:sz w:val="22"/>
          <w:szCs w:val="22"/>
          <w:lang w:val="sk-SK"/>
        </w:rPr>
      </w:pPr>
    </w:p>
    <w:p w14:paraId="46288E0B" w14:textId="77777777" w:rsidR="006C5930" w:rsidRPr="00B02B2B" w:rsidRDefault="006C5930" w:rsidP="00555500">
      <w:pPr>
        <w:rPr>
          <w:b/>
          <w:smallCaps/>
          <w:sz w:val="22"/>
          <w:szCs w:val="22"/>
          <w:lang w:val="sk-SK"/>
        </w:rPr>
      </w:pPr>
      <w:r w:rsidRPr="00B02B2B">
        <w:rPr>
          <w:b/>
          <w:sz w:val="22"/>
          <w:szCs w:val="22"/>
          <w:lang w:val="sk-SK"/>
        </w:rPr>
        <w:t xml:space="preserve">4.6 </w:t>
      </w:r>
      <w:r w:rsidRPr="00B02B2B">
        <w:rPr>
          <w:b/>
          <w:sz w:val="22"/>
          <w:szCs w:val="22"/>
          <w:lang w:val="sk-SK"/>
        </w:rPr>
        <w:tab/>
        <w:t>Fertilita, gravidita a laktácia</w:t>
      </w:r>
    </w:p>
    <w:p w14:paraId="1CDE098D" w14:textId="77777777" w:rsidR="006C5930" w:rsidRPr="00B02B2B" w:rsidRDefault="006C593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0D2119A0" w14:textId="77777777" w:rsidR="00C41FA2" w:rsidRPr="00B02B2B" w:rsidRDefault="00C41FA2" w:rsidP="00555500">
      <w:pPr>
        <w:pStyle w:val="Zkladntext2"/>
        <w:jc w:val="left"/>
        <w:rPr>
          <w:sz w:val="22"/>
          <w:szCs w:val="22"/>
          <w:u w:val="single"/>
          <w:lang w:val="sk-SK"/>
        </w:rPr>
      </w:pPr>
      <w:r w:rsidRPr="00B02B2B">
        <w:rPr>
          <w:sz w:val="22"/>
          <w:szCs w:val="22"/>
          <w:u w:val="single"/>
          <w:lang w:val="sk-SK"/>
        </w:rPr>
        <w:t>Gravidita</w:t>
      </w:r>
    </w:p>
    <w:p w14:paraId="49E0D9D4" w14:textId="77777777" w:rsidR="00C41FA2" w:rsidRPr="00B02B2B" w:rsidRDefault="00C41FA2" w:rsidP="00555500">
      <w:pPr>
        <w:pStyle w:val="Zkladntext2"/>
        <w:jc w:val="left"/>
        <w:rPr>
          <w:sz w:val="22"/>
          <w:szCs w:val="22"/>
          <w:lang w:val="sk-SK"/>
        </w:rPr>
      </w:pPr>
      <w:r w:rsidRPr="001E4072">
        <w:rPr>
          <w:sz w:val="22"/>
          <w:szCs w:val="22"/>
          <w:lang w:val="sk-SK"/>
        </w:rPr>
        <w:t xml:space="preserve">Neboli vykonané žiadne štúdie na zvieratách ani </w:t>
      </w:r>
      <w:r w:rsidR="001E4072" w:rsidRPr="00883CFA">
        <w:rPr>
          <w:sz w:val="22"/>
          <w:szCs w:val="22"/>
          <w:lang w:val="sk-SK"/>
        </w:rPr>
        <w:t>adekvátne</w:t>
      </w:r>
      <w:r w:rsidRPr="001E4072">
        <w:rPr>
          <w:sz w:val="22"/>
          <w:szCs w:val="22"/>
          <w:lang w:val="sk-SK"/>
        </w:rPr>
        <w:t xml:space="preserve"> kontrolované</w:t>
      </w:r>
      <w:r w:rsidRPr="00970CC8">
        <w:rPr>
          <w:sz w:val="22"/>
          <w:szCs w:val="22"/>
          <w:lang w:val="sk-SK"/>
        </w:rPr>
        <w:t xml:space="preserve"> štúdie</w:t>
      </w:r>
      <w:r w:rsidRPr="00B02B2B">
        <w:rPr>
          <w:sz w:val="22"/>
          <w:szCs w:val="22"/>
          <w:lang w:val="sk-SK"/>
        </w:rPr>
        <w:t xml:space="preserve"> s ľuďmi.</w:t>
      </w:r>
    </w:p>
    <w:p w14:paraId="52117786" w14:textId="77777777" w:rsidR="00C41FA2" w:rsidRPr="00B02B2B" w:rsidRDefault="00B02B2B" w:rsidP="00555500">
      <w:pPr>
        <w:pStyle w:val="Zkladntext2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Niekoľko hlásení a správ z literatúry naznačuje,</w:t>
      </w:r>
      <w:r w:rsidR="003F3C8C" w:rsidRPr="00B02B2B">
        <w:rPr>
          <w:sz w:val="22"/>
          <w:szCs w:val="22"/>
          <w:lang w:val="sk-SK"/>
        </w:rPr>
        <w:t xml:space="preserve"> že dextrometorfán pravdepodobne nepredstavuje žiadne významné riziko pre plod, </w:t>
      </w:r>
      <w:r>
        <w:rPr>
          <w:sz w:val="22"/>
          <w:szCs w:val="22"/>
          <w:lang w:val="sk-SK"/>
        </w:rPr>
        <w:t xml:space="preserve">použitie tohto lieku je </w:t>
      </w:r>
      <w:r w:rsidR="00FB551B">
        <w:rPr>
          <w:sz w:val="22"/>
          <w:szCs w:val="22"/>
          <w:lang w:val="sk-SK"/>
        </w:rPr>
        <w:t xml:space="preserve">však </w:t>
      </w:r>
      <w:r>
        <w:rPr>
          <w:sz w:val="22"/>
          <w:szCs w:val="22"/>
          <w:lang w:val="sk-SK"/>
        </w:rPr>
        <w:t>prípustné</w:t>
      </w:r>
      <w:r w:rsidR="007246FD">
        <w:rPr>
          <w:sz w:val="22"/>
          <w:szCs w:val="22"/>
          <w:lang w:val="sk-SK"/>
        </w:rPr>
        <w:t>, ak nie je k dispozícii</w:t>
      </w:r>
      <w:r>
        <w:rPr>
          <w:sz w:val="22"/>
          <w:szCs w:val="22"/>
          <w:lang w:val="sk-SK"/>
        </w:rPr>
        <w:t xml:space="preserve"> in</w:t>
      </w:r>
      <w:r w:rsidR="007246FD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bezpečnejš</w:t>
      </w:r>
      <w:r w:rsidR="007246FD">
        <w:rPr>
          <w:sz w:val="22"/>
          <w:szCs w:val="22"/>
          <w:lang w:val="sk-SK"/>
        </w:rPr>
        <w:t>ia</w:t>
      </w:r>
      <w:r>
        <w:rPr>
          <w:sz w:val="22"/>
          <w:szCs w:val="22"/>
          <w:lang w:val="sk-SK"/>
        </w:rPr>
        <w:t xml:space="preserve"> terapeutick</w:t>
      </w:r>
      <w:r w:rsidR="007246FD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alternatív</w:t>
      </w:r>
      <w:r w:rsidR="007246FD">
        <w:rPr>
          <w:sz w:val="22"/>
          <w:szCs w:val="22"/>
          <w:lang w:val="sk-SK"/>
        </w:rPr>
        <w:t>a</w:t>
      </w:r>
      <w:r w:rsidR="00A75A66">
        <w:rPr>
          <w:sz w:val="22"/>
          <w:szCs w:val="22"/>
          <w:lang w:val="sk-SK"/>
        </w:rPr>
        <w:t>.</w:t>
      </w:r>
    </w:p>
    <w:p w14:paraId="032343E6" w14:textId="77777777" w:rsidR="00C41FA2" w:rsidRPr="00B02B2B" w:rsidRDefault="00C41FA2" w:rsidP="00555500">
      <w:pPr>
        <w:pStyle w:val="Zkladntext2"/>
        <w:jc w:val="left"/>
        <w:rPr>
          <w:sz w:val="22"/>
          <w:szCs w:val="22"/>
          <w:lang w:val="sk-SK"/>
        </w:rPr>
      </w:pPr>
    </w:p>
    <w:p w14:paraId="7AF07776" w14:textId="77777777" w:rsidR="00B1293F" w:rsidRPr="00B02B2B" w:rsidRDefault="00DF7131" w:rsidP="00555500">
      <w:pPr>
        <w:pStyle w:val="Zkladntext2"/>
        <w:jc w:val="left"/>
        <w:rPr>
          <w:sz w:val="22"/>
          <w:szCs w:val="22"/>
          <w:u w:val="single"/>
          <w:lang w:val="sk-SK"/>
        </w:rPr>
      </w:pPr>
      <w:r w:rsidRPr="00B02B2B">
        <w:rPr>
          <w:sz w:val="22"/>
          <w:szCs w:val="22"/>
          <w:u w:val="single"/>
          <w:lang w:val="sk-SK"/>
        </w:rPr>
        <w:t>Dojčenie</w:t>
      </w:r>
    </w:p>
    <w:p w14:paraId="7623F0D0" w14:textId="77777777" w:rsidR="006C5930" w:rsidRPr="00555500" w:rsidRDefault="006C5930" w:rsidP="00555500">
      <w:pPr>
        <w:pStyle w:val="Zkladntext2"/>
        <w:jc w:val="left"/>
        <w:rPr>
          <w:sz w:val="22"/>
          <w:szCs w:val="22"/>
          <w:lang w:val="sk-SK"/>
        </w:rPr>
      </w:pPr>
      <w:r w:rsidRPr="00B02B2B">
        <w:rPr>
          <w:sz w:val="22"/>
          <w:szCs w:val="22"/>
          <w:lang w:val="sk-SK"/>
        </w:rPr>
        <w:t xml:space="preserve">Nie je známe, či sa </w:t>
      </w:r>
      <w:r w:rsidR="00B02B2B">
        <w:rPr>
          <w:sz w:val="22"/>
          <w:szCs w:val="22"/>
          <w:lang w:val="sk-SK"/>
        </w:rPr>
        <w:t>tento liek</w:t>
      </w:r>
      <w:r w:rsidRPr="00B02B2B">
        <w:rPr>
          <w:sz w:val="22"/>
          <w:szCs w:val="22"/>
          <w:lang w:val="sk-SK"/>
        </w:rPr>
        <w:t xml:space="preserve"> vylučuje do ľudského mlieka. </w:t>
      </w:r>
      <w:r w:rsidR="00C41FA2" w:rsidRPr="00B02B2B">
        <w:rPr>
          <w:sz w:val="22"/>
          <w:szCs w:val="22"/>
          <w:lang w:val="sk-SK"/>
        </w:rPr>
        <w:t xml:space="preserve">Riziko u novorodencov/dojčiat nemožno vylúčiť. </w:t>
      </w:r>
      <w:r w:rsidRPr="00B02B2B">
        <w:rPr>
          <w:sz w:val="22"/>
          <w:szCs w:val="22"/>
          <w:lang w:val="sk-SK"/>
        </w:rPr>
        <w:t>Z</w:t>
      </w:r>
      <w:r w:rsidRPr="00555500">
        <w:rPr>
          <w:sz w:val="22"/>
          <w:szCs w:val="22"/>
          <w:lang w:val="sk-SK"/>
        </w:rPr>
        <w:t> týchto dôvodov</w:t>
      </w:r>
      <w:r w:rsidR="00B02B2B">
        <w:rPr>
          <w:sz w:val="22"/>
          <w:szCs w:val="22"/>
          <w:lang w:val="sk-SK"/>
        </w:rPr>
        <w:t xml:space="preserve">, tak ako u všetkých iných liekov, </w:t>
      </w:r>
      <w:r w:rsidRPr="00555500">
        <w:rPr>
          <w:sz w:val="22"/>
          <w:szCs w:val="22"/>
          <w:lang w:val="sk-SK"/>
        </w:rPr>
        <w:t>sa</w:t>
      </w:r>
      <w:r w:rsidR="00623103" w:rsidRPr="00555500">
        <w:rPr>
          <w:sz w:val="22"/>
          <w:szCs w:val="22"/>
          <w:lang w:val="sk-SK"/>
        </w:rPr>
        <w:t xml:space="preserve"> </w:t>
      </w:r>
      <w:r w:rsidR="00B02B2B">
        <w:rPr>
          <w:sz w:val="22"/>
          <w:szCs w:val="22"/>
          <w:lang w:val="sk-SK"/>
        </w:rPr>
        <w:t xml:space="preserve">jeho použitie počas </w:t>
      </w:r>
      <w:r w:rsidR="00915C75">
        <w:rPr>
          <w:sz w:val="22"/>
          <w:szCs w:val="22"/>
          <w:lang w:val="sk-SK"/>
        </w:rPr>
        <w:t>laktácie</w:t>
      </w:r>
      <w:r w:rsidR="00B02B2B">
        <w:rPr>
          <w:sz w:val="22"/>
          <w:szCs w:val="22"/>
          <w:lang w:val="sk-SK"/>
        </w:rPr>
        <w:t xml:space="preserve"> neodporúča.</w:t>
      </w:r>
    </w:p>
    <w:p w14:paraId="5BDA5193" w14:textId="77777777" w:rsidR="00C41FA2" w:rsidRPr="00555500" w:rsidRDefault="00C41FA2" w:rsidP="00555500">
      <w:pPr>
        <w:pStyle w:val="Zkladntext2"/>
        <w:jc w:val="left"/>
        <w:rPr>
          <w:sz w:val="22"/>
          <w:szCs w:val="22"/>
          <w:lang w:val="sk-SK"/>
        </w:rPr>
      </w:pPr>
    </w:p>
    <w:p w14:paraId="61785189" w14:textId="77777777" w:rsidR="00C41FA2" w:rsidRPr="00555500" w:rsidRDefault="00C41FA2" w:rsidP="00555500">
      <w:pPr>
        <w:pStyle w:val="Zkladntext2"/>
        <w:jc w:val="left"/>
        <w:rPr>
          <w:sz w:val="22"/>
          <w:szCs w:val="22"/>
          <w:u w:val="single"/>
          <w:lang w:val="sk-SK"/>
        </w:rPr>
      </w:pPr>
      <w:r w:rsidRPr="00555500">
        <w:rPr>
          <w:sz w:val="22"/>
          <w:szCs w:val="22"/>
          <w:u w:val="single"/>
          <w:lang w:val="sk-SK"/>
        </w:rPr>
        <w:t>Fertilita</w:t>
      </w:r>
    </w:p>
    <w:p w14:paraId="5FDCEC81" w14:textId="77777777" w:rsidR="00C41FA2" w:rsidRPr="00555500" w:rsidRDefault="00C41FA2" w:rsidP="00555500">
      <w:pPr>
        <w:pStyle w:val="Zkladntext2"/>
        <w:jc w:val="left"/>
        <w:rPr>
          <w:sz w:val="22"/>
          <w:szCs w:val="22"/>
          <w:lang w:val="sk-SK"/>
        </w:rPr>
      </w:pPr>
      <w:r w:rsidRPr="00555500">
        <w:rPr>
          <w:sz w:val="22"/>
          <w:szCs w:val="22"/>
          <w:lang w:val="sk-SK"/>
        </w:rPr>
        <w:t>Nie sú k dispozícii žiadne údaje u ľudí.</w:t>
      </w:r>
    </w:p>
    <w:p w14:paraId="3969F4BE" w14:textId="77777777" w:rsidR="006C5930" w:rsidRPr="00555500" w:rsidRDefault="006C5930" w:rsidP="00555500">
      <w:pPr>
        <w:rPr>
          <w:b/>
          <w:sz w:val="22"/>
          <w:szCs w:val="22"/>
          <w:lang w:val="sk-SK"/>
        </w:rPr>
      </w:pPr>
    </w:p>
    <w:p w14:paraId="30DEFBBC" w14:textId="77777777" w:rsidR="006C5930" w:rsidRPr="00555500" w:rsidRDefault="006C5930" w:rsidP="00555500">
      <w:pPr>
        <w:rPr>
          <w:b/>
          <w:sz w:val="22"/>
          <w:szCs w:val="22"/>
          <w:lang w:val="sk-SK"/>
        </w:rPr>
      </w:pPr>
      <w:r w:rsidRPr="00555500">
        <w:rPr>
          <w:b/>
          <w:sz w:val="22"/>
          <w:szCs w:val="22"/>
          <w:lang w:val="sk-SK"/>
        </w:rPr>
        <w:t xml:space="preserve">4.7 </w:t>
      </w:r>
      <w:r w:rsidRPr="00555500">
        <w:rPr>
          <w:b/>
          <w:sz w:val="22"/>
          <w:szCs w:val="22"/>
          <w:lang w:val="sk-SK"/>
        </w:rPr>
        <w:tab/>
        <w:t>Ovplyvnenie schopnosti viesť vozidlá a obsluhovať stroje</w:t>
      </w:r>
    </w:p>
    <w:p w14:paraId="756C258C" w14:textId="77777777" w:rsidR="006C5930" w:rsidRPr="00555500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50E96C49" w14:textId="77777777" w:rsidR="00915C75" w:rsidRDefault="00915C75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Počas liečby sa v zriedkavých prípadoch môž</w:t>
      </w:r>
      <w:r w:rsidR="00FB551B">
        <w:rPr>
          <w:sz w:val="22"/>
          <w:szCs w:val="22"/>
          <w:lang w:val="sk-SK"/>
        </w:rPr>
        <w:t>u</w:t>
      </w:r>
      <w:r>
        <w:rPr>
          <w:sz w:val="22"/>
          <w:szCs w:val="22"/>
          <w:lang w:val="sk-SK"/>
        </w:rPr>
        <w:t xml:space="preserve"> prejaviť znížená schopnosť reakcie a závrat</w:t>
      </w:r>
      <w:r w:rsidR="007246FD">
        <w:rPr>
          <w:sz w:val="22"/>
          <w:szCs w:val="22"/>
          <w:lang w:val="sk-SK"/>
        </w:rPr>
        <w:t>y</w:t>
      </w:r>
      <w:r>
        <w:rPr>
          <w:sz w:val="22"/>
          <w:szCs w:val="22"/>
          <w:lang w:val="sk-SK"/>
        </w:rPr>
        <w:t>, čo sa musí vziať do úvahy, pokiaľ je nevyhnutné viesť vozidlá alebo obsluhovať stroje.</w:t>
      </w:r>
    </w:p>
    <w:p w14:paraId="25EC1340" w14:textId="77777777" w:rsidR="006C5930" w:rsidRPr="00555500" w:rsidRDefault="006C5930" w:rsidP="00555500">
      <w:pPr>
        <w:rPr>
          <w:b/>
          <w:sz w:val="22"/>
          <w:szCs w:val="22"/>
          <w:lang w:val="sk-SK"/>
        </w:rPr>
      </w:pPr>
    </w:p>
    <w:p w14:paraId="6CAB32D9" w14:textId="77777777" w:rsidR="006C5930" w:rsidRPr="00555500" w:rsidRDefault="006C5930" w:rsidP="00555500">
      <w:pPr>
        <w:rPr>
          <w:b/>
          <w:sz w:val="22"/>
          <w:szCs w:val="22"/>
          <w:lang w:val="sk-SK"/>
        </w:rPr>
      </w:pPr>
      <w:r w:rsidRPr="00555500">
        <w:rPr>
          <w:b/>
          <w:sz w:val="22"/>
          <w:szCs w:val="22"/>
          <w:lang w:val="sk-SK"/>
        </w:rPr>
        <w:t xml:space="preserve">4.8 </w:t>
      </w:r>
      <w:r w:rsidRPr="00555500">
        <w:rPr>
          <w:b/>
          <w:sz w:val="22"/>
          <w:szCs w:val="22"/>
          <w:lang w:val="sk-SK"/>
        </w:rPr>
        <w:tab/>
        <w:t>Nežiaduce účinky</w:t>
      </w:r>
    </w:p>
    <w:p w14:paraId="7ECA9C4C" w14:textId="77777777" w:rsidR="006C5930" w:rsidRPr="00555500" w:rsidRDefault="006C593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3DDB1E59" w14:textId="77777777" w:rsidR="0042534A" w:rsidRPr="00915C75" w:rsidRDefault="0042534A" w:rsidP="00555500">
      <w:pPr>
        <w:rPr>
          <w:i/>
          <w:sz w:val="22"/>
          <w:szCs w:val="22"/>
          <w:lang w:val="sk-SK"/>
        </w:rPr>
      </w:pPr>
      <w:r w:rsidRPr="00915C75">
        <w:rPr>
          <w:i/>
          <w:sz w:val="22"/>
          <w:szCs w:val="22"/>
          <w:lang w:val="sk-SK"/>
        </w:rPr>
        <w:t>Nasledovné frekvencie boli prevzaté ako východiskové pri hodnotení nežiaducich účinkov:</w:t>
      </w:r>
    </w:p>
    <w:p w14:paraId="1A281739" w14:textId="77777777" w:rsidR="00915C75" w:rsidRPr="00915C75" w:rsidRDefault="00915C75" w:rsidP="00555500">
      <w:pPr>
        <w:rPr>
          <w:i/>
          <w:sz w:val="22"/>
          <w:szCs w:val="22"/>
          <w:lang w:val="sk-SK"/>
        </w:rPr>
      </w:pPr>
    </w:p>
    <w:p w14:paraId="0F0FA5D9" w14:textId="77777777" w:rsidR="00915C75" w:rsidRPr="00915C75" w:rsidRDefault="00915C75" w:rsidP="00555500">
      <w:pPr>
        <w:rPr>
          <w:i/>
          <w:sz w:val="22"/>
          <w:szCs w:val="22"/>
          <w:lang w:val="sk-SK"/>
        </w:rPr>
      </w:pPr>
      <w:r w:rsidRPr="00915C75">
        <w:rPr>
          <w:i/>
          <w:sz w:val="22"/>
          <w:szCs w:val="22"/>
          <w:lang w:val="sk-SK"/>
        </w:rPr>
        <w:t>V</w:t>
      </w:r>
      <w:r w:rsidR="0042534A" w:rsidRPr="00915C75">
        <w:rPr>
          <w:i/>
          <w:sz w:val="22"/>
          <w:szCs w:val="22"/>
          <w:lang w:val="sk-SK"/>
        </w:rPr>
        <w:t>eľmi časté</w:t>
      </w:r>
      <w:r>
        <w:rPr>
          <w:i/>
          <w:sz w:val="22"/>
          <w:szCs w:val="22"/>
          <w:lang w:val="sk-SK"/>
        </w:rPr>
        <w:t xml:space="preserve">: </w:t>
      </w:r>
      <w:r w:rsidR="0042534A" w:rsidRPr="00915C75">
        <w:rPr>
          <w:i/>
          <w:sz w:val="22"/>
          <w:szCs w:val="22"/>
          <w:u w:val="single"/>
          <w:lang w:val="sk-SK"/>
        </w:rPr>
        <w:t>&gt;</w:t>
      </w:r>
      <w:r>
        <w:rPr>
          <w:i/>
          <w:sz w:val="22"/>
          <w:szCs w:val="22"/>
          <w:lang w:val="sk-SK"/>
        </w:rPr>
        <w:t xml:space="preserve"> 1/10</w:t>
      </w:r>
    </w:p>
    <w:p w14:paraId="665A3BE3" w14:textId="77777777" w:rsidR="00915C75" w:rsidRPr="00915C75" w:rsidRDefault="00915C75" w:rsidP="00555500">
      <w:pPr>
        <w:rPr>
          <w:i/>
          <w:sz w:val="22"/>
          <w:szCs w:val="22"/>
          <w:lang w:val="sk-SK"/>
        </w:rPr>
      </w:pPr>
      <w:r w:rsidRPr="00915C75">
        <w:rPr>
          <w:i/>
          <w:sz w:val="22"/>
          <w:szCs w:val="22"/>
          <w:lang w:val="sk-SK"/>
        </w:rPr>
        <w:t>Č</w:t>
      </w:r>
      <w:r w:rsidR="0042534A" w:rsidRPr="00915C75">
        <w:rPr>
          <w:i/>
          <w:sz w:val="22"/>
          <w:szCs w:val="22"/>
          <w:lang w:val="sk-SK"/>
        </w:rPr>
        <w:t>asté</w:t>
      </w:r>
      <w:r>
        <w:rPr>
          <w:i/>
          <w:sz w:val="22"/>
          <w:szCs w:val="22"/>
          <w:lang w:val="sk-SK"/>
        </w:rPr>
        <w:t xml:space="preserve">: </w:t>
      </w:r>
      <w:r w:rsidR="0042534A" w:rsidRPr="00915C75">
        <w:rPr>
          <w:i/>
          <w:sz w:val="22"/>
          <w:szCs w:val="22"/>
          <w:u w:val="single"/>
          <w:lang w:val="sk-SK"/>
        </w:rPr>
        <w:t>&gt;</w:t>
      </w:r>
      <w:r w:rsidR="00A75A66">
        <w:rPr>
          <w:i/>
          <w:sz w:val="22"/>
          <w:szCs w:val="22"/>
          <w:u w:val="single"/>
          <w:lang w:val="sk-SK"/>
        </w:rPr>
        <w:t xml:space="preserve"> </w:t>
      </w:r>
      <w:r>
        <w:rPr>
          <w:i/>
          <w:sz w:val="22"/>
          <w:szCs w:val="22"/>
          <w:lang w:val="sk-SK"/>
        </w:rPr>
        <w:t>1/100 až &lt; 1/10</w:t>
      </w:r>
    </w:p>
    <w:p w14:paraId="2EB86D4D" w14:textId="77777777" w:rsidR="00915C75" w:rsidRPr="00915C75" w:rsidRDefault="00915C75" w:rsidP="00555500">
      <w:pPr>
        <w:rPr>
          <w:i/>
          <w:sz w:val="22"/>
          <w:szCs w:val="22"/>
          <w:lang w:val="sk-SK"/>
        </w:rPr>
      </w:pPr>
      <w:r w:rsidRPr="00915C75">
        <w:rPr>
          <w:i/>
          <w:sz w:val="22"/>
          <w:szCs w:val="22"/>
          <w:lang w:val="sk-SK"/>
        </w:rPr>
        <w:t>M</w:t>
      </w:r>
      <w:r w:rsidR="0042534A" w:rsidRPr="00915C75">
        <w:rPr>
          <w:i/>
          <w:sz w:val="22"/>
          <w:szCs w:val="22"/>
          <w:lang w:val="sk-SK"/>
        </w:rPr>
        <w:t>enej časté</w:t>
      </w:r>
      <w:r>
        <w:rPr>
          <w:i/>
          <w:sz w:val="22"/>
          <w:szCs w:val="22"/>
          <w:lang w:val="sk-SK"/>
        </w:rPr>
        <w:t xml:space="preserve">: </w:t>
      </w:r>
      <w:r w:rsidR="0042534A" w:rsidRPr="00915C75">
        <w:rPr>
          <w:i/>
          <w:sz w:val="22"/>
          <w:szCs w:val="22"/>
          <w:u w:val="single"/>
          <w:lang w:val="sk-SK"/>
        </w:rPr>
        <w:t>&gt;</w:t>
      </w:r>
      <w:r>
        <w:rPr>
          <w:i/>
          <w:sz w:val="22"/>
          <w:szCs w:val="22"/>
          <w:lang w:val="sk-SK"/>
        </w:rPr>
        <w:t xml:space="preserve"> 1/1 000 až &lt; 1/100</w:t>
      </w:r>
    </w:p>
    <w:p w14:paraId="7445E3C8" w14:textId="77777777" w:rsidR="00915C75" w:rsidRPr="00915C75" w:rsidRDefault="00915C75" w:rsidP="00555500">
      <w:pPr>
        <w:rPr>
          <w:i/>
          <w:sz w:val="22"/>
          <w:szCs w:val="22"/>
          <w:lang w:val="sk-SK"/>
        </w:rPr>
      </w:pPr>
      <w:r w:rsidRPr="00915C75">
        <w:rPr>
          <w:i/>
          <w:sz w:val="22"/>
          <w:szCs w:val="22"/>
          <w:lang w:val="sk-SK"/>
        </w:rPr>
        <w:t>Z</w:t>
      </w:r>
      <w:r w:rsidR="0042534A" w:rsidRPr="00915C75">
        <w:rPr>
          <w:i/>
          <w:sz w:val="22"/>
          <w:szCs w:val="22"/>
          <w:lang w:val="sk-SK"/>
        </w:rPr>
        <w:t>riedkavé</w:t>
      </w:r>
      <w:r>
        <w:rPr>
          <w:i/>
          <w:sz w:val="22"/>
          <w:szCs w:val="22"/>
          <w:lang w:val="sk-SK"/>
        </w:rPr>
        <w:t xml:space="preserve">: </w:t>
      </w:r>
      <w:r w:rsidR="0042534A" w:rsidRPr="00915C75">
        <w:rPr>
          <w:i/>
          <w:sz w:val="22"/>
          <w:szCs w:val="22"/>
          <w:u w:val="single"/>
          <w:lang w:val="sk-SK"/>
        </w:rPr>
        <w:t>&gt;</w:t>
      </w:r>
      <w:r w:rsidR="00A75A66">
        <w:rPr>
          <w:i/>
          <w:sz w:val="22"/>
          <w:szCs w:val="22"/>
          <w:u w:val="single"/>
          <w:lang w:val="sk-SK"/>
        </w:rPr>
        <w:t xml:space="preserve"> </w:t>
      </w:r>
      <w:r>
        <w:rPr>
          <w:i/>
          <w:sz w:val="22"/>
          <w:szCs w:val="22"/>
          <w:lang w:val="sk-SK"/>
        </w:rPr>
        <w:t>1/10 000 až &lt;</w:t>
      </w:r>
      <w:r w:rsidR="00FB551B">
        <w:rPr>
          <w:i/>
          <w:sz w:val="22"/>
          <w:szCs w:val="22"/>
          <w:lang w:val="sk-SK"/>
        </w:rPr>
        <w:t xml:space="preserve"> </w:t>
      </w:r>
      <w:r>
        <w:rPr>
          <w:i/>
          <w:sz w:val="22"/>
          <w:szCs w:val="22"/>
          <w:lang w:val="sk-SK"/>
        </w:rPr>
        <w:t>1/1 000</w:t>
      </w:r>
    </w:p>
    <w:p w14:paraId="3840746E" w14:textId="77777777" w:rsidR="00915C75" w:rsidRPr="00915C75" w:rsidRDefault="00915C75" w:rsidP="00555500">
      <w:pPr>
        <w:rPr>
          <w:i/>
          <w:sz w:val="22"/>
          <w:szCs w:val="22"/>
          <w:lang w:val="sk-SK"/>
        </w:rPr>
      </w:pPr>
      <w:r w:rsidRPr="00915C75">
        <w:rPr>
          <w:i/>
          <w:sz w:val="22"/>
          <w:szCs w:val="22"/>
          <w:lang w:val="sk-SK"/>
        </w:rPr>
        <w:t>V</w:t>
      </w:r>
      <w:r>
        <w:rPr>
          <w:i/>
          <w:sz w:val="22"/>
          <w:szCs w:val="22"/>
          <w:lang w:val="sk-SK"/>
        </w:rPr>
        <w:t>eľmi zriedkavé: &lt; 1/10 000</w:t>
      </w:r>
    </w:p>
    <w:p w14:paraId="1BBF74B5" w14:textId="77777777" w:rsidR="0042534A" w:rsidRPr="00915C75" w:rsidRDefault="00915C75" w:rsidP="00555500">
      <w:pPr>
        <w:rPr>
          <w:i/>
          <w:sz w:val="22"/>
          <w:szCs w:val="22"/>
          <w:lang w:val="sk-SK"/>
        </w:rPr>
      </w:pPr>
      <w:r w:rsidRPr="00915C75">
        <w:rPr>
          <w:i/>
          <w:sz w:val="22"/>
          <w:szCs w:val="22"/>
          <w:lang w:val="sk-SK"/>
        </w:rPr>
        <w:t>N</w:t>
      </w:r>
      <w:r w:rsidR="0042534A" w:rsidRPr="00915C75">
        <w:rPr>
          <w:i/>
          <w:sz w:val="22"/>
          <w:szCs w:val="22"/>
          <w:lang w:val="sk-SK"/>
        </w:rPr>
        <w:t>eznám</w:t>
      </w:r>
      <w:r w:rsidRPr="00915C75">
        <w:rPr>
          <w:i/>
          <w:sz w:val="22"/>
          <w:szCs w:val="22"/>
          <w:lang w:val="sk-SK"/>
        </w:rPr>
        <w:t>e</w:t>
      </w:r>
      <w:r>
        <w:rPr>
          <w:i/>
          <w:sz w:val="22"/>
          <w:szCs w:val="22"/>
          <w:lang w:val="sk-SK"/>
        </w:rPr>
        <w:t xml:space="preserve">: </w:t>
      </w:r>
      <w:r w:rsidR="0042534A" w:rsidRPr="00915C75">
        <w:rPr>
          <w:i/>
          <w:sz w:val="22"/>
          <w:szCs w:val="22"/>
          <w:lang w:val="sk-SK"/>
        </w:rPr>
        <w:t>nemožno stanoviť z dostupných úd</w:t>
      </w:r>
      <w:r>
        <w:rPr>
          <w:i/>
          <w:sz w:val="22"/>
          <w:szCs w:val="22"/>
          <w:lang w:val="sk-SK"/>
        </w:rPr>
        <w:t>ajov</w:t>
      </w:r>
      <w:r w:rsidR="0042534A" w:rsidRPr="00915C75">
        <w:rPr>
          <w:i/>
          <w:sz w:val="22"/>
          <w:szCs w:val="22"/>
          <w:lang w:val="sk-SK"/>
        </w:rPr>
        <w:t xml:space="preserve">                              </w:t>
      </w:r>
    </w:p>
    <w:p w14:paraId="1AED07F1" w14:textId="77777777" w:rsidR="00915C75" w:rsidRDefault="00915C75" w:rsidP="00915C75">
      <w:pPr>
        <w:pStyle w:val="Zkladntext2"/>
        <w:jc w:val="left"/>
        <w:rPr>
          <w:i/>
          <w:sz w:val="22"/>
          <w:szCs w:val="22"/>
          <w:lang w:val="sk-SK"/>
        </w:rPr>
      </w:pPr>
    </w:p>
    <w:p w14:paraId="12566745" w14:textId="77777777" w:rsidR="00915C75" w:rsidRPr="00555500" w:rsidRDefault="00915C75" w:rsidP="00915C75">
      <w:pPr>
        <w:pStyle w:val="Zkladntext2"/>
        <w:jc w:val="left"/>
        <w:rPr>
          <w:i/>
          <w:sz w:val="22"/>
          <w:szCs w:val="22"/>
          <w:lang w:val="sk-SK"/>
        </w:rPr>
      </w:pPr>
      <w:r w:rsidRPr="00555500">
        <w:rPr>
          <w:i/>
          <w:sz w:val="22"/>
          <w:szCs w:val="22"/>
          <w:lang w:val="sk-SK"/>
        </w:rPr>
        <w:t>Poruchy gastrointestinálneho traktu</w:t>
      </w:r>
    </w:p>
    <w:p w14:paraId="17C476D2" w14:textId="77777777" w:rsidR="00915C75" w:rsidRPr="00555500" w:rsidRDefault="00915C75" w:rsidP="00915C75">
      <w:pPr>
        <w:pStyle w:val="Zkladntext2"/>
        <w:jc w:val="left"/>
        <w:rPr>
          <w:sz w:val="22"/>
          <w:szCs w:val="22"/>
          <w:lang w:val="sk-SK"/>
        </w:rPr>
      </w:pPr>
      <w:r w:rsidRPr="00555500">
        <w:rPr>
          <w:sz w:val="22"/>
          <w:szCs w:val="22"/>
          <w:lang w:val="sk-SK"/>
        </w:rPr>
        <w:t>Zriedkavé: gastrointestinálne ťažkosti, nauzea</w:t>
      </w:r>
    </w:p>
    <w:p w14:paraId="670F04F8" w14:textId="77777777" w:rsidR="0042534A" w:rsidRPr="00555500" w:rsidRDefault="0042534A" w:rsidP="00555500">
      <w:pPr>
        <w:pStyle w:val="Zkladntext2"/>
        <w:jc w:val="left"/>
        <w:rPr>
          <w:sz w:val="22"/>
          <w:szCs w:val="22"/>
          <w:lang w:val="sk-SK"/>
        </w:rPr>
      </w:pPr>
    </w:p>
    <w:p w14:paraId="463E7E27" w14:textId="77777777" w:rsidR="0042534A" w:rsidRPr="00555500" w:rsidRDefault="0042534A" w:rsidP="00555500">
      <w:pPr>
        <w:pStyle w:val="Zkladntext2"/>
        <w:jc w:val="left"/>
        <w:rPr>
          <w:i/>
          <w:sz w:val="22"/>
          <w:szCs w:val="22"/>
          <w:lang w:val="sk-SK"/>
        </w:rPr>
      </w:pPr>
      <w:r w:rsidRPr="00555500">
        <w:rPr>
          <w:i/>
          <w:sz w:val="22"/>
          <w:szCs w:val="22"/>
          <w:lang w:val="sk-SK"/>
        </w:rPr>
        <w:t>Poruchy nervového systému</w:t>
      </w:r>
    </w:p>
    <w:p w14:paraId="667A72C3" w14:textId="77777777" w:rsidR="0042534A" w:rsidRPr="00555500" w:rsidRDefault="0042534A" w:rsidP="00555500">
      <w:pPr>
        <w:pStyle w:val="Zkladntext2"/>
        <w:jc w:val="left"/>
        <w:rPr>
          <w:sz w:val="22"/>
          <w:szCs w:val="22"/>
          <w:lang w:val="sk-SK"/>
        </w:rPr>
      </w:pPr>
      <w:r w:rsidRPr="00555500">
        <w:rPr>
          <w:sz w:val="22"/>
          <w:szCs w:val="22"/>
          <w:lang w:val="sk-SK"/>
        </w:rPr>
        <w:t>Zriedkavé: ospalosť</w:t>
      </w:r>
      <w:r w:rsidR="00266814" w:rsidRPr="00555500">
        <w:rPr>
          <w:sz w:val="22"/>
          <w:szCs w:val="22"/>
          <w:lang w:val="sk-SK"/>
        </w:rPr>
        <w:t xml:space="preserve">, </w:t>
      </w:r>
      <w:r w:rsidR="00915C75">
        <w:rPr>
          <w:sz w:val="22"/>
          <w:szCs w:val="22"/>
          <w:lang w:val="sk-SK"/>
        </w:rPr>
        <w:t xml:space="preserve">mentálna </w:t>
      </w:r>
      <w:r w:rsidR="00266814" w:rsidRPr="00555500">
        <w:rPr>
          <w:sz w:val="22"/>
          <w:szCs w:val="22"/>
          <w:lang w:val="sk-SK"/>
        </w:rPr>
        <w:t>zmätenosť</w:t>
      </w:r>
    </w:p>
    <w:p w14:paraId="02917F75" w14:textId="77777777" w:rsidR="0042534A" w:rsidRPr="00555500" w:rsidRDefault="0042534A" w:rsidP="00555500">
      <w:pPr>
        <w:pStyle w:val="Zkladntext2"/>
        <w:jc w:val="left"/>
        <w:rPr>
          <w:sz w:val="22"/>
          <w:szCs w:val="22"/>
          <w:lang w:val="sk-SK"/>
        </w:rPr>
      </w:pPr>
    </w:p>
    <w:p w14:paraId="22D34C1A" w14:textId="77777777" w:rsidR="00266814" w:rsidRPr="00555500" w:rsidRDefault="00266814" w:rsidP="00555500">
      <w:pPr>
        <w:pStyle w:val="Zkladntext2"/>
        <w:jc w:val="left"/>
        <w:rPr>
          <w:i/>
          <w:sz w:val="22"/>
          <w:szCs w:val="22"/>
          <w:lang w:val="sk-SK"/>
        </w:rPr>
      </w:pPr>
      <w:r w:rsidRPr="00555500">
        <w:rPr>
          <w:i/>
          <w:sz w:val="22"/>
          <w:szCs w:val="22"/>
          <w:lang w:val="sk-SK"/>
        </w:rPr>
        <w:t>Poruchy ucha a labyrintu</w:t>
      </w:r>
    </w:p>
    <w:p w14:paraId="1F1B3573" w14:textId="77777777" w:rsidR="00266814" w:rsidRPr="00555500" w:rsidRDefault="00266814" w:rsidP="00555500">
      <w:pPr>
        <w:pStyle w:val="Zkladntext2"/>
        <w:jc w:val="left"/>
        <w:rPr>
          <w:sz w:val="22"/>
          <w:szCs w:val="22"/>
          <w:lang w:val="sk-SK"/>
        </w:rPr>
      </w:pPr>
      <w:r w:rsidRPr="00555500">
        <w:rPr>
          <w:sz w:val="22"/>
          <w:szCs w:val="22"/>
          <w:lang w:val="sk-SK"/>
        </w:rPr>
        <w:t xml:space="preserve">Zriedkavé: </w:t>
      </w:r>
      <w:r w:rsidR="007246FD">
        <w:rPr>
          <w:sz w:val="22"/>
          <w:szCs w:val="22"/>
          <w:lang w:val="sk-SK"/>
        </w:rPr>
        <w:t>vertigo</w:t>
      </w:r>
    </w:p>
    <w:p w14:paraId="71DE4980" w14:textId="77777777" w:rsidR="000302F3" w:rsidRPr="00555500" w:rsidRDefault="000302F3" w:rsidP="00555500">
      <w:pPr>
        <w:pStyle w:val="Zkladntext2"/>
        <w:jc w:val="left"/>
        <w:rPr>
          <w:sz w:val="22"/>
          <w:szCs w:val="22"/>
          <w:lang w:val="sk-SK"/>
        </w:rPr>
      </w:pPr>
    </w:p>
    <w:p w14:paraId="77B6B3B3" w14:textId="77777777" w:rsidR="006C5930" w:rsidRPr="00C9136E" w:rsidRDefault="000302F3" w:rsidP="00555500">
      <w:pPr>
        <w:rPr>
          <w:sz w:val="22"/>
          <w:szCs w:val="22"/>
          <w:lang w:val="sk-SK"/>
        </w:rPr>
      </w:pPr>
      <w:r w:rsidRPr="00CC4C6F">
        <w:rPr>
          <w:sz w:val="22"/>
          <w:szCs w:val="22"/>
          <w:lang w:val="sk-SK"/>
        </w:rPr>
        <w:t>Boli hlásené zriedkavé prípady zneužívania tohto lieku</w:t>
      </w:r>
      <w:r w:rsidR="00915C75" w:rsidRPr="00CC4C6F">
        <w:rPr>
          <w:sz w:val="22"/>
          <w:szCs w:val="22"/>
          <w:lang w:val="sk-SK"/>
        </w:rPr>
        <w:t xml:space="preserve"> spojené s predávkovaním</w:t>
      </w:r>
      <w:r w:rsidRPr="00CC4C6F">
        <w:rPr>
          <w:sz w:val="22"/>
          <w:szCs w:val="22"/>
          <w:lang w:val="sk-SK"/>
        </w:rPr>
        <w:t xml:space="preserve">, najmä medzi </w:t>
      </w:r>
      <w:r w:rsidRPr="00EE3EA1">
        <w:rPr>
          <w:sz w:val="22"/>
          <w:szCs w:val="22"/>
          <w:lang w:val="sk-SK"/>
        </w:rPr>
        <w:t xml:space="preserve">dospievajúcimi, so závažnými nežiaducimi </w:t>
      </w:r>
      <w:r w:rsidR="007246FD">
        <w:rPr>
          <w:sz w:val="22"/>
          <w:szCs w:val="22"/>
          <w:lang w:val="sk-SK"/>
        </w:rPr>
        <w:t>udalosťami</w:t>
      </w:r>
      <w:r w:rsidRPr="00EE3EA1">
        <w:rPr>
          <w:sz w:val="22"/>
          <w:szCs w:val="22"/>
          <w:lang w:val="sk-SK"/>
        </w:rPr>
        <w:t xml:space="preserve">, ako sú: anxiozita, </w:t>
      </w:r>
      <w:r w:rsidR="007246FD">
        <w:rPr>
          <w:sz w:val="22"/>
          <w:szCs w:val="22"/>
          <w:lang w:val="sk-SK"/>
        </w:rPr>
        <w:t>tremor</w:t>
      </w:r>
      <w:r w:rsidRPr="00EE3EA1">
        <w:rPr>
          <w:sz w:val="22"/>
          <w:szCs w:val="22"/>
          <w:lang w:val="sk-SK"/>
        </w:rPr>
        <w:t xml:space="preserve">, strata pamäti, </w:t>
      </w:r>
      <w:r w:rsidRPr="00C9136E">
        <w:rPr>
          <w:sz w:val="22"/>
          <w:szCs w:val="22"/>
          <w:lang w:val="sk-SK"/>
        </w:rPr>
        <w:t>tachykardia, letargia, hypertenzia, hypotenzia, mydriáza, agit</w:t>
      </w:r>
      <w:r w:rsidR="00970CC8" w:rsidRPr="00C9136E">
        <w:rPr>
          <w:sz w:val="22"/>
          <w:szCs w:val="22"/>
          <w:lang w:val="sk-SK"/>
        </w:rPr>
        <w:t>ácia</w:t>
      </w:r>
      <w:r w:rsidR="007246FD" w:rsidRPr="00C9136E">
        <w:rPr>
          <w:sz w:val="22"/>
          <w:szCs w:val="22"/>
          <w:lang w:val="sk-SK"/>
        </w:rPr>
        <w:t>,</w:t>
      </w:r>
      <w:r w:rsidRPr="00C9136E">
        <w:rPr>
          <w:sz w:val="22"/>
          <w:szCs w:val="22"/>
          <w:lang w:val="sk-SK"/>
        </w:rPr>
        <w:t xml:space="preserve"> vertigo, gastrointestinálne poruchy, halucinácie, dysartria (nezrozumiteľná reč), nystagmus, horúčka, tachypnoe, poškodenie mozgu, ataxia, kŕče, </w:t>
      </w:r>
      <w:r w:rsidR="007246FD" w:rsidRPr="00C9136E">
        <w:rPr>
          <w:sz w:val="22"/>
          <w:szCs w:val="22"/>
          <w:lang w:val="sk-SK"/>
        </w:rPr>
        <w:t>respiračná depresia</w:t>
      </w:r>
      <w:r w:rsidRPr="00C9136E">
        <w:rPr>
          <w:sz w:val="22"/>
          <w:szCs w:val="22"/>
          <w:lang w:val="sk-SK"/>
        </w:rPr>
        <w:t>, strata vedomia, arytmie a smrť.</w:t>
      </w:r>
    </w:p>
    <w:p w14:paraId="3718D223" w14:textId="77777777" w:rsidR="00B1293F" w:rsidRPr="00C9136E" w:rsidRDefault="00B1293F" w:rsidP="00555500">
      <w:pPr>
        <w:rPr>
          <w:b/>
          <w:sz w:val="22"/>
          <w:szCs w:val="22"/>
          <w:u w:val="single"/>
          <w:lang w:val="sk-SK"/>
        </w:rPr>
      </w:pPr>
    </w:p>
    <w:p w14:paraId="463B04D1" w14:textId="77777777" w:rsidR="00C9136E" w:rsidRPr="00C9136E" w:rsidRDefault="00C9136E" w:rsidP="00C9136E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u w:val="single"/>
          <w:lang w:val="sk-SK"/>
        </w:rPr>
      </w:pPr>
      <w:r w:rsidRPr="00C9136E">
        <w:rPr>
          <w:sz w:val="22"/>
          <w:u w:val="single"/>
          <w:lang w:val="sk-SK"/>
        </w:rPr>
        <w:t>Hlásenie podozrení na nežiaduce reakcie</w:t>
      </w:r>
    </w:p>
    <w:p w14:paraId="6134A023" w14:textId="77777777" w:rsidR="00C9136E" w:rsidRPr="00C9136E" w:rsidRDefault="00C9136E" w:rsidP="00C913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sz w:val="22"/>
          <w:lang w:val="sk-SK"/>
        </w:rPr>
      </w:pPr>
      <w:r w:rsidRPr="00C9136E">
        <w:rPr>
          <w:sz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C9136E">
        <w:rPr>
          <w:sz w:val="22"/>
          <w:shd w:val="clear" w:color="auto" w:fill="C0C0C0"/>
          <w:lang w:val="sk-SK"/>
        </w:rPr>
        <w:t>národné centrum hlásenia uvedené v </w:t>
      </w:r>
      <w:hyperlink r:id="rId8" w:history="1">
        <w:r w:rsidRPr="00C9136E">
          <w:rPr>
            <w:rStyle w:val="Hypertextovprepojenie"/>
            <w:sz w:val="22"/>
            <w:shd w:val="clear" w:color="auto" w:fill="C0C0C0"/>
            <w:lang w:val="sk-SK"/>
          </w:rPr>
          <w:t>Prílohe V</w:t>
        </w:r>
      </w:hyperlink>
      <w:r w:rsidRPr="00C9136E">
        <w:rPr>
          <w:rStyle w:val="Hypertextovprepojenie"/>
          <w:sz w:val="22"/>
          <w:lang w:val="sk-SK"/>
        </w:rPr>
        <w:t>.</w:t>
      </w:r>
    </w:p>
    <w:p w14:paraId="3FBDAA38" w14:textId="77777777" w:rsidR="006C5930" w:rsidRPr="00C9136E" w:rsidRDefault="006C5930" w:rsidP="00555500">
      <w:pPr>
        <w:rPr>
          <w:b/>
          <w:sz w:val="22"/>
          <w:szCs w:val="22"/>
          <w:lang w:val="sk-SK"/>
        </w:rPr>
      </w:pPr>
    </w:p>
    <w:p w14:paraId="6A37EF19" w14:textId="77777777" w:rsidR="006C5930" w:rsidRPr="00C9136E" w:rsidRDefault="006C5930" w:rsidP="00555500">
      <w:pPr>
        <w:rPr>
          <w:sz w:val="22"/>
          <w:szCs w:val="22"/>
          <w:lang w:val="sk-SK"/>
        </w:rPr>
      </w:pPr>
      <w:r w:rsidRPr="00C9136E">
        <w:rPr>
          <w:b/>
          <w:sz w:val="22"/>
          <w:szCs w:val="22"/>
          <w:lang w:val="sk-SK"/>
        </w:rPr>
        <w:t xml:space="preserve">4.9 </w:t>
      </w:r>
      <w:r w:rsidRPr="00C9136E">
        <w:rPr>
          <w:b/>
          <w:sz w:val="22"/>
          <w:szCs w:val="22"/>
          <w:lang w:val="sk-SK"/>
        </w:rPr>
        <w:tab/>
        <w:t xml:space="preserve">Predávkovanie </w:t>
      </w:r>
    </w:p>
    <w:p w14:paraId="7EDC85B1" w14:textId="77777777" w:rsidR="006C5930" w:rsidRPr="00C9136E" w:rsidRDefault="006C5930" w:rsidP="00555500">
      <w:pPr>
        <w:rPr>
          <w:sz w:val="22"/>
          <w:szCs w:val="22"/>
          <w:lang w:val="sk-SK"/>
        </w:rPr>
      </w:pPr>
    </w:p>
    <w:p w14:paraId="6D01E1EA" w14:textId="77777777" w:rsidR="00892F9F" w:rsidRPr="00C9136E" w:rsidRDefault="00CC4C6F" w:rsidP="00555500">
      <w:pPr>
        <w:rPr>
          <w:sz w:val="22"/>
          <w:szCs w:val="22"/>
          <w:lang w:val="sk-SK"/>
        </w:rPr>
      </w:pPr>
      <w:r w:rsidRPr="00C9136E">
        <w:rPr>
          <w:sz w:val="22"/>
          <w:szCs w:val="22"/>
          <w:lang w:val="sk-SK"/>
        </w:rPr>
        <w:t xml:space="preserve">Predávkovanie sa </w:t>
      </w:r>
      <w:r w:rsidR="007246FD" w:rsidRPr="00C9136E">
        <w:rPr>
          <w:sz w:val="22"/>
          <w:szCs w:val="22"/>
          <w:lang w:val="sk-SK"/>
        </w:rPr>
        <w:t xml:space="preserve">manifestuje </w:t>
      </w:r>
      <w:r w:rsidRPr="00C9136E">
        <w:rPr>
          <w:sz w:val="22"/>
          <w:szCs w:val="22"/>
          <w:lang w:val="sk-SK"/>
        </w:rPr>
        <w:t>prejavmi ako</w:t>
      </w:r>
      <w:r w:rsidR="006C5930" w:rsidRPr="00C9136E">
        <w:rPr>
          <w:sz w:val="22"/>
          <w:szCs w:val="22"/>
          <w:lang w:val="sk-SK"/>
        </w:rPr>
        <w:t xml:space="preserve"> zmätenosť</w:t>
      </w:r>
      <w:r w:rsidR="000302F3" w:rsidRPr="00C9136E">
        <w:rPr>
          <w:sz w:val="22"/>
          <w:szCs w:val="22"/>
          <w:lang w:val="sk-SK"/>
        </w:rPr>
        <w:t>, excitabilita, nepokoj, nervozita</w:t>
      </w:r>
      <w:r w:rsidRPr="00C9136E">
        <w:rPr>
          <w:sz w:val="22"/>
          <w:szCs w:val="22"/>
          <w:lang w:val="sk-SK"/>
        </w:rPr>
        <w:t xml:space="preserve"> a</w:t>
      </w:r>
      <w:r w:rsidR="000302F3" w:rsidRPr="00C9136E">
        <w:rPr>
          <w:sz w:val="22"/>
          <w:szCs w:val="22"/>
          <w:lang w:val="sk-SK"/>
        </w:rPr>
        <w:t> podráždenosť. U detí môže po náhodnom požití veľmi vysokých dávok dôjsť k ospalosti a k zmenám</w:t>
      </w:r>
      <w:r w:rsidR="00C1690A" w:rsidRPr="00C9136E">
        <w:rPr>
          <w:sz w:val="22"/>
          <w:szCs w:val="22"/>
          <w:lang w:val="sk-SK"/>
        </w:rPr>
        <w:t> </w:t>
      </w:r>
      <w:r w:rsidR="000302F3" w:rsidRPr="00C9136E">
        <w:rPr>
          <w:sz w:val="22"/>
          <w:szCs w:val="22"/>
          <w:lang w:val="sk-SK"/>
        </w:rPr>
        <w:t>chôdz</w:t>
      </w:r>
      <w:r w:rsidR="00623103" w:rsidRPr="00C9136E">
        <w:rPr>
          <w:sz w:val="22"/>
          <w:szCs w:val="22"/>
          <w:lang w:val="sk-SK"/>
        </w:rPr>
        <w:t>e</w:t>
      </w:r>
      <w:r w:rsidR="006C5930" w:rsidRPr="00C9136E">
        <w:rPr>
          <w:sz w:val="22"/>
          <w:szCs w:val="22"/>
          <w:lang w:val="sk-SK"/>
        </w:rPr>
        <w:t>.</w:t>
      </w:r>
      <w:r w:rsidR="000302F3" w:rsidRPr="00C9136E">
        <w:rPr>
          <w:sz w:val="22"/>
          <w:szCs w:val="22"/>
          <w:lang w:val="sk-SK"/>
        </w:rPr>
        <w:t xml:space="preserve"> </w:t>
      </w:r>
    </w:p>
    <w:p w14:paraId="7C44CFB5" w14:textId="77777777" w:rsidR="00CC4C6F" w:rsidRDefault="00CC4C6F" w:rsidP="00555500">
      <w:pPr>
        <w:rPr>
          <w:sz w:val="22"/>
          <w:szCs w:val="22"/>
          <w:lang w:val="sk-SK"/>
        </w:rPr>
      </w:pPr>
      <w:r w:rsidRPr="0054682E">
        <w:rPr>
          <w:sz w:val="22"/>
          <w:szCs w:val="22"/>
          <w:lang w:val="sk-SK"/>
        </w:rPr>
        <w:t>Tieto účinky vymiznú po vyvolaní vracania a </w:t>
      </w:r>
      <w:r w:rsidR="007246FD" w:rsidRPr="0054682E">
        <w:rPr>
          <w:sz w:val="22"/>
          <w:szCs w:val="22"/>
          <w:lang w:val="sk-SK"/>
        </w:rPr>
        <w:t>gastrickej</w:t>
      </w:r>
      <w:r w:rsidR="007246FD">
        <w:rPr>
          <w:sz w:val="22"/>
          <w:szCs w:val="22"/>
          <w:lang w:val="sk-SK"/>
        </w:rPr>
        <w:t xml:space="preserve"> laváži</w:t>
      </w:r>
      <w:r>
        <w:rPr>
          <w:sz w:val="22"/>
          <w:szCs w:val="22"/>
          <w:lang w:val="sk-SK"/>
        </w:rPr>
        <w:t>.</w:t>
      </w:r>
    </w:p>
    <w:p w14:paraId="76E13CC6" w14:textId="77777777" w:rsidR="00CC4C6F" w:rsidRPr="00D445D1" w:rsidRDefault="00CC4C6F" w:rsidP="00555500">
      <w:pPr>
        <w:rPr>
          <w:sz w:val="22"/>
          <w:szCs w:val="22"/>
          <w:lang w:val="sk-SK"/>
        </w:rPr>
      </w:pPr>
      <w:r w:rsidRPr="00555500">
        <w:rPr>
          <w:sz w:val="22"/>
          <w:szCs w:val="22"/>
          <w:lang w:val="sk-SK"/>
        </w:rPr>
        <w:t xml:space="preserve">Pri </w:t>
      </w:r>
      <w:r w:rsidR="007246FD">
        <w:rPr>
          <w:sz w:val="22"/>
          <w:szCs w:val="22"/>
          <w:lang w:val="sk-SK"/>
        </w:rPr>
        <w:t>respiračnej</w:t>
      </w:r>
      <w:r w:rsidR="007246FD" w:rsidRPr="00555500">
        <w:rPr>
          <w:sz w:val="22"/>
          <w:szCs w:val="22"/>
          <w:lang w:val="sk-SK"/>
        </w:rPr>
        <w:t xml:space="preserve"> </w:t>
      </w:r>
      <w:r w:rsidRPr="00555500">
        <w:rPr>
          <w:sz w:val="22"/>
          <w:szCs w:val="22"/>
          <w:lang w:val="sk-SK"/>
        </w:rPr>
        <w:t xml:space="preserve">depresii možno podať naloxón a podporiť dýchanie. Pri kŕčoch sa podávajú </w:t>
      </w:r>
      <w:r w:rsidRPr="00D445D1">
        <w:rPr>
          <w:sz w:val="22"/>
          <w:szCs w:val="22"/>
          <w:lang w:val="sk-SK"/>
        </w:rPr>
        <w:t>benzodiazepíny podľa veku, a to intravenózne, alebo rektálne.</w:t>
      </w:r>
    </w:p>
    <w:p w14:paraId="39E57908" w14:textId="77777777" w:rsidR="00E8671F" w:rsidRPr="00D445D1" w:rsidRDefault="00D445D1" w:rsidP="00555500">
      <w:pPr>
        <w:rPr>
          <w:b/>
          <w:sz w:val="22"/>
          <w:szCs w:val="22"/>
          <w:lang w:val="sk-SK"/>
        </w:rPr>
      </w:pPr>
      <w:r w:rsidRPr="00D445D1">
        <w:rPr>
          <w:sz w:val="22"/>
          <w:szCs w:val="22"/>
          <w:lang w:val="sk-SK"/>
        </w:rPr>
        <w:t xml:space="preserve">Boli hlásené zriedkavé prípady zneužívania tohto lieku spojené s predávkovaním, najmä medzi dospievajúcimi, a môžu sa prejavovať ako závažné nežiaduce účinky </w:t>
      </w:r>
      <w:r w:rsidR="00B66557" w:rsidRPr="00D445D1">
        <w:rPr>
          <w:sz w:val="22"/>
          <w:szCs w:val="22"/>
          <w:lang w:val="sk-SK"/>
        </w:rPr>
        <w:t xml:space="preserve">ako je </w:t>
      </w:r>
      <w:r w:rsidRPr="00D445D1">
        <w:rPr>
          <w:sz w:val="22"/>
          <w:szCs w:val="22"/>
          <w:lang w:val="sk-SK"/>
        </w:rPr>
        <w:t xml:space="preserve">anxiozita, </w:t>
      </w:r>
      <w:r w:rsidR="007246FD">
        <w:rPr>
          <w:sz w:val="22"/>
          <w:szCs w:val="22"/>
          <w:lang w:val="sk-SK"/>
        </w:rPr>
        <w:t>tremor</w:t>
      </w:r>
      <w:r w:rsidRPr="00D445D1">
        <w:rPr>
          <w:sz w:val="22"/>
          <w:szCs w:val="22"/>
          <w:lang w:val="sk-SK"/>
        </w:rPr>
        <w:t xml:space="preserve">, strata pamäti, tachykardia, letargia, hypertenzia, hypotenzia, mydriáza, </w:t>
      </w:r>
      <w:r w:rsidR="00A75A66" w:rsidRPr="00CD01EB">
        <w:rPr>
          <w:sz w:val="22"/>
          <w:szCs w:val="22"/>
          <w:lang w:val="sk-SK"/>
        </w:rPr>
        <w:t>agitácia</w:t>
      </w:r>
      <w:r w:rsidRPr="00CD01EB">
        <w:rPr>
          <w:sz w:val="22"/>
          <w:szCs w:val="22"/>
          <w:lang w:val="sk-SK"/>
        </w:rPr>
        <w:t>,</w:t>
      </w:r>
      <w:r w:rsidRPr="00D445D1">
        <w:rPr>
          <w:sz w:val="22"/>
          <w:szCs w:val="22"/>
          <w:lang w:val="sk-SK"/>
        </w:rPr>
        <w:t xml:space="preserve"> vertigo, gastrointestinálne poruchy, halucinácie, dysartria (nezrozumiteľná reč), nystagmus, horúčka, tachypnoe, poškodenie mozgu, ataxia, kŕče, </w:t>
      </w:r>
      <w:r w:rsidR="007246FD">
        <w:rPr>
          <w:sz w:val="22"/>
          <w:szCs w:val="22"/>
          <w:lang w:val="sk-SK"/>
        </w:rPr>
        <w:t xml:space="preserve"> respiračná depresia</w:t>
      </w:r>
      <w:r w:rsidRPr="00D445D1">
        <w:rPr>
          <w:sz w:val="22"/>
          <w:szCs w:val="22"/>
          <w:lang w:val="sk-SK"/>
        </w:rPr>
        <w:t>, strata vedomia, arytmie a smrť.</w:t>
      </w:r>
      <w:r w:rsidR="00E8671F" w:rsidRPr="00D445D1">
        <w:rPr>
          <w:sz w:val="22"/>
          <w:szCs w:val="22"/>
          <w:lang w:val="sk-SK"/>
        </w:rPr>
        <w:t xml:space="preserve"> </w:t>
      </w:r>
    </w:p>
    <w:p w14:paraId="3361008C" w14:textId="77777777" w:rsidR="006C5930" w:rsidRPr="00D445D1" w:rsidRDefault="006C5930" w:rsidP="00555500">
      <w:pPr>
        <w:rPr>
          <w:b/>
          <w:sz w:val="22"/>
          <w:szCs w:val="22"/>
          <w:lang w:val="sk-SK"/>
        </w:rPr>
      </w:pPr>
    </w:p>
    <w:p w14:paraId="2B5ED021" w14:textId="77777777" w:rsidR="006C5930" w:rsidRPr="00D445D1" w:rsidRDefault="006C5930" w:rsidP="00555500">
      <w:pPr>
        <w:rPr>
          <w:b/>
          <w:sz w:val="22"/>
          <w:szCs w:val="22"/>
          <w:lang w:val="sk-SK"/>
        </w:rPr>
      </w:pPr>
    </w:p>
    <w:p w14:paraId="6F635096" w14:textId="77777777" w:rsidR="006C5930" w:rsidRPr="00D445D1" w:rsidRDefault="006C5930" w:rsidP="00555500">
      <w:pPr>
        <w:rPr>
          <w:b/>
          <w:sz w:val="22"/>
          <w:szCs w:val="22"/>
          <w:lang w:val="sk-SK"/>
        </w:rPr>
      </w:pPr>
      <w:r w:rsidRPr="00D445D1">
        <w:rPr>
          <w:b/>
          <w:sz w:val="22"/>
          <w:szCs w:val="22"/>
          <w:lang w:val="sk-SK"/>
        </w:rPr>
        <w:t xml:space="preserve">5. </w:t>
      </w:r>
      <w:r w:rsidRPr="00D445D1">
        <w:rPr>
          <w:b/>
          <w:sz w:val="22"/>
          <w:szCs w:val="22"/>
          <w:lang w:val="sk-SK"/>
        </w:rPr>
        <w:tab/>
        <w:t>FARMAKOLOGICKÉ VLASTNOSTI</w:t>
      </w:r>
    </w:p>
    <w:p w14:paraId="50177916" w14:textId="77777777" w:rsidR="006C5930" w:rsidRPr="00D445D1" w:rsidRDefault="006C5930" w:rsidP="00555500">
      <w:pPr>
        <w:rPr>
          <w:sz w:val="22"/>
          <w:szCs w:val="22"/>
          <w:lang w:val="sk-SK"/>
        </w:rPr>
      </w:pPr>
    </w:p>
    <w:p w14:paraId="2F8D1EBB" w14:textId="77777777" w:rsidR="006C5930" w:rsidRPr="00D445D1" w:rsidRDefault="006C5930" w:rsidP="00CD01EB">
      <w:pPr>
        <w:rPr>
          <w:sz w:val="22"/>
          <w:szCs w:val="22"/>
          <w:lang w:val="sk-SK"/>
        </w:rPr>
      </w:pPr>
      <w:r w:rsidRPr="00D445D1">
        <w:rPr>
          <w:sz w:val="22"/>
          <w:szCs w:val="22"/>
          <w:lang w:val="sk-SK"/>
        </w:rPr>
        <w:t xml:space="preserve">Farmakoterapeutická skupina: </w:t>
      </w:r>
      <w:r w:rsidR="007246FD">
        <w:rPr>
          <w:sz w:val="22"/>
          <w:szCs w:val="22"/>
          <w:lang w:val="sk-SK"/>
        </w:rPr>
        <w:t>a</w:t>
      </w:r>
      <w:r w:rsidRPr="00D445D1">
        <w:rPr>
          <w:sz w:val="22"/>
          <w:szCs w:val="22"/>
          <w:lang w:val="sk-SK"/>
        </w:rPr>
        <w:t>ntitusiká a lieky proti nachladnutiu</w:t>
      </w:r>
      <w:r w:rsidRPr="00CD01EB">
        <w:rPr>
          <w:sz w:val="22"/>
          <w:szCs w:val="22"/>
          <w:lang w:val="sk-SK"/>
        </w:rPr>
        <w:t xml:space="preserve">, </w:t>
      </w:r>
      <w:r w:rsidR="00E426D5" w:rsidRPr="00CD01EB">
        <w:rPr>
          <w:sz w:val="22"/>
          <w:szCs w:val="22"/>
          <w:lang w:val="sk-SK"/>
        </w:rPr>
        <w:t>antitusiká s výnimkou kombinácií s</w:t>
      </w:r>
      <w:r w:rsidR="00CD01EB">
        <w:rPr>
          <w:sz w:val="22"/>
          <w:szCs w:val="22"/>
          <w:lang w:val="sk-SK"/>
        </w:rPr>
        <w:t> </w:t>
      </w:r>
      <w:r w:rsidR="00E426D5" w:rsidRPr="00CD01EB">
        <w:rPr>
          <w:sz w:val="22"/>
          <w:szCs w:val="22"/>
          <w:lang w:val="sk-SK"/>
        </w:rPr>
        <w:t>expektoranciami</w:t>
      </w:r>
      <w:r w:rsidR="00CD01EB">
        <w:rPr>
          <w:sz w:val="22"/>
          <w:szCs w:val="22"/>
          <w:lang w:val="sk-SK"/>
        </w:rPr>
        <w:t xml:space="preserve">, </w:t>
      </w:r>
      <w:r w:rsidRPr="00D445D1">
        <w:rPr>
          <w:sz w:val="22"/>
          <w:szCs w:val="22"/>
          <w:lang w:val="sk-SK"/>
        </w:rPr>
        <w:t>ATC kód: R05DA09</w:t>
      </w:r>
    </w:p>
    <w:p w14:paraId="53E0A853" w14:textId="77777777" w:rsidR="006C5930" w:rsidRPr="00D445D1" w:rsidRDefault="006C5930" w:rsidP="00555500">
      <w:pPr>
        <w:rPr>
          <w:sz w:val="22"/>
          <w:szCs w:val="22"/>
          <w:lang w:val="sk-SK"/>
        </w:rPr>
      </w:pPr>
    </w:p>
    <w:p w14:paraId="6CA6616D" w14:textId="77777777" w:rsidR="006C5930" w:rsidRPr="00D445D1" w:rsidRDefault="006C5930" w:rsidP="00555500">
      <w:pPr>
        <w:rPr>
          <w:b/>
          <w:bCs/>
          <w:sz w:val="22"/>
          <w:szCs w:val="22"/>
          <w:lang w:val="sk-SK"/>
        </w:rPr>
      </w:pPr>
      <w:r w:rsidRPr="00D445D1">
        <w:rPr>
          <w:b/>
          <w:bCs/>
          <w:sz w:val="22"/>
          <w:szCs w:val="22"/>
          <w:lang w:val="sk-SK"/>
        </w:rPr>
        <w:t xml:space="preserve">5.1  </w:t>
      </w:r>
      <w:r w:rsidRPr="00D445D1">
        <w:rPr>
          <w:b/>
          <w:bCs/>
          <w:sz w:val="22"/>
          <w:szCs w:val="22"/>
          <w:lang w:val="sk-SK"/>
        </w:rPr>
        <w:tab/>
        <w:t>Farmakodynamické vlastnosti</w:t>
      </w:r>
    </w:p>
    <w:p w14:paraId="45F4744E" w14:textId="77777777" w:rsidR="006C5930" w:rsidRPr="00D445D1" w:rsidRDefault="006C5930" w:rsidP="00555500">
      <w:pPr>
        <w:pStyle w:val="Zkladntext3"/>
        <w:rPr>
          <w:sz w:val="22"/>
          <w:szCs w:val="22"/>
          <w:lang w:val="sk-SK"/>
        </w:rPr>
      </w:pPr>
    </w:p>
    <w:p w14:paraId="4E1EA8C8" w14:textId="77777777" w:rsidR="006C5930" w:rsidRPr="00D445D1" w:rsidRDefault="006C5930" w:rsidP="00555500">
      <w:pPr>
        <w:pStyle w:val="Zkladntext3"/>
        <w:rPr>
          <w:b/>
          <w:sz w:val="22"/>
          <w:szCs w:val="22"/>
          <w:lang w:val="sk-SK"/>
        </w:rPr>
      </w:pPr>
      <w:r w:rsidRPr="00D445D1">
        <w:rPr>
          <w:sz w:val="22"/>
          <w:szCs w:val="22"/>
          <w:lang w:val="sk-SK"/>
        </w:rPr>
        <w:lastRenderedPageBreak/>
        <w:t xml:space="preserve">Dextrometorfániumbromid </w:t>
      </w:r>
      <w:r w:rsidR="00A26202" w:rsidRPr="00D445D1">
        <w:rPr>
          <w:sz w:val="22"/>
          <w:szCs w:val="22"/>
          <w:lang w:val="sk-SK"/>
        </w:rPr>
        <w:t xml:space="preserve">je </w:t>
      </w:r>
      <w:r w:rsidR="00D445D1" w:rsidRPr="00D445D1">
        <w:rPr>
          <w:sz w:val="22"/>
          <w:szCs w:val="22"/>
          <w:lang w:val="sk-SK"/>
        </w:rPr>
        <w:t>3</w:t>
      </w:r>
      <w:r w:rsidR="007246FD">
        <w:rPr>
          <w:sz w:val="22"/>
          <w:szCs w:val="22"/>
          <w:lang w:val="sk-SK"/>
        </w:rPr>
        <w:t>-</w:t>
      </w:r>
      <w:r w:rsidR="00D445D1" w:rsidRPr="00D445D1">
        <w:rPr>
          <w:sz w:val="22"/>
          <w:szCs w:val="22"/>
          <w:lang w:val="sk-SK"/>
        </w:rPr>
        <w:t>metoxy derivát levorfanolu</w:t>
      </w:r>
      <w:r w:rsidR="007246FD">
        <w:rPr>
          <w:sz w:val="22"/>
          <w:szCs w:val="22"/>
          <w:lang w:val="sk-SK"/>
        </w:rPr>
        <w:t>;</w:t>
      </w:r>
      <w:r w:rsidR="007246FD" w:rsidRPr="00D445D1">
        <w:rPr>
          <w:sz w:val="22"/>
          <w:szCs w:val="22"/>
          <w:lang w:val="sk-SK"/>
        </w:rPr>
        <w:t xml:space="preserve"> </w:t>
      </w:r>
      <w:r w:rsidR="00A26202" w:rsidRPr="00D445D1">
        <w:rPr>
          <w:sz w:val="22"/>
          <w:szCs w:val="22"/>
          <w:lang w:val="sk-SK"/>
        </w:rPr>
        <w:t xml:space="preserve">je to liečivo na potlačenie kašľa, </w:t>
      </w:r>
      <w:r w:rsidR="002E23C9">
        <w:rPr>
          <w:sz w:val="22"/>
          <w:szCs w:val="22"/>
          <w:lang w:val="sk-SK"/>
        </w:rPr>
        <w:t>účinkuje</w:t>
      </w:r>
      <w:r w:rsidRPr="00D445D1">
        <w:rPr>
          <w:sz w:val="22"/>
          <w:szCs w:val="22"/>
          <w:lang w:val="sk-SK"/>
        </w:rPr>
        <w:t xml:space="preserve"> na centrum kašľa v predĺženej mieche. Nepôsobí analgeticky a má minimálny sedatívny účinok</w:t>
      </w:r>
      <w:r w:rsidR="00A26202" w:rsidRPr="00D445D1">
        <w:rPr>
          <w:sz w:val="22"/>
          <w:szCs w:val="22"/>
          <w:lang w:val="sk-SK"/>
        </w:rPr>
        <w:t xml:space="preserve"> a nemá žiadny narkotický účinok</w:t>
      </w:r>
      <w:r w:rsidRPr="00D445D1">
        <w:rPr>
          <w:sz w:val="22"/>
          <w:szCs w:val="22"/>
          <w:lang w:val="sk-SK"/>
        </w:rPr>
        <w:t>.</w:t>
      </w:r>
      <w:r w:rsidR="00D445D1">
        <w:rPr>
          <w:sz w:val="22"/>
          <w:szCs w:val="22"/>
          <w:lang w:val="sk-SK"/>
        </w:rPr>
        <w:t xml:space="preserve"> Dávka 15-30 mg dextrometorfánu zodpovedá </w:t>
      </w:r>
      <w:r w:rsidR="002E23C9">
        <w:rPr>
          <w:sz w:val="22"/>
          <w:szCs w:val="22"/>
          <w:lang w:val="sk-SK"/>
        </w:rPr>
        <w:t xml:space="preserve"> antitusickej dávke </w:t>
      </w:r>
      <w:r w:rsidR="00D445D1">
        <w:rPr>
          <w:sz w:val="22"/>
          <w:szCs w:val="22"/>
          <w:lang w:val="sk-SK"/>
        </w:rPr>
        <w:t>8-15 mg kodeínu.</w:t>
      </w:r>
    </w:p>
    <w:p w14:paraId="093DCF56" w14:textId="77777777" w:rsidR="006C5930" w:rsidRPr="00D445D1" w:rsidRDefault="006C5930" w:rsidP="00555500">
      <w:pPr>
        <w:rPr>
          <w:b/>
          <w:sz w:val="22"/>
          <w:szCs w:val="22"/>
          <w:lang w:val="sk-SK"/>
        </w:rPr>
      </w:pPr>
    </w:p>
    <w:p w14:paraId="2347BF15" w14:textId="77777777" w:rsidR="006C5930" w:rsidRPr="00D445D1" w:rsidRDefault="006C5930" w:rsidP="00555500">
      <w:pPr>
        <w:rPr>
          <w:b/>
          <w:sz w:val="22"/>
          <w:szCs w:val="22"/>
          <w:lang w:val="sk-SK"/>
        </w:rPr>
      </w:pPr>
      <w:r w:rsidRPr="00D445D1">
        <w:rPr>
          <w:b/>
          <w:sz w:val="22"/>
          <w:szCs w:val="22"/>
          <w:lang w:val="sk-SK"/>
        </w:rPr>
        <w:t xml:space="preserve">5.2 </w:t>
      </w:r>
      <w:r w:rsidRPr="00D445D1">
        <w:rPr>
          <w:b/>
          <w:sz w:val="22"/>
          <w:szCs w:val="22"/>
          <w:lang w:val="sk-SK"/>
        </w:rPr>
        <w:tab/>
        <w:t>Farmakokinetické vlastnosti</w:t>
      </w:r>
    </w:p>
    <w:p w14:paraId="127A3BE2" w14:textId="77777777" w:rsidR="006C5930" w:rsidRPr="00D445D1" w:rsidRDefault="006C5930" w:rsidP="00555500">
      <w:pPr>
        <w:rPr>
          <w:sz w:val="22"/>
          <w:szCs w:val="22"/>
          <w:lang w:val="sk-SK"/>
        </w:rPr>
      </w:pPr>
    </w:p>
    <w:p w14:paraId="765809DE" w14:textId="77777777" w:rsidR="006C5930" w:rsidRPr="00D445D1" w:rsidRDefault="006C5930" w:rsidP="00555500">
      <w:pPr>
        <w:rPr>
          <w:sz w:val="22"/>
          <w:szCs w:val="22"/>
          <w:lang w:val="sk-SK"/>
        </w:rPr>
      </w:pPr>
      <w:r w:rsidRPr="00D445D1">
        <w:rPr>
          <w:sz w:val="22"/>
          <w:szCs w:val="22"/>
          <w:lang w:val="sk-SK"/>
        </w:rPr>
        <w:t xml:space="preserve">Dextrometorfániumbromid je dobre </w:t>
      </w:r>
      <w:r w:rsidR="002E23C9">
        <w:rPr>
          <w:sz w:val="22"/>
          <w:szCs w:val="22"/>
          <w:lang w:val="sk-SK"/>
        </w:rPr>
        <w:t>ab</w:t>
      </w:r>
      <w:r w:rsidRPr="00D445D1">
        <w:rPr>
          <w:sz w:val="22"/>
          <w:szCs w:val="22"/>
          <w:lang w:val="sk-SK"/>
        </w:rPr>
        <w:t>sorbovaný</w:t>
      </w:r>
      <w:r w:rsidR="00D445D1">
        <w:rPr>
          <w:sz w:val="22"/>
          <w:szCs w:val="22"/>
          <w:lang w:val="sk-SK"/>
        </w:rPr>
        <w:t xml:space="preserve"> z gastrointestinálneho traktu, zvyčajne do 30 minút s</w:t>
      </w:r>
      <w:r w:rsidR="00E12276">
        <w:rPr>
          <w:sz w:val="22"/>
          <w:szCs w:val="22"/>
          <w:lang w:val="sk-SK"/>
        </w:rPr>
        <w:t> dĺžkou pôsobenia</w:t>
      </w:r>
      <w:r w:rsidR="00D445D1">
        <w:rPr>
          <w:sz w:val="22"/>
          <w:szCs w:val="22"/>
          <w:lang w:val="sk-SK"/>
        </w:rPr>
        <w:t xml:space="preserve"> trvajúcou až 6 hodín.</w:t>
      </w:r>
    </w:p>
    <w:p w14:paraId="2A7F6F67" w14:textId="77777777" w:rsidR="006C5930" w:rsidRPr="00D445D1" w:rsidRDefault="006C5930" w:rsidP="00555500">
      <w:pPr>
        <w:rPr>
          <w:sz w:val="22"/>
          <w:szCs w:val="22"/>
          <w:lang w:val="sk-SK"/>
        </w:rPr>
      </w:pPr>
      <w:r w:rsidRPr="00D445D1">
        <w:rPr>
          <w:sz w:val="22"/>
          <w:szCs w:val="22"/>
          <w:lang w:val="sk-SK"/>
        </w:rPr>
        <w:t xml:space="preserve">Nástup účinku </w:t>
      </w:r>
      <w:r w:rsidR="00E12276">
        <w:rPr>
          <w:sz w:val="22"/>
          <w:szCs w:val="22"/>
          <w:lang w:val="sk-SK"/>
        </w:rPr>
        <w:t>d</w:t>
      </w:r>
      <w:r w:rsidR="00E12276" w:rsidRPr="00D445D1">
        <w:rPr>
          <w:sz w:val="22"/>
          <w:szCs w:val="22"/>
          <w:lang w:val="sk-SK"/>
        </w:rPr>
        <w:t>extrometorfániumbromid</w:t>
      </w:r>
      <w:r w:rsidR="00E12276">
        <w:rPr>
          <w:sz w:val="22"/>
          <w:szCs w:val="22"/>
          <w:lang w:val="sk-SK"/>
        </w:rPr>
        <w:t>u</w:t>
      </w:r>
      <w:r w:rsidR="00E12276" w:rsidRPr="00D445D1">
        <w:rPr>
          <w:sz w:val="22"/>
          <w:szCs w:val="22"/>
          <w:lang w:val="sk-SK"/>
        </w:rPr>
        <w:t xml:space="preserve"> </w:t>
      </w:r>
      <w:r w:rsidR="00E12276">
        <w:rPr>
          <w:sz w:val="22"/>
          <w:szCs w:val="22"/>
          <w:lang w:val="sk-SK"/>
        </w:rPr>
        <w:t xml:space="preserve">je 15-30 minút po perorálnom </w:t>
      </w:r>
      <w:r w:rsidR="00E12276" w:rsidRPr="00D25CAC">
        <w:rPr>
          <w:sz w:val="22"/>
          <w:szCs w:val="22"/>
          <w:lang w:val="sk-SK"/>
        </w:rPr>
        <w:t>podaní.</w:t>
      </w:r>
      <w:r w:rsidRPr="00D445D1">
        <w:rPr>
          <w:sz w:val="22"/>
          <w:szCs w:val="22"/>
          <w:lang w:val="sk-SK"/>
        </w:rPr>
        <w:t xml:space="preserve"> </w:t>
      </w:r>
    </w:p>
    <w:p w14:paraId="75E18FAB" w14:textId="77777777" w:rsidR="00D25CAC" w:rsidRDefault="00D25CAC" w:rsidP="00555500">
      <w:pPr>
        <w:rPr>
          <w:sz w:val="22"/>
          <w:szCs w:val="22"/>
          <w:lang w:val="sk-SK"/>
        </w:rPr>
      </w:pPr>
    </w:p>
    <w:p w14:paraId="6951775F" w14:textId="77777777" w:rsidR="00492556" w:rsidRPr="009E4683" w:rsidRDefault="00492556" w:rsidP="00492556">
      <w:pPr>
        <w:rPr>
          <w:bCs/>
          <w:lang w:val="sk-SK"/>
        </w:rPr>
      </w:pPr>
      <w:r w:rsidRPr="009E4683">
        <w:rPr>
          <w:bCs/>
          <w:sz w:val="22"/>
          <w:szCs w:val="22"/>
          <w:lang w:val="sk-SK"/>
        </w:rPr>
        <w:t>Dextrometorfán podstupuje po perorálnom podaní rýchly a rozsiahly first-pass metabolizmus (metabolizmus prvého priechodu) v pečeni. U ľudských dobrovoľníkov je hlavným faktorom farmakokinetiky dextrometorfánu geneticky kontrolovaná O-demetylácia (CYD2D6).</w:t>
      </w:r>
    </w:p>
    <w:p w14:paraId="755D7936" w14:textId="77777777" w:rsidR="00492556" w:rsidRPr="00525657" w:rsidRDefault="00492556" w:rsidP="00492556">
      <w:pPr>
        <w:pStyle w:val="Default"/>
        <w:rPr>
          <w:sz w:val="22"/>
          <w:szCs w:val="22"/>
        </w:rPr>
      </w:pPr>
      <w:r w:rsidRPr="00550470">
        <w:rPr>
          <w:bCs/>
          <w:sz w:val="22"/>
          <w:szCs w:val="22"/>
        </w:rPr>
        <w:t>Vyzerá to tak, že pri tomto oxidačnom procese existujú rôzne fenotypy, čo vedie k veľkým rozdielom vo farmakokinetike medzi jedincami. V moči bo</w:t>
      </w:r>
      <w:r w:rsidRPr="00E11F59">
        <w:rPr>
          <w:bCs/>
          <w:sz w:val="22"/>
          <w:szCs w:val="22"/>
        </w:rPr>
        <w:t xml:space="preserve">l identifikovaný nezmetabolizovaný dextrometorfán spolu s troma demetylovanými dextrorfánovými metabolitmi morfínanového typu (tiež známe ako 3-hydroxy-N-metylmorfínan), 3-hydroxymorfínan a 3-metoxymorfínan) vo forme konjugovaných produktov. </w:t>
      </w:r>
    </w:p>
    <w:p w14:paraId="1DFFF691" w14:textId="77777777" w:rsidR="00492556" w:rsidRPr="009E4683" w:rsidRDefault="00492556" w:rsidP="00492556">
      <w:pPr>
        <w:rPr>
          <w:lang w:val="sk-SK"/>
        </w:rPr>
      </w:pPr>
      <w:r w:rsidRPr="009E4683">
        <w:rPr>
          <w:bCs/>
          <w:sz w:val="22"/>
          <w:szCs w:val="22"/>
          <w:lang w:val="sk-SK"/>
        </w:rPr>
        <w:t>Dextrorfán, ktorý má tiež protikašľový účinok, je hlavným metabolitom. U niektorých jedincov metabolizmus postupuje pomalšie a nezmenený dextrometorfán dominuje v krvi aj v moči.</w:t>
      </w:r>
    </w:p>
    <w:p w14:paraId="7FA2EC84" w14:textId="77777777" w:rsidR="00D25CAC" w:rsidRDefault="00D25CAC" w:rsidP="00D25CA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14:paraId="28588DF9" w14:textId="77777777" w:rsidR="00D25CAC" w:rsidRPr="00AB041D" w:rsidRDefault="00D25CAC" w:rsidP="00D25CA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Dextrometorfániumbromid sa vylučuje močom a stolicou </w:t>
      </w:r>
      <w:r w:rsidR="002E23C9">
        <w:rPr>
          <w:rFonts w:ascii="Times New Roman" w:hAnsi="Times New Roman" w:cs="Times New Roman"/>
          <w:sz w:val="22"/>
          <w:szCs w:val="22"/>
          <w:lang w:val="sk-SK"/>
        </w:rPr>
        <w:t>v podobe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D25CAC">
        <w:rPr>
          <w:rFonts w:ascii="Times New Roman" w:hAnsi="Times New Roman" w:cs="Times New Roman"/>
          <w:sz w:val="22"/>
          <w:szCs w:val="22"/>
          <w:lang w:val="sk-SK"/>
        </w:rPr>
        <w:t>demetylovan</w:t>
      </w:r>
      <w:r w:rsidR="002E23C9">
        <w:rPr>
          <w:rFonts w:ascii="Times New Roman" w:hAnsi="Times New Roman" w:cs="Times New Roman"/>
          <w:sz w:val="22"/>
          <w:szCs w:val="22"/>
          <w:lang w:val="sk-SK"/>
        </w:rPr>
        <w:t>ých</w:t>
      </w:r>
      <w:r w:rsidRPr="00D25CAC">
        <w:rPr>
          <w:rFonts w:ascii="Times New Roman" w:hAnsi="Times New Roman" w:cs="Times New Roman"/>
          <w:sz w:val="22"/>
          <w:szCs w:val="22"/>
          <w:lang w:val="sk-SK"/>
        </w:rPr>
        <w:t xml:space="preserve"> metabolit</w:t>
      </w:r>
      <w:r w:rsidR="002E23C9">
        <w:rPr>
          <w:rFonts w:ascii="Times New Roman" w:hAnsi="Times New Roman" w:cs="Times New Roman"/>
          <w:sz w:val="22"/>
          <w:szCs w:val="22"/>
          <w:lang w:val="sk-SK"/>
        </w:rPr>
        <w:t xml:space="preserve">ov </w:t>
      </w:r>
      <w:r>
        <w:rPr>
          <w:rFonts w:ascii="Times New Roman" w:hAnsi="Times New Roman" w:cs="Times New Roman"/>
          <w:sz w:val="22"/>
          <w:szCs w:val="22"/>
          <w:lang w:val="sk-SK"/>
        </w:rPr>
        <w:t>vrátane</w:t>
      </w:r>
      <w:r w:rsidRPr="00D25CAC">
        <w:rPr>
          <w:rFonts w:ascii="Times New Roman" w:hAnsi="Times New Roman" w:cs="Times New Roman"/>
          <w:sz w:val="22"/>
          <w:szCs w:val="22"/>
          <w:lang w:val="sk-SK"/>
        </w:rPr>
        <w:t xml:space="preserve"> dextro</w:t>
      </w:r>
      <w:r w:rsidR="00FB551B">
        <w:rPr>
          <w:rFonts w:ascii="Times New Roman" w:hAnsi="Times New Roman" w:cs="Times New Roman"/>
          <w:sz w:val="22"/>
          <w:szCs w:val="22"/>
          <w:lang w:val="sk-SK"/>
        </w:rPr>
        <w:t>r</w:t>
      </w:r>
      <w:r w:rsidRPr="00D25CAC">
        <w:rPr>
          <w:rFonts w:ascii="Times New Roman" w:hAnsi="Times New Roman" w:cs="Times New Roman"/>
          <w:sz w:val="22"/>
          <w:szCs w:val="22"/>
          <w:lang w:val="sk-SK"/>
        </w:rPr>
        <w:t>fánu</w:t>
      </w:r>
      <w:r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684B5369" w14:textId="77777777" w:rsidR="00D25CAC" w:rsidRPr="00AB041D" w:rsidRDefault="00D25CAC" w:rsidP="00D25CA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14:paraId="2CCBC7B3" w14:textId="77777777" w:rsidR="006C5930" w:rsidRPr="00555500" w:rsidRDefault="006C5930" w:rsidP="00555500">
      <w:pPr>
        <w:rPr>
          <w:b/>
          <w:sz w:val="22"/>
          <w:szCs w:val="22"/>
          <w:lang w:val="sk-SK"/>
        </w:rPr>
      </w:pPr>
      <w:r w:rsidRPr="00555500">
        <w:rPr>
          <w:b/>
          <w:sz w:val="22"/>
          <w:szCs w:val="22"/>
          <w:lang w:val="sk-SK"/>
        </w:rPr>
        <w:t xml:space="preserve">5.3 </w:t>
      </w:r>
      <w:r w:rsidRPr="00555500">
        <w:rPr>
          <w:b/>
          <w:sz w:val="22"/>
          <w:szCs w:val="22"/>
          <w:lang w:val="sk-SK"/>
        </w:rPr>
        <w:tab/>
        <w:t xml:space="preserve">Predklinické údaje o bezpečnosti </w:t>
      </w:r>
    </w:p>
    <w:p w14:paraId="20B8EEBA" w14:textId="77777777" w:rsidR="006C5930" w:rsidRPr="00555500" w:rsidRDefault="006C5930" w:rsidP="00555500">
      <w:pPr>
        <w:rPr>
          <w:sz w:val="22"/>
          <w:szCs w:val="22"/>
          <w:lang w:val="sk-SK"/>
        </w:rPr>
      </w:pPr>
    </w:p>
    <w:p w14:paraId="71AB2118" w14:textId="77777777" w:rsidR="00D25CAC" w:rsidRDefault="00D25CAC" w:rsidP="00555500">
      <w:pPr>
        <w:rPr>
          <w:noProof/>
          <w:sz w:val="22"/>
          <w:szCs w:val="22"/>
        </w:rPr>
      </w:pPr>
      <w:r w:rsidRPr="00A75A66">
        <w:rPr>
          <w:noProof/>
          <w:sz w:val="22"/>
          <w:szCs w:val="22"/>
        </w:rPr>
        <w:t xml:space="preserve">Na zvieratách sa nepozorovali žiadne relevantné problémy </w:t>
      </w:r>
      <w:r w:rsidR="00970CC8" w:rsidRPr="00A75A66">
        <w:rPr>
          <w:noProof/>
          <w:sz w:val="22"/>
          <w:szCs w:val="22"/>
        </w:rPr>
        <w:t xml:space="preserve">týkajúce sa mutagénnych a teratogénnych </w:t>
      </w:r>
      <w:r w:rsidRPr="00A75A66">
        <w:rPr>
          <w:noProof/>
          <w:sz w:val="22"/>
          <w:szCs w:val="22"/>
        </w:rPr>
        <w:t xml:space="preserve">účinkov alebo </w:t>
      </w:r>
      <w:r w:rsidR="00FB551B" w:rsidRPr="00A75A66">
        <w:rPr>
          <w:noProof/>
          <w:sz w:val="22"/>
          <w:szCs w:val="22"/>
        </w:rPr>
        <w:t>účink</w:t>
      </w:r>
      <w:r w:rsidR="00970CC8" w:rsidRPr="00A75A66">
        <w:rPr>
          <w:noProof/>
          <w:sz w:val="22"/>
          <w:szCs w:val="22"/>
        </w:rPr>
        <w:t xml:space="preserve">ov dextrometorfánu </w:t>
      </w:r>
      <w:r w:rsidR="00FB551B" w:rsidRPr="00A75A66">
        <w:rPr>
          <w:noProof/>
          <w:sz w:val="22"/>
          <w:szCs w:val="22"/>
        </w:rPr>
        <w:t xml:space="preserve">na </w:t>
      </w:r>
      <w:r w:rsidRPr="00A75A66">
        <w:rPr>
          <w:noProof/>
          <w:sz w:val="22"/>
          <w:szCs w:val="22"/>
        </w:rPr>
        <w:t>fertilitu.</w:t>
      </w:r>
    </w:p>
    <w:p w14:paraId="4D219984" w14:textId="77777777" w:rsidR="00A26202" w:rsidRPr="00555500" w:rsidRDefault="00A26202" w:rsidP="00555500">
      <w:pPr>
        <w:rPr>
          <w:sz w:val="22"/>
          <w:szCs w:val="22"/>
          <w:lang w:val="sk-SK"/>
        </w:rPr>
      </w:pPr>
      <w:r w:rsidRPr="00555500">
        <w:rPr>
          <w:noProof/>
          <w:sz w:val="22"/>
          <w:szCs w:val="22"/>
          <w:lang w:val="sk-SK"/>
        </w:rPr>
        <w:t>U</w:t>
      </w:r>
      <w:r w:rsidR="00623103" w:rsidRPr="00555500">
        <w:rPr>
          <w:noProof/>
          <w:sz w:val="22"/>
          <w:szCs w:val="22"/>
          <w:lang w:val="sk-SK"/>
        </w:rPr>
        <w:t> </w:t>
      </w:r>
      <w:r w:rsidRPr="00555500">
        <w:rPr>
          <w:noProof/>
          <w:sz w:val="22"/>
          <w:szCs w:val="22"/>
          <w:lang w:val="sk-SK"/>
        </w:rPr>
        <w:t>potkanov</w:t>
      </w:r>
      <w:r w:rsidR="00623103" w:rsidRPr="00555500">
        <w:rPr>
          <w:noProof/>
          <w:sz w:val="22"/>
          <w:szCs w:val="22"/>
          <w:lang w:val="sk-SK"/>
        </w:rPr>
        <w:t xml:space="preserve">, ktorým boli </w:t>
      </w:r>
      <w:r w:rsidR="002E23C9">
        <w:rPr>
          <w:noProof/>
          <w:sz w:val="22"/>
          <w:szCs w:val="22"/>
          <w:lang w:val="sk-SK"/>
        </w:rPr>
        <w:t xml:space="preserve">dlhodobo </w:t>
      </w:r>
      <w:r w:rsidR="00623103" w:rsidRPr="00555500">
        <w:rPr>
          <w:noProof/>
          <w:sz w:val="22"/>
          <w:szCs w:val="22"/>
          <w:lang w:val="sk-SK"/>
        </w:rPr>
        <w:t xml:space="preserve">podávané </w:t>
      </w:r>
      <w:r w:rsidRPr="00555500">
        <w:rPr>
          <w:noProof/>
          <w:sz w:val="22"/>
          <w:szCs w:val="22"/>
          <w:lang w:val="sk-SK"/>
        </w:rPr>
        <w:t>vysok</w:t>
      </w:r>
      <w:r w:rsidR="00623103" w:rsidRPr="00555500">
        <w:rPr>
          <w:noProof/>
          <w:sz w:val="22"/>
          <w:szCs w:val="22"/>
          <w:lang w:val="sk-SK"/>
        </w:rPr>
        <w:t>é</w:t>
      </w:r>
      <w:r w:rsidRPr="00555500">
        <w:rPr>
          <w:noProof/>
          <w:sz w:val="22"/>
          <w:szCs w:val="22"/>
          <w:lang w:val="sk-SK"/>
        </w:rPr>
        <w:t xml:space="preserve"> </w:t>
      </w:r>
      <w:r w:rsidR="00D25CAC">
        <w:rPr>
          <w:noProof/>
          <w:sz w:val="22"/>
          <w:szCs w:val="22"/>
          <w:lang w:val="sk-SK"/>
        </w:rPr>
        <w:t xml:space="preserve"> </w:t>
      </w:r>
      <w:r w:rsidRPr="00555500">
        <w:rPr>
          <w:noProof/>
          <w:sz w:val="22"/>
          <w:szCs w:val="22"/>
          <w:lang w:val="sk-SK"/>
        </w:rPr>
        <w:t>peroráln</w:t>
      </w:r>
      <w:r w:rsidR="00623103" w:rsidRPr="00555500">
        <w:rPr>
          <w:noProof/>
          <w:sz w:val="22"/>
          <w:szCs w:val="22"/>
          <w:lang w:val="sk-SK"/>
        </w:rPr>
        <w:t xml:space="preserve">e </w:t>
      </w:r>
      <w:r w:rsidRPr="00555500">
        <w:rPr>
          <w:noProof/>
          <w:sz w:val="22"/>
          <w:szCs w:val="22"/>
          <w:lang w:val="sk-SK"/>
        </w:rPr>
        <w:t>dávk</w:t>
      </w:r>
      <w:r w:rsidR="00623103" w:rsidRPr="00555500">
        <w:rPr>
          <w:noProof/>
          <w:sz w:val="22"/>
          <w:szCs w:val="22"/>
          <w:lang w:val="sk-SK"/>
        </w:rPr>
        <w:t>y</w:t>
      </w:r>
      <w:r w:rsidRPr="00555500">
        <w:rPr>
          <w:noProof/>
          <w:sz w:val="22"/>
          <w:szCs w:val="22"/>
          <w:lang w:val="sk-SK"/>
        </w:rPr>
        <w:t xml:space="preserve"> dextrometorfánu sa objavili histologické zmeny na pečeni, obličkách a pľúcach, taktiež zníženie rastovej krivky a prechodná anémia.</w:t>
      </w:r>
    </w:p>
    <w:p w14:paraId="1D0B4A47" w14:textId="77777777" w:rsidR="006C5930" w:rsidRPr="00555500" w:rsidRDefault="006C5930" w:rsidP="00555500">
      <w:pPr>
        <w:rPr>
          <w:b/>
          <w:sz w:val="22"/>
          <w:szCs w:val="22"/>
          <w:lang w:val="sk-SK"/>
        </w:rPr>
      </w:pPr>
    </w:p>
    <w:p w14:paraId="552D39CB" w14:textId="77777777" w:rsidR="006C5930" w:rsidRPr="00555500" w:rsidRDefault="006C5930" w:rsidP="00555500">
      <w:pPr>
        <w:rPr>
          <w:b/>
          <w:sz w:val="22"/>
          <w:szCs w:val="22"/>
          <w:lang w:val="sk-SK"/>
        </w:rPr>
      </w:pPr>
    </w:p>
    <w:p w14:paraId="430EFCD5" w14:textId="77777777" w:rsidR="006C5930" w:rsidRPr="00555500" w:rsidRDefault="006C5930" w:rsidP="00555500">
      <w:pPr>
        <w:rPr>
          <w:b/>
          <w:sz w:val="22"/>
          <w:szCs w:val="22"/>
          <w:lang w:val="sk-SK"/>
        </w:rPr>
      </w:pPr>
      <w:r w:rsidRPr="00555500">
        <w:rPr>
          <w:b/>
          <w:sz w:val="22"/>
          <w:szCs w:val="22"/>
          <w:lang w:val="sk-SK"/>
        </w:rPr>
        <w:t xml:space="preserve">6. </w:t>
      </w:r>
      <w:r w:rsidRPr="00555500">
        <w:rPr>
          <w:b/>
          <w:sz w:val="22"/>
          <w:szCs w:val="22"/>
          <w:lang w:val="sk-SK"/>
        </w:rPr>
        <w:tab/>
        <w:t>FARMACEUTICKÉ INFORMÁCIE</w:t>
      </w:r>
    </w:p>
    <w:p w14:paraId="31065A49" w14:textId="77777777" w:rsidR="006C5930" w:rsidRPr="00555500" w:rsidRDefault="006C5930" w:rsidP="00555500">
      <w:pPr>
        <w:rPr>
          <w:b/>
          <w:sz w:val="22"/>
          <w:szCs w:val="22"/>
          <w:lang w:val="sk-SK"/>
        </w:rPr>
      </w:pPr>
    </w:p>
    <w:p w14:paraId="5BC2735E" w14:textId="77777777" w:rsidR="006C5930" w:rsidRPr="00555500" w:rsidRDefault="006C5930" w:rsidP="00555500">
      <w:pPr>
        <w:rPr>
          <w:b/>
          <w:sz w:val="22"/>
          <w:szCs w:val="22"/>
          <w:lang w:val="sk-SK"/>
        </w:rPr>
      </w:pPr>
      <w:r w:rsidRPr="00555500">
        <w:rPr>
          <w:b/>
          <w:sz w:val="22"/>
          <w:szCs w:val="22"/>
          <w:lang w:val="sk-SK"/>
        </w:rPr>
        <w:t xml:space="preserve">6.1 </w:t>
      </w:r>
      <w:r w:rsidRPr="00555500">
        <w:rPr>
          <w:b/>
          <w:sz w:val="22"/>
          <w:szCs w:val="22"/>
          <w:lang w:val="sk-SK"/>
        </w:rPr>
        <w:tab/>
        <w:t>Zoznam  pomocných látok</w:t>
      </w:r>
    </w:p>
    <w:p w14:paraId="4DD0B69D" w14:textId="77777777" w:rsidR="006C5930" w:rsidRPr="00555500" w:rsidRDefault="006C5930" w:rsidP="00555500">
      <w:pPr>
        <w:rPr>
          <w:sz w:val="22"/>
          <w:szCs w:val="22"/>
          <w:lang w:val="sk-SK"/>
        </w:rPr>
      </w:pPr>
    </w:p>
    <w:p w14:paraId="5AFA7A3A" w14:textId="77777777" w:rsidR="00920A43" w:rsidRDefault="002E23C9" w:rsidP="0055550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</w:t>
      </w:r>
      <w:r w:rsidR="00920A43">
        <w:rPr>
          <w:sz w:val="22"/>
          <w:szCs w:val="22"/>
          <w:lang w:val="sk-SK"/>
        </w:rPr>
        <w:t>enzoan sodný (E211)</w:t>
      </w:r>
    </w:p>
    <w:p w14:paraId="562FF110" w14:textId="77777777" w:rsidR="00920A43" w:rsidRDefault="00920A43" w:rsidP="0055550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kyselina citrónová</w:t>
      </w:r>
      <w:r w:rsidR="00E955C4">
        <w:rPr>
          <w:sz w:val="22"/>
          <w:szCs w:val="22"/>
          <w:lang w:val="sk-SK"/>
        </w:rPr>
        <w:t>,</w:t>
      </w:r>
      <w:r w:rsidR="00E955C4" w:rsidRPr="00E955C4">
        <w:rPr>
          <w:sz w:val="22"/>
          <w:szCs w:val="22"/>
          <w:lang w:val="sk-SK"/>
        </w:rPr>
        <w:t xml:space="preserve"> </w:t>
      </w:r>
      <w:r w:rsidR="00E955C4">
        <w:rPr>
          <w:sz w:val="22"/>
          <w:szCs w:val="22"/>
          <w:lang w:val="sk-SK"/>
        </w:rPr>
        <w:t>bezvodá</w:t>
      </w:r>
    </w:p>
    <w:p w14:paraId="083FE588" w14:textId="77777777" w:rsidR="00920A43" w:rsidRDefault="00A75A66" w:rsidP="00555500">
      <w:pPr>
        <w:rPr>
          <w:sz w:val="22"/>
          <w:szCs w:val="22"/>
          <w:lang w:val="sk-SK"/>
        </w:rPr>
      </w:pPr>
      <w:r w:rsidRPr="00CD01EB">
        <w:rPr>
          <w:sz w:val="22"/>
          <w:szCs w:val="22"/>
          <w:lang w:val="sk-SK"/>
        </w:rPr>
        <w:t>mal</w:t>
      </w:r>
      <w:r w:rsidR="00CD01EB" w:rsidRPr="00CD01EB">
        <w:rPr>
          <w:sz w:val="22"/>
          <w:szCs w:val="22"/>
          <w:lang w:val="sk-SK"/>
        </w:rPr>
        <w:t>t</w:t>
      </w:r>
      <w:r w:rsidRPr="00CD01EB">
        <w:rPr>
          <w:sz w:val="22"/>
          <w:szCs w:val="22"/>
          <w:lang w:val="sk-SK"/>
        </w:rPr>
        <w:t>ito</w:t>
      </w:r>
      <w:r w:rsidR="00920A43" w:rsidRPr="00CD01EB">
        <w:rPr>
          <w:sz w:val="22"/>
          <w:szCs w:val="22"/>
          <w:lang w:val="sk-SK"/>
        </w:rPr>
        <w:t>l</w:t>
      </w:r>
      <w:r w:rsidR="00E955C4">
        <w:rPr>
          <w:sz w:val="22"/>
          <w:szCs w:val="22"/>
          <w:lang w:val="sk-SK"/>
        </w:rPr>
        <w:t>,</w:t>
      </w:r>
      <w:r w:rsidR="00920A43" w:rsidRPr="00CD01EB">
        <w:rPr>
          <w:sz w:val="22"/>
          <w:szCs w:val="22"/>
          <w:lang w:val="sk-SK"/>
        </w:rPr>
        <w:t xml:space="preserve"> </w:t>
      </w:r>
      <w:r w:rsidR="00E955C4" w:rsidRPr="00CD01EB">
        <w:rPr>
          <w:sz w:val="22"/>
          <w:szCs w:val="22"/>
          <w:lang w:val="sk-SK"/>
        </w:rPr>
        <w:t xml:space="preserve">roztok </w:t>
      </w:r>
      <w:r w:rsidR="00920A43" w:rsidRPr="00CD01EB">
        <w:rPr>
          <w:sz w:val="22"/>
          <w:szCs w:val="22"/>
          <w:lang w:val="sk-SK"/>
        </w:rPr>
        <w:t>(E965)</w:t>
      </w:r>
    </w:p>
    <w:p w14:paraId="16554968" w14:textId="77777777" w:rsidR="00920A43" w:rsidRDefault="00920A43" w:rsidP="0055550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sacharín</w:t>
      </w:r>
      <w:r w:rsidR="00E955C4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</w:t>
      </w:r>
      <w:r w:rsidR="00E955C4">
        <w:rPr>
          <w:sz w:val="22"/>
          <w:szCs w:val="22"/>
          <w:lang w:val="sk-SK"/>
        </w:rPr>
        <w:t xml:space="preserve">sodná soľ </w:t>
      </w:r>
      <w:r>
        <w:rPr>
          <w:sz w:val="22"/>
          <w:szCs w:val="22"/>
          <w:lang w:val="sk-SK"/>
        </w:rPr>
        <w:t>(E954)</w:t>
      </w:r>
    </w:p>
    <w:p w14:paraId="60EDDAB2" w14:textId="77777777" w:rsidR="00920A43" w:rsidRDefault="00920A43" w:rsidP="0055550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propylénglykol</w:t>
      </w:r>
    </w:p>
    <w:p w14:paraId="1FEBB62F" w14:textId="77777777" w:rsidR="00920A43" w:rsidRDefault="00920A43" w:rsidP="0055550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jahodová aróma</w:t>
      </w:r>
    </w:p>
    <w:p w14:paraId="30B8E28C" w14:textId="77777777" w:rsidR="00920A43" w:rsidRDefault="00920A43" w:rsidP="00555500">
      <w:pPr>
        <w:rPr>
          <w:sz w:val="22"/>
          <w:szCs w:val="22"/>
          <w:lang w:val="sk-SK"/>
        </w:rPr>
      </w:pPr>
      <w:r w:rsidRPr="007419F4">
        <w:rPr>
          <w:sz w:val="22"/>
          <w:szCs w:val="22"/>
          <w:lang w:val="sk-SK"/>
        </w:rPr>
        <w:t>kontramarum aróma</w:t>
      </w:r>
    </w:p>
    <w:p w14:paraId="3FD7D48C" w14:textId="77777777" w:rsidR="00920A43" w:rsidRDefault="00920A43" w:rsidP="0055550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voda</w:t>
      </w:r>
      <w:r w:rsidR="00E955C4">
        <w:rPr>
          <w:sz w:val="22"/>
          <w:szCs w:val="22"/>
          <w:lang w:val="sk-SK"/>
        </w:rPr>
        <w:t>,</w:t>
      </w:r>
      <w:r w:rsidR="00E955C4" w:rsidRPr="00E955C4">
        <w:rPr>
          <w:sz w:val="22"/>
          <w:szCs w:val="22"/>
          <w:lang w:val="sk-SK"/>
        </w:rPr>
        <w:t xml:space="preserve"> </w:t>
      </w:r>
      <w:r w:rsidR="00E955C4">
        <w:rPr>
          <w:sz w:val="22"/>
          <w:szCs w:val="22"/>
          <w:lang w:val="sk-SK"/>
        </w:rPr>
        <w:t>čistená</w:t>
      </w:r>
    </w:p>
    <w:p w14:paraId="5601E7D5" w14:textId="77777777" w:rsidR="006C5930" w:rsidRPr="00555500" w:rsidRDefault="006C5930" w:rsidP="00555500">
      <w:pPr>
        <w:rPr>
          <w:b/>
          <w:sz w:val="22"/>
          <w:szCs w:val="22"/>
          <w:lang w:val="sk-SK"/>
        </w:rPr>
      </w:pPr>
    </w:p>
    <w:p w14:paraId="2227C294" w14:textId="77777777" w:rsidR="006C5930" w:rsidRPr="00555500" w:rsidRDefault="006C5930" w:rsidP="00555500">
      <w:pPr>
        <w:rPr>
          <w:b/>
          <w:sz w:val="22"/>
          <w:szCs w:val="22"/>
          <w:lang w:val="sk-SK"/>
        </w:rPr>
      </w:pPr>
      <w:r w:rsidRPr="00555500">
        <w:rPr>
          <w:b/>
          <w:sz w:val="22"/>
          <w:szCs w:val="22"/>
          <w:lang w:val="sk-SK"/>
        </w:rPr>
        <w:t xml:space="preserve">6.2 </w:t>
      </w:r>
      <w:r w:rsidRPr="00555500">
        <w:rPr>
          <w:b/>
          <w:sz w:val="22"/>
          <w:szCs w:val="22"/>
          <w:lang w:val="sk-SK"/>
        </w:rPr>
        <w:tab/>
        <w:t>Inkompatibility</w:t>
      </w:r>
    </w:p>
    <w:p w14:paraId="6A606654" w14:textId="77777777" w:rsidR="006C5930" w:rsidRPr="00555500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0F42980F" w14:textId="77777777" w:rsidR="006C5930" w:rsidRPr="00555500" w:rsidRDefault="00920A43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Neaplikovateľné.</w:t>
      </w:r>
    </w:p>
    <w:p w14:paraId="08D02E60" w14:textId="77777777" w:rsidR="006C5930" w:rsidRPr="0055550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358FD1D2" w14:textId="77777777" w:rsidR="006C5930" w:rsidRPr="0055550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555500">
        <w:rPr>
          <w:b/>
          <w:sz w:val="22"/>
          <w:szCs w:val="22"/>
          <w:lang w:val="sk-SK"/>
        </w:rPr>
        <w:t xml:space="preserve">6.3 </w:t>
      </w:r>
      <w:r w:rsidRPr="00555500">
        <w:rPr>
          <w:b/>
          <w:sz w:val="22"/>
          <w:szCs w:val="22"/>
          <w:lang w:val="sk-SK"/>
        </w:rPr>
        <w:tab/>
        <w:t>Čas použiteľnosti</w:t>
      </w:r>
    </w:p>
    <w:p w14:paraId="697140ED" w14:textId="77777777" w:rsidR="006C5930" w:rsidRPr="00555500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38D4A38F" w14:textId="77777777" w:rsidR="006C5930" w:rsidRPr="00555500" w:rsidRDefault="00920A43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3 roky</w:t>
      </w:r>
    </w:p>
    <w:p w14:paraId="50936829" w14:textId="77777777" w:rsidR="006C5930" w:rsidRPr="0055550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420FC41C" w14:textId="77777777" w:rsidR="006C5930" w:rsidRPr="0055550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555500">
        <w:rPr>
          <w:b/>
          <w:sz w:val="22"/>
          <w:szCs w:val="22"/>
          <w:lang w:val="sk-SK"/>
        </w:rPr>
        <w:t xml:space="preserve">6.4 </w:t>
      </w:r>
      <w:r w:rsidRPr="00555500">
        <w:rPr>
          <w:b/>
          <w:sz w:val="22"/>
          <w:szCs w:val="22"/>
          <w:lang w:val="sk-SK"/>
        </w:rPr>
        <w:tab/>
      </w:r>
      <w:r w:rsidRPr="00555500">
        <w:rPr>
          <w:b/>
          <w:noProof/>
          <w:sz w:val="22"/>
          <w:szCs w:val="22"/>
        </w:rPr>
        <w:t>Špeciálne upozornenia na uchovávanie</w:t>
      </w:r>
    </w:p>
    <w:p w14:paraId="71E3507E" w14:textId="77777777" w:rsidR="006C5930" w:rsidRPr="00555500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3893E850" w14:textId="77777777" w:rsidR="006C5930" w:rsidRDefault="00920A43" w:rsidP="00555500">
      <w:pPr>
        <w:pStyle w:val="Zkladntext"/>
        <w:spacing w:before="0"/>
        <w:jc w:val="left"/>
        <w:rPr>
          <w:noProof/>
          <w:sz w:val="22"/>
        </w:rPr>
      </w:pPr>
      <w:r>
        <w:rPr>
          <w:noProof/>
          <w:sz w:val="22"/>
        </w:rPr>
        <w:lastRenderedPageBreak/>
        <w:t>Tento liek nevyžaduje žiadne zvláštne podmienky na uchovávanie.</w:t>
      </w:r>
    </w:p>
    <w:p w14:paraId="1D440654" w14:textId="77777777" w:rsidR="00920A43" w:rsidRPr="004B5805" w:rsidRDefault="00920A43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55B38002" w14:textId="77777777" w:rsidR="006C5930" w:rsidRPr="004B5805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4B5805">
        <w:rPr>
          <w:b/>
          <w:sz w:val="22"/>
          <w:szCs w:val="22"/>
          <w:lang w:val="sk-SK"/>
        </w:rPr>
        <w:t xml:space="preserve">6.5  </w:t>
      </w:r>
      <w:r w:rsidRPr="004B5805">
        <w:rPr>
          <w:b/>
          <w:sz w:val="22"/>
          <w:szCs w:val="22"/>
          <w:lang w:val="sk-SK"/>
        </w:rPr>
        <w:tab/>
        <w:t>Druh obalu a obsah balenia</w:t>
      </w:r>
    </w:p>
    <w:p w14:paraId="6242AF1B" w14:textId="77777777" w:rsidR="006C5930" w:rsidRPr="004B5805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33448B9B" w14:textId="77777777" w:rsidR="00920A43" w:rsidRDefault="00920A43" w:rsidP="00555500">
      <w:pPr>
        <w:pStyle w:val="Zkladntext"/>
        <w:spacing w:before="0"/>
        <w:jc w:val="left"/>
        <w:rPr>
          <w:bCs/>
          <w:sz w:val="22"/>
          <w:szCs w:val="22"/>
          <w:shd w:val="clear" w:color="auto" w:fill="FFFFFF"/>
          <w:lang w:val="sk-SK"/>
        </w:rPr>
      </w:pPr>
      <w:r w:rsidRPr="004B5805">
        <w:rPr>
          <w:bCs/>
          <w:sz w:val="22"/>
          <w:szCs w:val="22"/>
          <w:shd w:val="clear" w:color="auto" w:fill="FFFFFF"/>
          <w:lang w:val="sk-SK"/>
        </w:rPr>
        <w:t>Polyetyléntereftalátová (PET) fľaša</w:t>
      </w:r>
      <w:r w:rsidR="004F3121">
        <w:rPr>
          <w:bCs/>
          <w:sz w:val="22"/>
          <w:szCs w:val="22"/>
          <w:shd w:val="clear" w:color="auto" w:fill="FFFFFF"/>
          <w:lang w:val="sk-SK"/>
        </w:rPr>
        <w:t xml:space="preserve"> jantárovej farb</w:t>
      </w:r>
      <w:r w:rsidR="002E23C9">
        <w:rPr>
          <w:bCs/>
          <w:sz w:val="22"/>
          <w:szCs w:val="22"/>
          <w:shd w:val="clear" w:color="auto" w:fill="FFFFFF"/>
          <w:lang w:val="sk-SK"/>
        </w:rPr>
        <w:t>y</w:t>
      </w:r>
      <w:r w:rsidRPr="004B5805">
        <w:rPr>
          <w:bCs/>
          <w:sz w:val="22"/>
          <w:szCs w:val="22"/>
          <w:shd w:val="clear" w:color="auto" w:fill="FFFFFF"/>
          <w:lang w:val="sk-SK"/>
        </w:rPr>
        <w:t xml:space="preserve"> s</w:t>
      </w:r>
      <w:r w:rsidR="004B5805">
        <w:rPr>
          <w:bCs/>
          <w:sz w:val="22"/>
          <w:szCs w:val="22"/>
          <w:shd w:val="clear" w:color="auto" w:fill="FFFFFF"/>
          <w:lang w:val="sk-SK"/>
        </w:rPr>
        <w:t> poistným krúžkom a bielym viečkom bezpečným pre deti z vysokotlakového polyetylénu (HDPE) obsahujúca 125 ml alebo 200 ml roztoku.</w:t>
      </w:r>
    </w:p>
    <w:p w14:paraId="67AC8941" w14:textId="77777777" w:rsidR="004B5805" w:rsidRDefault="004B5805" w:rsidP="004B5805">
      <w:pPr>
        <w:pStyle w:val="Zkladntext2"/>
        <w:jc w:val="left"/>
        <w:rPr>
          <w:sz w:val="22"/>
          <w:szCs w:val="22"/>
          <w:lang w:val="sk-SK"/>
        </w:rPr>
      </w:pPr>
      <w:r>
        <w:rPr>
          <w:bCs/>
          <w:sz w:val="22"/>
          <w:szCs w:val="22"/>
          <w:shd w:val="clear" w:color="auto" w:fill="FFFFFF"/>
          <w:lang w:val="sk-SK"/>
        </w:rPr>
        <w:t xml:space="preserve">Obsahuje polypropylénovú (PP) obojstrannú lyžičku s </w:t>
      </w:r>
      <w:r>
        <w:rPr>
          <w:sz w:val="22"/>
          <w:szCs w:val="22"/>
          <w:lang w:val="sk-SK"/>
        </w:rPr>
        <w:t>ryskami na odmeranie 1,25; 2,5 a 5 ml.</w:t>
      </w:r>
    </w:p>
    <w:p w14:paraId="611A7B8C" w14:textId="77777777" w:rsidR="004B5805" w:rsidRPr="004B5805" w:rsidRDefault="004B5805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50028A24" w14:textId="77777777" w:rsidR="006C5930" w:rsidRPr="004B5805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4B5805">
        <w:rPr>
          <w:b/>
          <w:sz w:val="22"/>
          <w:szCs w:val="22"/>
          <w:lang w:val="sk-SK"/>
        </w:rPr>
        <w:t xml:space="preserve">6.6 </w:t>
      </w:r>
      <w:r w:rsidRPr="004B5805">
        <w:rPr>
          <w:b/>
          <w:bCs/>
          <w:sz w:val="22"/>
          <w:szCs w:val="22"/>
          <w:lang w:val="sk-SK"/>
        </w:rPr>
        <w:t xml:space="preserve"> </w:t>
      </w:r>
      <w:r w:rsidRPr="004B5805">
        <w:rPr>
          <w:b/>
          <w:bCs/>
          <w:sz w:val="22"/>
          <w:szCs w:val="22"/>
          <w:lang w:val="sk-SK"/>
        </w:rPr>
        <w:tab/>
        <w:t xml:space="preserve">Špeciálne opatrenia na likvidáciu </w:t>
      </w:r>
      <w:r w:rsidRPr="004B5805">
        <w:rPr>
          <w:b/>
          <w:sz w:val="22"/>
          <w:szCs w:val="22"/>
          <w:lang w:val="sk-SK"/>
        </w:rPr>
        <w:t>a iné zaobchádzanie s liekom</w:t>
      </w:r>
    </w:p>
    <w:p w14:paraId="0C7A7095" w14:textId="77777777" w:rsidR="006C5930" w:rsidRPr="004B5805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503DAE03" w14:textId="77777777" w:rsidR="00B90867" w:rsidRDefault="00B90867" w:rsidP="00B90867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4B5805">
        <w:rPr>
          <w:sz w:val="22"/>
          <w:szCs w:val="22"/>
          <w:lang w:val="sk-SK"/>
        </w:rPr>
        <w:t>Všetok nepoužitý liek alebo odpad vzniknutý</w:t>
      </w:r>
      <w:r>
        <w:rPr>
          <w:noProof/>
          <w:sz w:val="22"/>
          <w:szCs w:val="22"/>
          <w:lang w:val="sk-SK"/>
        </w:rPr>
        <w:t xml:space="preserve"> z lieku sa má zlikvidovať v súlade s národnými požiadavkami.</w:t>
      </w:r>
    </w:p>
    <w:p w14:paraId="69499788" w14:textId="77777777" w:rsidR="006C593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47473291" w14:textId="77777777" w:rsidR="00B90867" w:rsidRPr="00555500" w:rsidRDefault="00B90867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116BCFAD" w14:textId="77777777" w:rsidR="006C5930" w:rsidRPr="0055550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555500">
        <w:rPr>
          <w:b/>
          <w:sz w:val="22"/>
          <w:szCs w:val="22"/>
          <w:lang w:val="sk-SK"/>
        </w:rPr>
        <w:t xml:space="preserve">7. </w:t>
      </w:r>
      <w:r w:rsidRPr="00555500">
        <w:rPr>
          <w:b/>
          <w:sz w:val="22"/>
          <w:szCs w:val="22"/>
          <w:lang w:val="sk-SK"/>
        </w:rPr>
        <w:tab/>
        <w:t>DRŽITEĽ  ROZHODNUTIA O REGISTRÁCII</w:t>
      </w:r>
    </w:p>
    <w:p w14:paraId="700AE202" w14:textId="77777777" w:rsidR="006C5930" w:rsidRPr="00555500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2326D0CE" w14:textId="77777777" w:rsidR="006C5930" w:rsidRPr="000457DB" w:rsidRDefault="00A86B81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0457DB">
        <w:rPr>
          <w:sz w:val="22"/>
          <w:szCs w:val="22"/>
          <w:lang w:val="sk-SK"/>
        </w:rPr>
        <w:t>NUTRA ESSENTIAL OTC, SL</w:t>
      </w:r>
    </w:p>
    <w:p w14:paraId="30B5C338" w14:textId="77777777" w:rsidR="00C9136E" w:rsidRDefault="00C9136E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Calle La Granja 1</w:t>
      </w:r>
    </w:p>
    <w:p w14:paraId="65F7E253" w14:textId="480F0B71" w:rsidR="00A86B81" w:rsidRPr="000457DB" w:rsidRDefault="00A86B81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0457DB">
        <w:rPr>
          <w:sz w:val="22"/>
          <w:szCs w:val="22"/>
          <w:lang w:val="sk-SK"/>
        </w:rPr>
        <w:t>28108 Alcobendas (Madrid)</w:t>
      </w:r>
    </w:p>
    <w:p w14:paraId="71B26736" w14:textId="77777777" w:rsidR="00A86B81" w:rsidRPr="000457DB" w:rsidRDefault="00A86B81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0457DB">
        <w:rPr>
          <w:sz w:val="22"/>
          <w:szCs w:val="22"/>
          <w:lang w:val="sk-SK"/>
        </w:rPr>
        <w:t>Španielsko</w:t>
      </w:r>
    </w:p>
    <w:p w14:paraId="642E7362" w14:textId="77777777" w:rsidR="00A86B81" w:rsidRPr="00555500" w:rsidRDefault="00A86B81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650D5EAD" w14:textId="77777777" w:rsidR="006C5930" w:rsidRPr="0055550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4CF5F826" w14:textId="77777777" w:rsidR="006C5930" w:rsidRPr="0055550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555500">
        <w:rPr>
          <w:b/>
          <w:sz w:val="22"/>
          <w:szCs w:val="22"/>
          <w:lang w:val="sk-SK"/>
        </w:rPr>
        <w:t xml:space="preserve">8. </w:t>
      </w:r>
      <w:r w:rsidRPr="00555500">
        <w:rPr>
          <w:b/>
          <w:sz w:val="22"/>
          <w:szCs w:val="22"/>
          <w:lang w:val="sk-SK"/>
        </w:rPr>
        <w:tab/>
        <w:t>REGISTRAČNÉ ČÍSLO</w:t>
      </w:r>
    </w:p>
    <w:p w14:paraId="133DB9D3" w14:textId="77777777" w:rsidR="006C5930" w:rsidRPr="00555500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420E9C55" w14:textId="77777777" w:rsidR="006C5930" w:rsidRDefault="000D7ED8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0D7ED8">
        <w:rPr>
          <w:sz w:val="22"/>
          <w:szCs w:val="22"/>
          <w:lang w:val="sk-SK"/>
        </w:rPr>
        <w:t>36/0077/16-S</w:t>
      </w:r>
    </w:p>
    <w:p w14:paraId="45904A10" w14:textId="77777777" w:rsidR="004B5805" w:rsidRPr="00555500" w:rsidRDefault="004B5805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4B7611D7" w14:textId="77777777" w:rsidR="006C5930" w:rsidRPr="0055550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0B9750A2" w14:textId="77777777" w:rsidR="006C5930" w:rsidRPr="0055550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555500">
        <w:rPr>
          <w:b/>
          <w:sz w:val="22"/>
          <w:szCs w:val="22"/>
          <w:lang w:val="sk-SK"/>
        </w:rPr>
        <w:t xml:space="preserve">9. </w:t>
      </w:r>
      <w:r w:rsidRPr="00555500">
        <w:rPr>
          <w:b/>
          <w:sz w:val="22"/>
          <w:szCs w:val="22"/>
          <w:lang w:val="sk-SK"/>
        </w:rPr>
        <w:tab/>
        <w:t>DÁTUM PRVEJ REGISTRÁCIE/PREDĹŽENIA REGISTRÁCIE</w:t>
      </w:r>
    </w:p>
    <w:p w14:paraId="46FCFD11" w14:textId="77777777" w:rsidR="006C5930" w:rsidRPr="00555500" w:rsidRDefault="006C5930" w:rsidP="00555500">
      <w:pPr>
        <w:pStyle w:val="Zkladntext"/>
        <w:spacing w:before="0"/>
        <w:jc w:val="left"/>
        <w:rPr>
          <w:bCs/>
          <w:sz w:val="22"/>
          <w:szCs w:val="22"/>
          <w:lang w:val="sk-SK"/>
        </w:rPr>
      </w:pPr>
    </w:p>
    <w:p w14:paraId="72854113" w14:textId="77777777" w:rsidR="006C5930" w:rsidRPr="00555500" w:rsidRDefault="006C5930" w:rsidP="00555500">
      <w:pPr>
        <w:pStyle w:val="Zkladntext"/>
        <w:spacing w:before="0"/>
        <w:jc w:val="left"/>
        <w:rPr>
          <w:bCs/>
          <w:sz w:val="22"/>
          <w:szCs w:val="22"/>
          <w:lang w:val="sk-SK"/>
        </w:rPr>
      </w:pPr>
      <w:r w:rsidRPr="00555500">
        <w:rPr>
          <w:bCs/>
          <w:sz w:val="22"/>
          <w:szCs w:val="22"/>
          <w:lang w:val="sk-SK"/>
        </w:rPr>
        <w:t xml:space="preserve">Dátum prvej registrácie: </w:t>
      </w:r>
      <w:r w:rsidR="00CD01EB">
        <w:rPr>
          <w:bCs/>
          <w:sz w:val="22"/>
          <w:szCs w:val="22"/>
          <w:lang w:val="sk-SK"/>
        </w:rPr>
        <w:t>10. februára 2016</w:t>
      </w:r>
    </w:p>
    <w:p w14:paraId="7D1E762D" w14:textId="77777777" w:rsidR="006C5930" w:rsidRPr="00555500" w:rsidRDefault="006C5930" w:rsidP="00555500">
      <w:pPr>
        <w:pStyle w:val="Zkladntext"/>
        <w:spacing w:before="0"/>
        <w:jc w:val="left"/>
        <w:rPr>
          <w:bCs/>
          <w:sz w:val="22"/>
          <w:szCs w:val="22"/>
          <w:lang w:val="sk-SK"/>
        </w:rPr>
      </w:pPr>
    </w:p>
    <w:p w14:paraId="14A89B5B" w14:textId="77777777" w:rsidR="006C5930" w:rsidRPr="0055550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235CA10A" w14:textId="77777777" w:rsidR="006C5930" w:rsidRDefault="006C5930" w:rsidP="004B5805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555500">
        <w:rPr>
          <w:b/>
          <w:sz w:val="22"/>
          <w:szCs w:val="22"/>
          <w:lang w:val="sk-SK"/>
        </w:rPr>
        <w:t xml:space="preserve">10. </w:t>
      </w:r>
      <w:r w:rsidRPr="00555500">
        <w:rPr>
          <w:b/>
          <w:sz w:val="22"/>
          <w:szCs w:val="22"/>
          <w:lang w:val="sk-SK"/>
        </w:rPr>
        <w:tab/>
        <w:t xml:space="preserve">DÁTUM  REVÍZIE  TEXTU </w:t>
      </w:r>
    </w:p>
    <w:p w14:paraId="339AD234" w14:textId="77777777" w:rsidR="007419F4" w:rsidRDefault="007419F4" w:rsidP="004B5805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557ED900" w14:textId="77777777" w:rsidR="00EF5442" w:rsidRPr="000457DB" w:rsidRDefault="00EF5442" w:rsidP="004B5805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0457DB">
        <w:rPr>
          <w:sz w:val="22"/>
          <w:szCs w:val="22"/>
          <w:lang w:val="sk-SK"/>
        </w:rPr>
        <w:t>Február 2020</w:t>
      </w:r>
    </w:p>
    <w:p w14:paraId="7E57B31B" w14:textId="1FE06DE9" w:rsidR="007419F4" w:rsidRPr="00883CFA" w:rsidRDefault="007419F4">
      <w:pPr>
        <w:pStyle w:val="Zkladntext"/>
        <w:spacing w:before="0"/>
        <w:jc w:val="left"/>
        <w:rPr>
          <w:sz w:val="22"/>
          <w:szCs w:val="22"/>
          <w:lang w:val="sk-SK"/>
        </w:rPr>
      </w:pPr>
    </w:p>
    <w:sectPr w:rsidR="007419F4" w:rsidRPr="00883CFA" w:rsidSect="000457D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A802D" w14:textId="77777777" w:rsidR="007B77CE" w:rsidRDefault="007B77CE">
      <w:r>
        <w:separator/>
      </w:r>
    </w:p>
  </w:endnote>
  <w:endnote w:type="continuationSeparator" w:id="0">
    <w:p w14:paraId="19807ACC" w14:textId="77777777" w:rsidR="007B77CE" w:rsidRDefault="007B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F9E30" w14:textId="77777777" w:rsidR="006C5930" w:rsidRDefault="006C593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8646AE9" w14:textId="77777777" w:rsidR="006C5930" w:rsidRDefault="006C593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ABFE9" w14:textId="77777777" w:rsidR="006C5930" w:rsidRPr="005608B7" w:rsidRDefault="006C5930">
    <w:pPr>
      <w:pStyle w:val="Pta"/>
      <w:jc w:val="center"/>
      <w:rPr>
        <w:sz w:val="18"/>
        <w:szCs w:val="18"/>
      </w:rPr>
    </w:pPr>
    <w:r w:rsidRPr="00DC7D56">
      <w:rPr>
        <w:rStyle w:val="slostrany"/>
        <w:sz w:val="18"/>
        <w:szCs w:val="18"/>
      </w:rPr>
      <w:fldChar w:fldCharType="begin"/>
    </w:r>
    <w:r w:rsidRPr="005608B7">
      <w:rPr>
        <w:rStyle w:val="slostrany"/>
        <w:sz w:val="18"/>
        <w:szCs w:val="18"/>
      </w:rPr>
      <w:instrText xml:space="preserve"> PAGE </w:instrText>
    </w:r>
    <w:r w:rsidRPr="00DC7D56">
      <w:rPr>
        <w:rStyle w:val="slostrany"/>
        <w:sz w:val="18"/>
        <w:szCs w:val="18"/>
      </w:rPr>
      <w:fldChar w:fldCharType="separate"/>
    </w:r>
    <w:r w:rsidR="000457DB">
      <w:rPr>
        <w:rStyle w:val="slostrany"/>
        <w:noProof/>
        <w:sz w:val="18"/>
        <w:szCs w:val="18"/>
      </w:rPr>
      <w:t>6</w:t>
    </w:r>
    <w:r w:rsidRPr="00DC7D56">
      <w:rPr>
        <w:rStyle w:val="slostra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A46F8" w14:textId="77777777" w:rsidR="00003022" w:rsidRPr="00003022" w:rsidRDefault="00003022">
    <w:pPr>
      <w:pStyle w:val="Pta"/>
      <w:jc w:val="center"/>
      <w:rPr>
        <w:sz w:val="18"/>
        <w:szCs w:val="18"/>
      </w:rPr>
    </w:pPr>
    <w:r w:rsidRPr="00003022">
      <w:rPr>
        <w:sz w:val="18"/>
        <w:szCs w:val="18"/>
      </w:rPr>
      <w:fldChar w:fldCharType="begin"/>
    </w:r>
    <w:r w:rsidRPr="00003022">
      <w:rPr>
        <w:sz w:val="18"/>
        <w:szCs w:val="18"/>
      </w:rPr>
      <w:instrText>PAGE   \* MERGEFORMAT</w:instrText>
    </w:r>
    <w:r w:rsidRPr="00003022">
      <w:rPr>
        <w:sz w:val="18"/>
        <w:szCs w:val="18"/>
      </w:rPr>
      <w:fldChar w:fldCharType="separate"/>
    </w:r>
    <w:r w:rsidR="00A86B81" w:rsidRPr="00A86B81">
      <w:rPr>
        <w:noProof/>
        <w:sz w:val="18"/>
        <w:szCs w:val="18"/>
        <w:lang w:val="sk-SK"/>
      </w:rPr>
      <w:t>1</w:t>
    </w:r>
    <w:r w:rsidRPr="00003022">
      <w:rPr>
        <w:sz w:val="18"/>
        <w:szCs w:val="18"/>
      </w:rPr>
      <w:fldChar w:fldCharType="end"/>
    </w:r>
  </w:p>
  <w:p w14:paraId="7F418017" w14:textId="77777777" w:rsidR="00003022" w:rsidRDefault="0000302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07C21" w14:textId="77777777" w:rsidR="007B77CE" w:rsidRDefault="007B77CE">
      <w:r>
        <w:separator/>
      </w:r>
    </w:p>
  </w:footnote>
  <w:footnote w:type="continuationSeparator" w:id="0">
    <w:p w14:paraId="75095DF5" w14:textId="77777777" w:rsidR="007B77CE" w:rsidRDefault="007B7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99D25" w14:textId="77777777" w:rsidR="00CA617B" w:rsidRPr="000457DB" w:rsidRDefault="00A86B81">
    <w:pPr>
      <w:pStyle w:val="Hlavika"/>
      <w:rPr>
        <w:sz w:val="18"/>
        <w:szCs w:val="18"/>
        <w:lang w:val="sk-SK"/>
      </w:rPr>
    </w:pPr>
    <w:r w:rsidRPr="000457DB">
      <w:rPr>
        <w:sz w:val="18"/>
        <w:szCs w:val="18"/>
        <w:lang w:val="sk-SK"/>
      </w:rPr>
      <w:t>Schválený text k rozhodnutiu o</w:t>
    </w:r>
    <w:r>
      <w:rPr>
        <w:sz w:val="18"/>
        <w:szCs w:val="18"/>
        <w:lang w:val="sk-SK"/>
      </w:rPr>
      <w:t> </w:t>
    </w:r>
    <w:r w:rsidRPr="000457DB">
      <w:rPr>
        <w:sz w:val="18"/>
        <w:szCs w:val="18"/>
        <w:lang w:val="sk-SK"/>
      </w:rPr>
      <w:t>prev</w:t>
    </w:r>
    <w:r>
      <w:rPr>
        <w:sz w:val="18"/>
        <w:szCs w:val="18"/>
        <w:lang w:val="sk-SK"/>
      </w:rPr>
      <w:t xml:space="preserve">ode, ev. č.: </w:t>
    </w:r>
    <w:r w:rsidR="006D26D0">
      <w:rPr>
        <w:sz w:val="18"/>
        <w:szCs w:val="18"/>
        <w:lang w:val="sk-SK"/>
      </w:rPr>
      <w:t>2020/00110-TR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0D85F" w14:textId="77777777" w:rsidR="00861950" w:rsidRDefault="00861950">
    <w:pPr>
      <w:pStyle w:val="Hlavika"/>
      <w:rPr>
        <w:sz w:val="18"/>
        <w:szCs w:val="18"/>
        <w:lang w:val="sk-SK"/>
      </w:rPr>
    </w:pPr>
  </w:p>
  <w:p w14:paraId="00D9A090" w14:textId="77777777" w:rsidR="00CA617B" w:rsidRPr="00491FD5" w:rsidRDefault="00492556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1 k notifikácii o zmene, ev. č.: 2016/0</w:t>
    </w:r>
    <w:r w:rsidR="00B03F6B">
      <w:rPr>
        <w:sz w:val="18"/>
        <w:szCs w:val="18"/>
        <w:lang w:val="sk-SK"/>
      </w:rPr>
      <w:t>5536-Z1B</w:t>
    </w:r>
    <w:r w:rsidR="00550470">
      <w:rPr>
        <w:sz w:val="18"/>
        <w:szCs w:val="18"/>
        <w:lang w:val="sk-SK"/>
      </w:rPr>
      <w:t xml:space="preserve">, </w:t>
    </w:r>
    <w:r w:rsidR="00CA617B">
      <w:rPr>
        <w:sz w:val="18"/>
        <w:szCs w:val="18"/>
        <w:lang w:val="sk-SK"/>
      </w:rPr>
      <w:t>2018/0</w:t>
    </w:r>
    <w:r w:rsidR="00814A12">
      <w:rPr>
        <w:sz w:val="18"/>
        <w:szCs w:val="18"/>
        <w:lang w:val="sk-SK"/>
      </w:rPr>
      <w:t>3086-Z1B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2C6D01"/>
    <w:multiLevelType w:val="multilevel"/>
    <w:tmpl w:val="F9582E6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cs="Times New Roman" w:hint="default"/>
      </w:rPr>
    </w:lvl>
  </w:abstractNum>
  <w:abstractNum w:abstractNumId="2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1755C02"/>
    <w:multiLevelType w:val="multilevel"/>
    <w:tmpl w:val="EB384DA2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cs="Times New Roman" w:hint="default"/>
        <w:b/>
      </w:rPr>
    </w:lvl>
  </w:abstractNum>
  <w:abstractNum w:abstractNumId="4" w15:restartNumberingAfterBreak="0">
    <w:nsid w:val="15E05F6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E584E33"/>
    <w:multiLevelType w:val="hybridMultilevel"/>
    <w:tmpl w:val="C278169E"/>
    <w:lvl w:ilvl="0" w:tplc="39A86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1D7C94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E2C11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B4E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0AB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C4DD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5C41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021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A14FC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5913A1"/>
    <w:multiLevelType w:val="singleLevel"/>
    <w:tmpl w:val="2A1864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6644897"/>
    <w:multiLevelType w:val="hybridMultilevel"/>
    <w:tmpl w:val="122A336E"/>
    <w:lvl w:ilvl="0" w:tplc="FB1040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86076"/>
    <w:multiLevelType w:val="hybridMultilevel"/>
    <w:tmpl w:val="4EBE4014"/>
    <w:lvl w:ilvl="0" w:tplc="D9B8F5EA">
      <w:start w:val="1"/>
      <w:numFmt w:val="decimal"/>
      <w:lvlText w:val="%1."/>
      <w:lvlJc w:val="left"/>
      <w:pPr>
        <w:tabs>
          <w:tab w:val="num" w:pos="-210"/>
        </w:tabs>
        <w:ind w:left="-210" w:hanging="360"/>
      </w:pPr>
      <w:rPr>
        <w:rFonts w:cs="Times New Roman" w:hint="default"/>
      </w:rPr>
    </w:lvl>
    <w:lvl w:ilvl="1" w:tplc="B3820444" w:tentative="1">
      <w:start w:val="1"/>
      <w:numFmt w:val="lowerLetter"/>
      <w:lvlText w:val="%2."/>
      <w:lvlJc w:val="left"/>
      <w:pPr>
        <w:tabs>
          <w:tab w:val="num" w:pos="510"/>
        </w:tabs>
        <w:ind w:left="510" w:hanging="360"/>
      </w:pPr>
      <w:rPr>
        <w:rFonts w:cs="Times New Roman"/>
      </w:rPr>
    </w:lvl>
    <w:lvl w:ilvl="2" w:tplc="0C76599E" w:tentative="1">
      <w:start w:val="1"/>
      <w:numFmt w:val="lowerRoman"/>
      <w:lvlText w:val="%3."/>
      <w:lvlJc w:val="right"/>
      <w:pPr>
        <w:tabs>
          <w:tab w:val="num" w:pos="1230"/>
        </w:tabs>
        <w:ind w:left="1230" w:hanging="180"/>
      </w:pPr>
      <w:rPr>
        <w:rFonts w:cs="Times New Roman"/>
      </w:rPr>
    </w:lvl>
    <w:lvl w:ilvl="3" w:tplc="729424A0" w:tentative="1">
      <w:start w:val="1"/>
      <w:numFmt w:val="decimal"/>
      <w:lvlText w:val="%4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4" w:tplc="7DF6D86C" w:tentative="1">
      <w:start w:val="1"/>
      <w:numFmt w:val="lowerLetter"/>
      <w:lvlText w:val="%5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5" w:tplc="422265A4" w:tentative="1">
      <w:start w:val="1"/>
      <w:numFmt w:val="lowerRoman"/>
      <w:lvlText w:val="%6."/>
      <w:lvlJc w:val="right"/>
      <w:pPr>
        <w:tabs>
          <w:tab w:val="num" w:pos="3390"/>
        </w:tabs>
        <w:ind w:left="3390" w:hanging="180"/>
      </w:pPr>
      <w:rPr>
        <w:rFonts w:cs="Times New Roman"/>
      </w:rPr>
    </w:lvl>
    <w:lvl w:ilvl="6" w:tplc="B74C8276" w:tentative="1">
      <w:start w:val="1"/>
      <w:numFmt w:val="decimal"/>
      <w:lvlText w:val="%7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7" w:tplc="807EDBE6" w:tentative="1">
      <w:start w:val="1"/>
      <w:numFmt w:val="lowerLetter"/>
      <w:lvlText w:val="%8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8" w:tplc="A4D62AB6" w:tentative="1">
      <w:start w:val="1"/>
      <w:numFmt w:val="lowerRoman"/>
      <w:lvlText w:val="%9."/>
      <w:lvlJc w:val="right"/>
      <w:pPr>
        <w:tabs>
          <w:tab w:val="num" w:pos="5550"/>
        </w:tabs>
        <w:ind w:left="5550" w:hanging="180"/>
      </w:pPr>
      <w:rPr>
        <w:rFonts w:cs="Times New Roman"/>
      </w:rPr>
    </w:lvl>
  </w:abstractNum>
  <w:abstractNum w:abstractNumId="9" w15:restartNumberingAfterBreak="0">
    <w:nsid w:val="498A779A"/>
    <w:multiLevelType w:val="singleLevel"/>
    <w:tmpl w:val="A6881C26"/>
    <w:lvl w:ilvl="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EC515DA"/>
    <w:multiLevelType w:val="hybridMultilevel"/>
    <w:tmpl w:val="B0A08988"/>
    <w:lvl w:ilvl="0" w:tplc="ACA6F144">
      <w:start w:val="2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cs="Times New Roman" w:hint="default"/>
        <w:b/>
      </w:rPr>
    </w:lvl>
    <w:lvl w:ilvl="1" w:tplc="672A37BE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D0281B34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  <w:rPr>
        <w:rFonts w:cs="Times New Roman"/>
      </w:rPr>
    </w:lvl>
    <w:lvl w:ilvl="3" w:tplc="017C7482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4" w:tplc="02920822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5" w:tplc="745668AA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6" w:tplc="B7189AB0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7" w:tplc="EEA4D19A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8" w:tplc="9D5C6BF8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  <w:rPr>
        <w:rFonts w:cs="Times New Roman"/>
      </w:rPr>
    </w:lvl>
  </w:abstractNum>
  <w:abstractNum w:abstractNumId="11" w15:restartNumberingAfterBreak="0">
    <w:nsid w:val="50936A18"/>
    <w:multiLevelType w:val="multilevel"/>
    <w:tmpl w:val="C67C350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2E44CBA"/>
    <w:multiLevelType w:val="multilevel"/>
    <w:tmpl w:val="6D10593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3" w15:restartNumberingAfterBreak="0">
    <w:nsid w:val="605724DC"/>
    <w:multiLevelType w:val="multilevel"/>
    <w:tmpl w:val="98800C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4" w15:restartNumberingAfterBreak="0">
    <w:nsid w:val="66010A6F"/>
    <w:multiLevelType w:val="multilevel"/>
    <w:tmpl w:val="FC4C757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cs="Times New Roman" w:hint="default"/>
        <w:b/>
      </w:rPr>
    </w:lvl>
  </w:abstractNum>
  <w:abstractNum w:abstractNumId="15" w15:restartNumberingAfterBreak="0">
    <w:nsid w:val="7BFA7DD7"/>
    <w:multiLevelType w:val="singleLevel"/>
    <w:tmpl w:val="C8CCE0C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9"/>
  </w:num>
  <w:num w:numId="5">
    <w:abstractNumId w:val="6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8"/>
  </w:num>
  <w:num w:numId="8">
    <w:abstractNumId w:val="5"/>
  </w:num>
  <w:num w:numId="9">
    <w:abstractNumId w:val="10"/>
  </w:num>
  <w:num w:numId="10">
    <w:abstractNumId w:val="14"/>
  </w:num>
  <w:num w:numId="11">
    <w:abstractNumId w:val="1"/>
  </w:num>
  <w:num w:numId="12">
    <w:abstractNumId w:val="3"/>
  </w:num>
  <w:num w:numId="13">
    <w:abstractNumId w:val="12"/>
  </w:num>
  <w:num w:numId="14">
    <w:abstractNumId w:val="13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DE8"/>
    <w:rsid w:val="00000D64"/>
    <w:rsid w:val="00003022"/>
    <w:rsid w:val="00006CF5"/>
    <w:rsid w:val="0001493C"/>
    <w:rsid w:val="00024F68"/>
    <w:rsid w:val="000302F3"/>
    <w:rsid w:val="00033583"/>
    <w:rsid w:val="000400C7"/>
    <w:rsid w:val="00044F49"/>
    <w:rsid w:val="000457DB"/>
    <w:rsid w:val="00076D30"/>
    <w:rsid w:val="000D24AA"/>
    <w:rsid w:val="000D7ED8"/>
    <w:rsid w:val="000E35EE"/>
    <w:rsid w:val="000E558D"/>
    <w:rsid w:val="001157C0"/>
    <w:rsid w:val="00125359"/>
    <w:rsid w:val="00134F3B"/>
    <w:rsid w:val="001375E9"/>
    <w:rsid w:val="001515C2"/>
    <w:rsid w:val="00154E02"/>
    <w:rsid w:val="00155E9E"/>
    <w:rsid w:val="00165857"/>
    <w:rsid w:val="001B4F22"/>
    <w:rsid w:val="001D78A4"/>
    <w:rsid w:val="001E4072"/>
    <w:rsid w:val="001F18BA"/>
    <w:rsid w:val="001F5AEC"/>
    <w:rsid w:val="00210E1F"/>
    <w:rsid w:val="0021174D"/>
    <w:rsid w:val="00212ADD"/>
    <w:rsid w:val="00214BD8"/>
    <w:rsid w:val="002153FD"/>
    <w:rsid w:val="00216DB5"/>
    <w:rsid w:val="00240166"/>
    <w:rsid w:val="00245F24"/>
    <w:rsid w:val="00261042"/>
    <w:rsid w:val="00265ED0"/>
    <w:rsid w:val="00266814"/>
    <w:rsid w:val="002A694F"/>
    <w:rsid w:val="002B60D7"/>
    <w:rsid w:val="002D78F8"/>
    <w:rsid w:val="002E23C9"/>
    <w:rsid w:val="002E4DF5"/>
    <w:rsid w:val="002E7978"/>
    <w:rsid w:val="002F2D40"/>
    <w:rsid w:val="00327682"/>
    <w:rsid w:val="00347E33"/>
    <w:rsid w:val="00372D70"/>
    <w:rsid w:val="00376016"/>
    <w:rsid w:val="00391405"/>
    <w:rsid w:val="00394969"/>
    <w:rsid w:val="00394CC1"/>
    <w:rsid w:val="003A68F9"/>
    <w:rsid w:val="003C4B1A"/>
    <w:rsid w:val="003C777C"/>
    <w:rsid w:val="003F3C8C"/>
    <w:rsid w:val="00402FC1"/>
    <w:rsid w:val="0042534A"/>
    <w:rsid w:val="0043714A"/>
    <w:rsid w:val="00437E14"/>
    <w:rsid w:val="004502E3"/>
    <w:rsid w:val="004664A8"/>
    <w:rsid w:val="00491FD5"/>
    <w:rsid w:val="00492556"/>
    <w:rsid w:val="00496A3F"/>
    <w:rsid w:val="00497DD5"/>
    <w:rsid w:val="004B5805"/>
    <w:rsid w:val="004C18CF"/>
    <w:rsid w:val="004C3DB7"/>
    <w:rsid w:val="004D0AF4"/>
    <w:rsid w:val="004E2D0D"/>
    <w:rsid w:val="004F3121"/>
    <w:rsid w:val="00504CC9"/>
    <w:rsid w:val="00513F3C"/>
    <w:rsid w:val="00525657"/>
    <w:rsid w:val="005407D8"/>
    <w:rsid w:val="0054682E"/>
    <w:rsid w:val="00550470"/>
    <w:rsid w:val="00553E6A"/>
    <w:rsid w:val="00555500"/>
    <w:rsid w:val="005608B7"/>
    <w:rsid w:val="00560BED"/>
    <w:rsid w:val="005A7A35"/>
    <w:rsid w:val="005B042D"/>
    <w:rsid w:val="00605230"/>
    <w:rsid w:val="00605CD3"/>
    <w:rsid w:val="00623103"/>
    <w:rsid w:val="00626B3F"/>
    <w:rsid w:val="00630F9F"/>
    <w:rsid w:val="00635087"/>
    <w:rsid w:val="00667B1E"/>
    <w:rsid w:val="00677D61"/>
    <w:rsid w:val="0068558B"/>
    <w:rsid w:val="006A5B82"/>
    <w:rsid w:val="006B6DB1"/>
    <w:rsid w:val="006C0137"/>
    <w:rsid w:val="006C5930"/>
    <w:rsid w:val="006D19BF"/>
    <w:rsid w:val="006D26D0"/>
    <w:rsid w:val="006D7A00"/>
    <w:rsid w:val="006E570A"/>
    <w:rsid w:val="006E7669"/>
    <w:rsid w:val="006F6C19"/>
    <w:rsid w:val="007246FD"/>
    <w:rsid w:val="007419F4"/>
    <w:rsid w:val="0075271A"/>
    <w:rsid w:val="00754E26"/>
    <w:rsid w:val="00762DE8"/>
    <w:rsid w:val="00785332"/>
    <w:rsid w:val="00794A6A"/>
    <w:rsid w:val="007A385F"/>
    <w:rsid w:val="007A6D3F"/>
    <w:rsid w:val="007B77CE"/>
    <w:rsid w:val="007B7DDF"/>
    <w:rsid w:val="007C3D01"/>
    <w:rsid w:val="007F263B"/>
    <w:rsid w:val="00800410"/>
    <w:rsid w:val="00810485"/>
    <w:rsid w:val="00814A12"/>
    <w:rsid w:val="0081697A"/>
    <w:rsid w:val="00834EA4"/>
    <w:rsid w:val="00851261"/>
    <w:rsid w:val="008520A9"/>
    <w:rsid w:val="0086067F"/>
    <w:rsid w:val="00861950"/>
    <w:rsid w:val="00883CFA"/>
    <w:rsid w:val="00892F9F"/>
    <w:rsid w:val="00893FF6"/>
    <w:rsid w:val="00896521"/>
    <w:rsid w:val="008A51B0"/>
    <w:rsid w:val="008B0163"/>
    <w:rsid w:val="008D13D8"/>
    <w:rsid w:val="008D7F09"/>
    <w:rsid w:val="008E5290"/>
    <w:rsid w:val="0090187F"/>
    <w:rsid w:val="00902892"/>
    <w:rsid w:val="00915C75"/>
    <w:rsid w:val="00920A43"/>
    <w:rsid w:val="00921E45"/>
    <w:rsid w:val="0092304F"/>
    <w:rsid w:val="00931026"/>
    <w:rsid w:val="00935862"/>
    <w:rsid w:val="00946C23"/>
    <w:rsid w:val="00950AE4"/>
    <w:rsid w:val="009679A2"/>
    <w:rsid w:val="00970CC8"/>
    <w:rsid w:val="009829E8"/>
    <w:rsid w:val="00993336"/>
    <w:rsid w:val="0099596D"/>
    <w:rsid w:val="00996C1C"/>
    <w:rsid w:val="009A313D"/>
    <w:rsid w:val="009B20C5"/>
    <w:rsid w:val="009B749C"/>
    <w:rsid w:val="009C0C52"/>
    <w:rsid w:val="009D483A"/>
    <w:rsid w:val="009D520F"/>
    <w:rsid w:val="009E203A"/>
    <w:rsid w:val="009E4683"/>
    <w:rsid w:val="00A05D01"/>
    <w:rsid w:val="00A252F1"/>
    <w:rsid w:val="00A26202"/>
    <w:rsid w:val="00A43E47"/>
    <w:rsid w:val="00A463D3"/>
    <w:rsid w:val="00A75A66"/>
    <w:rsid w:val="00A86B81"/>
    <w:rsid w:val="00AB52D7"/>
    <w:rsid w:val="00AB6905"/>
    <w:rsid w:val="00AC1D9C"/>
    <w:rsid w:val="00AC2ECC"/>
    <w:rsid w:val="00AE0D34"/>
    <w:rsid w:val="00AE19B2"/>
    <w:rsid w:val="00B02B2B"/>
    <w:rsid w:val="00B03F6B"/>
    <w:rsid w:val="00B1293F"/>
    <w:rsid w:val="00B17E70"/>
    <w:rsid w:val="00B26EBA"/>
    <w:rsid w:val="00B43A68"/>
    <w:rsid w:val="00B51490"/>
    <w:rsid w:val="00B61F8E"/>
    <w:rsid w:val="00B66557"/>
    <w:rsid w:val="00B703E1"/>
    <w:rsid w:val="00B90867"/>
    <w:rsid w:val="00B91709"/>
    <w:rsid w:val="00BA5418"/>
    <w:rsid w:val="00BC05A0"/>
    <w:rsid w:val="00BC4412"/>
    <w:rsid w:val="00BC5BC1"/>
    <w:rsid w:val="00BD63A3"/>
    <w:rsid w:val="00BE0C3B"/>
    <w:rsid w:val="00C1690A"/>
    <w:rsid w:val="00C41FA2"/>
    <w:rsid w:val="00C535CA"/>
    <w:rsid w:val="00C70A33"/>
    <w:rsid w:val="00C7243D"/>
    <w:rsid w:val="00C9136E"/>
    <w:rsid w:val="00CA617B"/>
    <w:rsid w:val="00CA6CF9"/>
    <w:rsid w:val="00CC4C6F"/>
    <w:rsid w:val="00CD01EB"/>
    <w:rsid w:val="00CD25D0"/>
    <w:rsid w:val="00CD623C"/>
    <w:rsid w:val="00CF0856"/>
    <w:rsid w:val="00CF244D"/>
    <w:rsid w:val="00D05584"/>
    <w:rsid w:val="00D10012"/>
    <w:rsid w:val="00D25CAC"/>
    <w:rsid w:val="00D26E88"/>
    <w:rsid w:val="00D2782E"/>
    <w:rsid w:val="00D41AA2"/>
    <w:rsid w:val="00D445D1"/>
    <w:rsid w:val="00D55236"/>
    <w:rsid w:val="00D557D3"/>
    <w:rsid w:val="00D6362D"/>
    <w:rsid w:val="00D759AB"/>
    <w:rsid w:val="00D87D3D"/>
    <w:rsid w:val="00D968EF"/>
    <w:rsid w:val="00DC2587"/>
    <w:rsid w:val="00DC7D56"/>
    <w:rsid w:val="00DD7BAD"/>
    <w:rsid w:val="00DE1B39"/>
    <w:rsid w:val="00DE23AC"/>
    <w:rsid w:val="00DE34DC"/>
    <w:rsid w:val="00DF7131"/>
    <w:rsid w:val="00E01FEB"/>
    <w:rsid w:val="00E071DF"/>
    <w:rsid w:val="00E11F59"/>
    <w:rsid w:val="00E12276"/>
    <w:rsid w:val="00E12AF1"/>
    <w:rsid w:val="00E15778"/>
    <w:rsid w:val="00E338CB"/>
    <w:rsid w:val="00E426D5"/>
    <w:rsid w:val="00E44A13"/>
    <w:rsid w:val="00E53B35"/>
    <w:rsid w:val="00E710ED"/>
    <w:rsid w:val="00E815B5"/>
    <w:rsid w:val="00E8671F"/>
    <w:rsid w:val="00E879C0"/>
    <w:rsid w:val="00E955C4"/>
    <w:rsid w:val="00EA1965"/>
    <w:rsid w:val="00EA76F0"/>
    <w:rsid w:val="00EB718B"/>
    <w:rsid w:val="00EC44BB"/>
    <w:rsid w:val="00ED149D"/>
    <w:rsid w:val="00EE3EA1"/>
    <w:rsid w:val="00EE7F6E"/>
    <w:rsid w:val="00EF5442"/>
    <w:rsid w:val="00F04A7B"/>
    <w:rsid w:val="00F10DB8"/>
    <w:rsid w:val="00F1655F"/>
    <w:rsid w:val="00F211D0"/>
    <w:rsid w:val="00F47D59"/>
    <w:rsid w:val="00F62648"/>
    <w:rsid w:val="00F65F32"/>
    <w:rsid w:val="00F8155D"/>
    <w:rsid w:val="00F84800"/>
    <w:rsid w:val="00FA1E99"/>
    <w:rsid w:val="00FA2B8B"/>
    <w:rsid w:val="00FB3D8C"/>
    <w:rsid w:val="00FB4D8D"/>
    <w:rsid w:val="00FB551B"/>
    <w:rsid w:val="00FC06B5"/>
    <w:rsid w:val="00FC2ACC"/>
    <w:rsid w:val="00FC317A"/>
    <w:rsid w:val="00FC45D1"/>
    <w:rsid w:val="00FE7122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FEE673"/>
  <w15:docId w15:val="{B7B684CB-3BD7-4E76-BB5F-721D8A3E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0C52"/>
    <w:rPr>
      <w:lang w:val="cs-CZ"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53B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53B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076D30"/>
    <w:rPr>
      <w:rFonts w:ascii="Cambria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link w:val="Nadpis3"/>
    <w:uiPriority w:val="99"/>
    <w:semiHidden/>
    <w:locked/>
    <w:rsid w:val="00076D30"/>
    <w:rPr>
      <w:rFonts w:ascii="Cambria" w:hAnsi="Cambria" w:cs="Times New Roman"/>
      <w:b/>
      <w:bCs/>
      <w:sz w:val="26"/>
      <w:szCs w:val="26"/>
      <w:lang w:val="cs-CZ" w:eastAsia="cs-CZ"/>
    </w:rPr>
  </w:style>
  <w:style w:type="paragraph" w:styleId="Textvysvetlivky">
    <w:name w:val="endnote text"/>
    <w:basedOn w:val="Normlny"/>
    <w:next w:val="Normlny"/>
    <w:link w:val="TextvysvetlivkyChar"/>
    <w:uiPriority w:val="99"/>
    <w:semiHidden/>
    <w:rsid w:val="00E53B35"/>
    <w:pPr>
      <w:tabs>
        <w:tab w:val="left" w:pos="567"/>
      </w:tabs>
    </w:pPr>
  </w:style>
  <w:style w:type="character" w:customStyle="1" w:styleId="TextvysvetlivkyChar">
    <w:name w:val="Text vysvetlivky Char"/>
    <w:link w:val="Textvysvetlivky"/>
    <w:uiPriority w:val="99"/>
    <w:semiHidden/>
    <w:locked/>
    <w:rsid w:val="00076D30"/>
    <w:rPr>
      <w:rFonts w:cs="Times New Roman"/>
      <w:sz w:val="20"/>
      <w:szCs w:val="20"/>
      <w:lang w:val="cs-CZ" w:eastAsia="cs-CZ"/>
    </w:rPr>
  </w:style>
  <w:style w:type="paragraph" w:styleId="Zkladntext2">
    <w:name w:val="Body Text 2"/>
    <w:basedOn w:val="Normlny"/>
    <w:link w:val="Zkladntext2Char"/>
    <w:uiPriority w:val="99"/>
    <w:rsid w:val="00E53B35"/>
    <w:pPr>
      <w:jc w:val="both"/>
    </w:pPr>
  </w:style>
  <w:style w:type="character" w:customStyle="1" w:styleId="Zkladntext2Char">
    <w:name w:val="Základný text 2 Char"/>
    <w:link w:val="Zkladntext2"/>
    <w:uiPriority w:val="99"/>
    <w:locked/>
    <w:rsid w:val="00076D30"/>
    <w:rPr>
      <w:rFonts w:cs="Times New Roman"/>
      <w:sz w:val="20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rsid w:val="00E53B3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076D30"/>
    <w:rPr>
      <w:rFonts w:cs="Times New Roman"/>
      <w:sz w:val="20"/>
      <w:szCs w:val="20"/>
      <w:lang w:val="cs-CZ" w:eastAsia="cs-CZ"/>
    </w:rPr>
  </w:style>
  <w:style w:type="character" w:styleId="slostrany">
    <w:name w:val="page number"/>
    <w:uiPriority w:val="99"/>
    <w:rsid w:val="00E53B35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53B35"/>
    <w:pPr>
      <w:ind w:left="567" w:hanging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99"/>
    <w:locked/>
    <w:rsid w:val="00076D30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E53B35"/>
    <w:pPr>
      <w:spacing w:before="12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076D30"/>
    <w:rPr>
      <w:rFonts w:cs="Times New Roman"/>
      <w:sz w:val="20"/>
      <w:szCs w:val="20"/>
      <w:lang w:val="cs-CZ" w:eastAsia="cs-CZ"/>
    </w:rPr>
  </w:style>
  <w:style w:type="paragraph" w:styleId="Hlavika">
    <w:name w:val="header"/>
    <w:basedOn w:val="Normlny"/>
    <w:link w:val="HlavikaChar"/>
    <w:uiPriority w:val="99"/>
    <w:rsid w:val="00E53B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076D30"/>
    <w:rPr>
      <w:rFonts w:cs="Times New Roman"/>
      <w:sz w:val="20"/>
      <w:szCs w:val="20"/>
      <w:lang w:val="cs-CZ" w:eastAsia="cs-CZ"/>
    </w:rPr>
  </w:style>
  <w:style w:type="character" w:styleId="Hypertextovprepojenie">
    <w:name w:val="Hyperlink"/>
    <w:uiPriority w:val="99"/>
    <w:rsid w:val="00E53B35"/>
    <w:rPr>
      <w:rFonts w:cs="Times New Roman"/>
      <w:color w:val="0000FF"/>
      <w:u w:val="single"/>
    </w:rPr>
  </w:style>
  <w:style w:type="paragraph" w:styleId="Obsah3">
    <w:name w:val="toc 3"/>
    <w:basedOn w:val="Normlny"/>
    <w:next w:val="Normlny"/>
    <w:autoRedefine/>
    <w:uiPriority w:val="99"/>
    <w:semiHidden/>
    <w:rsid w:val="00E53B35"/>
    <w:pPr>
      <w:ind w:left="480"/>
    </w:pPr>
    <w:rPr>
      <w:sz w:val="24"/>
    </w:rPr>
  </w:style>
  <w:style w:type="paragraph" w:styleId="Zkladntext3">
    <w:name w:val="Body Text 3"/>
    <w:basedOn w:val="Normlny"/>
    <w:link w:val="Zkladntext3Char"/>
    <w:uiPriority w:val="99"/>
    <w:rsid w:val="00E53B35"/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semiHidden/>
    <w:locked/>
    <w:rsid w:val="00076D30"/>
    <w:rPr>
      <w:rFonts w:cs="Times New Roman"/>
      <w:sz w:val="16"/>
      <w:szCs w:val="16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9C0C52"/>
    <w:rPr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C0C52"/>
    <w:rPr>
      <w:sz w:val="16"/>
      <w:lang w:val="cs-CZ" w:eastAsia="cs-CZ"/>
    </w:rPr>
  </w:style>
  <w:style w:type="character" w:styleId="Odkaznakomentr">
    <w:name w:val="annotation reference"/>
    <w:rsid w:val="00834EA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834EA4"/>
  </w:style>
  <w:style w:type="character" w:customStyle="1" w:styleId="TextkomentraChar">
    <w:name w:val="Text komentára Char"/>
    <w:link w:val="Textkomentra"/>
    <w:uiPriority w:val="99"/>
    <w:semiHidden/>
    <w:locked/>
    <w:rsid w:val="00076D30"/>
    <w:rPr>
      <w:rFonts w:cs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34EA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076D30"/>
    <w:rPr>
      <w:rFonts w:cs="Times New Roman"/>
      <w:b/>
      <w:bCs/>
      <w:sz w:val="20"/>
      <w:szCs w:val="20"/>
      <w:lang w:val="cs-CZ" w:eastAsia="cs-CZ"/>
    </w:rPr>
  </w:style>
  <w:style w:type="paragraph" w:customStyle="1" w:styleId="knZulassung02">
    <w:name w:val="knZulassung02"/>
    <w:basedOn w:val="Normlny"/>
    <w:rsid w:val="00D25CAC"/>
    <w:pPr>
      <w:autoSpaceDE w:val="0"/>
      <w:autoSpaceDN w:val="0"/>
      <w:ind w:left="1843" w:right="284"/>
    </w:pPr>
    <w:rPr>
      <w:rFonts w:ascii="Courier" w:hAnsi="Courier" w:cs="Courier"/>
      <w:sz w:val="24"/>
      <w:szCs w:val="24"/>
      <w:lang w:val="de-DE" w:eastAsia="de-DE"/>
    </w:rPr>
  </w:style>
  <w:style w:type="paragraph" w:customStyle="1" w:styleId="Default">
    <w:name w:val="Default"/>
    <w:rsid w:val="004925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extChar1">
    <w:name w:val="Text Char1"/>
    <w:link w:val="Text"/>
    <w:locked/>
    <w:rsid w:val="009E4683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9E4683"/>
    <w:pPr>
      <w:spacing w:after="240" w:line="276" w:lineRule="auto"/>
      <w:ind w:left="1134"/>
      <w:jc w:val="both"/>
    </w:pPr>
    <w:rPr>
      <w:rFonts w:ascii="SimSun" w:hAnsi="SimSun"/>
      <w:color w:val="00000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E2835-5893-4CA8-9988-2669A59C2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2113</Words>
  <Characters>12045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SPC</vt:lpstr>
      <vt:lpstr>SPC</vt:lpstr>
    </vt:vector>
  </TitlesOfParts>
  <Company>Hewlett-Packard</Company>
  <LinksUpToDate>false</LinksUpToDate>
  <CharactersWithSpaces>14130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creator>regpharm</dc:creator>
  <cp:lastModifiedBy>ME</cp:lastModifiedBy>
  <cp:revision>8</cp:revision>
  <cp:lastPrinted>2015-12-02T14:30:00Z</cp:lastPrinted>
  <dcterms:created xsi:type="dcterms:W3CDTF">2019-12-04T13:56:00Z</dcterms:created>
  <dcterms:modified xsi:type="dcterms:W3CDTF">2020-01-30T09:34:00Z</dcterms:modified>
</cp:coreProperties>
</file>