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9E" w:rsidRPr="00E554C1" w:rsidRDefault="0075499E">
      <w:pPr>
        <w:autoSpaceDE w:val="0"/>
        <w:autoSpaceDN w:val="0"/>
        <w:adjustRightInd w:val="0"/>
        <w:rPr>
          <w:bCs/>
          <w:sz w:val="18"/>
          <w:szCs w:val="18"/>
        </w:rPr>
      </w:pPr>
      <w:bookmarkStart w:id="0" w:name="_GoBack"/>
      <w:bookmarkEnd w:id="0"/>
    </w:p>
    <w:p w:rsidR="00161F57" w:rsidRPr="00E554C1" w:rsidRDefault="00E137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554C1">
        <w:rPr>
          <w:b/>
          <w:bCs/>
          <w:sz w:val="22"/>
          <w:szCs w:val="22"/>
        </w:rPr>
        <w:t>SÚHRN CHARAKTERISTICKÝCH VLASTNOSTÍ LIEKU</w:t>
      </w:r>
    </w:p>
    <w:p w:rsidR="00161F57" w:rsidRPr="00E554C1" w:rsidRDefault="00161F57" w:rsidP="00E31FB5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31FB5" w:rsidRPr="00E554C1" w:rsidRDefault="00E31FB5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E554C1">
        <w:rPr>
          <w:b/>
          <w:bCs/>
          <w:caps/>
          <w:sz w:val="22"/>
          <w:szCs w:val="22"/>
        </w:rPr>
        <w:t>1.</w:t>
      </w:r>
      <w:r w:rsidR="00161F57" w:rsidRPr="00E554C1">
        <w:rPr>
          <w:b/>
          <w:bCs/>
          <w:caps/>
          <w:sz w:val="22"/>
          <w:szCs w:val="22"/>
        </w:rPr>
        <w:tab/>
        <w:t>Názov lieku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7044C0" w:rsidRPr="00E554C1" w:rsidRDefault="007044C0">
      <w:pPr>
        <w:autoSpaceDE w:val="0"/>
        <w:autoSpaceDN w:val="0"/>
        <w:adjustRightInd w:val="0"/>
        <w:rPr>
          <w:sz w:val="22"/>
          <w:szCs w:val="22"/>
        </w:rPr>
      </w:pPr>
      <w:r w:rsidRPr="00E554C1">
        <w:rPr>
          <w:sz w:val="22"/>
          <w:szCs w:val="22"/>
        </w:rPr>
        <w:t>Anagrelid STADA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  <w:r w:rsidRPr="00E554C1">
        <w:rPr>
          <w:sz w:val="22"/>
          <w:szCs w:val="22"/>
        </w:rPr>
        <w:t>0,5 mg</w:t>
      </w:r>
      <w:r w:rsidR="007044C0" w:rsidRPr="00E554C1">
        <w:rPr>
          <w:sz w:val="22"/>
          <w:szCs w:val="22"/>
        </w:rPr>
        <w:t xml:space="preserve"> tvrdé kapsuly</w:t>
      </w:r>
    </w:p>
    <w:p w:rsidR="00161F57" w:rsidRPr="00E554C1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E554C1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E554C1" w:rsidRDefault="00161F57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E554C1">
        <w:rPr>
          <w:b/>
          <w:bCs/>
          <w:caps/>
          <w:sz w:val="22"/>
          <w:szCs w:val="22"/>
        </w:rPr>
        <w:t xml:space="preserve">2. </w:t>
      </w:r>
      <w:r w:rsidRPr="00E554C1">
        <w:rPr>
          <w:b/>
          <w:bCs/>
          <w:caps/>
          <w:sz w:val="22"/>
          <w:szCs w:val="22"/>
        </w:rPr>
        <w:tab/>
        <w:t xml:space="preserve">Kvalitatívne a kvantitatívne zloženie 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Každá tvrdá kapsula obsahuje 0,5 mg anagrelidu (</w:t>
      </w:r>
      <w:r w:rsidR="00F5337E" w:rsidRPr="00F5337E">
        <w:rPr>
          <w:rFonts w:eastAsia="TimesNewRoman"/>
          <w:sz w:val="22"/>
          <w:szCs w:val="22"/>
        </w:rPr>
        <w:t>vo forme monohydrátu anagrelídiumchloridu</w:t>
      </w:r>
      <w:r w:rsidRPr="00E554C1">
        <w:rPr>
          <w:rFonts w:eastAsia="TimesNewRoman"/>
          <w:sz w:val="22"/>
          <w:szCs w:val="22"/>
        </w:rPr>
        <w:t>).</w:t>
      </w: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E554C1">
        <w:rPr>
          <w:rFonts w:eastAsia="TimesNewRoman"/>
          <w:sz w:val="22"/>
          <w:szCs w:val="22"/>
          <w:u w:val="single"/>
        </w:rPr>
        <w:t>Pomocné látky so známym účinkom</w:t>
      </w: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Každá tvrdá kapsula obsahuje laktózu, monohydrát (28,0 mg) a laktózu (32,9 mg).</w:t>
      </w:r>
    </w:p>
    <w:p w:rsidR="008E23DD" w:rsidRPr="00E554C1" w:rsidRDefault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E554C1">
        <w:rPr>
          <w:sz w:val="22"/>
          <w:szCs w:val="22"/>
          <w:lang w:eastAsia="en-US"/>
        </w:rPr>
        <w:t>Úplný zoznam pomocných látok, pozri časť 6.1.</w:t>
      </w:r>
    </w:p>
    <w:p w:rsidR="00161F57" w:rsidRPr="00E554C1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E554C1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E554C1">
        <w:rPr>
          <w:b/>
          <w:bCs/>
          <w:caps/>
          <w:sz w:val="22"/>
          <w:szCs w:val="22"/>
        </w:rPr>
        <w:t>3.</w:t>
      </w:r>
      <w:r w:rsidR="00161F57" w:rsidRPr="00E554C1">
        <w:rPr>
          <w:b/>
          <w:bCs/>
          <w:caps/>
          <w:sz w:val="22"/>
          <w:szCs w:val="22"/>
        </w:rPr>
        <w:tab/>
        <w:t>Lieková forma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E554C1" w:rsidRDefault="008E23DD">
      <w:pPr>
        <w:autoSpaceDE w:val="0"/>
        <w:autoSpaceDN w:val="0"/>
        <w:adjustRightInd w:val="0"/>
        <w:rPr>
          <w:sz w:val="22"/>
          <w:szCs w:val="22"/>
        </w:rPr>
      </w:pPr>
      <w:r w:rsidRPr="00E554C1">
        <w:rPr>
          <w:sz w:val="22"/>
          <w:szCs w:val="22"/>
        </w:rPr>
        <w:t>Tvrdá kapsula.</w:t>
      </w:r>
    </w:p>
    <w:p w:rsidR="008E23DD" w:rsidRPr="00E554C1" w:rsidRDefault="008E23DD">
      <w:pPr>
        <w:autoSpaceDE w:val="0"/>
        <w:autoSpaceDN w:val="0"/>
        <w:adjustRightInd w:val="0"/>
        <w:rPr>
          <w:sz w:val="22"/>
          <w:szCs w:val="22"/>
        </w:rPr>
      </w:pPr>
    </w:p>
    <w:p w:rsidR="008E23DD" w:rsidRPr="00E554C1" w:rsidRDefault="008E23DD">
      <w:pPr>
        <w:autoSpaceDE w:val="0"/>
        <w:autoSpaceDN w:val="0"/>
        <w:adjustRightInd w:val="0"/>
        <w:rPr>
          <w:sz w:val="22"/>
          <w:szCs w:val="22"/>
        </w:rPr>
      </w:pPr>
      <w:r w:rsidRPr="00E554C1">
        <w:rPr>
          <w:sz w:val="22"/>
          <w:szCs w:val="22"/>
        </w:rPr>
        <w:t>Tvrdá kapsula (veľkosť 4</w:t>
      </w:r>
      <w:r w:rsidR="00F5337E">
        <w:rPr>
          <w:sz w:val="22"/>
          <w:szCs w:val="22"/>
        </w:rPr>
        <w:t>;</w:t>
      </w:r>
      <w:r w:rsidRPr="00E554C1">
        <w:rPr>
          <w:sz w:val="22"/>
          <w:szCs w:val="22"/>
        </w:rPr>
        <w:t xml:space="preserve"> 14,3</w:t>
      </w:r>
      <w:r w:rsidR="00F5337E">
        <w:rPr>
          <w:sz w:val="22"/>
          <w:szCs w:val="22"/>
        </w:rPr>
        <w:t xml:space="preserve"> </w:t>
      </w:r>
      <w:r w:rsidRPr="00E554C1">
        <w:rPr>
          <w:sz w:val="22"/>
          <w:szCs w:val="22"/>
        </w:rPr>
        <w:t>x</w:t>
      </w:r>
      <w:r w:rsidR="00F5337E">
        <w:rPr>
          <w:sz w:val="22"/>
          <w:szCs w:val="22"/>
        </w:rPr>
        <w:t xml:space="preserve"> </w:t>
      </w:r>
      <w:r w:rsidRPr="00E554C1">
        <w:rPr>
          <w:sz w:val="22"/>
          <w:szCs w:val="22"/>
        </w:rPr>
        <w:t>5,3 mm) s matným bielym telom a uzáverom. Kapsula je naplnená bielym až takmer bielym práškom.</w:t>
      </w:r>
    </w:p>
    <w:p w:rsidR="00161F57" w:rsidRPr="00E554C1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E554C1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E554C1" w:rsidRDefault="00876AAE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E554C1">
        <w:rPr>
          <w:b/>
          <w:bCs/>
          <w:caps/>
          <w:sz w:val="22"/>
          <w:szCs w:val="22"/>
        </w:rPr>
        <w:t>4.</w:t>
      </w:r>
      <w:r w:rsidRPr="00E554C1">
        <w:rPr>
          <w:b/>
          <w:bCs/>
          <w:caps/>
          <w:sz w:val="22"/>
          <w:szCs w:val="22"/>
        </w:rPr>
        <w:tab/>
      </w:r>
      <w:r w:rsidR="00161F57" w:rsidRPr="00E554C1">
        <w:rPr>
          <w:b/>
          <w:bCs/>
          <w:caps/>
          <w:sz w:val="22"/>
          <w:szCs w:val="22"/>
        </w:rPr>
        <w:t>Klinické údaje</w:t>
      </w:r>
    </w:p>
    <w:p w:rsidR="00161F57" w:rsidRPr="00E554C1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554C1">
        <w:rPr>
          <w:b/>
          <w:bCs/>
          <w:iCs/>
          <w:sz w:val="22"/>
          <w:szCs w:val="22"/>
        </w:rPr>
        <w:t>4.1</w:t>
      </w:r>
      <w:r w:rsidR="00161F57" w:rsidRPr="00E554C1">
        <w:rPr>
          <w:b/>
          <w:bCs/>
          <w:iCs/>
          <w:sz w:val="22"/>
          <w:szCs w:val="22"/>
        </w:rPr>
        <w:tab/>
        <w:t>Terapeutické indikácie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Anagrelid je indikovaný na redukciu zvýšeného počtu krvných doštičiek rizikový</w:t>
      </w:r>
      <w:r w:rsidR="00786149">
        <w:rPr>
          <w:rFonts w:eastAsia="TimesNewRoman"/>
          <w:sz w:val="22"/>
          <w:szCs w:val="22"/>
        </w:rPr>
        <w:t>m</w:t>
      </w:r>
      <w:r w:rsidRPr="00E554C1">
        <w:rPr>
          <w:rFonts w:eastAsia="TimesNewRoman"/>
          <w:sz w:val="22"/>
          <w:szCs w:val="22"/>
        </w:rPr>
        <w:t xml:space="preserve"> paciento</w:t>
      </w:r>
      <w:r w:rsidR="00786149">
        <w:rPr>
          <w:rFonts w:eastAsia="TimesNewRoman"/>
          <w:sz w:val="22"/>
          <w:szCs w:val="22"/>
        </w:rPr>
        <w:t>m</w:t>
      </w:r>
      <w:r w:rsidRPr="00E554C1">
        <w:rPr>
          <w:rFonts w:eastAsia="TimesNewRoman"/>
          <w:sz w:val="22"/>
          <w:szCs w:val="22"/>
        </w:rPr>
        <w:t xml:space="preserve"> </w:t>
      </w:r>
      <w:r w:rsidR="00786149">
        <w:rPr>
          <w:rFonts w:eastAsia="TimesNewRoman"/>
          <w:sz w:val="22"/>
          <w:szCs w:val="22"/>
        </w:rPr>
        <w:t>s</w:t>
      </w:r>
      <w:r w:rsidRPr="00E554C1">
        <w:rPr>
          <w:rFonts w:eastAsia="TimesNewRoman"/>
          <w:sz w:val="22"/>
          <w:szCs w:val="22"/>
        </w:rPr>
        <w:t xml:space="preserve"> esenciálnou trombocytémiou (ET), ktorí </w:t>
      </w:r>
      <w:r w:rsidR="00786149" w:rsidRPr="00786149">
        <w:rPr>
          <w:rFonts w:eastAsia="TimesNewRoman"/>
          <w:sz w:val="22"/>
          <w:szCs w:val="22"/>
        </w:rPr>
        <w:t>netolerujú svoju súčasnú</w:t>
      </w:r>
      <w:r w:rsidRPr="00E554C1">
        <w:rPr>
          <w:rFonts w:eastAsia="TimesNewRoman"/>
          <w:sz w:val="22"/>
          <w:szCs w:val="22"/>
        </w:rPr>
        <w:t xml:space="preserve"> liečb</w:t>
      </w:r>
      <w:r w:rsidR="00786149">
        <w:rPr>
          <w:rFonts w:eastAsia="TimesNewRoman"/>
          <w:sz w:val="22"/>
          <w:szCs w:val="22"/>
        </w:rPr>
        <w:t>u</w:t>
      </w:r>
      <w:r w:rsidRPr="00E554C1">
        <w:rPr>
          <w:rFonts w:eastAsia="TimesNewRoman"/>
          <w:sz w:val="22"/>
          <w:szCs w:val="22"/>
        </w:rPr>
        <w:t xml:space="preserve"> alebo </w:t>
      </w:r>
      <w:r w:rsidR="00786149">
        <w:rPr>
          <w:rFonts w:eastAsia="TimesNewRoman"/>
          <w:sz w:val="22"/>
          <w:szCs w:val="22"/>
        </w:rPr>
        <w:t xml:space="preserve">u </w:t>
      </w:r>
      <w:r w:rsidRPr="00E554C1">
        <w:rPr>
          <w:rFonts w:eastAsia="TimesNewRoman"/>
          <w:sz w:val="22"/>
          <w:szCs w:val="22"/>
        </w:rPr>
        <w:t xml:space="preserve">ktorých </w:t>
      </w:r>
      <w:r w:rsidR="00786149">
        <w:rPr>
          <w:rFonts w:eastAsia="TimesNewRoman"/>
          <w:sz w:val="22"/>
          <w:szCs w:val="22"/>
        </w:rPr>
        <w:t xml:space="preserve">sa </w:t>
      </w:r>
      <w:r w:rsidRPr="00E554C1">
        <w:rPr>
          <w:rFonts w:eastAsia="TimesNewRoman"/>
          <w:sz w:val="22"/>
          <w:szCs w:val="22"/>
        </w:rPr>
        <w:t xml:space="preserve">zvýšený počet krvných doštičiek sa nepodarilo znížiť </w:t>
      </w:r>
      <w:r w:rsidR="00786149">
        <w:rPr>
          <w:rFonts w:eastAsia="TimesNewRoman"/>
          <w:sz w:val="22"/>
          <w:szCs w:val="22"/>
        </w:rPr>
        <w:t>súčasnou</w:t>
      </w:r>
      <w:r w:rsidRPr="00E554C1">
        <w:rPr>
          <w:rFonts w:eastAsia="TimesNewRoman"/>
          <w:sz w:val="22"/>
          <w:szCs w:val="22"/>
        </w:rPr>
        <w:t xml:space="preserve"> liečbou na</w:t>
      </w:r>
      <w:r w:rsidR="00786149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prijateľnú úroveň.</w:t>
      </w: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i/>
          <w:sz w:val="22"/>
          <w:szCs w:val="22"/>
        </w:rPr>
      </w:pPr>
      <w:r w:rsidRPr="00E554C1">
        <w:rPr>
          <w:rFonts w:eastAsia="TimesNewRoman"/>
          <w:i/>
          <w:sz w:val="22"/>
          <w:szCs w:val="22"/>
        </w:rPr>
        <w:t>Rizikový pacient</w:t>
      </w: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Rizikový pacient </w:t>
      </w:r>
      <w:r w:rsidR="00786149">
        <w:rPr>
          <w:rFonts w:eastAsia="TimesNewRoman"/>
          <w:sz w:val="22"/>
          <w:szCs w:val="22"/>
        </w:rPr>
        <w:t>s</w:t>
      </w:r>
      <w:r w:rsidRPr="00E554C1">
        <w:rPr>
          <w:rFonts w:eastAsia="TimesNewRoman"/>
          <w:sz w:val="22"/>
          <w:szCs w:val="22"/>
        </w:rPr>
        <w:t xml:space="preserve"> esenciálnou trombocytémiou je charakterizovaný jedným alebo viacerými</w:t>
      </w:r>
      <w:r w:rsidR="00786149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z nasledovných znakov:</w:t>
      </w:r>
    </w:p>
    <w:p w:rsidR="008E23DD" w:rsidRPr="00E554C1" w:rsidRDefault="008E23DD" w:rsidP="008E23DD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vek nad 60 rokov alebo</w:t>
      </w:r>
    </w:p>
    <w:p w:rsidR="008E23DD" w:rsidRPr="00E554C1" w:rsidRDefault="008E23DD" w:rsidP="008E23DD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počet trombocytov väčší ako 1</w:t>
      </w:r>
      <w:r w:rsidR="00786149">
        <w:rPr>
          <w:rFonts w:eastAsia="TimesNewRoman"/>
          <w:sz w:val="22"/>
          <w:szCs w:val="22"/>
        </w:rPr>
        <w:t> </w:t>
      </w:r>
      <w:r w:rsidRPr="00E554C1">
        <w:rPr>
          <w:rFonts w:eastAsia="TimesNewRoman"/>
          <w:sz w:val="22"/>
          <w:szCs w:val="22"/>
        </w:rPr>
        <w:t>000 x 10</w:t>
      </w:r>
      <w:r w:rsidRPr="00E554C1">
        <w:rPr>
          <w:rFonts w:eastAsia="TimesNewRoman"/>
          <w:sz w:val="22"/>
          <w:szCs w:val="22"/>
          <w:vertAlign w:val="superscript"/>
        </w:rPr>
        <w:t>9</w:t>
      </w:r>
      <w:r w:rsidRPr="00E554C1">
        <w:rPr>
          <w:rFonts w:eastAsia="TimesNewRoman"/>
          <w:sz w:val="22"/>
          <w:szCs w:val="22"/>
        </w:rPr>
        <w:t>/l alebo</w:t>
      </w:r>
    </w:p>
    <w:p w:rsidR="00161F57" w:rsidRPr="00E554C1" w:rsidRDefault="008E23DD" w:rsidP="008E23DD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výskyt trombo-hemoragických príhod v anamnéze.</w:t>
      </w:r>
    </w:p>
    <w:p w:rsidR="008E23DD" w:rsidRPr="00E554C1" w:rsidRDefault="008E23DD" w:rsidP="008E23D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554C1">
        <w:rPr>
          <w:b/>
          <w:bCs/>
          <w:iCs/>
          <w:sz w:val="22"/>
          <w:szCs w:val="22"/>
        </w:rPr>
        <w:t>4.2</w:t>
      </w:r>
      <w:r w:rsidR="00161F57" w:rsidRPr="00E554C1">
        <w:rPr>
          <w:b/>
          <w:bCs/>
          <w:iCs/>
          <w:sz w:val="22"/>
          <w:szCs w:val="22"/>
        </w:rPr>
        <w:tab/>
        <w:t>Dávkovanie a spôsob podávania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Liečbu </w:t>
      </w:r>
      <w:r w:rsidR="00786149">
        <w:rPr>
          <w:rFonts w:eastAsia="TimesNewRoman"/>
          <w:sz w:val="22"/>
          <w:szCs w:val="22"/>
        </w:rPr>
        <w:t>a</w:t>
      </w:r>
      <w:r w:rsidRPr="00E554C1">
        <w:rPr>
          <w:rFonts w:eastAsia="TimesNewRoman"/>
          <w:sz w:val="22"/>
          <w:szCs w:val="22"/>
        </w:rPr>
        <w:t xml:space="preserve">nagrelidom má začať lekár so skúsenosťami v liečbe </w:t>
      </w:r>
      <w:r w:rsidR="00786149">
        <w:rPr>
          <w:rFonts w:eastAsia="TimesNewRoman"/>
          <w:sz w:val="22"/>
          <w:szCs w:val="22"/>
        </w:rPr>
        <w:t>esenciálnej</w:t>
      </w:r>
      <w:r w:rsidRPr="00E554C1">
        <w:rPr>
          <w:rFonts w:eastAsia="TimesNewRoman"/>
          <w:sz w:val="22"/>
          <w:szCs w:val="22"/>
        </w:rPr>
        <w:t xml:space="preserve"> trombocytémie.</w:t>
      </w:r>
    </w:p>
    <w:p w:rsidR="007B0BE4" w:rsidRPr="00E554C1" w:rsidRDefault="007B0BE4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E554C1">
        <w:rPr>
          <w:rFonts w:eastAsia="TimesNewRoman"/>
          <w:sz w:val="22"/>
          <w:szCs w:val="22"/>
          <w:u w:val="single"/>
        </w:rPr>
        <w:t>Dávkovanie</w:t>
      </w:r>
    </w:p>
    <w:p w:rsidR="008E23DD" w:rsidRPr="00E554C1" w:rsidRDefault="008E23DD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Odporúčaná </w:t>
      </w:r>
      <w:r w:rsidR="007B0BE4" w:rsidRPr="00E554C1">
        <w:rPr>
          <w:rFonts w:eastAsia="TimesNewRoman"/>
          <w:sz w:val="22"/>
          <w:szCs w:val="22"/>
        </w:rPr>
        <w:t>za</w:t>
      </w:r>
      <w:r w:rsidRPr="00E554C1">
        <w:rPr>
          <w:rFonts w:eastAsia="TimesNewRoman"/>
          <w:sz w:val="22"/>
          <w:szCs w:val="22"/>
        </w:rPr>
        <w:t>čiatočná dávka anagrelidu je 1 mg/deň, ktorá by sa mala podávať perorálne v</w:t>
      </w:r>
      <w:r w:rsidR="00786149">
        <w:rPr>
          <w:rFonts w:eastAsia="TimesNewRoman"/>
          <w:sz w:val="22"/>
          <w:szCs w:val="22"/>
        </w:rPr>
        <w:t> </w:t>
      </w:r>
      <w:r w:rsidRPr="00E554C1">
        <w:rPr>
          <w:rFonts w:eastAsia="TimesNewRoman"/>
          <w:sz w:val="22"/>
          <w:szCs w:val="22"/>
        </w:rPr>
        <w:t>dvoch</w:t>
      </w:r>
      <w:r w:rsidR="00786149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rozdelených dávkach (0,5 mg/dávk</w:t>
      </w:r>
      <w:r w:rsidR="00786149">
        <w:rPr>
          <w:rFonts w:eastAsia="TimesNewRoman"/>
          <w:sz w:val="22"/>
          <w:szCs w:val="22"/>
        </w:rPr>
        <w:t>a</w:t>
      </w:r>
      <w:r w:rsidRPr="00E554C1">
        <w:rPr>
          <w:rFonts w:eastAsia="TimesNewRoman"/>
          <w:sz w:val="22"/>
          <w:szCs w:val="22"/>
        </w:rPr>
        <w:t>).</w:t>
      </w:r>
    </w:p>
    <w:p w:rsidR="007B0BE4" w:rsidRPr="00E554C1" w:rsidRDefault="007B0BE4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161F57" w:rsidRPr="00E554C1" w:rsidRDefault="007B0BE4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Za</w:t>
      </w:r>
      <w:r w:rsidR="008E23DD" w:rsidRPr="00E554C1">
        <w:rPr>
          <w:rFonts w:eastAsia="TimesNewRoman"/>
          <w:sz w:val="22"/>
          <w:szCs w:val="22"/>
        </w:rPr>
        <w:t>čiatočná dávka by sa mala udržať najmenej jeden týždeň. Po týždni sa môže dávka individuálne</w:t>
      </w:r>
      <w:r w:rsidR="00786149">
        <w:rPr>
          <w:rFonts w:eastAsia="TimesNewRoman"/>
          <w:sz w:val="22"/>
          <w:szCs w:val="22"/>
        </w:rPr>
        <w:t xml:space="preserve"> </w:t>
      </w:r>
      <w:r w:rsidR="008E23DD" w:rsidRPr="00E554C1">
        <w:rPr>
          <w:rFonts w:eastAsia="TimesNewRoman"/>
          <w:sz w:val="22"/>
          <w:szCs w:val="22"/>
        </w:rPr>
        <w:t>titrovať, aby sa dosiahla najnižšia účinná dávka potrebná na zníženie a/alebo udržanie počtu krvných</w:t>
      </w:r>
      <w:r w:rsidR="00786149">
        <w:rPr>
          <w:rFonts w:eastAsia="TimesNewRoman"/>
          <w:sz w:val="22"/>
          <w:szCs w:val="22"/>
        </w:rPr>
        <w:t xml:space="preserve"> </w:t>
      </w:r>
      <w:r w:rsidR="008E23DD" w:rsidRPr="00E554C1">
        <w:rPr>
          <w:rFonts w:eastAsia="TimesNewRoman"/>
          <w:sz w:val="22"/>
          <w:szCs w:val="22"/>
        </w:rPr>
        <w:t>doštičiek pod hladinou 600 x 10</w:t>
      </w:r>
      <w:r w:rsidR="008E23DD" w:rsidRPr="00E554C1">
        <w:rPr>
          <w:rFonts w:eastAsia="TimesNewRoman"/>
          <w:sz w:val="22"/>
          <w:szCs w:val="22"/>
          <w:vertAlign w:val="superscript"/>
        </w:rPr>
        <w:t>9</w:t>
      </w:r>
      <w:r w:rsidR="008E23DD" w:rsidRPr="00E554C1">
        <w:rPr>
          <w:rFonts w:eastAsia="TimesNewRoman"/>
          <w:sz w:val="22"/>
          <w:szCs w:val="22"/>
        </w:rPr>
        <w:t xml:space="preserve">/l a v ideálnom prípade na úrovni medzi 150 </w:t>
      </w:r>
      <w:r w:rsidR="00786149" w:rsidRPr="00786149">
        <w:rPr>
          <w:rFonts w:eastAsia="TimesNewRoman"/>
          <w:sz w:val="22"/>
          <w:szCs w:val="22"/>
        </w:rPr>
        <w:t>x 10</w:t>
      </w:r>
      <w:r w:rsidR="00786149" w:rsidRPr="00E24067">
        <w:rPr>
          <w:rFonts w:eastAsia="TimesNewRoman"/>
          <w:sz w:val="22"/>
          <w:szCs w:val="22"/>
          <w:vertAlign w:val="superscript"/>
        </w:rPr>
        <w:t>9</w:t>
      </w:r>
      <w:r w:rsidR="00786149" w:rsidRPr="00786149">
        <w:rPr>
          <w:rFonts w:eastAsia="TimesNewRoman"/>
          <w:sz w:val="22"/>
          <w:szCs w:val="22"/>
        </w:rPr>
        <w:t xml:space="preserve">/l </w:t>
      </w:r>
      <w:r w:rsidR="008E23DD" w:rsidRPr="00E554C1">
        <w:rPr>
          <w:rFonts w:eastAsia="TimesNewRoman"/>
          <w:sz w:val="22"/>
          <w:szCs w:val="22"/>
        </w:rPr>
        <w:t>až 400 x 10</w:t>
      </w:r>
      <w:r w:rsidR="008E23DD" w:rsidRPr="00E554C1">
        <w:rPr>
          <w:rFonts w:eastAsia="TimesNewRoman"/>
          <w:sz w:val="22"/>
          <w:szCs w:val="22"/>
          <w:vertAlign w:val="superscript"/>
        </w:rPr>
        <w:t>9</w:t>
      </w:r>
      <w:r w:rsidR="008E23DD" w:rsidRPr="00E554C1">
        <w:rPr>
          <w:rFonts w:eastAsia="TimesNewRoman"/>
          <w:sz w:val="22"/>
          <w:szCs w:val="22"/>
        </w:rPr>
        <w:t xml:space="preserve">/l. </w:t>
      </w:r>
      <w:r w:rsidR="00150FED" w:rsidRPr="00150FED">
        <w:rPr>
          <w:rFonts w:eastAsia="TimesNewRoman"/>
          <w:sz w:val="22"/>
          <w:szCs w:val="22"/>
        </w:rPr>
        <w:t>Dá</w:t>
      </w:r>
      <w:r w:rsidR="00150FED">
        <w:rPr>
          <w:rFonts w:eastAsia="TimesNewRoman"/>
          <w:sz w:val="22"/>
          <w:szCs w:val="22"/>
        </w:rPr>
        <w:t>vka sa nesmie zvýšiť o viac ako</w:t>
      </w:r>
      <w:r w:rsidR="008E23DD" w:rsidRPr="00E554C1">
        <w:rPr>
          <w:rFonts w:eastAsia="TimesNewRoman"/>
          <w:sz w:val="22"/>
          <w:szCs w:val="22"/>
        </w:rPr>
        <w:t xml:space="preserve"> 0,5 mg/deň v</w:t>
      </w:r>
      <w:r w:rsidR="00150FED">
        <w:rPr>
          <w:rFonts w:eastAsia="TimesNewRoman"/>
          <w:sz w:val="22"/>
          <w:szCs w:val="22"/>
        </w:rPr>
        <w:t xml:space="preserve"> priebehu </w:t>
      </w:r>
      <w:r w:rsidR="008E23DD" w:rsidRPr="00E554C1">
        <w:rPr>
          <w:rFonts w:eastAsia="TimesNewRoman"/>
          <w:sz w:val="22"/>
          <w:szCs w:val="22"/>
        </w:rPr>
        <w:t>ak</w:t>
      </w:r>
      <w:r w:rsidR="00150FED">
        <w:rPr>
          <w:rFonts w:eastAsia="TimesNewRoman"/>
          <w:sz w:val="22"/>
          <w:szCs w:val="22"/>
        </w:rPr>
        <w:t>ého</w:t>
      </w:r>
      <w:r w:rsidR="008E23DD" w:rsidRPr="00E554C1">
        <w:rPr>
          <w:rFonts w:eastAsia="TimesNewRoman"/>
          <w:sz w:val="22"/>
          <w:szCs w:val="22"/>
        </w:rPr>
        <w:t>koľvek týžd</w:t>
      </w:r>
      <w:r w:rsidR="00150FED">
        <w:rPr>
          <w:rFonts w:eastAsia="TimesNewRoman"/>
          <w:sz w:val="22"/>
          <w:szCs w:val="22"/>
        </w:rPr>
        <w:t>ňa</w:t>
      </w:r>
      <w:r w:rsidR="008E23DD" w:rsidRPr="00E554C1">
        <w:rPr>
          <w:rFonts w:eastAsia="TimesNewRoman"/>
          <w:sz w:val="22"/>
          <w:szCs w:val="22"/>
        </w:rPr>
        <w:t xml:space="preserve"> a maximálna odporúčaná</w:t>
      </w:r>
      <w:r w:rsidR="00150FED">
        <w:rPr>
          <w:rFonts w:eastAsia="TimesNewRoman"/>
          <w:sz w:val="22"/>
          <w:szCs w:val="22"/>
        </w:rPr>
        <w:t xml:space="preserve"> </w:t>
      </w:r>
      <w:r w:rsidR="008E23DD" w:rsidRPr="00E554C1">
        <w:rPr>
          <w:rFonts w:eastAsia="TimesNewRoman"/>
          <w:sz w:val="22"/>
          <w:szCs w:val="22"/>
        </w:rPr>
        <w:t>jednorazová dávka by nemala prekročiť 2,5 mg (pozri časť 4.9). Počas klinického vývoja boli použité</w:t>
      </w:r>
      <w:r w:rsidR="00150FED">
        <w:rPr>
          <w:rFonts w:eastAsia="TimesNewRoman"/>
          <w:sz w:val="22"/>
          <w:szCs w:val="22"/>
        </w:rPr>
        <w:t xml:space="preserve"> </w:t>
      </w:r>
      <w:r w:rsidR="008E23DD" w:rsidRPr="00E554C1">
        <w:rPr>
          <w:rFonts w:eastAsia="TimesNewRoman"/>
          <w:sz w:val="22"/>
          <w:szCs w:val="22"/>
        </w:rPr>
        <w:t>dávky 10 mg/deň.</w:t>
      </w:r>
    </w:p>
    <w:p w:rsidR="007B0BE4" w:rsidRPr="00E554C1" w:rsidRDefault="007B0BE4" w:rsidP="008E23DD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Účinky liečby anagrelidom je potrebné pravidelne monitorovať (pozri časť 4.4). Ak je začiatočná</w:t>
      </w:r>
      <w:r w:rsidR="00150FED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dávka vyššia ako 1 mg za deň, počet trombocytov by sa mal sledovať každé dva dni počas prvého</w:t>
      </w:r>
      <w:r w:rsidR="00150FED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týždňa liečby a potom minimálne raz do týždňa, až kým sa nedosiahne stabilná udržiavacia dávka.</w:t>
      </w:r>
      <w:r w:rsidR="00150FED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Charakteristické je zaznamenanie poklesu počtu krvných doštičiek do 14 až 21 dní od začatia liečby</w:t>
      </w:r>
      <w:r w:rsidR="00150FED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a u väčšiny pacientov sa pozoruje adekvátna odpoveď na liečbu, ktorá sa udržiava pri dávkach od</w:t>
      </w:r>
      <w:r w:rsidR="00150FED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1 do 3 mg/deň (ďalšie informácie o klinických účinkoch nájdete v časti 5.1).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i/>
          <w:sz w:val="22"/>
          <w:szCs w:val="22"/>
        </w:rPr>
      </w:pPr>
      <w:r w:rsidRPr="00E554C1">
        <w:rPr>
          <w:rFonts w:eastAsia="TimesNewRoman"/>
          <w:i/>
          <w:sz w:val="22"/>
          <w:szCs w:val="22"/>
        </w:rPr>
        <w:t>Starší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Pozorované rozdiely vo farmakokinetike medzi staršími a mlad</w:t>
      </w:r>
      <w:r w:rsidR="00150FED">
        <w:rPr>
          <w:rFonts w:eastAsia="TimesNewRoman"/>
          <w:sz w:val="22"/>
          <w:szCs w:val="22"/>
        </w:rPr>
        <w:t>ší</w:t>
      </w:r>
      <w:r w:rsidRPr="00E554C1">
        <w:rPr>
          <w:rFonts w:eastAsia="TimesNewRoman"/>
          <w:sz w:val="22"/>
          <w:szCs w:val="22"/>
        </w:rPr>
        <w:t>mi pacientami s ET (pozri časť 5.2)</w:t>
      </w:r>
      <w:r w:rsidR="00150FED">
        <w:rPr>
          <w:rFonts w:eastAsia="TimesNewRoman"/>
          <w:sz w:val="22"/>
          <w:szCs w:val="22"/>
        </w:rPr>
        <w:t xml:space="preserve"> </w:t>
      </w:r>
      <w:r w:rsidR="00150FED" w:rsidRPr="00150FED">
        <w:rPr>
          <w:rFonts w:eastAsia="TimesNewRoman"/>
          <w:sz w:val="22"/>
          <w:szCs w:val="22"/>
        </w:rPr>
        <w:t>nevyžadujú použitie odlišnej úvodnej dávkovacej schémy ani odlišný spôsob titrácie dávky na optimálne nastavenie liečby anagrelidom u jednotlivých pacientov.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Počas klinického vývoja bolo približne 50</w:t>
      </w:r>
      <w:r w:rsidR="00FF4791">
        <w:rPr>
          <w:rFonts w:eastAsia="TimesNewRoman"/>
          <w:sz w:val="22"/>
          <w:szCs w:val="22"/>
        </w:rPr>
        <w:t> </w:t>
      </w:r>
      <w:r w:rsidRPr="00E554C1">
        <w:rPr>
          <w:rFonts w:eastAsia="TimesNewRoman"/>
          <w:sz w:val="22"/>
          <w:szCs w:val="22"/>
        </w:rPr>
        <w:t>% pacientov liečených anagrelidom vo veku nad 60 rokov</w:t>
      </w:r>
      <w:r w:rsidR="00FF479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a nevyžadovali si žiadne zvláštne úpravy dávok. Ako sa však očakávalo, u pacientov z tejto vekovej</w:t>
      </w:r>
      <w:r w:rsidR="00FF479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kategórie sa vyskytli závažné nežiaduce účinky (najmä srdcové) v dvojnásobnej miere.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i/>
          <w:sz w:val="22"/>
          <w:szCs w:val="22"/>
        </w:rPr>
      </w:pPr>
      <w:r w:rsidRPr="00E554C1">
        <w:rPr>
          <w:rFonts w:eastAsia="TimesNewRoman"/>
          <w:i/>
          <w:sz w:val="22"/>
          <w:szCs w:val="22"/>
        </w:rPr>
        <w:t>Porucha funkcie obličiek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Pre túto skupinu pacientov sú k dispozícii obmedzené farmakokinetické údaje. Pred začatím liečby sa</w:t>
      </w:r>
      <w:r w:rsidR="00FF479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majú najskôr stanoviť potenciálne riziká a prínosy liečby anagrelidom u pacientov s</w:t>
      </w:r>
      <w:r w:rsidR="00FF4791">
        <w:rPr>
          <w:rFonts w:eastAsia="TimesNewRoman"/>
          <w:sz w:val="22"/>
          <w:szCs w:val="22"/>
        </w:rPr>
        <w:t> </w:t>
      </w:r>
      <w:r w:rsidRPr="00E554C1">
        <w:rPr>
          <w:rFonts w:eastAsia="TimesNewRoman"/>
          <w:sz w:val="22"/>
          <w:szCs w:val="22"/>
        </w:rPr>
        <w:t>poruchou</w:t>
      </w:r>
      <w:r w:rsidR="00FF479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funkcie obličiek (pozri časť 4.3).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i/>
          <w:sz w:val="22"/>
          <w:szCs w:val="22"/>
        </w:rPr>
      </w:pPr>
      <w:r w:rsidRPr="00E554C1">
        <w:rPr>
          <w:rFonts w:eastAsia="TimesNewRoman"/>
          <w:i/>
          <w:sz w:val="22"/>
          <w:szCs w:val="22"/>
        </w:rPr>
        <w:t>Porucha funkcie pečene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Pre túto skupinu pacientov sú k dispozícii obmedzené farmakokinetické údaje. Avšak pečeňový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metabolizmus predstavuje hlavnú cestu vylučovania anagrelidu, a preto sa môže predpokladať, že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funkcia pečene ovplyvní tento proces. Preto sa neodporúča liečiť anagrelidom pacientov so stredne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ťažkou alebo ťažkou poruchou funkcie pečene</w:t>
      </w:r>
      <w:r w:rsidRPr="00E554C1">
        <w:rPr>
          <w:rFonts w:eastAsia="TimesNewRoman"/>
          <w:i/>
          <w:iCs/>
          <w:sz w:val="22"/>
          <w:szCs w:val="22"/>
        </w:rPr>
        <w:t xml:space="preserve">. </w:t>
      </w:r>
      <w:r w:rsidRPr="00E554C1">
        <w:rPr>
          <w:rFonts w:eastAsia="TimesNewRoman"/>
          <w:sz w:val="22"/>
          <w:szCs w:val="22"/>
        </w:rPr>
        <w:t xml:space="preserve">Pred začatím liečby sa majú </w:t>
      </w:r>
      <w:r w:rsidR="00731267" w:rsidRPr="00731267">
        <w:rPr>
          <w:rFonts w:eastAsia="TimesNewRoman"/>
          <w:sz w:val="22"/>
          <w:szCs w:val="22"/>
        </w:rPr>
        <w:t xml:space="preserve">u pacientov s miernou poruchou funkcie pečene </w:t>
      </w:r>
      <w:r w:rsidRPr="00E554C1">
        <w:rPr>
          <w:rFonts w:eastAsia="TimesNewRoman"/>
          <w:sz w:val="22"/>
          <w:szCs w:val="22"/>
        </w:rPr>
        <w:t>najskôr stanoviť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potenciálne riziká a prínosy liečby anagrelidom (pozri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časti 4.3 a 4.4).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i/>
          <w:sz w:val="22"/>
          <w:szCs w:val="22"/>
        </w:rPr>
      </w:pPr>
      <w:r w:rsidRPr="00E554C1">
        <w:rPr>
          <w:rFonts w:eastAsia="TimesNewRoman"/>
          <w:i/>
          <w:sz w:val="22"/>
          <w:szCs w:val="22"/>
        </w:rPr>
        <w:t>Pediatrická populácia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Bezpečnosť a účinnosť anagrelidu u detí neboli doteraz stanovené. Skúsenosti s použitím u</w:t>
      </w:r>
      <w:r w:rsidR="00731267">
        <w:rPr>
          <w:rFonts w:eastAsia="TimesNewRoman"/>
          <w:sz w:val="22"/>
          <w:szCs w:val="22"/>
        </w:rPr>
        <w:t> </w:t>
      </w:r>
      <w:r w:rsidRPr="00E554C1">
        <w:rPr>
          <w:rFonts w:eastAsia="TimesNewRoman"/>
          <w:sz w:val="22"/>
          <w:szCs w:val="22"/>
        </w:rPr>
        <w:t>detí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a dospievajúcich sú veľmi obmedzené, anagrelid sa má u tejto skupiny pacientov používať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s opatrnosťou. V prípade chýbania osobitných pediatrických pokynov sú diagnostické kritéria WHO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pre diagnózu ET u dospelých považované za relevantné pre pediatrickú populáciu. Diagnostické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pokyny pre esenciálnu trombocytémiu majú byť </w:t>
      </w:r>
      <w:r w:rsidR="00731267">
        <w:rPr>
          <w:rFonts w:eastAsia="TimesNewRoman"/>
          <w:sz w:val="22"/>
          <w:szCs w:val="22"/>
        </w:rPr>
        <w:t>dôsledne dodržiavané</w:t>
      </w:r>
      <w:r w:rsidRPr="00E554C1">
        <w:rPr>
          <w:rFonts w:eastAsia="TimesNewRoman"/>
          <w:sz w:val="22"/>
          <w:szCs w:val="22"/>
        </w:rPr>
        <w:t xml:space="preserve"> a v prípade neistoty </w:t>
      </w:r>
      <w:r w:rsidR="00731267">
        <w:rPr>
          <w:rFonts w:eastAsia="TimesNewRoman"/>
          <w:sz w:val="22"/>
          <w:szCs w:val="22"/>
        </w:rPr>
        <w:t xml:space="preserve">sa má </w:t>
      </w:r>
      <w:r w:rsidRPr="00E554C1">
        <w:rPr>
          <w:rFonts w:eastAsia="TimesNewRoman"/>
          <w:sz w:val="22"/>
          <w:szCs w:val="22"/>
        </w:rPr>
        <w:t>diagnóza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pravidelne prehodno</w:t>
      </w:r>
      <w:r w:rsidR="00731267">
        <w:rPr>
          <w:rFonts w:eastAsia="TimesNewRoman"/>
          <w:sz w:val="22"/>
          <w:szCs w:val="22"/>
        </w:rPr>
        <w:t>covať</w:t>
      </w:r>
      <w:r w:rsidRPr="00E554C1">
        <w:rPr>
          <w:rFonts w:eastAsia="TimesNewRoman"/>
          <w:sz w:val="22"/>
          <w:szCs w:val="22"/>
        </w:rPr>
        <w:t xml:space="preserve">, so snahou </w:t>
      </w:r>
      <w:r w:rsidR="00731267">
        <w:rPr>
          <w:rFonts w:eastAsia="TimesNewRoman"/>
          <w:sz w:val="22"/>
          <w:szCs w:val="22"/>
        </w:rPr>
        <w:t xml:space="preserve">o jej </w:t>
      </w:r>
      <w:r w:rsidRPr="00E554C1">
        <w:rPr>
          <w:rFonts w:eastAsia="TimesNewRoman"/>
          <w:sz w:val="22"/>
          <w:szCs w:val="22"/>
        </w:rPr>
        <w:t>odlíš</w:t>
      </w:r>
      <w:r w:rsidR="00731267">
        <w:rPr>
          <w:rFonts w:eastAsia="TimesNewRoman"/>
          <w:sz w:val="22"/>
          <w:szCs w:val="22"/>
        </w:rPr>
        <w:t>enie</w:t>
      </w:r>
      <w:r w:rsidRPr="00E554C1">
        <w:rPr>
          <w:rFonts w:eastAsia="TimesNewRoman"/>
          <w:sz w:val="22"/>
          <w:szCs w:val="22"/>
        </w:rPr>
        <w:t xml:space="preserve"> od hereditárnej alebo sekundárnej trombocytózy, čo môže</w:t>
      </w:r>
      <w:r w:rsidR="00731267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zahŕňať genetickú analýzu a biopsiu kostnej drene.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31267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C</w:t>
      </w:r>
      <w:r w:rsidR="007B0BE4" w:rsidRPr="00E554C1">
        <w:rPr>
          <w:rFonts w:eastAsia="TimesNewRoman"/>
          <w:sz w:val="22"/>
          <w:szCs w:val="22"/>
        </w:rPr>
        <w:t xml:space="preserve">ytoreduktívna terapia sa </w:t>
      </w:r>
      <w:r>
        <w:rPr>
          <w:rFonts w:eastAsia="TimesNewRoman"/>
          <w:sz w:val="22"/>
          <w:szCs w:val="22"/>
        </w:rPr>
        <w:t xml:space="preserve">zvyčajne </w:t>
      </w:r>
      <w:r w:rsidR="007B0BE4" w:rsidRPr="00E554C1">
        <w:rPr>
          <w:rFonts w:eastAsia="TimesNewRoman"/>
          <w:sz w:val="22"/>
          <w:szCs w:val="22"/>
        </w:rPr>
        <w:t>zvažuje u vysoko rizikových pediatrických pacientov.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Liečba anagrelidom sa má začať len pokiaľ pacient vykazuje </w:t>
      </w:r>
      <w:r w:rsidR="00731267">
        <w:rPr>
          <w:rFonts w:eastAsia="TimesNewRoman"/>
          <w:sz w:val="22"/>
          <w:szCs w:val="22"/>
        </w:rPr>
        <w:t>prejavy</w:t>
      </w:r>
      <w:r w:rsidRPr="00E554C1">
        <w:rPr>
          <w:rFonts w:eastAsia="TimesNewRoman"/>
          <w:sz w:val="22"/>
          <w:szCs w:val="22"/>
        </w:rPr>
        <w:t xml:space="preserve"> progresie ochorenia alebo trpí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trombózou. Ak sa liečba začne, prínosy a riziká liečby anagrelidom musia byť pravidelne sledované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a potreba pokračovania liečby pravidelne vyhodno</w:t>
      </w:r>
      <w:r w:rsidR="000627F5">
        <w:rPr>
          <w:rFonts w:eastAsia="TimesNewRoman"/>
          <w:sz w:val="22"/>
          <w:szCs w:val="22"/>
        </w:rPr>
        <w:t>cova</w:t>
      </w:r>
      <w:r w:rsidRPr="00E554C1">
        <w:rPr>
          <w:rFonts w:eastAsia="TimesNewRoman"/>
          <w:sz w:val="22"/>
          <w:szCs w:val="22"/>
        </w:rPr>
        <w:t>ná.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Cie</w:t>
      </w:r>
      <w:r w:rsidR="000627F5">
        <w:rPr>
          <w:rFonts w:eastAsia="TimesNewRoman"/>
          <w:sz w:val="22"/>
          <w:szCs w:val="22"/>
        </w:rPr>
        <w:t>ľové hodnoty</w:t>
      </w:r>
      <w:r w:rsidRPr="00E554C1">
        <w:rPr>
          <w:rFonts w:eastAsia="TimesNewRoman"/>
          <w:sz w:val="22"/>
          <w:szCs w:val="22"/>
        </w:rPr>
        <w:t xml:space="preserve"> počtu doštičiek </w:t>
      </w:r>
      <w:r w:rsidR="000627F5">
        <w:rPr>
          <w:rFonts w:eastAsia="TimesNewRoman"/>
          <w:sz w:val="22"/>
          <w:szCs w:val="22"/>
        </w:rPr>
        <w:t>stanoví</w:t>
      </w:r>
      <w:r w:rsidRPr="00E554C1">
        <w:rPr>
          <w:rFonts w:eastAsia="TimesNewRoman"/>
          <w:sz w:val="22"/>
          <w:szCs w:val="22"/>
        </w:rPr>
        <w:t xml:space="preserve"> individuálne každému pacientovi ošetrujúci lekár.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Prerušenie liečby sa má zvážiť u pediatrických pacientov, ktorí nemajú uspokojivé odpovede na liečbu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po približne 3 mesiacoch.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V súčasnosti sú dostupné údaje opísané v časti 4.4, 4.8, 5.1 a 5.2, ale neumožňujú uviesť odporúčania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na dávkovanie.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E554C1">
        <w:rPr>
          <w:rFonts w:eastAsia="TimesNewRoman"/>
          <w:sz w:val="22"/>
          <w:szCs w:val="22"/>
          <w:u w:val="single"/>
        </w:rPr>
        <w:t>Spôsob podávania</w:t>
      </w:r>
    </w:p>
    <w:p w:rsidR="007B0BE4" w:rsidRPr="00E554C1" w:rsidRDefault="007B0BE4" w:rsidP="007B0BE4">
      <w:pPr>
        <w:autoSpaceDE w:val="0"/>
        <w:autoSpaceDN w:val="0"/>
        <w:adjustRightInd w:val="0"/>
        <w:rPr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Na perorálne použitie. Kapsuly sa musia prehltnúť celé. Nedrvte ani nerieďte obsah v kvapaline.</w:t>
      </w:r>
    </w:p>
    <w:p w:rsidR="00161F57" w:rsidRPr="00E554C1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554C1">
        <w:rPr>
          <w:b/>
          <w:bCs/>
          <w:iCs/>
          <w:sz w:val="22"/>
          <w:szCs w:val="22"/>
        </w:rPr>
        <w:t>4.3</w:t>
      </w:r>
      <w:r w:rsidR="00161F57" w:rsidRPr="00E554C1">
        <w:rPr>
          <w:b/>
          <w:bCs/>
          <w:iCs/>
          <w:sz w:val="22"/>
          <w:szCs w:val="22"/>
        </w:rPr>
        <w:tab/>
        <w:t>Kontraindikácie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7B0BE4" w:rsidRPr="00E554C1" w:rsidRDefault="007B0BE4" w:rsidP="00CA6E25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Precitlivenosť na anagrelid alebo na ktorúkoľvek z pomocných látok uvedených v časti 6.1.</w:t>
      </w:r>
    </w:p>
    <w:p w:rsidR="007B0BE4" w:rsidRPr="00E554C1" w:rsidRDefault="007B0BE4" w:rsidP="00CA6E25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Pacienti so stredne ťažkou alebo ťažkou poruchou funkcie pečene.</w:t>
      </w:r>
    </w:p>
    <w:p w:rsidR="00161F57" w:rsidRPr="00E554C1" w:rsidRDefault="007B0BE4" w:rsidP="00CA6E25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Pacienti so stredne ťažkou alebo ťažkou poruchou funkcie obličiek (klírens kreatinínu &lt; 50 ml/min).</w:t>
      </w:r>
    </w:p>
    <w:p w:rsidR="007B0BE4" w:rsidRPr="00E554C1" w:rsidRDefault="007B0BE4" w:rsidP="007B0BE4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554C1">
        <w:rPr>
          <w:b/>
          <w:bCs/>
          <w:iCs/>
          <w:sz w:val="22"/>
          <w:szCs w:val="22"/>
        </w:rPr>
        <w:t>4.4</w:t>
      </w:r>
      <w:r w:rsidR="00161F57" w:rsidRPr="00E554C1">
        <w:rPr>
          <w:b/>
          <w:bCs/>
          <w:iCs/>
          <w:sz w:val="22"/>
          <w:szCs w:val="22"/>
        </w:rPr>
        <w:tab/>
      </w:r>
      <w:r w:rsidR="00161F57" w:rsidRPr="00E554C1">
        <w:rPr>
          <w:b/>
          <w:sz w:val="22"/>
          <w:szCs w:val="22"/>
        </w:rPr>
        <w:t>Osobitné upozornenia a opatrenia pri používaní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7B0BE4" w:rsidRPr="00CA6E25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A6E25">
        <w:rPr>
          <w:rFonts w:eastAsia="TimesNewRoman"/>
          <w:sz w:val="22"/>
          <w:szCs w:val="22"/>
          <w:u w:val="single"/>
        </w:rPr>
        <w:t>Porucha funkcie pečene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Pred začatím liečby sa m</w:t>
      </w:r>
      <w:r w:rsidR="000627F5">
        <w:rPr>
          <w:rFonts w:eastAsia="TimesNewRoman"/>
          <w:sz w:val="22"/>
          <w:szCs w:val="22"/>
        </w:rPr>
        <w:t>ajú</w:t>
      </w:r>
      <w:r w:rsidRPr="00E554C1">
        <w:rPr>
          <w:rFonts w:eastAsia="TimesNewRoman"/>
          <w:sz w:val="22"/>
          <w:szCs w:val="22"/>
        </w:rPr>
        <w:t xml:space="preserve"> </w:t>
      </w:r>
      <w:r w:rsidR="000627F5">
        <w:rPr>
          <w:rFonts w:eastAsia="TimesNewRoman"/>
          <w:sz w:val="22"/>
          <w:szCs w:val="22"/>
        </w:rPr>
        <w:t>naj</w:t>
      </w:r>
      <w:r w:rsidRPr="00E554C1">
        <w:rPr>
          <w:rFonts w:eastAsia="TimesNewRoman"/>
          <w:sz w:val="22"/>
          <w:szCs w:val="22"/>
        </w:rPr>
        <w:t>skôr stanoviť potenciálne riziká a prínosy liečby anagrelidom u</w:t>
      </w:r>
      <w:r w:rsidR="000627F5">
        <w:rPr>
          <w:rFonts w:eastAsia="TimesNewRoman"/>
          <w:sz w:val="22"/>
          <w:szCs w:val="22"/>
        </w:rPr>
        <w:t> </w:t>
      </w:r>
      <w:r w:rsidRPr="00E554C1">
        <w:rPr>
          <w:rFonts w:eastAsia="TimesNewRoman"/>
          <w:sz w:val="22"/>
          <w:szCs w:val="22"/>
        </w:rPr>
        <w:t>pacientov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s ľahkou poruchou funkcie pečene. </w:t>
      </w:r>
      <w:r w:rsidR="000627F5">
        <w:rPr>
          <w:rFonts w:eastAsia="TimesNewRoman"/>
          <w:sz w:val="22"/>
          <w:szCs w:val="22"/>
        </w:rPr>
        <w:t>Liečba sa n</w:t>
      </w:r>
      <w:r w:rsidRPr="00E554C1">
        <w:rPr>
          <w:rFonts w:eastAsia="TimesNewRoman"/>
          <w:sz w:val="22"/>
          <w:szCs w:val="22"/>
        </w:rPr>
        <w:t>eodporúča sa u pacientov so zvýšenou hladinou transamináz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(viac ako 5-násobné množstvo hornej hranice normálnych hodnôt) (pozri časti 4.2 a 4.3).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CA6E25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A6E25">
        <w:rPr>
          <w:rFonts w:eastAsia="TimesNewRoman"/>
          <w:sz w:val="22"/>
          <w:szCs w:val="22"/>
          <w:u w:val="single"/>
        </w:rPr>
        <w:t>Porucha funkcie obličiek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Pred začatím liečby sa majú najskôr stanoviť potenciálne riziká a prínosy liečby anagrelidom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u pacientov s poruchou funkcie obličiek (pozri časti 4.2 a 4.3).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CA6E25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A6E25">
        <w:rPr>
          <w:rFonts w:eastAsia="TimesNewRoman"/>
          <w:sz w:val="22"/>
          <w:szCs w:val="22"/>
          <w:u w:val="single"/>
        </w:rPr>
        <w:t>Sledovanie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Liečba si vyžaduje prísny klinický dozor nad pacientom, ktorý zahŕňa úplné vyšetrenie krvného obrazu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(hemoglobín a počet leukocytov a krvných doštičiek), zhodnotenie výsledkov vyšetrení funkcie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pečene (ALT a AST), funkcie obličiek (sérový kreatinín a močovina) a elektrolytov (draslík, horčík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a vápnik).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CA6E25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A6E25">
        <w:rPr>
          <w:rFonts w:eastAsia="TimesNewRoman"/>
          <w:sz w:val="22"/>
          <w:szCs w:val="22"/>
          <w:u w:val="single"/>
        </w:rPr>
        <w:t>Krvné doštičky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Počet krvných doštičiek sa do 4 dní po </w:t>
      </w:r>
      <w:r w:rsidR="000627F5">
        <w:rPr>
          <w:rFonts w:eastAsia="TimesNewRoman"/>
          <w:sz w:val="22"/>
          <w:szCs w:val="22"/>
        </w:rPr>
        <w:t>ukončení</w:t>
      </w:r>
      <w:r w:rsidRPr="00E554C1">
        <w:rPr>
          <w:rFonts w:eastAsia="TimesNewRoman"/>
          <w:sz w:val="22"/>
          <w:szCs w:val="22"/>
        </w:rPr>
        <w:t xml:space="preserve"> liečby anagrelidom zvýši a vráti na úroveň pred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začatím liečby do 10 až 14 dní, </w:t>
      </w:r>
      <w:r w:rsidR="000627F5">
        <w:rPr>
          <w:rFonts w:eastAsia="TimesNewRoman"/>
          <w:sz w:val="22"/>
          <w:szCs w:val="22"/>
        </w:rPr>
        <w:t xml:space="preserve">pričom je </w:t>
      </w:r>
      <w:r w:rsidRPr="00E554C1">
        <w:rPr>
          <w:rFonts w:eastAsia="TimesNewRoman"/>
          <w:sz w:val="22"/>
          <w:szCs w:val="22"/>
        </w:rPr>
        <w:t>možn</w:t>
      </w:r>
      <w:r w:rsidR="000627F5">
        <w:rPr>
          <w:rFonts w:eastAsia="TimesNewRoman"/>
          <w:sz w:val="22"/>
          <w:szCs w:val="22"/>
        </w:rPr>
        <w:t>é, že dôjde k zvýšeniu</w:t>
      </w:r>
      <w:r w:rsidRPr="00E554C1">
        <w:rPr>
          <w:rFonts w:eastAsia="TimesNewRoman"/>
          <w:sz w:val="22"/>
          <w:szCs w:val="22"/>
        </w:rPr>
        <w:t xml:space="preserve"> nad hodnoty pred začatím liečby. Preto sa má počet krvných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doštičiek často monitorovať.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CA6E25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A6E25">
        <w:rPr>
          <w:rFonts w:eastAsia="TimesNewRoman"/>
          <w:sz w:val="22"/>
          <w:szCs w:val="22"/>
          <w:u w:val="single"/>
        </w:rPr>
        <w:t>Kardiovaskulárne</w:t>
      </w:r>
    </w:p>
    <w:p w:rsidR="00161F57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Zaznamenali sa závažné kardiovaskulárne nežiaduce </w:t>
      </w:r>
      <w:r w:rsidR="000627F5">
        <w:rPr>
          <w:rFonts w:eastAsia="TimesNewRoman"/>
          <w:sz w:val="22"/>
          <w:szCs w:val="22"/>
        </w:rPr>
        <w:t>udalosti</w:t>
      </w:r>
      <w:r w:rsidRPr="00E554C1">
        <w:rPr>
          <w:rFonts w:eastAsia="TimesNewRoman"/>
          <w:sz w:val="22"/>
          <w:szCs w:val="22"/>
        </w:rPr>
        <w:t xml:space="preserve"> vrátane prípadov torsade de pointes,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ventrikulárnej tachykardie, kardiomyopatie, kardiomegálie a kongestívneho zlyhania srdca (pozri časť</w:t>
      </w:r>
      <w:r w:rsidR="000627F5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4.8).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Anagrelid sa má používať s opatrnosťou u pacientov so známymi rizikovými faktormi, ktoré môžu</w:t>
      </w:r>
      <w:r w:rsidR="00863A3C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predlžovať QT interval, ako napríklad kongenitálny syndróm dlhého intervalu QT, získané </w:t>
      </w:r>
      <w:r w:rsidR="00863A3C" w:rsidRPr="00863A3C">
        <w:rPr>
          <w:rFonts w:eastAsia="TimesNewRoman"/>
          <w:sz w:val="22"/>
          <w:szCs w:val="22"/>
        </w:rPr>
        <w:t>predĺženie</w:t>
      </w:r>
      <w:r w:rsidRPr="00E554C1">
        <w:rPr>
          <w:rFonts w:eastAsia="TimesNewRoman"/>
          <w:sz w:val="22"/>
          <w:szCs w:val="22"/>
        </w:rPr>
        <w:t xml:space="preserve"> QTc intervalu</w:t>
      </w:r>
      <w:r w:rsidR="00863A3C">
        <w:rPr>
          <w:rFonts w:eastAsia="TimesNewRoman"/>
          <w:sz w:val="22"/>
          <w:szCs w:val="22"/>
        </w:rPr>
        <w:t xml:space="preserve"> v anamnéze</w:t>
      </w:r>
      <w:r w:rsidRPr="00E554C1">
        <w:rPr>
          <w:rFonts w:eastAsia="TimesNewRoman"/>
          <w:sz w:val="22"/>
          <w:szCs w:val="22"/>
        </w:rPr>
        <w:t>, lieky, ktoré môžu predĺžiť QTc interval a hypokaliémia.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Anagrelid sa má používať s opatrnosťou tiež u pacientov, ktorí môžu mať vyššiu maximálnu</w:t>
      </w:r>
      <w:r w:rsidR="00863A3C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plazmatickú koncentráciu (C</w:t>
      </w:r>
      <w:r w:rsidRPr="00E24067">
        <w:rPr>
          <w:rFonts w:eastAsia="TimesNewRoman"/>
          <w:sz w:val="22"/>
          <w:szCs w:val="22"/>
          <w:vertAlign w:val="subscript"/>
        </w:rPr>
        <w:t>max</w:t>
      </w:r>
      <w:r w:rsidRPr="00E554C1">
        <w:rPr>
          <w:rFonts w:eastAsia="TimesNewRoman"/>
          <w:sz w:val="22"/>
          <w:szCs w:val="22"/>
        </w:rPr>
        <w:t>) anagrelidu alebo jeho aktívneho metabolitu, 3-hydroxyanagrelidu,</w:t>
      </w:r>
      <w:r w:rsidR="00863A3C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napr. pri poruche funkcie pečene alebo pri použití s CYP1A2 inhibítormi (pozri časť 4.5).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863A3C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Odporúča sa</w:t>
      </w:r>
      <w:r w:rsidR="007B0BE4" w:rsidRPr="00E554C1">
        <w:rPr>
          <w:rFonts w:eastAsia="TimesNewRoman"/>
          <w:sz w:val="22"/>
          <w:szCs w:val="22"/>
        </w:rPr>
        <w:t xml:space="preserve"> dôkladné monitorovanie </w:t>
      </w:r>
      <w:r>
        <w:rPr>
          <w:rFonts w:eastAsia="TimesNewRoman"/>
          <w:sz w:val="22"/>
          <w:szCs w:val="22"/>
        </w:rPr>
        <w:t>účinku</w:t>
      </w:r>
      <w:r w:rsidR="007B0BE4" w:rsidRPr="00E554C1">
        <w:rPr>
          <w:rFonts w:eastAsia="TimesNewRoman"/>
          <w:sz w:val="22"/>
          <w:szCs w:val="22"/>
        </w:rPr>
        <w:t xml:space="preserve"> na QTc interval.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Pred začiatkom liečby anagrelidom sa u všetkých pacientov odporúča vykonať kardiovaskulárne vyšetrenie vrátane </w:t>
      </w:r>
      <w:r w:rsidR="00B636C1">
        <w:rPr>
          <w:rFonts w:eastAsia="TimesNewRoman"/>
          <w:sz w:val="22"/>
          <w:szCs w:val="22"/>
        </w:rPr>
        <w:t>východiskového vyšetrenia</w:t>
      </w:r>
      <w:r w:rsidRPr="00E554C1">
        <w:rPr>
          <w:rFonts w:eastAsia="TimesNewRoman"/>
          <w:sz w:val="22"/>
          <w:szCs w:val="22"/>
        </w:rPr>
        <w:t xml:space="preserve"> EKG a echokardiografie. Všetci pacienti sa majú</w:t>
      </w:r>
      <w:r w:rsidR="00863A3C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počas liečby pravidelne monitorovať (napr. </w:t>
      </w:r>
      <w:r w:rsidR="00B636C1">
        <w:rPr>
          <w:rFonts w:eastAsia="TimesNewRoman"/>
          <w:sz w:val="22"/>
          <w:szCs w:val="22"/>
        </w:rPr>
        <w:t xml:space="preserve">pomocou </w:t>
      </w:r>
      <w:r w:rsidRPr="00E554C1">
        <w:rPr>
          <w:rFonts w:eastAsia="TimesNewRoman"/>
          <w:sz w:val="22"/>
          <w:szCs w:val="22"/>
        </w:rPr>
        <w:t>EKG alebo echokardiografi</w:t>
      </w:r>
      <w:r w:rsidR="00B636C1">
        <w:rPr>
          <w:rFonts w:eastAsia="TimesNewRoman"/>
          <w:sz w:val="22"/>
          <w:szCs w:val="22"/>
        </w:rPr>
        <w:t>e</w:t>
      </w:r>
      <w:r w:rsidRPr="00E554C1">
        <w:rPr>
          <w:rFonts w:eastAsia="TimesNewRoman"/>
          <w:sz w:val="22"/>
          <w:szCs w:val="22"/>
        </w:rPr>
        <w:t>) kvôli možným účinkom na</w:t>
      </w:r>
      <w:r w:rsidR="00863A3C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kardiovaskulárny systém, ktoré môžu vyžadovať ďalšie kardiovaskulárne vyšetrenie. Hypokaliémia</w:t>
      </w:r>
      <w:r w:rsidR="00863A3C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alebo hypomagneziémia sa musia pred podaním anagrelidu korigovať a v priebehu terapie pravidelne</w:t>
      </w:r>
      <w:r w:rsidR="00863A3C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monitorovať.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Anagrelid je inhibítorom fosfodiesterázy III </w:t>
      </w:r>
      <w:r w:rsidR="00B636C1">
        <w:rPr>
          <w:rFonts w:eastAsia="TimesNewRoman"/>
          <w:sz w:val="22"/>
          <w:szCs w:val="22"/>
        </w:rPr>
        <w:t xml:space="preserve">cyklického AMP </w:t>
      </w:r>
      <w:r w:rsidRPr="00E554C1">
        <w:rPr>
          <w:rFonts w:eastAsia="TimesNewRoman"/>
          <w:sz w:val="22"/>
          <w:szCs w:val="22"/>
        </w:rPr>
        <w:t>a pre jeho pozitívne inotropné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a chronotropné účinky sa anagrelid má používať opatrne u pacientov v akomkoľvek veku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s diagnostikovaným ochorením srdca alebo s podozrením na toto ochorenie. Navyše sa vyskytli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závažné kardiovaskulárne nežiaduce </w:t>
      </w:r>
      <w:r w:rsidR="00B636C1">
        <w:rPr>
          <w:rFonts w:eastAsia="TimesNewRoman"/>
          <w:sz w:val="22"/>
          <w:szCs w:val="22"/>
        </w:rPr>
        <w:t>udalosti</w:t>
      </w:r>
      <w:r w:rsidRPr="00E554C1">
        <w:rPr>
          <w:rFonts w:eastAsia="TimesNewRoman"/>
          <w:sz w:val="22"/>
          <w:szCs w:val="22"/>
        </w:rPr>
        <w:t xml:space="preserve"> aj u pacientov bez podozrenia na ochorenie srdca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a s normálnymi výsledkami kardiovaskulárneho vyšetrenia pred liečbou.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lastRenderedPageBreak/>
        <w:t>Anagrelid sa má používať len ak potenciálne prínosy liečby prevýšia potenciálne riziká.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CA6E25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A6E25">
        <w:rPr>
          <w:rFonts w:eastAsia="TimesNewRoman"/>
          <w:sz w:val="22"/>
          <w:szCs w:val="22"/>
          <w:u w:val="single"/>
        </w:rPr>
        <w:t>Pulmonálna hypertenzia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U pacientov liečených anagrelidom boli hlásené prípady pulmonálnej hypertenzie. Pred začatím liečby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a počas liečby anagrelidom majú byť pacienti sledovaní </w:t>
      </w:r>
      <w:r w:rsidR="00B636C1">
        <w:rPr>
          <w:rFonts w:eastAsia="TimesNewRoman"/>
          <w:sz w:val="22"/>
          <w:szCs w:val="22"/>
        </w:rPr>
        <w:t>kvôli výskytu</w:t>
      </w:r>
      <w:r w:rsidRPr="00E554C1">
        <w:rPr>
          <w:rFonts w:eastAsia="TimesNewRoman"/>
          <w:sz w:val="22"/>
          <w:szCs w:val="22"/>
        </w:rPr>
        <w:t xml:space="preserve"> prejavov a príznakov základného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kardiopulmonálneho ochorenia.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E554C1">
        <w:rPr>
          <w:rFonts w:eastAsia="TimesNewRoman"/>
          <w:sz w:val="22"/>
          <w:szCs w:val="22"/>
          <w:u w:val="single"/>
        </w:rPr>
        <w:t>Pediatrická populácia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Dostupné sú len veľmi limitované údaje o používaní anagrelidu u pediatrickej populácie a anagrelid by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sa mal používať u tejto skupiny pacientov s opatrnosťou (pozri časti 4.2, 4.8., 5.1 a 5.2).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Rovnako ako u dospelej populácie </w:t>
      </w:r>
      <w:r w:rsidR="00B636C1">
        <w:rPr>
          <w:rFonts w:eastAsia="TimesNewRoman"/>
          <w:sz w:val="22"/>
          <w:szCs w:val="22"/>
        </w:rPr>
        <w:t xml:space="preserve">sa </w:t>
      </w:r>
      <w:r w:rsidRPr="00E554C1">
        <w:rPr>
          <w:rFonts w:eastAsia="TimesNewRoman"/>
          <w:sz w:val="22"/>
          <w:szCs w:val="22"/>
        </w:rPr>
        <w:t>má byť pred liečbou a pravidelne počas liečby vykona</w:t>
      </w:r>
      <w:r w:rsidR="00B636C1">
        <w:rPr>
          <w:rFonts w:eastAsia="TimesNewRoman"/>
          <w:sz w:val="22"/>
          <w:szCs w:val="22"/>
        </w:rPr>
        <w:t>ť</w:t>
      </w:r>
      <w:r w:rsidRPr="00E554C1">
        <w:rPr>
          <w:rFonts w:eastAsia="TimesNewRoman"/>
          <w:sz w:val="22"/>
          <w:szCs w:val="22"/>
        </w:rPr>
        <w:t xml:space="preserve"> úplné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vyšetrenie krvného obrazu a zhodnot</w:t>
      </w:r>
      <w:r w:rsidR="00B636C1">
        <w:rPr>
          <w:rFonts w:eastAsia="TimesNewRoman"/>
          <w:sz w:val="22"/>
          <w:szCs w:val="22"/>
        </w:rPr>
        <w:t>iť</w:t>
      </w:r>
      <w:r w:rsidRPr="00E554C1">
        <w:rPr>
          <w:rFonts w:eastAsia="TimesNewRoman"/>
          <w:sz w:val="22"/>
          <w:szCs w:val="22"/>
        </w:rPr>
        <w:t xml:space="preserve"> funkci</w:t>
      </w:r>
      <w:r w:rsidR="00B636C1">
        <w:rPr>
          <w:rFonts w:eastAsia="TimesNewRoman"/>
          <w:sz w:val="22"/>
          <w:szCs w:val="22"/>
        </w:rPr>
        <w:t>a</w:t>
      </w:r>
      <w:r w:rsidRPr="00E554C1">
        <w:rPr>
          <w:rFonts w:eastAsia="TimesNewRoman"/>
          <w:sz w:val="22"/>
          <w:szCs w:val="22"/>
        </w:rPr>
        <w:t xml:space="preserve"> srdca, pečene a obličiek.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Ochorenie môže progredovať do myelofibrózy alebo </w:t>
      </w:r>
      <w:r w:rsidR="00B636C1" w:rsidRPr="00B636C1">
        <w:rPr>
          <w:rFonts w:eastAsia="TimesNewRoman"/>
          <w:sz w:val="22"/>
          <w:szCs w:val="22"/>
        </w:rPr>
        <w:t xml:space="preserve">akútnej myeloblastovej leukémie </w:t>
      </w:r>
      <w:r w:rsidR="00B636C1">
        <w:rPr>
          <w:rFonts w:eastAsia="TimesNewRoman"/>
          <w:sz w:val="22"/>
          <w:szCs w:val="22"/>
        </w:rPr>
        <w:t>(</w:t>
      </w:r>
      <w:r w:rsidRPr="00E554C1">
        <w:rPr>
          <w:rFonts w:eastAsia="TimesNewRoman"/>
          <w:sz w:val="22"/>
          <w:szCs w:val="22"/>
        </w:rPr>
        <w:t>AML</w:t>
      </w:r>
      <w:r w:rsidR="00B636C1">
        <w:rPr>
          <w:rFonts w:eastAsia="TimesNewRoman"/>
          <w:sz w:val="22"/>
          <w:szCs w:val="22"/>
        </w:rPr>
        <w:t>)</w:t>
      </w:r>
      <w:r w:rsidRPr="00E554C1">
        <w:rPr>
          <w:rFonts w:eastAsia="TimesNewRoman"/>
          <w:sz w:val="22"/>
          <w:szCs w:val="22"/>
        </w:rPr>
        <w:t>. Hoci miera takejto progresie nie je známa,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u detí je priebeh ochorenia dlhší a preto je u nich zvýšené riziko malígnej transformácie v</w:t>
      </w:r>
      <w:r w:rsidR="00B636C1">
        <w:rPr>
          <w:rFonts w:eastAsia="TimesNewRoman"/>
          <w:sz w:val="22"/>
          <w:szCs w:val="22"/>
        </w:rPr>
        <w:t> </w:t>
      </w:r>
      <w:r w:rsidRPr="00E554C1">
        <w:rPr>
          <w:rFonts w:eastAsia="TimesNewRoman"/>
          <w:sz w:val="22"/>
          <w:szCs w:val="22"/>
        </w:rPr>
        <w:t>porovnaní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s dospelými. Deti majú byť pravidelne monitorované kvôli progresii ochorenia v súlade so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štandardnými klinickými postupmi ako sú fyzikálne vyšetrenie, zhodnotenie relevantných markerov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ochorenia a biopsia kostnej drene.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Akékoľvek abnormality majú byť okamžite vyhodnotené a je potrebné urobiť vhodné opatrenia, ktoré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môžu zahŕňať zníženie dávky, prerušenie alebo ukončenie</w:t>
      </w:r>
      <w:r w:rsidR="00B636C1">
        <w:rPr>
          <w:rFonts w:eastAsia="TimesNewRoman"/>
          <w:sz w:val="22"/>
          <w:szCs w:val="22"/>
        </w:rPr>
        <w:t xml:space="preserve"> liečby</w:t>
      </w:r>
      <w:r w:rsidRPr="00E554C1">
        <w:rPr>
          <w:rFonts w:eastAsia="TimesNewRoman"/>
          <w:sz w:val="22"/>
          <w:szCs w:val="22"/>
        </w:rPr>
        <w:t>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CA6E25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A6E25">
        <w:rPr>
          <w:rFonts w:eastAsia="TimesNewRoman"/>
          <w:sz w:val="22"/>
          <w:szCs w:val="22"/>
          <w:u w:val="single"/>
        </w:rPr>
        <w:t>Klinicky relevantné interakcie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Anagrelid je inhibítorom fosfodiesterázy III (PDE III)</w:t>
      </w:r>
      <w:r w:rsidR="00B636C1">
        <w:rPr>
          <w:rFonts w:eastAsia="TimesNewRoman"/>
          <w:sz w:val="22"/>
          <w:szCs w:val="22"/>
        </w:rPr>
        <w:t xml:space="preserve"> cyklického AMP</w:t>
      </w:r>
      <w:r w:rsidRPr="00E554C1">
        <w:rPr>
          <w:rFonts w:eastAsia="TimesNewRoman"/>
          <w:sz w:val="22"/>
          <w:szCs w:val="22"/>
        </w:rPr>
        <w:t>. Sú</w:t>
      </w:r>
      <w:r w:rsidR="00B636C1">
        <w:rPr>
          <w:rFonts w:eastAsia="TimesNewRoman"/>
          <w:sz w:val="22"/>
          <w:szCs w:val="22"/>
        </w:rPr>
        <w:t>bežné</w:t>
      </w:r>
      <w:r w:rsidRPr="00E554C1">
        <w:rPr>
          <w:rFonts w:eastAsia="TimesNewRoman"/>
          <w:sz w:val="22"/>
          <w:szCs w:val="22"/>
        </w:rPr>
        <w:t xml:space="preserve"> používanie anagrelidu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s inými inhibítormi PDE III ako napríklad </w:t>
      </w:r>
      <w:r w:rsidR="00B636C1">
        <w:rPr>
          <w:rFonts w:eastAsia="TimesNewRoman"/>
          <w:sz w:val="22"/>
          <w:szCs w:val="22"/>
        </w:rPr>
        <w:t xml:space="preserve">s </w:t>
      </w:r>
      <w:r w:rsidRPr="00E554C1">
        <w:rPr>
          <w:rFonts w:eastAsia="TimesNewRoman"/>
          <w:sz w:val="22"/>
          <w:szCs w:val="22"/>
        </w:rPr>
        <w:t>milrin</w:t>
      </w:r>
      <w:r w:rsidR="00B636C1">
        <w:rPr>
          <w:rFonts w:eastAsia="TimesNewRoman"/>
          <w:sz w:val="22"/>
          <w:szCs w:val="22"/>
        </w:rPr>
        <w:t>ónom</w:t>
      </w:r>
      <w:r w:rsidRPr="00E554C1">
        <w:rPr>
          <w:rFonts w:eastAsia="TimesNewRoman"/>
          <w:sz w:val="22"/>
          <w:szCs w:val="22"/>
        </w:rPr>
        <w:t>, amrin</w:t>
      </w:r>
      <w:r w:rsidR="00B636C1">
        <w:rPr>
          <w:rFonts w:eastAsia="TimesNewRoman"/>
          <w:sz w:val="22"/>
          <w:szCs w:val="22"/>
        </w:rPr>
        <w:t>ónom</w:t>
      </w:r>
      <w:r w:rsidRPr="00E554C1">
        <w:rPr>
          <w:rFonts w:eastAsia="TimesNewRoman"/>
          <w:sz w:val="22"/>
          <w:szCs w:val="22"/>
        </w:rPr>
        <w:t>, enoxim</w:t>
      </w:r>
      <w:r w:rsidR="00B636C1">
        <w:rPr>
          <w:rFonts w:eastAsia="TimesNewRoman"/>
          <w:sz w:val="22"/>
          <w:szCs w:val="22"/>
        </w:rPr>
        <w:t>ónom</w:t>
      </w:r>
      <w:r w:rsidRPr="00E554C1">
        <w:rPr>
          <w:rFonts w:eastAsia="TimesNewRoman"/>
          <w:sz w:val="22"/>
          <w:szCs w:val="22"/>
        </w:rPr>
        <w:t>, olprin</w:t>
      </w:r>
      <w:r w:rsidR="00B636C1">
        <w:rPr>
          <w:rFonts w:eastAsia="TimesNewRoman"/>
          <w:sz w:val="22"/>
          <w:szCs w:val="22"/>
        </w:rPr>
        <w:t>ónom</w:t>
      </w:r>
      <w:r w:rsidRPr="00E554C1">
        <w:rPr>
          <w:rFonts w:eastAsia="TimesNewRoman"/>
          <w:sz w:val="22"/>
          <w:szCs w:val="22"/>
        </w:rPr>
        <w:t xml:space="preserve"> a cilostazol</w:t>
      </w:r>
      <w:r w:rsidR="00B636C1">
        <w:rPr>
          <w:rFonts w:eastAsia="TimesNewRoman"/>
          <w:sz w:val="22"/>
          <w:szCs w:val="22"/>
        </w:rPr>
        <w:t>om</w:t>
      </w:r>
      <w:r w:rsidRPr="00E554C1">
        <w:rPr>
          <w:rFonts w:eastAsia="TimesNewRoman"/>
          <w:sz w:val="22"/>
          <w:szCs w:val="22"/>
        </w:rPr>
        <w:t xml:space="preserve"> sa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neodporúča.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Sú</w:t>
      </w:r>
      <w:r w:rsidR="00B636C1">
        <w:rPr>
          <w:rFonts w:eastAsia="TimesNewRoman"/>
          <w:sz w:val="22"/>
          <w:szCs w:val="22"/>
        </w:rPr>
        <w:t>bežné</w:t>
      </w:r>
      <w:r w:rsidRPr="00E554C1">
        <w:rPr>
          <w:rFonts w:eastAsia="TimesNewRoman"/>
          <w:sz w:val="22"/>
          <w:szCs w:val="22"/>
        </w:rPr>
        <w:t xml:space="preserve"> používanie anagrelidu a kyseliny acetylsalicylovej je spojené so závažnými hemoragickými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príhodami (pozri časť 4.5).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E554C1">
        <w:rPr>
          <w:rFonts w:eastAsia="TimesNewRoman"/>
          <w:sz w:val="22"/>
          <w:szCs w:val="22"/>
          <w:u w:val="single"/>
        </w:rPr>
        <w:t>Pomocné látky</w:t>
      </w: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Anagrelid STADA obsahuje laktózu. Pacienti so zriedkavými dedičnými problémami galaktózovej intolerancie, </w:t>
      </w:r>
      <w:r w:rsidR="00B636C1">
        <w:rPr>
          <w:rFonts w:eastAsia="TimesNewRoman"/>
          <w:sz w:val="22"/>
          <w:szCs w:val="22"/>
        </w:rPr>
        <w:t>celkovým</w:t>
      </w:r>
      <w:r w:rsidRPr="00E554C1">
        <w:rPr>
          <w:rFonts w:eastAsia="TimesNewRoman"/>
          <w:sz w:val="22"/>
          <w:szCs w:val="22"/>
        </w:rPr>
        <w:t xml:space="preserve"> deficit</w:t>
      </w:r>
      <w:r w:rsidR="00B636C1">
        <w:rPr>
          <w:rFonts w:eastAsia="TimesNewRoman"/>
          <w:sz w:val="22"/>
          <w:szCs w:val="22"/>
        </w:rPr>
        <w:t>om</w:t>
      </w:r>
      <w:r w:rsidRPr="00E554C1">
        <w:rPr>
          <w:rFonts w:eastAsia="TimesNewRoman"/>
          <w:sz w:val="22"/>
          <w:szCs w:val="22"/>
        </w:rPr>
        <w:t xml:space="preserve"> laktázy alebo glukózo-galaktózov</w:t>
      </w:r>
      <w:r w:rsidR="00B636C1">
        <w:rPr>
          <w:rFonts w:eastAsia="TimesNewRoman"/>
          <w:sz w:val="22"/>
          <w:szCs w:val="22"/>
        </w:rPr>
        <w:t>ou</w:t>
      </w:r>
      <w:r w:rsidRPr="00E554C1">
        <w:rPr>
          <w:rFonts w:eastAsia="TimesNewRoman"/>
          <w:sz w:val="22"/>
          <w:szCs w:val="22"/>
        </w:rPr>
        <w:t xml:space="preserve"> malabsorpci</w:t>
      </w:r>
      <w:r w:rsidR="00B636C1">
        <w:rPr>
          <w:rFonts w:eastAsia="TimesNewRoman"/>
          <w:sz w:val="22"/>
          <w:szCs w:val="22"/>
        </w:rPr>
        <w:t>ou</w:t>
      </w:r>
      <w:r w:rsidRPr="00E554C1">
        <w:rPr>
          <w:rFonts w:eastAsia="TimesNewRoman"/>
          <w:sz w:val="22"/>
          <w:szCs w:val="22"/>
        </w:rPr>
        <w:t xml:space="preserve"> nesmú užívať tento liek.</w:t>
      </w:r>
    </w:p>
    <w:p w:rsidR="00A079C5" w:rsidRDefault="00A079C5" w:rsidP="00A079C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7B0BE4" w:rsidRDefault="00A079C5" w:rsidP="00A079C5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A079C5">
        <w:rPr>
          <w:bCs/>
          <w:iCs/>
          <w:sz w:val="22"/>
          <w:szCs w:val="22"/>
        </w:rPr>
        <w:t xml:space="preserve">Tento liek obsahuje menej ako 1 mmol sodíka (23 mg) v </w:t>
      </w:r>
      <w:r>
        <w:rPr>
          <w:bCs/>
          <w:iCs/>
          <w:sz w:val="22"/>
          <w:szCs w:val="22"/>
        </w:rPr>
        <w:t>kapsule</w:t>
      </w:r>
      <w:r w:rsidRPr="00A079C5">
        <w:rPr>
          <w:bCs/>
          <w:iCs/>
          <w:sz w:val="22"/>
          <w:szCs w:val="22"/>
        </w:rPr>
        <w:t>, t.j. v podstate zanedbateľné množstvo sodíka.</w:t>
      </w:r>
    </w:p>
    <w:p w:rsidR="00A079C5" w:rsidRPr="00E554C1" w:rsidRDefault="00A079C5" w:rsidP="00A079C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554C1">
        <w:rPr>
          <w:b/>
          <w:bCs/>
          <w:iCs/>
          <w:sz w:val="22"/>
          <w:szCs w:val="22"/>
        </w:rPr>
        <w:t>4.5</w:t>
      </w:r>
      <w:r w:rsidR="00161F57" w:rsidRPr="00E554C1">
        <w:rPr>
          <w:b/>
          <w:bCs/>
          <w:iCs/>
          <w:sz w:val="22"/>
          <w:szCs w:val="22"/>
        </w:rPr>
        <w:tab/>
        <w:t xml:space="preserve">Liekové </w:t>
      </w:r>
      <w:r w:rsidR="00155F8F" w:rsidRPr="00E554C1">
        <w:rPr>
          <w:b/>
          <w:sz w:val="22"/>
          <w:szCs w:val="22"/>
        </w:rPr>
        <w:t xml:space="preserve">a iné </w:t>
      </w:r>
      <w:r w:rsidR="00161F57" w:rsidRPr="00E554C1">
        <w:rPr>
          <w:b/>
          <w:bCs/>
          <w:iCs/>
          <w:sz w:val="22"/>
          <w:szCs w:val="22"/>
        </w:rPr>
        <w:t>interakcie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Uskutočnili sa limitované farmakokinetické a/alebo farmakodynamické štúdie, skúmajúce možné</w:t>
      </w:r>
      <w:r w:rsidR="00B636C1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interakcie medzi anagrelidom a inými liekmi.</w:t>
      </w:r>
    </w:p>
    <w:p w:rsidR="002A28E1" w:rsidRPr="00E554C1" w:rsidRDefault="002A28E1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B0BE4" w:rsidRPr="00E554C1" w:rsidRDefault="007B0BE4" w:rsidP="007B0BE4">
      <w:pPr>
        <w:autoSpaceDE w:val="0"/>
        <w:autoSpaceDN w:val="0"/>
        <w:adjustRightInd w:val="0"/>
        <w:rPr>
          <w:rFonts w:eastAsia="TimesNewRoman"/>
          <w:i/>
          <w:sz w:val="22"/>
          <w:szCs w:val="22"/>
        </w:rPr>
      </w:pPr>
      <w:r w:rsidRPr="00E554C1">
        <w:rPr>
          <w:rFonts w:eastAsia="TimesNewRoman"/>
          <w:i/>
          <w:sz w:val="22"/>
          <w:szCs w:val="22"/>
        </w:rPr>
        <w:t>Účinky iných liečiv na anagrelid</w:t>
      </w:r>
    </w:p>
    <w:p w:rsidR="007B0BE4" w:rsidRPr="008D2422" w:rsidRDefault="007B0BE4" w:rsidP="00E24067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8D2422">
        <w:rPr>
          <w:rFonts w:eastAsia="TimesNewRoman"/>
          <w:sz w:val="22"/>
          <w:szCs w:val="22"/>
        </w:rPr>
        <w:t xml:space="preserve">Štúdie interakcií </w:t>
      </w:r>
      <w:r w:rsidRPr="008D2422">
        <w:rPr>
          <w:rFonts w:eastAsia="TimesNewRoman"/>
          <w:i/>
          <w:iCs/>
          <w:sz w:val="22"/>
          <w:szCs w:val="22"/>
        </w:rPr>
        <w:t xml:space="preserve">in vivo </w:t>
      </w:r>
      <w:r w:rsidRPr="008D2422">
        <w:rPr>
          <w:rFonts w:eastAsia="TimesNewRoman"/>
          <w:sz w:val="22"/>
          <w:szCs w:val="22"/>
        </w:rPr>
        <w:t>u ľudí preukázali, že digoxín a warfarín neovplyvňujú farmakokinetické</w:t>
      </w:r>
      <w:r w:rsid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vlastnosti anagrelidu.</w:t>
      </w:r>
    </w:p>
    <w:p w:rsidR="007B0BE4" w:rsidRPr="00CA6E25" w:rsidRDefault="007B0BE4" w:rsidP="00E554C1">
      <w:pPr>
        <w:autoSpaceDE w:val="0"/>
        <w:autoSpaceDN w:val="0"/>
        <w:adjustRightInd w:val="0"/>
        <w:ind w:left="567" w:hanging="567"/>
        <w:rPr>
          <w:rFonts w:eastAsia="TimesNewRoman"/>
          <w:iCs/>
          <w:sz w:val="22"/>
          <w:szCs w:val="22"/>
          <w:u w:val="single"/>
        </w:rPr>
      </w:pPr>
      <w:r w:rsidRPr="00CA6E25">
        <w:rPr>
          <w:rFonts w:eastAsia="TimesNewRoman"/>
          <w:iCs/>
          <w:sz w:val="22"/>
          <w:szCs w:val="22"/>
          <w:u w:val="single"/>
        </w:rPr>
        <w:t>Inhibítory CYP1A2</w:t>
      </w:r>
    </w:p>
    <w:p w:rsidR="007B0BE4" w:rsidRPr="008D2422" w:rsidRDefault="007B0BE4" w:rsidP="00E24067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Anagrelid je primárne metabolizovaný </w:t>
      </w:r>
      <w:r w:rsidR="008D2422">
        <w:rPr>
          <w:rFonts w:eastAsia="TimesNewRoman"/>
          <w:sz w:val="22"/>
          <w:szCs w:val="22"/>
        </w:rPr>
        <w:t xml:space="preserve">prostredníctvom </w:t>
      </w:r>
      <w:r w:rsidRPr="00E554C1">
        <w:rPr>
          <w:rFonts w:eastAsia="TimesNewRoman"/>
          <w:sz w:val="22"/>
          <w:szCs w:val="22"/>
        </w:rPr>
        <w:t>CYP1A2. Je známe, že CYP1A2 je inhibovaný</w:t>
      </w:r>
      <w:r w:rsid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niekoľkými liekmi, vrátane fluvoxamínu a enoxacínu, a tieto lieky by teoreticky mohli</w:t>
      </w:r>
      <w:r w:rsid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nepriaznivo ovplyvniť klírens anagrelidu.</w:t>
      </w:r>
    </w:p>
    <w:p w:rsidR="007B0BE4" w:rsidRPr="00CA6E25" w:rsidRDefault="007B0BE4" w:rsidP="00E554C1">
      <w:pPr>
        <w:autoSpaceDE w:val="0"/>
        <w:autoSpaceDN w:val="0"/>
        <w:adjustRightInd w:val="0"/>
        <w:ind w:left="567" w:hanging="567"/>
        <w:rPr>
          <w:rFonts w:eastAsia="TimesNewRoman"/>
          <w:iCs/>
          <w:sz w:val="22"/>
          <w:szCs w:val="22"/>
          <w:u w:val="single"/>
        </w:rPr>
      </w:pPr>
      <w:r w:rsidRPr="00CA6E25">
        <w:rPr>
          <w:rFonts w:eastAsia="TimesNewRoman"/>
          <w:iCs/>
          <w:sz w:val="22"/>
          <w:szCs w:val="22"/>
          <w:u w:val="single"/>
        </w:rPr>
        <w:t>Induktory CYP1A2</w:t>
      </w:r>
    </w:p>
    <w:p w:rsidR="007B0BE4" w:rsidRPr="008D2422" w:rsidRDefault="007B0BE4" w:rsidP="00E24067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Induktory CYP1A2 (ako napr. omeprazol) môžu znížiť expozíciu anagrelidu zvýšením hladiny</w:t>
      </w:r>
      <w:r w:rsid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jeho hlavného aktívneho metabolitu. Dopad na profily bezpečnosti a účinnosti anagrelidu nebol</w:t>
      </w:r>
      <w:r w:rsidR="008D2422" w:rsidRP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stanovený. Z tohto dôvodu sa pacientom užívajúcim súbežne induktory CYP1A2 odporúča</w:t>
      </w:r>
      <w:r w:rsid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klinické a biologické sledovanie. Pokiaľ je to potrebné, môže sa upraviť dávka anagrelidu.</w:t>
      </w:r>
    </w:p>
    <w:p w:rsidR="00E554C1" w:rsidRPr="00E554C1" w:rsidRDefault="00E554C1" w:rsidP="00E554C1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</w:p>
    <w:p w:rsidR="007B0BE4" w:rsidRPr="00E554C1" w:rsidRDefault="007B0BE4" w:rsidP="00E554C1">
      <w:pPr>
        <w:autoSpaceDE w:val="0"/>
        <w:autoSpaceDN w:val="0"/>
        <w:adjustRightInd w:val="0"/>
        <w:ind w:left="567" w:hanging="567"/>
        <w:rPr>
          <w:rFonts w:eastAsia="TimesNewRoman"/>
          <w:i/>
          <w:sz w:val="22"/>
          <w:szCs w:val="22"/>
        </w:rPr>
      </w:pPr>
      <w:r w:rsidRPr="00E554C1">
        <w:rPr>
          <w:rFonts w:eastAsia="TimesNewRoman"/>
          <w:i/>
          <w:sz w:val="22"/>
          <w:szCs w:val="22"/>
        </w:rPr>
        <w:t>Účinky anagrelidu na iné liečivá</w:t>
      </w:r>
    </w:p>
    <w:p w:rsidR="007B0BE4" w:rsidRPr="008D2422" w:rsidRDefault="007B0BE4" w:rsidP="00E24067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8D2422">
        <w:rPr>
          <w:rFonts w:eastAsia="TimesNewRoman"/>
          <w:sz w:val="22"/>
          <w:szCs w:val="22"/>
        </w:rPr>
        <w:lastRenderedPageBreak/>
        <w:t>Anagrelid preukazuje limitovanú inhibičnú aktivitu voči CYP1A2, čo môže predstavovať</w:t>
      </w:r>
      <w:r w:rsidR="008D2422" w:rsidRP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teoretickú možnosť interakcie s inými súbežne podávanými liekmi, ktoré zdieľajú rovnaký</w:t>
      </w:r>
      <w:r w:rsid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mechanizmus klírensu, napríklad teofylín.</w:t>
      </w:r>
    </w:p>
    <w:p w:rsidR="00161F57" w:rsidRPr="008D2422" w:rsidRDefault="007B0BE4" w:rsidP="00E24067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8D2422">
        <w:rPr>
          <w:rFonts w:eastAsia="TimesNewRoman"/>
          <w:sz w:val="22"/>
          <w:szCs w:val="22"/>
        </w:rPr>
        <w:t>Anagrelid je inhibítorom PDE III. Účinky liekov s podobnými vlastnosťami, ako sú inotropné</w:t>
      </w:r>
      <w:r w:rsid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látky milrin</w:t>
      </w:r>
      <w:r w:rsidR="008D2422">
        <w:rPr>
          <w:rFonts w:eastAsia="TimesNewRoman"/>
          <w:sz w:val="22"/>
          <w:szCs w:val="22"/>
        </w:rPr>
        <w:t>ó</w:t>
      </w:r>
      <w:r w:rsidRPr="008D2422">
        <w:rPr>
          <w:rFonts w:eastAsia="TimesNewRoman"/>
          <w:sz w:val="22"/>
          <w:szCs w:val="22"/>
        </w:rPr>
        <w:t>n, enoxim</w:t>
      </w:r>
      <w:r w:rsidR="008D2422">
        <w:rPr>
          <w:rFonts w:eastAsia="TimesNewRoman"/>
          <w:sz w:val="22"/>
          <w:szCs w:val="22"/>
        </w:rPr>
        <w:t>ó</w:t>
      </w:r>
      <w:r w:rsidRPr="008D2422">
        <w:rPr>
          <w:rFonts w:eastAsia="TimesNewRoman"/>
          <w:sz w:val="22"/>
          <w:szCs w:val="22"/>
        </w:rPr>
        <w:t>n, amrin</w:t>
      </w:r>
      <w:r w:rsidR="008D2422">
        <w:rPr>
          <w:rFonts w:eastAsia="TimesNewRoman"/>
          <w:sz w:val="22"/>
          <w:szCs w:val="22"/>
        </w:rPr>
        <w:t>ó</w:t>
      </w:r>
      <w:r w:rsidRPr="008D2422">
        <w:rPr>
          <w:rFonts w:eastAsia="TimesNewRoman"/>
          <w:sz w:val="22"/>
          <w:szCs w:val="22"/>
        </w:rPr>
        <w:t>n, olprin</w:t>
      </w:r>
      <w:r w:rsidR="008D2422">
        <w:rPr>
          <w:rFonts w:eastAsia="TimesNewRoman"/>
          <w:sz w:val="22"/>
          <w:szCs w:val="22"/>
        </w:rPr>
        <w:t>ó</w:t>
      </w:r>
      <w:r w:rsidRPr="008D2422">
        <w:rPr>
          <w:rFonts w:eastAsia="TimesNewRoman"/>
          <w:sz w:val="22"/>
          <w:szCs w:val="22"/>
        </w:rPr>
        <w:t>n a cilostazol, môže anagrelid z</w:t>
      </w:r>
      <w:r w:rsidR="008D2422">
        <w:rPr>
          <w:rFonts w:eastAsia="TimesNewRoman"/>
          <w:sz w:val="22"/>
          <w:szCs w:val="22"/>
        </w:rPr>
        <w:t>výrazniť</w:t>
      </w:r>
      <w:r w:rsidRPr="008D2422">
        <w:rPr>
          <w:rFonts w:eastAsia="TimesNewRoman"/>
          <w:sz w:val="22"/>
          <w:szCs w:val="22"/>
        </w:rPr>
        <w:t>.</w:t>
      </w:r>
    </w:p>
    <w:p w:rsidR="00E554C1" w:rsidRPr="00604E3F" w:rsidRDefault="00E554C1" w:rsidP="00E24067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8D2422">
        <w:rPr>
          <w:rFonts w:eastAsia="TimesNewRoman"/>
          <w:sz w:val="22"/>
          <w:szCs w:val="22"/>
        </w:rPr>
        <w:t>Štúdie interakci</w:t>
      </w:r>
      <w:r w:rsidR="00C02B22">
        <w:rPr>
          <w:rFonts w:eastAsia="TimesNewRoman"/>
          <w:sz w:val="22"/>
          <w:szCs w:val="22"/>
        </w:rPr>
        <w:t>í</w:t>
      </w:r>
      <w:r w:rsidRPr="008D2422">
        <w:rPr>
          <w:rFonts w:eastAsia="TimesNewRoman"/>
          <w:sz w:val="22"/>
          <w:szCs w:val="22"/>
        </w:rPr>
        <w:t xml:space="preserve"> </w:t>
      </w:r>
      <w:r w:rsidRPr="008D2422">
        <w:rPr>
          <w:i/>
          <w:iCs/>
          <w:sz w:val="22"/>
          <w:szCs w:val="22"/>
        </w:rPr>
        <w:t xml:space="preserve">in vivo </w:t>
      </w:r>
      <w:r w:rsidRPr="008D2422">
        <w:rPr>
          <w:rFonts w:eastAsia="TimesNewRoman"/>
          <w:sz w:val="22"/>
          <w:szCs w:val="22"/>
        </w:rPr>
        <w:t>u ľudí preukázali, že anagrelid neovplyvňuje farmakokinetické</w:t>
      </w:r>
      <w:r w:rsid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vlastnosti digoxínu a</w:t>
      </w:r>
      <w:r w:rsidRPr="00604E3F">
        <w:rPr>
          <w:rFonts w:eastAsia="TimesNewRoman"/>
          <w:sz w:val="22"/>
          <w:szCs w:val="22"/>
        </w:rPr>
        <w:t>lebo warfarínu.</w:t>
      </w:r>
    </w:p>
    <w:p w:rsidR="00E554C1" w:rsidRPr="00E554C1" w:rsidRDefault="00C02B22" w:rsidP="00E24067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C02B22">
        <w:rPr>
          <w:rFonts w:eastAsia="TimesNewRoman"/>
          <w:sz w:val="22"/>
          <w:szCs w:val="22"/>
        </w:rPr>
        <w:t xml:space="preserve">Anagrelid podávaný v dávkach odporúčaných na liečbu esenciálnej </w:t>
      </w:r>
      <w:r w:rsidR="00E554C1" w:rsidRPr="00C02B22">
        <w:rPr>
          <w:rFonts w:eastAsia="TimesNewRoman"/>
          <w:sz w:val="22"/>
          <w:szCs w:val="22"/>
        </w:rPr>
        <w:t xml:space="preserve"> trombocytémie môže </w:t>
      </w:r>
      <w:r>
        <w:rPr>
          <w:rFonts w:eastAsia="TimesNewRoman"/>
          <w:sz w:val="22"/>
          <w:szCs w:val="22"/>
        </w:rPr>
        <w:t>zosilniť</w:t>
      </w:r>
      <w:r w:rsidR="008D2422">
        <w:rPr>
          <w:rFonts w:eastAsia="TimesNewRoman"/>
          <w:sz w:val="22"/>
          <w:szCs w:val="22"/>
        </w:rPr>
        <w:t xml:space="preserve"> </w:t>
      </w:r>
      <w:r w:rsidR="00E554C1" w:rsidRPr="008D2422">
        <w:rPr>
          <w:rFonts w:eastAsia="TimesNewRoman"/>
          <w:sz w:val="22"/>
          <w:szCs w:val="22"/>
        </w:rPr>
        <w:t xml:space="preserve">účinky iných liekov, ktoré </w:t>
      </w:r>
      <w:r>
        <w:rPr>
          <w:rFonts w:eastAsia="TimesNewRoman"/>
          <w:sz w:val="22"/>
          <w:szCs w:val="22"/>
        </w:rPr>
        <w:t>inhibujú</w:t>
      </w:r>
      <w:r w:rsidR="00E554C1" w:rsidRPr="008D2422">
        <w:rPr>
          <w:rFonts w:eastAsia="TimesNewRoman"/>
          <w:sz w:val="22"/>
          <w:szCs w:val="22"/>
        </w:rPr>
        <w:t xml:space="preserve"> alebo pozmeňujú funkciu krvných doštičiek, napr.</w:t>
      </w:r>
      <w:r w:rsidRPr="00C02B22" w:rsidDel="00C02B22">
        <w:rPr>
          <w:rFonts w:eastAsia="TimesNewRoman"/>
          <w:sz w:val="22"/>
          <w:szCs w:val="22"/>
        </w:rPr>
        <w:t xml:space="preserve"> </w:t>
      </w:r>
      <w:r w:rsidR="00E554C1" w:rsidRPr="00E554C1">
        <w:rPr>
          <w:rFonts w:eastAsia="TimesNewRoman"/>
          <w:sz w:val="22"/>
          <w:szCs w:val="22"/>
        </w:rPr>
        <w:t>kyselin</w:t>
      </w:r>
      <w:r>
        <w:rPr>
          <w:rFonts w:eastAsia="TimesNewRoman"/>
          <w:sz w:val="22"/>
          <w:szCs w:val="22"/>
        </w:rPr>
        <w:t>y</w:t>
      </w:r>
      <w:r w:rsidR="00E554C1" w:rsidRPr="00E554C1">
        <w:rPr>
          <w:rFonts w:eastAsia="TimesNewRoman"/>
          <w:sz w:val="22"/>
          <w:szCs w:val="22"/>
        </w:rPr>
        <w:t xml:space="preserve"> acetylsalicylov</w:t>
      </w:r>
      <w:r>
        <w:rPr>
          <w:rFonts w:eastAsia="TimesNewRoman"/>
          <w:sz w:val="22"/>
          <w:szCs w:val="22"/>
        </w:rPr>
        <w:t>ej</w:t>
      </w:r>
      <w:r w:rsidR="00E554C1" w:rsidRPr="00E554C1">
        <w:rPr>
          <w:rFonts w:eastAsia="TimesNewRoman"/>
          <w:sz w:val="22"/>
          <w:szCs w:val="22"/>
        </w:rPr>
        <w:t>.</w:t>
      </w:r>
    </w:p>
    <w:p w:rsidR="00E554C1" w:rsidRPr="008D2422" w:rsidRDefault="00E554C1" w:rsidP="00E24067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8D2422">
        <w:rPr>
          <w:rFonts w:eastAsia="TimesNewRoman"/>
          <w:sz w:val="22"/>
          <w:szCs w:val="22"/>
        </w:rPr>
        <w:t>V klinickej interakčnej štúdii so zdravými jedincami sa preukázalo, že súbežné podávanie</w:t>
      </w:r>
      <w:r w:rsidR="008D2422" w:rsidRP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opakovanej dávky anagrelidu 1 mg jedenkrát denne a kyseliny acetylsalicylovej 75 mg</w:t>
      </w:r>
      <w:r w:rsidR="008D2422" w:rsidRP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jedenkrát denne m</w:t>
      </w:r>
      <w:r w:rsidR="00C02B22">
        <w:rPr>
          <w:rFonts w:eastAsia="TimesNewRoman"/>
          <w:sz w:val="22"/>
          <w:szCs w:val="22"/>
        </w:rPr>
        <w:t>ôže zvýšiť</w:t>
      </w:r>
      <w:r w:rsidRPr="008D2422">
        <w:rPr>
          <w:rFonts w:eastAsia="TimesNewRoman"/>
          <w:sz w:val="22"/>
          <w:szCs w:val="22"/>
        </w:rPr>
        <w:t xml:space="preserve"> antiagregačné účinky každého liečiva na krvné doštičky </w:t>
      </w:r>
      <w:r w:rsidR="00C02B22">
        <w:rPr>
          <w:rFonts w:eastAsia="TimesNewRoman"/>
          <w:sz w:val="22"/>
          <w:szCs w:val="22"/>
        </w:rPr>
        <w:t>v porov</w:t>
      </w:r>
      <w:r w:rsidR="00C33D5C">
        <w:rPr>
          <w:rFonts w:eastAsia="TimesNewRoman"/>
          <w:sz w:val="22"/>
          <w:szCs w:val="22"/>
        </w:rPr>
        <w:t>n</w:t>
      </w:r>
      <w:r w:rsidR="00C02B22">
        <w:rPr>
          <w:rFonts w:eastAsia="TimesNewRoman"/>
          <w:sz w:val="22"/>
          <w:szCs w:val="22"/>
        </w:rPr>
        <w:t>aní s</w:t>
      </w:r>
      <w:r w:rsidR="008D2422" w:rsidRP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podávan</w:t>
      </w:r>
      <w:r w:rsidR="00C02B22">
        <w:rPr>
          <w:rFonts w:eastAsia="TimesNewRoman"/>
          <w:sz w:val="22"/>
          <w:szCs w:val="22"/>
        </w:rPr>
        <w:t>ím</w:t>
      </w:r>
      <w:r w:rsidRPr="008D2422">
        <w:rPr>
          <w:rFonts w:eastAsia="TimesNewRoman"/>
          <w:sz w:val="22"/>
          <w:szCs w:val="22"/>
        </w:rPr>
        <w:t xml:space="preserve"> samotnej kyseliny acetylsalicylovej. U niektorých pacientov s ET súbežne liečených</w:t>
      </w:r>
      <w:r w:rsidR="008D2422" w:rsidRP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kyselinou acetylsalicylovou a anagrelidom sa vyskytli závažné hemorágie. Preto sa majú pred</w:t>
      </w:r>
      <w:r w:rsidR="008D2422" w:rsidRP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začatím liečby zhodnotiť potenciálne riziká súbežného používania anagrelidu s kyselinou</w:t>
      </w:r>
      <w:r w:rsid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acetylsalicylovou, predovšetkým u pacientov s vysok</w:t>
      </w:r>
      <w:r w:rsidR="00C02B22">
        <w:rPr>
          <w:rFonts w:eastAsia="TimesNewRoman"/>
          <w:sz w:val="22"/>
          <w:szCs w:val="22"/>
        </w:rPr>
        <w:t>o</w:t>
      </w:r>
      <w:r w:rsidRPr="008D2422">
        <w:rPr>
          <w:rFonts w:eastAsia="TimesNewRoman"/>
          <w:sz w:val="22"/>
          <w:szCs w:val="22"/>
        </w:rPr>
        <w:t xml:space="preserve"> rizikovým profilom pre krvácanie.</w:t>
      </w:r>
    </w:p>
    <w:p w:rsidR="00E554C1" w:rsidRPr="008D2422" w:rsidRDefault="00E554C1" w:rsidP="00E24067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8D2422">
        <w:rPr>
          <w:rFonts w:eastAsia="TimesNewRoman"/>
          <w:sz w:val="22"/>
          <w:szCs w:val="22"/>
        </w:rPr>
        <w:t>Anagrelid môže u niektorých pacientov spôsobovať črevné poruchy a zhoršiť vstrebávanie</w:t>
      </w:r>
      <w:r w:rsidR="008D2422">
        <w:rPr>
          <w:rFonts w:eastAsia="TimesNewRoman"/>
          <w:sz w:val="22"/>
          <w:szCs w:val="22"/>
        </w:rPr>
        <w:t xml:space="preserve"> </w:t>
      </w:r>
      <w:r w:rsidRPr="008D2422">
        <w:rPr>
          <w:rFonts w:eastAsia="TimesNewRoman"/>
          <w:sz w:val="22"/>
          <w:szCs w:val="22"/>
        </w:rPr>
        <w:t>hormonálnej perorálnej antikoncepcie.</w:t>
      </w:r>
    </w:p>
    <w:p w:rsidR="00E554C1" w:rsidRPr="00E554C1" w:rsidRDefault="00E554C1" w:rsidP="00E554C1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</w:p>
    <w:p w:rsidR="00E554C1" w:rsidRPr="00E554C1" w:rsidRDefault="00E554C1" w:rsidP="00E554C1">
      <w:pPr>
        <w:autoSpaceDE w:val="0"/>
        <w:autoSpaceDN w:val="0"/>
        <w:adjustRightInd w:val="0"/>
        <w:ind w:left="567" w:hanging="567"/>
        <w:rPr>
          <w:rFonts w:eastAsia="TimesNewRoman"/>
          <w:i/>
          <w:sz w:val="22"/>
          <w:szCs w:val="22"/>
        </w:rPr>
      </w:pPr>
      <w:r w:rsidRPr="00E554C1">
        <w:rPr>
          <w:rFonts w:eastAsia="TimesNewRoman"/>
          <w:i/>
          <w:sz w:val="22"/>
          <w:szCs w:val="22"/>
        </w:rPr>
        <w:t>Interakcie s jedlom</w:t>
      </w:r>
    </w:p>
    <w:p w:rsidR="00E554C1" w:rsidRPr="00E554C1" w:rsidRDefault="00E554C1" w:rsidP="00E554C1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Jedlo spomaľuje vstrebávanie anagrelidu, ale významne nemení systémovú expozíciu.</w:t>
      </w:r>
    </w:p>
    <w:p w:rsidR="00E554C1" w:rsidRPr="00E554C1" w:rsidRDefault="00C02B22" w:rsidP="00E24067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Vplyv</w:t>
      </w:r>
      <w:r w:rsidR="00E554C1" w:rsidRPr="00E554C1">
        <w:rPr>
          <w:rFonts w:eastAsia="TimesNewRoman"/>
          <w:sz w:val="22"/>
          <w:szCs w:val="22"/>
        </w:rPr>
        <w:t xml:space="preserve"> jedla na biologickú dostupnosť sa nepovažuj</w:t>
      </w:r>
      <w:r>
        <w:rPr>
          <w:rFonts w:eastAsia="TimesNewRoman"/>
          <w:sz w:val="22"/>
          <w:szCs w:val="22"/>
        </w:rPr>
        <w:t>e</w:t>
      </w:r>
      <w:r w:rsidR="00E554C1" w:rsidRPr="00E554C1">
        <w:rPr>
          <w:rFonts w:eastAsia="TimesNewRoman"/>
          <w:sz w:val="22"/>
          <w:szCs w:val="22"/>
        </w:rPr>
        <w:t xml:space="preserve"> za klinicky relevantn</w:t>
      </w:r>
      <w:r>
        <w:rPr>
          <w:rFonts w:eastAsia="TimesNewRoman"/>
          <w:sz w:val="22"/>
          <w:szCs w:val="22"/>
        </w:rPr>
        <w:t>ý</w:t>
      </w:r>
      <w:r w:rsidR="00E554C1" w:rsidRPr="00E554C1">
        <w:rPr>
          <w:rFonts w:eastAsia="TimesNewRoman"/>
          <w:sz w:val="22"/>
          <w:szCs w:val="22"/>
        </w:rPr>
        <w:t xml:space="preserve"> </w:t>
      </w:r>
      <w:r>
        <w:rPr>
          <w:rFonts w:eastAsia="TimesNewRoman"/>
          <w:sz w:val="22"/>
          <w:szCs w:val="22"/>
        </w:rPr>
        <w:t>pri</w:t>
      </w:r>
      <w:r w:rsidR="00E554C1" w:rsidRPr="00E554C1">
        <w:rPr>
          <w:rFonts w:eastAsia="TimesNewRoman"/>
          <w:sz w:val="22"/>
          <w:szCs w:val="22"/>
        </w:rPr>
        <w:t xml:space="preserve"> užívan</w:t>
      </w:r>
      <w:r>
        <w:rPr>
          <w:rFonts w:eastAsia="TimesNewRoman"/>
          <w:sz w:val="22"/>
          <w:szCs w:val="22"/>
        </w:rPr>
        <w:t xml:space="preserve">í </w:t>
      </w:r>
      <w:r w:rsidR="00E554C1" w:rsidRPr="00E554C1">
        <w:rPr>
          <w:rFonts w:eastAsia="TimesNewRoman"/>
          <w:sz w:val="22"/>
          <w:szCs w:val="22"/>
        </w:rPr>
        <w:t>anagrelidu.</w:t>
      </w:r>
    </w:p>
    <w:p w:rsidR="00E554C1" w:rsidRPr="00E554C1" w:rsidRDefault="00E554C1" w:rsidP="00E554C1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</w:p>
    <w:p w:rsidR="00E554C1" w:rsidRPr="00E554C1" w:rsidRDefault="00E554C1" w:rsidP="00E554C1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  <w:u w:val="single"/>
        </w:rPr>
      </w:pPr>
      <w:r w:rsidRPr="00E554C1">
        <w:rPr>
          <w:rFonts w:eastAsia="TimesNewRoman"/>
          <w:sz w:val="22"/>
          <w:szCs w:val="22"/>
          <w:u w:val="single"/>
        </w:rPr>
        <w:t>Pediatrická populácia</w:t>
      </w:r>
    </w:p>
    <w:p w:rsidR="007B0BE4" w:rsidRPr="00E554C1" w:rsidRDefault="00E554C1" w:rsidP="00E554C1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Interakčné štúdie sa uskutočnili len u dospelých.</w:t>
      </w:r>
    </w:p>
    <w:p w:rsidR="00E554C1" w:rsidRPr="00E554C1" w:rsidRDefault="00E554C1" w:rsidP="00E554C1">
      <w:pPr>
        <w:autoSpaceDE w:val="0"/>
        <w:autoSpaceDN w:val="0"/>
        <w:adjustRightInd w:val="0"/>
        <w:ind w:left="567" w:hanging="567"/>
        <w:rPr>
          <w:bCs/>
          <w:iCs/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554C1">
        <w:rPr>
          <w:b/>
          <w:bCs/>
          <w:iCs/>
          <w:sz w:val="22"/>
          <w:szCs w:val="22"/>
        </w:rPr>
        <w:t>4.6</w:t>
      </w:r>
      <w:r w:rsidR="00161F57" w:rsidRPr="00E554C1">
        <w:rPr>
          <w:b/>
          <w:bCs/>
          <w:iCs/>
          <w:sz w:val="22"/>
          <w:szCs w:val="22"/>
        </w:rPr>
        <w:tab/>
      </w:r>
      <w:r w:rsidR="00712E6D" w:rsidRPr="00E554C1">
        <w:rPr>
          <w:b/>
          <w:bCs/>
          <w:iCs/>
          <w:sz w:val="22"/>
          <w:szCs w:val="22"/>
        </w:rPr>
        <w:t>Fertilita, g</w:t>
      </w:r>
      <w:r w:rsidR="00161F57" w:rsidRPr="00E554C1">
        <w:rPr>
          <w:b/>
          <w:sz w:val="22"/>
          <w:szCs w:val="22"/>
        </w:rPr>
        <w:t>ravidita a laktácia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E554C1" w:rsidRPr="00E554C1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E554C1">
        <w:rPr>
          <w:rFonts w:eastAsia="TimesNewRoman"/>
          <w:sz w:val="22"/>
          <w:szCs w:val="22"/>
          <w:u w:val="single"/>
        </w:rPr>
        <w:t>Ženy vo fertilnom veku</w:t>
      </w:r>
    </w:p>
    <w:p w:rsidR="00E554C1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Ženy vo fertilnom veku m</w:t>
      </w:r>
      <w:r w:rsidR="00074990">
        <w:rPr>
          <w:rFonts w:eastAsia="TimesNewRoman"/>
          <w:sz w:val="22"/>
          <w:szCs w:val="22"/>
        </w:rPr>
        <w:t>usia</w:t>
      </w:r>
      <w:r w:rsidRPr="00E554C1">
        <w:rPr>
          <w:rFonts w:eastAsia="TimesNewRoman"/>
          <w:sz w:val="22"/>
          <w:szCs w:val="22"/>
        </w:rPr>
        <w:t xml:space="preserve"> používať </w:t>
      </w:r>
      <w:r w:rsidR="00074990">
        <w:rPr>
          <w:rFonts w:eastAsia="TimesNewRoman"/>
          <w:sz w:val="22"/>
          <w:szCs w:val="22"/>
        </w:rPr>
        <w:t>účinnú</w:t>
      </w:r>
      <w:r w:rsidRPr="00E554C1">
        <w:rPr>
          <w:rFonts w:eastAsia="TimesNewRoman"/>
          <w:sz w:val="22"/>
          <w:szCs w:val="22"/>
        </w:rPr>
        <w:t xml:space="preserve"> antikoncepci</w:t>
      </w:r>
      <w:r w:rsidR="00074990">
        <w:rPr>
          <w:rFonts w:eastAsia="TimesNewRoman"/>
          <w:sz w:val="22"/>
          <w:szCs w:val="22"/>
        </w:rPr>
        <w:t xml:space="preserve">u </w:t>
      </w:r>
      <w:r w:rsidR="00074990" w:rsidRPr="00074990">
        <w:rPr>
          <w:rFonts w:eastAsia="TimesNewRoman"/>
          <w:sz w:val="22"/>
          <w:szCs w:val="22"/>
        </w:rPr>
        <w:t>počas liečby anagrelidom</w:t>
      </w:r>
      <w:r w:rsidRPr="00E554C1">
        <w:rPr>
          <w:rFonts w:eastAsia="TimesNewRoman"/>
          <w:sz w:val="22"/>
          <w:szCs w:val="22"/>
        </w:rPr>
        <w:t>.</w:t>
      </w:r>
    </w:p>
    <w:p w:rsidR="00E554C1" w:rsidRPr="00E554C1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E554C1" w:rsidRPr="00E554C1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E554C1">
        <w:rPr>
          <w:rFonts w:eastAsia="TimesNewRoman"/>
          <w:sz w:val="22"/>
          <w:szCs w:val="22"/>
          <w:u w:val="single"/>
        </w:rPr>
        <w:t>Gravidita</w:t>
      </w:r>
    </w:p>
    <w:p w:rsidR="00E554C1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 xml:space="preserve">Nie sú k dispozícii </w:t>
      </w:r>
      <w:r w:rsidR="00074990">
        <w:rPr>
          <w:rFonts w:eastAsia="TimesNewRoman"/>
          <w:sz w:val="22"/>
          <w:szCs w:val="22"/>
        </w:rPr>
        <w:t>dostatočné</w:t>
      </w:r>
      <w:r w:rsidRPr="00E554C1">
        <w:rPr>
          <w:rFonts w:eastAsia="TimesNewRoman"/>
          <w:sz w:val="22"/>
          <w:szCs w:val="22"/>
        </w:rPr>
        <w:t xml:space="preserve"> údaje o použití anagrelidu u gravidných žien. Štúdie na</w:t>
      </w:r>
      <w:r w:rsidR="00074990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zvieratách preukázali reprodukčnú toxicitu (pozri časť 5.3). Nie je známe potenciálne riziko u ľudí.</w:t>
      </w:r>
      <w:r w:rsidR="00074990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Preto sa neodporúča užívať </w:t>
      </w:r>
      <w:r w:rsidR="00074990">
        <w:rPr>
          <w:rFonts w:eastAsia="TimesNewRoman"/>
          <w:sz w:val="22"/>
          <w:szCs w:val="22"/>
        </w:rPr>
        <w:t xml:space="preserve">anagrelid </w:t>
      </w:r>
      <w:r w:rsidRPr="00E554C1">
        <w:rPr>
          <w:rFonts w:eastAsia="TimesNewRoman"/>
          <w:sz w:val="22"/>
          <w:szCs w:val="22"/>
        </w:rPr>
        <w:t>počas gravidity.</w:t>
      </w:r>
    </w:p>
    <w:p w:rsidR="00E554C1" w:rsidRPr="00E554C1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E554C1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Ak sa anagrelid užíva počas gravidity alebo pacientka počas užívania lieku otehotnie, má byť</w:t>
      </w:r>
      <w:r w:rsidR="00074990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upozornená na potenciálne riziko pre plod.</w:t>
      </w:r>
    </w:p>
    <w:p w:rsidR="00E554C1" w:rsidRPr="00E554C1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E554C1" w:rsidRPr="00CE4A55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4A55">
        <w:rPr>
          <w:rFonts w:eastAsia="TimesNewRoman"/>
          <w:sz w:val="22"/>
          <w:szCs w:val="22"/>
          <w:u w:val="single"/>
        </w:rPr>
        <w:t>Dojčenie</w:t>
      </w:r>
    </w:p>
    <w:p w:rsidR="00E554C1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Nie je známe, či sa anagrelid/metabolity vylučujú do ľudského mlieka. Dostupné údaje u</w:t>
      </w:r>
      <w:r w:rsidR="00074990">
        <w:rPr>
          <w:rFonts w:eastAsia="TimesNewRoman"/>
          <w:sz w:val="22"/>
          <w:szCs w:val="22"/>
        </w:rPr>
        <w:t> </w:t>
      </w:r>
      <w:r w:rsidRPr="00E554C1">
        <w:rPr>
          <w:rFonts w:eastAsia="TimesNewRoman"/>
          <w:sz w:val="22"/>
          <w:szCs w:val="22"/>
        </w:rPr>
        <w:t>zvierat</w:t>
      </w:r>
      <w:r w:rsidR="00074990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>preukázali vylučovanie anagrelidu/metabolitov do mlieka. Riziko u novorodencov/dojčiat nemôže byť</w:t>
      </w:r>
      <w:r w:rsidR="00074990">
        <w:rPr>
          <w:rFonts w:eastAsia="TimesNewRoman"/>
          <w:sz w:val="22"/>
          <w:szCs w:val="22"/>
        </w:rPr>
        <w:t xml:space="preserve"> </w:t>
      </w:r>
      <w:r w:rsidRPr="00E554C1">
        <w:rPr>
          <w:rFonts w:eastAsia="TimesNewRoman"/>
          <w:sz w:val="22"/>
          <w:szCs w:val="22"/>
        </w:rPr>
        <w:t xml:space="preserve">vylúčené. Dojčenie má byť počas liečby anagrelidom </w:t>
      </w:r>
      <w:r w:rsidR="00074990" w:rsidRPr="00604E3F">
        <w:rPr>
          <w:rFonts w:eastAsia="TimesNewRoman"/>
          <w:sz w:val="22"/>
          <w:szCs w:val="22"/>
        </w:rPr>
        <w:t>ukončené</w:t>
      </w:r>
      <w:r w:rsidRPr="003252CB">
        <w:rPr>
          <w:rFonts w:eastAsia="TimesNewRoman"/>
          <w:sz w:val="22"/>
          <w:szCs w:val="22"/>
        </w:rPr>
        <w:t>.</w:t>
      </w:r>
    </w:p>
    <w:p w:rsidR="00CE4A55" w:rsidRPr="00E554C1" w:rsidRDefault="00CE4A55" w:rsidP="00E554C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E554C1" w:rsidRPr="00CE4A55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4A55">
        <w:rPr>
          <w:rFonts w:eastAsia="TimesNewRoman"/>
          <w:sz w:val="22"/>
          <w:szCs w:val="22"/>
          <w:u w:val="single"/>
        </w:rPr>
        <w:t>Fertilita</w:t>
      </w:r>
    </w:p>
    <w:p w:rsidR="009D6B11" w:rsidRPr="00CE4A55" w:rsidRDefault="00E554C1" w:rsidP="00E554C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E554C1">
        <w:rPr>
          <w:rFonts w:eastAsia="TimesNewRoman"/>
          <w:sz w:val="22"/>
          <w:szCs w:val="22"/>
        </w:rPr>
        <w:t>Nie sú k dispozícii žiadne údaje o vplyve anagrelidu na fertilitu</w:t>
      </w:r>
      <w:r w:rsidR="003252CB" w:rsidRPr="003252CB">
        <w:t xml:space="preserve"> </w:t>
      </w:r>
      <w:r w:rsidR="003252CB" w:rsidRPr="003252CB">
        <w:rPr>
          <w:rFonts w:eastAsia="TimesNewRoman"/>
          <w:sz w:val="22"/>
          <w:szCs w:val="22"/>
        </w:rPr>
        <w:t>u ľudí</w:t>
      </w:r>
      <w:r w:rsidRPr="00E554C1">
        <w:rPr>
          <w:rFonts w:eastAsia="TimesNewRoman"/>
          <w:sz w:val="22"/>
          <w:szCs w:val="22"/>
        </w:rPr>
        <w:t>. U samcov potkanov sa</w:t>
      </w:r>
      <w:r w:rsidR="003252CB">
        <w:rPr>
          <w:rFonts w:eastAsia="TimesNewRoman"/>
          <w:sz w:val="22"/>
          <w:szCs w:val="22"/>
        </w:rPr>
        <w:t xml:space="preserve"> </w:t>
      </w:r>
      <w:r w:rsidRPr="00CE4A55">
        <w:rPr>
          <w:rFonts w:eastAsia="TimesNewRoman"/>
          <w:sz w:val="22"/>
          <w:szCs w:val="22"/>
        </w:rPr>
        <w:t>nepozoroval žiadny vplyv anagrelidu na fertilitu alebo reprodukčné schopnosti. U samíc potkanov pri</w:t>
      </w:r>
      <w:r w:rsidR="003252CB">
        <w:rPr>
          <w:rFonts w:eastAsia="TimesNewRoman"/>
          <w:sz w:val="22"/>
          <w:szCs w:val="22"/>
        </w:rPr>
        <w:t xml:space="preserve"> </w:t>
      </w:r>
      <w:r w:rsidRPr="00CE4A55">
        <w:rPr>
          <w:rFonts w:eastAsia="TimesNewRoman"/>
          <w:sz w:val="22"/>
          <w:szCs w:val="22"/>
        </w:rPr>
        <w:t>použití dávok prevyšujúcich terapeutické rozmedzie narušil anagrelid implantáciu (pozri časť 5.3).</w:t>
      </w:r>
    </w:p>
    <w:p w:rsidR="00CE4A55" w:rsidRPr="00CE4A55" w:rsidRDefault="00CE4A55" w:rsidP="00E554C1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CE4A55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CE4A55">
        <w:rPr>
          <w:b/>
          <w:bCs/>
          <w:iCs/>
          <w:sz w:val="22"/>
          <w:szCs w:val="22"/>
        </w:rPr>
        <w:t>4.7</w:t>
      </w:r>
      <w:r w:rsidR="00161F57" w:rsidRPr="00CE4A55">
        <w:rPr>
          <w:b/>
          <w:bCs/>
          <w:iCs/>
          <w:sz w:val="22"/>
          <w:szCs w:val="22"/>
        </w:rPr>
        <w:tab/>
        <w:t>Ovplyvnenie schopnosti viesť vozidlá a obsluhovať stroje</w:t>
      </w:r>
    </w:p>
    <w:p w:rsidR="00161F57" w:rsidRPr="00CE4A55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161F57" w:rsidRDefault="00CE4A55" w:rsidP="00CE4A55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4A55">
        <w:rPr>
          <w:rFonts w:eastAsia="TimesNewRoman"/>
          <w:sz w:val="22"/>
          <w:szCs w:val="22"/>
        </w:rPr>
        <w:t xml:space="preserve">Počas klinického vývoja boli </w:t>
      </w:r>
      <w:r w:rsidR="003252CB">
        <w:rPr>
          <w:rFonts w:eastAsia="TimesNewRoman"/>
          <w:sz w:val="22"/>
          <w:szCs w:val="22"/>
        </w:rPr>
        <w:t>často</w:t>
      </w:r>
      <w:r w:rsidRPr="00CE4A55">
        <w:rPr>
          <w:rFonts w:eastAsia="TimesNewRoman"/>
          <w:sz w:val="22"/>
          <w:szCs w:val="22"/>
        </w:rPr>
        <w:t xml:space="preserve"> hlásené závraty. </w:t>
      </w:r>
      <w:r w:rsidR="003252CB">
        <w:rPr>
          <w:rFonts w:eastAsia="TimesNewRoman"/>
          <w:sz w:val="22"/>
          <w:szCs w:val="22"/>
        </w:rPr>
        <w:t>Pacientom sa</w:t>
      </w:r>
      <w:r w:rsidRPr="00CE4A55">
        <w:rPr>
          <w:rFonts w:eastAsia="TimesNewRoman"/>
          <w:sz w:val="22"/>
          <w:szCs w:val="22"/>
        </w:rPr>
        <w:t xml:space="preserve"> neodporúča sa viesť vozidlá alebo obsluhovať stroje</w:t>
      </w:r>
      <w:r w:rsidR="003252CB" w:rsidRPr="003252CB">
        <w:rPr>
          <w:rFonts w:eastAsia="TimesNewRoman"/>
          <w:sz w:val="22"/>
          <w:szCs w:val="22"/>
        </w:rPr>
        <w:t>, ak sa u nich počas liečby anagrelidom vyskytnú závraty</w:t>
      </w:r>
      <w:r w:rsidRPr="00CE4A55">
        <w:rPr>
          <w:rFonts w:eastAsia="TimesNewRoman"/>
          <w:sz w:val="22"/>
          <w:szCs w:val="22"/>
        </w:rPr>
        <w:t>.</w:t>
      </w:r>
    </w:p>
    <w:p w:rsidR="00CE4A55" w:rsidRPr="00752C5A" w:rsidRDefault="00CE4A55" w:rsidP="00CE4A5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752C5A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52C5A">
        <w:rPr>
          <w:b/>
          <w:bCs/>
          <w:iCs/>
          <w:sz w:val="22"/>
          <w:szCs w:val="22"/>
        </w:rPr>
        <w:lastRenderedPageBreak/>
        <w:t>4.8</w:t>
      </w:r>
      <w:r w:rsidR="00161F57" w:rsidRPr="00752C5A">
        <w:rPr>
          <w:b/>
          <w:bCs/>
          <w:iCs/>
          <w:sz w:val="22"/>
          <w:szCs w:val="22"/>
        </w:rPr>
        <w:tab/>
        <w:t>Nežiaduce účinky</w:t>
      </w:r>
    </w:p>
    <w:p w:rsidR="00161F57" w:rsidRPr="00752C5A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CE4A55" w:rsidRPr="00752C5A" w:rsidRDefault="00CE4A55" w:rsidP="00CE4A55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752C5A">
        <w:rPr>
          <w:rFonts w:eastAsia="TimesNewRoman"/>
          <w:sz w:val="22"/>
          <w:szCs w:val="22"/>
          <w:u w:val="single"/>
        </w:rPr>
        <w:t>Súhrn bezpečnostného profilu</w:t>
      </w:r>
    </w:p>
    <w:p w:rsidR="00137F5B" w:rsidRPr="00752C5A" w:rsidRDefault="00CE4A55" w:rsidP="00E2406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52C5A">
        <w:rPr>
          <w:rFonts w:eastAsia="TimesNewRoman"/>
          <w:sz w:val="22"/>
          <w:szCs w:val="22"/>
        </w:rPr>
        <w:t>Bezpečnosť anagrelidu sa skúmala v 4 otvorených klinických štúdiách. V troch z týchto štúdií</w:t>
      </w:r>
      <w:r w:rsidR="003252CB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u 942 pacientov, ktorí dostávali anagrelid v priemernej dávke približne 2 mg/deň, sa zhodnotila</w:t>
      </w:r>
      <w:r w:rsidR="003252CB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bezpečnosť. V týchto štúdiách užívalo 22 pacientov anagrelid až po dobu 4 rokov.</w:t>
      </w:r>
    </w:p>
    <w:p w:rsidR="00CE4A55" w:rsidRPr="00752C5A" w:rsidRDefault="00CE4A55" w:rsidP="00CE4A55">
      <w:pPr>
        <w:rPr>
          <w:rFonts w:eastAsia="TimesNewRoman"/>
          <w:sz w:val="22"/>
          <w:szCs w:val="22"/>
        </w:rPr>
      </w:pPr>
    </w:p>
    <w:p w:rsidR="00CE4A55" w:rsidRPr="00752C5A" w:rsidRDefault="00CE4A55" w:rsidP="00CE4A55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52C5A">
        <w:rPr>
          <w:rFonts w:eastAsia="TimesNewRoman"/>
          <w:sz w:val="22"/>
          <w:szCs w:val="22"/>
        </w:rPr>
        <w:t>V neskoršej štúdii sa hodnotila bezpečnosť u</w:t>
      </w:r>
      <w:r w:rsidR="003252CB">
        <w:rPr>
          <w:rFonts w:eastAsia="TimesNewRoman"/>
          <w:sz w:val="22"/>
          <w:szCs w:val="22"/>
        </w:rPr>
        <w:t> </w:t>
      </w:r>
      <w:r w:rsidRPr="00752C5A">
        <w:rPr>
          <w:rFonts w:eastAsia="TimesNewRoman"/>
          <w:sz w:val="22"/>
          <w:szCs w:val="22"/>
        </w:rPr>
        <w:t>3</w:t>
      </w:r>
      <w:r w:rsidR="003252CB">
        <w:rPr>
          <w:rFonts w:eastAsia="TimesNewRoman"/>
          <w:sz w:val="22"/>
          <w:szCs w:val="22"/>
        </w:rPr>
        <w:t> </w:t>
      </w:r>
      <w:r w:rsidRPr="00752C5A">
        <w:rPr>
          <w:rFonts w:eastAsia="TimesNewRoman"/>
          <w:sz w:val="22"/>
          <w:szCs w:val="22"/>
        </w:rPr>
        <w:t>660 pacientov, ktorí užívali anagrelid v</w:t>
      </w:r>
      <w:r w:rsidR="003252CB">
        <w:rPr>
          <w:rFonts w:eastAsia="TimesNewRoman"/>
          <w:sz w:val="22"/>
          <w:szCs w:val="22"/>
        </w:rPr>
        <w:t> </w:t>
      </w:r>
      <w:r w:rsidRPr="00752C5A">
        <w:rPr>
          <w:rFonts w:eastAsia="TimesNewRoman"/>
          <w:sz w:val="22"/>
          <w:szCs w:val="22"/>
        </w:rPr>
        <w:t>priemernej</w:t>
      </w:r>
      <w:r w:rsidR="003252CB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dávke približne 2 mg/deň. V tejto štúdii dostávalo 34 pacientov anagrelid až po dobu 5 rokov.</w:t>
      </w:r>
    </w:p>
    <w:p w:rsidR="00752C5A" w:rsidRPr="00752C5A" w:rsidRDefault="00752C5A" w:rsidP="00CE4A55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4A55" w:rsidRPr="00752C5A" w:rsidRDefault="00CE4A55" w:rsidP="00E2406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52C5A">
        <w:rPr>
          <w:rFonts w:eastAsia="TimesNewRoman"/>
          <w:sz w:val="22"/>
          <w:szCs w:val="22"/>
        </w:rPr>
        <w:t xml:space="preserve">Najčastejšie nežiaduce </w:t>
      </w:r>
      <w:r w:rsidR="003252CB">
        <w:rPr>
          <w:rFonts w:eastAsia="TimesNewRoman"/>
          <w:sz w:val="22"/>
          <w:szCs w:val="22"/>
        </w:rPr>
        <w:t>reakcie</w:t>
      </w:r>
      <w:r w:rsidRPr="00752C5A">
        <w:rPr>
          <w:rFonts w:eastAsia="TimesNewRoman"/>
          <w:sz w:val="22"/>
          <w:szCs w:val="22"/>
        </w:rPr>
        <w:t xml:space="preserve"> hlásené v súvislosti s anagrelidom boli bolesti hlavy, ktoré sa objavili</w:t>
      </w:r>
      <w:r w:rsidR="003252CB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u približne 14%, búšenie srdca u približne 9%, retencia tekutín a nevoľnosť u približne 6% a</w:t>
      </w:r>
      <w:r w:rsidR="003252CB">
        <w:rPr>
          <w:rFonts w:eastAsia="TimesNewRoman"/>
          <w:sz w:val="22"/>
          <w:szCs w:val="22"/>
        </w:rPr>
        <w:t> </w:t>
      </w:r>
      <w:r w:rsidRPr="00752C5A">
        <w:rPr>
          <w:rFonts w:eastAsia="TimesNewRoman"/>
          <w:sz w:val="22"/>
          <w:szCs w:val="22"/>
        </w:rPr>
        <w:t>hnačky</w:t>
      </w:r>
      <w:r w:rsidR="003252CB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 xml:space="preserve">objavujúce sa u 5% pacientov. Tieto nežiaduce </w:t>
      </w:r>
      <w:r w:rsidR="003252CB">
        <w:rPr>
          <w:rFonts w:eastAsia="TimesNewRoman"/>
          <w:sz w:val="22"/>
          <w:szCs w:val="22"/>
        </w:rPr>
        <w:t>reakcie na</w:t>
      </w:r>
      <w:r w:rsidRPr="00752C5A">
        <w:rPr>
          <w:rFonts w:eastAsia="TimesNewRoman"/>
          <w:sz w:val="22"/>
          <w:szCs w:val="22"/>
        </w:rPr>
        <w:t xml:space="preserve"> liek sa predpokladajú na základe farmakológie</w:t>
      </w:r>
      <w:r w:rsidR="003252CB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anagrelidu (inhibícia PDE III). Po</w:t>
      </w:r>
      <w:r w:rsidR="001C3E0A">
        <w:rPr>
          <w:rFonts w:eastAsia="TimesNewRoman"/>
          <w:sz w:val="22"/>
          <w:szCs w:val="22"/>
        </w:rPr>
        <w:t>stupná</w:t>
      </w:r>
      <w:r w:rsidRPr="00752C5A">
        <w:rPr>
          <w:rFonts w:eastAsia="TimesNewRoman"/>
          <w:sz w:val="22"/>
          <w:szCs w:val="22"/>
        </w:rPr>
        <w:t xml:space="preserve"> titrácia dávkovania môže pomôcť z</w:t>
      </w:r>
      <w:r w:rsidR="001C3E0A">
        <w:rPr>
          <w:rFonts w:eastAsia="TimesNewRoman"/>
          <w:sz w:val="22"/>
          <w:szCs w:val="22"/>
        </w:rPr>
        <w:t>mierniť</w:t>
      </w:r>
      <w:r w:rsidRPr="00752C5A">
        <w:rPr>
          <w:rFonts w:eastAsia="TimesNewRoman"/>
          <w:sz w:val="22"/>
          <w:szCs w:val="22"/>
        </w:rPr>
        <w:t xml:space="preserve"> tieto účinky</w:t>
      </w:r>
      <w:r w:rsidR="001C3E0A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(pozri časť 4.2).</w:t>
      </w:r>
    </w:p>
    <w:p w:rsidR="00752C5A" w:rsidRPr="00752C5A" w:rsidRDefault="00752C5A" w:rsidP="00CE4A55">
      <w:pPr>
        <w:rPr>
          <w:rFonts w:eastAsia="TimesNewRoman"/>
          <w:sz w:val="22"/>
          <w:szCs w:val="22"/>
        </w:rPr>
      </w:pPr>
    </w:p>
    <w:p w:rsidR="00752C5A" w:rsidRPr="00CA6E25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A6E25">
        <w:rPr>
          <w:rFonts w:eastAsia="TimesNewRoman"/>
          <w:sz w:val="22"/>
          <w:szCs w:val="22"/>
          <w:u w:val="single"/>
        </w:rPr>
        <w:t>Tabuľkový súhrn nežiaducich reakcií</w:t>
      </w:r>
    </w:p>
    <w:p w:rsidR="00752C5A" w:rsidRDefault="00752C5A" w:rsidP="00E2406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52C5A">
        <w:rPr>
          <w:rFonts w:eastAsia="TimesNewRoman"/>
          <w:sz w:val="22"/>
          <w:szCs w:val="22"/>
        </w:rPr>
        <w:t xml:space="preserve">Nežiaduce </w:t>
      </w:r>
      <w:r>
        <w:rPr>
          <w:rFonts w:eastAsia="TimesNewRoman"/>
          <w:sz w:val="22"/>
          <w:szCs w:val="22"/>
        </w:rPr>
        <w:t>reakcie</w:t>
      </w:r>
      <w:r w:rsidRPr="00752C5A">
        <w:rPr>
          <w:rFonts w:eastAsia="TimesNewRoman"/>
          <w:sz w:val="22"/>
          <w:szCs w:val="22"/>
        </w:rPr>
        <w:t>, ktoré sa objavili v klinických štúdiách, postregistračných bezpečnostných štúdiách</w:t>
      </w:r>
      <w:r w:rsidR="001C3E0A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a zo spontánnych hlásení, sú uvedené v tabuľke nižšie. V rámci tried orgánových systémov sú uvedené</w:t>
      </w:r>
      <w:r w:rsidR="001C3E0A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pod nasledovnými názvami: veľmi časté (≥ 1/10); časté (≥ 1/100 až &lt; 1/10); menej časté (≥ 1/1 000 až</w:t>
      </w:r>
      <w:r w:rsidR="001C3E0A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&lt; 1/100); zriedkavé (≥ 1/10 000 až &lt; 1/1 000), veľmi zriedkavé (&lt; 1/10 000), neznáme (z dostupných</w:t>
      </w:r>
      <w:r w:rsidR="001C3E0A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údajov). V každej skupine frekvencií sú nežiaduce účinky uvedené v poradí podľa klesajúcej</w:t>
      </w:r>
      <w:r w:rsidR="002341DD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závažnosti.</w:t>
      </w:r>
    </w:p>
    <w:p w:rsidR="00752C5A" w:rsidRDefault="00752C5A" w:rsidP="00752C5A">
      <w:pPr>
        <w:rPr>
          <w:rFonts w:eastAsia="TimesNewRoman"/>
          <w:sz w:val="22"/>
          <w:szCs w:val="22"/>
        </w:rPr>
      </w:pPr>
    </w:p>
    <w:tbl>
      <w:tblPr>
        <w:tblW w:w="9530" w:type="dxa"/>
        <w:tblInd w:w="1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894"/>
        <w:gridCol w:w="1434"/>
        <w:gridCol w:w="1931"/>
        <w:gridCol w:w="1722"/>
        <w:gridCol w:w="1601"/>
      </w:tblGrid>
      <w:tr w:rsidR="00752C5A" w:rsidRPr="00E24067" w:rsidTr="00752C5A">
        <w:trPr>
          <w:trHeight w:val="261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tcMar>
              <w:left w:w="112" w:type="dxa"/>
              <w:right w:w="104" w:type="dxa"/>
            </w:tcMar>
          </w:tcPr>
          <w:p w:rsidR="00752C5A" w:rsidRPr="00E24067" w:rsidRDefault="00752C5A" w:rsidP="00991081">
            <w:pPr>
              <w:spacing w:before="12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0"/>
                <w:sz w:val="22"/>
                <w:szCs w:val="22"/>
              </w:rPr>
              <w:t>Trieda orgánových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2"/>
                <w:sz w:val="22"/>
                <w:szCs w:val="22"/>
              </w:rPr>
              <w:t>systémov MedDRA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958" w:type="dxa"/>
              <w:right w:w="1892" w:type="dxa"/>
            </w:tcMar>
          </w:tcPr>
          <w:p w:rsidR="00752C5A" w:rsidRPr="00E24067" w:rsidRDefault="00752C5A" w:rsidP="00991081">
            <w:pPr>
              <w:spacing w:before="12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4"/>
                <w:sz w:val="22"/>
                <w:szCs w:val="22"/>
              </w:rPr>
              <w:t>Frekvencia výskytu nežiaducich </w:t>
            </w:r>
            <w:r w:rsidR="002341DD" w:rsidRPr="00FA0659">
              <w:rPr>
                <w:color w:val="000000"/>
                <w:sz w:val="22"/>
                <w:szCs w:val="22"/>
              </w:rPr>
              <w:t>reakcií</w:t>
            </w:r>
          </w:p>
        </w:tc>
      </w:tr>
      <w:tr w:rsidR="00752C5A" w:rsidRPr="00E24067" w:rsidTr="00752C5A">
        <w:trPr>
          <w:trHeight w:val="515"/>
        </w:trPr>
        <w:tc>
          <w:tcPr>
            <w:tcW w:w="2026" w:type="dxa"/>
            <w:tcBorders>
              <w:top w:val="nil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216" w:type="dxa"/>
            </w:tcMar>
          </w:tcPr>
          <w:p w:rsidR="00752C5A" w:rsidRPr="00E24067" w:rsidRDefault="00752C5A" w:rsidP="00991081">
            <w:pPr>
              <w:spacing w:before="14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6"/>
                <w:sz w:val="22"/>
                <w:szCs w:val="22"/>
              </w:rPr>
              <w:t>Veľmi</w:t>
            </w:r>
            <w:r w:rsidRPr="00FA0659">
              <w:rPr>
                <w:i/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i/>
                <w:color w:val="000000"/>
                <w:w w:val="91"/>
                <w:sz w:val="22"/>
                <w:szCs w:val="22"/>
              </w:rPr>
              <w:t>časté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746" w:type="dxa"/>
            </w:tcMar>
          </w:tcPr>
          <w:p w:rsidR="00752C5A" w:rsidRPr="00E24067" w:rsidRDefault="00752C5A" w:rsidP="00991081">
            <w:pPr>
              <w:spacing w:before="14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3"/>
                <w:sz w:val="22"/>
                <w:szCs w:val="22"/>
              </w:rPr>
              <w:t>Časté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758" w:type="dxa"/>
            </w:tcMar>
          </w:tcPr>
          <w:p w:rsidR="00752C5A" w:rsidRPr="00E24067" w:rsidRDefault="00752C5A" w:rsidP="00991081">
            <w:pPr>
              <w:spacing w:before="14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0"/>
                <w:sz w:val="22"/>
                <w:szCs w:val="22"/>
              </w:rPr>
              <w:t>Menej časté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650" w:type="dxa"/>
            </w:tcMar>
          </w:tcPr>
          <w:p w:rsidR="00752C5A" w:rsidRPr="00E24067" w:rsidRDefault="00752C5A" w:rsidP="00991081">
            <w:pPr>
              <w:spacing w:before="14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3"/>
                <w:sz w:val="22"/>
                <w:szCs w:val="22"/>
              </w:rPr>
              <w:t>Zriedkavé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0" w:type="dxa"/>
              <w:right w:w="509" w:type="dxa"/>
            </w:tcMar>
          </w:tcPr>
          <w:p w:rsidR="00752C5A" w:rsidRPr="00E24067" w:rsidRDefault="00752C5A" w:rsidP="00991081">
            <w:pPr>
              <w:spacing w:before="14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2"/>
                <w:sz w:val="22"/>
                <w:szCs w:val="22"/>
              </w:rPr>
              <w:t>Neznáme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</w:tr>
      <w:tr w:rsidR="00752C5A" w:rsidRPr="00E24067" w:rsidTr="00E24067">
        <w:trPr>
          <w:trHeight w:val="1094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566" w:type="dxa"/>
            </w:tcMar>
          </w:tcPr>
          <w:p w:rsidR="00752C5A" w:rsidRPr="00E24067" w:rsidRDefault="00752C5A" w:rsidP="00991081">
            <w:pPr>
              <w:spacing w:before="14" w:after="7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0"/>
                <w:sz w:val="22"/>
                <w:szCs w:val="22"/>
              </w:rPr>
              <w:t>Poruchy krvi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  <w:p w:rsidR="00752C5A" w:rsidRPr="00E24067" w:rsidRDefault="00752C5A" w:rsidP="00991081">
            <w:pPr>
              <w:spacing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1"/>
                <w:sz w:val="22"/>
                <w:szCs w:val="22"/>
              </w:rPr>
              <w:t>a lymfatického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i/>
                <w:color w:val="000000"/>
                <w:w w:val="93"/>
                <w:sz w:val="22"/>
                <w:szCs w:val="22"/>
              </w:rPr>
              <w:t>systému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555" w:type="dxa"/>
            </w:tcMar>
          </w:tcPr>
          <w:p w:rsidR="00752C5A" w:rsidRPr="00E24067" w:rsidRDefault="00752C5A" w:rsidP="00991081">
            <w:pPr>
              <w:spacing w:before="14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anémia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324" w:type="dxa"/>
            </w:tcMar>
          </w:tcPr>
          <w:p w:rsidR="00752C5A" w:rsidRPr="00E24067" w:rsidRDefault="00752C5A" w:rsidP="00991081">
            <w:pPr>
              <w:spacing w:before="14" w:after="10" w:line="249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pancytopénia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3"/>
                <w:sz w:val="22"/>
                <w:szCs w:val="22"/>
              </w:rPr>
              <w:t>trombocytopénia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2"/>
                <w:sz w:val="22"/>
                <w:szCs w:val="22"/>
              </w:rPr>
              <w:t>krvácanie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  <w:p w:rsidR="00752C5A" w:rsidRPr="00E24067" w:rsidRDefault="00752C5A" w:rsidP="00991081">
            <w:pPr>
              <w:spacing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ekchymóza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</w:tr>
      <w:tr w:rsidR="00752C5A" w:rsidRPr="00E24067" w:rsidTr="00752C5A">
        <w:trPr>
          <w:trHeight w:val="767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566" w:type="dxa"/>
            </w:tcMar>
          </w:tcPr>
          <w:p w:rsidR="00752C5A" w:rsidRPr="00E24067" w:rsidRDefault="00752C5A" w:rsidP="00991081">
            <w:pPr>
              <w:spacing w:before="12" w:after="10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2"/>
                <w:sz w:val="22"/>
                <w:szCs w:val="22"/>
              </w:rPr>
              <w:t>Poruchy</w:t>
            </w:r>
            <w:r w:rsidRPr="00FA0659">
              <w:rPr>
                <w:i/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i/>
                <w:color w:val="000000"/>
                <w:w w:val="96"/>
                <w:sz w:val="22"/>
                <w:szCs w:val="22"/>
              </w:rPr>
              <w:t>metabolizmu a</w:t>
            </w:r>
            <w:r w:rsidRPr="00FA0659">
              <w:rPr>
                <w:i/>
                <w:color w:val="000000"/>
                <w:sz w:val="22"/>
                <w:szCs w:val="22"/>
              </w:rPr>
              <w:t> </w:t>
            </w:r>
          </w:p>
          <w:p w:rsidR="00752C5A" w:rsidRPr="00E24067" w:rsidRDefault="00752C5A" w:rsidP="00991081">
            <w:pPr>
              <w:spacing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2"/>
                <w:sz w:val="22"/>
                <w:szCs w:val="22"/>
              </w:rPr>
              <w:t>výživy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551" w:type="dxa"/>
            </w:tcMar>
          </w:tcPr>
          <w:p w:rsidR="00752C5A" w:rsidRPr="00E24067" w:rsidRDefault="00752C5A" w:rsidP="00991081">
            <w:pPr>
              <w:spacing w:before="12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retencia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3"/>
                <w:sz w:val="22"/>
                <w:szCs w:val="22"/>
              </w:rPr>
              <w:t>tekutín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404" w:type="dxa"/>
            </w:tcMar>
          </w:tcPr>
          <w:p w:rsidR="00752C5A" w:rsidRPr="00E24067" w:rsidRDefault="00752C5A" w:rsidP="00991081">
            <w:pPr>
              <w:spacing w:before="12" w:after="7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edém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  <w:p w:rsidR="00752C5A" w:rsidRPr="00E24067" w:rsidRDefault="00752C5A" w:rsidP="00991081">
            <w:pPr>
              <w:spacing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5"/>
                <w:sz w:val="22"/>
                <w:szCs w:val="22"/>
              </w:rPr>
              <w:t>strata hmotnosti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651" w:type="dxa"/>
            </w:tcMar>
          </w:tcPr>
          <w:p w:rsidR="00752C5A" w:rsidRPr="00E24067" w:rsidRDefault="00752C5A" w:rsidP="00991081">
            <w:pPr>
              <w:spacing w:before="12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prírastok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3"/>
                <w:sz w:val="22"/>
                <w:szCs w:val="22"/>
              </w:rPr>
              <w:t>hmotnosti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</w:tr>
      <w:tr w:rsidR="00752C5A" w:rsidRPr="00E24067" w:rsidTr="00E24067">
        <w:trPr>
          <w:trHeight w:val="1983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39" w:type="dxa"/>
            </w:tcMar>
          </w:tcPr>
          <w:p w:rsidR="00752C5A" w:rsidRPr="00E24067" w:rsidRDefault="00752C5A" w:rsidP="00991081">
            <w:pPr>
              <w:spacing w:before="12" w:line="249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Poruchy nervového</w:t>
            </w:r>
            <w:r w:rsidRPr="00FA0659">
              <w:rPr>
                <w:i/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i/>
                <w:color w:val="000000"/>
                <w:w w:val="93"/>
                <w:sz w:val="22"/>
                <w:szCs w:val="22"/>
              </w:rPr>
              <w:t>systému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87" w:type="dxa"/>
            </w:tcMar>
          </w:tcPr>
          <w:p w:rsidR="00752C5A" w:rsidRPr="00E24067" w:rsidRDefault="00752C5A" w:rsidP="00991081">
            <w:pPr>
              <w:spacing w:before="12" w:line="249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bolesť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0"/>
                <w:sz w:val="22"/>
                <w:szCs w:val="22"/>
              </w:rPr>
              <w:t>hlavy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562" w:type="dxa"/>
            </w:tcMar>
          </w:tcPr>
          <w:p w:rsidR="00752C5A" w:rsidRPr="00E24067" w:rsidRDefault="00752C5A" w:rsidP="00991081">
            <w:pPr>
              <w:spacing w:before="12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závraty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347" w:type="dxa"/>
            </w:tcMar>
          </w:tcPr>
          <w:p w:rsidR="00752C5A" w:rsidRPr="00E24067" w:rsidRDefault="00752C5A" w:rsidP="00991081">
            <w:pPr>
              <w:spacing w:before="12" w:after="7" w:line="249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depresia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1"/>
                <w:sz w:val="22"/>
                <w:szCs w:val="22"/>
              </w:rPr>
              <w:t>amnézia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  <w:p w:rsidR="00752C5A" w:rsidRPr="00E24067" w:rsidRDefault="00752C5A" w:rsidP="00991081">
            <w:pPr>
              <w:spacing w:after="10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zmätenosť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4"/>
                <w:sz w:val="22"/>
                <w:szCs w:val="22"/>
              </w:rPr>
              <w:t>nespavosť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  <w:p w:rsidR="00752C5A" w:rsidRPr="00E24067" w:rsidRDefault="00752C5A" w:rsidP="00991081">
            <w:pPr>
              <w:spacing w:after="10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parestézia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6"/>
                <w:sz w:val="22"/>
                <w:szCs w:val="22"/>
              </w:rPr>
              <w:t>znížená citlivosť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  <w:p w:rsidR="00D9632E" w:rsidRPr="00FA0659" w:rsidRDefault="00752C5A" w:rsidP="00991081">
            <w:pPr>
              <w:spacing w:line="248" w:lineRule="exact"/>
              <w:ind w:right="-567"/>
              <w:rPr>
                <w:color w:val="000000"/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nervozita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  <w:p w:rsidR="00752C5A" w:rsidRPr="00E24067" w:rsidRDefault="00D9632E" w:rsidP="00D9632E">
            <w:pPr>
              <w:spacing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sz w:val="22"/>
                <w:szCs w:val="22"/>
              </w:rPr>
              <w:t>sucho v ústach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423" w:type="dxa"/>
            </w:tcMar>
          </w:tcPr>
          <w:p w:rsidR="00752C5A" w:rsidRPr="00E24067" w:rsidRDefault="00752C5A" w:rsidP="00991081">
            <w:pPr>
              <w:spacing w:before="12" w:after="7" w:line="249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4"/>
                <w:sz w:val="22"/>
                <w:szCs w:val="22"/>
              </w:rPr>
              <w:t>migréna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3"/>
                <w:sz w:val="22"/>
                <w:szCs w:val="22"/>
              </w:rPr>
              <w:t>dyzartria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  <w:p w:rsidR="00752C5A" w:rsidRPr="00E24067" w:rsidRDefault="00752C5A" w:rsidP="00991081">
            <w:pPr>
              <w:spacing w:after="10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somnolencia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="00D9632E" w:rsidRPr="00FA0659">
              <w:rPr>
                <w:color w:val="000000"/>
                <w:w w:val="92"/>
                <w:sz w:val="22"/>
                <w:szCs w:val="22"/>
              </w:rPr>
              <w:t>poruchy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  <w:p w:rsidR="00752C5A" w:rsidRPr="00E24067" w:rsidRDefault="00752C5A" w:rsidP="00991081">
            <w:pPr>
              <w:spacing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koordináci</w:t>
            </w:r>
            <w:r w:rsidR="00D9632E" w:rsidRPr="00FA0659">
              <w:rPr>
                <w:color w:val="000000"/>
                <w:w w:val="92"/>
                <w:sz w:val="22"/>
                <w:szCs w:val="22"/>
              </w:rPr>
              <w:t>e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2C5A" w:rsidRPr="00E24067" w:rsidTr="00E24067">
        <w:trPr>
          <w:trHeight w:val="663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736" w:type="dxa"/>
            </w:tcMar>
          </w:tcPr>
          <w:p w:rsidR="00752C5A" w:rsidRPr="00E24067" w:rsidRDefault="00752C5A" w:rsidP="00991081">
            <w:pPr>
              <w:spacing w:before="12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0"/>
                <w:sz w:val="22"/>
                <w:szCs w:val="22"/>
              </w:rPr>
              <w:t>Poruchy oka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491" w:type="dxa"/>
            </w:tcMar>
          </w:tcPr>
          <w:p w:rsidR="00752C5A" w:rsidRPr="00E24067" w:rsidRDefault="00752C5A" w:rsidP="00991081">
            <w:pPr>
              <w:spacing w:before="12" w:after="10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diplopia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="00D9632E" w:rsidRPr="00FA0659">
              <w:rPr>
                <w:color w:val="000000"/>
                <w:sz w:val="22"/>
                <w:szCs w:val="22"/>
              </w:rPr>
              <w:t>poruchy</w:t>
            </w:r>
          </w:p>
          <w:p w:rsidR="00752C5A" w:rsidRPr="00E24067" w:rsidRDefault="00752C5A" w:rsidP="00991081">
            <w:pPr>
              <w:spacing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videni</w:t>
            </w:r>
            <w:r w:rsidR="00D9632E" w:rsidRPr="00FA0659">
              <w:rPr>
                <w:color w:val="000000"/>
                <w:w w:val="92"/>
                <w:sz w:val="22"/>
                <w:szCs w:val="22"/>
              </w:rPr>
              <w:t>a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2C5A" w:rsidRPr="00E24067" w:rsidTr="00752C5A">
        <w:trPr>
          <w:trHeight w:val="516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463" w:type="dxa"/>
            </w:tcMar>
          </w:tcPr>
          <w:p w:rsidR="00752C5A" w:rsidRPr="00E24067" w:rsidRDefault="00752C5A" w:rsidP="00991081">
            <w:pPr>
              <w:spacing w:before="12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5"/>
                <w:sz w:val="22"/>
                <w:szCs w:val="22"/>
              </w:rPr>
              <w:t>Poruchy ucha a</w:t>
            </w:r>
            <w:r w:rsidRPr="00FA0659">
              <w:rPr>
                <w:i/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i/>
                <w:color w:val="000000"/>
                <w:w w:val="92"/>
                <w:sz w:val="22"/>
                <w:szCs w:val="22"/>
              </w:rPr>
              <w:t>labyrintu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872" w:type="dxa"/>
            </w:tcMar>
          </w:tcPr>
          <w:p w:rsidR="00752C5A" w:rsidRPr="00E24067" w:rsidRDefault="00752C5A" w:rsidP="00991081">
            <w:pPr>
              <w:spacing w:before="12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tinnitus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2C5A" w:rsidRPr="00E24067" w:rsidTr="00752C5A">
        <w:trPr>
          <w:trHeight w:val="2791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93" w:type="dxa"/>
            </w:tcMar>
          </w:tcPr>
          <w:p w:rsidR="00752C5A" w:rsidRPr="00E24067" w:rsidRDefault="00752C5A" w:rsidP="00991081">
            <w:pPr>
              <w:spacing w:before="12" w:after="7"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lastRenderedPageBreak/>
              <w:t>Poruchy srdca</w:t>
            </w:r>
            <w:r w:rsidRPr="00FA0659">
              <w:rPr>
                <w:i/>
                <w:color w:val="000000"/>
                <w:sz w:val="22"/>
                <w:szCs w:val="22"/>
              </w:rPr>
              <w:t> </w:t>
            </w:r>
          </w:p>
          <w:p w:rsidR="00752C5A" w:rsidRPr="00E24067" w:rsidRDefault="00752C5A" w:rsidP="00991081">
            <w:pPr>
              <w:spacing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i/>
                <w:color w:val="000000"/>
                <w:w w:val="89"/>
                <w:sz w:val="22"/>
                <w:szCs w:val="22"/>
              </w:rPr>
              <w:t>a srdcovej činnosti</w:t>
            </w:r>
            <w:r w:rsidRPr="00FA0659">
              <w:rPr>
                <w:i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221" w:type="dxa"/>
            </w:tcMar>
          </w:tcPr>
          <w:p w:rsidR="00752C5A" w:rsidRPr="00E24067" w:rsidRDefault="00752C5A" w:rsidP="00991081">
            <w:pPr>
              <w:spacing w:before="12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tachykardia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3"/>
                <w:sz w:val="22"/>
                <w:szCs w:val="22"/>
              </w:rPr>
              <w:t>palpitácie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9" w:type="dxa"/>
            </w:tcMar>
          </w:tcPr>
          <w:p w:rsidR="00752C5A" w:rsidRPr="00E24067" w:rsidRDefault="00752C5A" w:rsidP="00991081">
            <w:pPr>
              <w:spacing w:before="12" w:after="10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komorová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2"/>
                <w:sz w:val="22"/>
                <w:szCs w:val="22"/>
              </w:rPr>
              <w:t>tachykardia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  <w:p w:rsidR="00752C5A" w:rsidRPr="00E24067" w:rsidRDefault="00752C5A" w:rsidP="00991081">
            <w:pPr>
              <w:spacing w:after="10" w:line="249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kongestívne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0"/>
                <w:sz w:val="22"/>
                <w:szCs w:val="22"/>
              </w:rPr>
              <w:t>zlyhanie srdca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5"/>
                <w:sz w:val="22"/>
                <w:szCs w:val="22"/>
              </w:rPr>
              <w:t>fibrilácia predsiení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  <w:p w:rsidR="00752C5A" w:rsidRPr="00E24067" w:rsidRDefault="00752C5A" w:rsidP="00991081">
            <w:pPr>
              <w:spacing w:after="10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4"/>
                <w:sz w:val="22"/>
                <w:szCs w:val="22"/>
              </w:rPr>
              <w:t>supraventrikulárna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2"/>
                <w:sz w:val="22"/>
                <w:szCs w:val="22"/>
              </w:rPr>
              <w:t>tachykardia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  <w:p w:rsidR="00752C5A" w:rsidRPr="00E24067" w:rsidRDefault="00752C5A" w:rsidP="00991081">
            <w:pPr>
              <w:spacing w:after="7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arytmia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2"/>
                <w:sz w:val="22"/>
                <w:szCs w:val="22"/>
              </w:rPr>
              <w:t>hypertenzia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  <w:p w:rsidR="00752C5A" w:rsidRPr="00E24067" w:rsidRDefault="00752C5A" w:rsidP="00991081">
            <w:pPr>
              <w:spacing w:line="244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0"/>
                <w:sz w:val="22"/>
                <w:szCs w:val="22"/>
              </w:rPr>
              <w:t>synkopa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1" w:type="dxa"/>
            </w:tcMar>
          </w:tcPr>
          <w:p w:rsidR="00752C5A" w:rsidRPr="00E24067" w:rsidRDefault="00752C5A" w:rsidP="00991081">
            <w:pPr>
              <w:spacing w:before="12" w:after="10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infarkt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1"/>
                <w:sz w:val="22"/>
                <w:szCs w:val="22"/>
              </w:rPr>
              <w:t>myokardu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  <w:p w:rsidR="00752C5A" w:rsidRPr="00E24067" w:rsidRDefault="00752C5A" w:rsidP="00991081">
            <w:pPr>
              <w:spacing w:after="7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4"/>
                <w:sz w:val="22"/>
                <w:szCs w:val="22"/>
              </w:rPr>
              <w:t>kardiomyopatia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4"/>
                <w:sz w:val="22"/>
                <w:szCs w:val="22"/>
              </w:rPr>
              <w:t>kardiomegália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  <w:p w:rsidR="00752C5A" w:rsidRPr="00E24067" w:rsidRDefault="00752C5A" w:rsidP="00991081">
            <w:pPr>
              <w:spacing w:after="7" w:line="249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3"/>
                <w:sz w:val="22"/>
                <w:szCs w:val="22"/>
              </w:rPr>
              <w:t>perikardiálny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0"/>
                <w:sz w:val="22"/>
                <w:szCs w:val="22"/>
              </w:rPr>
              <w:t>výpotok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</w:p>
          <w:p w:rsidR="00752C5A" w:rsidRPr="00E24067" w:rsidRDefault="00752C5A" w:rsidP="00991081">
            <w:pPr>
              <w:spacing w:after="7" w:line="249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4"/>
                <w:sz w:val="22"/>
                <w:szCs w:val="22"/>
              </w:rPr>
              <w:t>angina pectoris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2"/>
                <w:sz w:val="22"/>
                <w:szCs w:val="22"/>
              </w:rPr>
              <w:t>posturálna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  <w:p w:rsidR="00752C5A" w:rsidRPr="00E24067" w:rsidRDefault="00752C5A" w:rsidP="00991081">
            <w:pPr>
              <w:spacing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hypotenzia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3"/>
                <w:sz w:val="22"/>
                <w:szCs w:val="22"/>
              </w:rPr>
              <w:t>vazodilatácia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0" w:type="dxa"/>
              <w:right w:w="342" w:type="dxa"/>
            </w:tcMar>
          </w:tcPr>
          <w:p w:rsidR="00752C5A" w:rsidRPr="00E24067" w:rsidRDefault="00752C5A" w:rsidP="00991081">
            <w:pPr>
              <w:spacing w:before="12" w:line="248" w:lineRule="exact"/>
              <w:ind w:right="-567"/>
              <w:rPr>
                <w:sz w:val="22"/>
                <w:szCs w:val="22"/>
              </w:rPr>
            </w:pPr>
            <w:r w:rsidRPr="00FA0659">
              <w:rPr>
                <w:color w:val="000000"/>
                <w:w w:val="90"/>
                <w:sz w:val="22"/>
                <w:szCs w:val="22"/>
              </w:rPr>
              <w:t>Torsade de</w:t>
            </w:r>
            <w:r w:rsidRPr="00FA0659">
              <w:rPr>
                <w:color w:val="000000"/>
                <w:sz w:val="22"/>
                <w:szCs w:val="22"/>
              </w:rPr>
              <w:t> </w:t>
            </w:r>
            <w:r w:rsidRPr="00E24067">
              <w:rPr>
                <w:sz w:val="22"/>
                <w:szCs w:val="22"/>
              </w:rPr>
              <w:br/>
            </w:r>
            <w:r w:rsidRPr="00FA0659">
              <w:rPr>
                <w:color w:val="000000"/>
                <w:w w:val="92"/>
                <w:sz w:val="22"/>
                <w:szCs w:val="22"/>
              </w:rPr>
              <w:t>pointes</w:t>
            </w:r>
            <w:r w:rsidRPr="00FA0659">
              <w:rPr>
                <w:color w:val="000000"/>
                <w:sz w:val="22"/>
                <w:szCs w:val="22"/>
              </w:rPr>
              <w:t>  </w:t>
            </w:r>
          </w:p>
        </w:tc>
      </w:tr>
      <w:tr w:rsidR="00752C5A" w:rsidRPr="00E24067" w:rsidTr="00E24067">
        <w:trPr>
          <w:trHeight w:val="1699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93" w:type="dxa"/>
            </w:tcMar>
          </w:tcPr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Poruchy dýchacej </w:t>
            </w:r>
            <w:r w:rsidRPr="00FA0659">
              <w:rPr>
                <w:i/>
                <w:color w:val="000000"/>
                <w:w w:val="94"/>
                <w:sz w:val="22"/>
                <w:szCs w:val="22"/>
              </w:rPr>
              <w:br/>
              <w:t>sústavy, hrudníka a </w:t>
            </w:r>
          </w:p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mediastína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221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9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pulmonálna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hypertenzia 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pneumónia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pleurálny výpotok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dyspnoe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krvácanie  z  nosa 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1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pľúcne  infiltráty 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0" w:type="dxa"/>
              <w:right w:w="342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  <w:r w:rsidRPr="00FA0659">
              <w:rPr>
                <w:color w:val="000000"/>
                <w:w w:val="90"/>
                <w:sz w:val="22"/>
                <w:szCs w:val="22"/>
              </w:rPr>
              <w:t>Intersticiálna </w:t>
            </w:r>
            <w:r w:rsidRPr="00FA0659">
              <w:rPr>
                <w:color w:val="000000"/>
                <w:w w:val="90"/>
                <w:sz w:val="22"/>
                <w:szCs w:val="22"/>
              </w:rPr>
              <w:br/>
              <w:t>pľúcna  </w:t>
            </w:r>
          </w:p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  <w:r w:rsidRPr="00FA0659">
              <w:rPr>
                <w:color w:val="000000"/>
                <w:w w:val="90"/>
                <w:sz w:val="22"/>
                <w:szCs w:val="22"/>
              </w:rPr>
              <w:t>choroba </w:t>
            </w:r>
            <w:r w:rsidRPr="00FA0659">
              <w:rPr>
                <w:color w:val="000000"/>
                <w:w w:val="90"/>
                <w:sz w:val="22"/>
                <w:szCs w:val="22"/>
              </w:rPr>
              <w:br/>
              <w:t>vrátane  </w:t>
            </w:r>
          </w:p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  <w:r w:rsidRPr="00FA0659">
              <w:rPr>
                <w:color w:val="000000"/>
                <w:w w:val="90"/>
                <w:sz w:val="22"/>
                <w:szCs w:val="22"/>
              </w:rPr>
              <w:t>pneumonitídy </w:t>
            </w:r>
            <w:r w:rsidRPr="00FA0659">
              <w:rPr>
                <w:color w:val="000000"/>
                <w:w w:val="90"/>
                <w:sz w:val="22"/>
                <w:szCs w:val="22"/>
              </w:rPr>
              <w:br/>
              <w:t>a alergick</w:t>
            </w:r>
            <w:r w:rsidR="00D9632E" w:rsidRPr="00FA0659">
              <w:rPr>
                <w:color w:val="000000"/>
                <w:w w:val="90"/>
                <w:sz w:val="22"/>
                <w:szCs w:val="22"/>
              </w:rPr>
              <w:t>ej</w:t>
            </w:r>
            <w:r w:rsidRPr="00FA0659">
              <w:rPr>
                <w:color w:val="000000"/>
                <w:w w:val="90"/>
                <w:sz w:val="22"/>
                <w:szCs w:val="22"/>
              </w:rPr>
              <w:t>  </w:t>
            </w:r>
          </w:p>
          <w:p w:rsidR="00752C5A" w:rsidRPr="00FA0659" w:rsidRDefault="00D9632E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  <w:r w:rsidRPr="00FA0659">
              <w:rPr>
                <w:color w:val="000000"/>
                <w:w w:val="90"/>
                <w:sz w:val="22"/>
                <w:szCs w:val="22"/>
              </w:rPr>
              <w:t>alveolitídy</w:t>
            </w:r>
          </w:p>
        </w:tc>
      </w:tr>
      <w:tr w:rsidR="00752C5A" w:rsidRPr="00E24067" w:rsidTr="00E24067">
        <w:trPr>
          <w:trHeight w:val="2069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93" w:type="dxa"/>
            </w:tcMar>
          </w:tcPr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Poruchy </w:t>
            </w:r>
            <w:r w:rsidRPr="00FA0659">
              <w:rPr>
                <w:i/>
                <w:color w:val="000000"/>
                <w:w w:val="94"/>
                <w:sz w:val="22"/>
                <w:szCs w:val="22"/>
              </w:rPr>
              <w:br/>
              <w:t>gastrointestinálneho </w:t>
            </w:r>
            <w:r w:rsidRPr="00FA0659">
              <w:rPr>
                <w:i/>
                <w:color w:val="000000"/>
                <w:w w:val="94"/>
                <w:sz w:val="22"/>
                <w:szCs w:val="22"/>
              </w:rPr>
              <w:br/>
              <w:t>traktu 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221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hnačka </w:t>
            </w:r>
            <w:r w:rsidRPr="00FA0659">
              <w:rPr>
                <w:color w:val="000000"/>
                <w:w w:val="92"/>
                <w:sz w:val="22"/>
                <w:szCs w:val="22"/>
              </w:rPr>
              <w:br/>
              <w:t>vracanie </w:t>
            </w:r>
            <w:r w:rsidRPr="00FA0659">
              <w:rPr>
                <w:color w:val="000000"/>
                <w:w w:val="92"/>
                <w:sz w:val="22"/>
                <w:szCs w:val="22"/>
              </w:rPr>
              <w:br/>
              <w:t>abdominálna </w:t>
            </w:r>
          </w:p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bolesť </w:t>
            </w:r>
            <w:r w:rsidRPr="00FA0659">
              <w:rPr>
                <w:color w:val="000000"/>
                <w:w w:val="92"/>
                <w:sz w:val="22"/>
                <w:szCs w:val="22"/>
              </w:rPr>
              <w:br/>
              <w:t>nevoľnosť </w:t>
            </w:r>
          </w:p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plynatosť  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9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gastrointestinálne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krvácanie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pankreatitída 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anorexia 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poruchy trávenia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zápcha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gastrointestinálne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poruchy 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1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kolitída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gastritída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krvácanie z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ďasien 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0" w:type="dxa"/>
              <w:right w:w="342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</w:p>
        </w:tc>
      </w:tr>
      <w:tr w:rsidR="00752C5A" w:rsidRPr="00E24067" w:rsidTr="00E24067">
        <w:trPr>
          <w:trHeight w:val="708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93" w:type="dxa"/>
            </w:tcMar>
          </w:tcPr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Poruchy pečene </w:t>
            </w:r>
            <w:r w:rsidRPr="00FA0659">
              <w:rPr>
                <w:i/>
                <w:color w:val="000000"/>
                <w:w w:val="94"/>
                <w:sz w:val="22"/>
                <w:szCs w:val="22"/>
              </w:rPr>
              <w:br/>
              <w:t>a žlčových ciest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221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9" w:type="dxa"/>
            </w:tcMar>
          </w:tcPr>
          <w:p w:rsidR="00752C5A" w:rsidRPr="00FA0659" w:rsidRDefault="00752C5A" w:rsidP="00991081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zvýšen</w:t>
            </w:r>
            <w:r w:rsidR="007F0352" w:rsidRPr="00FA0659">
              <w:rPr>
                <w:color w:val="000000"/>
                <w:w w:val="91"/>
                <w:sz w:val="22"/>
                <w:szCs w:val="22"/>
              </w:rPr>
              <w:t>é</w:t>
            </w:r>
            <w:r w:rsidRPr="00FA0659">
              <w:rPr>
                <w:color w:val="000000"/>
                <w:w w:val="91"/>
                <w:sz w:val="22"/>
                <w:szCs w:val="22"/>
              </w:rPr>
              <w:t> hladin</w:t>
            </w:r>
            <w:r w:rsidR="007F0352" w:rsidRPr="00FA0659">
              <w:rPr>
                <w:color w:val="000000"/>
                <w:w w:val="91"/>
                <w:sz w:val="22"/>
                <w:szCs w:val="22"/>
              </w:rPr>
              <w:t>y</w:t>
            </w:r>
            <w:r w:rsidRPr="00FA0659">
              <w:rPr>
                <w:color w:val="000000"/>
                <w:w w:val="91"/>
                <w:sz w:val="22"/>
                <w:szCs w:val="22"/>
              </w:rPr>
              <w:t>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pečeňových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enzýmov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1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0" w:type="dxa"/>
              <w:right w:w="342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  <w:r w:rsidRPr="00FA0659">
              <w:rPr>
                <w:color w:val="000000"/>
                <w:w w:val="90"/>
                <w:sz w:val="22"/>
                <w:szCs w:val="22"/>
              </w:rPr>
              <w:t>hepatitída </w:t>
            </w:r>
          </w:p>
        </w:tc>
      </w:tr>
      <w:tr w:rsidR="00752C5A" w:rsidRPr="00E24067" w:rsidTr="00E24067">
        <w:trPr>
          <w:trHeight w:val="777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93" w:type="dxa"/>
            </w:tcMar>
          </w:tcPr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Poruchy kože </w:t>
            </w:r>
            <w:r w:rsidRPr="00FA0659">
              <w:rPr>
                <w:i/>
                <w:color w:val="000000"/>
                <w:w w:val="94"/>
                <w:sz w:val="22"/>
                <w:szCs w:val="22"/>
              </w:rPr>
              <w:br/>
              <w:t>a podkožného  </w:t>
            </w:r>
          </w:p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tkaniva 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221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vyrážka 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9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alopécia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pruritus 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sfarbenie kož</w:t>
            </w:r>
            <w:r w:rsidR="007F0352" w:rsidRPr="00FA0659">
              <w:rPr>
                <w:color w:val="000000"/>
                <w:w w:val="91"/>
                <w:sz w:val="22"/>
                <w:szCs w:val="22"/>
              </w:rPr>
              <w:t>e</w:t>
            </w:r>
            <w:r w:rsidRPr="00FA0659">
              <w:rPr>
                <w:color w:val="000000"/>
                <w:w w:val="91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1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suchá koža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0" w:type="dxa"/>
              <w:right w:w="342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</w:p>
        </w:tc>
      </w:tr>
      <w:tr w:rsidR="00752C5A" w:rsidRPr="00E24067" w:rsidTr="00E24067">
        <w:trPr>
          <w:trHeight w:val="844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93" w:type="dxa"/>
            </w:tcMar>
          </w:tcPr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Poruchy kostrovej a </w:t>
            </w:r>
            <w:r w:rsidRPr="00FA0659">
              <w:rPr>
                <w:i/>
                <w:color w:val="000000"/>
                <w:w w:val="94"/>
                <w:sz w:val="22"/>
                <w:szCs w:val="22"/>
              </w:rPr>
              <w:br/>
              <w:t>svalovej sústavy a  </w:t>
            </w:r>
          </w:p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spojivového tkaniva 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221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9" w:type="dxa"/>
            </w:tcMar>
          </w:tcPr>
          <w:p w:rsidR="00752C5A" w:rsidRPr="00FA0659" w:rsidRDefault="00752C5A" w:rsidP="00991081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artralgia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myalgia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bolesť chrbta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1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0" w:type="dxa"/>
              <w:right w:w="342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</w:p>
        </w:tc>
      </w:tr>
      <w:tr w:rsidR="00752C5A" w:rsidRPr="00E24067" w:rsidTr="00E24067">
        <w:trPr>
          <w:trHeight w:val="847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93" w:type="dxa"/>
            </w:tcMar>
          </w:tcPr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Poruchy obličiek </w:t>
            </w:r>
            <w:r w:rsidRPr="00FA0659">
              <w:rPr>
                <w:i/>
                <w:color w:val="000000"/>
                <w:w w:val="94"/>
                <w:sz w:val="22"/>
                <w:szCs w:val="22"/>
              </w:rPr>
              <w:br/>
              <w:t>a močových ciest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221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9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impotencia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1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zlyhanie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obličiek 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noktúria 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0" w:type="dxa"/>
              <w:right w:w="342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  <w:r w:rsidRPr="00FA0659">
              <w:rPr>
                <w:color w:val="000000"/>
                <w:w w:val="90"/>
                <w:sz w:val="22"/>
                <w:szCs w:val="22"/>
              </w:rPr>
              <w:t>tubulo- </w:t>
            </w:r>
            <w:r w:rsidRPr="00FA0659">
              <w:rPr>
                <w:color w:val="000000"/>
                <w:w w:val="90"/>
                <w:sz w:val="22"/>
                <w:szCs w:val="22"/>
              </w:rPr>
              <w:br/>
              <w:t>intersticiálna </w:t>
            </w:r>
          </w:p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  <w:r w:rsidRPr="00FA0659">
              <w:rPr>
                <w:color w:val="000000"/>
                <w:w w:val="90"/>
                <w:sz w:val="22"/>
                <w:szCs w:val="22"/>
              </w:rPr>
              <w:t>nefritída  </w:t>
            </w:r>
          </w:p>
        </w:tc>
      </w:tr>
      <w:tr w:rsidR="00752C5A" w:rsidRPr="00E24067" w:rsidTr="00E24067">
        <w:trPr>
          <w:trHeight w:val="1272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93" w:type="dxa"/>
            </w:tcMar>
          </w:tcPr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Celkové poruchy a </w:t>
            </w:r>
            <w:r w:rsidRPr="00FA0659">
              <w:rPr>
                <w:i/>
                <w:color w:val="000000"/>
                <w:w w:val="94"/>
                <w:sz w:val="22"/>
                <w:szCs w:val="22"/>
              </w:rPr>
              <w:br/>
              <w:t>reakcie v mieste </w:t>
            </w:r>
            <w:r w:rsidRPr="00FA0659">
              <w:rPr>
                <w:i/>
                <w:color w:val="000000"/>
                <w:w w:val="94"/>
                <w:sz w:val="22"/>
                <w:szCs w:val="22"/>
              </w:rPr>
              <w:br/>
              <w:t>podania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221" w:type="dxa"/>
            </w:tcMar>
          </w:tcPr>
          <w:p w:rsidR="00752C5A" w:rsidRPr="00FA0659" w:rsidRDefault="007F0352" w:rsidP="00752C5A">
            <w:pPr>
              <w:spacing w:before="12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  <w:r w:rsidRPr="00FA0659">
              <w:rPr>
                <w:color w:val="000000"/>
                <w:w w:val="92"/>
                <w:sz w:val="22"/>
                <w:szCs w:val="22"/>
              </w:rPr>
              <w:t>ú</w:t>
            </w:r>
            <w:r w:rsidR="00752C5A" w:rsidRPr="00FA0659">
              <w:rPr>
                <w:color w:val="000000"/>
                <w:w w:val="92"/>
                <w:sz w:val="22"/>
                <w:szCs w:val="22"/>
              </w:rPr>
              <w:t>nava 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9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bolesť hrudníka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horúčka 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triaška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nevoľnosť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slabosť  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1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príznaky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podobné chrípke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bolesť 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asténia 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0" w:type="dxa"/>
              <w:right w:w="342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</w:p>
        </w:tc>
      </w:tr>
      <w:tr w:rsidR="00752C5A" w:rsidRPr="00E24067" w:rsidTr="00E24067">
        <w:trPr>
          <w:trHeight w:val="695"/>
        </w:trPr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93" w:type="dxa"/>
            </w:tcMar>
          </w:tcPr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Laboratórne </w:t>
            </w:r>
          </w:p>
          <w:p w:rsidR="00752C5A" w:rsidRPr="00FA0659" w:rsidRDefault="00752C5A" w:rsidP="00752C5A">
            <w:pPr>
              <w:spacing w:before="12" w:after="7" w:line="244" w:lineRule="exact"/>
              <w:ind w:right="-567"/>
              <w:rPr>
                <w:i/>
                <w:color w:val="000000"/>
                <w:w w:val="94"/>
                <w:sz w:val="22"/>
                <w:szCs w:val="22"/>
              </w:rPr>
            </w:pPr>
            <w:r w:rsidRPr="00FA0659">
              <w:rPr>
                <w:i/>
                <w:color w:val="000000"/>
                <w:w w:val="94"/>
                <w:sz w:val="22"/>
                <w:szCs w:val="22"/>
              </w:rPr>
              <w:t>a funkčné vyšetrenia 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2C5A" w:rsidRPr="00E24067" w:rsidRDefault="00752C5A" w:rsidP="009910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221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9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2" w:type="dxa"/>
              <w:right w:w="151" w:type="dxa"/>
            </w:tcMar>
          </w:tcPr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zvýšenie </w:t>
            </w:r>
            <w:r w:rsidRPr="00FA0659">
              <w:rPr>
                <w:color w:val="000000"/>
                <w:w w:val="91"/>
                <w:sz w:val="22"/>
                <w:szCs w:val="22"/>
              </w:rPr>
              <w:br/>
              <w:t>krvného </w:t>
            </w:r>
          </w:p>
          <w:p w:rsidR="00752C5A" w:rsidRPr="00FA0659" w:rsidRDefault="00752C5A" w:rsidP="00752C5A">
            <w:pPr>
              <w:spacing w:before="12" w:after="10" w:line="248" w:lineRule="exact"/>
              <w:ind w:right="-567"/>
              <w:rPr>
                <w:color w:val="000000"/>
                <w:w w:val="91"/>
                <w:sz w:val="22"/>
                <w:szCs w:val="22"/>
              </w:rPr>
            </w:pPr>
            <w:r w:rsidRPr="00FA0659">
              <w:rPr>
                <w:color w:val="000000"/>
                <w:w w:val="91"/>
                <w:sz w:val="22"/>
                <w:szCs w:val="22"/>
              </w:rPr>
              <w:t>kreatinínu  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110" w:type="dxa"/>
              <w:right w:w="342" w:type="dxa"/>
            </w:tcMar>
          </w:tcPr>
          <w:p w:rsidR="00752C5A" w:rsidRPr="00FA0659" w:rsidRDefault="00752C5A" w:rsidP="00752C5A">
            <w:pPr>
              <w:spacing w:before="12" w:line="248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</w:p>
        </w:tc>
      </w:tr>
    </w:tbl>
    <w:p w:rsidR="00752C5A" w:rsidRPr="00FA0659" w:rsidRDefault="00752C5A" w:rsidP="00752C5A">
      <w:pPr>
        <w:rPr>
          <w:rFonts w:eastAsia="TimesNewRoman"/>
          <w:sz w:val="22"/>
          <w:szCs w:val="22"/>
        </w:rPr>
      </w:pPr>
    </w:p>
    <w:p w:rsidR="00752C5A" w:rsidRPr="00FA0659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FA0659">
        <w:rPr>
          <w:rFonts w:eastAsia="TimesNewRoman"/>
          <w:sz w:val="22"/>
          <w:szCs w:val="22"/>
          <w:u w:val="single"/>
        </w:rPr>
        <w:t>Pediatrická populácia</w:t>
      </w:r>
    </w:p>
    <w:p w:rsidR="00752C5A" w:rsidRPr="00FA0659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FA0659">
        <w:rPr>
          <w:rFonts w:eastAsia="TimesNewRoman"/>
          <w:sz w:val="22"/>
          <w:szCs w:val="22"/>
        </w:rPr>
        <w:t>48 pacientov vo veku 6-17 rokov (19 detí a 29 dospievajúcich) dostávalo anagrelid až 6,5 roka buď</w:t>
      </w:r>
      <w:r w:rsidR="007F0352" w:rsidRPr="00FA0659">
        <w:rPr>
          <w:rFonts w:eastAsia="TimesNewRoman"/>
          <w:sz w:val="22"/>
          <w:szCs w:val="22"/>
        </w:rPr>
        <w:t xml:space="preserve"> </w:t>
      </w:r>
      <w:r w:rsidRPr="00FA0659">
        <w:rPr>
          <w:rFonts w:eastAsia="TimesNewRoman"/>
          <w:sz w:val="22"/>
          <w:szCs w:val="22"/>
        </w:rPr>
        <w:t xml:space="preserve">v klinických štúdiách alebo </w:t>
      </w:r>
      <w:r w:rsidR="007F0352" w:rsidRPr="00FA0659">
        <w:rPr>
          <w:rFonts w:eastAsia="TimesNewRoman"/>
          <w:sz w:val="22"/>
          <w:szCs w:val="22"/>
        </w:rPr>
        <w:t>boli</w:t>
      </w:r>
      <w:r w:rsidRPr="00FA0659">
        <w:rPr>
          <w:rFonts w:eastAsia="TimesNewRoman"/>
          <w:sz w:val="22"/>
          <w:szCs w:val="22"/>
        </w:rPr>
        <w:t xml:space="preserve"> súčasť</w:t>
      </w:r>
      <w:r w:rsidR="007F0352" w:rsidRPr="00FA0659">
        <w:rPr>
          <w:rFonts w:eastAsia="TimesNewRoman"/>
          <w:sz w:val="22"/>
          <w:szCs w:val="22"/>
        </w:rPr>
        <w:t>ou</w:t>
      </w:r>
      <w:r w:rsidRPr="00FA0659">
        <w:rPr>
          <w:rFonts w:eastAsia="TimesNewRoman"/>
          <w:sz w:val="22"/>
          <w:szCs w:val="22"/>
        </w:rPr>
        <w:t xml:space="preserve"> registra ochorenia (pozri časť 5.1).</w:t>
      </w:r>
    </w:p>
    <w:p w:rsidR="00752C5A" w:rsidRPr="00EA07D0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FA0659">
        <w:rPr>
          <w:rFonts w:eastAsia="TimesNewRoman"/>
          <w:sz w:val="22"/>
          <w:szCs w:val="22"/>
        </w:rPr>
        <w:t xml:space="preserve">Väčšina pozorovaných nežiaducich </w:t>
      </w:r>
      <w:r w:rsidR="007F0352" w:rsidRPr="00FA0659">
        <w:rPr>
          <w:rFonts w:eastAsia="TimesNewRoman"/>
          <w:sz w:val="22"/>
          <w:szCs w:val="22"/>
        </w:rPr>
        <w:t>udalostí</w:t>
      </w:r>
      <w:r w:rsidRPr="00FA0659">
        <w:rPr>
          <w:rFonts w:eastAsia="TimesNewRoman"/>
          <w:sz w:val="22"/>
          <w:szCs w:val="22"/>
        </w:rPr>
        <w:t xml:space="preserve"> je medzi tými, ktoré sú uvedené v SPC. Avšak údaje</w:t>
      </w:r>
      <w:r w:rsidR="007F0352" w:rsidRPr="00FA0659">
        <w:rPr>
          <w:rFonts w:eastAsia="TimesNewRoman"/>
          <w:sz w:val="22"/>
          <w:szCs w:val="22"/>
        </w:rPr>
        <w:t xml:space="preserve"> </w:t>
      </w:r>
      <w:r w:rsidRPr="00FA0659">
        <w:rPr>
          <w:rFonts w:eastAsia="TimesNewRoman"/>
          <w:sz w:val="22"/>
          <w:szCs w:val="22"/>
        </w:rPr>
        <w:t xml:space="preserve">o </w:t>
      </w:r>
      <w:r w:rsidRPr="00EA07D0">
        <w:rPr>
          <w:rFonts w:eastAsia="TimesNewRoman"/>
          <w:sz w:val="22"/>
          <w:szCs w:val="22"/>
        </w:rPr>
        <w:t xml:space="preserve">bezpečnosti sú obmedzené a neumožňujú vykonať zmysluplné porovnanie medzi dospelými a pediatrickými pacientmi (pozri časť 4.4).  </w:t>
      </w:r>
    </w:p>
    <w:p w:rsidR="00752C5A" w:rsidRPr="00EA07D0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0C7D35" w:rsidRDefault="000C7D35" w:rsidP="000C7D35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lastRenderedPageBreak/>
        <w:t>Hlásenie podozrení na nežiaduce reakcie</w:t>
      </w:r>
    </w:p>
    <w:p w:rsidR="000C7D35" w:rsidRDefault="000C7D35" w:rsidP="000C7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161F57" w:rsidRPr="00EA07D0" w:rsidRDefault="00161F57" w:rsidP="00BF5D7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EA07D0" w:rsidRDefault="00161F57" w:rsidP="00BF5D7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A07D0">
        <w:rPr>
          <w:b/>
          <w:bCs/>
          <w:iCs/>
          <w:sz w:val="22"/>
          <w:szCs w:val="22"/>
        </w:rPr>
        <w:t>4.9</w:t>
      </w:r>
      <w:r w:rsidRPr="00EA07D0">
        <w:rPr>
          <w:b/>
          <w:bCs/>
          <w:iCs/>
          <w:sz w:val="22"/>
          <w:szCs w:val="22"/>
        </w:rPr>
        <w:tab/>
        <w:t>Predávkovanie</w:t>
      </w:r>
    </w:p>
    <w:p w:rsidR="00161F57" w:rsidRPr="00FA0659" w:rsidRDefault="00161F57" w:rsidP="00BF5D7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752C5A" w:rsidRPr="00FA0659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FA0659">
        <w:rPr>
          <w:rFonts w:eastAsia="TimesNewRoman"/>
          <w:sz w:val="22"/>
          <w:szCs w:val="22"/>
        </w:rPr>
        <w:t xml:space="preserve">Po uvedení lieku na trh boli hlásené prípady úmyselného predávkovania anagrelidom. Medzi </w:t>
      </w:r>
      <w:r w:rsidR="007F0352" w:rsidRPr="00FA0659">
        <w:rPr>
          <w:rFonts w:eastAsia="TimesNewRoman"/>
          <w:sz w:val="22"/>
          <w:szCs w:val="22"/>
        </w:rPr>
        <w:t xml:space="preserve">hlásené </w:t>
      </w:r>
      <w:r w:rsidRPr="00FA0659">
        <w:rPr>
          <w:rFonts w:eastAsia="TimesNewRoman"/>
          <w:sz w:val="22"/>
          <w:szCs w:val="22"/>
        </w:rPr>
        <w:t xml:space="preserve">príznaky patrili sínusová tachykardia a zvracanie. Príznaky </w:t>
      </w:r>
      <w:r w:rsidR="007F0352" w:rsidRPr="00FA0659">
        <w:rPr>
          <w:rFonts w:eastAsia="TimesNewRoman"/>
          <w:sz w:val="22"/>
          <w:szCs w:val="22"/>
        </w:rPr>
        <w:t>odzneli po zavedení</w:t>
      </w:r>
      <w:r w:rsidRPr="00FA0659">
        <w:rPr>
          <w:rFonts w:eastAsia="TimesNewRoman"/>
          <w:sz w:val="22"/>
          <w:szCs w:val="22"/>
        </w:rPr>
        <w:t xml:space="preserve"> konzervatívny</w:t>
      </w:r>
      <w:r w:rsidR="007F0352" w:rsidRPr="00FA0659">
        <w:rPr>
          <w:rFonts w:eastAsia="TimesNewRoman"/>
          <w:sz w:val="22"/>
          <w:szCs w:val="22"/>
        </w:rPr>
        <w:t>ch</w:t>
      </w:r>
      <w:r w:rsidRPr="00FA0659">
        <w:rPr>
          <w:rFonts w:eastAsia="TimesNewRoman"/>
          <w:sz w:val="22"/>
          <w:szCs w:val="22"/>
        </w:rPr>
        <w:t xml:space="preserve"> </w:t>
      </w:r>
      <w:r w:rsidR="007F0352" w:rsidRPr="00FA0659">
        <w:rPr>
          <w:rFonts w:eastAsia="TimesNewRoman"/>
          <w:sz w:val="22"/>
          <w:szCs w:val="22"/>
        </w:rPr>
        <w:t>opatrení</w:t>
      </w:r>
      <w:r w:rsidRPr="00FA0659">
        <w:rPr>
          <w:rFonts w:eastAsia="TimesNewRoman"/>
          <w:sz w:val="22"/>
          <w:szCs w:val="22"/>
        </w:rPr>
        <w:t>.</w:t>
      </w:r>
    </w:p>
    <w:p w:rsidR="00752C5A" w:rsidRPr="00FA0659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52C5A" w:rsidRPr="00FA0659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FA0659">
        <w:rPr>
          <w:rFonts w:eastAsia="TimesNewRoman"/>
          <w:sz w:val="22"/>
          <w:szCs w:val="22"/>
        </w:rPr>
        <w:t>Ukázalo sa, že anagrelid pri dávkach vyšších ako sa odporúča, spôsobuje zníženie krvného tlaku</w:t>
      </w:r>
      <w:r w:rsidR="007F0352" w:rsidRPr="00FA0659">
        <w:rPr>
          <w:rFonts w:eastAsia="TimesNewRoman"/>
          <w:sz w:val="22"/>
          <w:szCs w:val="22"/>
        </w:rPr>
        <w:t xml:space="preserve"> </w:t>
      </w:r>
      <w:r w:rsidRPr="00FA0659">
        <w:rPr>
          <w:rFonts w:eastAsia="TimesNewRoman"/>
          <w:sz w:val="22"/>
          <w:szCs w:val="22"/>
        </w:rPr>
        <w:t>s príležitostnými prípadmi hypotenzie. Jediná 5 mg dávka anagrelidu môže viesť k poklesu krvného</w:t>
      </w:r>
      <w:r w:rsidR="007F0352" w:rsidRPr="00FA0659">
        <w:rPr>
          <w:rFonts w:eastAsia="TimesNewRoman"/>
          <w:sz w:val="22"/>
          <w:szCs w:val="22"/>
        </w:rPr>
        <w:t xml:space="preserve"> </w:t>
      </w:r>
      <w:r w:rsidRPr="00FA0659">
        <w:rPr>
          <w:rFonts w:eastAsia="TimesNewRoman"/>
          <w:sz w:val="22"/>
          <w:szCs w:val="22"/>
        </w:rPr>
        <w:t>tlaku, ktorý vo väčšine prípadov sprevádzajú závraty.</w:t>
      </w:r>
    </w:p>
    <w:p w:rsidR="00752C5A" w:rsidRPr="00FA0659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E31FB5" w:rsidRPr="00752C5A" w:rsidRDefault="00752C5A" w:rsidP="00752C5A">
      <w:pPr>
        <w:autoSpaceDE w:val="0"/>
        <w:autoSpaceDN w:val="0"/>
        <w:adjustRightInd w:val="0"/>
        <w:rPr>
          <w:sz w:val="22"/>
          <w:szCs w:val="22"/>
        </w:rPr>
      </w:pPr>
      <w:r w:rsidRPr="00FA0659">
        <w:rPr>
          <w:rFonts w:eastAsia="TimesNewRoman"/>
          <w:sz w:val="22"/>
          <w:szCs w:val="22"/>
        </w:rPr>
        <w:t>Špecifická protilátka pre anagrelid n</w:t>
      </w:r>
      <w:r w:rsidR="007F0352" w:rsidRPr="00FA0659">
        <w:rPr>
          <w:rFonts w:eastAsia="TimesNewRoman"/>
          <w:sz w:val="22"/>
          <w:szCs w:val="22"/>
        </w:rPr>
        <w:t>ie je známa</w:t>
      </w:r>
      <w:r w:rsidRPr="00FA0659">
        <w:rPr>
          <w:rFonts w:eastAsia="TimesNewRoman"/>
          <w:sz w:val="22"/>
          <w:szCs w:val="22"/>
        </w:rPr>
        <w:t>. V prípade predávkovania je potrebn</w:t>
      </w:r>
      <w:r w:rsidR="00EB1139" w:rsidRPr="00FA0659">
        <w:rPr>
          <w:rFonts w:eastAsia="TimesNewRoman"/>
          <w:sz w:val="22"/>
          <w:szCs w:val="22"/>
        </w:rPr>
        <w:t>é pozorné sledovanie klinického stavu pacienta</w:t>
      </w:r>
      <w:r w:rsidRPr="00FA0659">
        <w:rPr>
          <w:rFonts w:eastAsia="TimesNewRoman"/>
          <w:sz w:val="22"/>
          <w:szCs w:val="22"/>
        </w:rPr>
        <w:t>, ktor</w:t>
      </w:r>
      <w:r w:rsidR="00EB1139" w:rsidRPr="00FA0659">
        <w:rPr>
          <w:rFonts w:eastAsia="TimesNewRoman"/>
          <w:sz w:val="22"/>
          <w:szCs w:val="22"/>
        </w:rPr>
        <w:t>é</w:t>
      </w:r>
      <w:r w:rsidRPr="00FA0659">
        <w:rPr>
          <w:rFonts w:eastAsia="TimesNewRoman"/>
          <w:sz w:val="22"/>
          <w:szCs w:val="22"/>
        </w:rPr>
        <w:t xml:space="preserve"> zahŕňa monitorovanie počtu krvných doštičiek pre možnú</w:t>
      </w:r>
      <w:r w:rsidRPr="00752C5A">
        <w:rPr>
          <w:rFonts w:eastAsia="TimesNewRoman"/>
          <w:sz w:val="22"/>
          <w:szCs w:val="22"/>
        </w:rPr>
        <w:t xml:space="preserve"> trombocytopéniu.</w:t>
      </w:r>
      <w:r w:rsidR="007F0352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Dávkovanie by sa malo znížiť, alebo ak je potrebné aj prerušiť, až kým sa počet trombocytov nevráti</w:t>
      </w:r>
      <w:r w:rsidR="007F0352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 xml:space="preserve">do </w:t>
      </w:r>
      <w:r w:rsidR="007F0352">
        <w:rPr>
          <w:rFonts w:eastAsia="TimesNewRoman"/>
          <w:sz w:val="22"/>
          <w:szCs w:val="22"/>
        </w:rPr>
        <w:t xml:space="preserve">rozmedzia </w:t>
      </w:r>
      <w:r w:rsidRPr="00752C5A">
        <w:rPr>
          <w:rFonts w:eastAsia="TimesNewRoman"/>
          <w:sz w:val="22"/>
          <w:szCs w:val="22"/>
        </w:rPr>
        <w:t>normálnych hodnôt.</w:t>
      </w:r>
    </w:p>
    <w:p w:rsidR="008B0659" w:rsidRPr="00752C5A" w:rsidRDefault="008B0659">
      <w:pPr>
        <w:autoSpaceDE w:val="0"/>
        <w:autoSpaceDN w:val="0"/>
        <w:adjustRightInd w:val="0"/>
        <w:rPr>
          <w:sz w:val="22"/>
          <w:szCs w:val="22"/>
        </w:rPr>
      </w:pPr>
    </w:p>
    <w:p w:rsidR="00752C5A" w:rsidRPr="00752C5A" w:rsidRDefault="00752C5A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752C5A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52C5A">
        <w:rPr>
          <w:b/>
          <w:bCs/>
          <w:caps/>
          <w:sz w:val="22"/>
          <w:szCs w:val="22"/>
        </w:rPr>
        <w:t>5.</w:t>
      </w:r>
      <w:r w:rsidR="00161F57" w:rsidRPr="00752C5A">
        <w:rPr>
          <w:b/>
          <w:bCs/>
          <w:caps/>
          <w:sz w:val="22"/>
          <w:szCs w:val="22"/>
        </w:rPr>
        <w:tab/>
        <w:t>Farmakologické vlastnosti</w:t>
      </w:r>
    </w:p>
    <w:p w:rsidR="00161F57" w:rsidRPr="00752C5A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752C5A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52C5A">
        <w:rPr>
          <w:b/>
          <w:bCs/>
          <w:iCs/>
          <w:sz w:val="22"/>
          <w:szCs w:val="22"/>
        </w:rPr>
        <w:t>5.1</w:t>
      </w:r>
      <w:r w:rsidR="00161F57" w:rsidRPr="00752C5A">
        <w:rPr>
          <w:b/>
          <w:bCs/>
          <w:iCs/>
          <w:sz w:val="22"/>
          <w:szCs w:val="22"/>
        </w:rPr>
        <w:tab/>
        <w:t>Farmakodynamické vlastnosti</w:t>
      </w:r>
    </w:p>
    <w:p w:rsidR="00161F57" w:rsidRPr="00752C5A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752C5A" w:rsidRDefault="00161F57">
      <w:pPr>
        <w:autoSpaceDE w:val="0"/>
        <w:autoSpaceDN w:val="0"/>
        <w:adjustRightInd w:val="0"/>
        <w:rPr>
          <w:sz w:val="22"/>
          <w:szCs w:val="22"/>
        </w:rPr>
      </w:pPr>
      <w:r w:rsidRPr="00752C5A">
        <w:rPr>
          <w:bCs/>
          <w:sz w:val="22"/>
          <w:szCs w:val="22"/>
        </w:rPr>
        <w:t>Farmakoterapeutická skupina:</w:t>
      </w:r>
      <w:r w:rsidR="00C4350B" w:rsidRPr="00752C5A">
        <w:rPr>
          <w:bCs/>
          <w:sz w:val="22"/>
          <w:szCs w:val="22"/>
        </w:rPr>
        <w:t xml:space="preserve"> </w:t>
      </w:r>
      <w:r w:rsidR="00EB1139">
        <w:rPr>
          <w:bCs/>
          <w:sz w:val="22"/>
          <w:szCs w:val="22"/>
        </w:rPr>
        <w:t xml:space="preserve">Cytostatiká, </w:t>
      </w:r>
      <w:r w:rsidR="00752C5A" w:rsidRPr="00752C5A">
        <w:rPr>
          <w:bCs/>
          <w:sz w:val="22"/>
          <w:szCs w:val="22"/>
        </w:rPr>
        <w:t>I</w:t>
      </w:r>
      <w:r w:rsidR="00552C9E" w:rsidRPr="00752C5A">
        <w:rPr>
          <w:sz w:val="22"/>
          <w:szCs w:val="22"/>
        </w:rPr>
        <w:t>né cytostatiká</w:t>
      </w:r>
      <w:r w:rsidR="00752C5A" w:rsidRPr="00752C5A">
        <w:rPr>
          <w:sz w:val="22"/>
          <w:szCs w:val="22"/>
        </w:rPr>
        <w:t xml:space="preserve">, </w:t>
      </w:r>
      <w:r w:rsidRPr="00752C5A">
        <w:rPr>
          <w:bCs/>
          <w:sz w:val="22"/>
          <w:szCs w:val="22"/>
        </w:rPr>
        <w:t xml:space="preserve">ATC kód: </w:t>
      </w:r>
      <w:r w:rsidRPr="00752C5A">
        <w:rPr>
          <w:sz w:val="22"/>
          <w:szCs w:val="22"/>
        </w:rPr>
        <w:t>L01XX35</w:t>
      </w:r>
      <w:r w:rsidR="00752C5A" w:rsidRPr="00752C5A">
        <w:rPr>
          <w:sz w:val="22"/>
          <w:szCs w:val="22"/>
        </w:rPr>
        <w:t>.</w:t>
      </w:r>
    </w:p>
    <w:p w:rsidR="00752C5A" w:rsidRPr="00752C5A" w:rsidRDefault="00752C5A">
      <w:pPr>
        <w:autoSpaceDE w:val="0"/>
        <w:autoSpaceDN w:val="0"/>
        <w:adjustRightInd w:val="0"/>
        <w:rPr>
          <w:sz w:val="22"/>
          <w:szCs w:val="22"/>
        </w:rPr>
      </w:pPr>
    </w:p>
    <w:p w:rsidR="00752C5A" w:rsidRPr="00CE3476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Mechanizmus účinku</w:t>
      </w:r>
    </w:p>
    <w:p w:rsidR="00752C5A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52C5A">
        <w:rPr>
          <w:rFonts w:eastAsia="TimesNewRoman"/>
          <w:sz w:val="22"/>
          <w:szCs w:val="22"/>
        </w:rPr>
        <w:t>Presný mechanizmus účinku, ktorým anagrelid znižuje počet krvných doštičiek, nie je známy.</w:t>
      </w:r>
      <w:r w:rsidR="00EB1139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V štúdiách s bunkovými kultúrami anagrelid tlmil expresiu transkripčných faktorov, vrátane GATA-1</w:t>
      </w:r>
      <w:r w:rsidR="00EB1139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a FOG-1 potrebných pre megakaryocytopoézu, čo nakoniec viedlo k zníženiu produkcie krvných</w:t>
      </w:r>
      <w:r w:rsidR="00EB1139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doštičiek.</w:t>
      </w:r>
    </w:p>
    <w:p w:rsidR="00CE3476" w:rsidRPr="00752C5A" w:rsidRDefault="00CE3476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52C5A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52C5A">
        <w:rPr>
          <w:rFonts w:eastAsia="TimesNewRoman"/>
          <w:sz w:val="22"/>
          <w:szCs w:val="22"/>
        </w:rPr>
        <w:t xml:space="preserve">Štúdie ľudskej megakaryocytopoézy </w:t>
      </w:r>
      <w:r w:rsidRPr="00752C5A">
        <w:rPr>
          <w:rFonts w:eastAsia="TimesNewRoman"/>
          <w:i/>
          <w:iCs/>
          <w:sz w:val="22"/>
          <w:szCs w:val="22"/>
        </w:rPr>
        <w:t xml:space="preserve">in vitro </w:t>
      </w:r>
      <w:r w:rsidRPr="00752C5A">
        <w:rPr>
          <w:rFonts w:eastAsia="TimesNewRoman"/>
          <w:sz w:val="22"/>
          <w:szCs w:val="22"/>
        </w:rPr>
        <w:t>potvrdili, že inhibičné pôsobenie anagrelidu na tvorbu</w:t>
      </w:r>
      <w:r w:rsidR="00EB1139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 xml:space="preserve">krvných doštičiek u človeka je sprostredkované </w:t>
      </w:r>
      <w:r w:rsidR="00EB1139">
        <w:rPr>
          <w:rFonts w:eastAsia="TimesNewRoman"/>
          <w:sz w:val="22"/>
          <w:szCs w:val="22"/>
        </w:rPr>
        <w:t>spomalením</w:t>
      </w:r>
      <w:r w:rsidRPr="00752C5A">
        <w:rPr>
          <w:rFonts w:eastAsia="TimesNewRoman"/>
          <w:sz w:val="22"/>
          <w:szCs w:val="22"/>
        </w:rPr>
        <w:t xml:space="preserve"> dozrievania megakaryocytov</w:t>
      </w:r>
      <w:r w:rsidR="00EB1139">
        <w:rPr>
          <w:rFonts w:eastAsia="TimesNewRoman"/>
          <w:sz w:val="22"/>
          <w:szCs w:val="22"/>
        </w:rPr>
        <w:t>,</w:t>
      </w:r>
      <w:r w:rsidRPr="00752C5A">
        <w:rPr>
          <w:rFonts w:eastAsia="TimesNewRoman"/>
          <w:sz w:val="22"/>
          <w:szCs w:val="22"/>
        </w:rPr>
        <w:t xml:space="preserve"> zmenšovaním ich veľkosti</w:t>
      </w:r>
      <w:r w:rsidR="00EB1139">
        <w:rPr>
          <w:rFonts w:eastAsia="TimesNewRoman"/>
          <w:sz w:val="22"/>
          <w:szCs w:val="22"/>
        </w:rPr>
        <w:t xml:space="preserve"> a znížením ploidity </w:t>
      </w:r>
      <w:r w:rsidR="00EB1139" w:rsidRPr="00EB1139">
        <w:rPr>
          <w:rFonts w:eastAsia="TimesNewRoman"/>
          <w:sz w:val="22"/>
          <w:szCs w:val="22"/>
        </w:rPr>
        <w:t>(počtu sád chromozómov v megakaryocyte)</w:t>
      </w:r>
      <w:r w:rsidRPr="00752C5A">
        <w:rPr>
          <w:rFonts w:eastAsia="TimesNewRoman"/>
          <w:sz w:val="22"/>
          <w:szCs w:val="22"/>
        </w:rPr>
        <w:t xml:space="preserve">. Dôkaz podobného pôsobenia </w:t>
      </w:r>
      <w:r w:rsidRPr="00752C5A">
        <w:rPr>
          <w:rFonts w:eastAsia="TimesNewRoman"/>
          <w:i/>
          <w:iCs/>
          <w:sz w:val="22"/>
          <w:szCs w:val="22"/>
        </w:rPr>
        <w:t xml:space="preserve">in vivo </w:t>
      </w:r>
      <w:r w:rsidRPr="00752C5A">
        <w:rPr>
          <w:rFonts w:eastAsia="TimesNewRoman"/>
          <w:sz w:val="22"/>
          <w:szCs w:val="22"/>
        </w:rPr>
        <w:t xml:space="preserve">sa pozoroval </w:t>
      </w:r>
      <w:r w:rsidR="00EB1139">
        <w:rPr>
          <w:rFonts w:eastAsia="TimesNewRoman"/>
          <w:sz w:val="22"/>
          <w:szCs w:val="22"/>
        </w:rPr>
        <w:t>na</w:t>
      </w:r>
      <w:r w:rsidRPr="00752C5A">
        <w:rPr>
          <w:rFonts w:eastAsia="TimesNewRoman"/>
          <w:sz w:val="22"/>
          <w:szCs w:val="22"/>
        </w:rPr>
        <w:t xml:space="preserve"> bioptických</w:t>
      </w:r>
      <w:r w:rsidR="00EB1139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vzorkách kostnej drene od liečených pacientov.</w:t>
      </w:r>
    </w:p>
    <w:p w:rsidR="00CE3476" w:rsidRPr="00752C5A" w:rsidRDefault="00CE3476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52C5A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52C5A">
        <w:rPr>
          <w:rFonts w:eastAsia="TimesNewRoman"/>
          <w:sz w:val="22"/>
          <w:szCs w:val="22"/>
        </w:rPr>
        <w:t>Anagrelid je inhibítorom fosfodiesterázy III</w:t>
      </w:r>
      <w:r w:rsidR="00EB1139">
        <w:rPr>
          <w:rFonts w:eastAsia="TimesNewRoman"/>
          <w:sz w:val="22"/>
          <w:szCs w:val="22"/>
        </w:rPr>
        <w:t xml:space="preserve"> cyklického AMP</w:t>
      </w:r>
      <w:r w:rsidRPr="00752C5A">
        <w:rPr>
          <w:rFonts w:eastAsia="TimesNewRoman"/>
          <w:sz w:val="22"/>
          <w:szCs w:val="22"/>
        </w:rPr>
        <w:t>.</w:t>
      </w:r>
    </w:p>
    <w:p w:rsidR="00CE3476" w:rsidRPr="00752C5A" w:rsidRDefault="00CE3476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52C5A" w:rsidRPr="00CE3476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Klinická účinnosť a bezpečnosť</w:t>
      </w:r>
    </w:p>
    <w:p w:rsidR="00161F57" w:rsidRPr="00CE3476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52C5A">
        <w:rPr>
          <w:rFonts w:eastAsia="TimesNewRoman"/>
          <w:sz w:val="22"/>
          <w:szCs w:val="22"/>
        </w:rPr>
        <w:t xml:space="preserve">Bezpečnosť a účinnosť anagrelidu ako látky znižujúcej </w:t>
      </w:r>
      <w:r w:rsidR="00EB1139">
        <w:rPr>
          <w:rFonts w:eastAsia="TimesNewRoman"/>
          <w:sz w:val="22"/>
          <w:szCs w:val="22"/>
        </w:rPr>
        <w:t xml:space="preserve">počet </w:t>
      </w:r>
      <w:r w:rsidRPr="00752C5A">
        <w:rPr>
          <w:rFonts w:eastAsia="TimesNewRoman"/>
          <w:sz w:val="22"/>
          <w:szCs w:val="22"/>
        </w:rPr>
        <w:t>krvn</w:t>
      </w:r>
      <w:r w:rsidR="00EB1139">
        <w:rPr>
          <w:rFonts w:eastAsia="TimesNewRoman"/>
          <w:sz w:val="22"/>
          <w:szCs w:val="22"/>
        </w:rPr>
        <w:t>ých</w:t>
      </w:r>
      <w:r w:rsidRPr="00752C5A">
        <w:rPr>
          <w:rFonts w:eastAsia="TimesNewRoman"/>
          <w:sz w:val="22"/>
          <w:szCs w:val="22"/>
        </w:rPr>
        <w:t xml:space="preserve"> doštič</w:t>
      </w:r>
      <w:r w:rsidR="00EB1139">
        <w:rPr>
          <w:rFonts w:eastAsia="TimesNewRoman"/>
          <w:sz w:val="22"/>
          <w:szCs w:val="22"/>
        </w:rPr>
        <w:t>iek</w:t>
      </w:r>
      <w:r w:rsidRPr="00752C5A">
        <w:rPr>
          <w:rFonts w:eastAsia="TimesNewRoman"/>
          <w:sz w:val="22"/>
          <w:szCs w:val="22"/>
        </w:rPr>
        <w:t xml:space="preserve"> sa hodnotili v</w:t>
      </w:r>
      <w:r w:rsidR="00EB1139">
        <w:rPr>
          <w:rFonts w:eastAsia="TimesNewRoman"/>
          <w:sz w:val="22"/>
          <w:szCs w:val="22"/>
        </w:rPr>
        <w:t> </w:t>
      </w:r>
      <w:r w:rsidRPr="00752C5A">
        <w:rPr>
          <w:rFonts w:eastAsia="TimesNewRoman"/>
          <w:sz w:val="22"/>
          <w:szCs w:val="22"/>
        </w:rPr>
        <w:t>štyroch</w:t>
      </w:r>
      <w:r w:rsidR="00EB1139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otvorených, ne</w:t>
      </w:r>
      <w:r w:rsidR="00EB1139">
        <w:rPr>
          <w:rFonts w:eastAsia="TimesNewRoman"/>
          <w:sz w:val="22"/>
          <w:szCs w:val="22"/>
        </w:rPr>
        <w:t>kontrolovaných</w:t>
      </w:r>
      <w:r w:rsidRPr="00752C5A">
        <w:rPr>
          <w:rFonts w:eastAsia="TimesNewRoman"/>
          <w:sz w:val="22"/>
          <w:szCs w:val="22"/>
        </w:rPr>
        <w:t xml:space="preserve"> klinických štúdiách (čísla štúdií: 700-012, 700-014, 700-999 a 13970-301)</w:t>
      </w:r>
      <w:r w:rsidR="00EB1139">
        <w:rPr>
          <w:rFonts w:eastAsia="TimesNewRoman"/>
          <w:sz w:val="22"/>
          <w:szCs w:val="22"/>
        </w:rPr>
        <w:t xml:space="preserve"> </w:t>
      </w:r>
      <w:r w:rsidRPr="00752C5A">
        <w:rPr>
          <w:rFonts w:eastAsia="TimesNewRoman"/>
          <w:sz w:val="22"/>
          <w:szCs w:val="22"/>
        </w:rPr>
        <w:t>a zahŕňali viac ako 4</w:t>
      </w:r>
      <w:r w:rsidR="00EB1139">
        <w:rPr>
          <w:rFonts w:eastAsia="TimesNewRoman"/>
          <w:sz w:val="22"/>
          <w:szCs w:val="22"/>
        </w:rPr>
        <w:t> </w:t>
      </w:r>
      <w:r w:rsidRPr="00752C5A">
        <w:rPr>
          <w:rFonts w:eastAsia="TimesNewRoman"/>
          <w:sz w:val="22"/>
          <w:szCs w:val="22"/>
        </w:rPr>
        <w:t>000 pacientov s myeloproliferatívnymi neoplazmami (MPN). U pacientov s esenciáln</w:t>
      </w:r>
      <w:r w:rsidR="00EB1139">
        <w:rPr>
          <w:rFonts w:eastAsia="TimesNewRoman"/>
          <w:sz w:val="22"/>
          <w:szCs w:val="22"/>
        </w:rPr>
        <w:t>ou</w:t>
      </w:r>
      <w:r w:rsidRPr="00752C5A">
        <w:rPr>
          <w:rFonts w:eastAsia="TimesNewRoman"/>
          <w:sz w:val="22"/>
          <w:szCs w:val="22"/>
        </w:rPr>
        <w:t xml:space="preserve"> trombocytémi</w:t>
      </w:r>
      <w:r w:rsidR="00EB1139">
        <w:rPr>
          <w:rFonts w:eastAsia="TimesNewRoman"/>
          <w:sz w:val="22"/>
          <w:szCs w:val="22"/>
        </w:rPr>
        <w:t>o</w:t>
      </w:r>
      <w:r w:rsidRPr="00752C5A">
        <w:rPr>
          <w:rFonts w:eastAsia="TimesNewRoman"/>
          <w:sz w:val="22"/>
          <w:szCs w:val="22"/>
        </w:rPr>
        <w:t>u bola úplná odpoveď definovaná ako zníženie</w:t>
      </w:r>
      <w:r w:rsidR="00EB1139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počtu krvných doštičiek na hladinu pod 600 x 109/l alebo viac ako 50% zníženie</w:t>
      </w:r>
      <w:r w:rsidR="00EB1139" w:rsidRPr="00EB1139">
        <w:rPr>
          <w:rFonts w:eastAsia="TimesNewRoman"/>
          <w:sz w:val="22"/>
          <w:szCs w:val="22"/>
        </w:rPr>
        <w:t xml:space="preserve"> ich počtu v porovnaní</w:t>
      </w:r>
      <w:r w:rsidRPr="00CE3476">
        <w:rPr>
          <w:rFonts w:eastAsia="TimesNewRoman"/>
          <w:sz w:val="22"/>
          <w:szCs w:val="22"/>
        </w:rPr>
        <w:t xml:space="preserve"> </w:t>
      </w:r>
      <w:r w:rsidR="00EB1139">
        <w:rPr>
          <w:rFonts w:eastAsia="TimesNewRoman"/>
          <w:sz w:val="22"/>
          <w:szCs w:val="22"/>
        </w:rPr>
        <w:t xml:space="preserve">s </w:t>
      </w:r>
      <w:r w:rsidRPr="00CE3476">
        <w:rPr>
          <w:rFonts w:eastAsia="TimesNewRoman"/>
          <w:sz w:val="22"/>
          <w:szCs w:val="22"/>
        </w:rPr>
        <w:t>počiatočn</w:t>
      </w:r>
      <w:r w:rsidR="00EB1139">
        <w:rPr>
          <w:rFonts w:eastAsia="TimesNewRoman"/>
          <w:sz w:val="22"/>
          <w:szCs w:val="22"/>
        </w:rPr>
        <w:t xml:space="preserve">ým </w:t>
      </w:r>
      <w:r w:rsidRPr="00CE3476">
        <w:rPr>
          <w:rFonts w:eastAsia="TimesNewRoman"/>
          <w:sz w:val="22"/>
          <w:szCs w:val="22"/>
        </w:rPr>
        <w:t>stav</w:t>
      </w:r>
      <w:r w:rsidR="00EB1139">
        <w:rPr>
          <w:rFonts w:eastAsia="TimesNewRoman"/>
          <w:sz w:val="22"/>
          <w:szCs w:val="22"/>
        </w:rPr>
        <w:t>om</w:t>
      </w:r>
      <w:r w:rsidRPr="00CE3476">
        <w:rPr>
          <w:rFonts w:eastAsia="TimesNewRoman"/>
          <w:sz w:val="22"/>
          <w:szCs w:val="22"/>
        </w:rPr>
        <w:t xml:space="preserve"> a udržanie tohto zníženia po dobu najmenej 4 týždňov. V štúdiách 700-012, 700-014, 700-999 a</w:t>
      </w:r>
      <w:r w:rsidR="00EB1139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13970-301 sa doba úplnej odpovede pohybovala od 4 do12 týždňov. Klinický prospech z</w:t>
      </w:r>
      <w:r w:rsidR="00EB1139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hľadiska</w:t>
      </w:r>
      <w:r w:rsidR="00EB1139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trombo-hemoragických príhod nebol presvedčivo dokázaný.</w:t>
      </w:r>
    </w:p>
    <w:p w:rsidR="00CE3476" w:rsidRPr="00CE3476" w:rsidRDefault="00CE3476" w:rsidP="00752C5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EB1139" w:rsidP="00CE3476">
      <w:pPr>
        <w:autoSpaceDE w:val="0"/>
        <w:autoSpaceDN w:val="0"/>
        <w:adjustRightInd w:val="0"/>
        <w:rPr>
          <w:rFonts w:eastAsia="TimesNewRoman"/>
          <w:i/>
          <w:sz w:val="22"/>
          <w:szCs w:val="22"/>
        </w:rPr>
      </w:pPr>
      <w:r>
        <w:rPr>
          <w:rFonts w:eastAsia="TimesNewRoman"/>
          <w:i/>
          <w:sz w:val="22"/>
          <w:szCs w:val="22"/>
        </w:rPr>
        <w:t>Vplyv</w:t>
      </w:r>
      <w:r w:rsidR="00CE3476" w:rsidRPr="00CE3476">
        <w:rPr>
          <w:rFonts w:eastAsia="TimesNewRoman"/>
          <w:i/>
          <w:sz w:val="22"/>
          <w:szCs w:val="22"/>
        </w:rPr>
        <w:t xml:space="preserve"> na srdcovú frekvenciu a QTc interval</w:t>
      </w:r>
    </w:p>
    <w:p w:rsidR="00CE3476" w:rsidRDefault="00EB1139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Vplyv</w:t>
      </w:r>
      <w:r w:rsidR="00CE3476" w:rsidRPr="00CE3476">
        <w:rPr>
          <w:rFonts w:eastAsia="TimesNewRoman"/>
          <w:sz w:val="22"/>
          <w:szCs w:val="22"/>
        </w:rPr>
        <w:t xml:space="preserve"> dvoch </w:t>
      </w:r>
      <w:r>
        <w:rPr>
          <w:rFonts w:eastAsia="TimesNewRoman"/>
          <w:sz w:val="22"/>
          <w:szCs w:val="22"/>
        </w:rPr>
        <w:t xml:space="preserve">hladín </w:t>
      </w:r>
      <w:r w:rsidR="00CE3476" w:rsidRPr="00CE3476">
        <w:rPr>
          <w:rFonts w:eastAsia="TimesNewRoman"/>
          <w:sz w:val="22"/>
          <w:szCs w:val="22"/>
        </w:rPr>
        <w:t>dávok anagrelidu (</w:t>
      </w:r>
      <w:r w:rsidRPr="00EB1139">
        <w:rPr>
          <w:rFonts w:eastAsia="TimesNewRoman"/>
          <w:sz w:val="22"/>
          <w:szCs w:val="22"/>
        </w:rPr>
        <w:t xml:space="preserve">jednorazové dávky </w:t>
      </w:r>
      <w:r w:rsidR="00CE3476" w:rsidRPr="00CE3476">
        <w:rPr>
          <w:rFonts w:eastAsia="TimesNewRoman"/>
          <w:sz w:val="22"/>
          <w:szCs w:val="22"/>
        </w:rPr>
        <w:t>0,5 mg a 2,5 mg) na srdcovú frekvenciu a</w:t>
      </w:r>
      <w:r>
        <w:rPr>
          <w:rFonts w:eastAsia="TimesNewRoman"/>
          <w:sz w:val="22"/>
          <w:szCs w:val="22"/>
        </w:rPr>
        <w:t> </w:t>
      </w:r>
      <w:r w:rsidR="00CE3476" w:rsidRPr="00CE3476">
        <w:rPr>
          <w:rFonts w:eastAsia="TimesNewRoman"/>
          <w:sz w:val="22"/>
          <w:szCs w:val="22"/>
        </w:rPr>
        <w:t>QTc</w:t>
      </w:r>
      <w:r>
        <w:rPr>
          <w:rFonts w:eastAsia="TimesNewRoman"/>
          <w:sz w:val="22"/>
          <w:szCs w:val="22"/>
        </w:rPr>
        <w:t xml:space="preserve"> </w:t>
      </w:r>
      <w:r w:rsidR="00CE3476" w:rsidRPr="00CE3476">
        <w:rPr>
          <w:rFonts w:eastAsia="TimesNewRoman"/>
          <w:sz w:val="22"/>
          <w:szCs w:val="22"/>
        </w:rPr>
        <w:t xml:space="preserve">interval bol hodnotený v dvojito zaslepenej, randomizovanej, placebom a </w:t>
      </w:r>
      <w:r w:rsidRPr="00EB1139">
        <w:rPr>
          <w:rFonts w:eastAsia="TimesNewRoman"/>
          <w:sz w:val="22"/>
          <w:szCs w:val="22"/>
        </w:rPr>
        <w:t>aktívnym komparátorom</w:t>
      </w:r>
      <w:r>
        <w:rPr>
          <w:rFonts w:eastAsia="TimesNewRoman"/>
          <w:sz w:val="22"/>
          <w:szCs w:val="22"/>
        </w:rPr>
        <w:t xml:space="preserve"> </w:t>
      </w:r>
      <w:r w:rsidR="00CE3476" w:rsidRPr="00CE3476">
        <w:rPr>
          <w:rFonts w:eastAsia="TimesNewRoman"/>
          <w:sz w:val="22"/>
          <w:szCs w:val="22"/>
        </w:rPr>
        <w:t>kontrolovanej, skríženej štúdií u zdravých dospelých mužov a žien.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lastRenderedPageBreak/>
        <w:t xml:space="preserve">K vzostupu srdcovej frekvencie v závislosti </w:t>
      </w:r>
      <w:r w:rsidR="00152787">
        <w:rPr>
          <w:rFonts w:eastAsia="TimesNewRoman"/>
          <w:sz w:val="22"/>
          <w:szCs w:val="22"/>
        </w:rPr>
        <w:t>od</w:t>
      </w:r>
      <w:r w:rsidRPr="00CE3476">
        <w:rPr>
          <w:rFonts w:eastAsia="TimesNewRoman"/>
          <w:sz w:val="22"/>
          <w:szCs w:val="22"/>
        </w:rPr>
        <w:t xml:space="preserve"> dávk</w:t>
      </w:r>
      <w:r w:rsidR="00152787">
        <w:rPr>
          <w:rFonts w:eastAsia="TimesNewRoman"/>
          <w:sz w:val="22"/>
          <w:szCs w:val="22"/>
        </w:rPr>
        <w:t>y</w:t>
      </w:r>
      <w:r w:rsidRPr="00CE3476">
        <w:rPr>
          <w:rFonts w:eastAsia="TimesNewRoman"/>
          <w:sz w:val="22"/>
          <w:szCs w:val="22"/>
        </w:rPr>
        <w:t xml:space="preserve"> došlo v priebehu prvých 12 hodín, pričom</w:t>
      </w:r>
      <w:r w:rsidR="00152787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maximálny vzostup sa objavil v čase maximálnej koncentrácie. Maximálna zmena priemernej tepovej</w:t>
      </w:r>
      <w:r w:rsidR="00152787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 xml:space="preserve">frekvencie nastala za 2 hodiny po podaní lieku a bola +7,8 </w:t>
      </w:r>
      <w:r w:rsidR="00152787">
        <w:rPr>
          <w:rFonts w:eastAsia="TimesNewRoman"/>
          <w:sz w:val="22"/>
          <w:szCs w:val="22"/>
        </w:rPr>
        <w:t>úderov</w:t>
      </w:r>
      <w:r w:rsidRPr="00CE3476">
        <w:rPr>
          <w:rFonts w:eastAsia="TimesNewRoman"/>
          <w:sz w:val="22"/>
          <w:szCs w:val="22"/>
        </w:rPr>
        <w:t xml:space="preserve"> za minútu pre dávku 0,5 mg a</w:t>
      </w:r>
      <w:r w:rsidR="00152787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 xml:space="preserve">+29,1 </w:t>
      </w:r>
      <w:r w:rsidR="00152787">
        <w:rPr>
          <w:rFonts w:eastAsia="TimesNewRoman"/>
          <w:sz w:val="22"/>
          <w:szCs w:val="22"/>
        </w:rPr>
        <w:t>úderov</w:t>
      </w:r>
      <w:r w:rsidRPr="00CE3476">
        <w:rPr>
          <w:rFonts w:eastAsia="TimesNewRoman"/>
          <w:sz w:val="22"/>
          <w:szCs w:val="22"/>
        </w:rPr>
        <w:t xml:space="preserve"> za minútu pre dávku 2,5 mg.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Prechodné predĺženie priemerného QTc bolo pozorované u oboch dávok v čase zrýchlenia tepovej</w:t>
      </w:r>
      <w:r w:rsidR="00152787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frekvencie a maximálne zmeny priemerného QTcF (</w:t>
      </w:r>
      <w:r w:rsidR="00152787" w:rsidRPr="00152787">
        <w:rPr>
          <w:rFonts w:eastAsia="TimesNewRoman"/>
          <w:sz w:val="22"/>
          <w:szCs w:val="22"/>
        </w:rPr>
        <w:t>QT interval korigovaný metódou podľa Fridericia</w:t>
      </w:r>
      <w:r w:rsidRPr="00CE3476">
        <w:rPr>
          <w:rFonts w:eastAsia="TimesNewRoman"/>
          <w:sz w:val="22"/>
          <w:szCs w:val="22"/>
        </w:rPr>
        <w:t>) boli +5,0 ms po 2 hodinách</w:t>
      </w:r>
      <w:r w:rsidR="00152787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pre dávku 0,5 mg a +10,0 ms po 1 hodine pre dávku 2,5 mg.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Pediatrická populácia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 xml:space="preserve">V otvorenej klinickej štúdii u 8 detí a 10 dospievajúcich (vrátane pacientov, ktorí </w:t>
      </w:r>
      <w:r w:rsidR="00152787">
        <w:rPr>
          <w:rFonts w:eastAsia="TimesNewRoman"/>
          <w:sz w:val="22"/>
          <w:szCs w:val="22"/>
        </w:rPr>
        <w:t xml:space="preserve">predtým neboli </w:t>
      </w:r>
      <w:r w:rsidRPr="00CE3476">
        <w:rPr>
          <w:rFonts w:eastAsia="TimesNewRoman"/>
          <w:sz w:val="22"/>
          <w:szCs w:val="22"/>
        </w:rPr>
        <w:t>lieč</w:t>
      </w:r>
      <w:r w:rsidR="00152787">
        <w:rPr>
          <w:rFonts w:eastAsia="TimesNewRoman"/>
          <w:sz w:val="22"/>
          <w:szCs w:val="22"/>
        </w:rPr>
        <w:t>ení</w:t>
      </w:r>
      <w:r w:rsidRPr="00CE3476">
        <w:rPr>
          <w:rFonts w:eastAsia="TimesNewRoman"/>
          <w:sz w:val="22"/>
          <w:szCs w:val="22"/>
        </w:rPr>
        <w:t xml:space="preserve"> anagrelidom alebo boli pred</w:t>
      </w:r>
      <w:r w:rsidR="00152787">
        <w:rPr>
          <w:rFonts w:eastAsia="TimesNewRoman"/>
          <w:sz w:val="22"/>
          <w:szCs w:val="22"/>
        </w:rPr>
        <w:t xml:space="preserve"> štúdiou</w:t>
      </w:r>
      <w:r w:rsidRPr="00CE3476">
        <w:rPr>
          <w:rFonts w:eastAsia="TimesNewRoman"/>
          <w:sz w:val="22"/>
          <w:szCs w:val="22"/>
        </w:rPr>
        <w:t xml:space="preserve"> liečení anagrelidom po dobu až 5 rokov) sa medián počtu</w:t>
      </w:r>
      <w:r w:rsidR="00152787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krvných doštičiek znížil na kontrolované hladiny po 12 týždňoch liečby. Priemerná denná dávka mala</w:t>
      </w:r>
      <w:r w:rsidR="00152787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tendenciu byť vyššia u dospievajúcich.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 xml:space="preserve">V štúdii pediatrického registra bol medián počtu krvných doštičiek </w:t>
      </w:r>
      <w:r w:rsidR="00152787" w:rsidRPr="00152787">
        <w:rPr>
          <w:rFonts w:eastAsia="TimesNewRoman"/>
          <w:sz w:val="22"/>
          <w:szCs w:val="22"/>
        </w:rPr>
        <w:t>v porovnaní s hodnotou zistenou v čase</w:t>
      </w:r>
      <w:r w:rsidRPr="00CE3476">
        <w:rPr>
          <w:rFonts w:eastAsia="TimesNewRoman"/>
          <w:sz w:val="22"/>
          <w:szCs w:val="22"/>
        </w:rPr>
        <w:t xml:space="preserve"> diagnózy znížený a</w:t>
      </w:r>
      <w:r w:rsidR="00152787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bol</w:t>
      </w:r>
      <w:r w:rsidR="00152787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udržiavaný až do 18 mesiacov u 14 pediatrických pacientov s ET liečených anagrelidom (4 deti,</w:t>
      </w:r>
      <w:r w:rsidR="00152787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10 dospievajúcich). V skorších otvorených štúdiách bolo pozorované zníženie mediánu počtu krvných</w:t>
      </w:r>
      <w:r w:rsidR="00152787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doštičiek u 7 detí a 9 dospievajúcich liečených od 3 mesiacov do 6,5 roka.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Priemerná celková denná dávka anagrelidu zo všetkých štúdií u pediatrických pacientov s ET bola</w:t>
      </w:r>
      <w:r w:rsidR="002C7D62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značne variabilná, ale celkov</w:t>
      </w:r>
      <w:r w:rsidR="002C7D62">
        <w:rPr>
          <w:rFonts w:eastAsia="TimesNewRoman"/>
          <w:sz w:val="22"/>
          <w:szCs w:val="22"/>
        </w:rPr>
        <w:t>é</w:t>
      </w:r>
      <w:r w:rsidRPr="00CE3476">
        <w:rPr>
          <w:rFonts w:eastAsia="TimesNewRoman"/>
          <w:sz w:val="22"/>
          <w:szCs w:val="22"/>
        </w:rPr>
        <w:t xml:space="preserve"> údaje naznačujú, že dospievajúci</w:t>
      </w:r>
      <w:r w:rsidR="002C7D62">
        <w:rPr>
          <w:rFonts w:eastAsia="TimesNewRoman"/>
          <w:sz w:val="22"/>
          <w:szCs w:val="22"/>
        </w:rPr>
        <w:t>m</w:t>
      </w:r>
      <w:r w:rsidRPr="00CE3476">
        <w:rPr>
          <w:rFonts w:eastAsia="TimesNewRoman"/>
          <w:sz w:val="22"/>
          <w:szCs w:val="22"/>
        </w:rPr>
        <w:t xml:space="preserve"> </w:t>
      </w:r>
      <w:r w:rsidR="002C7D62" w:rsidRPr="002C7D62">
        <w:rPr>
          <w:rFonts w:eastAsia="TimesNewRoman"/>
          <w:sz w:val="22"/>
          <w:szCs w:val="22"/>
        </w:rPr>
        <w:t xml:space="preserve">by sa mohli podávať </w:t>
      </w:r>
      <w:r w:rsidRPr="00CE3476">
        <w:rPr>
          <w:rFonts w:eastAsia="TimesNewRoman"/>
          <w:sz w:val="22"/>
          <w:szCs w:val="22"/>
        </w:rPr>
        <w:t>podobné úvodné</w:t>
      </w:r>
      <w:r w:rsidR="002C7D62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a udržiavacie dávky ako dospel</w:t>
      </w:r>
      <w:r w:rsidR="002C7D62">
        <w:rPr>
          <w:rFonts w:eastAsia="TimesNewRoman"/>
          <w:sz w:val="22"/>
          <w:szCs w:val="22"/>
        </w:rPr>
        <w:t>ým</w:t>
      </w:r>
      <w:r w:rsidRPr="00CE3476">
        <w:rPr>
          <w:rFonts w:eastAsia="TimesNewRoman"/>
          <w:sz w:val="22"/>
          <w:szCs w:val="22"/>
        </w:rPr>
        <w:t xml:space="preserve"> a nižšie úvodné dávky 0,5 mg/deň by boli vhodnejšie pre deti vo veku</w:t>
      </w:r>
      <w:r w:rsidR="002C7D62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viac ako 6 rokov (pozri časti 4.2., 4.4., 4.8 a 5.2). U všetkých pediatrických pacientov je potrebná</w:t>
      </w:r>
      <w:r w:rsidR="002C7D62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opatrná titrácia dennej špecifickej dávky pacienta.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2C7D62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C7D62">
        <w:rPr>
          <w:rFonts w:eastAsia="TimesNewRoman"/>
          <w:sz w:val="22"/>
          <w:szCs w:val="22"/>
        </w:rPr>
        <w:t xml:space="preserve">Referenčný liek obsahujúci anagrelid </w:t>
      </w:r>
      <w:r w:rsidR="00CE3476" w:rsidRPr="00CE3476">
        <w:rPr>
          <w:rFonts w:eastAsia="TimesNewRoman"/>
          <w:sz w:val="22"/>
          <w:szCs w:val="22"/>
        </w:rPr>
        <w:t>bol registrovaný za tzv. mimoriadnych okolností.</w:t>
      </w:r>
      <w:r w:rsidR="00CE3476">
        <w:rPr>
          <w:rFonts w:eastAsia="TimesNewRoman"/>
          <w:sz w:val="22"/>
          <w:szCs w:val="22"/>
        </w:rPr>
        <w:t xml:space="preserve"> </w:t>
      </w:r>
      <w:r w:rsidR="00CE3476" w:rsidRPr="00CE3476">
        <w:rPr>
          <w:rFonts w:eastAsia="TimesNewRoman"/>
          <w:sz w:val="22"/>
          <w:szCs w:val="22"/>
        </w:rPr>
        <w:t>To znamená, že pre zriedkavosť výskytu ochorenia nebolo možné získať všetky informácie o</w:t>
      </w:r>
      <w:r w:rsidR="00CE3476">
        <w:rPr>
          <w:rFonts w:eastAsia="TimesNewRoman"/>
          <w:sz w:val="22"/>
          <w:szCs w:val="22"/>
        </w:rPr>
        <w:t> </w:t>
      </w:r>
      <w:r w:rsidR="00CE3476" w:rsidRPr="00CE3476">
        <w:rPr>
          <w:rFonts w:eastAsia="TimesNewRoman"/>
          <w:sz w:val="22"/>
          <w:szCs w:val="22"/>
        </w:rPr>
        <w:t>tomto</w:t>
      </w:r>
      <w:r w:rsidR="00CE3476">
        <w:rPr>
          <w:rFonts w:eastAsia="TimesNewRoman"/>
          <w:sz w:val="22"/>
          <w:szCs w:val="22"/>
        </w:rPr>
        <w:t xml:space="preserve"> </w:t>
      </w:r>
      <w:r w:rsidR="00CE3476" w:rsidRPr="00CE3476">
        <w:rPr>
          <w:rFonts w:eastAsia="TimesNewRoman"/>
          <w:sz w:val="22"/>
          <w:szCs w:val="22"/>
        </w:rPr>
        <w:t>lieku.</w:t>
      </w:r>
    </w:p>
    <w:p w:rsidR="00CE3476" w:rsidRPr="00CE3476" w:rsidRDefault="003A43E1" w:rsidP="00CE347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rFonts w:eastAsia="TimesNewRoman"/>
          <w:sz w:val="22"/>
          <w:szCs w:val="22"/>
        </w:rPr>
        <w:t>Európska</w:t>
      </w:r>
      <w:r w:rsidR="002C7D62">
        <w:rPr>
          <w:rFonts w:eastAsia="TimesNewRoman"/>
          <w:sz w:val="22"/>
          <w:szCs w:val="22"/>
        </w:rPr>
        <w:t xml:space="preserve"> </w:t>
      </w:r>
      <w:r w:rsidR="00CE3476" w:rsidRPr="00CE3476">
        <w:rPr>
          <w:rFonts w:eastAsia="TimesNewRoman"/>
          <w:sz w:val="22"/>
          <w:szCs w:val="22"/>
        </w:rPr>
        <w:t xml:space="preserve">agentúra </w:t>
      </w:r>
      <w:r>
        <w:rPr>
          <w:rFonts w:eastAsia="TimesNewRoman"/>
          <w:sz w:val="22"/>
          <w:szCs w:val="22"/>
        </w:rPr>
        <w:t xml:space="preserve">pre lieky </w:t>
      </w:r>
      <w:r w:rsidR="00CE3476" w:rsidRPr="00CE3476">
        <w:rPr>
          <w:rFonts w:eastAsia="TimesNewRoman"/>
          <w:sz w:val="22"/>
          <w:szCs w:val="22"/>
        </w:rPr>
        <w:t>každý rok posúdi nové dostupné informácie o tomto lieku a tento súhrn</w:t>
      </w:r>
      <w:r w:rsidR="002C7D62">
        <w:rPr>
          <w:rFonts w:eastAsia="TimesNewRoman"/>
          <w:sz w:val="22"/>
          <w:szCs w:val="22"/>
        </w:rPr>
        <w:t xml:space="preserve"> </w:t>
      </w:r>
      <w:r w:rsidR="00CE3476" w:rsidRPr="00CE3476">
        <w:rPr>
          <w:rFonts w:eastAsia="TimesNewRoman"/>
          <w:sz w:val="22"/>
          <w:szCs w:val="22"/>
        </w:rPr>
        <w:t>charakteristických vlastností lieku bude podľa potreby aktualizovať.</w:t>
      </w:r>
    </w:p>
    <w:p w:rsidR="00752C5A" w:rsidRPr="00CE3476" w:rsidRDefault="00752C5A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CE3476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CE3476">
        <w:rPr>
          <w:b/>
          <w:bCs/>
          <w:iCs/>
          <w:sz w:val="22"/>
          <w:szCs w:val="22"/>
        </w:rPr>
        <w:t>5.2</w:t>
      </w:r>
      <w:r w:rsidR="00161F57" w:rsidRPr="00CE3476">
        <w:rPr>
          <w:b/>
          <w:bCs/>
          <w:iCs/>
          <w:sz w:val="22"/>
          <w:szCs w:val="22"/>
        </w:rPr>
        <w:tab/>
        <w:t>Farmakokinetické vlastnosti</w:t>
      </w:r>
    </w:p>
    <w:p w:rsidR="00161F57" w:rsidRPr="00CE3476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Absorpcia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Po perorálnom podaní anagrelidu u človeka sa minimálne 70 % vstrebáva z</w:t>
      </w:r>
      <w:r w:rsidR="002C7D62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gastrointestinálneho</w:t>
      </w:r>
      <w:r w:rsidR="002C7D62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traktu. U</w:t>
      </w:r>
      <w:r w:rsidR="00DD1487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jedincov</w:t>
      </w:r>
      <w:r w:rsidR="00DD1487">
        <w:rPr>
          <w:rFonts w:eastAsia="TimesNewRoman"/>
          <w:sz w:val="22"/>
          <w:szCs w:val="22"/>
        </w:rPr>
        <w:t>,</w:t>
      </w:r>
      <w:r w:rsidR="00DD1487" w:rsidRPr="00DD1487">
        <w:t xml:space="preserve"> </w:t>
      </w:r>
      <w:r w:rsidR="00DD1487" w:rsidRPr="00DD1487">
        <w:rPr>
          <w:rFonts w:eastAsia="TimesNewRoman"/>
          <w:sz w:val="22"/>
          <w:szCs w:val="22"/>
        </w:rPr>
        <w:t>ktorým sa podá nalačno</w:t>
      </w:r>
      <w:r w:rsidRPr="00CE3476">
        <w:rPr>
          <w:rFonts w:eastAsia="TimesNewRoman"/>
          <w:sz w:val="22"/>
          <w:szCs w:val="22"/>
        </w:rPr>
        <w:t xml:space="preserve"> sa </w:t>
      </w:r>
      <w:r w:rsidR="00DD1487" w:rsidRPr="00DD1487">
        <w:rPr>
          <w:rFonts w:eastAsia="TimesNewRoman"/>
          <w:sz w:val="22"/>
          <w:szCs w:val="22"/>
        </w:rPr>
        <w:t>maximálna plazmatická koncentrácia dosiahne približne p</w:t>
      </w:r>
      <w:r w:rsidRPr="00CE3476">
        <w:rPr>
          <w:rFonts w:eastAsia="TimesNewRoman"/>
          <w:sz w:val="22"/>
          <w:szCs w:val="22"/>
        </w:rPr>
        <w:t>o 1 hodin</w:t>
      </w:r>
      <w:r w:rsidR="00DD1487">
        <w:rPr>
          <w:rFonts w:eastAsia="TimesNewRoman"/>
          <w:sz w:val="22"/>
          <w:szCs w:val="22"/>
        </w:rPr>
        <w:t>e</w:t>
      </w:r>
      <w:r w:rsidRPr="00CE3476">
        <w:rPr>
          <w:rFonts w:eastAsia="TimesNewRoman"/>
          <w:sz w:val="22"/>
          <w:szCs w:val="22"/>
        </w:rPr>
        <w:t xml:space="preserve"> o</w:t>
      </w:r>
      <w:r w:rsidR="00DD1487">
        <w:rPr>
          <w:rFonts w:eastAsia="TimesNewRoman"/>
          <w:sz w:val="22"/>
          <w:szCs w:val="22"/>
        </w:rPr>
        <w:t>d</w:t>
      </w:r>
      <w:r w:rsidRPr="00CE3476">
        <w:rPr>
          <w:rFonts w:eastAsia="TimesNewRoman"/>
          <w:sz w:val="22"/>
          <w:szCs w:val="22"/>
        </w:rPr>
        <w:t xml:space="preserve"> podan</w:t>
      </w:r>
      <w:r w:rsidR="00DD1487">
        <w:rPr>
          <w:rFonts w:eastAsia="TimesNewRoman"/>
          <w:sz w:val="22"/>
          <w:szCs w:val="22"/>
        </w:rPr>
        <w:t>ia</w:t>
      </w:r>
      <w:r w:rsidRPr="00CE3476">
        <w:rPr>
          <w:rFonts w:eastAsia="TimesNewRoman"/>
          <w:sz w:val="22"/>
          <w:szCs w:val="22"/>
        </w:rPr>
        <w:t>.</w:t>
      </w:r>
      <w:r w:rsidR="002C7D62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Farmakokinetické údaje od zdravých jedincov ukazujú, že jedlo znižuje C</w:t>
      </w:r>
      <w:r w:rsidRPr="00CE3476">
        <w:rPr>
          <w:rFonts w:eastAsia="TimesNewRoman"/>
          <w:sz w:val="22"/>
          <w:szCs w:val="22"/>
          <w:vertAlign w:val="subscript"/>
        </w:rPr>
        <w:t>max</w:t>
      </w:r>
      <w:r w:rsidRPr="00CE3476">
        <w:rPr>
          <w:rFonts w:eastAsia="TimesNewRoman"/>
          <w:sz w:val="22"/>
          <w:szCs w:val="22"/>
        </w:rPr>
        <w:t xml:space="preserve"> anagrelidu o 14 %, ale</w:t>
      </w:r>
      <w:r w:rsidR="002C7D62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zvyšuje hodnoty AUC o 20 %. Jedlo tiež znížilo C</w:t>
      </w:r>
      <w:r w:rsidRPr="00CE3476">
        <w:rPr>
          <w:rFonts w:eastAsia="TimesNewRoman"/>
          <w:sz w:val="22"/>
          <w:szCs w:val="22"/>
          <w:vertAlign w:val="subscript"/>
        </w:rPr>
        <w:t>max</w:t>
      </w:r>
      <w:r w:rsidRPr="00CE3476">
        <w:rPr>
          <w:rFonts w:eastAsia="TimesNewRoman"/>
          <w:sz w:val="22"/>
          <w:szCs w:val="22"/>
        </w:rPr>
        <w:t xml:space="preserve"> aktívneho metabolitu</w:t>
      </w:r>
      <w:r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3-hydroxyanagrelidu o 29 %, hoci nemalo žiadny účinok na hodnoty AUC.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Biotransformácia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 xml:space="preserve">Anagrelid je primárne metabolizovaný </w:t>
      </w:r>
      <w:r w:rsidR="00E75B68" w:rsidRPr="00E75B68">
        <w:rPr>
          <w:rFonts w:eastAsia="TimesNewRoman"/>
          <w:sz w:val="22"/>
          <w:szCs w:val="22"/>
        </w:rPr>
        <w:t xml:space="preserve">prostredníctvom </w:t>
      </w:r>
      <w:r w:rsidRPr="00CE3476">
        <w:rPr>
          <w:rFonts w:eastAsia="TimesNewRoman"/>
          <w:sz w:val="22"/>
          <w:szCs w:val="22"/>
        </w:rPr>
        <w:t>CYP1A2 za tvorby 3-hydroxyanagrelidu, ktorý je ďalej</w:t>
      </w:r>
      <w:r w:rsidR="00E75B68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 xml:space="preserve">metabolizovaný </w:t>
      </w:r>
      <w:r w:rsidR="00E75B68" w:rsidRPr="00E75B68">
        <w:rPr>
          <w:rFonts w:eastAsia="TimesNewRoman"/>
          <w:sz w:val="22"/>
          <w:szCs w:val="22"/>
        </w:rPr>
        <w:t xml:space="preserve">prostredníctvom </w:t>
      </w:r>
      <w:r w:rsidRPr="00CE3476">
        <w:rPr>
          <w:rFonts w:eastAsia="TimesNewRoman"/>
          <w:sz w:val="22"/>
          <w:szCs w:val="22"/>
        </w:rPr>
        <w:t>CYP1A2 na neaktívny metabolit 2-amino-5,6-dichl</w:t>
      </w:r>
      <w:r w:rsidR="00E75B68">
        <w:rPr>
          <w:rFonts w:eastAsia="TimesNewRoman"/>
          <w:sz w:val="22"/>
          <w:szCs w:val="22"/>
        </w:rPr>
        <w:t>ór</w:t>
      </w:r>
      <w:r w:rsidRPr="00CE3476">
        <w:rPr>
          <w:rFonts w:eastAsia="TimesNewRoman"/>
          <w:sz w:val="22"/>
          <w:szCs w:val="22"/>
        </w:rPr>
        <w:t>-3,4-dihydrochinazolín.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Eliminácia</w:t>
      </w:r>
    </w:p>
    <w:p w:rsidR="00CE3476" w:rsidRDefault="00CE3476" w:rsidP="00E75B6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Plazmatický polčas anagrelidu je krátky, približne 1,3 hodiny a ako sa predpoklad</w:t>
      </w:r>
      <w:r w:rsidR="00E75B68">
        <w:rPr>
          <w:rFonts w:eastAsia="TimesNewRoman"/>
          <w:sz w:val="22"/>
          <w:szCs w:val="22"/>
        </w:rPr>
        <w:t>alo na základe</w:t>
      </w:r>
      <w:r w:rsidRPr="00CE3476">
        <w:rPr>
          <w:rFonts w:eastAsia="TimesNewRoman"/>
          <w:sz w:val="22"/>
          <w:szCs w:val="22"/>
        </w:rPr>
        <w:t xml:space="preserve"> tohto polčasu,</w:t>
      </w:r>
      <w:r w:rsidR="00E75B68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kumuláci</w:t>
      </w:r>
      <w:r w:rsidR="00400BD1">
        <w:rPr>
          <w:rFonts w:eastAsia="TimesNewRoman"/>
          <w:sz w:val="22"/>
          <w:szCs w:val="22"/>
        </w:rPr>
        <w:t>a</w:t>
      </w:r>
      <w:r w:rsidRPr="00CE3476">
        <w:rPr>
          <w:rFonts w:eastAsia="TimesNewRoman"/>
          <w:sz w:val="22"/>
          <w:szCs w:val="22"/>
        </w:rPr>
        <w:t xml:space="preserve"> anagrelidu v</w:t>
      </w:r>
      <w:r w:rsidR="00E75B68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plazme</w:t>
      </w:r>
      <w:r w:rsidR="00E75B68">
        <w:rPr>
          <w:rFonts w:eastAsia="TimesNewRoman"/>
          <w:sz w:val="22"/>
          <w:szCs w:val="22"/>
        </w:rPr>
        <w:t xml:space="preserve"> sa nepreukázala</w:t>
      </w:r>
      <w:r w:rsidRPr="00CE3476">
        <w:rPr>
          <w:rFonts w:eastAsia="TimesNewRoman"/>
          <w:sz w:val="22"/>
          <w:szCs w:val="22"/>
        </w:rPr>
        <w:t>. Menej ako 1 % sa vyskytuje v</w:t>
      </w:r>
      <w:r w:rsidR="00E75B68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moči</w:t>
      </w:r>
      <w:r w:rsidR="00E75B68">
        <w:rPr>
          <w:rFonts w:eastAsia="TimesNewRoman"/>
          <w:sz w:val="22"/>
          <w:szCs w:val="22"/>
        </w:rPr>
        <w:t xml:space="preserve"> vo forme </w:t>
      </w:r>
      <w:r w:rsidRPr="00CE3476">
        <w:rPr>
          <w:rFonts w:eastAsia="TimesNewRoman"/>
          <w:sz w:val="22"/>
          <w:szCs w:val="22"/>
        </w:rPr>
        <w:t>anagrelid</w:t>
      </w:r>
      <w:r w:rsidR="00E75B68">
        <w:rPr>
          <w:rFonts w:eastAsia="TimesNewRoman"/>
          <w:sz w:val="22"/>
          <w:szCs w:val="22"/>
        </w:rPr>
        <w:t>u</w:t>
      </w:r>
      <w:r w:rsidRPr="00CE3476">
        <w:rPr>
          <w:rFonts w:eastAsia="TimesNewRoman"/>
          <w:sz w:val="22"/>
          <w:szCs w:val="22"/>
        </w:rPr>
        <w:t>.</w:t>
      </w:r>
      <w:r w:rsidR="00E75B68" w:rsidRPr="00E75B68">
        <w:t xml:space="preserve"> </w:t>
      </w:r>
      <w:r w:rsidR="00E75B68">
        <w:rPr>
          <w:rFonts w:eastAsia="TimesNewRoman"/>
          <w:sz w:val="22"/>
          <w:szCs w:val="22"/>
        </w:rPr>
        <w:t>Priemerné množstvo 2-amino-5,6 dichlór-3,4-</w:t>
      </w:r>
      <w:r w:rsidR="00E75B68" w:rsidRPr="00E75B68">
        <w:rPr>
          <w:rFonts w:eastAsia="TimesNewRoman"/>
          <w:sz w:val="22"/>
          <w:szCs w:val="22"/>
        </w:rPr>
        <w:t>dihydrochinazolínu vylúčené močom zodpovedá približne 18-35 % podanej dávky</w:t>
      </w:r>
      <w:r w:rsidRPr="00CE3476">
        <w:rPr>
          <w:rFonts w:eastAsia="TimesNewRoman"/>
          <w:sz w:val="22"/>
          <w:szCs w:val="22"/>
        </w:rPr>
        <w:t>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Navyše tieto výsledky nevykazujú známky samoindukcie klírensu anagrelidu.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Linearita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 xml:space="preserve">Proporcionalita dávky sa </w:t>
      </w:r>
      <w:r w:rsidR="00E75B68">
        <w:rPr>
          <w:rFonts w:eastAsia="TimesNewRoman"/>
          <w:sz w:val="22"/>
          <w:szCs w:val="22"/>
        </w:rPr>
        <w:t>prejavuje</w:t>
      </w:r>
      <w:r w:rsidRPr="00CE3476">
        <w:rPr>
          <w:rFonts w:eastAsia="TimesNewRoman"/>
          <w:sz w:val="22"/>
          <w:szCs w:val="22"/>
        </w:rPr>
        <w:t xml:space="preserve"> v rozmedzí dávok 0,5 mg až 2 mg.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Pediatrická populácia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lastRenderedPageBreak/>
        <w:t>Farmakokinetické údaje u detí a</w:t>
      </w:r>
      <w:r w:rsidR="00E75B68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dospievajúcich</w:t>
      </w:r>
      <w:r w:rsidR="00E75B68">
        <w:rPr>
          <w:rFonts w:eastAsia="TimesNewRoman"/>
          <w:sz w:val="22"/>
          <w:szCs w:val="22"/>
        </w:rPr>
        <w:t>,</w:t>
      </w:r>
      <w:r w:rsidRPr="00CE3476">
        <w:rPr>
          <w:rFonts w:eastAsia="TimesNewRoman"/>
          <w:sz w:val="22"/>
          <w:szCs w:val="22"/>
        </w:rPr>
        <w:t xml:space="preserve"> </w:t>
      </w:r>
      <w:r w:rsidR="00E75B68" w:rsidRPr="00E75B68">
        <w:rPr>
          <w:rFonts w:eastAsia="TimesNewRoman"/>
          <w:sz w:val="22"/>
          <w:szCs w:val="22"/>
        </w:rPr>
        <w:t xml:space="preserve">ktorým sa podal anagrelid </w:t>
      </w:r>
      <w:r w:rsidRPr="00CE3476">
        <w:rPr>
          <w:rFonts w:eastAsia="TimesNewRoman"/>
          <w:sz w:val="22"/>
          <w:szCs w:val="22"/>
        </w:rPr>
        <w:t>nalačno (vekový rozsah 7 - 16 rokov)</w:t>
      </w:r>
      <w:r w:rsidR="00E75B68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s esenciálnou trombocytémiou ukazujú, že normalizovaná expozícia vzhľadom k dávke, C</w:t>
      </w:r>
      <w:r w:rsidRPr="00CE3476">
        <w:rPr>
          <w:rFonts w:eastAsia="TimesNewRoman"/>
          <w:sz w:val="22"/>
          <w:szCs w:val="22"/>
          <w:vertAlign w:val="subscript"/>
        </w:rPr>
        <w:t>max</w:t>
      </w:r>
      <w:r w:rsidRPr="00CE3476">
        <w:rPr>
          <w:rFonts w:eastAsia="TimesNewRoman"/>
          <w:sz w:val="22"/>
          <w:szCs w:val="22"/>
        </w:rPr>
        <w:t xml:space="preserve"> a</w:t>
      </w:r>
      <w:r w:rsidR="00E75B68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AUC</w:t>
      </w:r>
      <w:r w:rsidR="00E75B68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 xml:space="preserve">anagrelidu mala tendenciu byť vyššia u detí/dospievajúcich v porovnaní s dospelými. Taktiež </w:t>
      </w:r>
      <w:r w:rsidR="00E75B68">
        <w:rPr>
          <w:rFonts w:eastAsia="TimesNewRoman"/>
          <w:sz w:val="22"/>
          <w:szCs w:val="22"/>
        </w:rPr>
        <w:t xml:space="preserve">sa pozorovala </w:t>
      </w:r>
      <w:r w:rsidRPr="00CE3476">
        <w:rPr>
          <w:rFonts w:eastAsia="TimesNewRoman"/>
          <w:sz w:val="22"/>
          <w:szCs w:val="22"/>
        </w:rPr>
        <w:t>tendencia k zvýšenej expozícii normalizovanej dávky aktívn</w:t>
      </w:r>
      <w:r w:rsidR="00D66701">
        <w:rPr>
          <w:rFonts w:eastAsia="TimesNewRoman"/>
          <w:sz w:val="22"/>
          <w:szCs w:val="22"/>
        </w:rPr>
        <w:t>eho</w:t>
      </w:r>
      <w:r w:rsidRPr="00CE3476">
        <w:rPr>
          <w:rFonts w:eastAsia="TimesNewRoman"/>
          <w:sz w:val="22"/>
          <w:szCs w:val="22"/>
        </w:rPr>
        <w:t xml:space="preserve"> metabolit</w:t>
      </w:r>
      <w:r w:rsidR="00D66701">
        <w:rPr>
          <w:rFonts w:eastAsia="TimesNewRoman"/>
          <w:sz w:val="22"/>
          <w:szCs w:val="22"/>
        </w:rPr>
        <w:t>u</w:t>
      </w:r>
      <w:r w:rsidRPr="00CE3476">
        <w:rPr>
          <w:rFonts w:eastAsia="TimesNewRoman"/>
          <w:sz w:val="22"/>
          <w:szCs w:val="22"/>
        </w:rPr>
        <w:t>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Starší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Farmakokinetické údaje u starších pacientov nalačno s ET (vekový rozsah 65 - 75 rokov) v</w:t>
      </w:r>
      <w:r w:rsidR="00D66701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porovnaní</w:t>
      </w:r>
      <w:r w:rsidR="00D66701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s dospelými pacientami nalačno (vekový rozsah 22 - 50 rokov) ukazujú, že C</w:t>
      </w:r>
      <w:r w:rsidRPr="00E24067">
        <w:rPr>
          <w:rFonts w:eastAsia="TimesNewRoman"/>
          <w:sz w:val="22"/>
          <w:szCs w:val="22"/>
          <w:vertAlign w:val="subscript"/>
        </w:rPr>
        <w:t>max</w:t>
      </w:r>
      <w:r w:rsidRPr="00CE3476">
        <w:rPr>
          <w:rFonts w:eastAsia="TimesNewRoman"/>
          <w:sz w:val="22"/>
          <w:szCs w:val="22"/>
        </w:rPr>
        <w:t xml:space="preserve"> a AUC anagrelidu boli o</w:t>
      </w:r>
      <w:r w:rsidR="001B662B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36</w:t>
      </w:r>
      <w:r w:rsidR="001B662B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% a</w:t>
      </w:r>
      <w:r w:rsidR="001B662B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61</w:t>
      </w:r>
      <w:r w:rsidR="001B662B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% vyššie u starších pacientov v uvedenom poradí, ale C</w:t>
      </w:r>
      <w:r w:rsidRPr="00E24067">
        <w:rPr>
          <w:rFonts w:eastAsia="TimesNewRoman"/>
          <w:sz w:val="22"/>
          <w:szCs w:val="22"/>
          <w:vertAlign w:val="subscript"/>
        </w:rPr>
        <w:t>max</w:t>
      </w:r>
      <w:r w:rsidRPr="00CE3476">
        <w:rPr>
          <w:rFonts w:eastAsia="TimesNewRoman"/>
          <w:sz w:val="22"/>
          <w:szCs w:val="22"/>
        </w:rPr>
        <w:t xml:space="preserve"> a AUC aktívneho</w:t>
      </w:r>
      <w:r w:rsidR="00D66701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metabolitu 3-hydoxyanagrelidu boli o</w:t>
      </w:r>
      <w:r w:rsidR="001B662B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42</w:t>
      </w:r>
      <w:r w:rsidR="001B662B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% a</w:t>
      </w:r>
      <w:r w:rsidR="001B662B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37</w:t>
      </w:r>
      <w:r w:rsidR="001B662B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% nižšie u starších pacientov v uvedenom poradí.</w:t>
      </w:r>
      <w:r w:rsidR="001B662B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Tieto rozdiely pravdepodobne spôsobil nižší presystémový metabolizmus anagrelidu na</w:t>
      </w:r>
      <w:r w:rsidR="001B662B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3-hydroxyanagrelid u starších pacientov.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161F57" w:rsidRPr="00CE3476" w:rsidRDefault="00161F5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CE3476">
        <w:rPr>
          <w:b/>
          <w:bCs/>
          <w:iCs/>
          <w:sz w:val="22"/>
          <w:szCs w:val="22"/>
        </w:rPr>
        <w:t>5.3</w:t>
      </w:r>
      <w:r w:rsidRPr="00CE3476">
        <w:rPr>
          <w:b/>
          <w:bCs/>
          <w:iCs/>
          <w:sz w:val="22"/>
          <w:szCs w:val="22"/>
        </w:rPr>
        <w:tab/>
        <w:t>Predklinické údaje o bezpečnosti</w:t>
      </w:r>
    </w:p>
    <w:p w:rsidR="00161F57" w:rsidRPr="00CE3476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Toxicita po opakovanom podaní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Po opakovanom perorálnom podaní anagrelidu psom, sa pri dávke 1 mg/kg/deň alebo vyššej</w:t>
      </w:r>
      <w:r w:rsidR="001B662B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pozorovali subendokardiálne krvácanie a fokálna nekróza myokardu u samcov a samíc, pričom samc</w:t>
      </w:r>
      <w:r w:rsidR="001B662B">
        <w:rPr>
          <w:rFonts w:eastAsia="TimesNewRoman"/>
          <w:sz w:val="22"/>
          <w:szCs w:val="22"/>
        </w:rPr>
        <w:t xml:space="preserve">i </w:t>
      </w:r>
      <w:r w:rsidRPr="00CE3476">
        <w:rPr>
          <w:rFonts w:eastAsia="TimesNewRoman"/>
          <w:sz w:val="22"/>
          <w:szCs w:val="22"/>
        </w:rPr>
        <w:t>boli senzitívnejš</w:t>
      </w:r>
      <w:r w:rsidR="001B662B">
        <w:rPr>
          <w:rFonts w:eastAsia="TimesNewRoman"/>
          <w:sz w:val="22"/>
          <w:szCs w:val="22"/>
        </w:rPr>
        <w:t>í</w:t>
      </w:r>
      <w:r w:rsidRPr="00CE3476">
        <w:rPr>
          <w:rFonts w:eastAsia="TimesNewRoman"/>
          <w:sz w:val="22"/>
          <w:szCs w:val="22"/>
        </w:rPr>
        <w:t>. Dávka</w:t>
      </w:r>
      <w:r w:rsidR="001B662B">
        <w:rPr>
          <w:rFonts w:eastAsia="TimesNewRoman"/>
          <w:sz w:val="22"/>
          <w:szCs w:val="22"/>
        </w:rPr>
        <w:t>,</w:t>
      </w:r>
      <w:r w:rsidRPr="00CE3476">
        <w:rPr>
          <w:rFonts w:eastAsia="TimesNewRoman"/>
          <w:sz w:val="22"/>
          <w:szCs w:val="22"/>
        </w:rPr>
        <w:t xml:space="preserve"> </w:t>
      </w:r>
      <w:r w:rsidR="001B662B" w:rsidRPr="001B662B">
        <w:rPr>
          <w:rFonts w:eastAsia="TimesNewRoman"/>
          <w:sz w:val="22"/>
          <w:szCs w:val="22"/>
        </w:rPr>
        <w:t>pri</w:t>
      </w:r>
      <w:r w:rsidR="001B662B">
        <w:rPr>
          <w:rFonts w:eastAsia="TimesNewRoman"/>
          <w:sz w:val="22"/>
          <w:szCs w:val="22"/>
        </w:rPr>
        <w:t xml:space="preserve"> ktorej nebol pozorovaný účinok</w:t>
      </w:r>
      <w:r w:rsidRPr="00CE3476">
        <w:rPr>
          <w:rFonts w:eastAsia="TimesNewRoman"/>
          <w:sz w:val="22"/>
          <w:szCs w:val="22"/>
        </w:rPr>
        <w:t xml:space="preserve"> (NOEL - </w:t>
      </w:r>
      <w:r w:rsidRPr="00CE3476">
        <w:rPr>
          <w:rFonts w:eastAsia="TimesNewRoman"/>
          <w:i/>
          <w:iCs/>
          <w:sz w:val="22"/>
          <w:szCs w:val="22"/>
        </w:rPr>
        <w:t>no observed effect level</w:t>
      </w:r>
      <w:r w:rsidRPr="00CE3476">
        <w:rPr>
          <w:rFonts w:eastAsia="TimesNewRoman"/>
          <w:sz w:val="22"/>
          <w:szCs w:val="22"/>
        </w:rPr>
        <w:t>) u</w:t>
      </w:r>
      <w:r w:rsidR="001B662B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samcov</w:t>
      </w:r>
      <w:r w:rsidR="001B662B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psov (0,3 mg/kg/deň) zodpovedá 0,1; 0,1 a 1,6-násobku AUC u ľudí pre dávku anagrelidu 2 mg/deň,</w:t>
      </w:r>
      <w:r w:rsidR="001B662B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a metabolity BCH24426 a RL603, v uvedenom poradí.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Reprodukčná toxikológia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CE3476">
        <w:rPr>
          <w:rFonts w:eastAsia="TimesNewRoman"/>
          <w:i/>
          <w:iCs/>
          <w:sz w:val="22"/>
          <w:szCs w:val="22"/>
        </w:rPr>
        <w:t>Fertilita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U samcov potkanov bolo zistené, že anagrelid pri perorálnych dávkach až do 240 mg/kg/deň (˃1</w:t>
      </w:r>
      <w:r w:rsidR="001B662B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000-násobok dávky 2 mg/deň, na základe plochy povrchu tela), nemá žiadny vplyv na fertilitu</w:t>
      </w:r>
      <w:r w:rsidR="001B662B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a reprodukčné schopnosti. U samíc potkanov bolo pri dávke 30 mg/kg/deň pozorované zvýšenie pred</w:t>
      </w:r>
      <w:r w:rsidR="001B662B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a poimplantačných strát a pokles priemerného počtu živých embryí. NOEL (10 mg/kg/deň) pre tento</w:t>
      </w:r>
      <w:r w:rsidR="001B662B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 xml:space="preserve">účinok bola 143, 12 a 11-násobne vyššia ako AUC u ľudí </w:t>
      </w:r>
      <w:r w:rsidR="001B662B">
        <w:rPr>
          <w:rFonts w:eastAsia="TimesNewRoman"/>
          <w:sz w:val="22"/>
          <w:szCs w:val="22"/>
        </w:rPr>
        <w:t xml:space="preserve">po </w:t>
      </w:r>
      <w:r w:rsidRPr="00CE3476">
        <w:rPr>
          <w:rFonts w:eastAsia="TimesNewRoman"/>
          <w:sz w:val="22"/>
          <w:szCs w:val="22"/>
        </w:rPr>
        <w:t>pod</w:t>
      </w:r>
      <w:r w:rsidR="001B662B">
        <w:rPr>
          <w:rFonts w:eastAsia="TimesNewRoman"/>
          <w:sz w:val="22"/>
          <w:szCs w:val="22"/>
        </w:rPr>
        <w:t>aní</w:t>
      </w:r>
      <w:r w:rsidRPr="00CE3476">
        <w:rPr>
          <w:rFonts w:eastAsia="TimesNewRoman"/>
          <w:sz w:val="22"/>
          <w:szCs w:val="22"/>
        </w:rPr>
        <w:t xml:space="preserve"> dávky anagrelidu 2 mg/deň,</w:t>
      </w:r>
      <w:r w:rsidR="001B662B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a metabolitov BCH24426 a RL603, v uvedenom poradí.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CE3476">
        <w:rPr>
          <w:rFonts w:eastAsia="TimesNewRoman"/>
          <w:i/>
          <w:iCs/>
          <w:sz w:val="22"/>
          <w:szCs w:val="22"/>
        </w:rPr>
        <w:t>Štúdie embryofetálneho vývoja</w:t>
      </w:r>
    </w:p>
    <w:p w:rsidR="00CE3476" w:rsidRDefault="003A2465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U</w:t>
      </w:r>
      <w:r w:rsidR="00CE3476" w:rsidRPr="00CE3476">
        <w:rPr>
          <w:rFonts w:eastAsia="TimesNewRoman"/>
          <w:sz w:val="22"/>
          <w:szCs w:val="22"/>
        </w:rPr>
        <w:t xml:space="preserve"> potkanov a králikov boli </w:t>
      </w:r>
      <w:r w:rsidRPr="003A2465">
        <w:rPr>
          <w:rFonts w:eastAsia="TimesNewRoman"/>
          <w:sz w:val="22"/>
          <w:szCs w:val="22"/>
        </w:rPr>
        <w:t xml:space="preserve">toxické dávky anagrelidu pre matku </w:t>
      </w:r>
      <w:r w:rsidR="00CE3476" w:rsidRPr="00CE3476">
        <w:rPr>
          <w:rFonts w:eastAsia="TimesNewRoman"/>
          <w:sz w:val="22"/>
          <w:szCs w:val="22"/>
        </w:rPr>
        <w:t>spojené so zvýšenou resorpciou embrya</w:t>
      </w:r>
      <w:r>
        <w:rPr>
          <w:rFonts w:eastAsia="TimesNewRoman"/>
          <w:sz w:val="22"/>
          <w:szCs w:val="22"/>
        </w:rPr>
        <w:t xml:space="preserve"> </w:t>
      </w:r>
      <w:r w:rsidR="00CE3476" w:rsidRPr="00CE3476">
        <w:rPr>
          <w:rFonts w:eastAsia="TimesNewRoman"/>
          <w:sz w:val="22"/>
          <w:szCs w:val="22"/>
        </w:rPr>
        <w:t>a úmrtnosťou plodu.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V štúdii prenatálneho a postnatálneho vývoja u samíc potkanov vyvolával anagrelid pri perorálnych</w:t>
      </w:r>
      <w:r w:rsidR="003A246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 xml:space="preserve">dávkach ≥10 mg/kg iný ako nežiaduci účinok v podobe </w:t>
      </w:r>
      <w:r w:rsidR="003A2465" w:rsidRPr="003A2465">
        <w:rPr>
          <w:rFonts w:eastAsia="TimesNewRoman"/>
          <w:sz w:val="22"/>
          <w:szCs w:val="22"/>
        </w:rPr>
        <w:t>predĺženia doby</w:t>
      </w:r>
      <w:r w:rsidRPr="00CE3476">
        <w:rPr>
          <w:rFonts w:eastAsia="TimesNewRoman"/>
          <w:sz w:val="22"/>
          <w:szCs w:val="22"/>
        </w:rPr>
        <w:t xml:space="preserve"> gravidity. Pri dávke NOEL</w:t>
      </w:r>
      <w:r w:rsidR="003A246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(3 mg/kg/deň), AUC pre anagrelid a metabolity BCH24426 a RL603 bola 14-, 2- a 2-násobne vyššia</w:t>
      </w:r>
      <w:r w:rsidR="003A246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 xml:space="preserve">ako AUC u ľudí </w:t>
      </w:r>
      <w:r w:rsidR="003A2465">
        <w:rPr>
          <w:rFonts w:eastAsia="TimesNewRoman"/>
          <w:sz w:val="22"/>
          <w:szCs w:val="22"/>
        </w:rPr>
        <w:t xml:space="preserve">po </w:t>
      </w:r>
      <w:r w:rsidRPr="00CE3476">
        <w:rPr>
          <w:rFonts w:eastAsia="TimesNewRoman"/>
          <w:sz w:val="22"/>
          <w:szCs w:val="22"/>
        </w:rPr>
        <w:t>pod</w:t>
      </w:r>
      <w:r w:rsidR="003A2465">
        <w:rPr>
          <w:rFonts w:eastAsia="TimesNewRoman"/>
          <w:sz w:val="22"/>
          <w:szCs w:val="22"/>
        </w:rPr>
        <w:t>aní</w:t>
      </w:r>
      <w:r w:rsidRPr="00CE3476">
        <w:rPr>
          <w:rFonts w:eastAsia="TimesNewRoman"/>
          <w:sz w:val="22"/>
          <w:szCs w:val="22"/>
        </w:rPr>
        <w:t xml:space="preserve"> perorálnej dávky anagrelidu 2 mg/deň.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0D1C34" w:rsidRPr="00CE3476" w:rsidRDefault="00CE3476" w:rsidP="00CE3476">
      <w:pPr>
        <w:autoSpaceDE w:val="0"/>
        <w:autoSpaceDN w:val="0"/>
        <w:adjustRightInd w:val="0"/>
        <w:rPr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Anagrelid pri dávke ≥ 60 mg/kg zvýšil dobu trvania pôrodov u samíc a mortalitu plodov. Pri</w:t>
      </w:r>
      <w:r w:rsidR="003A246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dávke NOEL (30 mg/kg/deň), AUC pre anagrelid a metabolity BCH24426 a RL603 bola 425-, 31- a</w:t>
      </w:r>
      <w:r w:rsidR="003A246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 xml:space="preserve">13-násobne vyššia ako AUC u ľudí </w:t>
      </w:r>
      <w:r w:rsidR="003A2465">
        <w:rPr>
          <w:rFonts w:eastAsia="TimesNewRoman"/>
          <w:sz w:val="22"/>
          <w:szCs w:val="22"/>
        </w:rPr>
        <w:t xml:space="preserve">po </w:t>
      </w:r>
      <w:r w:rsidRPr="00CE3476">
        <w:rPr>
          <w:rFonts w:eastAsia="TimesNewRoman"/>
          <w:sz w:val="22"/>
          <w:szCs w:val="22"/>
        </w:rPr>
        <w:t>pod</w:t>
      </w:r>
      <w:r w:rsidR="003A2465">
        <w:rPr>
          <w:rFonts w:eastAsia="TimesNewRoman"/>
          <w:sz w:val="22"/>
          <w:szCs w:val="22"/>
        </w:rPr>
        <w:t>aní</w:t>
      </w:r>
      <w:r w:rsidRPr="00CE3476">
        <w:rPr>
          <w:rFonts w:eastAsia="TimesNewRoman"/>
          <w:sz w:val="22"/>
          <w:szCs w:val="22"/>
        </w:rPr>
        <w:t xml:space="preserve"> perorálnej dávky anagrelidu 2 mg/deň, v</w:t>
      </w:r>
      <w:r w:rsidR="003A2465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uvedenom</w:t>
      </w:r>
      <w:r w:rsidR="003A246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poradí.</w:t>
      </w:r>
    </w:p>
    <w:p w:rsidR="00E31FB5" w:rsidRPr="00CE3476" w:rsidRDefault="00E31FB5">
      <w:pPr>
        <w:autoSpaceDE w:val="0"/>
        <w:autoSpaceDN w:val="0"/>
        <w:adjustRightInd w:val="0"/>
        <w:rPr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E3476">
        <w:rPr>
          <w:rFonts w:eastAsia="TimesNewRoman"/>
          <w:sz w:val="22"/>
          <w:szCs w:val="22"/>
          <w:u w:val="single"/>
        </w:rPr>
        <w:t>Mutagénny a karcinogénny potenciál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Štúdie genotoxického potenciálu anagrelidu nezistili žiadne mutagénne alebo klastogénne účinky.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Počas dvojročnej štúdie karcinogenity na potkanoch boli pozorované neneoplastické a</w:t>
      </w:r>
      <w:r w:rsidR="003A2465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neoplastické</w:t>
      </w:r>
      <w:r w:rsidR="003A2465">
        <w:rPr>
          <w:rFonts w:eastAsia="TimesNewRoman"/>
          <w:sz w:val="22"/>
          <w:szCs w:val="22"/>
        </w:rPr>
        <w:t xml:space="preserve"> nálezy</w:t>
      </w:r>
      <w:r w:rsidRPr="00CE3476">
        <w:rPr>
          <w:rFonts w:eastAsia="TimesNewRoman"/>
          <w:sz w:val="22"/>
          <w:szCs w:val="22"/>
        </w:rPr>
        <w:t>, ktoré súviseli alebo sa pripisovali prehnanému zvýšenému farmakologickému</w:t>
      </w:r>
      <w:r w:rsidR="003A246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účinku. V rámci nich sa výskyt adrenáln</w:t>
      </w:r>
      <w:r w:rsidR="003A2465">
        <w:rPr>
          <w:rFonts w:eastAsia="TimesNewRoman"/>
          <w:sz w:val="22"/>
          <w:szCs w:val="22"/>
        </w:rPr>
        <w:t>ych</w:t>
      </w:r>
      <w:r w:rsidRPr="00CE3476">
        <w:rPr>
          <w:rFonts w:eastAsia="TimesNewRoman"/>
          <w:sz w:val="22"/>
          <w:szCs w:val="22"/>
        </w:rPr>
        <w:t xml:space="preserve"> feochromocytóm</w:t>
      </w:r>
      <w:r w:rsidR="003A2465">
        <w:rPr>
          <w:rFonts w:eastAsia="TimesNewRoman"/>
          <w:sz w:val="22"/>
          <w:szCs w:val="22"/>
        </w:rPr>
        <w:t>ov</w:t>
      </w:r>
      <w:r w:rsidRPr="00CE3476">
        <w:rPr>
          <w:rFonts w:eastAsia="TimesNewRoman"/>
          <w:sz w:val="22"/>
          <w:szCs w:val="22"/>
        </w:rPr>
        <w:t xml:space="preserve"> zvýšil </w:t>
      </w:r>
      <w:r w:rsidR="003A2465" w:rsidRPr="003A2465">
        <w:rPr>
          <w:rFonts w:eastAsia="TimesNewRoman"/>
          <w:sz w:val="22"/>
          <w:szCs w:val="22"/>
        </w:rPr>
        <w:t>v por</w:t>
      </w:r>
      <w:r w:rsidR="003A2465">
        <w:rPr>
          <w:rFonts w:eastAsia="TimesNewRoman"/>
          <w:sz w:val="22"/>
          <w:szCs w:val="22"/>
        </w:rPr>
        <w:t>ovnaní s kontrolnými zvieratami</w:t>
      </w:r>
      <w:r w:rsidRPr="00CE3476">
        <w:rPr>
          <w:rFonts w:eastAsia="TimesNewRoman"/>
          <w:sz w:val="22"/>
          <w:szCs w:val="22"/>
        </w:rPr>
        <w:t xml:space="preserve"> u samčekov pri všetkých úrovniach dávok (≥ 3 mg/kg/deň) a u samičiek pri dávke</w:t>
      </w:r>
      <w:r w:rsidR="003A246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10 mg/kg/deň a vyššej. Najnižšia dávka u samčekov (3 mg/kg/deň) zodpovedá 37</w:t>
      </w:r>
      <w:r w:rsidR="00A51BDB">
        <w:rPr>
          <w:rFonts w:eastAsia="TimesNewRoman"/>
          <w:sz w:val="22"/>
          <w:szCs w:val="22"/>
        </w:rPr>
        <w:t>-</w:t>
      </w:r>
      <w:r w:rsidRPr="00CE3476">
        <w:rPr>
          <w:rFonts w:eastAsia="TimesNewRoman"/>
          <w:sz w:val="22"/>
          <w:szCs w:val="22"/>
        </w:rPr>
        <w:t xml:space="preserve">násobku </w:t>
      </w:r>
      <w:r w:rsidR="00A51BDB">
        <w:rPr>
          <w:rFonts w:eastAsia="TimesNewRoman"/>
          <w:sz w:val="22"/>
          <w:szCs w:val="22"/>
        </w:rPr>
        <w:t>expozície</w:t>
      </w:r>
      <w:r w:rsidR="003A2465">
        <w:rPr>
          <w:rFonts w:eastAsia="TimesNewRoman"/>
          <w:sz w:val="22"/>
          <w:szCs w:val="22"/>
        </w:rPr>
        <w:t xml:space="preserve"> </w:t>
      </w:r>
      <w:r w:rsidR="00A51BDB">
        <w:rPr>
          <w:rFonts w:eastAsia="TimesNewRoman"/>
          <w:sz w:val="22"/>
          <w:szCs w:val="22"/>
        </w:rPr>
        <w:t>(</w:t>
      </w:r>
      <w:r w:rsidRPr="00CE3476">
        <w:rPr>
          <w:rFonts w:eastAsia="TimesNewRoman"/>
          <w:sz w:val="22"/>
          <w:szCs w:val="22"/>
        </w:rPr>
        <w:t>AUC</w:t>
      </w:r>
      <w:r w:rsidR="00A51BDB">
        <w:rPr>
          <w:rFonts w:eastAsia="TimesNewRoman"/>
          <w:sz w:val="22"/>
          <w:szCs w:val="22"/>
        </w:rPr>
        <w:t>)</w:t>
      </w:r>
      <w:r w:rsidRPr="00CE3476">
        <w:rPr>
          <w:rFonts w:eastAsia="TimesNewRoman"/>
          <w:sz w:val="22"/>
          <w:szCs w:val="22"/>
        </w:rPr>
        <w:t xml:space="preserve"> u človeka po </w:t>
      </w:r>
      <w:r w:rsidR="00A51BDB">
        <w:rPr>
          <w:rFonts w:eastAsia="TimesNewRoman"/>
          <w:sz w:val="22"/>
          <w:szCs w:val="22"/>
        </w:rPr>
        <w:t xml:space="preserve">podaní dávky </w:t>
      </w:r>
      <w:r w:rsidRPr="00CE3476">
        <w:rPr>
          <w:rFonts w:eastAsia="TimesNewRoman"/>
          <w:sz w:val="22"/>
          <w:szCs w:val="22"/>
        </w:rPr>
        <w:t>1 mg dvakrát denne. Adenokarcinómy maternice epigenetického pôvodu</w:t>
      </w:r>
      <w:r w:rsidR="003A246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mohli súvisieť s enzýmovou indukciou rodiny enzýmov CYP1. Boli pozorované u</w:t>
      </w:r>
      <w:r w:rsidR="003A2465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samičiek</w:t>
      </w:r>
      <w:r w:rsidR="003A246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 xml:space="preserve">prijímajúcich 30 mg/kg/deň, čo zodpovedá 572-násobku </w:t>
      </w:r>
      <w:r w:rsidR="00A51BDB">
        <w:rPr>
          <w:rFonts w:eastAsia="TimesNewRoman"/>
          <w:sz w:val="22"/>
          <w:szCs w:val="22"/>
        </w:rPr>
        <w:t>expozície</w:t>
      </w:r>
      <w:r w:rsidRPr="00CE3476">
        <w:rPr>
          <w:rFonts w:eastAsia="TimesNewRoman"/>
          <w:sz w:val="22"/>
          <w:szCs w:val="22"/>
        </w:rPr>
        <w:t xml:space="preserve"> </w:t>
      </w:r>
      <w:r w:rsidR="00A51BDB">
        <w:rPr>
          <w:rFonts w:eastAsia="TimesNewRoman"/>
          <w:sz w:val="22"/>
          <w:szCs w:val="22"/>
        </w:rPr>
        <w:t>(</w:t>
      </w:r>
      <w:r w:rsidRPr="00CE3476">
        <w:rPr>
          <w:rFonts w:eastAsia="TimesNewRoman"/>
          <w:sz w:val="22"/>
          <w:szCs w:val="22"/>
        </w:rPr>
        <w:t>AUC</w:t>
      </w:r>
      <w:r w:rsidR="00A51BDB">
        <w:rPr>
          <w:rFonts w:eastAsia="TimesNewRoman"/>
          <w:sz w:val="22"/>
          <w:szCs w:val="22"/>
        </w:rPr>
        <w:t>)</w:t>
      </w:r>
      <w:r w:rsidRPr="00CE3476">
        <w:rPr>
          <w:rFonts w:eastAsia="TimesNewRoman"/>
          <w:sz w:val="22"/>
          <w:szCs w:val="22"/>
        </w:rPr>
        <w:t xml:space="preserve"> u človeka po </w:t>
      </w:r>
      <w:r w:rsidR="00A51BDB">
        <w:rPr>
          <w:rFonts w:eastAsia="TimesNewRoman"/>
          <w:sz w:val="22"/>
          <w:szCs w:val="22"/>
        </w:rPr>
        <w:t xml:space="preserve">podaní dávky </w:t>
      </w:r>
      <w:r w:rsidRPr="00CE3476">
        <w:rPr>
          <w:rFonts w:eastAsia="TimesNewRoman"/>
          <w:sz w:val="22"/>
          <w:szCs w:val="22"/>
        </w:rPr>
        <w:t>1 mg dvakrát denne.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E3476" w:rsidRDefault="00CE3476" w:rsidP="00CE3476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CE3476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CE3476">
        <w:rPr>
          <w:b/>
          <w:bCs/>
          <w:caps/>
          <w:sz w:val="22"/>
          <w:szCs w:val="22"/>
        </w:rPr>
        <w:t>6.</w:t>
      </w:r>
      <w:r w:rsidR="00161F57" w:rsidRPr="00CE3476">
        <w:rPr>
          <w:b/>
          <w:bCs/>
          <w:caps/>
          <w:sz w:val="22"/>
          <w:szCs w:val="22"/>
        </w:rPr>
        <w:tab/>
        <w:t>Farmaceutické údaje</w:t>
      </w:r>
    </w:p>
    <w:p w:rsidR="00161F57" w:rsidRPr="00CE3476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CE3476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CE3476">
        <w:rPr>
          <w:b/>
          <w:bCs/>
          <w:iCs/>
          <w:sz w:val="22"/>
          <w:szCs w:val="22"/>
        </w:rPr>
        <w:t>6.1</w:t>
      </w:r>
      <w:r w:rsidR="00161F57" w:rsidRPr="00CE3476">
        <w:rPr>
          <w:b/>
          <w:bCs/>
          <w:iCs/>
          <w:sz w:val="22"/>
          <w:szCs w:val="22"/>
        </w:rPr>
        <w:tab/>
        <w:t>Zoznam pomocných látok</w:t>
      </w:r>
    </w:p>
    <w:p w:rsidR="00161F57" w:rsidRPr="00CE3476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E3476" w:rsidRPr="00CA6E25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A6E25">
        <w:rPr>
          <w:rFonts w:eastAsia="TimesNewRoman"/>
          <w:sz w:val="22"/>
          <w:szCs w:val="22"/>
          <w:u w:val="single"/>
        </w:rPr>
        <w:t>Obsah kapsuly</w:t>
      </w:r>
    </w:p>
    <w:p w:rsidR="00CE3476" w:rsidRDefault="00A51BDB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l</w:t>
      </w:r>
      <w:r w:rsidR="00CE3476">
        <w:rPr>
          <w:rFonts w:eastAsia="TimesNewRoman"/>
          <w:sz w:val="22"/>
          <w:szCs w:val="22"/>
        </w:rPr>
        <w:t>aktóza, monohydrát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kroskarmelóza, sodná soľ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povidón (K29/32)</w:t>
      </w:r>
    </w:p>
    <w:p w:rsidR="00CE3476" w:rsidRDefault="0063469E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l</w:t>
      </w:r>
      <w:r w:rsidR="00CE3476">
        <w:rPr>
          <w:rFonts w:eastAsia="TimesNewRoman"/>
          <w:sz w:val="22"/>
          <w:szCs w:val="22"/>
        </w:rPr>
        <w:t>aktóza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mikrokryštalická celulóza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stearan horečnatý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CE3476" w:rsidRPr="00CA6E25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CA6E25">
        <w:rPr>
          <w:rFonts w:eastAsia="TimesNewRoman"/>
          <w:sz w:val="22"/>
          <w:szCs w:val="22"/>
          <w:u w:val="single"/>
        </w:rPr>
        <w:t>Obal kapsuly</w:t>
      </w:r>
    </w:p>
    <w:p w:rsidR="00CE3476" w:rsidRPr="00CE3476" w:rsidRDefault="00A51BDB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ž</w:t>
      </w:r>
      <w:r w:rsidR="00CE3476" w:rsidRPr="00CE3476">
        <w:rPr>
          <w:rFonts w:eastAsia="TimesNewRoman"/>
          <w:sz w:val="22"/>
          <w:szCs w:val="22"/>
        </w:rPr>
        <w:t>elatína</w:t>
      </w:r>
    </w:p>
    <w:p w:rsid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o</w:t>
      </w:r>
      <w:r w:rsidRPr="00CE3476">
        <w:rPr>
          <w:rFonts w:eastAsia="TimesNewRoman"/>
          <w:sz w:val="22"/>
          <w:szCs w:val="22"/>
        </w:rPr>
        <w:t>xid titaničitý (E171)</w:t>
      </w:r>
    </w:p>
    <w:p w:rsidR="00CE3476" w:rsidRPr="00CE3476" w:rsidRDefault="00CE347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161F57" w:rsidRPr="00CE3476" w:rsidRDefault="00161F5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CE3476">
        <w:rPr>
          <w:b/>
          <w:bCs/>
          <w:iCs/>
          <w:sz w:val="22"/>
          <w:szCs w:val="22"/>
        </w:rPr>
        <w:t>6.2</w:t>
      </w:r>
      <w:r w:rsidRPr="00CE3476">
        <w:rPr>
          <w:b/>
          <w:bCs/>
          <w:iCs/>
          <w:sz w:val="22"/>
          <w:szCs w:val="22"/>
        </w:rPr>
        <w:tab/>
        <w:t>Inkompatibility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E554C1" w:rsidRDefault="00161F5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E554C1">
        <w:rPr>
          <w:sz w:val="22"/>
          <w:szCs w:val="22"/>
        </w:rPr>
        <w:t>Neaplikovateľné.</w:t>
      </w:r>
    </w:p>
    <w:p w:rsidR="000D1C34" w:rsidRPr="00E554C1" w:rsidRDefault="000D1C34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554C1">
        <w:rPr>
          <w:b/>
          <w:bCs/>
          <w:iCs/>
          <w:sz w:val="22"/>
          <w:szCs w:val="22"/>
        </w:rPr>
        <w:t>6.3</w:t>
      </w:r>
      <w:r w:rsidR="00161F57" w:rsidRPr="00E554C1">
        <w:rPr>
          <w:b/>
          <w:bCs/>
          <w:iCs/>
          <w:sz w:val="22"/>
          <w:szCs w:val="22"/>
        </w:rPr>
        <w:tab/>
        <w:t>Čas použiteľnosti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E554C1" w:rsidRDefault="00CE347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="00161F57" w:rsidRPr="00E554C1">
        <w:rPr>
          <w:sz w:val="22"/>
          <w:szCs w:val="22"/>
        </w:rPr>
        <w:t xml:space="preserve"> </w:t>
      </w:r>
      <w:r>
        <w:rPr>
          <w:sz w:val="22"/>
          <w:szCs w:val="22"/>
        </w:rPr>
        <w:t>roky</w:t>
      </w:r>
    </w:p>
    <w:p w:rsidR="00161F57" w:rsidRPr="00E554C1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E554C1" w:rsidRDefault="00161F57">
      <w:pPr>
        <w:rPr>
          <w:sz w:val="22"/>
          <w:szCs w:val="22"/>
        </w:rPr>
      </w:pPr>
      <w:r w:rsidRPr="00E554C1">
        <w:rPr>
          <w:b/>
          <w:sz w:val="22"/>
          <w:szCs w:val="22"/>
        </w:rPr>
        <w:t>6.4</w:t>
      </w:r>
      <w:r w:rsidRPr="00E554C1">
        <w:rPr>
          <w:b/>
          <w:sz w:val="22"/>
          <w:szCs w:val="22"/>
        </w:rPr>
        <w:tab/>
        <w:t>Špeciálne upozornenia na uchovávanie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  <w:r w:rsidRPr="00E554C1">
        <w:rPr>
          <w:sz w:val="22"/>
          <w:szCs w:val="22"/>
        </w:rPr>
        <w:t xml:space="preserve">Uchovávajte pri teplote </w:t>
      </w:r>
      <w:r w:rsidR="00CE3476">
        <w:rPr>
          <w:sz w:val="22"/>
          <w:szCs w:val="22"/>
        </w:rPr>
        <w:t>neprevyšujúcej</w:t>
      </w:r>
      <w:r w:rsidRPr="00E554C1">
        <w:rPr>
          <w:sz w:val="22"/>
          <w:szCs w:val="22"/>
        </w:rPr>
        <w:t xml:space="preserve"> </w:t>
      </w:r>
      <w:r w:rsidR="00CE3476">
        <w:rPr>
          <w:sz w:val="22"/>
          <w:szCs w:val="22"/>
        </w:rPr>
        <w:t>30</w:t>
      </w:r>
      <w:r w:rsidRPr="00E554C1">
        <w:rPr>
          <w:sz w:val="22"/>
          <w:szCs w:val="22"/>
        </w:rPr>
        <w:t xml:space="preserve"> °C.</w:t>
      </w:r>
    </w:p>
    <w:p w:rsidR="00161F57" w:rsidRPr="00E554C1" w:rsidRDefault="00CE347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Uchovávajte v pôvodnom obale na ochranu pred svetlom a vlhkosťou.</w:t>
      </w:r>
    </w:p>
    <w:p w:rsidR="003A4C49" w:rsidRPr="00E554C1" w:rsidRDefault="003A4C49">
      <w:pPr>
        <w:rPr>
          <w:sz w:val="22"/>
          <w:szCs w:val="22"/>
        </w:rPr>
      </w:pPr>
    </w:p>
    <w:p w:rsidR="00161F57" w:rsidRPr="00E554C1" w:rsidRDefault="00161F57">
      <w:pPr>
        <w:rPr>
          <w:sz w:val="22"/>
          <w:szCs w:val="22"/>
        </w:rPr>
      </w:pPr>
      <w:r w:rsidRPr="00E554C1">
        <w:rPr>
          <w:b/>
          <w:sz w:val="22"/>
          <w:szCs w:val="22"/>
        </w:rPr>
        <w:t>6.5</w:t>
      </w:r>
      <w:r w:rsidRPr="00E554C1">
        <w:rPr>
          <w:b/>
          <w:sz w:val="22"/>
          <w:szCs w:val="22"/>
        </w:rPr>
        <w:tab/>
        <w:t>Druh obalu a obsah balenia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4A025C" w:rsidRDefault="00CE3476">
      <w:pPr>
        <w:autoSpaceDE w:val="0"/>
        <w:autoSpaceDN w:val="0"/>
        <w:adjustRightInd w:val="0"/>
        <w:rPr>
          <w:sz w:val="22"/>
          <w:szCs w:val="22"/>
        </w:rPr>
      </w:pPr>
      <w:r w:rsidRPr="00CE3476">
        <w:rPr>
          <w:rFonts w:eastAsia="TimesNewRoman"/>
          <w:sz w:val="22"/>
          <w:szCs w:val="22"/>
        </w:rPr>
        <w:t>Polyetylénové fľaše s vysokou hustotou (HDPE) s</w:t>
      </w:r>
      <w:r w:rsidR="004A025C">
        <w:rPr>
          <w:rFonts w:eastAsia="TimesNewRoman"/>
          <w:sz w:val="22"/>
          <w:szCs w:val="22"/>
        </w:rPr>
        <w:t xml:space="preserve"> polypropylénovými (PP) </w:t>
      </w:r>
      <w:r w:rsidR="00EF5993">
        <w:rPr>
          <w:rFonts w:eastAsia="TimesNewRoman"/>
          <w:sz w:val="22"/>
          <w:szCs w:val="22"/>
        </w:rPr>
        <w:t>detskými bezpečnostnými uzávermi</w:t>
      </w:r>
      <w:r w:rsidR="00DC7675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>a s</w:t>
      </w:r>
      <w:r w:rsidR="004A025C">
        <w:rPr>
          <w:rFonts w:eastAsia="TimesNewRoman"/>
          <w:sz w:val="22"/>
          <w:szCs w:val="22"/>
        </w:rPr>
        <w:t> </w:t>
      </w:r>
      <w:r w:rsidRPr="00CE3476">
        <w:rPr>
          <w:rFonts w:eastAsia="TimesNewRoman"/>
          <w:sz w:val="22"/>
          <w:szCs w:val="22"/>
        </w:rPr>
        <w:t>vysúšadlom</w:t>
      </w:r>
      <w:r w:rsidR="004A025C">
        <w:rPr>
          <w:rFonts w:eastAsia="TimesNewRoman"/>
          <w:sz w:val="22"/>
          <w:szCs w:val="22"/>
        </w:rPr>
        <w:t xml:space="preserve"> </w:t>
      </w:r>
      <w:r w:rsidRPr="00CE3476">
        <w:rPr>
          <w:rFonts w:eastAsia="TimesNewRoman"/>
          <w:sz w:val="22"/>
          <w:szCs w:val="22"/>
        </w:rPr>
        <w:t xml:space="preserve">obsahujúce </w:t>
      </w:r>
      <w:r w:rsidR="004A025C">
        <w:rPr>
          <w:rFonts w:eastAsia="TimesNewRoman"/>
          <w:sz w:val="22"/>
          <w:szCs w:val="22"/>
        </w:rPr>
        <w:t>42 alebo</w:t>
      </w:r>
      <w:r w:rsidRPr="00CE3476">
        <w:rPr>
          <w:rFonts w:eastAsia="TimesNewRoman"/>
          <w:sz w:val="22"/>
          <w:szCs w:val="22"/>
        </w:rPr>
        <w:t>100 kapsúl.</w:t>
      </w:r>
    </w:p>
    <w:p w:rsidR="0075499E" w:rsidRPr="00CE3476" w:rsidRDefault="004A025C">
      <w:pPr>
        <w:autoSpaceDE w:val="0"/>
        <w:autoSpaceDN w:val="0"/>
        <w:adjustRightInd w:val="0"/>
        <w:rPr>
          <w:sz w:val="22"/>
          <w:szCs w:val="22"/>
        </w:rPr>
      </w:pPr>
      <w:r w:rsidRPr="00CE3476">
        <w:rPr>
          <w:sz w:val="22"/>
          <w:szCs w:val="22"/>
        </w:rPr>
        <w:t xml:space="preserve"> </w:t>
      </w:r>
    </w:p>
    <w:p w:rsidR="00161F57" w:rsidRDefault="004A025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Na trh nemusia byť uvedené všetky veľkosti balenia. </w:t>
      </w:r>
    </w:p>
    <w:p w:rsidR="004A025C" w:rsidRPr="004A025C" w:rsidRDefault="004A025C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E554C1" w:rsidRDefault="00161F57">
      <w:pPr>
        <w:rPr>
          <w:b/>
          <w:bCs/>
          <w:sz w:val="22"/>
          <w:szCs w:val="22"/>
        </w:rPr>
      </w:pPr>
      <w:r w:rsidRPr="00E554C1">
        <w:rPr>
          <w:b/>
          <w:sz w:val="22"/>
          <w:szCs w:val="22"/>
        </w:rPr>
        <w:t>6.6</w:t>
      </w:r>
      <w:r w:rsidRPr="00E554C1">
        <w:rPr>
          <w:b/>
          <w:sz w:val="22"/>
          <w:szCs w:val="22"/>
        </w:rPr>
        <w:tab/>
      </w:r>
      <w:r w:rsidRPr="00E554C1">
        <w:rPr>
          <w:b/>
          <w:bCs/>
          <w:sz w:val="22"/>
          <w:szCs w:val="22"/>
        </w:rPr>
        <w:t>Špeciálne opatrenia na likvidáciu</w:t>
      </w:r>
      <w:r w:rsidRPr="00E554C1">
        <w:rPr>
          <w:b/>
          <w:sz w:val="22"/>
          <w:szCs w:val="22"/>
        </w:rPr>
        <w:t xml:space="preserve"> </w:t>
      </w:r>
      <w:r w:rsidRPr="00E554C1">
        <w:rPr>
          <w:b/>
          <w:bCs/>
          <w:sz w:val="22"/>
          <w:szCs w:val="22"/>
        </w:rPr>
        <w:t>a iné zaobchádzanie s liekom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  <w:r w:rsidRPr="00E554C1">
        <w:rPr>
          <w:sz w:val="22"/>
          <w:szCs w:val="22"/>
        </w:rPr>
        <w:t>Žiadne zvláštne požiadavky.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A32338" w:rsidRPr="00E554C1" w:rsidRDefault="00A32338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E554C1">
        <w:rPr>
          <w:b/>
          <w:bCs/>
          <w:caps/>
          <w:sz w:val="22"/>
          <w:szCs w:val="22"/>
        </w:rPr>
        <w:t>7.</w:t>
      </w:r>
      <w:r w:rsidR="00161F57" w:rsidRPr="00E554C1">
        <w:rPr>
          <w:b/>
          <w:bCs/>
          <w:caps/>
          <w:sz w:val="22"/>
          <w:szCs w:val="22"/>
        </w:rPr>
        <w:tab/>
        <w:t>Držiteľ rozhodnutia o registrácii</w:t>
      </w:r>
    </w:p>
    <w:p w:rsidR="00161F57" w:rsidRPr="00E554C1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E73AE2" w:rsidRDefault="004A025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STADA Arzneimittel AG</w:t>
      </w:r>
    </w:p>
    <w:p w:rsidR="004A025C" w:rsidRDefault="004A025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Stadastrasse 2-18</w:t>
      </w:r>
    </w:p>
    <w:p w:rsidR="004A025C" w:rsidRDefault="004A025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61118 Bad Vilbel</w:t>
      </w:r>
    </w:p>
    <w:p w:rsidR="004A025C" w:rsidRPr="00E554C1" w:rsidRDefault="004A025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161F57" w:rsidRPr="00E554C1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31FB5" w:rsidRPr="00E554C1" w:rsidRDefault="00E31FB5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E554C1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E554C1">
        <w:rPr>
          <w:b/>
          <w:bCs/>
          <w:caps/>
          <w:sz w:val="22"/>
          <w:szCs w:val="22"/>
        </w:rPr>
        <w:t>8.</w:t>
      </w:r>
      <w:r w:rsidRPr="00E554C1">
        <w:rPr>
          <w:b/>
          <w:bCs/>
          <w:caps/>
          <w:sz w:val="22"/>
          <w:szCs w:val="22"/>
        </w:rPr>
        <w:tab/>
      </w:r>
      <w:r w:rsidR="00161F57" w:rsidRPr="00E554C1">
        <w:rPr>
          <w:b/>
          <w:bCs/>
          <w:caps/>
          <w:sz w:val="22"/>
          <w:szCs w:val="22"/>
        </w:rPr>
        <w:t>Registračné číslo</w:t>
      </w:r>
    </w:p>
    <w:p w:rsidR="00161F57" w:rsidRPr="00E554C1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161F57" w:rsidRPr="00E554C1" w:rsidRDefault="004A025C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>
        <w:rPr>
          <w:sz w:val="22"/>
          <w:szCs w:val="22"/>
        </w:rPr>
        <w:t>44/</w:t>
      </w:r>
      <w:r w:rsidR="003A43E1" w:rsidRPr="003A43E1">
        <w:rPr>
          <w:sz w:val="22"/>
          <w:szCs w:val="22"/>
        </w:rPr>
        <w:t>0384/17-S</w:t>
      </w:r>
    </w:p>
    <w:p w:rsidR="00161F57" w:rsidRPr="00E554C1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E31FB5" w:rsidRPr="00E554C1" w:rsidRDefault="00E31FB5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161F57" w:rsidRPr="00E554C1" w:rsidRDefault="00161F57">
      <w:pPr>
        <w:rPr>
          <w:b/>
          <w:sz w:val="22"/>
          <w:szCs w:val="22"/>
        </w:rPr>
      </w:pPr>
      <w:r w:rsidRPr="00E554C1">
        <w:rPr>
          <w:b/>
          <w:sz w:val="22"/>
          <w:szCs w:val="22"/>
        </w:rPr>
        <w:t>9.</w:t>
      </w:r>
      <w:r w:rsidRPr="00E554C1">
        <w:rPr>
          <w:b/>
          <w:sz w:val="22"/>
          <w:szCs w:val="22"/>
        </w:rPr>
        <w:tab/>
        <w:t>DÁTUM PRVEJ REGISTRÁCIE/PREDĹŽENIA REGISTRÁCIE</w:t>
      </w:r>
    </w:p>
    <w:p w:rsidR="00161F57" w:rsidRPr="00E554C1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161F57" w:rsidRPr="00E554C1" w:rsidRDefault="00030997" w:rsidP="004A025C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E554C1">
        <w:rPr>
          <w:bCs/>
          <w:sz w:val="22"/>
          <w:szCs w:val="22"/>
        </w:rPr>
        <w:lastRenderedPageBreak/>
        <w:t xml:space="preserve">Dátum prvej registrácie: </w:t>
      </w:r>
      <w:r w:rsidR="00EA07D0">
        <w:rPr>
          <w:bCs/>
          <w:sz w:val="22"/>
          <w:szCs w:val="22"/>
        </w:rPr>
        <w:t>18. decembra 2017</w:t>
      </w:r>
    </w:p>
    <w:p w:rsidR="00161F57" w:rsidRPr="00E554C1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75499E" w:rsidRPr="00E554C1" w:rsidRDefault="0075499E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161F57" w:rsidRPr="00E554C1" w:rsidRDefault="00161F57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E554C1">
        <w:rPr>
          <w:b/>
          <w:bCs/>
          <w:caps/>
          <w:sz w:val="22"/>
          <w:szCs w:val="22"/>
        </w:rPr>
        <w:t>10.</w:t>
      </w:r>
      <w:r w:rsidRPr="00E554C1">
        <w:rPr>
          <w:b/>
          <w:bCs/>
          <w:caps/>
          <w:sz w:val="22"/>
          <w:szCs w:val="22"/>
        </w:rPr>
        <w:tab/>
        <w:t>Dátum revízie textu</w:t>
      </w:r>
    </w:p>
    <w:p w:rsidR="00343A84" w:rsidRDefault="00343A84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4C088B" w:rsidRDefault="00FA36E7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>02/2020</w:t>
      </w:r>
    </w:p>
    <w:p w:rsidR="004C088B" w:rsidRPr="00E554C1" w:rsidRDefault="004C088B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sectPr w:rsidR="004C088B" w:rsidRPr="00E554C1" w:rsidSect="00A079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BD" w:rsidRDefault="005350BD">
      <w:r>
        <w:separator/>
      </w:r>
    </w:p>
  </w:endnote>
  <w:endnote w:type="continuationSeparator" w:id="0">
    <w:p w:rsidR="005350BD" w:rsidRDefault="0053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87" w:rsidRDefault="00152787" w:rsidP="00161F5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52787" w:rsidRDefault="00152787" w:rsidP="008374BC">
    <w:pPr>
      <w:pStyle w:val="Pta"/>
      <w:ind w:right="360"/>
    </w:pPr>
  </w:p>
  <w:p w:rsidR="00152787" w:rsidRDefault="00152787"/>
  <w:p w:rsidR="00152787" w:rsidRDefault="001527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87" w:rsidRPr="0075499E" w:rsidRDefault="00152787" w:rsidP="00E24067">
    <w:pPr>
      <w:pStyle w:val="Pta"/>
      <w:framePr w:w="2779" w:wrap="around" w:vAnchor="text" w:hAnchor="page" w:x="4560" w:y="-6"/>
      <w:jc w:val="center"/>
      <w:rPr>
        <w:rStyle w:val="slostrany"/>
        <w:sz w:val="18"/>
        <w:szCs w:val="18"/>
      </w:rPr>
    </w:pPr>
    <w:r w:rsidRPr="0075499E">
      <w:rPr>
        <w:rStyle w:val="slostrany"/>
        <w:sz w:val="18"/>
        <w:szCs w:val="18"/>
      </w:rPr>
      <w:fldChar w:fldCharType="begin"/>
    </w:r>
    <w:r w:rsidRPr="0075499E">
      <w:rPr>
        <w:rStyle w:val="slostrany"/>
        <w:sz w:val="18"/>
        <w:szCs w:val="18"/>
      </w:rPr>
      <w:instrText xml:space="preserve">PAGE  </w:instrText>
    </w:r>
    <w:r w:rsidRPr="0075499E">
      <w:rPr>
        <w:rStyle w:val="slostrany"/>
        <w:sz w:val="18"/>
        <w:szCs w:val="18"/>
      </w:rPr>
      <w:fldChar w:fldCharType="separate"/>
    </w:r>
    <w:r w:rsidR="00CA6E25">
      <w:rPr>
        <w:rStyle w:val="slostrany"/>
        <w:noProof/>
        <w:sz w:val="18"/>
        <w:szCs w:val="18"/>
      </w:rPr>
      <w:t>1</w:t>
    </w:r>
    <w:r w:rsidRPr="0075499E">
      <w:rPr>
        <w:rStyle w:val="slostrany"/>
        <w:sz w:val="18"/>
        <w:szCs w:val="18"/>
      </w:rPr>
      <w:fldChar w:fldCharType="end"/>
    </w:r>
  </w:p>
  <w:p w:rsidR="00152787" w:rsidRDefault="00152787" w:rsidP="000627F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87" w:rsidRPr="008E23DD" w:rsidRDefault="00152787">
    <w:pPr>
      <w:pStyle w:val="Pta"/>
      <w:jc w:val="center"/>
      <w:rPr>
        <w:sz w:val="18"/>
        <w:szCs w:val="18"/>
      </w:rPr>
    </w:pPr>
    <w:r w:rsidRPr="008E23DD">
      <w:rPr>
        <w:sz w:val="18"/>
        <w:szCs w:val="18"/>
      </w:rPr>
      <w:fldChar w:fldCharType="begin"/>
    </w:r>
    <w:r w:rsidRPr="008E23DD">
      <w:rPr>
        <w:sz w:val="18"/>
        <w:szCs w:val="18"/>
      </w:rPr>
      <w:instrText>PAGE   \* MERGEFORMAT</w:instrText>
    </w:r>
    <w:r w:rsidRPr="008E23DD">
      <w:rPr>
        <w:sz w:val="18"/>
        <w:szCs w:val="18"/>
      </w:rPr>
      <w:fldChar w:fldCharType="separate"/>
    </w:r>
    <w:r w:rsidR="00A079C5">
      <w:rPr>
        <w:noProof/>
        <w:sz w:val="18"/>
        <w:szCs w:val="18"/>
      </w:rPr>
      <w:t>1</w:t>
    </w:r>
    <w:r w:rsidRPr="008E23DD">
      <w:rPr>
        <w:sz w:val="18"/>
        <w:szCs w:val="18"/>
      </w:rPr>
      <w:fldChar w:fldCharType="end"/>
    </w:r>
  </w:p>
  <w:p w:rsidR="00152787" w:rsidRDefault="001527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BD" w:rsidRDefault="005350BD">
      <w:r>
        <w:separator/>
      </w:r>
    </w:p>
  </w:footnote>
  <w:footnote w:type="continuationSeparator" w:id="0">
    <w:p w:rsidR="005350BD" w:rsidRDefault="00535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D35" w:rsidRPr="00CA6E25" w:rsidRDefault="00A079C5" w:rsidP="000C7D35">
    <w:pPr>
      <w:pStyle w:val="Hlavika"/>
      <w:rPr>
        <w:sz w:val="18"/>
        <w:szCs w:val="18"/>
        <w:lang w:val="sk-SK"/>
      </w:rPr>
    </w:pPr>
    <w:r w:rsidRPr="00CA6E25">
      <w:rPr>
        <w:sz w:val="18"/>
        <w:szCs w:val="18"/>
        <w:lang w:val="sk-SK"/>
      </w:rPr>
      <w:t>Príloha č. 1 k notifikácii o zmene, ev. č.: 2019/</w:t>
    </w:r>
    <w:r w:rsidR="000C7D35" w:rsidRPr="00CA6E25">
      <w:rPr>
        <w:sz w:val="18"/>
        <w:szCs w:val="18"/>
        <w:lang w:val="sk-SK"/>
      </w:rPr>
      <w:t>0</w:t>
    </w:r>
    <w:r w:rsidR="000C7D35">
      <w:rPr>
        <w:sz w:val="18"/>
        <w:szCs w:val="18"/>
        <w:lang w:val="sk-SK"/>
      </w:rPr>
      <w:t>6873-Z1B</w:t>
    </w:r>
  </w:p>
  <w:p w:rsidR="00A079C5" w:rsidRPr="00CA6E25" w:rsidRDefault="00A079C5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87" w:rsidRPr="007044C0" w:rsidRDefault="00152787">
    <w:pPr>
      <w:pStyle w:val="Hlavika"/>
      <w:rPr>
        <w:sz w:val="18"/>
        <w:szCs w:val="18"/>
        <w:lang w:val="sk-SK"/>
      </w:rPr>
    </w:pPr>
    <w:r w:rsidRPr="007044C0">
      <w:rPr>
        <w:sz w:val="18"/>
        <w:szCs w:val="18"/>
        <w:lang w:val="sk-SK"/>
      </w:rPr>
      <w:t>Schválený text k rozhodnutiu o registrácii, ev. č.: 2016/06097-REG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29CC"/>
    <w:multiLevelType w:val="hybridMultilevel"/>
    <w:tmpl w:val="517ED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16D2"/>
    <w:multiLevelType w:val="hybridMultilevel"/>
    <w:tmpl w:val="68A884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0099"/>
    <w:multiLevelType w:val="hybridMultilevel"/>
    <w:tmpl w:val="18A83A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277B4"/>
    <w:multiLevelType w:val="hybridMultilevel"/>
    <w:tmpl w:val="AAEA4006"/>
    <w:lvl w:ilvl="0" w:tplc="35B60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E2E5F"/>
    <w:multiLevelType w:val="hybridMultilevel"/>
    <w:tmpl w:val="5F9AFF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414E9"/>
    <w:multiLevelType w:val="hybridMultilevel"/>
    <w:tmpl w:val="D91A42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F31CB"/>
    <w:multiLevelType w:val="hybridMultilevel"/>
    <w:tmpl w:val="4456F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F2733"/>
    <w:multiLevelType w:val="hybridMultilevel"/>
    <w:tmpl w:val="F7CE2606"/>
    <w:lvl w:ilvl="0" w:tplc="1500E8E4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259E7"/>
    <w:multiLevelType w:val="hybridMultilevel"/>
    <w:tmpl w:val="164E2C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BC"/>
    <w:rsid w:val="00005886"/>
    <w:rsid w:val="00030997"/>
    <w:rsid w:val="00040170"/>
    <w:rsid w:val="000458AD"/>
    <w:rsid w:val="000513B3"/>
    <w:rsid w:val="00053869"/>
    <w:rsid w:val="0005585E"/>
    <w:rsid w:val="000566C2"/>
    <w:rsid w:val="000627F5"/>
    <w:rsid w:val="00074990"/>
    <w:rsid w:val="000765C0"/>
    <w:rsid w:val="00082B02"/>
    <w:rsid w:val="000A7779"/>
    <w:rsid w:val="000C6629"/>
    <w:rsid w:val="000C7D35"/>
    <w:rsid w:val="000D1C34"/>
    <w:rsid w:val="000D216F"/>
    <w:rsid w:val="000E5098"/>
    <w:rsid w:val="001013E0"/>
    <w:rsid w:val="001014A5"/>
    <w:rsid w:val="00103F75"/>
    <w:rsid w:val="00106F6E"/>
    <w:rsid w:val="00112BD2"/>
    <w:rsid w:val="0011731E"/>
    <w:rsid w:val="00137873"/>
    <w:rsid w:val="00137F5B"/>
    <w:rsid w:val="00150FED"/>
    <w:rsid w:val="00152787"/>
    <w:rsid w:val="00155F8F"/>
    <w:rsid w:val="00161F57"/>
    <w:rsid w:val="00176C39"/>
    <w:rsid w:val="00182A05"/>
    <w:rsid w:val="0019270E"/>
    <w:rsid w:val="001B662B"/>
    <w:rsid w:val="001C3E0A"/>
    <w:rsid w:val="001F6F95"/>
    <w:rsid w:val="002120CE"/>
    <w:rsid w:val="00224934"/>
    <w:rsid w:val="00230E5D"/>
    <w:rsid w:val="002341DD"/>
    <w:rsid w:val="00257852"/>
    <w:rsid w:val="002606CA"/>
    <w:rsid w:val="002632F3"/>
    <w:rsid w:val="002A28E1"/>
    <w:rsid w:val="002A76E1"/>
    <w:rsid w:val="002B7852"/>
    <w:rsid w:val="002C7D62"/>
    <w:rsid w:val="0031431B"/>
    <w:rsid w:val="00316115"/>
    <w:rsid w:val="003252CB"/>
    <w:rsid w:val="00331A80"/>
    <w:rsid w:val="003330AD"/>
    <w:rsid w:val="00343A84"/>
    <w:rsid w:val="003621E9"/>
    <w:rsid w:val="00364BDC"/>
    <w:rsid w:val="0037376A"/>
    <w:rsid w:val="00392641"/>
    <w:rsid w:val="003A2465"/>
    <w:rsid w:val="003A378F"/>
    <w:rsid w:val="003A43E1"/>
    <w:rsid w:val="003A4C49"/>
    <w:rsid w:val="003C6277"/>
    <w:rsid w:val="003D32A5"/>
    <w:rsid w:val="00400BD1"/>
    <w:rsid w:val="00427110"/>
    <w:rsid w:val="00434917"/>
    <w:rsid w:val="00474B61"/>
    <w:rsid w:val="00492E22"/>
    <w:rsid w:val="004A025C"/>
    <w:rsid w:val="004C088B"/>
    <w:rsid w:val="004E1CF5"/>
    <w:rsid w:val="004E5007"/>
    <w:rsid w:val="004F4E0D"/>
    <w:rsid w:val="00524598"/>
    <w:rsid w:val="00533D53"/>
    <w:rsid w:val="005350BD"/>
    <w:rsid w:val="0055015E"/>
    <w:rsid w:val="00552C9E"/>
    <w:rsid w:val="00560B39"/>
    <w:rsid w:val="0056516A"/>
    <w:rsid w:val="0056733E"/>
    <w:rsid w:val="00571C08"/>
    <w:rsid w:val="00580AF6"/>
    <w:rsid w:val="00597A99"/>
    <w:rsid w:val="005B0C1E"/>
    <w:rsid w:val="005D64A4"/>
    <w:rsid w:val="005E7E61"/>
    <w:rsid w:val="00604E3F"/>
    <w:rsid w:val="0063469E"/>
    <w:rsid w:val="006372B2"/>
    <w:rsid w:val="0066437A"/>
    <w:rsid w:val="00680216"/>
    <w:rsid w:val="006A4781"/>
    <w:rsid w:val="006B5813"/>
    <w:rsid w:val="006D48A6"/>
    <w:rsid w:val="007044C0"/>
    <w:rsid w:val="00705A83"/>
    <w:rsid w:val="00712E6D"/>
    <w:rsid w:val="00713C9F"/>
    <w:rsid w:val="007143D7"/>
    <w:rsid w:val="00731267"/>
    <w:rsid w:val="007349E7"/>
    <w:rsid w:val="00752C5A"/>
    <w:rsid w:val="0075499E"/>
    <w:rsid w:val="0078052E"/>
    <w:rsid w:val="0078235D"/>
    <w:rsid w:val="00786149"/>
    <w:rsid w:val="007A25CA"/>
    <w:rsid w:val="007B0BE4"/>
    <w:rsid w:val="007B0C1A"/>
    <w:rsid w:val="007F0352"/>
    <w:rsid w:val="007F0435"/>
    <w:rsid w:val="007F5012"/>
    <w:rsid w:val="0081083C"/>
    <w:rsid w:val="00817B6E"/>
    <w:rsid w:val="008374BC"/>
    <w:rsid w:val="008441E2"/>
    <w:rsid w:val="0085577D"/>
    <w:rsid w:val="008615AC"/>
    <w:rsid w:val="00863A3C"/>
    <w:rsid w:val="00876AAE"/>
    <w:rsid w:val="008948F7"/>
    <w:rsid w:val="00895495"/>
    <w:rsid w:val="008B0659"/>
    <w:rsid w:val="008B233F"/>
    <w:rsid w:val="008D2422"/>
    <w:rsid w:val="008E23DD"/>
    <w:rsid w:val="00931A67"/>
    <w:rsid w:val="00931BFB"/>
    <w:rsid w:val="00943B3C"/>
    <w:rsid w:val="0095565D"/>
    <w:rsid w:val="009871CF"/>
    <w:rsid w:val="00987DDD"/>
    <w:rsid w:val="00990EAB"/>
    <w:rsid w:val="00991081"/>
    <w:rsid w:val="009A0704"/>
    <w:rsid w:val="009B79B8"/>
    <w:rsid w:val="009D6B11"/>
    <w:rsid w:val="00A009A3"/>
    <w:rsid w:val="00A079C5"/>
    <w:rsid w:val="00A239E0"/>
    <w:rsid w:val="00A3037D"/>
    <w:rsid w:val="00A32338"/>
    <w:rsid w:val="00A51BDB"/>
    <w:rsid w:val="00A5461E"/>
    <w:rsid w:val="00A67E42"/>
    <w:rsid w:val="00A7031C"/>
    <w:rsid w:val="00A74BE2"/>
    <w:rsid w:val="00A96D02"/>
    <w:rsid w:val="00B05506"/>
    <w:rsid w:val="00B43FCD"/>
    <w:rsid w:val="00B450C4"/>
    <w:rsid w:val="00B60FC6"/>
    <w:rsid w:val="00B6327B"/>
    <w:rsid w:val="00B636C1"/>
    <w:rsid w:val="00B73435"/>
    <w:rsid w:val="00B75041"/>
    <w:rsid w:val="00B84E43"/>
    <w:rsid w:val="00B87EC8"/>
    <w:rsid w:val="00BB5E25"/>
    <w:rsid w:val="00BC25E3"/>
    <w:rsid w:val="00BC40B0"/>
    <w:rsid w:val="00BD028A"/>
    <w:rsid w:val="00BD2763"/>
    <w:rsid w:val="00BD2811"/>
    <w:rsid w:val="00BE0398"/>
    <w:rsid w:val="00BE61BD"/>
    <w:rsid w:val="00BF5D75"/>
    <w:rsid w:val="00C02B22"/>
    <w:rsid w:val="00C162A5"/>
    <w:rsid w:val="00C33D5C"/>
    <w:rsid w:val="00C4350B"/>
    <w:rsid w:val="00C445AC"/>
    <w:rsid w:val="00C634C2"/>
    <w:rsid w:val="00C82205"/>
    <w:rsid w:val="00C845D8"/>
    <w:rsid w:val="00C94BEA"/>
    <w:rsid w:val="00CA128E"/>
    <w:rsid w:val="00CA6E25"/>
    <w:rsid w:val="00CC1BED"/>
    <w:rsid w:val="00CD2829"/>
    <w:rsid w:val="00CE3476"/>
    <w:rsid w:val="00CE4A55"/>
    <w:rsid w:val="00CF65FA"/>
    <w:rsid w:val="00D11A85"/>
    <w:rsid w:val="00D23594"/>
    <w:rsid w:val="00D33979"/>
    <w:rsid w:val="00D36362"/>
    <w:rsid w:val="00D46EB8"/>
    <w:rsid w:val="00D50E58"/>
    <w:rsid w:val="00D66701"/>
    <w:rsid w:val="00D67C07"/>
    <w:rsid w:val="00D75830"/>
    <w:rsid w:val="00D9632E"/>
    <w:rsid w:val="00DB0428"/>
    <w:rsid w:val="00DC7675"/>
    <w:rsid w:val="00DD1487"/>
    <w:rsid w:val="00DE3912"/>
    <w:rsid w:val="00DF2D67"/>
    <w:rsid w:val="00E137C0"/>
    <w:rsid w:val="00E24067"/>
    <w:rsid w:val="00E30228"/>
    <w:rsid w:val="00E31FB5"/>
    <w:rsid w:val="00E526D0"/>
    <w:rsid w:val="00E554C1"/>
    <w:rsid w:val="00E62806"/>
    <w:rsid w:val="00E73AE2"/>
    <w:rsid w:val="00E75B68"/>
    <w:rsid w:val="00E82BB5"/>
    <w:rsid w:val="00E8494B"/>
    <w:rsid w:val="00E86C8D"/>
    <w:rsid w:val="00EA07D0"/>
    <w:rsid w:val="00EA56FA"/>
    <w:rsid w:val="00EA5D07"/>
    <w:rsid w:val="00EB054B"/>
    <w:rsid w:val="00EB1139"/>
    <w:rsid w:val="00EB1F98"/>
    <w:rsid w:val="00ED26EA"/>
    <w:rsid w:val="00EE5B1F"/>
    <w:rsid w:val="00EF5993"/>
    <w:rsid w:val="00EF686E"/>
    <w:rsid w:val="00F01FF1"/>
    <w:rsid w:val="00F0737B"/>
    <w:rsid w:val="00F17A40"/>
    <w:rsid w:val="00F46183"/>
    <w:rsid w:val="00F5337E"/>
    <w:rsid w:val="00F66B64"/>
    <w:rsid w:val="00F875D6"/>
    <w:rsid w:val="00F97734"/>
    <w:rsid w:val="00FA0659"/>
    <w:rsid w:val="00FA36E7"/>
    <w:rsid w:val="00FE5062"/>
    <w:rsid w:val="00FF4791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7BEE60-1093-4FD9-B643-53BF4C1A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6B5813"/>
    <w:pPr>
      <w:keepNext/>
      <w:outlineLvl w:val="1"/>
    </w:pPr>
    <w:rPr>
      <w:u w:val="single"/>
      <w:lang w:val="nl-NL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val="sk-SK" w:eastAsia="sk-SK"/>
    </w:rPr>
  </w:style>
  <w:style w:type="paragraph" w:styleId="Pta">
    <w:name w:val="footer"/>
    <w:basedOn w:val="Normlny"/>
    <w:link w:val="PtaChar"/>
    <w:uiPriority w:val="99"/>
    <w:rsid w:val="008374B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374BC"/>
  </w:style>
  <w:style w:type="paragraph" w:styleId="Hlavika">
    <w:name w:val="header"/>
    <w:basedOn w:val="Normlny"/>
    <w:link w:val="HlavikaChar"/>
    <w:uiPriority w:val="99"/>
    <w:rsid w:val="001013E0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customStyle="1" w:styleId="Nadpis2Char">
    <w:name w:val="Nadpis 2 Char"/>
    <w:link w:val="Nadpis2"/>
    <w:rsid w:val="006B5813"/>
    <w:rPr>
      <w:sz w:val="24"/>
      <w:szCs w:val="24"/>
      <w:u w:val="single"/>
      <w:lang w:val="nl-NL" w:eastAsia="de-DE"/>
    </w:rPr>
  </w:style>
  <w:style w:type="paragraph" w:styleId="Normlnywebov">
    <w:name w:val="Normal (Web)"/>
    <w:basedOn w:val="Normlny"/>
    <w:uiPriority w:val="99"/>
    <w:rsid w:val="006B5813"/>
    <w:pPr>
      <w:spacing w:before="100" w:beforeAutospacing="1" w:after="100" w:afterAutospacing="1"/>
    </w:pPr>
    <w:rPr>
      <w:lang w:val="el-GR" w:eastAsia="el-GR"/>
    </w:rPr>
  </w:style>
  <w:style w:type="paragraph" w:customStyle="1" w:styleId="EMEAEnBodyText">
    <w:name w:val="EMEA En Body Text"/>
    <w:basedOn w:val="Normlny"/>
    <w:rsid w:val="006B5813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Hypertextovprepojenie">
    <w:name w:val="Hyperlink"/>
    <w:rsid w:val="00137F5B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7044C0"/>
    <w:rPr>
      <w:lang w:val="cs-CZ" w:eastAsia="cs-CZ"/>
    </w:rPr>
  </w:style>
  <w:style w:type="character" w:customStyle="1" w:styleId="PtaChar">
    <w:name w:val="Päta Char"/>
    <w:link w:val="Pta"/>
    <w:uiPriority w:val="99"/>
    <w:rsid w:val="008E23DD"/>
    <w:rPr>
      <w:sz w:val="24"/>
      <w:szCs w:val="24"/>
    </w:rPr>
  </w:style>
  <w:style w:type="paragraph" w:styleId="Revzia">
    <w:name w:val="Revision"/>
    <w:hidden/>
    <w:uiPriority w:val="99"/>
    <w:semiHidden/>
    <w:rsid w:val="00C445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546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6D49-99B0-4AE2-B708-A358E69B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4464</Words>
  <Characters>25447</Characters>
  <Application>Microsoft Office Word</Application>
  <DocSecurity>0</DocSecurity>
  <Lines>212</Lines>
  <Paragraphs>59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PRÍLOHA 1 K ROZHODNUTIU O PREDĹŽENÍ REGISTRÁCIE LIEKU, EV</vt:lpstr>
      <vt:lpstr>PRÍLOHA 1 K ROZHODNUTIU O PREDĹŽENÍ REGISTRÁCIE LIEKU, EV</vt:lpstr>
      <vt:lpstr>PRÍLOHA 1 K ROZHODNUTIU O PREDĹŽENÍ REGISTRÁCIE LIEKU, EV</vt:lpstr>
    </vt:vector>
  </TitlesOfParts>
  <Company>AOP Orphan</Company>
  <LinksUpToDate>false</LinksUpToDate>
  <CharactersWithSpaces>29852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1 K ROZHODNUTIU O PREDĹŽENÍ REGISTRÁCIE LIEKU, EV</dc:title>
  <dc:creator>RegPharm Slovakia</dc:creator>
  <cp:lastModifiedBy>Bolebruchová Monika</cp:lastModifiedBy>
  <cp:revision>3</cp:revision>
  <cp:lastPrinted>2020-02-03T10:36:00Z</cp:lastPrinted>
  <dcterms:created xsi:type="dcterms:W3CDTF">2020-02-03T10:37:00Z</dcterms:created>
  <dcterms:modified xsi:type="dcterms:W3CDTF">2020-02-03T10:37:00Z</dcterms:modified>
</cp:coreProperties>
</file>