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E7399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color w:val="000000"/>
          <w:sz w:val="22"/>
          <w:szCs w:val="22"/>
          <w:lang w:val="sk-SK"/>
        </w:rPr>
      </w:pPr>
      <w:bookmarkStart w:id="0" w:name="_GoBack"/>
      <w:bookmarkEnd w:id="0"/>
      <w:r w:rsidRPr="00B607D1">
        <w:rPr>
          <w:b/>
          <w:color w:val="000000"/>
          <w:sz w:val="22"/>
          <w:szCs w:val="22"/>
          <w:lang w:val="sk-SK"/>
        </w:rPr>
        <w:t>SÚHRN CHARAKTERISTICKÝCH VLASTNOSTÍ LIEKU</w:t>
      </w:r>
    </w:p>
    <w:p w14:paraId="64E592D7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563F2F46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51058338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1.</w:t>
      </w:r>
      <w:r w:rsidRPr="00B607D1">
        <w:rPr>
          <w:b/>
          <w:color w:val="000000"/>
          <w:sz w:val="22"/>
          <w:szCs w:val="22"/>
          <w:lang w:val="sk-SK"/>
        </w:rPr>
        <w:tab/>
        <w:t>NÁZOV LIEKU</w:t>
      </w:r>
    </w:p>
    <w:p w14:paraId="5B87DFAC" w14:textId="77777777" w:rsidR="00B607D1" w:rsidRDefault="00B607D1" w:rsidP="00B607D1">
      <w:pPr>
        <w:rPr>
          <w:sz w:val="22"/>
          <w:szCs w:val="22"/>
          <w:lang w:val="sk-SK"/>
        </w:rPr>
      </w:pPr>
    </w:p>
    <w:p w14:paraId="069CABA5" w14:textId="77777777" w:rsidR="00CB0881" w:rsidRPr="00B607D1" w:rsidRDefault="00B607D1" w:rsidP="00B607D1">
      <w:pPr>
        <w:rPr>
          <w:sz w:val="22"/>
          <w:szCs w:val="22"/>
          <w:lang w:val="sk-SK"/>
        </w:rPr>
      </w:pPr>
      <w:proofErr w:type="spellStart"/>
      <w:r w:rsidRPr="00B607D1">
        <w:rPr>
          <w:sz w:val="22"/>
          <w:szCs w:val="22"/>
          <w:lang w:val="sk-SK"/>
        </w:rPr>
        <w:t>Scopolamine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butylbromide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Kalceks</w:t>
      </w:r>
      <w:proofErr w:type="spellEnd"/>
      <w:r w:rsidRPr="00B607D1">
        <w:rPr>
          <w:sz w:val="22"/>
          <w:szCs w:val="22"/>
          <w:lang w:val="sk-SK"/>
        </w:rPr>
        <w:t xml:space="preserve"> 20 mg/ml injekčný roztok</w:t>
      </w:r>
    </w:p>
    <w:p w14:paraId="43718A78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</w:p>
    <w:p w14:paraId="75D9F9E7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</w:p>
    <w:p w14:paraId="46550ABA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2.</w:t>
      </w:r>
      <w:r w:rsidRPr="00B607D1">
        <w:rPr>
          <w:b/>
          <w:color w:val="000000"/>
          <w:sz w:val="22"/>
          <w:szCs w:val="22"/>
          <w:lang w:val="sk-SK"/>
        </w:rPr>
        <w:tab/>
        <w:t>KVALITATÍVNE A KVANTITATÍVNE ZLOŽENIE</w:t>
      </w:r>
    </w:p>
    <w:p w14:paraId="47896C7E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7E13FF54" w14:textId="16D833CC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Jedna ampulka (1 ml) obsahuje 20 mg </w:t>
      </w:r>
      <w:proofErr w:type="spellStart"/>
      <w:r w:rsidRPr="00B607D1">
        <w:rPr>
          <w:sz w:val="22"/>
          <w:szCs w:val="22"/>
          <w:lang w:val="sk-SK"/>
        </w:rPr>
        <w:t>butylskopolamínium</w:t>
      </w:r>
      <w:r w:rsidR="008C4030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bromidu</w:t>
      </w:r>
      <w:proofErr w:type="spellEnd"/>
      <w:r w:rsidRPr="00B607D1">
        <w:rPr>
          <w:sz w:val="22"/>
          <w:szCs w:val="22"/>
          <w:lang w:val="sk-SK"/>
        </w:rPr>
        <w:t>.</w:t>
      </w:r>
    </w:p>
    <w:p w14:paraId="60372663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3EC87AF5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u w:val="single"/>
          <w:lang w:val="sk-SK"/>
        </w:rPr>
        <w:t>Pomocná látka so známym účinkom</w:t>
      </w:r>
      <w:r w:rsidRPr="00B607D1">
        <w:rPr>
          <w:sz w:val="22"/>
          <w:szCs w:val="22"/>
          <w:lang w:val="sk-SK"/>
        </w:rPr>
        <w:t>:</w:t>
      </w:r>
    </w:p>
    <w:p w14:paraId="2C21DE6C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Obsahuje menej ako 1 mmol sodíka (23 mg) v 1 dávke.</w:t>
      </w:r>
    </w:p>
    <w:p w14:paraId="2A5EB1C6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0DD6B8EC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Úplný zoznam pomocných látok, pozri časť 6.1.</w:t>
      </w:r>
    </w:p>
    <w:p w14:paraId="0180EDDC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4A31C645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72902B7E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3.</w:t>
      </w:r>
      <w:r w:rsidRPr="00B607D1">
        <w:rPr>
          <w:b/>
          <w:color w:val="000000"/>
          <w:sz w:val="22"/>
          <w:szCs w:val="22"/>
          <w:lang w:val="sk-SK"/>
        </w:rPr>
        <w:tab/>
        <w:t>LIEKOVÁ FORMA</w:t>
      </w:r>
    </w:p>
    <w:p w14:paraId="1FE171B1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26D362F4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Injekčný roztok.</w:t>
      </w:r>
    </w:p>
    <w:p w14:paraId="1687E157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Číry, bezfarebný alebo takmer bezfarebný roztok bez viditeľných častíc.</w:t>
      </w:r>
    </w:p>
    <w:p w14:paraId="75DC9102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pH roztoku je 3,7 až 5,5.</w:t>
      </w:r>
    </w:p>
    <w:p w14:paraId="29B3E1BB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74E77AE7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6F62E40E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smallCaps/>
          <w:color w:val="000000"/>
          <w:sz w:val="22"/>
          <w:szCs w:val="22"/>
          <w:lang w:val="sk-SK"/>
        </w:rPr>
        <w:t>4.</w:t>
      </w:r>
      <w:r w:rsidRPr="00B607D1">
        <w:rPr>
          <w:b/>
          <w:smallCaps/>
          <w:color w:val="000000"/>
          <w:sz w:val="22"/>
          <w:szCs w:val="22"/>
          <w:lang w:val="sk-SK"/>
        </w:rPr>
        <w:tab/>
        <w:t>KLINICKÉ ÚDAJE</w:t>
      </w:r>
    </w:p>
    <w:p w14:paraId="3FD3DBE8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3DA81FA2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4.1</w:t>
      </w:r>
      <w:r w:rsidRPr="00B607D1">
        <w:rPr>
          <w:b/>
          <w:color w:val="000000"/>
          <w:sz w:val="22"/>
          <w:szCs w:val="22"/>
          <w:lang w:val="sk-SK"/>
        </w:rPr>
        <w:tab/>
        <w:t>Terapeutické indikácie</w:t>
      </w:r>
    </w:p>
    <w:p w14:paraId="75D26736" w14:textId="77777777" w:rsidR="00B607D1" w:rsidRDefault="00B607D1" w:rsidP="00B607D1">
      <w:pPr>
        <w:rPr>
          <w:sz w:val="22"/>
          <w:szCs w:val="22"/>
          <w:lang w:val="sk-SK"/>
        </w:rPr>
      </w:pPr>
    </w:p>
    <w:p w14:paraId="23CE68E5" w14:textId="77777777" w:rsidR="00CB0881" w:rsidRPr="00B607D1" w:rsidRDefault="00B607D1" w:rsidP="00B607D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B607D1">
        <w:rPr>
          <w:sz w:val="22"/>
          <w:szCs w:val="22"/>
          <w:lang w:val="sk-SK"/>
        </w:rPr>
        <w:t>kútn</w:t>
      </w:r>
      <w:r>
        <w:rPr>
          <w:sz w:val="22"/>
          <w:szCs w:val="22"/>
          <w:lang w:val="sk-SK"/>
        </w:rPr>
        <w:t>e</w:t>
      </w:r>
      <w:r w:rsidRPr="00B607D1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spazmy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gastrointestináln</w:t>
      </w:r>
      <w:r>
        <w:rPr>
          <w:sz w:val="22"/>
          <w:szCs w:val="22"/>
          <w:lang w:val="sk-SK"/>
        </w:rPr>
        <w:t>eho</w:t>
      </w:r>
      <w:proofErr w:type="spellEnd"/>
      <w:r>
        <w:rPr>
          <w:sz w:val="22"/>
          <w:szCs w:val="22"/>
          <w:lang w:val="sk-SK"/>
        </w:rPr>
        <w:t xml:space="preserve"> traktu</w:t>
      </w:r>
      <w:r w:rsidRPr="00B607D1">
        <w:rPr>
          <w:sz w:val="22"/>
          <w:szCs w:val="22"/>
          <w:lang w:val="sk-SK"/>
        </w:rPr>
        <w:t>, biliárn</w:t>
      </w:r>
      <w:r>
        <w:rPr>
          <w:sz w:val="22"/>
          <w:szCs w:val="22"/>
          <w:lang w:val="sk-SK"/>
        </w:rPr>
        <w:t>eho traktu, pankreasu a </w:t>
      </w:r>
      <w:proofErr w:type="spellStart"/>
      <w:r w:rsidRPr="00B607D1">
        <w:rPr>
          <w:sz w:val="22"/>
          <w:szCs w:val="22"/>
          <w:lang w:val="sk-SK"/>
        </w:rPr>
        <w:t>urogenitáln</w:t>
      </w:r>
      <w:r>
        <w:rPr>
          <w:sz w:val="22"/>
          <w:szCs w:val="22"/>
          <w:lang w:val="sk-SK"/>
        </w:rPr>
        <w:t>eho</w:t>
      </w:r>
      <w:proofErr w:type="spellEnd"/>
      <w:r>
        <w:rPr>
          <w:sz w:val="22"/>
          <w:szCs w:val="22"/>
          <w:lang w:val="sk-SK"/>
        </w:rPr>
        <w:t xml:space="preserve"> traktu</w:t>
      </w:r>
      <w:r w:rsidRPr="00B607D1">
        <w:rPr>
          <w:sz w:val="22"/>
          <w:szCs w:val="22"/>
          <w:lang w:val="sk-SK"/>
        </w:rPr>
        <w:t xml:space="preserve">. </w:t>
      </w:r>
    </w:p>
    <w:p w14:paraId="409AF0C8" w14:textId="51D3711D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Ako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antispazmodický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liek</w:t>
      </w:r>
      <w:r w:rsidRPr="00B607D1">
        <w:rPr>
          <w:sz w:val="22"/>
          <w:szCs w:val="22"/>
          <w:lang w:val="sk-SK"/>
        </w:rPr>
        <w:t xml:space="preserve"> </w:t>
      </w:r>
      <w:r w:rsidR="00622D6C">
        <w:rPr>
          <w:sz w:val="22"/>
          <w:szCs w:val="22"/>
          <w:lang w:val="sk-SK"/>
        </w:rPr>
        <w:t xml:space="preserve">v rádiológii </w:t>
      </w:r>
      <w:r w:rsidR="00F8064A">
        <w:rPr>
          <w:sz w:val="22"/>
          <w:szCs w:val="22"/>
          <w:lang w:val="sk-SK"/>
        </w:rPr>
        <w:t>pri</w:t>
      </w:r>
      <w:r w:rsidRPr="00B607D1">
        <w:rPr>
          <w:sz w:val="22"/>
          <w:szCs w:val="22"/>
          <w:lang w:val="sk-SK"/>
        </w:rPr>
        <w:t xml:space="preserve"> </w:t>
      </w:r>
      <w:r w:rsidR="00622D6C">
        <w:rPr>
          <w:sz w:val="22"/>
          <w:szCs w:val="22"/>
          <w:lang w:val="sk-SK"/>
        </w:rPr>
        <w:t xml:space="preserve">rôznych </w:t>
      </w:r>
      <w:r w:rsidRPr="00B607D1">
        <w:rPr>
          <w:sz w:val="22"/>
          <w:szCs w:val="22"/>
          <w:lang w:val="sk-SK"/>
        </w:rPr>
        <w:t>diagnostický</w:t>
      </w:r>
      <w:r w:rsidR="00F8064A">
        <w:rPr>
          <w:sz w:val="22"/>
          <w:szCs w:val="22"/>
          <w:lang w:val="sk-SK"/>
        </w:rPr>
        <w:t>ch</w:t>
      </w:r>
      <w:r w:rsidRPr="00B607D1">
        <w:rPr>
          <w:sz w:val="22"/>
          <w:szCs w:val="22"/>
          <w:lang w:val="sk-SK"/>
        </w:rPr>
        <w:t xml:space="preserve"> postupo</w:t>
      </w:r>
      <w:r w:rsidR="00F8064A">
        <w:rPr>
          <w:sz w:val="22"/>
          <w:szCs w:val="22"/>
          <w:lang w:val="sk-SK"/>
        </w:rPr>
        <w:t>ch</w:t>
      </w:r>
      <w:r w:rsidRPr="00B607D1">
        <w:rPr>
          <w:sz w:val="22"/>
          <w:szCs w:val="22"/>
          <w:lang w:val="sk-SK"/>
        </w:rPr>
        <w:t xml:space="preserve">, </w:t>
      </w:r>
      <w:r w:rsidR="00DD7413">
        <w:rPr>
          <w:sz w:val="22"/>
          <w:szCs w:val="22"/>
          <w:lang w:val="sk-SK"/>
        </w:rPr>
        <w:t>pri</w:t>
      </w:r>
      <w:r w:rsidRPr="00B607D1">
        <w:rPr>
          <w:sz w:val="22"/>
          <w:szCs w:val="22"/>
          <w:lang w:val="sk-SK"/>
        </w:rPr>
        <w:t xml:space="preserve"> ktorých môž</w:t>
      </w:r>
      <w:r w:rsidR="00622D6C">
        <w:rPr>
          <w:sz w:val="22"/>
          <w:szCs w:val="22"/>
          <w:lang w:val="sk-SK"/>
        </w:rPr>
        <w:t>u</w:t>
      </w:r>
      <w:r w:rsidRPr="00B607D1">
        <w:rPr>
          <w:sz w:val="22"/>
          <w:szCs w:val="22"/>
          <w:lang w:val="sk-SK"/>
        </w:rPr>
        <w:t xml:space="preserve"> byť </w:t>
      </w:r>
      <w:r w:rsidR="00622D6C">
        <w:rPr>
          <w:sz w:val="22"/>
          <w:szCs w:val="22"/>
          <w:lang w:val="sk-SK"/>
        </w:rPr>
        <w:t xml:space="preserve">kŕče komplikáciou </w:t>
      </w:r>
      <w:r w:rsidR="00F8064A">
        <w:rPr>
          <w:sz w:val="22"/>
          <w:szCs w:val="22"/>
          <w:lang w:val="sk-SK"/>
        </w:rPr>
        <w:t>(</w:t>
      </w:r>
      <w:r w:rsidR="00622D6C">
        <w:rPr>
          <w:sz w:val="22"/>
          <w:szCs w:val="22"/>
          <w:lang w:val="sk-SK"/>
        </w:rPr>
        <w:t xml:space="preserve">napr. </w:t>
      </w:r>
      <w:proofErr w:type="spellStart"/>
      <w:r w:rsidRPr="00B607D1">
        <w:rPr>
          <w:sz w:val="22"/>
          <w:szCs w:val="22"/>
          <w:lang w:val="sk-SK"/>
        </w:rPr>
        <w:t>gastroduodenálna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endoskopia</w:t>
      </w:r>
      <w:proofErr w:type="spellEnd"/>
      <w:r w:rsidR="00F8064A">
        <w:rPr>
          <w:sz w:val="22"/>
          <w:szCs w:val="22"/>
          <w:lang w:val="sk-SK"/>
        </w:rPr>
        <w:t>)</w:t>
      </w:r>
      <w:r w:rsidRPr="00B607D1">
        <w:rPr>
          <w:sz w:val="22"/>
          <w:szCs w:val="22"/>
          <w:lang w:val="sk-SK"/>
        </w:rPr>
        <w:t>.</w:t>
      </w:r>
    </w:p>
    <w:p w14:paraId="13140F76" w14:textId="77777777" w:rsidR="00CB0881" w:rsidRPr="00F8064A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Cs/>
          <w:sz w:val="22"/>
          <w:szCs w:val="22"/>
          <w:lang w:val="sk-SK"/>
        </w:rPr>
      </w:pPr>
    </w:p>
    <w:p w14:paraId="03A1DD70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4.2</w:t>
      </w:r>
      <w:r w:rsidRPr="00B607D1">
        <w:rPr>
          <w:b/>
          <w:color w:val="000000"/>
          <w:sz w:val="22"/>
          <w:szCs w:val="22"/>
          <w:lang w:val="sk-SK"/>
        </w:rPr>
        <w:tab/>
        <w:t>Dávkovanie a spôsob podávania</w:t>
      </w:r>
    </w:p>
    <w:p w14:paraId="73B8D4AC" w14:textId="77777777" w:rsidR="00CB088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14C3B32A" w14:textId="77777777" w:rsidR="00F8064A" w:rsidRDefault="00F8064A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u w:val="single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 xml:space="preserve">Dávkovanie </w:t>
      </w:r>
    </w:p>
    <w:p w14:paraId="32BCFC4B" w14:textId="77777777" w:rsidR="00F8064A" w:rsidRPr="00F8064A" w:rsidRDefault="00F8064A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u w:val="single"/>
          <w:lang w:val="sk-SK"/>
        </w:rPr>
      </w:pPr>
    </w:p>
    <w:p w14:paraId="17279F44" w14:textId="37A75554" w:rsidR="00CB0881" w:rsidRPr="00B607D1" w:rsidRDefault="00B607D1" w:rsidP="00B607D1">
      <w:pPr>
        <w:rPr>
          <w:i/>
          <w:sz w:val="22"/>
          <w:szCs w:val="22"/>
          <w:lang w:val="sk-SK"/>
        </w:rPr>
      </w:pPr>
      <w:r w:rsidRPr="00B607D1">
        <w:rPr>
          <w:i/>
          <w:sz w:val="22"/>
          <w:szCs w:val="22"/>
          <w:lang w:val="sk-SK"/>
        </w:rPr>
        <w:t>Dospelí a d</w:t>
      </w:r>
      <w:r w:rsidR="00F8064A">
        <w:rPr>
          <w:i/>
          <w:sz w:val="22"/>
          <w:szCs w:val="22"/>
          <w:lang w:val="sk-SK"/>
        </w:rPr>
        <w:t>eti</w:t>
      </w:r>
      <w:r w:rsidRPr="00B607D1">
        <w:rPr>
          <w:i/>
          <w:sz w:val="22"/>
          <w:szCs w:val="22"/>
          <w:lang w:val="sk-SK"/>
        </w:rPr>
        <w:t xml:space="preserve"> starš</w:t>
      </w:r>
      <w:r w:rsidR="00A42892">
        <w:rPr>
          <w:i/>
          <w:sz w:val="22"/>
          <w:szCs w:val="22"/>
          <w:lang w:val="sk-SK"/>
        </w:rPr>
        <w:t>ie</w:t>
      </w:r>
      <w:r w:rsidRPr="00B607D1">
        <w:rPr>
          <w:i/>
          <w:sz w:val="22"/>
          <w:szCs w:val="22"/>
          <w:lang w:val="sk-SK"/>
        </w:rPr>
        <w:t xml:space="preserve"> ako 12 rokov</w:t>
      </w:r>
    </w:p>
    <w:p w14:paraId="6615BB42" w14:textId="61266136" w:rsidR="00CB0881" w:rsidRPr="00B607D1" w:rsidRDefault="00F8064A" w:rsidP="00B607D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Dávka je </w:t>
      </w:r>
      <w:r w:rsidRPr="00B607D1">
        <w:rPr>
          <w:sz w:val="22"/>
          <w:szCs w:val="22"/>
          <w:lang w:val="sk-SK"/>
        </w:rPr>
        <w:t>20</w:t>
      </w:r>
      <w:r w:rsidR="00A42892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 xml:space="preserve">40 mg </w:t>
      </w:r>
      <w:r>
        <w:rPr>
          <w:sz w:val="22"/>
          <w:szCs w:val="22"/>
          <w:lang w:val="sk-SK"/>
        </w:rPr>
        <w:t>(</w:t>
      </w:r>
      <w:r w:rsidR="00B607D1" w:rsidRPr="00B607D1">
        <w:rPr>
          <w:sz w:val="22"/>
          <w:szCs w:val="22"/>
          <w:lang w:val="sk-SK"/>
        </w:rPr>
        <w:t>1</w:t>
      </w:r>
      <w:r>
        <w:rPr>
          <w:sz w:val="22"/>
          <w:szCs w:val="22"/>
          <w:lang w:val="sk-SK"/>
        </w:rPr>
        <w:t>-</w:t>
      </w:r>
      <w:r w:rsidR="00B607D1" w:rsidRPr="00B607D1">
        <w:rPr>
          <w:sz w:val="22"/>
          <w:szCs w:val="22"/>
          <w:lang w:val="sk-SK"/>
        </w:rPr>
        <w:t>2 ampulky) podáva</w:t>
      </w:r>
      <w:r>
        <w:rPr>
          <w:sz w:val="22"/>
          <w:szCs w:val="22"/>
          <w:lang w:val="sk-SK"/>
        </w:rPr>
        <w:t>n</w:t>
      </w:r>
      <w:r w:rsidR="00A42892">
        <w:rPr>
          <w:sz w:val="22"/>
          <w:szCs w:val="22"/>
          <w:lang w:val="sk-SK"/>
        </w:rPr>
        <w:t>é</w:t>
      </w:r>
      <w:r w:rsidR="00B607D1" w:rsidRPr="00B607D1">
        <w:rPr>
          <w:sz w:val="22"/>
          <w:szCs w:val="22"/>
          <w:lang w:val="sk-SK"/>
        </w:rPr>
        <w:t xml:space="preserve"> pomaly intravenózne, </w:t>
      </w:r>
      <w:proofErr w:type="spellStart"/>
      <w:r w:rsidR="00B607D1" w:rsidRPr="00B607D1">
        <w:rPr>
          <w:sz w:val="22"/>
          <w:szCs w:val="22"/>
          <w:lang w:val="sk-SK"/>
        </w:rPr>
        <w:t>intramuskulárne</w:t>
      </w:r>
      <w:proofErr w:type="spellEnd"/>
      <w:r w:rsidR="00B607D1" w:rsidRPr="00B607D1">
        <w:rPr>
          <w:sz w:val="22"/>
          <w:szCs w:val="22"/>
          <w:lang w:val="sk-SK"/>
        </w:rPr>
        <w:t xml:space="preserve"> alebo </w:t>
      </w:r>
      <w:proofErr w:type="spellStart"/>
      <w:r w:rsidR="00B607D1" w:rsidRPr="00B607D1">
        <w:rPr>
          <w:sz w:val="22"/>
          <w:szCs w:val="22"/>
          <w:lang w:val="sk-SK"/>
        </w:rPr>
        <w:t>subkutánne</w:t>
      </w:r>
      <w:proofErr w:type="spellEnd"/>
      <w:r w:rsidR="00B607D1" w:rsidRPr="00B607D1">
        <w:rPr>
          <w:sz w:val="22"/>
          <w:szCs w:val="22"/>
          <w:lang w:val="sk-SK"/>
        </w:rPr>
        <w:t>.</w:t>
      </w:r>
    </w:p>
    <w:p w14:paraId="6ABDBEB9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Maximálna denná dávka </w:t>
      </w:r>
      <w:r w:rsidR="00F8064A">
        <w:rPr>
          <w:sz w:val="22"/>
          <w:szCs w:val="22"/>
          <w:lang w:val="sk-SK"/>
        </w:rPr>
        <w:t xml:space="preserve">je </w:t>
      </w:r>
      <w:r w:rsidRPr="00B607D1">
        <w:rPr>
          <w:sz w:val="22"/>
          <w:szCs w:val="22"/>
          <w:lang w:val="sk-SK"/>
        </w:rPr>
        <w:t>100 mg</w:t>
      </w:r>
      <w:r w:rsidR="00F8064A">
        <w:rPr>
          <w:sz w:val="22"/>
          <w:szCs w:val="22"/>
          <w:lang w:val="sk-SK"/>
        </w:rPr>
        <w:t xml:space="preserve"> (5 ampuliek).</w:t>
      </w:r>
    </w:p>
    <w:p w14:paraId="0C4AA0B1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260365D8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i/>
          <w:color w:val="000000"/>
          <w:sz w:val="22"/>
          <w:szCs w:val="22"/>
          <w:lang w:val="sk-SK"/>
        </w:rPr>
      </w:pPr>
      <w:r w:rsidRPr="00B607D1">
        <w:rPr>
          <w:i/>
          <w:color w:val="000000"/>
          <w:sz w:val="22"/>
          <w:szCs w:val="22"/>
          <w:lang w:val="sk-SK"/>
        </w:rPr>
        <w:t>Pediatrická populácia</w:t>
      </w:r>
    </w:p>
    <w:p w14:paraId="6B66C424" w14:textId="0606B478" w:rsidR="00F8064A" w:rsidRPr="00B607D1" w:rsidRDefault="00B607D1" w:rsidP="00F8064A">
      <w:pPr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lang w:val="sk-SK"/>
        </w:rPr>
        <w:t xml:space="preserve">V </w:t>
      </w:r>
      <w:r w:rsidR="00A42892">
        <w:rPr>
          <w:sz w:val="22"/>
          <w:szCs w:val="22"/>
          <w:lang w:val="sk-SK"/>
        </w:rPr>
        <w:t>závažných</w:t>
      </w:r>
      <w:r w:rsidRPr="00B607D1">
        <w:rPr>
          <w:sz w:val="22"/>
          <w:szCs w:val="22"/>
          <w:lang w:val="sk-SK"/>
        </w:rPr>
        <w:t xml:space="preserve"> prípadoch sa dojčatám a deťom </w:t>
      </w:r>
      <w:r w:rsidR="00F8064A">
        <w:rPr>
          <w:sz w:val="22"/>
          <w:szCs w:val="22"/>
          <w:lang w:val="sk-SK"/>
        </w:rPr>
        <w:t>môže niekoľkokrát denne podať</w:t>
      </w:r>
      <w:r w:rsidRPr="00B607D1">
        <w:rPr>
          <w:sz w:val="22"/>
          <w:szCs w:val="22"/>
          <w:lang w:val="sk-SK"/>
        </w:rPr>
        <w:t xml:space="preserve"> dávka 0,3</w:t>
      </w:r>
      <w:r w:rsidR="00F8064A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 xml:space="preserve">0,6 mg/kg telesnej hmotnosti pomaly intravenózne, </w:t>
      </w:r>
      <w:proofErr w:type="spellStart"/>
      <w:r w:rsidRPr="00B607D1">
        <w:rPr>
          <w:sz w:val="22"/>
          <w:szCs w:val="22"/>
          <w:lang w:val="sk-SK"/>
        </w:rPr>
        <w:t>intramuskulárne</w:t>
      </w:r>
      <w:proofErr w:type="spellEnd"/>
      <w:r w:rsidRPr="00B607D1">
        <w:rPr>
          <w:sz w:val="22"/>
          <w:szCs w:val="22"/>
          <w:lang w:val="sk-SK"/>
        </w:rPr>
        <w:t xml:space="preserve"> alebo </w:t>
      </w:r>
      <w:proofErr w:type="spellStart"/>
      <w:r w:rsidRPr="00B607D1">
        <w:rPr>
          <w:sz w:val="22"/>
          <w:szCs w:val="22"/>
          <w:lang w:val="sk-SK"/>
        </w:rPr>
        <w:t>subkutánne</w:t>
      </w:r>
      <w:proofErr w:type="spellEnd"/>
      <w:r w:rsidR="00F8064A">
        <w:rPr>
          <w:sz w:val="22"/>
          <w:szCs w:val="22"/>
          <w:lang w:val="sk-SK"/>
        </w:rPr>
        <w:t xml:space="preserve">. </w:t>
      </w:r>
      <w:r w:rsidR="00F8064A" w:rsidRPr="006D70E1">
        <w:rPr>
          <w:sz w:val="22"/>
          <w:szCs w:val="22"/>
          <w:lang w:val="sk-SK"/>
        </w:rPr>
        <w:t>Maximálna denná dávka 1,5</w:t>
      </w:r>
      <w:r w:rsidR="00F8064A">
        <w:rPr>
          <w:sz w:val="22"/>
          <w:szCs w:val="22"/>
          <w:lang w:val="sk-SK"/>
        </w:rPr>
        <w:t> </w:t>
      </w:r>
      <w:r w:rsidR="00F8064A" w:rsidRPr="006D70E1">
        <w:rPr>
          <w:sz w:val="22"/>
          <w:szCs w:val="22"/>
          <w:lang w:val="sk-SK"/>
        </w:rPr>
        <w:t>mg/kg telesnej hmotnosti</w:t>
      </w:r>
      <w:r w:rsidR="00F8064A">
        <w:rPr>
          <w:sz w:val="22"/>
          <w:szCs w:val="22"/>
          <w:lang w:val="sk-SK"/>
        </w:rPr>
        <w:t xml:space="preserve"> sa nesmie prekročiť.</w:t>
      </w:r>
    </w:p>
    <w:p w14:paraId="607F8D84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u w:val="single"/>
          <w:lang w:val="sk-SK"/>
        </w:rPr>
      </w:pPr>
    </w:p>
    <w:p w14:paraId="1864E549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  <w:lang w:val="sk-SK"/>
        </w:rPr>
      </w:pPr>
      <w:r w:rsidRPr="00B607D1">
        <w:rPr>
          <w:color w:val="000000"/>
          <w:sz w:val="22"/>
          <w:szCs w:val="22"/>
          <w:u w:val="single"/>
          <w:lang w:val="sk-SK"/>
        </w:rPr>
        <w:t>Spôsob podávania</w:t>
      </w:r>
    </w:p>
    <w:p w14:paraId="71BCDD4F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u w:val="single"/>
          <w:lang w:val="sk-SK"/>
        </w:rPr>
      </w:pPr>
    </w:p>
    <w:p w14:paraId="75831DF3" w14:textId="77777777" w:rsidR="00F8064A" w:rsidRDefault="00F8064A" w:rsidP="00B607D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bookmarkStart w:id="1" w:name="_Hlk25735305"/>
      <w:r>
        <w:rPr>
          <w:sz w:val="22"/>
          <w:szCs w:val="22"/>
          <w:lang w:val="sk-SK"/>
        </w:rPr>
        <w:t>I</w:t>
      </w:r>
      <w:r w:rsidR="00B607D1" w:rsidRPr="00B607D1">
        <w:rPr>
          <w:sz w:val="22"/>
          <w:szCs w:val="22"/>
          <w:lang w:val="sk-SK"/>
        </w:rPr>
        <w:t>ntravenózn</w:t>
      </w:r>
      <w:r>
        <w:rPr>
          <w:sz w:val="22"/>
          <w:szCs w:val="22"/>
          <w:lang w:val="sk-SK"/>
        </w:rPr>
        <w:t>a</w:t>
      </w:r>
      <w:r w:rsidR="00B607D1" w:rsidRPr="00B607D1">
        <w:rPr>
          <w:sz w:val="22"/>
          <w:szCs w:val="22"/>
          <w:lang w:val="sk-SK"/>
        </w:rPr>
        <w:t xml:space="preserve">, </w:t>
      </w:r>
      <w:proofErr w:type="spellStart"/>
      <w:r w:rsidR="00B607D1" w:rsidRPr="00B607D1">
        <w:rPr>
          <w:sz w:val="22"/>
          <w:szCs w:val="22"/>
          <w:lang w:val="sk-SK"/>
        </w:rPr>
        <w:t>intramuskulárn</w:t>
      </w:r>
      <w:r>
        <w:rPr>
          <w:sz w:val="22"/>
          <w:szCs w:val="22"/>
          <w:lang w:val="sk-SK"/>
        </w:rPr>
        <w:t>a</w:t>
      </w:r>
      <w:proofErr w:type="spellEnd"/>
      <w:r w:rsidR="00B607D1" w:rsidRPr="00B607D1">
        <w:rPr>
          <w:sz w:val="22"/>
          <w:szCs w:val="22"/>
          <w:lang w:val="sk-SK"/>
        </w:rPr>
        <w:t xml:space="preserve"> alebo </w:t>
      </w:r>
      <w:proofErr w:type="spellStart"/>
      <w:r w:rsidR="00B607D1" w:rsidRPr="00B607D1">
        <w:rPr>
          <w:sz w:val="22"/>
          <w:szCs w:val="22"/>
          <w:lang w:val="sk-SK"/>
        </w:rPr>
        <w:t>subkutánn</w:t>
      </w:r>
      <w:r>
        <w:rPr>
          <w:sz w:val="22"/>
          <w:szCs w:val="22"/>
          <w:lang w:val="sk-SK"/>
        </w:rPr>
        <w:t>a</w:t>
      </w:r>
      <w:proofErr w:type="spellEnd"/>
      <w:r w:rsidR="00B607D1" w:rsidRPr="00B607D1">
        <w:rPr>
          <w:sz w:val="22"/>
          <w:szCs w:val="22"/>
          <w:lang w:val="sk-SK"/>
        </w:rPr>
        <w:t xml:space="preserve"> injekci</w:t>
      </w:r>
      <w:r>
        <w:rPr>
          <w:sz w:val="22"/>
          <w:szCs w:val="22"/>
          <w:lang w:val="sk-SK"/>
        </w:rPr>
        <w:t>a</w:t>
      </w:r>
      <w:r w:rsidR="00B607D1" w:rsidRPr="00B607D1">
        <w:rPr>
          <w:sz w:val="22"/>
          <w:szCs w:val="22"/>
          <w:lang w:val="sk-SK"/>
        </w:rPr>
        <w:t xml:space="preserve">. </w:t>
      </w:r>
    </w:p>
    <w:bookmarkEnd w:id="1"/>
    <w:p w14:paraId="4220F607" w14:textId="2A2E7056" w:rsidR="00CB0881" w:rsidRPr="00B607D1" w:rsidRDefault="00B607D1" w:rsidP="00F8064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proofErr w:type="spellStart"/>
      <w:r w:rsidRPr="00B607D1">
        <w:rPr>
          <w:sz w:val="22"/>
          <w:szCs w:val="22"/>
          <w:lang w:val="sk-SK"/>
        </w:rPr>
        <w:t>Scopolamine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butylbromid</w:t>
      </w:r>
      <w:r w:rsidR="004054AD">
        <w:rPr>
          <w:sz w:val="22"/>
          <w:szCs w:val="22"/>
          <w:lang w:val="sk-SK"/>
        </w:rPr>
        <w:t>e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Kalceks</w:t>
      </w:r>
      <w:proofErr w:type="spellEnd"/>
      <w:r w:rsidRPr="00B607D1">
        <w:rPr>
          <w:sz w:val="22"/>
          <w:szCs w:val="22"/>
          <w:lang w:val="sk-SK"/>
        </w:rPr>
        <w:t xml:space="preserve"> sa môže podávať zriedený (pozri časť 6.6). </w:t>
      </w:r>
    </w:p>
    <w:p w14:paraId="058B430A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4A97779A" w14:textId="3C7CE574" w:rsidR="00CB0881" w:rsidRPr="00B607D1" w:rsidRDefault="00F8064A" w:rsidP="00F8064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Injekčný </w:t>
      </w:r>
      <w:proofErr w:type="spellStart"/>
      <w:r>
        <w:rPr>
          <w:sz w:val="22"/>
          <w:szCs w:val="22"/>
          <w:lang w:val="sk-SK"/>
        </w:rPr>
        <w:t>b</w:t>
      </w:r>
      <w:r w:rsidRPr="00B607D1">
        <w:rPr>
          <w:sz w:val="22"/>
          <w:szCs w:val="22"/>
          <w:lang w:val="sk-SK"/>
        </w:rPr>
        <w:t>utylskopolamínium</w:t>
      </w:r>
      <w:r w:rsidR="00A42892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proofErr w:type="spellEnd"/>
      <w:r>
        <w:rPr>
          <w:sz w:val="22"/>
          <w:szCs w:val="22"/>
          <w:lang w:val="sk-SK"/>
        </w:rPr>
        <w:t xml:space="preserve"> sa nem</w:t>
      </w:r>
      <w:r w:rsidR="00B607D1" w:rsidRPr="00B607D1">
        <w:rPr>
          <w:sz w:val="22"/>
          <w:szCs w:val="22"/>
          <w:lang w:val="sk-SK"/>
        </w:rPr>
        <w:t xml:space="preserve">á podávať kontinuálne </w:t>
      </w:r>
      <w:r>
        <w:rPr>
          <w:sz w:val="22"/>
          <w:szCs w:val="22"/>
          <w:lang w:val="sk-SK"/>
        </w:rPr>
        <w:t xml:space="preserve">každodenne </w:t>
      </w:r>
      <w:r w:rsidR="00B607D1" w:rsidRPr="00B607D1">
        <w:rPr>
          <w:sz w:val="22"/>
          <w:szCs w:val="22"/>
          <w:lang w:val="sk-SK"/>
        </w:rPr>
        <w:t xml:space="preserve">alebo dlhodobo bez zistenia príčiny </w:t>
      </w:r>
      <w:proofErr w:type="spellStart"/>
      <w:r>
        <w:rPr>
          <w:sz w:val="22"/>
          <w:szCs w:val="22"/>
          <w:lang w:val="sk-SK"/>
        </w:rPr>
        <w:t>abdominálnej</w:t>
      </w:r>
      <w:proofErr w:type="spellEnd"/>
      <w:r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>bolesti</w:t>
      </w:r>
      <w:r>
        <w:rPr>
          <w:sz w:val="22"/>
          <w:szCs w:val="22"/>
          <w:lang w:val="sk-SK"/>
        </w:rPr>
        <w:t>.</w:t>
      </w:r>
    </w:p>
    <w:p w14:paraId="2FD425CA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78BA7DDC" w14:textId="703FFBBD" w:rsidR="00CB088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4.3</w:t>
      </w:r>
      <w:r w:rsidRPr="00B607D1">
        <w:rPr>
          <w:b/>
          <w:color w:val="000000"/>
          <w:sz w:val="22"/>
          <w:szCs w:val="22"/>
          <w:lang w:val="sk-SK"/>
        </w:rPr>
        <w:tab/>
        <w:t>Kontraindikácie</w:t>
      </w:r>
    </w:p>
    <w:p w14:paraId="61A96709" w14:textId="77777777" w:rsidR="005C08BB" w:rsidRPr="005C08BB" w:rsidRDefault="005C08BB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Cs/>
          <w:color w:val="000000"/>
          <w:sz w:val="22"/>
          <w:szCs w:val="22"/>
          <w:lang w:val="sk-SK"/>
        </w:rPr>
      </w:pPr>
    </w:p>
    <w:p w14:paraId="0AED877E" w14:textId="77777777" w:rsidR="00F8064A" w:rsidRDefault="00F8064A" w:rsidP="00F45151">
      <w:pPr>
        <w:pStyle w:val="Zkladntext"/>
        <w:numPr>
          <w:ilvl w:val="0"/>
          <w:numId w:val="7"/>
        </w:numPr>
        <w:ind w:left="426"/>
        <w:rPr>
          <w:noProof/>
          <w:szCs w:val="22"/>
        </w:rPr>
      </w:pPr>
      <w:r w:rsidRPr="003021DE">
        <w:rPr>
          <w:szCs w:val="22"/>
        </w:rPr>
        <w:t xml:space="preserve">Precitlivenosť na </w:t>
      </w:r>
      <w:r w:rsidR="00506FFC">
        <w:rPr>
          <w:szCs w:val="22"/>
        </w:rPr>
        <w:t>liečivo</w:t>
      </w:r>
      <w:r w:rsidRPr="003021DE">
        <w:rPr>
          <w:szCs w:val="22"/>
        </w:rPr>
        <w:t xml:space="preserve"> alebo na </w:t>
      </w:r>
      <w:r w:rsidRPr="003021DE">
        <w:rPr>
          <w:noProof/>
          <w:szCs w:val="22"/>
        </w:rPr>
        <w:t>ktorúkoľvek</w:t>
      </w:r>
      <w:r w:rsidRPr="003021DE">
        <w:rPr>
          <w:szCs w:val="22"/>
        </w:rPr>
        <w:t xml:space="preserve"> z pomocných látok </w:t>
      </w:r>
      <w:r w:rsidRPr="003021DE">
        <w:rPr>
          <w:noProof/>
        </w:rPr>
        <w:t xml:space="preserve">uvedených v časti 6.1. </w:t>
      </w:r>
    </w:p>
    <w:p w14:paraId="5573B2E8" w14:textId="77777777" w:rsidR="00CB0881" w:rsidRPr="00B607D1" w:rsidRDefault="00F8064A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lastRenderedPageBreak/>
        <w:t>G</w:t>
      </w:r>
      <w:r w:rsidR="00B607D1" w:rsidRPr="00B607D1">
        <w:rPr>
          <w:sz w:val="22"/>
          <w:szCs w:val="22"/>
          <w:lang w:val="sk-SK"/>
        </w:rPr>
        <w:t>laukóm</w:t>
      </w:r>
      <w:proofErr w:type="spellEnd"/>
      <w:r w:rsidR="00B607D1" w:rsidRPr="00B607D1">
        <w:rPr>
          <w:sz w:val="22"/>
          <w:szCs w:val="22"/>
          <w:lang w:val="sk-SK"/>
        </w:rPr>
        <w:t xml:space="preserve"> s úzkym uhlom</w:t>
      </w:r>
      <w:r>
        <w:rPr>
          <w:sz w:val="22"/>
          <w:szCs w:val="22"/>
          <w:lang w:val="sk-SK"/>
        </w:rPr>
        <w:t>.</w:t>
      </w:r>
      <w:r w:rsidR="00B607D1" w:rsidRPr="00B607D1"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ab/>
      </w:r>
    </w:p>
    <w:p w14:paraId="52A348B8" w14:textId="77777777" w:rsidR="00CB0881" w:rsidRPr="00B607D1" w:rsidRDefault="00F8064A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B607D1" w:rsidRPr="00B607D1">
        <w:rPr>
          <w:sz w:val="22"/>
          <w:szCs w:val="22"/>
          <w:lang w:val="sk-SK"/>
        </w:rPr>
        <w:t>ypertrofi</w:t>
      </w:r>
      <w:r>
        <w:rPr>
          <w:sz w:val="22"/>
          <w:szCs w:val="22"/>
          <w:lang w:val="sk-SK"/>
        </w:rPr>
        <w:t>a</w:t>
      </w:r>
      <w:r w:rsidR="00B607D1" w:rsidRPr="00B607D1">
        <w:rPr>
          <w:sz w:val="22"/>
          <w:szCs w:val="22"/>
          <w:lang w:val="sk-SK"/>
        </w:rPr>
        <w:t xml:space="preserve"> prostaty s </w:t>
      </w:r>
      <w:proofErr w:type="spellStart"/>
      <w:r w:rsidR="00B607D1" w:rsidRPr="00B607D1">
        <w:rPr>
          <w:sz w:val="22"/>
          <w:szCs w:val="22"/>
          <w:lang w:val="sk-SK"/>
        </w:rPr>
        <w:t>retenciou</w:t>
      </w:r>
      <w:proofErr w:type="spellEnd"/>
      <w:r w:rsidR="00B607D1" w:rsidRPr="00B607D1">
        <w:rPr>
          <w:sz w:val="22"/>
          <w:szCs w:val="22"/>
          <w:lang w:val="sk-SK"/>
        </w:rPr>
        <w:t xml:space="preserve"> moču</w:t>
      </w:r>
      <w:r>
        <w:rPr>
          <w:sz w:val="22"/>
          <w:szCs w:val="22"/>
          <w:lang w:val="sk-SK"/>
        </w:rPr>
        <w:t>.</w:t>
      </w:r>
      <w:r w:rsidR="00B607D1" w:rsidRPr="00B607D1"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ab/>
      </w:r>
    </w:p>
    <w:p w14:paraId="5D299DE6" w14:textId="77777777" w:rsidR="00CB0881" w:rsidRPr="00B607D1" w:rsidRDefault="00F8064A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607D1" w:rsidRPr="00B607D1">
        <w:rPr>
          <w:sz w:val="22"/>
          <w:szCs w:val="22"/>
          <w:lang w:val="sk-SK"/>
        </w:rPr>
        <w:t>echanick</w:t>
      </w:r>
      <w:r>
        <w:rPr>
          <w:sz w:val="22"/>
          <w:szCs w:val="22"/>
          <w:lang w:val="sk-SK"/>
        </w:rPr>
        <w:t>á</w:t>
      </w:r>
      <w:r w:rsidR="00B607D1" w:rsidRPr="00B607D1">
        <w:rPr>
          <w:sz w:val="22"/>
          <w:szCs w:val="22"/>
          <w:lang w:val="sk-SK"/>
        </w:rPr>
        <w:t xml:space="preserve"> </w:t>
      </w:r>
      <w:proofErr w:type="spellStart"/>
      <w:r w:rsidR="00B607D1" w:rsidRPr="00B607D1">
        <w:rPr>
          <w:sz w:val="22"/>
          <w:szCs w:val="22"/>
          <w:lang w:val="sk-SK"/>
        </w:rPr>
        <w:t>stenóz</w:t>
      </w:r>
      <w:r>
        <w:rPr>
          <w:sz w:val="22"/>
          <w:szCs w:val="22"/>
          <w:lang w:val="sk-SK"/>
        </w:rPr>
        <w:t>a</w:t>
      </w:r>
      <w:proofErr w:type="spellEnd"/>
      <w:r w:rsidR="00B607D1" w:rsidRPr="00B607D1">
        <w:rPr>
          <w:sz w:val="22"/>
          <w:szCs w:val="22"/>
          <w:lang w:val="sk-SK"/>
        </w:rPr>
        <w:t xml:space="preserve"> </w:t>
      </w:r>
      <w:proofErr w:type="spellStart"/>
      <w:r w:rsidR="00B607D1" w:rsidRPr="00B607D1">
        <w:rPr>
          <w:sz w:val="22"/>
          <w:szCs w:val="22"/>
          <w:lang w:val="sk-SK"/>
        </w:rPr>
        <w:t>gastrointestinálneho</w:t>
      </w:r>
      <w:proofErr w:type="spellEnd"/>
      <w:r w:rsidR="00B607D1" w:rsidRPr="00B607D1">
        <w:rPr>
          <w:sz w:val="22"/>
          <w:szCs w:val="22"/>
          <w:lang w:val="sk-SK"/>
        </w:rPr>
        <w:t xml:space="preserve"> traktu</w:t>
      </w:r>
      <w:r>
        <w:rPr>
          <w:sz w:val="22"/>
          <w:szCs w:val="22"/>
          <w:lang w:val="sk-SK"/>
        </w:rPr>
        <w:t>.</w:t>
      </w:r>
      <w:r w:rsidR="00B607D1" w:rsidRPr="00B607D1"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ab/>
      </w:r>
    </w:p>
    <w:p w14:paraId="209B5F57" w14:textId="77777777" w:rsidR="00CB0881" w:rsidRPr="00B607D1" w:rsidRDefault="00F8064A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B607D1" w:rsidRPr="00B607D1">
        <w:rPr>
          <w:sz w:val="22"/>
          <w:szCs w:val="22"/>
          <w:lang w:val="sk-SK"/>
        </w:rPr>
        <w:t>egakol</w:t>
      </w:r>
      <w:r>
        <w:rPr>
          <w:sz w:val="22"/>
          <w:szCs w:val="22"/>
          <w:lang w:val="sk-SK"/>
        </w:rPr>
        <w:t>ón</w:t>
      </w:r>
      <w:proofErr w:type="spellEnd"/>
      <w:r>
        <w:rPr>
          <w:sz w:val="22"/>
          <w:szCs w:val="22"/>
          <w:lang w:val="sk-SK"/>
        </w:rPr>
        <w:t>.</w:t>
      </w:r>
      <w:r w:rsidR="00B607D1" w:rsidRPr="00B607D1"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ab/>
      </w:r>
    </w:p>
    <w:p w14:paraId="03A55DD5" w14:textId="77777777" w:rsidR="00CB0881" w:rsidRPr="00B607D1" w:rsidRDefault="00F45151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</w:t>
      </w:r>
      <w:r w:rsidR="00B607D1" w:rsidRPr="00B607D1">
        <w:rPr>
          <w:sz w:val="22"/>
          <w:szCs w:val="22"/>
          <w:lang w:val="sk-SK"/>
        </w:rPr>
        <w:t>achykardi</w:t>
      </w:r>
      <w:r>
        <w:rPr>
          <w:sz w:val="22"/>
          <w:szCs w:val="22"/>
          <w:lang w:val="sk-SK"/>
        </w:rPr>
        <w:t>a</w:t>
      </w:r>
      <w:proofErr w:type="spellEnd"/>
      <w:r>
        <w:rPr>
          <w:sz w:val="22"/>
          <w:szCs w:val="22"/>
          <w:lang w:val="sk-SK"/>
        </w:rPr>
        <w:t>.</w:t>
      </w:r>
      <w:r w:rsidR="00B607D1" w:rsidRPr="00B607D1"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ab/>
      </w:r>
    </w:p>
    <w:p w14:paraId="7A0D63F5" w14:textId="335F6894" w:rsidR="00CB0881" w:rsidRPr="00B607D1" w:rsidRDefault="00F45151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B607D1" w:rsidRPr="00B607D1">
        <w:rPr>
          <w:sz w:val="22"/>
          <w:szCs w:val="22"/>
          <w:lang w:val="sk-SK"/>
        </w:rPr>
        <w:t>yastén</w:t>
      </w:r>
      <w:r w:rsidR="007D65EA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a</w:t>
      </w:r>
      <w:proofErr w:type="spellEnd"/>
      <w:r w:rsidR="00B607D1" w:rsidRPr="00B607D1">
        <w:rPr>
          <w:sz w:val="22"/>
          <w:szCs w:val="22"/>
          <w:lang w:val="sk-SK"/>
        </w:rPr>
        <w:t xml:space="preserve"> </w:t>
      </w:r>
      <w:proofErr w:type="spellStart"/>
      <w:r w:rsidR="00B607D1" w:rsidRPr="00B607D1">
        <w:rPr>
          <w:sz w:val="22"/>
          <w:szCs w:val="22"/>
          <w:lang w:val="sk-SK"/>
        </w:rPr>
        <w:t>gravis</w:t>
      </w:r>
      <w:proofErr w:type="spellEnd"/>
      <w:r w:rsidR="00B607D1" w:rsidRPr="00B607D1">
        <w:rPr>
          <w:sz w:val="22"/>
          <w:szCs w:val="22"/>
          <w:lang w:val="sk-SK"/>
        </w:rPr>
        <w:t>.</w:t>
      </w:r>
    </w:p>
    <w:p w14:paraId="6EC094F4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6D1F44A8" w14:textId="6E3BC2B7" w:rsidR="00CB0881" w:rsidRDefault="00B607D1" w:rsidP="00F45151">
      <w:pPr>
        <w:rPr>
          <w:sz w:val="22"/>
          <w:szCs w:val="22"/>
          <w:lang w:val="sk-SK"/>
        </w:rPr>
      </w:pPr>
      <w:proofErr w:type="spellStart"/>
      <w:r w:rsidRPr="00B607D1">
        <w:rPr>
          <w:sz w:val="22"/>
          <w:szCs w:val="22"/>
          <w:lang w:val="sk-SK"/>
        </w:rPr>
        <w:t>Butylskopolamínium</w:t>
      </w:r>
      <w:r w:rsidR="007D65EA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proofErr w:type="spellEnd"/>
      <w:r w:rsidRPr="00B607D1">
        <w:rPr>
          <w:sz w:val="22"/>
          <w:szCs w:val="22"/>
          <w:lang w:val="sk-SK"/>
        </w:rPr>
        <w:t xml:space="preserve"> sa nem</w:t>
      </w:r>
      <w:r w:rsidR="00F45151">
        <w:rPr>
          <w:sz w:val="22"/>
          <w:szCs w:val="22"/>
          <w:lang w:val="sk-SK"/>
        </w:rPr>
        <w:t>á</w:t>
      </w:r>
      <w:r w:rsidRPr="00B607D1">
        <w:rPr>
          <w:sz w:val="22"/>
          <w:szCs w:val="22"/>
          <w:lang w:val="sk-SK"/>
        </w:rPr>
        <w:t xml:space="preserve"> podávať </w:t>
      </w:r>
      <w:proofErr w:type="spellStart"/>
      <w:r w:rsidRPr="00B607D1">
        <w:rPr>
          <w:sz w:val="22"/>
          <w:szCs w:val="22"/>
          <w:lang w:val="sk-SK"/>
        </w:rPr>
        <w:t>intramuskulárnou</w:t>
      </w:r>
      <w:proofErr w:type="spellEnd"/>
      <w:r w:rsidRPr="00B607D1">
        <w:rPr>
          <w:sz w:val="22"/>
          <w:szCs w:val="22"/>
          <w:lang w:val="sk-SK"/>
        </w:rPr>
        <w:t xml:space="preserve"> injekciou pacientom liečeným </w:t>
      </w:r>
      <w:proofErr w:type="spellStart"/>
      <w:r w:rsidRPr="00B607D1">
        <w:rPr>
          <w:sz w:val="22"/>
          <w:szCs w:val="22"/>
          <w:lang w:val="sk-SK"/>
        </w:rPr>
        <w:t>antikoagula</w:t>
      </w:r>
      <w:r w:rsidR="00F45151">
        <w:rPr>
          <w:sz w:val="22"/>
          <w:szCs w:val="22"/>
          <w:lang w:val="sk-SK"/>
        </w:rPr>
        <w:t>nciami</w:t>
      </w:r>
      <w:proofErr w:type="spellEnd"/>
      <w:r w:rsidRPr="00B607D1">
        <w:rPr>
          <w:sz w:val="22"/>
          <w:szCs w:val="22"/>
          <w:lang w:val="sk-SK"/>
        </w:rPr>
        <w:t xml:space="preserve">, pretože sa môže vyskytnúť </w:t>
      </w:r>
      <w:proofErr w:type="spellStart"/>
      <w:r w:rsidRPr="00B607D1">
        <w:rPr>
          <w:sz w:val="22"/>
          <w:szCs w:val="22"/>
          <w:lang w:val="sk-SK"/>
        </w:rPr>
        <w:t>intramuskulárny</w:t>
      </w:r>
      <w:proofErr w:type="spellEnd"/>
      <w:r w:rsidRPr="00B607D1">
        <w:rPr>
          <w:sz w:val="22"/>
          <w:szCs w:val="22"/>
          <w:lang w:val="sk-SK"/>
        </w:rPr>
        <w:t xml:space="preserve"> hematóm.</w:t>
      </w:r>
      <w:r w:rsidR="00044E38">
        <w:rPr>
          <w:sz w:val="22"/>
          <w:szCs w:val="22"/>
          <w:lang w:val="sk-SK"/>
        </w:rPr>
        <w:t xml:space="preserve"> </w:t>
      </w:r>
    </w:p>
    <w:p w14:paraId="6399D026" w14:textId="77777777" w:rsidR="00044E38" w:rsidRPr="00B607D1" w:rsidRDefault="00044E38" w:rsidP="00F45151">
      <w:pPr>
        <w:rPr>
          <w:b/>
          <w:sz w:val="22"/>
          <w:szCs w:val="22"/>
          <w:lang w:val="sk-SK"/>
        </w:rPr>
      </w:pPr>
    </w:p>
    <w:p w14:paraId="1ED32A08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4.4</w:t>
      </w:r>
      <w:r w:rsidRPr="00B607D1">
        <w:rPr>
          <w:b/>
          <w:color w:val="000000"/>
          <w:sz w:val="22"/>
          <w:szCs w:val="22"/>
          <w:lang w:val="sk-SK"/>
        </w:rPr>
        <w:tab/>
        <w:t>Osobitné upozornenia a opatrenia pri používaní</w:t>
      </w:r>
    </w:p>
    <w:p w14:paraId="260041C9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72E87D6E" w14:textId="0027EAC1" w:rsidR="00CB088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V prípade siln</w:t>
      </w:r>
      <w:r w:rsidR="00F45151">
        <w:rPr>
          <w:sz w:val="22"/>
          <w:szCs w:val="22"/>
          <w:lang w:val="sk-SK"/>
        </w:rPr>
        <w:t>ej</w:t>
      </w:r>
      <w:r w:rsidRPr="00B607D1">
        <w:rPr>
          <w:sz w:val="22"/>
          <w:szCs w:val="22"/>
          <w:lang w:val="sk-SK"/>
        </w:rPr>
        <w:t xml:space="preserve"> nevysvetliteľn</w:t>
      </w:r>
      <w:r w:rsidR="00F45151">
        <w:rPr>
          <w:sz w:val="22"/>
          <w:szCs w:val="22"/>
          <w:lang w:val="sk-SK"/>
        </w:rPr>
        <w:t>ej</w:t>
      </w:r>
      <w:r w:rsidRPr="00B607D1">
        <w:rPr>
          <w:sz w:val="22"/>
          <w:szCs w:val="22"/>
          <w:lang w:val="sk-SK"/>
        </w:rPr>
        <w:t xml:space="preserve"> </w:t>
      </w:r>
      <w:proofErr w:type="spellStart"/>
      <w:r w:rsidR="00F45151">
        <w:rPr>
          <w:sz w:val="22"/>
          <w:szCs w:val="22"/>
          <w:lang w:val="sk-SK"/>
        </w:rPr>
        <w:t>abdominálnej</w:t>
      </w:r>
      <w:proofErr w:type="spellEnd"/>
      <w:r w:rsidR="00F45151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>boles</w:t>
      </w:r>
      <w:r w:rsidR="00F45151">
        <w:rPr>
          <w:sz w:val="22"/>
          <w:szCs w:val="22"/>
          <w:lang w:val="sk-SK"/>
        </w:rPr>
        <w:t>ti, ktorá</w:t>
      </w:r>
      <w:r w:rsidRPr="00B607D1">
        <w:rPr>
          <w:sz w:val="22"/>
          <w:szCs w:val="22"/>
          <w:lang w:val="sk-SK"/>
        </w:rPr>
        <w:t xml:space="preserve"> pretrváva alebo sa zhoršuje</w:t>
      </w:r>
      <w:r w:rsidR="00F45151">
        <w:rPr>
          <w:sz w:val="22"/>
          <w:szCs w:val="22"/>
          <w:lang w:val="sk-SK"/>
        </w:rPr>
        <w:t>,</w:t>
      </w:r>
      <w:r w:rsidRPr="00B607D1">
        <w:rPr>
          <w:sz w:val="22"/>
          <w:szCs w:val="22"/>
          <w:lang w:val="sk-SK"/>
        </w:rPr>
        <w:t xml:space="preserve"> alebo je sprevádzaná príznakmi ako je horúčka, nauzea, vracanie, zmeny </w:t>
      </w:r>
      <w:proofErr w:type="spellStart"/>
      <w:r w:rsidR="001A11C3">
        <w:rPr>
          <w:sz w:val="22"/>
          <w:szCs w:val="22"/>
          <w:lang w:val="sk-SK"/>
        </w:rPr>
        <w:t>motility</w:t>
      </w:r>
      <w:proofErr w:type="spellEnd"/>
      <w:r w:rsidRPr="00B607D1">
        <w:rPr>
          <w:sz w:val="22"/>
          <w:szCs w:val="22"/>
          <w:lang w:val="sk-SK"/>
        </w:rPr>
        <w:t xml:space="preserve"> čriev, citlivosť brucha, zníženie krvného tlaku, mdloby alebo krv v stolici, sú potrebné vhodné diagnostické opatrenia na zistenie etiológie príznakov.</w:t>
      </w:r>
    </w:p>
    <w:p w14:paraId="5C20D4C1" w14:textId="77777777" w:rsidR="00F45151" w:rsidRPr="00B607D1" w:rsidRDefault="00F45151" w:rsidP="00B607D1">
      <w:pPr>
        <w:rPr>
          <w:sz w:val="22"/>
          <w:szCs w:val="22"/>
          <w:lang w:val="sk-SK"/>
        </w:rPr>
      </w:pPr>
    </w:p>
    <w:p w14:paraId="728ECA40" w14:textId="541A4DD9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U pacientov s nediagnostikovaným, a teda neliečeným </w:t>
      </w:r>
      <w:proofErr w:type="spellStart"/>
      <w:r w:rsidRPr="00B607D1">
        <w:rPr>
          <w:sz w:val="22"/>
          <w:szCs w:val="22"/>
          <w:lang w:val="sk-SK"/>
        </w:rPr>
        <w:t>glaukómom</w:t>
      </w:r>
      <w:proofErr w:type="spellEnd"/>
      <w:r w:rsidRPr="00B607D1">
        <w:rPr>
          <w:sz w:val="22"/>
          <w:szCs w:val="22"/>
          <w:lang w:val="sk-SK"/>
        </w:rPr>
        <w:t xml:space="preserve"> s </w:t>
      </w:r>
      <w:r w:rsidR="00C12007">
        <w:rPr>
          <w:sz w:val="22"/>
          <w:szCs w:val="22"/>
          <w:lang w:val="sk-SK"/>
        </w:rPr>
        <w:t>úzkym</w:t>
      </w:r>
      <w:r w:rsidRPr="00B607D1">
        <w:rPr>
          <w:sz w:val="22"/>
          <w:szCs w:val="22"/>
          <w:lang w:val="sk-SK"/>
        </w:rPr>
        <w:t xml:space="preserve"> uhlom, sa môže po podaní </w:t>
      </w:r>
      <w:proofErr w:type="spellStart"/>
      <w:r w:rsidRPr="00B607D1">
        <w:rPr>
          <w:sz w:val="22"/>
          <w:szCs w:val="22"/>
          <w:lang w:val="sk-SK"/>
        </w:rPr>
        <w:t>antichol</w:t>
      </w:r>
      <w:r w:rsidR="00C12007">
        <w:rPr>
          <w:sz w:val="22"/>
          <w:szCs w:val="22"/>
          <w:lang w:val="sk-SK"/>
        </w:rPr>
        <w:t>inergických</w:t>
      </w:r>
      <w:proofErr w:type="spellEnd"/>
      <w:r w:rsidRPr="00B607D1">
        <w:rPr>
          <w:sz w:val="22"/>
          <w:szCs w:val="22"/>
          <w:lang w:val="sk-SK"/>
        </w:rPr>
        <w:t xml:space="preserve"> liekov ako je </w:t>
      </w:r>
      <w:proofErr w:type="spellStart"/>
      <w:r w:rsidRPr="00B607D1">
        <w:rPr>
          <w:sz w:val="22"/>
          <w:szCs w:val="22"/>
          <w:lang w:val="sk-SK"/>
        </w:rPr>
        <w:t>butylskopolamínium</w:t>
      </w:r>
      <w:r w:rsidR="00062B24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proofErr w:type="spellEnd"/>
      <w:r w:rsidRPr="00B607D1">
        <w:rPr>
          <w:sz w:val="22"/>
          <w:szCs w:val="22"/>
          <w:lang w:val="sk-SK"/>
        </w:rPr>
        <w:t xml:space="preserve"> vyskytnúť zvýšenie </w:t>
      </w:r>
      <w:proofErr w:type="spellStart"/>
      <w:r w:rsidRPr="00B607D1">
        <w:rPr>
          <w:sz w:val="22"/>
          <w:szCs w:val="22"/>
          <w:lang w:val="sk-SK"/>
        </w:rPr>
        <w:t>vnútroočného</w:t>
      </w:r>
      <w:proofErr w:type="spellEnd"/>
      <w:r w:rsidRPr="00B607D1">
        <w:rPr>
          <w:sz w:val="22"/>
          <w:szCs w:val="22"/>
          <w:lang w:val="sk-SK"/>
        </w:rPr>
        <w:t xml:space="preserve"> tlaku. Preto majú pacienti ihneď vyhľadať pomoc </w:t>
      </w:r>
      <w:proofErr w:type="spellStart"/>
      <w:r w:rsidRPr="00B607D1">
        <w:rPr>
          <w:sz w:val="22"/>
          <w:szCs w:val="22"/>
          <w:lang w:val="sk-SK"/>
        </w:rPr>
        <w:t>oftalmológa</w:t>
      </w:r>
      <w:proofErr w:type="spellEnd"/>
      <w:r w:rsidRPr="00B607D1">
        <w:rPr>
          <w:sz w:val="22"/>
          <w:szCs w:val="22"/>
          <w:lang w:val="sk-SK"/>
        </w:rPr>
        <w:t xml:space="preserve">, ak sa u nich po podaní </w:t>
      </w:r>
      <w:proofErr w:type="spellStart"/>
      <w:r w:rsidRPr="00B607D1">
        <w:rPr>
          <w:sz w:val="22"/>
          <w:szCs w:val="22"/>
          <w:lang w:val="sk-SK"/>
        </w:rPr>
        <w:t>butylskopolamínium</w:t>
      </w:r>
      <w:r w:rsidR="00062B24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r w:rsidR="00F45151">
        <w:rPr>
          <w:sz w:val="22"/>
          <w:szCs w:val="22"/>
          <w:lang w:val="sk-SK"/>
        </w:rPr>
        <w:t>u</w:t>
      </w:r>
      <w:proofErr w:type="spellEnd"/>
      <w:r w:rsidRPr="00B607D1">
        <w:rPr>
          <w:sz w:val="22"/>
          <w:szCs w:val="22"/>
          <w:lang w:val="sk-SK"/>
        </w:rPr>
        <w:t xml:space="preserve"> vyskytne bolesť alebo sčervenanie očí so stratou zraku.</w:t>
      </w:r>
    </w:p>
    <w:p w14:paraId="6AF1E6CB" w14:textId="77777777" w:rsidR="00F45151" w:rsidRDefault="00F45151" w:rsidP="00B607D1">
      <w:pPr>
        <w:rPr>
          <w:sz w:val="22"/>
          <w:szCs w:val="22"/>
          <w:lang w:val="sk-SK"/>
        </w:rPr>
      </w:pPr>
    </w:p>
    <w:p w14:paraId="5D2FE92A" w14:textId="55B42075" w:rsidR="00CB088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Po </w:t>
      </w:r>
      <w:proofErr w:type="spellStart"/>
      <w:r w:rsidRPr="00B607D1">
        <w:rPr>
          <w:sz w:val="22"/>
          <w:szCs w:val="22"/>
          <w:lang w:val="sk-SK"/>
        </w:rPr>
        <w:t>parenteráln</w:t>
      </w:r>
      <w:r w:rsidR="00F45151">
        <w:rPr>
          <w:sz w:val="22"/>
          <w:szCs w:val="22"/>
          <w:lang w:val="sk-SK"/>
        </w:rPr>
        <w:t>om</w:t>
      </w:r>
      <w:proofErr w:type="spellEnd"/>
      <w:r w:rsidR="00F45151">
        <w:rPr>
          <w:sz w:val="22"/>
          <w:szCs w:val="22"/>
          <w:lang w:val="sk-SK"/>
        </w:rPr>
        <w:t xml:space="preserve"> podaní</w:t>
      </w:r>
      <w:r w:rsidRPr="00B607D1">
        <w:rPr>
          <w:sz w:val="22"/>
          <w:szCs w:val="22"/>
          <w:lang w:val="sk-SK"/>
        </w:rPr>
        <w:t xml:space="preserve"> </w:t>
      </w:r>
      <w:proofErr w:type="spellStart"/>
      <w:r w:rsidR="00F45151">
        <w:rPr>
          <w:sz w:val="22"/>
          <w:szCs w:val="22"/>
          <w:lang w:val="sk-SK"/>
        </w:rPr>
        <w:t>b</w:t>
      </w:r>
      <w:r w:rsidR="00F45151" w:rsidRPr="00B607D1">
        <w:rPr>
          <w:sz w:val="22"/>
          <w:szCs w:val="22"/>
          <w:lang w:val="sk-SK"/>
        </w:rPr>
        <w:t>utylskopolamínium</w:t>
      </w:r>
      <w:r w:rsidR="00062B24">
        <w:rPr>
          <w:sz w:val="22"/>
          <w:szCs w:val="22"/>
          <w:lang w:val="sk-SK"/>
        </w:rPr>
        <w:t>-</w:t>
      </w:r>
      <w:r w:rsidR="00F45151" w:rsidRPr="00B607D1">
        <w:rPr>
          <w:sz w:val="22"/>
          <w:szCs w:val="22"/>
          <w:lang w:val="sk-SK"/>
        </w:rPr>
        <w:t>brom</w:t>
      </w:r>
      <w:r w:rsidR="00F45151">
        <w:rPr>
          <w:sz w:val="22"/>
          <w:szCs w:val="22"/>
          <w:lang w:val="sk-SK"/>
        </w:rPr>
        <w:t>idu</w:t>
      </w:r>
      <w:proofErr w:type="spellEnd"/>
      <w:r w:rsidR="00F45151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 xml:space="preserve">sa pozorovali prípady </w:t>
      </w:r>
      <w:proofErr w:type="spellStart"/>
      <w:r w:rsidRPr="00B607D1">
        <w:rPr>
          <w:sz w:val="22"/>
          <w:szCs w:val="22"/>
          <w:lang w:val="sk-SK"/>
        </w:rPr>
        <w:t>anafylaxie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r w:rsidR="00F45151">
        <w:rPr>
          <w:sz w:val="22"/>
          <w:szCs w:val="22"/>
          <w:lang w:val="sk-SK"/>
        </w:rPr>
        <w:t>vrátane</w:t>
      </w:r>
      <w:r w:rsidRPr="00B607D1">
        <w:rPr>
          <w:sz w:val="22"/>
          <w:szCs w:val="22"/>
          <w:lang w:val="sk-SK"/>
        </w:rPr>
        <w:t xml:space="preserve"> šok</w:t>
      </w:r>
      <w:r w:rsidR="009B344A">
        <w:rPr>
          <w:sz w:val="22"/>
          <w:szCs w:val="22"/>
          <w:lang w:val="sk-SK"/>
        </w:rPr>
        <w:t>u</w:t>
      </w:r>
      <w:r w:rsidRPr="00B607D1">
        <w:rPr>
          <w:sz w:val="22"/>
          <w:szCs w:val="22"/>
          <w:lang w:val="sk-SK"/>
        </w:rPr>
        <w:t xml:space="preserve">. </w:t>
      </w:r>
      <w:r w:rsidR="009B344A">
        <w:rPr>
          <w:sz w:val="22"/>
          <w:szCs w:val="22"/>
          <w:lang w:val="sk-SK"/>
        </w:rPr>
        <w:t>P</w:t>
      </w:r>
      <w:r w:rsidRPr="00B607D1">
        <w:rPr>
          <w:sz w:val="22"/>
          <w:szCs w:val="22"/>
          <w:lang w:val="sk-SK"/>
        </w:rPr>
        <w:t>acient</w:t>
      </w:r>
      <w:r w:rsidR="009B344A">
        <w:rPr>
          <w:sz w:val="22"/>
          <w:szCs w:val="22"/>
          <w:lang w:val="sk-SK"/>
        </w:rPr>
        <w:t>ov</w:t>
      </w:r>
      <w:r w:rsidRPr="00B607D1">
        <w:rPr>
          <w:sz w:val="22"/>
          <w:szCs w:val="22"/>
          <w:lang w:val="sk-SK"/>
        </w:rPr>
        <w:t xml:space="preserve">, ktorým sa podáva </w:t>
      </w:r>
      <w:proofErr w:type="spellStart"/>
      <w:r w:rsidR="009B344A">
        <w:rPr>
          <w:sz w:val="22"/>
          <w:szCs w:val="22"/>
          <w:lang w:val="sk-SK"/>
        </w:rPr>
        <w:t>b</w:t>
      </w:r>
      <w:r w:rsidR="009B344A" w:rsidRPr="00B607D1">
        <w:rPr>
          <w:sz w:val="22"/>
          <w:szCs w:val="22"/>
          <w:lang w:val="sk-SK"/>
        </w:rPr>
        <w:t>utylskopolamínium</w:t>
      </w:r>
      <w:r w:rsidR="00062B24">
        <w:rPr>
          <w:sz w:val="22"/>
          <w:szCs w:val="22"/>
          <w:lang w:val="sk-SK"/>
        </w:rPr>
        <w:t>-</w:t>
      </w:r>
      <w:r w:rsidR="009B344A" w:rsidRPr="00B607D1">
        <w:rPr>
          <w:sz w:val="22"/>
          <w:szCs w:val="22"/>
          <w:lang w:val="sk-SK"/>
        </w:rPr>
        <w:t>brom</w:t>
      </w:r>
      <w:r w:rsidR="009B344A">
        <w:rPr>
          <w:sz w:val="22"/>
          <w:szCs w:val="22"/>
          <w:lang w:val="sk-SK"/>
        </w:rPr>
        <w:t>id</w:t>
      </w:r>
      <w:proofErr w:type="spellEnd"/>
      <w:r w:rsidRPr="00B607D1">
        <w:rPr>
          <w:sz w:val="22"/>
          <w:szCs w:val="22"/>
          <w:lang w:val="sk-SK"/>
        </w:rPr>
        <w:t>, je potrebné sledovať.</w:t>
      </w:r>
    </w:p>
    <w:p w14:paraId="1210CDFF" w14:textId="77777777" w:rsidR="009B344A" w:rsidRPr="00B607D1" w:rsidRDefault="009B344A" w:rsidP="00B607D1">
      <w:pPr>
        <w:rPr>
          <w:sz w:val="22"/>
          <w:szCs w:val="22"/>
          <w:lang w:val="sk-SK"/>
        </w:rPr>
      </w:pPr>
    </w:p>
    <w:p w14:paraId="29BB6C08" w14:textId="7A4E1020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U pacientov </w:t>
      </w:r>
      <w:r w:rsidR="009B344A">
        <w:rPr>
          <w:sz w:val="22"/>
          <w:szCs w:val="22"/>
          <w:lang w:val="sk-SK"/>
        </w:rPr>
        <w:t xml:space="preserve">s kardiovaskulárnym </w:t>
      </w:r>
      <w:r w:rsidRPr="00B607D1">
        <w:rPr>
          <w:sz w:val="22"/>
          <w:szCs w:val="22"/>
          <w:lang w:val="sk-SK"/>
        </w:rPr>
        <w:t>ochoren</w:t>
      </w:r>
      <w:r w:rsidR="009B344A">
        <w:rPr>
          <w:sz w:val="22"/>
          <w:szCs w:val="22"/>
          <w:lang w:val="sk-SK"/>
        </w:rPr>
        <w:t xml:space="preserve">ím, ktorí sú liečení </w:t>
      </w:r>
      <w:proofErr w:type="spellStart"/>
      <w:r w:rsidR="009B344A">
        <w:rPr>
          <w:sz w:val="22"/>
          <w:szCs w:val="22"/>
          <w:lang w:val="sk-SK"/>
        </w:rPr>
        <w:t>butylskopolamínium</w:t>
      </w:r>
      <w:r w:rsidR="00062B24">
        <w:rPr>
          <w:sz w:val="22"/>
          <w:szCs w:val="22"/>
          <w:lang w:val="sk-SK"/>
        </w:rPr>
        <w:t>-</w:t>
      </w:r>
      <w:r w:rsidR="009B344A">
        <w:rPr>
          <w:sz w:val="22"/>
          <w:szCs w:val="22"/>
          <w:lang w:val="sk-SK"/>
        </w:rPr>
        <w:t>bromidom</w:t>
      </w:r>
      <w:proofErr w:type="spellEnd"/>
      <w:r w:rsidR="009B344A">
        <w:rPr>
          <w:sz w:val="22"/>
          <w:szCs w:val="22"/>
          <w:lang w:val="sk-SK"/>
        </w:rPr>
        <w:t xml:space="preserve"> </w:t>
      </w:r>
      <w:proofErr w:type="spellStart"/>
      <w:r w:rsidR="009B344A">
        <w:rPr>
          <w:sz w:val="22"/>
          <w:szCs w:val="22"/>
          <w:lang w:val="sk-SK"/>
        </w:rPr>
        <w:t>parenterálne</w:t>
      </w:r>
      <w:proofErr w:type="spellEnd"/>
      <w:r w:rsidR="009B344A">
        <w:rPr>
          <w:sz w:val="22"/>
          <w:szCs w:val="22"/>
          <w:lang w:val="sk-SK"/>
        </w:rPr>
        <w:t>,</w:t>
      </w:r>
      <w:r w:rsidRPr="00B607D1">
        <w:rPr>
          <w:sz w:val="22"/>
          <w:szCs w:val="22"/>
          <w:lang w:val="sk-SK"/>
        </w:rPr>
        <w:t xml:space="preserve"> je potrebná opatrnosť. Odporúča sa sledova</w:t>
      </w:r>
      <w:r w:rsidR="009B344A">
        <w:rPr>
          <w:sz w:val="22"/>
          <w:szCs w:val="22"/>
          <w:lang w:val="sk-SK"/>
        </w:rPr>
        <w:t>nie</w:t>
      </w:r>
      <w:r w:rsidRPr="00B607D1">
        <w:rPr>
          <w:sz w:val="22"/>
          <w:szCs w:val="22"/>
          <w:lang w:val="sk-SK"/>
        </w:rPr>
        <w:t xml:space="preserve"> týchto pacientov.</w:t>
      </w:r>
    </w:p>
    <w:p w14:paraId="162C31D2" w14:textId="77777777" w:rsidR="009B344A" w:rsidRDefault="009B344A" w:rsidP="00B607D1">
      <w:pPr>
        <w:rPr>
          <w:sz w:val="22"/>
          <w:szCs w:val="22"/>
          <w:lang w:val="sk-SK"/>
        </w:rPr>
      </w:pPr>
    </w:p>
    <w:p w14:paraId="388000A2" w14:textId="77777777" w:rsidR="00CB088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Tento liek obsahuje menej ako 1 mmol sodíka (23 mg) v jednej dávke, </w:t>
      </w:r>
      <w:proofErr w:type="spellStart"/>
      <w:r w:rsidRPr="00B607D1">
        <w:rPr>
          <w:sz w:val="22"/>
          <w:szCs w:val="22"/>
          <w:lang w:val="sk-SK"/>
        </w:rPr>
        <w:t>t.j</w:t>
      </w:r>
      <w:proofErr w:type="spellEnd"/>
      <w:r w:rsidRPr="00B607D1">
        <w:rPr>
          <w:sz w:val="22"/>
          <w:szCs w:val="22"/>
          <w:lang w:val="sk-SK"/>
        </w:rPr>
        <w:t>. v podstate zanedbateľné množstvo sodíka.</w:t>
      </w:r>
    </w:p>
    <w:p w14:paraId="21A51B4C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56150148" w14:textId="77777777" w:rsidR="00CB0881" w:rsidRPr="00B607D1" w:rsidRDefault="00B607D1" w:rsidP="009B344A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4.5</w:t>
      </w:r>
      <w:r w:rsidRPr="00B607D1">
        <w:rPr>
          <w:b/>
          <w:color w:val="000000"/>
          <w:sz w:val="22"/>
          <w:szCs w:val="22"/>
          <w:lang w:val="sk-SK"/>
        </w:rPr>
        <w:tab/>
        <w:t>Liekové a iné interakcie</w:t>
      </w:r>
    </w:p>
    <w:p w14:paraId="7EDF1CB7" w14:textId="77777777" w:rsidR="009B344A" w:rsidRDefault="009B344A" w:rsidP="00B607D1">
      <w:pPr>
        <w:rPr>
          <w:sz w:val="22"/>
          <w:szCs w:val="22"/>
          <w:lang w:val="sk-SK"/>
        </w:rPr>
      </w:pPr>
    </w:p>
    <w:p w14:paraId="505D9875" w14:textId="08EB84F0" w:rsidR="00CB0881" w:rsidRDefault="00B607D1" w:rsidP="00B607D1">
      <w:pPr>
        <w:rPr>
          <w:sz w:val="22"/>
          <w:szCs w:val="22"/>
          <w:lang w:val="sk-SK"/>
        </w:rPr>
      </w:pPr>
      <w:proofErr w:type="spellStart"/>
      <w:r w:rsidRPr="00B607D1">
        <w:rPr>
          <w:sz w:val="22"/>
          <w:szCs w:val="22"/>
          <w:lang w:val="sk-SK"/>
        </w:rPr>
        <w:t>Butylskopolamínium</w:t>
      </w:r>
      <w:r w:rsidR="00BA34CF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proofErr w:type="spellEnd"/>
      <w:r w:rsidRPr="00B607D1">
        <w:rPr>
          <w:sz w:val="22"/>
          <w:szCs w:val="22"/>
          <w:lang w:val="sk-SK"/>
        </w:rPr>
        <w:t xml:space="preserve"> môže zvyšovať </w:t>
      </w:r>
      <w:proofErr w:type="spellStart"/>
      <w:r w:rsidRPr="00B607D1">
        <w:rPr>
          <w:sz w:val="22"/>
          <w:szCs w:val="22"/>
          <w:lang w:val="sk-SK"/>
        </w:rPr>
        <w:t>antichol</w:t>
      </w:r>
      <w:r w:rsidR="00BA34CF">
        <w:rPr>
          <w:sz w:val="22"/>
          <w:szCs w:val="22"/>
          <w:lang w:val="sk-SK"/>
        </w:rPr>
        <w:t>inergický</w:t>
      </w:r>
      <w:proofErr w:type="spellEnd"/>
      <w:r w:rsidRPr="00B607D1">
        <w:rPr>
          <w:sz w:val="22"/>
          <w:szCs w:val="22"/>
          <w:lang w:val="sk-SK"/>
        </w:rPr>
        <w:t xml:space="preserve"> účinok liekov ako sú tri- </w:t>
      </w:r>
      <w:r w:rsidR="005C08BB" w:rsidRPr="00B607D1">
        <w:rPr>
          <w:sz w:val="22"/>
          <w:szCs w:val="22"/>
          <w:lang w:val="sk-SK"/>
        </w:rPr>
        <w:t>a</w:t>
      </w:r>
      <w:r w:rsidR="005C08BB">
        <w:rPr>
          <w:sz w:val="22"/>
          <w:szCs w:val="22"/>
          <w:lang w:val="sk-SK"/>
        </w:rPr>
        <w:t> </w:t>
      </w:r>
      <w:proofErr w:type="spellStart"/>
      <w:r w:rsidRPr="00B607D1">
        <w:rPr>
          <w:sz w:val="22"/>
          <w:szCs w:val="22"/>
          <w:lang w:val="sk-SK"/>
        </w:rPr>
        <w:t>tetracyklické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antidepresíva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antihistaminiká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antipsychotiká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chinidín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="009B344A" w:rsidRPr="00B607D1">
        <w:rPr>
          <w:sz w:val="22"/>
          <w:szCs w:val="22"/>
          <w:lang w:val="sk-SK"/>
        </w:rPr>
        <w:t>disopyramid</w:t>
      </w:r>
      <w:proofErr w:type="spellEnd"/>
      <w:r w:rsidR="009B344A">
        <w:rPr>
          <w:sz w:val="22"/>
          <w:szCs w:val="22"/>
          <w:lang w:val="sk-SK"/>
        </w:rPr>
        <w:t>,</w:t>
      </w:r>
      <w:r w:rsidR="009B344A"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amantadín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r w:rsidR="005C08BB" w:rsidRPr="00B607D1">
        <w:rPr>
          <w:sz w:val="22"/>
          <w:szCs w:val="22"/>
          <w:lang w:val="sk-SK"/>
        </w:rPr>
        <w:t>a</w:t>
      </w:r>
      <w:r w:rsidR="005C08BB">
        <w:rPr>
          <w:sz w:val="22"/>
          <w:szCs w:val="22"/>
          <w:lang w:val="sk-SK"/>
        </w:rPr>
        <w:t> </w:t>
      </w:r>
      <w:r w:rsidRPr="00B607D1">
        <w:rPr>
          <w:sz w:val="22"/>
          <w:szCs w:val="22"/>
          <w:lang w:val="sk-SK"/>
        </w:rPr>
        <w:t xml:space="preserve">ďalšie </w:t>
      </w:r>
      <w:proofErr w:type="spellStart"/>
      <w:r w:rsidRPr="00B607D1">
        <w:rPr>
          <w:sz w:val="22"/>
          <w:szCs w:val="22"/>
          <w:lang w:val="sk-SK"/>
        </w:rPr>
        <w:t>antichol</w:t>
      </w:r>
      <w:r w:rsidR="00BA34CF">
        <w:rPr>
          <w:sz w:val="22"/>
          <w:szCs w:val="22"/>
          <w:lang w:val="sk-SK"/>
        </w:rPr>
        <w:t>i</w:t>
      </w:r>
      <w:r w:rsidRPr="00B607D1">
        <w:rPr>
          <w:sz w:val="22"/>
          <w:szCs w:val="22"/>
          <w:lang w:val="sk-SK"/>
        </w:rPr>
        <w:t>nergiká</w:t>
      </w:r>
      <w:proofErr w:type="spellEnd"/>
      <w:r w:rsidRPr="00B607D1">
        <w:rPr>
          <w:sz w:val="22"/>
          <w:szCs w:val="22"/>
          <w:lang w:val="sk-SK"/>
        </w:rPr>
        <w:t xml:space="preserve"> (napr. </w:t>
      </w:r>
      <w:proofErr w:type="spellStart"/>
      <w:r w:rsidRPr="00B607D1">
        <w:rPr>
          <w:sz w:val="22"/>
          <w:szCs w:val="22"/>
          <w:lang w:val="sk-SK"/>
        </w:rPr>
        <w:t>tiotr</w:t>
      </w:r>
      <w:r w:rsidR="008C5AF2">
        <w:rPr>
          <w:sz w:val="22"/>
          <w:szCs w:val="22"/>
          <w:lang w:val="sk-SK"/>
        </w:rPr>
        <w:t>ó</w:t>
      </w:r>
      <w:r w:rsidRPr="00B607D1">
        <w:rPr>
          <w:sz w:val="22"/>
          <w:szCs w:val="22"/>
          <w:lang w:val="sk-SK"/>
        </w:rPr>
        <w:t>pium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ipratr</w:t>
      </w:r>
      <w:r w:rsidR="008C5AF2">
        <w:rPr>
          <w:sz w:val="22"/>
          <w:szCs w:val="22"/>
          <w:lang w:val="sk-SK"/>
        </w:rPr>
        <w:t>ó</w:t>
      </w:r>
      <w:r w:rsidRPr="00B607D1">
        <w:rPr>
          <w:sz w:val="22"/>
          <w:szCs w:val="22"/>
          <w:lang w:val="sk-SK"/>
        </w:rPr>
        <w:t>pium</w:t>
      </w:r>
      <w:proofErr w:type="spellEnd"/>
      <w:r w:rsidRPr="00B607D1">
        <w:rPr>
          <w:sz w:val="22"/>
          <w:szCs w:val="22"/>
          <w:lang w:val="sk-SK"/>
        </w:rPr>
        <w:t>, látky podobné atropínu).</w:t>
      </w:r>
    </w:p>
    <w:p w14:paraId="31AEA3A3" w14:textId="77777777" w:rsidR="009B344A" w:rsidRPr="00B607D1" w:rsidRDefault="009B344A" w:rsidP="00B607D1">
      <w:pPr>
        <w:rPr>
          <w:sz w:val="22"/>
          <w:szCs w:val="22"/>
          <w:lang w:val="sk-SK"/>
        </w:rPr>
      </w:pPr>
    </w:p>
    <w:p w14:paraId="13C8639B" w14:textId="77777777" w:rsidR="00CB088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Súbežná liečba </w:t>
      </w:r>
      <w:r w:rsidR="009B344A">
        <w:rPr>
          <w:sz w:val="22"/>
          <w:szCs w:val="22"/>
          <w:lang w:val="sk-SK"/>
        </w:rPr>
        <w:t xml:space="preserve">s </w:t>
      </w:r>
      <w:r w:rsidRPr="00B607D1">
        <w:rPr>
          <w:sz w:val="22"/>
          <w:szCs w:val="22"/>
          <w:lang w:val="sk-SK"/>
        </w:rPr>
        <w:t xml:space="preserve">antagonistami </w:t>
      </w:r>
      <w:proofErr w:type="spellStart"/>
      <w:r w:rsidRPr="00B607D1">
        <w:rPr>
          <w:sz w:val="22"/>
          <w:szCs w:val="22"/>
          <w:lang w:val="sk-SK"/>
        </w:rPr>
        <w:t>dopamínu</w:t>
      </w:r>
      <w:proofErr w:type="spellEnd"/>
      <w:r w:rsidRPr="00B607D1">
        <w:rPr>
          <w:sz w:val="22"/>
          <w:szCs w:val="22"/>
          <w:lang w:val="sk-SK"/>
        </w:rPr>
        <w:t xml:space="preserve">, ako napr. </w:t>
      </w:r>
      <w:proofErr w:type="spellStart"/>
      <w:r w:rsidRPr="00B607D1">
        <w:rPr>
          <w:sz w:val="22"/>
          <w:szCs w:val="22"/>
          <w:lang w:val="sk-SK"/>
        </w:rPr>
        <w:t>metoklopramid</w:t>
      </w:r>
      <w:proofErr w:type="spellEnd"/>
      <w:r w:rsidRPr="00B607D1">
        <w:rPr>
          <w:sz w:val="22"/>
          <w:szCs w:val="22"/>
          <w:lang w:val="sk-SK"/>
        </w:rPr>
        <w:t xml:space="preserve">, môže viesť k zníženiu účinku oboch týchto liečiv na </w:t>
      </w:r>
      <w:proofErr w:type="spellStart"/>
      <w:r w:rsidRPr="00B607D1">
        <w:rPr>
          <w:sz w:val="22"/>
          <w:szCs w:val="22"/>
          <w:lang w:val="sk-SK"/>
        </w:rPr>
        <w:t>gastrointestinálny</w:t>
      </w:r>
      <w:proofErr w:type="spellEnd"/>
      <w:r w:rsidRPr="00B607D1">
        <w:rPr>
          <w:sz w:val="22"/>
          <w:szCs w:val="22"/>
          <w:lang w:val="sk-SK"/>
        </w:rPr>
        <w:t xml:space="preserve"> trakt.</w:t>
      </w:r>
    </w:p>
    <w:p w14:paraId="09A1FE6A" w14:textId="77777777" w:rsidR="009B344A" w:rsidRPr="00B607D1" w:rsidRDefault="009B344A" w:rsidP="00B607D1">
      <w:pPr>
        <w:rPr>
          <w:sz w:val="22"/>
          <w:szCs w:val="22"/>
          <w:lang w:val="sk-SK"/>
        </w:rPr>
      </w:pPr>
    </w:p>
    <w:p w14:paraId="26A9D877" w14:textId="4E57A70E" w:rsidR="00CB0881" w:rsidRPr="00B607D1" w:rsidRDefault="009B344A" w:rsidP="00B607D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Butylskopolamínium</w:t>
      </w:r>
      <w:r w:rsidR="00D9296C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bromid</w:t>
      </w:r>
      <w:proofErr w:type="spellEnd"/>
      <w:r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 xml:space="preserve">môže zvyšovať </w:t>
      </w:r>
      <w:proofErr w:type="spellStart"/>
      <w:r w:rsidR="00B607D1" w:rsidRPr="00B607D1">
        <w:rPr>
          <w:sz w:val="22"/>
          <w:szCs w:val="22"/>
          <w:lang w:val="sk-SK"/>
        </w:rPr>
        <w:t>tachykardick</w:t>
      </w:r>
      <w:r>
        <w:rPr>
          <w:sz w:val="22"/>
          <w:szCs w:val="22"/>
          <w:lang w:val="sk-SK"/>
        </w:rPr>
        <w:t>é</w:t>
      </w:r>
      <w:proofErr w:type="spellEnd"/>
      <w:r w:rsidR="00B607D1" w:rsidRPr="00B607D1">
        <w:rPr>
          <w:sz w:val="22"/>
          <w:szCs w:val="22"/>
          <w:lang w:val="sk-SK"/>
        </w:rPr>
        <w:t xml:space="preserve"> účin</w:t>
      </w:r>
      <w:r>
        <w:rPr>
          <w:sz w:val="22"/>
          <w:szCs w:val="22"/>
          <w:lang w:val="sk-SK"/>
        </w:rPr>
        <w:t>ky</w:t>
      </w:r>
      <w:r w:rsidR="00B607D1" w:rsidRPr="00B607D1">
        <w:rPr>
          <w:sz w:val="22"/>
          <w:szCs w:val="22"/>
          <w:lang w:val="sk-SK"/>
        </w:rPr>
        <w:t xml:space="preserve"> beta</w:t>
      </w:r>
      <w:r w:rsidR="00D9296C">
        <w:rPr>
          <w:sz w:val="22"/>
          <w:szCs w:val="22"/>
          <w:lang w:val="sk-SK"/>
        </w:rPr>
        <w:t>-</w:t>
      </w:r>
      <w:proofErr w:type="spellStart"/>
      <w:r w:rsidR="00B607D1" w:rsidRPr="00B607D1">
        <w:rPr>
          <w:sz w:val="22"/>
          <w:szCs w:val="22"/>
          <w:lang w:val="sk-SK"/>
        </w:rPr>
        <w:t>adrenerg</w:t>
      </w:r>
      <w:r w:rsidR="00D9296C">
        <w:rPr>
          <w:sz w:val="22"/>
          <w:szCs w:val="22"/>
          <w:lang w:val="sk-SK"/>
        </w:rPr>
        <w:t>ických</w:t>
      </w:r>
      <w:proofErr w:type="spellEnd"/>
      <w:r w:rsidR="00D9296C">
        <w:rPr>
          <w:sz w:val="22"/>
          <w:szCs w:val="22"/>
          <w:lang w:val="sk-SK"/>
        </w:rPr>
        <w:t xml:space="preserve"> liečiv.</w:t>
      </w:r>
    </w:p>
    <w:p w14:paraId="5CE20A4C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66B1E0DF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4.6</w:t>
      </w:r>
      <w:r w:rsidRPr="00B607D1">
        <w:rPr>
          <w:b/>
          <w:color w:val="000000"/>
          <w:sz w:val="22"/>
          <w:szCs w:val="22"/>
          <w:lang w:val="sk-SK"/>
        </w:rPr>
        <w:tab/>
      </w:r>
      <w:proofErr w:type="spellStart"/>
      <w:r w:rsidRPr="00B607D1">
        <w:rPr>
          <w:b/>
          <w:color w:val="000000"/>
          <w:sz w:val="22"/>
          <w:szCs w:val="22"/>
          <w:lang w:val="sk-SK"/>
        </w:rPr>
        <w:t>Fertilita</w:t>
      </w:r>
      <w:proofErr w:type="spellEnd"/>
      <w:r w:rsidRPr="00B607D1">
        <w:rPr>
          <w:b/>
          <w:color w:val="000000"/>
          <w:sz w:val="22"/>
          <w:szCs w:val="22"/>
          <w:lang w:val="sk-SK"/>
        </w:rPr>
        <w:t>, gravidita a laktácia</w:t>
      </w:r>
    </w:p>
    <w:p w14:paraId="510CADFE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6E7BC116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Gravidita</w:t>
      </w:r>
    </w:p>
    <w:p w14:paraId="1CAB64B4" w14:textId="6E5F1385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O použití </w:t>
      </w:r>
      <w:proofErr w:type="spellStart"/>
      <w:r w:rsidRPr="00B607D1">
        <w:rPr>
          <w:sz w:val="22"/>
          <w:szCs w:val="22"/>
          <w:lang w:val="sk-SK"/>
        </w:rPr>
        <w:t>butylskopolamínium</w:t>
      </w:r>
      <w:r w:rsidR="004C7551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bromidu</w:t>
      </w:r>
      <w:proofErr w:type="spellEnd"/>
      <w:r w:rsidRPr="00B607D1">
        <w:rPr>
          <w:sz w:val="22"/>
          <w:szCs w:val="22"/>
          <w:lang w:val="sk-SK"/>
        </w:rPr>
        <w:t xml:space="preserve"> u gravidných žien existujú obmedzené údaje. Štúdie na zvieratách z hľadiska reprodukčnej toxicity nie sú dostatočné (pozri časť 5.3). </w:t>
      </w:r>
    </w:p>
    <w:p w14:paraId="7642FCAB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02E41D91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Dojčenie</w:t>
      </w:r>
    </w:p>
    <w:p w14:paraId="044EF775" w14:textId="13B0A2F3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Nie je dostatok informácií o vylučovaní </w:t>
      </w:r>
      <w:proofErr w:type="spellStart"/>
      <w:r w:rsidRPr="00B607D1">
        <w:rPr>
          <w:sz w:val="22"/>
          <w:szCs w:val="22"/>
          <w:lang w:val="sk-SK"/>
        </w:rPr>
        <w:t>butylskopolamínium</w:t>
      </w:r>
      <w:r w:rsidR="004C7551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bromidu</w:t>
      </w:r>
      <w:proofErr w:type="spellEnd"/>
      <w:r w:rsidRPr="00B607D1">
        <w:rPr>
          <w:sz w:val="22"/>
          <w:szCs w:val="22"/>
          <w:lang w:val="sk-SK"/>
        </w:rPr>
        <w:t xml:space="preserve"> a jeho </w:t>
      </w:r>
      <w:proofErr w:type="spellStart"/>
      <w:r w:rsidRPr="00B607D1">
        <w:rPr>
          <w:sz w:val="22"/>
          <w:szCs w:val="22"/>
          <w:lang w:val="sk-SK"/>
        </w:rPr>
        <w:t>metabolitov</w:t>
      </w:r>
      <w:proofErr w:type="spellEnd"/>
      <w:r w:rsidRPr="00B607D1">
        <w:rPr>
          <w:sz w:val="22"/>
          <w:szCs w:val="22"/>
          <w:lang w:val="sk-SK"/>
        </w:rPr>
        <w:t xml:space="preserve"> do materského mlieka. </w:t>
      </w:r>
      <w:r w:rsidR="00AA2DC8">
        <w:rPr>
          <w:sz w:val="22"/>
          <w:szCs w:val="22"/>
          <w:lang w:val="sk-SK"/>
        </w:rPr>
        <w:t xml:space="preserve">Použitie </w:t>
      </w:r>
      <w:proofErr w:type="spellStart"/>
      <w:r w:rsidR="00AA2DC8">
        <w:rPr>
          <w:sz w:val="22"/>
          <w:szCs w:val="22"/>
          <w:lang w:val="sk-SK"/>
        </w:rPr>
        <w:t>butylskopolamínium</w:t>
      </w:r>
      <w:r w:rsidR="004C7551">
        <w:rPr>
          <w:sz w:val="22"/>
          <w:szCs w:val="22"/>
          <w:lang w:val="sk-SK"/>
        </w:rPr>
        <w:t>-</w:t>
      </w:r>
      <w:r w:rsidR="00AA2DC8">
        <w:rPr>
          <w:sz w:val="22"/>
          <w:szCs w:val="22"/>
          <w:lang w:val="sk-SK"/>
        </w:rPr>
        <w:t>bromidu</w:t>
      </w:r>
      <w:proofErr w:type="spellEnd"/>
      <w:r w:rsidRPr="00B607D1">
        <w:rPr>
          <w:sz w:val="22"/>
          <w:szCs w:val="22"/>
          <w:lang w:val="sk-SK"/>
        </w:rPr>
        <w:t xml:space="preserve"> počas dojčenia</w:t>
      </w:r>
      <w:r w:rsidR="00AA2DC8">
        <w:rPr>
          <w:sz w:val="22"/>
          <w:szCs w:val="22"/>
          <w:lang w:val="sk-SK"/>
        </w:rPr>
        <w:t xml:space="preserve"> nie je odporúčané.</w:t>
      </w:r>
    </w:p>
    <w:p w14:paraId="6477E453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667F240D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proofErr w:type="spellStart"/>
      <w:r w:rsidRPr="00B607D1">
        <w:rPr>
          <w:sz w:val="22"/>
          <w:szCs w:val="22"/>
          <w:u w:val="single"/>
          <w:lang w:val="sk-SK"/>
        </w:rPr>
        <w:t>Fertilita</w:t>
      </w:r>
      <w:proofErr w:type="spellEnd"/>
    </w:p>
    <w:p w14:paraId="3696E475" w14:textId="7A67F61A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Neuskutočnili sa žiadne štúdie o </w:t>
      </w:r>
      <w:r w:rsidR="00FE3373">
        <w:rPr>
          <w:sz w:val="22"/>
          <w:szCs w:val="22"/>
          <w:lang w:val="sk-SK"/>
        </w:rPr>
        <w:t>účinkoch</w:t>
      </w:r>
      <w:r w:rsidRPr="00B607D1">
        <w:rPr>
          <w:sz w:val="22"/>
          <w:szCs w:val="22"/>
          <w:lang w:val="sk-SK"/>
        </w:rPr>
        <w:t xml:space="preserve"> na </w:t>
      </w:r>
      <w:proofErr w:type="spellStart"/>
      <w:r w:rsidRPr="00B607D1">
        <w:rPr>
          <w:sz w:val="22"/>
          <w:szCs w:val="22"/>
          <w:lang w:val="sk-SK"/>
        </w:rPr>
        <w:t>fertilitu</w:t>
      </w:r>
      <w:proofErr w:type="spellEnd"/>
      <w:r w:rsidRPr="00B607D1">
        <w:rPr>
          <w:sz w:val="22"/>
          <w:szCs w:val="22"/>
          <w:lang w:val="sk-SK"/>
        </w:rPr>
        <w:t xml:space="preserve"> u ľudí.</w:t>
      </w:r>
    </w:p>
    <w:p w14:paraId="55C73F42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57D2B040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4.7</w:t>
      </w:r>
      <w:r w:rsidRPr="00B607D1">
        <w:rPr>
          <w:b/>
          <w:color w:val="000000"/>
          <w:sz w:val="22"/>
          <w:szCs w:val="22"/>
          <w:lang w:val="sk-SK"/>
        </w:rPr>
        <w:tab/>
        <w:t>Ovplyvnenie schopnosti viesť vozidlá a obsluhovať stroje</w:t>
      </w:r>
    </w:p>
    <w:p w14:paraId="4E19F74A" w14:textId="77777777" w:rsidR="005C08BB" w:rsidRDefault="005C08BB" w:rsidP="00B607D1">
      <w:pPr>
        <w:rPr>
          <w:sz w:val="22"/>
          <w:szCs w:val="22"/>
          <w:lang w:val="sk-SK"/>
        </w:rPr>
      </w:pPr>
    </w:p>
    <w:p w14:paraId="18875373" w14:textId="13B6279A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lastRenderedPageBreak/>
        <w:t xml:space="preserve">Neuskutočnili sa žiadne štúdie o účinkoch na schopnosť viesť vozidlá a obsluhovať stroje. Pacientov je potrebné upozorniť, že počas liečby </w:t>
      </w:r>
      <w:proofErr w:type="spellStart"/>
      <w:r w:rsidRPr="00B607D1">
        <w:rPr>
          <w:sz w:val="22"/>
          <w:szCs w:val="22"/>
          <w:lang w:val="sk-SK"/>
        </w:rPr>
        <w:t>butylskopolamínium</w:t>
      </w:r>
      <w:r w:rsidR="00FE3373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bromidom</w:t>
      </w:r>
      <w:proofErr w:type="spellEnd"/>
      <w:r w:rsidRPr="00B607D1">
        <w:rPr>
          <w:sz w:val="22"/>
          <w:szCs w:val="22"/>
          <w:lang w:val="sk-SK"/>
        </w:rPr>
        <w:t xml:space="preserve"> môžu pociťovať nežiaduce účinky, ako napr. poruchy akomodácie alebo závrat. Preto sa odporúča opatrnosť pri vedení vozidiel a</w:t>
      </w:r>
      <w:r w:rsidR="00FE3373">
        <w:rPr>
          <w:sz w:val="22"/>
          <w:szCs w:val="22"/>
          <w:lang w:val="sk-SK"/>
        </w:rPr>
        <w:t>lebo</w:t>
      </w:r>
      <w:r w:rsidR="00AA2DC8">
        <w:rPr>
          <w:sz w:val="22"/>
          <w:szCs w:val="22"/>
          <w:lang w:val="sk-SK"/>
        </w:rPr>
        <w:t> </w:t>
      </w:r>
      <w:r w:rsidRPr="00B607D1">
        <w:rPr>
          <w:sz w:val="22"/>
          <w:szCs w:val="22"/>
          <w:lang w:val="sk-SK"/>
        </w:rPr>
        <w:t xml:space="preserve">obsluhe strojov. Ak pacienti pocítia </w:t>
      </w:r>
      <w:r w:rsidR="00AA2DC8">
        <w:rPr>
          <w:sz w:val="22"/>
          <w:szCs w:val="22"/>
          <w:lang w:val="sk-SK"/>
        </w:rPr>
        <w:t>tieto nežiadúce účinky</w:t>
      </w:r>
      <w:r w:rsidRPr="00B607D1">
        <w:rPr>
          <w:sz w:val="22"/>
          <w:szCs w:val="22"/>
          <w:lang w:val="sk-SK"/>
        </w:rPr>
        <w:t>, majú sa vyhnúť potenciálne nebezpečným činnostiam ako je vedenie vozidiel a</w:t>
      </w:r>
      <w:r w:rsidR="00FE3373">
        <w:rPr>
          <w:sz w:val="22"/>
          <w:szCs w:val="22"/>
          <w:lang w:val="sk-SK"/>
        </w:rPr>
        <w:t>lebo</w:t>
      </w:r>
      <w:r w:rsidRPr="00B607D1">
        <w:rPr>
          <w:sz w:val="22"/>
          <w:szCs w:val="22"/>
          <w:lang w:val="sk-SK"/>
        </w:rPr>
        <w:t xml:space="preserve"> obsluha strojov.</w:t>
      </w:r>
    </w:p>
    <w:p w14:paraId="1A993174" w14:textId="77777777" w:rsidR="00CB0881" w:rsidRPr="00B607D1" w:rsidRDefault="00CB0881" w:rsidP="00AA2D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020AFE58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4.8</w:t>
      </w:r>
      <w:r w:rsidRPr="00B607D1">
        <w:rPr>
          <w:b/>
          <w:color w:val="000000"/>
          <w:sz w:val="22"/>
          <w:szCs w:val="22"/>
          <w:lang w:val="sk-SK"/>
        </w:rPr>
        <w:tab/>
        <w:t>Nežiaduce účinky</w:t>
      </w:r>
    </w:p>
    <w:p w14:paraId="7ACC2937" w14:textId="77777777" w:rsidR="00CB0881" w:rsidRPr="00B607D1" w:rsidRDefault="00CB0881" w:rsidP="00AA2DC8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05562C7B" w14:textId="6B47F5E8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Mnohé z uvedených nežiaducich účinkov môžu byť spôsobené </w:t>
      </w:r>
      <w:proofErr w:type="spellStart"/>
      <w:r w:rsidRPr="00B607D1">
        <w:rPr>
          <w:sz w:val="22"/>
          <w:szCs w:val="22"/>
          <w:lang w:val="sk-SK"/>
        </w:rPr>
        <w:t>anticholinerg</w:t>
      </w:r>
      <w:r w:rsidR="00FC452B">
        <w:rPr>
          <w:sz w:val="22"/>
          <w:szCs w:val="22"/>
          <w:lang w:val="sk-SK"/>
        </w:rPr>
        <w:t>ickými</w:t>
      </w:r>
      <w:proofErr w:type="spellEnd"/>
      <w:r w:rsidRPr="00B607D1">
        <w:rPr>
          <w:sz w:val="22"/>
          <w:szCs w:val="22"/>
          <w:lang w:val="sk-SK"/>
        </w:rPr>
        <w:t xml:space="preserve"> vlastnosťami </w:t>
      </w:r>
      <w:proofErr w:type="spellStart"/>
      <w:r w:rsidR="00AA2DC8">
        <w:rPr>
          <w:sz w:val="22"/>
          <w:szCs w:val="22"/>
          <w:lang w:val="sk-SK"/>
        </w:rPr>
        <w:t>butylskopolamínium</w:t>
      </w:r>
      <w:r w:rsidR="00FC452B">
        <w:rPr>
          <w:sz w:val="22"/>
          <w:szCs w:val="22"/>
          <w:lang w:val="sk-SK"/>
        </w:rPr>
        <w:t>-</w:t>
      </w:r>
      <w:r w:rsidR="00AA2DC8">
        <w:rPr>
          <w:sz w:val="22"/>
          <w:szCs w:val="22"/>
          <w:lang w:val="sk-SK"/>
        </w:rPr>
        <w:t>bromidu</w:t>
      </w:r>
      <w:proofErr w:type="spellEnd"/>
      <w:r w:rsidRPr="00B607D1">
        <w:rPr>
          <w:sz w:val="22"/>
          <w:szCs w:val="22"/>
          <w:lang w:val="sk-SK"/>
        </w:rPr>
        <w:t xml:space="preserve">. </w:t>
      </w:r>
      <w:proofErr w:type="spellStart"/>
      <w:r w:rsidRPr="00B607D1">
        <w:rPr>
          <w:sz w:val="22"/>
          <w:szCs w:val="22"/>
          <w:lang w:val="sk-SK"/>
        </w:rPr>
        <w:t>Anticholinerg</w:t>
      </w:r>
      <w:r w:rsidR="00FC452B">
        <w:rPr>
          <w:sz w:val="22"/>
          <w:szCs w:val="22"/>
          <w:lang w:val="sk-SK"/>
        </w:rPr>
        <w:t>ické</w:t>
      </w:r>
      <w:proofErr w:type="spellEnd"/>
      <w:r w:rsidRPr="00B607D1">
        <w:rPr>
          <w:sz w:val="22"/>
          <w:szCs w:val="22"/>
          <w:lang w:val="sk-SK"/>
        </w:rPr>
        <w:t xml:space="preserve"> vedľajšie účinky </w:t>
      </w:r>
      <w:proofErr w:type="spellStart"/>
      <w:r w:rsidR="00AA2DC8">
        <w:rPr>
          <w:sz w:val="22"/>
          <w:szCs w:val="22"/>
          <w:lang w:val="sk-SK"/>
        </w:rPr>
        <w:t>butylskopolamínium</w:t>
      </w:r>
      <w:r w:rsidR="00FC452B">
        <w:rPr>
          <w:sz w:val="22"/>
          <w:szCs w:val="22"/>
          <w:lang w:val="sk-SK"/>
        </w:rPr>
        <w:t>-</w:t>
      </w:r>
      <w:r w:rsidR="00AA2DC8">
        <w:rPr>
          <w:sz w:val="22"/>
          <w:szCs w:val="22"/>
          <w:lang w:val="sk-SK"/>
        </w:rPr>
        <w:t>bromidu</w:t>
      </w:r>
      <w:proofErr w:type="spellEnd"/>
      <w:r w:rsidRPr="00B607D1">
        <w:rPr>
          <w:sz w:val="22"/>
          <w:szCs w:val="22"/>
          <w:lang w:val="sk-SK"/>
        </w:rPr>
        <w:t xml:space="preserve"> sú zvyčajne mierne a </w:t>
      </w:r>
      <w:r w:rsidR="00AA2DC8">
        <w:rPr>
          <w:sz w:val="22"/>
          <w:szCs w:val="22"/>
          <w:lang w:val="sk-SK"/>
        </w:rPr>
        <w:t>prechodn</w:t>
      </w:r>
      <w:r w:rsidRPr="00B607D1">
        <w:rPr>
          <w:sz w:val="22"/>
          <w:szCs w:val="22"/>
          <w:lang w:val="sk-SK"/>
        </w:rPr>
        <w:t>é.</w:t>
      </w:r>
    </w:p>
    <w:p w14:paraId="55F51AB6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370EA284" w14:textId="0B304142" w:rsidR="00AA2DC8" w:rsidRDefault="00AA2DC8" w:rsidP="00B607D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Nežiaduce účinky sú zoradené podľa tried orgánových systémov </w:t>
      </w:r>
      <w:proofErr w:type="spellStart"/>
      <w:r>
        <w:rPr>
          <w:sz w:val="22"/>
          <w:szCs w:val="22"/>
          <w:lang w:val="sk-SK"/>
        </w:rPr>
        <w:t>MedDRA</w:t>
      </w:r>
      <w:proofErr w:type="spellEnd"/>
      <w:r>
        <w:rPr>
          <w:sz w:val="22"/>
          <w:szCs w:val="22"/>
          <w:lang w:val="sk-SK"/>
        </w:rPr>
        <w:t xml:space="preserve"> </w:t>
      </w:r>
      <w:r w:rsidR="002963C2">
        <w:rPr>
          <w:sz w:val="22"/>
          <w:szCs w:val="22"/>
          <w:lang w:val="sk-SK"/>
        </w:rPr>
        <w:t>podľa</w:t>
      </w:r>
      <w:r>
        <w:rPr>
          <w:sz w:val="22"/>
          <w:szCs w:val="22"/>
          <w:lang w:val="sk-SK"/>
        </w:rPr>
        <w:t xml:space="preserve"> nasledujúcej konvencie</w:t>
      </w:r>
      <w:r w:rsidR="002963C2">
        <w:rPr>
          <w:sz w:val="22"/>
          <w:szCs w:val="22"/>
          <w:lang w:val="sk-SK"/>
        </w:rPr>
        <w:t xml:space="preserve"> častosti</w:t>
      </w:r>
      <w:r>
        <w:rPr>
          <w:sz w:val="22"/>
          <w:szCs w:val="22"/>
          <w:lang w:val="sk-SK"/>
        </w:rPr>
        <w:t>:</w:t>
      </w:r>
    </w:p>
    <w:p w14:paraId="477D7918" w14:textId="77777777" w:rsidR="00CB0881" w:rsidRPr="00B607D1" w:rsidRDefault="00AA2DC8" w:rsidP="00204A0C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B607D1" w:rsidRPr="00B607D1">
        <w:rPr>
          <w:sz w:val="22"/>
          <w:szCs w:val="22"/>
          <w:lang w:val="sk-SK"/>
        </w:rPr>
        <w:t>eľmi časté</w:t>
      </w:r>
      <w:r w:rsidR="00B607D1" w:rsidRPr="00B607D1">
        <w:rPr>
          <w:sz w:val="22"/>
          <w:szCs w:val="22"/>
          <w:lang w:val="sk-SK"/>
        </w:rPr>
        <w:tab/>
        <w:t>≥ 1/10</w:t>
      </w:r>
    </w:p>
    <w:p w14:paraId="339B7113" w14:textId="77777777" w:rsidR="00CB0881" w:rsidRPr="00B607D1" w:rsidRDefault="00AA2DC8" w:rsidP="00204A0C">
      <w:pPr>
        <w:tabs>
          <w:tab w:val="left" w:pos="1701"/>
          <w:tab w:val="right" w:pos="212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B607D1" w:rsidRPr="00B607D1">
        <w:rPr>
          <w:sz w:val="22"/>
          <w:szCs w:val="22"/>
          <w:lang w:val="sk-SK"/>
        </w:rPr>
        <w:t>asté</w:t>
      </w:r>
      <w:r w:rsidR="00B607D1" w:rsidRPr="00B607D1">
        <w:rPr>
          <w:sz w:val="22"/>
          <w:szCs w:val="22"/>
          <w:lang w:val="sk-SK"/>
        </w:rPr>
        <w:tab/>
      </w:r>
      <w:r w:rsidR="00B607D1" w:rsidRPr="00B607D1">
        <w:rPr>
          <w:sz w:val="22"/>
          <w:szCs w:val="22"/>
          <w:lang w:val="sk-SK"/>
        </w:rPr>
        <w:tab/>
        <w:t>≥ 1/100 až &lt; 1/10</w:t>
      </w:r>
    </w:p>
    <w:p w14:paraId="6D4DBA32" w14:textId="77777777" w:rsidR="00CB0881" w:rsidRPr="00B607D1" w:rsidRDefault="00AA2DC8" w:rsidP="00204A0C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607D1" w:rsidRPr="00B607D1">
        <w:rPr>
          <w:sz w:val="22"/>
          <w:szCs w:val="22"/>
          <w:lang w:val="sk-SK"/>
        </w:rPr>
        <w:t xml:space="preserve">enej časté </w:t>
      </w:r>
      <w:r w:rsidR="00B607D1" w:rsidRPr="00B607D1">
        <w:rPr>
          <w:sz w:val="22"/>
          <w:szCs w:val="22"/>
          <w:lang w:val="sk-SK"/>
        </w:rPr>
        <w:tab/>
        <w:t>≥ 1/1 000 až &lt; 1/100</w:t>
      </w:r>
    </w:p>
    <w:p w14:paraId="59ECF744" w14:textId="77777777" w:rsidR="00CB0881" w:rsidRPr="00B607D1" w:rsidRDefault="00AA2DC8" w:rsidP="00204A0C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B607D1" w:rsidRPr="00B607D1">
        <w:rPr>
          <w:sz w:val="22"/>
          <w:szCs w:val="22"/>
          <w:lang w:val="sk-SK"/>
        </w:rPr>
        <w:t>riedkavé</w:t>
      </w:r>
      <w:r w:rsidR="00B607D1" w:rsidRPr="00B607D1">
        <w:rPr>
          <w:sz w:val="22"/>
          <w:szCs w:val="22"/>
          <w:lang w:val="sk-SK"/>
        </w:rPr>
        <w:tab/>
        <w:t>≥ 1/10 000 až &lt; 1/1 000</w:t>
      </w:r>
    </w:p>
    <w:p w14:paraId="72D6C324" w14:textId="77777777" w:rsidR="00CB0881" w:rsidRPr="00B607D1" w:rsidRDefault="00AA2DC8" w:rsidP="00204A0C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</w:t>
      </w:r>
      <w:r w:rsidR="00B607D1" w:rsidRPr="00B607D1">
        <w:rPr>
          <w:sz w:val="22"/>
          <w:szCs w:val="22"/>
          <w:lang w:val="sk-SK"/>
        </w:rPr>
        <w:t>ľmi zriedkavé</w:t>
      </w:r>
      <w:r w:rsidR="00B607D1" w:rsidRPr="00B607D1">
        <w:rPr>
          <w:sz w:val="22"/>
          <w:szCs w:val="22"/>
          <w:lang w:val="sk-SK"/>
        </w:rPr>
        <w:tab/>
        <w:t>&lt; 1/10 000</w:t>
      </w:r>
    </w:p>
    <w:p w14:paraId="34093B4F" w14:textId="77777777" w:rsidR="00CB0881" w:rsidRPr="00B607D1" w:rsidRDefault="00AA2DC8" w:rsidP="00204A0C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B607D1" w:rsidRPr="00B607D1">
        <w:rPr>
          <w:sz w:val="22"/>
          <w:szCs w:val="22"/>
          <w:lang w:val="sk-SK"/>
        </w:rPr>
        <w:t>eznáme</w:t>
      </w:r>
      <w:r w:rsidR="00B607D1" w:rsidRPr="00B607D1">
        <w:rPr>
          <w:sz w:val="22"/>
          <w:szCs w:val="22"/>
          <w:lang w:val="sk-SK"/>
        </w:rPr>
        <w:tab/>
        <w:t>z dostupných údajov</w:t>
      </w:r>
    </w:p>
    <w:p w14:paraId="613509A8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4AC06891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imunitného systému</w:t>
      </w:r>
    </w:p>
    <w:p w14:paraId="52786A27" w14:textId="70DE8FB5" w:rsidR="00CB0881" w:rsidRPr="00B607D1" w:rsidRDefault="00B607D1" w:rsidP="00204A0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Neznáme:</w:t>
      </w:r>
      <w:r w:rsidR="00AA2DC8">
        <w:rPr>
          <w:sz w:val="22"/>
          <w:szCs w:val="22"/>
          <w:lang w:val="sk-SK"/>
        </w:rPr>
        <w:tab/>
      </w:r>
      <w:proofErr w:type="spellStart"/>
      <w:r w:rsidRPr="00B607D1">
        <w:rPr>
          <w:sz w:val="22"/>
          <w:szCs w:val="22"/>
          <w:lang w:val="sk-SK"/>
        </w:rPr>
        <w:t>anafylaktický</w:t>
      </w:r>
      <w:proofErr w:type="spellEnd"/>
      <w:r w:rsidRPr="00B607D1">
        <w:rPr>
          <w:sz w:val="22"/>
          <w:szCs w:val="22"/>
          <w:lang w:val="sk-SK"/>
        </w:rPr>
        <w:t xml:space="preserve"> šok* vrátane </w:t>
      </w:r>
      <w:r w:rsidR="00FC452B">
        <w:rPr>
          <w:sz w:val="22"/>
          <w:szCs w:val="22"/>
          <w:lang w:val="sk-SK"/>
        </w:rPr>
        <w:t>prípadov s fatálnym koncom</w:t>
      </w:r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anafylaktické</w:t>
      </w:r>
      <w:proofErr w:type="spellEnd"/>
      <w:r w:rsidRPr="00B607D1">
        <w:rPr>
          <w:sz w:val="22"/>
          <w:szCs w:val="22"/>
          <w:lang w:val="sk-SK"/>
        </w:rPr>
        <w:t xml:space="preserve"> reakcie*, </w:t>
      </w:r>
      <w:proofErr w:type="spellStart"/>
      <w:r w:rsidRPr="00B607D1">
        <w:rPr>
          <w:sz w:val="22"/>
          <w:szCs w:val="22"/>
          <w:lang w:val="sk-SK"/>
        </w:rPr>
        <w:t>dyspnoe</w:t>
      </w:r>
      <w:proofErr w:type="spellEnd"/>
      <w:r w:rsidRPr="00B607D1">
        <w:rPr>
          <w:sz w:val="22"/>
          <w:szCs w:val="22"/>
          <w:lang w:val="sk-SK"/>
        </w:rPr>
        <w:t>*, kožné reakcie*</w:t>
      </w:r>
      <w:r w:rsidR="00204A0C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 xml:space="preserve">(napr. žihľavka*, vyrážka*, </w:t>
      </w:r>
      <w:proofErr w:type="spellStart"/>
      <w:r w:rsidRPr="00B607D1">
        <w:rPr>
          <w:sz w:val="22"/>
          <w:szCs w:val="22"/>
          <w:lang w:val="sk-SK"/>
        </w:rPr>
        <w:t>erytém</w:t>
      </w:r>
      <w:proofErr w:type="spellEnd"/>
      <w:r w:rsidRPr="00B607D1">
        <w:rPr>
          <w:sz w:val="22"/>
          <w:szCs w:val="22"/>
          <w:lang w:val="sk-SK"/>
        </w:rPr>
        <w:t>*, svrbenie*) a</w:t>
      </w:r>
      <w:r w:rsidR="00204A0C">
        <w:rPr>
          <w:sz w:val="22"/>
          <w:szCs w:val="22"/>
          <w:lang w:val="sk-SK"/>
        </w:rPr>
        <w:t> </w:t>
      </w:r>
      <w:r w:rsidRPr="00B607D1">
        <w:rPr>
          <w:sz w:val="22"/>
          <w:szCs w:val="22"/>
          <w:lang w:val="sk-SK"/>
        </w:rPr>
        <w:t>ďalšie</w:t>
      </w:r>
      <w:r w:rsidR="00204A0C">
        <w:rPr>
          <w:sz w:val="22"/>
          <w:szCs w:val="22"/>
          <w:lang w:val="sk-SK"/>
        </w:rPr>
        <w:t xml:space="preserve"> </w:t>
      </w:r>
      <w:proofErr w:type="spellStart"/>
      <w:r w:rsidR="00FC452B">
        <w:rPr>
          <w:sz w:val="22"/>
          <w:szCs w:val="22"/>
          <w:lang w:val="sk-SK"/>
        </w:rPr>
        <w:t>hypersenzitívne</w:t>
      </w:r>
      <w:proofErr w:type="spellEnd"/>
      <w:r w:rsidR="00FC452B">
        <w:rPr>
          <w:sz w:val="22"/>
          <w:szCs w:val="22"/>
          <w:lang w:val="sk-SK"/>
        </w:rPr>
        <w:t xml:space="preserve"> reakcie</w:t>
      </w:r>
      <w:r w:rsidRPr="00B607D1">
        <w:rPr>
          <w:sz w:val="22"/>
          <w:szCs w:val="22"/>
          <w:lang w:val="sk-SK"/>
        </w:rPr>
        <w:t>*</w:t>
      </w:r>
    </w:p>
    <w:p w14:paraId="708D2E16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732DEC9D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oka</w:t>
      </w:r>
    </w:p>
    <w:p w14:paraId="43DB2F28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Časté: </w:t>
      </w:r>
      <w:r w:rsidR="00204A0C">
        <w:rPr>
          <w:sz w:val="22"/>
          <w:szCs w:val="22"/>
          <w:lang w:val="sk-SK"/>
        </w:rPr>
        <w:tab/>
      </w:r>
      <w:r w:rsidRPr="00B607D1">
        <w:rPr>
          <w:sz w:val="22"/>
          <w:szCs w:val="22"/>
          <w:lang w:val="sk-SK"/>
        </w:rPr>
        <w:t xml:space="preserve">poruchy </w:t>
      </w:r>
      <w:r w:rsidR="00204A0C">
        <w:rPr>
          <w:sz w:val="22"/>
          <w:szCs w:val="22"/>
          <w:lang w:val="sk-SK"/>
        </w:rPr>
        <w:t>akomodácie</w:t>
      </w:r>
    </w:p>
    <w:p w14:paraId="4AACEF91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Neznáme: </w:t>
      </w:r>
      <w:r w:rsidR="00204A0C">
        <w:rPr>
          <w:sz w:val="22"/>
          <w:szCs w:val="22"/>
          <w:lang w:val="sk-SK"/>
        </w:rPr>
        <w:tab/>
      </w:r>
      <w:proofErr w:type="spellStart"/>
      <w:r w:rsidRPr="00B607D1">
        <w:rPr>
          <w:sz w:val="22"/>
          <w:szCs w:val="22"/>
          <w:lang w:val="sk-SK"/>
        </w:rPr>
        <w:t>mydriáza</w:t>
      </w:r>
      <w:proofErr w:type="spellEnd"/>
      <w:r w:rsidRPr="00B607D1">
        <w:rPr>
          <w:sz w:val="22"/>
          <w:szCs w:val="22"/>
          <w:lang w:val="sk-SK"/>
        </w:rPr>
        <w:t xml:space="preserve">*, zvýšený </w:t>
      </w:r>
      <w:proofErr w:type="spellStart"/>
      <w:r w:rsidRPr="00B607D1">
        <w:rPr>
          <w:sz w:val="22"/>
          <w:szCs w:val="22"/>
          <w:lang w:val="sk-SK"/>
        </w:rPr>
        <w:t>vnútroočný</w:t>
      </w:r>
      <w:proofErr w:type="spellEnd"/>
      <w:r w:rsidR="00204A0C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>tlak*</w:t>
      </w:r>
    </w:p>
    <w:p w14:paraId="676F65F0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37A6A757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srdca a srdcovej činnosti</w:t>
      </w:r>
    </w:p>
    <w:p w14:paraId="0F6E97D0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Časté: </w:t>
      </w:r>
      <w:r w:rsidR="00204A0C">
        <w:rPr>
          <w:sz w:val="22"/>
          <w:szCs w:val="22"/>
          <w:lang w:val="sk-SK"/>
        </w:rPr>
        <w:tab/>
      </w:r>
      <w:proofErr w:type="spellStart"/>
      <w:r w:rsidRPr="00B607D1">
        <w:rPr>
          <w:sz w:val="22"/>
          <w:szCs w:val="22"/>
          <w:lang w:val="sk-SK"/>
        </w:rPr>
        <w:t>tachykardia</w:t>
      </w:r>
      <w:proofErr w:type="spellEnd"/>
    </w:p>
    <w:p w14:paraId="20C2CCEC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6C3C42B6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ciev</w:t>
      </w:r>
    </w:p>
    <w:p w14:paraId="5ED83D2C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Časté:</w:t>
      </w:r>
      <w:r w:rsidR="00204A0C">
        <w:rPr>
          <w:sz w:val="22"/>
          <w:szCs w:val="22"/>
          <w:lang w:val="sk-SK"/>
        </w:rPr>
        <w:t xml:space="preserve"> </w:t>
      </w:r>
      <w:r w:rsidR="00204A0C">
        <w:rPr>
          <w:sz w:val="22"/>
          <w:szCs w:val="22"/>
          <w:lang w:val="sk-SK"/>
        </w:rPr>
        <w:tab/>
      </w:r>
      <w:r w:rsidRPr="00B607D1">
        <w:rPr>
          <w:sz w:val="22"/>
          <w:szCs w:val="22"/>
          <w:lang w:val="sk-SK"/>
        </w:rPr>
        <w:t>závraty</w:t>
      </w:r>
    </w:p>
    <w:p w14:paraId="28AFA0F8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Neznáme: </w:t>
      </w:r>
      <w:r w:rsidR="00204A0C">
        <w:rPr>
          <w:sz w:val="22"/>
          <w:szCs w:val="22"/>
          <w:lang w:val="sk-SK"/>
        </w:rPr>
        <w:tab/>
      </w:r>
      <w:r w:rsidRPr="00B607D1">
        <w:rPr>
          <w:sz w:val="22"/>
          <w:szCs w:val="22"/>
          <w:lang w:val="sk-SK"/>
        </w:rPr>
        <w:t>pokles krvného tlaku*, návaly horúčavy*</w:t>
      </w:r>
    </w:p>
    <w:p w14:paraId="74BF17B7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61FDCE93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 xml:space="preserve">Poruchy </w:t>
      </w:r>
      <w:proofErr w:type="spellStart"/>
      <w:r w:rsidRPr="00B607D1">
        <w:rPr>
          <w:sz w:val="22"/>
          <w:szCs w:val="22"/>
          <w:u w:val="single"/>
          <w:lang w:val="sk-SK"/>
        </w:rPr>
        <w:t>gastrointestinálneho</w:t>
      </w:r>
      <w:proofErr w:type="spellEnd"/>
      <w:r w:rsidRPr="00B607D1">
        <w:rPr>
          <w:sz w:val="22"/>
          <w:szCs w:val="22"/>
          <w:u w:val="single"/>
          <w:lang w:val="sk-SK"/>
        </w:rPr>
        <w:t xml:space="preserve"> traktu</w:t>
      </w:r>
    </w:p>
    <w:p w14:paraId="60EACA6C" w14:textId="253BF5BC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Časté:</w:t>
      </w:r>
      <w:r w:rsidRPr="00B607D1">
        <w:rPr>
          <w:sz w:val="22"/>
          <w:szCs w:val="22"/>
          <w:lang w:val="sk-SK"/>
        </w:rPr>
        <w:tab/>
        <w:t>sucho v ústach</w:t>
      </w:r>
    </w:p>
    <w:p w14:paraId="2A647617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6B131690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kože a podkožného tkaniva</w:t>
      </w:r>
    </w:p>
    <w:p w14:paraId="565573B8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Neznáme:</w:t>
      </w:r>
      <w:r w:rsidR="00204A0C">
        <w:rPr>
          <w:sz w:val="22"/>
          <w:szCs w:val="22"/>
          <w:lang w:val="sk-SK"/>
        </w:rPr>
        <w:tab/>
      </w:r>
      <w:proofErr w:type="spellStart"/>
      <w:r w:rsidRPr="00B607D1">
        <w:rPr>
          <w:sz w:val="22"/>
          <w:szCs w:val="22"/>
          <w:lang w:val="sk-SK"/>
        </w:rPr>
        <w:t>dyshidróza</w:t>
      </w:r>
      <w:proofErr w:type="spellEnd"/>
      <w:r w:rsidRPr="00B607D1">
        <w:rPr>
          <w:sz w:val="22"/>
          <w:szCs w:val="22"/>
          <w:lang w:val="sk-SK"/>
        </w:rPr>
        <w:t>*</w:t>
      </w:r>
    </w:p>
    <w:p w14:paraId="274538C8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25A00974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obličiek a močových ciest</w:t>
      </w:r>
    </w:p>
    <w:p w14:paraId="079774D8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Neznáme:</w:t>
      </w:r>
      <w:r w:rsidR="00204A0C">
        <w:rPr>
          <w:sz w:val="22"/>
          <w:szCs w:val="22"/>
          <w:lang w:val="sk-SK"/>
        </w:rPr>
        <w:tab/>
      </w:r>
      <w:proofErr w:type="spellStart"/>
      <w:r w:rsidRPr="00B607D1">
        <w:rPr>
          <w:sz w:val="22"/>
          <w:szCs w:val="22"/>
          <w:lang w:val="sk-SK"/>
        </w:rPr>
        <w:t>retencia</w:t>
      </w:r>
      <w:proofErr w:type="spellEnd"/>
      <w:r w:rsidRPr="00B607D1">
        <w:rPr>
          <w:sz w:val="22"/>
          <w:szCs w:val="22"/>
          <w:lang w:val="sk-SK"/>
        </w:rPr>
        <w:t xml:space="preserve"> moču*</w:t>
      </w:r>
    </w:p>
    <w:p w14:paraId="586A43CE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7FB81EA8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* = Tento nežiaduci účinok bol zaznamenaný na základe skúseností po uvedení lieku na trh. S 95 % istotou nie je kategória frekvencie výskytu vyššia než </w:t>
      </w:r>
      <w:r w:rsidR="00204A0C">
        <w:rPr>
          <w:sz w:val="22"/>
          <w:szCs w:val="22"/>
          <w:lang w:val="sk-SK"/>
        </w:rPr>
        <w:t xml:space="preserve">„menej </w:t>
      </w:r>
      <w:r w:rsidRPr="00B607D1">
        <w:rPr>
          <w:sz w:val="22"/>
          <w:szCs w:val="22"/>
          <w:lang w:val="sk-SK"/>
        </w:rPr>
        <w:t>čast</w:t>
      </w:r>
      <w:r w:rsidR="00204A0C">
        <w:rPr>
          <w:sz w:val="22"/>
          <w:szCs w:val="22"/>
          <w:lang w:val="sk-SK"/>
        </w:rPr>
        <w:t>é“</w:t>
      </w:r>
      <w:r w:rsidRPr="00B607D1">
        <w:rPr>
          <w:sz w:val="22"/>
          <w:szCs w:val="22"/>
          <w:lang w:val="sk-SK"/>
        </w:rPr>
        <w:t xml:space="preserve">, ale môže byť aj </w:t>
      </w:r>
      <w:r w:rsidR="00204A0C">
        <w:rPr>
          <w:sz w:val="22"/>
          <w:szCs w:val="22"/>
          <w:lang w:val="sk-SK"/>
        </w:rPr>
        <w:t>nižšia</w:t>
      </w:r>
      <w:r w:rsidRPr="00B607D1">
        <w:rPr>
          <w:sz w:val="22"/>
          <w:szCs w:val="22"/>
          <w:lang w:val="sk-SK"/>
        </w:rPr>
        <w:t>. Presn</w:t>
      </w:r>
      <w:r w:rsidR="00204A0C">
        <w:rPr>
          <w:sz w:val="22"/>
          <w:szCs w:val="22"/>
          <w:lang w:val="sk-SK"/>
        </w:rPr>
        <w:t>ý</w:t>
      </w:r>
      <w:r w:rsidRPr="00B607D1">
        <w:rPr>
          <w:sz w:val="22"/>
          <w:szCs w:val="22"/>
          <w:lang w:val="sk-SK"/>
        </w:rPr>
        <w:t xml:space="preserve"> </w:t>
      </w:r>
      <w:r w:rsidR="00204A0C">
        <w:rPr>
          <w:sz w:val="22"/>
          <w:szCs w:val="22"/>
          <w:lang w:val="sk-SK"/>
        </w:rPr>
        <w:t>odhad</w:t>
      </w:r>
      <w:r w:rsidRPr="00B607D1">
        <w:rPr>
          <w:sz w:val="22"/>
          <w:szCs w:val="22"/>
          <w:lang w:val="sk-SK"/>
        </w:rPr>
        <w:t xml:space="preserve"> frekvencie výskytu nie je možn</w:t>
      </w:r>
      <w:r w:rsidR="00204A0C">
        <w:rPr>
          <w:sz w:val="22"/>
          <w:szCs w:val="22"/>
          <w:lang w:val="sk-SK"/>
        </w:rPr>
        <w:t>ý</w:t>
      </w:r>
      <w:r w:rsidRPr="00B607D1">
        <w:rPr>
          <w:sz w:val="22"/>
          <w:szCs w:val="22"/>
          <w:lang w:val="sk-SK"/>
        </w:rPr>
        <w:t>, keďže nežiaduci účinok sa nevyskytol v databáze 185</w:t>
      </w:r>
      <w:r w:rsidR="00204A0C">
        <w:rPr>
          <w:sz w:val="22"/>
          <w:szCs w:val="22"/>
          <w:lang w:val="sk-SK"/>
        </w:rPr>
        <w:t> </w:t>
      </w:r>
      <w:r w:rsidRPr="00B607D1">
        <w:rPr>
          <w:sz w:val="22"/>
          <w:szCs w:val="22"/>
          <w:lang w:val="sk-SK"/>
        </w:rPr>
        <w:t>pacientov klinickej štúdie.</w:t>
      </w:r>
    </w:p>
    <w:p w14:paraId="557D17A7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3B014EFD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Hlásenie podozrení na nežiaduce reakcie</w:t>
      </w:r>
    </w:p>
    <w:p w14:paraId="3C401A46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B607D1">
        <w:rPr>
          <w:sz w:val="22"/>
          <w:szCs w:val="22"/>
          <w:highlight w:val="lightGray"/>
          <w:lang w:val="sk-SK"/>
        </w:rPr>
        <w:t xml:space="preserve">národné centrum hlásenia uvedené v </w:t>
      </w:r>
      <w:hyperlink r:id="rId7">
        <w:r w:rsidRPr="00B607D1">
          <w:rPr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B607D1">
        <w:rPr>
          <w:sz w:val="22"/>
          <w:szCs w:val="22"/>
          <w:lang w:val="sk-SK"/>
        </w:rPr>
        <w:t>.</w:t>
      </w:r>
    </w:p>
    <w:p w14:paraId="023CCB85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715869DB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4.9</w:t>
      </w:r>
      <w:r w:rsidRPr="00B607D1">
        <w:rPr>
          <w:b/>
          <w:color w:val="000000"/>
          <w:sz w:val="22"/>
          <w:szCs w:val="22"/>
          <w:lang w:val="sk-SK"/>
        </w:rPr>
        <w:tab/>
        <w:t>Predávkovanie</w:t>
      </w:r>
    </w:p>
    <w:p w14:paraId="616B8F08" w14:textId="5530C280" w:rsidR="00CB0881" w:rsidRPr="0029510D" w:rsidRDefault="00B607D1" w:rsidP="00B607D1">
      <w:pPr>
        <w:rPr>
          <w:i/>
          <w:iCs/>
          <w:sz w:val="22"/>
          <w:szCs w:val="22"/>
          <w:lang w:val="sk-SK"/>
        </w:rPr>
      </w:pPr>
      <w:r w:rsidRPr="0029510D">
        <w:rPr>
          <w:i/>
          <w:iCs/>
          <w:sz w:val="22"/>
          <w:szCs w:val="22"/>
          <w:lang w:val="sk-SK"/>
        </w:rPr>
        <w:lastRenderedPageBreak/>
        <w:t>Symptómy</w:t>
      </w:r>
    </w:p>
    <w:p w14:paraId="765B1865" w14:textId="084F0531" w:rsidR="00204A0C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V prípade predávkovania sa môžu objaviť </w:t>
      </w:r>
      <w:proofErr w:type="spellStart"/>
      <w:r w:rsidRPr="00B607D1">
        <w:rPr>
          <w:sz w:val="22"/>
          <w:szCs w:val="22"/>
          <w:lang w:val="sk-SK"/>
        </w:rPr>
        <w:t>antichol</w:t>
      </w:r>
      <w:r w:rsidR="0041611B">
        <w:rPr>
          <w:sz w:val="22"/>
          <w:szCs w:val="22"/>
          <w:lang w:val="sk-SK"/>
        </w:rPr>
        <w:t>inergické</w:t>
      </w:r>
      <w:proofErr w:type="spellEnd"/>
      <w:r w:rsidRPr="00B607D1">
        <w:rPr>
          <w:sz w:val="22"/>
          <w:szCs w:val="22"/>
          <w:lang w:val="sk-SK"/>
        </w:rPr>
        <w:t xml:space="preserve"> účinky.</w:t>
      </w:r>
    </w:p>
    <w:p w14:paraId="1FC3C983" w14:textId="77777777" w:rsidR="00204A0C" w:rsidRDefault="00204A0C" w:rsidP="00B607D1">
      <w:pPr>
        <w:rPr>
          <w:sz w:val="22"/>
          <w:szCs w:val="22"/>
          <w:lang w:val="sk-SK"/>
        </w:rPr>
      </w:pPr>
    </w:p>
    <w:p w14:paraId="351672F1" w14:textId="77777777" w:rsidR="00CB0881" w:rsidRPr="0029510D" w:rsidRDefault="00B607D1" w:rsidP="00B607D1">
      <w:pPr>
        <w:rPr>
          <w:i/>
          <w:iCs/>
          <w:sz w:val="22"/>
          <w:szCs w:val="22"/>
          <w:lang w:val="sk-SK"/>
        </w:rPr>
      </w:pPr>
      <w:r w:rsidRPr="0029510D">
        <w:rPr>
          <w:i/>
          <w:iCs/>
          <w:sz w:val="22"/>
          <w:szCs w:val="22"/>
          <w:lang w:val="sk-SK"/>
        </w:rPr>
        <w:t>Liečba</w:t>
      </w:r>
    </w:p>
    <w:p w14:paraId="394464EA" w14:textId="2696D87B" w:rsidR="00204A0C" w:rsidRDefault="00204A0C" w:rsidP="00B607D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Symptómy predávkovania </w:t>
      </w:r>
      <w:proofErr w:type="spellStart"/>
      <w:r>
        <w:rPr>
          <w:sz w:val="22"/>
          <w:szCs w:val="22"/>
          <w:lang w:val="sk-SK"/>
        </w:rPr>
        <w:t>butylskopolamínium</w:t>
      </w:r>
      <w:r w:rsidR="0041611B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bromidom</w:t>
      </w:r>
      <w:proofErr w:type="spellEnd"/>
      <w:r>
        <w:rPr>
          <w:sz w:val="22"/>
          <w:szCs w:val="22"/>
          <w:lang w:val="sk-SK"/>
        </w:rPr>
        <w:t xml:space="preserve"> reagujú na</w:t>
      </w:r>
      <w:r w:rsidR="00B607D1" w:rsidRPr="00B607D1">
        <w:rPr>
          <w:sz w:val="22"/>
          <w:szCs w:val="22"/>
          <w:lang w:val="sk-SK"/>
        </w:rPr>
        <w:t xml:space="preserve"> </w:t>
      </w:r>
      <w:proofErr w:type="spellStart"/>
      <w:r w:rsidR="00B607D1" w:rsidRPr="00B607D1">
        <w:rPr>
          <w:sz w:val="22"/>
          <w:szCs w:val="22"/>
          <w:lang w:val="sk-SK"/>
        </w:rPr>
        <w:t>parasympatomimetiká</w:t>
      </w:r>
      <w:proofErr w:type="spellEnd"/>
      <w:r w:rsidR="00B607D1" w:rsidRPr="00B607D1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Pacienti s </w:t>
      </w:r>
      <w:proofErr w:type="spellStart"/>
      <w:r w:rsidR="00B607D1" w:rsidRPr="00B607D1">
        <w:rPr>
          <w:sz w:val="22"/>
          <w:szCs w:val="22"/>
          <w:lang w:val="sk-SK"/>
        </w:rPr>
        <w:t>glaukóm</w:t>
      </w:r>
      <w:r>
        <w:rPr>
          <w:sz w:val="22"/>
          <w:szCs w:val="22"/>
          <w:lang w:val="sk-SK"/>
        </w:rPr>
        <w:t>om</w:t>
      </w:r>
      <w:proofErr w:type="spellEnd"/>
      <w:r>
        <w:rPr>
          <w:sz w:val="22"/>
          <w:szCs w:val="22"/>
          <w:lang w:val="sk-SK"/>
        </w:rPr>
        <w:t xml:space="preserve"> musia ok</w:t>
      </w:r>
      <w:r w:rsidR="00B607D1" w:rsidRPr="00B607D1">
        <w:rPr>
          <w:sz w:val="22"/>
          <w:szCs w:val="22"/>
          <w:lang w:val="sk-SK"/>
        </w:rPr>
        <w:t xml:space="preserve">amžite vyhľadať </w:t>
      </w:r>
      <w:proofErr w:type="spellStart"/>
      <w:r>
        <w:rPr>
          <w:sz w:val="22"/>
          <w:szCs w:val="22"/>
          <w:lang w:val="sk-SK"/>
        </w:rPr>
        <w:t>o</w:t>
      </w:r>
      <w:r w:rsidR="00B607D1" w:rsidRPr="00B607D1">
        <w:rPr>
          <w:sz w:val="22"/>
          <w:szCs w:val="22"/>
          <w:lang w:val="sk-SK"/>
        </w:rPr>
        <w:t>ftalmológa</w:t>
      </w:r>
      <w:proofErr w:type="spellEnd"/>
      <w:r w:rsidR="00B607D1" w:rsidRPr="00B607D1">
        <w:rPr>
          <w:sz w:val="22"/>
          <w:szCs w:val="22"/>
          <w:lang w:val="sk-SK"/>
        </w:rPr>
        <w:t xml:space="preserve">. Kardiovaskulárne komplikácie sa majú liečiť podľa bežných liečebných postupov. V prípade respiračnej paralýzy sa má zvážiť </w:t>
      </w:r>
      <w:proofErr w:type="spellStart"/>
      <w:r w:rsidR="00B607D1" w:rsidRPr="00B607D1">
        <w:rPr>
          <w:sz w:val="22"/>
          <w:szCs w:val="22"/>
          <w:lang w:val="sk-SK"/>
        </w:rPr>
        <w:t>intubácia</w:t>
      </w:r>
      <w:proofErr w:type="spellEnd"/>
      <w:r>
        <w:rPr>
          <w:sz w:val="22"/>
          <w:szCs w:val="22"/>
          <w:lang w:val="sk-SK"/>
        </w:rPr>
        <w:t xml:space="preserve"> a</w:t>
      </w:r>
      <w:r w:rsidR="00044E38">
        <w:rPr>
          <w:sz w:val="22"/>
          <w:szCs w:val="22"/>
          <w:lang w:val="sk-SK"/>
        </w:rPr>
        <w:t> </w:t>
      </w:r>
      <w:proofErr w:type="spellStart"/>
      <w:r w:rsidR="00B607D1" w:rsidRPr="00B607D1">
        <w:rPr>
          <w:sz w:val="22"/>
          <w:szCs w:val="22"/>
          <w:lang w:val="sk-SK"/>
        </w:rPr>
        <w:t>arteficiálna</w:t>
      </w:r>
      <w:proofErr w:type="spellEnd"/>
      <w:r w:rsidR="00B607D1" w:rsidRPr="00B607D1">
        <w:rPr>
          <w:sz w:val="22"/>
          <w:szCs w:val="22"/>
          <w:lang w:val="sk-SK"/>
        </w:rPr>
        <w:t xml:space="preserve"> respirácia. </w:t>
      </w:r>
    </w:p>
    <w:p w14:paraId="0FE024ED" w14:textId="77777777" w:rsidR="00204A0C" w:rsidRDefault="00B607D1" w:rsidP="00B607D1">
      <w:pPr>
        <w:rPr>
          <w:sz w:val="22"/>
          <w:szCs w:val="22"/>
          <w:lang w:val="sk-SK"/>
        </w:rPr>
      </w:pPr>
      <w:proofErr w:type="spellStart"/>
      <w:r w:rsidRPr="00B607D1">
        <w:rPr>
          <w:sz w:val="22"/>
          <w:szCs w:val="22"/>
          <w:lang w:val="sk-SK"/>
        </w:rPr>
        <w:t>Retencia</w:t>
      </w:r>
      <w:proofErr w:type="spellEnd"/>
      <w:r w:rsidRPr="00B607D1">
        <w:rPr>
          <w:sz w:val="22"/>
          <w:szCs w:val="22"/>
          <w:lang w:val="sk-SK"/>
        </w:rPr>
        <w:t xml:space="preserve"> moču môže vyžadovať </w:t>
      </w:r>
      <w:proofErr w:type="spellStart"/>
      <w:r w:rsidRPr="00B607D1">
        <w:rPr>
          <w:sz w:val="22"/>
          <w:szCs w:val="22"/>
          <w:lang w:val="sk-SK"/>
        </w:rPr>
        <w:t>katetrizáciu</w:t>
      </w:r>
      <w:proofErr w:type="spellEnd"/>
      <w:r w:rsidRPr="00B607D1">
        <w:rPr>
          <w:sz w:val="22"/>
          <w:szCs w:val="22"/>
          <w:lang w:val="sk-SK"/>
        </w:rPr>
        <w:t xml:space="preserve">. </w:t>
      </w:r>
    </w:p>
    <w:p w14:paraId="24F54941" w14:textId="5A86DEBF" w:rsidR="00CB0881" w:rsidRPr="00B607D1" w:rsidRDefault="00204A0C" w:rsidP="00B607D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Okrem vy</w:t>
      </w:r>
      <w:r w:rsidR="0041611B">
        <w:rPr>
          <w:sz w:val="22"/>
          <w:szCs w:val="22"/>
          <w:lang w:val="sk-SK"/>
        </w:rPr>
        <w:t>š</w:t>
      </w:r>
      <w:r>
        <w:rPr>
          <w:sz w:val="22"/>
          <w:szCs w:val="22"/>
          <w:lang w:val="sk-SK"/>
        </w:rPr>
        <w:t>š</w:t>
      </w:r>
      <w:r w:rsidR="0041611B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 xml:space="preserve">e uvedeného </w:t>
      </w:r>
      <w:r w:rsidR="00F24DC5">
        <w:rPr>
          <w:sz w:val="22"/>
          <w:szCs w:val="22"/>
          <w:lang w:val="sk-SK"/>
        </w:rPr>
        <w:t>sa v prípade potreby</w:t>
      </w:r>
      <w:r w:rsidR="00B607D1" w:rsidRPr="00B607D1">
        <w:rPr>
          <w:sz w:val="22"/>
          <w:szCs w:val="22"/>
          <w:lang w:val="sk-SK"/>
        </w:rPr>
        <w:t xml:space="preserve"> musia použiť vhodné podporné opatrenia.</w:t>
      </w:r>
    </w:p>
    <w:p w14:paraId="7107FC15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5A5E97AE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79EDD755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5.</w:t>
      </w:r>
      <w:r w:rsidRPr="00B607D1">
        <w:rPr>
          <w:b/>
          <w:color w:val="000000"/>
          <w:sz w:val="22"/>
          <w:szCs w:val="22"/>
          <w:lang w:val="sk-SK"/>
        </w:rPr>
        <w:tab/>
        <w:t>FARMAKOLOGICKÉ VLASTNOSTI</w:t>
      </w:r>
    </w:p>
    <w:p w14:paraId="346AD203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010799EE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5.1</w:t>
      </w:r>
      <w:r w:rsidRPr="00B607D1">
        <w:rPr>
          <w:b/>
          <w:color w:val="000000"/>
          <w:sz w:val="22"/>
          <w:szCs w:val="22"/>
          <w:lang w:val="sk-SK"/>
        </w:rPr>
        <w:tab/>
      </w:r>
      <w:proofErr w:type="spellStart"/>
      <w:r w:rsidRPr="00B607D1">
        <w:rPr>
          <w:b/>
          <w:color w:val="000000"/>
          <w:sz w:val="22"/>
          <w:szCs w:val="22"/>
          <w:lang w:val="sk-SK"/>
        </w:rPr>
        <w:t>Farmakodynamické</w:t>
      </w:r>
      <w:proofErr w:type="spellEnd"/>
      <w:r w:rsidRPr="00B607D1">
        <w:rPr>
          <w:b/>
          <w:color w:val="000000"/>
          <w:sz w:val="22"/>
          <w:szCs w:val="22"/>
          <w:lang w:val="sk-SK"/>
        </w:rPr>
        <w:t xml:space="preserve"> vlastnosti</w:t>
      </w:r>
    </w:p>
    <w:p w14:paraId="1BA8F4F6" w14:textId="77777777" w:rsidR="00F24DC5" w:rsidRDefault="00F24DC5" w:rsidP="00B607D1">
      <w:pPr>
        <w:rPr>
          <w:sz w:val="22"/>
          <w:szCs w:val="22"/>
          <w:lang w:val="sk-SK"/>
        </w:rPr>
      </w:pPr>
    </w:p>
    <w:p w14:paraId="3BCA4F5F" w14:textId="031C3D33" w:rsidR="00CB0881" w:rsidRDefault="00B607D1" w:rsidP="00B607D1">
      <w:pPr>
        <w:rPr>
          <w:sz w:val="22"/>
          <w:szCs w:val="22"/>
          <w:lang w:val="sk-SK"/>
        </w:rPr>
      </w:pPr>
      <w:proofErr w:type="spellStart"/>
      <w:r w:rsidRPr="00391983">
        <w:rPr>
          <w:sz w:val="22"/>
          <w:szCs w:val="22"/>
          <w:lang w:val="sk-SK"/>
        </w:rPr>
        <w:t>Farmakoterapeutická</w:t>
      </w:r>
      <w:proofErr w:type="spellEnd"/>
      <w:r w:rsidRPr="00391983">
        <w:rPr>
          <w:sz w:val="22"/>
          <w:szCs w:val="22"/>
          <w:lang w:val="sk-SK"/>
        </w:rPr>
        <w:t xml:space="preserve"> skupina:</w:t>
      </w:r>
      <w:r w:rsidR="00F24DC5" w:rsidRPr="00391983">
        <w:rPr>
          <w:sz w:val="22"/>
          <w:szCs w:val="22"/>
          <w:lang w:val="sk-SK"/>
        </w:rPr>
        <w:t xml:space="preserve"> </w:t>
      </w:r>
      <w:r w:rsidRPr="00391983">
        <w:rPr>
          <w:sz w:val="22"/>
          <w:szCs w:val="22"/>
          <w:lang w:val="sk-SK"/>
        </w:rPr>
        <w:t>alkaloidy</w:t>
      </w:r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beladony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semisyntentické</w:t>
      </w:r>
      <w:proofErr w:type="spellEnd"/>
      <w:r w:rsidRPr="00B607D1">
        <w:rPr>
          <w:sz w:val="22"/>
          <w:szCs w:val="22"/>
          <w:lang w:val="sk-SK"/>
        </w:rPr>
        <w:t xml:space="preserve"> kvartérne </w:t>
      </w:r>
      <w:r w:rsidR="00391983">
        <w:rPr>
          <w:sz w:val="22"/>
          <w:szCs w:val="22"/>
          <w:lang w:val="sk-SK"/>
        </w:rPr>
        <w:t>bázy</w:t>
      </w:r>
      <w:r w:rsidR="00F24DC5">
        <w:rPr>
          <w:sz w:val="22"/>
          <w:szCs w:val="22"/>
          <w:lang w:val="sk-SK"/>
        </w:rPr>
        <w:t xml:space="preserve">, </w:t>
      </w:r>
      <w:r w:rsidRPr="00B607D1">
        <w:rPr>
          <w:sz w:val="22"/>
          <w:szCs w:val="22"/>
          <w:lang w:val="sk-SK"/>
        </w:rPr>
        <w:t>ATC kód: A03BB01</w:t>
      </w:r>
    </w:p>
    <w:p w14:paraId="5B53B1DC" w14:textId="77777777" w:rsidR="00F24DC5" w:rsidRPr="00B607D1" w:rsidRDefault="00F24DC5" w:rsidP="00B607D1">
      <w:pPr>
        <w:rPr>
          <w:sz w:val="22"/>
          <w:szCs w:val="22"/>
          <w:lang w:val="sk-SK"/>
        </w:rPr>
      </w:pPr>
    </w:p>
    <w:p w14:paraId="34DB2BE0" w14:textId="36F8FCDC" w:rsidR="00CB0881" w:rsidRPr="00B607D1" w:rsidRDefault="00F24DC5" w:rsidP="00B607D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Butylskopolamínium</w:t>
      </w:r>
      <w:r w:rsidR="00213788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bromid</w:t>
      </w:r>
      <w:proofErr w:type="spellEnd"/>
      <w:r w:rsidR="00B607D1" w:rsidRPr="00B607D1">
        <w:rPr>
          <w:sz w:val="22"/>
          <w:szCs w:val="22"/>
          <w:lang w:val="sk-SK"/>
        </w:rPr>
        <w:t xml:space="preserve"> má </w:t>
      </w:r>
      <w:proofErr w:type="spellStart"/>
      <w:r w:rsidR="00B607D1" w:rsidRPr="00B607D1">
        <w:rPr>
          <w:sz w:val="22"/>
          <w:szCs w:val="22"/>
          <w:lang w:val="sk-SK"/>
        </w:rPr>
        <w:t>spazmolytický</w:t>
      </w:r>
      <w:proofErr w:type="spellEnd"/>
      <w:r w:rsidR="00B607D1" w:rsidRPr="00B607D1">
        <w:rPr>
          <w:sz w:val="22"/>
          <w:szCs w:val="22"/>
          <w:lang w:val="sk-SK"/>
        </w:rPr>
        <w:t xml:space="preserve"> účinok na hladké svalstvo </w:t>
      </w:r>
      <w:proofErr w:type="spellStart"/>
      <w:r w:rsidR="00B607D1" w:rsidRPr="00B607D1">
        <w:rPr>
          <w:sz w:val="22"/>
          <w:szCs w:val="22"/>
          <w:lang w:val="sk-SK"/>
        </w:rPr>
        <w:t>gastrointestinálneho</w:t>
      </w:r>
      <w:proofErr w:type="spellEnd"/>
      <w:r w:rsidR="00B607D1" w:rsidRPr="00B607D1">
        <w:rPr>
          <w:sz w:val="22"/>
          <w:szCs w:val="22"/>
          <w:lang w:val="sk-SK"/>
        </w:rPr>
        <w:t xml:space="preserve">, biliárneho a </w:t>
      </w:r>
      <w:proofErr w:type="spellStart"/>
      <w:r w:rsidR="00B607D1" w:rsidRPr="00B607D1">
        <w:rPr>
          <w:sz w:val="22"/>
          <w:szCs w:val="22"/>
          <w:lang w:val="sk-SK"/>
        </w:rPr>
        <w:t>urogenitálneho</w:t>
      </w:r>
      <w:proofErr w:type="spellEnd"/>
      <w:r w:rsidR="00B607D1" w:rsidRPr="00B607D1">
        <w:rPr>
          <w:sz w:val="22"/>
          <w:szCs w:val="22"/>
          <w:lang w:val="sk-SK"/>
        </w:rPr>
        <w:t xml:space="preserve"> traktu. </w:t>
      </w:r>
      <w:r>
        <w:rPr>
          <w:sz w:val="22"/>
          <w:szCs w:val="22"/>
          <w:lang w:val="sk-SK"/>
        </w:rPr>
        <w:t>N-</w:t>
      </w:r>
      <w:proofErr w:type="spellStart"/>
      <w:r>
        <w:rPr>
          <w:sz w:val="22"/>
          <w:szCs w:val="22"/>
          <w:lang w:val="sk-SK"/>
        </w:rPr>
        <w:t>butylskopolamínium</w:t>
      </w:r>
      <w:proofErr w:type="spellEnd"/>
      <w:r w:rsidR="00213788">
        <w:rPr>
          <w:sz w:val="22"/>
          <w:szCs w:val="22"/>
          <w:lang w:val="sk-SK"/>
        </w:rPr>
        <w:t>-</w:t>
      </w:r>
      <w:proofErr w:type="spellStart"/>
      <w:r>
        <w:rPr>
          <w:sz w:val="22"/>
          <w:szCs w:val="22"/>
          <w:lang w:val="sk-SK"/>
        </w:rPr>
        <w:t>bromid</w:t>
      </w:r>
      <w:proofErr w:type="spellEnd"/>
      <w:r>
        <w:rPr>
          <w:sz w:val="22"/>
          <w:szCs w:val="22"/>
          <w:lang w:val="sk-SK"/>
        </w:rPr>
        <w:t xml:space="preserve"> je </w:t>
      </w:r>
      <w:r w:rsidR="00B607D1" w:rsidRPr="00B607D1">
        <w:rPr>
          <w:sz w:val="22"/>
          <w:szCs w:val="22"/>
          <w:lang w:val="sk-SK"/>
        </w:rPr>
        <w:t xml:space="preserve">derivát kvartérnej amóniovej soli, </w:t>
      </w:r>
      <w:r>
        <w:rPr>
          <w:sz w:val="22"/>
          <w:szCs w:val="22"/>
          <w:lang w:val="sk-SK"/>
        </w:rPr>
        <w:t>ktorý</w:t>
      </w:r>
      <w:r w:rsidR="00B607D1" w:rsidRPr="00B607D1">
        <w:rPr>
          <w:sz w:val="22"/>
          <w:szCs w:val="22"/>
          <w:lang w:val="sk-SK"/>
        </w:rPr>
        <w:t xml:space="preserve"> neprechádza </w:t>
      </w:r>
      <w:proofErr w:type="spellStart"/>
      <w:r>
        <w:rPr>
          <w:sz w:val="22"/>
          <w:szCs w:val="22"/>
          <w:lang w:val="sk-SK"/>
        </w:rPr>
        <w:t>hematoencefalickou</w:t>
      </w:r>
      <w:proofErr w:type="spellEnd"/>
      <w:r>
        <w:rPr>
          <w:sz w:val="22"/>
          <w:szCs w:val="22"/>
          <w:lang w:val="sk-SK"/>
        </w:rPr>
        <w:t xml:space="preserve"> bariérou </w:t>
      </w:r>
      <w:r w:rsidR="00B607D1" w:rsidRPr="00B607D1">
        <w:rPr>
          <w:sz w:val="22"/>
          <w:szCs w:val="22"/>
          <w:lang w:val="sk-SK"/>
        </w:rPr>
        <w:t xml:space="preserve">do centrálneho nervového systému. Preto sa ani nevyskytujú </w:t>
      </w:r>
      <w:proofErr w:type="spellStart"/>
      <w:r w:rsidR="00B607D1" w:rsidRPr="00B607D1">
        <w:rPr>
          <w:sz w:val="22"/>
          <w:szCs w:val="22"/>
          <w:lang w:val="sk-SK"/>
        </w:rPr>
        <w:t>antichol</w:t>
      </w:r>
      <w:r w:rsidR="00BE5981">
        <w:rPr>
          <w:sz w:val="22"/>
          <w:szCs w:val="22"/>
          <w:lang w:val="sk-SK"/>
        </w:rPr>
        <w:t>inergické</w:t>
      </w:r>
      <w:proofErr w:type="spellEnd"/>
      <w:r w:rsidR="00B607D1" w:rsidRPr="00B607D1">
        <w:rPr>
          <w:sz w:val="22"/>
          <w:szCs w:val="22"/>
          <w:lang w:val="sk-SK"/>
        </w:rPr>
        <w:t xml:space="preserve"> nežiaduce účinky </w:t>
      </w:r>
      <w:r>
        <w:rPr>
          <w:sz w:val="22"/>
          <w:szCs w:val="22"/>
          <w:lang w:val="sk-SK"/>
        </w:rPr>
        <w:t xml:space="preserve">na </w:t>
      </w:r>
      <w:r w:rsidR="00B607D1" w:rsidRPr="00B607D1">
        <w:rPr>
          <w:sz w:val="22"/>
          <w:szCs w:val="22"/>
          <w:lang w:val="sk-SK"/>
        </w:rPr>
        <w:t>CNS. Periférn</w:t>
      </w:r>
      <w:r>
        <w:rPr>
          <w:sz w:val="22"/>
          <w:szCs w:val="22"/>
          <w:lang w:val="sk-SK"/>
        </w:rPr>
        <w:t>y</w:t>
      </w:r>
      <w:r w:rsidR="00B607D1" w:rsidRPr="00B607D1">
        <w:rPr>
          <w:sz w:val="22"/>
          <w:szCs w:val="22"/>
          <w:lang w:val="sk-SK"/>
        </w:rPr>
        <w:t xml:space="preserve"> </w:t>
      </w:r>
      <w:proofErr w:type="spellStart"/>
      <w:r w:rsidR="00B607D1" w:rsidRPr="00B607D1">
        <w:rPr>
          <w:sz w:val="22"/>
          <w:szCs w:val="22"/>
          <w:lang w:val="sk-SK"/>
        </w:rPr>
        <w:t>antichol</w:t>
      </w:r>
      <w:r w:rsidR="00BE5981">
        <w:rPr>
          <w:sz w:val="22"/>
          <w:szCs w:val="22"/>
          <w:lang w:val="sk-SK"/>
        </w:rPr>
        <w:t>inergický</w:t>
      </w:r>
      <w:proofErr w:type="spellEnd"/>
      <w:r w:rsidR="00B607D1" w:rsidRPr="00B607D1">
        <w:rPr>
          <w:sz w:val="22"/>
          <w:szCs w:val="22"/>
          <w:lang w:val="sk-SK"/>
        </w:rPr>
        <w:t xml:space="preserve"> účin</w:t>
      </w:r>
      <w:r>
        <w:rPr>
          <w:sz w:val="22"/>
          <w:szCs w:val="22"/>
          <w:lang w:val="sk-SK"/>
        </w:rPr>
        <w:t>o</w:t>
      </w:r>
      <w:r w:rsidR="00B607D1" w:rsidRPr="00B607D1">
        <w:rPr>
          <w:sz w:val="22"/>
          <w:szCs w:val="22"/>
          <w:lang w:val="sk-SK"/>
        </w:rPr>
        <w:t xml:space="preserve">k </w:t>
      </w:r>
      <w:r>
        <w:rPr>
          <w:sz w:val="22"/>
          <w:szCs w:val="22"/>
          <w:lang w:val="sk-SK"/>
        </w:rPr>
        <w:t>N-</w:t>
      </w:r>
      <w:proofErr w:type="spellStart"/>
      <w:r>
        <w:rPr>
          <w:sz w:val="22"/>
          <w:szCs w:val="22"/>
          <w:lang w:val="sk-SK"/>
        </w:rPr>
        <w:t>butylskopolamínium</w:t>
      </w:r>
      <w:proofErr w:type="spellEnd"/>
      <w:r w:rsidR="00BE5981">
        <w:rPr>
          <w:sz w:val="22"/>
          <w:szCs w:val="22"/>
          <w:lang w:val="sk-SK"/>
        </w:rPr>
        <w:t>-</w:t>
      </w:r>
      <w:proofErr w:type="spellStart"/>
      <w:r>
        <w:rPr>
          <w:sz w:val="22"/>
          <w:szCs w:val="22"/>
          <w:lang w:val="sk-SK"/>
        </w:rPr>
        <w:t>bromidu</w:t>
      </w:r>
      <w:proofErr w:type="spellEnd"/>
      <w:r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 xml:space="preserve">vyplýva z blokády </w:t>
      </w:r>
      <w:proofErr w:type="spellStart"/>
      <w:r>
        <w:rPr>
          <w:sz w:val="22"/>
          <w:szCs w:val="22"/>
          <w:lang w:val="sk-SK"/>
        </w:rPr>
        <w:t>parasympatických</w:t>
      </w:r>
      <w:proofErr w:type="spellEnd"/>
      <w:r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>gangli</w:t>
      </w:r>
      <w:r>
        <w:rPr>
          <w:sz w:val="22"/>
          <w:szCs w:val="22"/>
          <w:lang w:val="sk-SK"/>
        </w:rPr>
        <w:t>í</w:t>
      </w:r>
      <w:r w:rsidR="00B607D1" w:rsidRPr="00B607D1">
        <w:rPr>
          <w:sz w:val="22"/>
          <w:szCs w:val="22"/>
          <w:lang w:val="sk-SK"/>
        </w:rPr>
        <w:t xml:space="preserve"> v stene </w:t>
      </w:r>
      <w:r>
        <w:rPr>
          <w:sz w:val="22"/>
          <w:szCs w:val="22"/>
          <w:lang w:val="sk-SK"/>
        </w:rPr>
        <w:t>čreva</w:t>
      </w:r>
      <w:r w:rsidR="00BE5981">
        <w:rPr>
          <w:sz w:val="22"/>
          <w:szCs w:val="22"/>
          <w:lang w:val="sk-SK"/>
        </w:rPr>
        <w:t xml:space="preserve"> a čiastočne </w:t>
      </w:r>
      <w:r w:rsidR="00B607D1" w:rsidRPr="00B607D1">
        <w:rPr>
          <w:sz w:val="22"/>
          <w:szCs w:val="22"/>
          <w:lang w:val="sk-SK"/>
        </w:rPr>
        <w:t xml:space="preserve"> z</w:t>
      </w:r>
      <w:r>
        <w:rPr>
          <w:sz w:val="22"/>
          <w:szCs w:val="22"/>
          <w:lang w:val="sk-SK"/>
        </w:rPr>
        <w:t> </w:t>
      </w:r>
      <w:proofErr w:type="spellStart"/>
      <w:r w:rsidR="00B607D1" w:rsidRPr="00B607D1">
        <w:rPr>
          <w:sz w:val="22"/>
          <w:szCs w:val="22"/>
          <w:lang w:val="sk-SK"/>
        </w:rPr>
        <w:t>antimuskarínovej</w:t>
      </w:r>
      <w:proofErr w:type="spellEnd"/>
      <w:r w:rsidR="00B607D1" w:rsidRPr="00B607D1">
        <w:rPr>
          <w:sz w:val="22"/>
          <w:szCs w:val="22"/>
          <w:lang w:val="sk-SK"/>
        </w:rPr>
        <w:t xml:space="preserve"> aktivity.</w:t>
      </w:r>
    </w:p>
    <w:p w14:paraId="572EF9E1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40350DD8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5.2</w:t>
      </w:r>
      <w:r w:rsidRPr="00B607D1">
        <w:rPr>
          <w:b/>
          <w:color w:val="000000"/>
          <w:sz w:val="22"/>
          <w:szCs w:val="22"/>
          <w:lang w:val="sk-SK"/>
        </w:rPr>
        <w:tab/>
      </w:r>
      <w:proofErr w:type="spellStart"/>
      <w:r w:rsidRPr="00B607D1">
        <w:rPr>
          <w:b/>
          <w:color w:val="000000"/>
          <w:sz w:val="22"/>
          <w:szCs w:val="22"/>
          <w:lang w:val="sk-SK"/>
        </w:rPr>
        <w:t>Farmakokinetické</w:t>
      </w:r>
      <w:proofErr w:type="spellEnd"/>
      <w:r w:rsidRPr="00B607D1">
        <w:rPr>
          <w:b/>
          <w:color w:val="000000"/>
          <w:sz w:val="22"/>
          <w:szCs w:val="22"/>
          <w:lang w:val="sk-SK"/>
        </w:rPr>
        <w:t xml:space="preserve"> vlastnosti</w:t>
      </w:r>
    </w:p>
    <w:p w14:paraId="4E6100E4" w14:textId="77777777" w:rsidR="00F24DC5" w:rsidRPr="00F24DC5" w:rsidRDefault="00F24DC5" w:rsidP="00B607D1">
      <w:pPr>
        <w:rPr>
          <w:sz w:val="22"/>
          <w:szCs w:val="22"/>
          <w:lang w:val="sk-SK"/>
        </w:rPr>
      </w:pPr>
    </w:p>
    <w:p w14:paraId="7A6C1A78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Absorpcia a distribúcia</w:t>
      </w:r>
    </w:p>
    <w:p w14:paraId="20406029" w14:textId="1B56AFA8" w:rsidR="00CB088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Po intravenóznom podaní sa </w:t>
      </w:r>
      <w:proofErr w:type="spellStart"/>
      <w:r w:rsidRPr="00B607D1">
        <w:rPr>
          <w:sz w:val="22"/>
          <w:szCs w:val="22"/>
          <w:lang w:val="sk-SK"/>
        </w:rPr>
        <w:t>butylskopolamínium</w:t>
      </w:r>
      <w:r w:rsidR="00745344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proofErr w:type="spellEnd"/>
      <w:r w:rsidRPr="00B607D1">
        <w:rPr>
          <w:sz w:val="22"/>
          <w:szCs w:val="22"/>
          <w:lang w:val="sk-SK"/>
        </w:rPr>
        <w:t xml:space="preserve"> rýchlo distribuuje do tkanív (t</w:t>
      </w:r>
      <w:r w:rsidRPr="00B607D1">
        <w:rPr>
          <w:sz w:val="22"/>
          <w:szCs w:val="22"/>
          <w:vertAlign w:val="subscript"/>
          <w:lang w:val="sk-SK"/>
        </w:rPr>
        <w:t>1/2</w:t>
      </w:r>
      <w:r w:rsidR="00F24DC5">
        <w:rPr>
          <w:sz w:val="22"/>
          <w:szCs w:val="22"/>
          <w:vertAlign w:val="subscript"/>
          <w:lang w:val="sk-SK"/>
        </w:rPr>
        <w:t>α</w:t>
      </w:r>
      <w:r w:rsidRPr="00B607D1">
        <w:rPr>
          <w:sz w:val="22"/>
          <w:szCs w:val="22"/>
          <w:lang w:val="sk-SK"/>
        </w:rPr>
        <w:t xml:space="preserve"> = 4 min, t</w:t>
      </w:r>
      <w:r w:rsidRPr="00B607D1">
        <w:rPr>
          <w:sz w:val="22"/>
          <w:szCs w:val="22"/>
          <w:vertAlign w:val="subscript"/>
          <w:lang w:val="sk-SK"/>
        </w:rPr>
        <w:t>1/2</w:t>
      </w:r>
      <w:r w:rsidR="00F24DC5">
        <w:rPr>
          <w:sz w:val="22"/>
          <w:szCs w:val="22"/>
          <w:vertAlign w:val="subscript"/>
          <w:lang w:val="sk-SK"/>
        </w:rPr>
        <w:t>β</w:t>
      </w:r>
      <w:r w:rsidRPr="00B607D1">
        <w:rPr>
          <w:sz w:val="22"/>
          <w:szCs w:val="22"/>
          <w:lang w:val="sk-SK"/>
        </w:rPr>
        <w:t xml:space="preserve"> = 29 min). Distribučný objem (</w:t>
      </w:r>
      <w:proofErr w:type="spellStart"/>
      <w:r w:rsidRPr="00B607D1">
        <w:rPr>
          <w:sz w:val="22"/>
          <w:szCs w:val="22"/>
          <w:lang w:val="sk-SK"/>
        </w:rPr>
        <w:t>V</w:t>
      </w:r>
      <w:r w:rsidRPr="00F24DC5">
        <w:rPr>
          <w:sz w:val="22"/>
          <w:szCs w:val="22"/>
          <w:lang w:val="sk-SK"/>
        </w:rPr>
        <w:t>ss</w:t>
      </w:r>
      <w:proofErr w:type="spellEnd"/>
      <w:r w:rsidRPr="00B607D1">
        <w:rPr>
          <w:sz w:val="22"/>
          <w:szCs w:val="22"/>
          <w:lang w:val="sk-SK"/>
        </w:rPr>
        <w:t xml:space="preserve">) je 128 l (čo zodpovedá približne 1,7 l/kg). Pre vysokú afinitu k </w:t>
      </w:r>
      <w:proofErr w:type="spellStart"/>
      <w:r w:rsidRPr="00B607D1">
        <w:rPr>
          <w:sz w:val="22"/>
          <w:szCs w:val="22"/>
          <w:lang w:val="sk-SK"/>
        </w:rPr>
        <w:t>muskarínovým</w:t>
      </w:r>
      <w:proofErr w:type="spellEnd"/>
      <w:r w:rsidRPr="00B607D1">
        <w:rPr>
          <w:sz w:val="22"/>
          <w:szCs w:val="22"/>
          <w:lang w:val="sk-SK"/>
        </w:rPr>
        <w:t xml:space="preserve"> a nikotínovým receptorom sa </w:t>
      </w:r>
      <w:proofErr w:type="spellStart"/>
      <w:r w:rsidRPr="00B607D1">
        <w:rPr>
          <w:sz w:val="22"/>
          <w:szCs w:val="22"/>
          <w:lang w:val="sk-SK"/>
        </w:rPr>
        <w:t>butylskopolamínium</w:t>
      </w:r>
      <w:r w:rsidR="00501C47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proofErr w:type="spellEnd"/>
      <w:r w:rsidRPr="00B607D1">
        <w:rPr>
          <w:sz w:val="22"/>
          <w:szCs w:val="22"/>
          <w:lang w:val="sk-SK"/>
        </w:rPr>
        <w:t xml:space="preserve"> distribuuje prevažne do buniek svalov v brušnej a panvovej oblasti, ako aj do </w:t>
      </w:r>
      <w:proofErr w:type="spellStart"/>
      <w:r w:rsidRPr="00B607D1">
        <w:rPr>
          <w:sz w:val="22"/>
          <w:szCs w:val="22"/>
          <w:lang w:val="sk-SK"/>
        </w:rPr>
        <w:t>intramurálnych</w:t>
      </w:r>
      <w:proofErr w:type="spellEnd"/>
      <w:r w:rsidRPr="00B607D1">
        <w:rPr>
          <w:sz w:val="22"/>
          <w:szCs w:val="22"/>
          <w:lang w:val="sk-SK"/>
        </w:rPr>
        <w:t xml:space="preserve"> ganglií brušných orgánov. Väzba na plazmatické bielkoviny je približne 4,4</w:t>
      </w:r>
      <w:r w:rsidR="00501C47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 xml:space="preserve">%. Štúdie na zvieratách preukázali, že </w:t>
      </w:r>
      <w:proofErr w:type="spellStart"/>
      <w:r w:rsidRPr="00B607D1">
        <w:rPr>
          <w:sz w:val="22"/>
          <w:szCs w:val="22"/>
          <w:lang w:val="sk-SK"/>
        </w:rPr>
        <w:t>butylskopolamínium</w:t>
      </w:r>
      <w:r w:rsidR="00501C47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proofErr w:type="spellEnd"/>
      <w:r w:rsidRPr="00B607D1">
        <w:rPr>
          <w:sz w:val="22"/>
          <w:szCs w:val="22"/>
          <w:lang w:val="sk-SK"/>
        </w:rPr>
        <w:t xml:space="preserve"> neprechádza </w:t>
      </w:r>
      <w:proofErr w:type="spellStart"/>
      <w:r w:rsidRPr="00B607D1">
        <w:rPr>
          <w:sz w:val="22"/>
          <w:szCs w:val="22"/>
          <w:lang w:val="sk-SK"/>
        </w:rPr>
        <w:t>hematoencefalickou</w:t>
      </w:r>
      <w:proofErr w:type="spellEnd"/>
      <w:r w:rsidRPr="00B607D1">
        <w:rPr>
          <w:sz w:val="22"/>
          <w:szCs w:val="22"/>
          <w:lang w:val="sk-SK"/>
        </w:rPr>
        <w:t xml:space="preserve"> bariérou, ale o tomto účinku nie sú dostupné klinické údaje. </w:t>
      </w:r>
    </w:p>
    <w:p w14:paraId="60B5D464" w14:textId="77777777" w:rsidR="00F24DC5" w:rsidRPr="00B607D1" w:rsidRDefault="00F24DC5" w:rsidP="00B607D1">
      <w:pPr>
        <w:rPr>
          <w:sz w:val="22"/>
          <w:szCs w:val="22"/>
          <w:lang w:val="sk-SK"/>
        </w:rPr>
      </w:pPr>
    </w:p>
    <w:p w14:paraId="3AA1F5D1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proofErr w:type="spellStart"/>
      <w:r w:rsidRPr="00B607D1">
        <w:rPr>
          <w:sz w:val="22"/>
          <w:szCs w:val="22"/>
          <w:u w:val="single"/>
          <w:lang w:val="sk-SK"/>
        </w:rPr>
        <w:t>Biotransformácia</w:t>
      </w:r>
      <w:proofErr w:type="spellEnd"/>
      <w:r w:rsidRPr="00B607D1">
        <w:rPr>
          <w:sz w:val="22"/>
          <w:szCs w:val="22"/>
          <w:u w:val="single"/>
          <w:lang w:val="sk-SK"/>
        </w:rPr>
        <w:t xml:space="preserve"> a eliminácia</w:t>
      </w:r>
    </w:p>
    <w:p w14:paraId="72602592" w14:textId="2A141F4A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Hlavná metabolická cesta je hydrolytické štiepenie esterov</w:t>
      </w:r>
      <w:r w:rsidR="00F24DC5">
        <w:rPr>
          <w:sz w:val="22"/>
          <w:szCs w:val="22"/>
          <w:lang w:val="sk-SK"/>
        </w:rPr>
        <w:t>ej</w:t>
      </w:r>
      <w:r w:rsidRPr="00B607D1">
        <w:rPr>
          <w:sz w:val="22"/>
          <w:szCs w:val="22"/>
          <w:lang w:val="sk-SK"/>
        </w:rPr>
        <w:t xml:space="preserve"> väzb</w:t>
      </w:r>
      <w:r w:rsidR="00F24DC5">
        <w:rPr>
          <w:sz w:val="22"/>
          <w:szCs w:val="22"/>
          <w:lang w:val="sk-SK"/>
        </w:rPr>
        <w:t>y</w:t>
      </w:r>
      <w:r w:rsidRPr="00B607D1">
        <w:rPr>
          <w:sz w:val="22"/>
          <w:szCs w:val="22"/>
          <w:lang w:val="sk-SK"/>
        </w:rPr>
        <w:t xml:space="preserve">. Polčas koncovej fázy vylučovania je približne 5 hodín. Celkový </w:t>
      </w:r>
      <w:proofErr w:type="spellStart"/>
      <w:r w:rsidRPr="00B607D1">
        <w:rPr>
          <w:sz w:val="22"/>
          <w:szCs w:val="22"/>
          <w:lang w:val="sk-SK"/>
        </w:rPr>
        <w:t>klírens</w:t>
      </w:r>
      <w:proofErr w:type="spellEnd"/>
      <w:r w:rsidRPr="00B607D1">
        <w:rPr>
          <w:sz w:val="22"/>
          <w:szCs w:val="22"/>
          <w:lang w:val="sk-SK"/>
        </w:rPr>
        <w:t xml:space="preserve"> je 1,2 l/min. Po intravenóznej injekcii sa 42 až 61 % podanej dávky vylúči </w:t>
      </w:r>
      <w:r w:rsidR="00501C47">
        <w:rPr>
          <w:sz w:val="22"/>
          <w:szCs w:val="22"/>
          <w:lang w:val="sk-SK"/>
        </w:rPr>
        <w:t>močom</w:t>
      </w:r>
      <w:r w:rsidRPr="00B607D1">
        <w:rPr>
          <w:sz w:val="22"/>
          <w:szCs w:val="22"/>
          <w:lang w:val="sk-SK"/>
        </w:rPr>
        <w:t xml:space="preserve"> a 28,3 až 37 % stolicou.</w:t>
      </w:r>
      <w:r w:rsidR="001547D7">
        <w:rPr>
          <w:sz w:val="22"/>
          <w:szCs w:val="22"/>
          <w:lang w:val="sk-SK"/>
        </w:rPr>
        <w:t xml:space="preserve"> Približne 50 % dávky je </w:t>
      </w:r>
      <w:r w:rsidRPr="00B607D1">
        <w:rPr>
          <w:sz w:val="22"/>
          <w:szCs w:val="22"/>
          <w:lang w:val="sk-SK"/>
        </w:rPr>
        <w:t xml:space="preserve">vylúčené </w:t>
      </w:r>
      <w:r w:rsidR="00501C47">
        <w:rPr>
          <w:sz w:val="22"/>
          <w:szCs w:val="22"/>
          <w:lang w:val="sk-SK"/>
        </w:rPr>
        <w:t xml:space="preserve">močom </w:t>
      </w:r>
      <w:r w:rsidRPr="00B607D1">
        <w:rPr>
          <w:sz w:val="22"/>
          <w:szCs w:val="22"/>
          <w:lang w:val="sk-SK"/>
        </w:rPr>
        <w:t xml:space="preserve"> </w:t>
      </w:r>
      <w:r w:rsidR="001547D7">
        <w:rPr>
          <w:sz w:val="22"/>
          <w:szCs w:val="22"/>
          <w:lang w:val="sk-SK"/>
        </w:rPr>
        <w:t>v nezmenenej podobe</w:t>
      </w:r>
      <w:r w:rsidRPr="00B607D1">
        <w:rPr>
          <w:sz w:val="22"/>
          <w:szCs w:val="22"/>
          <w:lang w:val="sk-SK"/>
        </w:rPr>
        <w:t xml:space="preserve">. </w:t>
      </w:r>
      <w:proofErr w:type="spellStart"/>
      <w:r w:rsidRPr="00B607D1">
        <w:rPr>
          <w:sz w:val="22"/>
          <w:szCs w:val="22"/>
          <w:lang w:val="sk-SK"/>
        </w:rPr>
        <w:t>Metabolity</w:t>
      </w:r>
      <w:proofErr w:type="spellEnd"/>
      <w:r w:rsidRPr="00B607D1">
        <w:rPr>
          <w:sz w:val="22"/>
          <w:szCs w:val="22"/>
          <w:lang w:val="sk-SK"/>
        </w:rPr>
        <w:t xml:space="preserve"> vylučované obličkami sa slabo viažu na </w:t>
      </w:r>
      <w:proofErr w:type="spellStart"/>
      <w:r w:rsidRPr="00B607D1">
        <w:rPr>
          <w:sz w:val="22"/>
          <w:szCs w:val="22"/>
          <w:lang w:val="sk-SK"/>
        </w:rPr>
        <w:t>muskarínové</w:t>
      </w:r>
      <w:proofErr w:type="spellEnd"/>
      <w:r w:rsidRPr="00B607D1">
        <w:rPr>
          <w:sz w:val="22"/>
          <w:szCs w:val="22"/>
          <w:lang w:val="sk-SK"/>
        </w:rPr>
        <w:t xml:space="preserve"> receptory, a</w:t>
      </w:r>
      <w:r w:rsidR="001547D7">
        <w:rPr>
          <w:sz w:val="22"/>
          <w:szCs w:val="22"/>
          <w:lang w:val="sk-SK"/>
        </w:rPr>
        <w:t> </w:t>
      </w:r>
      <w:r w:rsidRPr="00B607D1">
        <w:rPr>
          <w:sz w:val="22"/>
          <w:szCs w:val="22"/>
          <w:lang w:val="sk-SK"/>
        </w:rPr>
        <w:t xml:space="preserve">preto sa nepredpokladá, že </w:t>
      </w:r>
      <w:r w:rsidR="00CF67EB">
        <w:rPr>
          <w:sz w:val="22"/>
          <w:szCs w:val="22"/>
          <w:lang w:val="sk-SK"/>
        </w:rPr>
        <w:t>prispievajú</w:t>
      </w:r>
      <w:r w:rsidRPr="00B607D1">
        <w:rPr>
          <w:sz w:val="22"/>
          <w:szCs w:val="22"/>
          <w:lang w:val="sk-SK"/>
        </w:rPr>
        <w:t xml:space="preserve"> k účinku </w:t>
      </w:r>
      <w:proofErr w:type="spellStart"/>
      <w:r w:rsidRPr="00B607D1">
        <w:rPr>
          <w:sz w:val="22"/>
          <w:szCs w:val="22"/>
          <w:lang w:val="sk-SK"/>
        </w:rPr>
        <w:t>butylskopolamínium</w:t>
      </w:r>
      <w:r w:rsidR="00CF67EB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bromidu</w:t>
      </w:r>
      <w:proofErr w:type="spellEnd"/>
      <w:r w:rsidRPr="00B607D1">
        <w:rPr>
          <w:sz w:val="22"/>
          <w:szCs w:val="22"/>
          <w:lang w:val="sk-SK"/>
        </w:rPr>
        <w:t>.</w:t>
      </w:r>
    </w:p>
    <w:p w14:paraId="6D8E394A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0438B16A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5.3</w:t>
      </w:r>
      <w:r w:rsidRPr="00B607D1">
        <w:rPr>
          <w:b/>
          <w:color w:val="000000"/>
          <w:sz w:val="22"/>
          <w:szCs w:val="22"/>
          <w:lang w:val="sk-SK"/>
        </w:rPr>
        <w:tab/>
        <w:t>Predklinické údaje o bezpečnosti</w:t>
      </w:r>
    </w:p>
    <w:p w14:paraId="0DFAE7C8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6D9AA6F0" w14:textId="07876368" w:rsidR="00CB0881" w:rsidRPr="00B607D1" w:rsidRDefault="001547D7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 obmedzených</w:t>
      </w:r>
      <w:r w:rsidR="00B607D1" w:rsidRPr="00B607D1">
        <w:rPr>
          <w:sz w:val="22"/>
          <w:szCs w:val="22"/>
          <w:lang w:val="sk-SK"/>
        </w:rPr>
        <w:t xml:space="preserve"> štúdiách reprodukčnej toxicity </w:t>
      </w:r>
      <w:proofErr w:type="spellStart"/>
      <w:r w:rsidR="00B607D1" w:rsidRPr="00B607D1">
        <w:rPr>
          <w:sz w:val="22"/>
          <w:szCs w:val="22"/>
          <w:lang w:val="sk-SK"/>
        </w:rPr>
        <w:t>butylskopolamínium</w:t>
      </w:r>
      <w:r w:rsidR="00A3329D">
        <w:rPr>
          <w:sz w:val="22"/>
          <w:szCs w:val="22"/>
          <w:lang w:val="sk-SK"/>
        </w:rPr>
        <w:t>-</w:t>
      </w:r>
      <w:r w:rsidR="00B607D1" w:rsidRPr="00B607D1">
        <w:rPr>
          <w:sz w:val="22"/>
          <w:szCs w:val="22"/>
          <w:lang w:val="sk-SK"/>
        </w:rPr>
        <w:t>bromid</w:t>
      </w:r>
      <w:proofErr w:type="spellEnd"/>
      <w:r w:rsidR="00B607D1" w:rsidRPr="00B607D1">
        <w:rPr>
          <w:sz w:val="22"/>
          <w:szCs w:val="22"/>
          <w:lang w:val="sk-SK"/>
        </w:rPr>
        <w:t xml:space="preserve"> nepreukázal </w:t>
      </w:r>
      <w:proofErr w:type="spellStart"/>
      <w:r w:rsidR="00B607D1" w:rsidRPr="00B607D1">
        <w:rPr>
          <w:sz w:val="22"/>
          <w:szCs w:val="22"/>
          <w:lang w:val="sk-SK"/>
        </w:rPr>
        <w:t>teratogénny</w:t>
      </w:r>
      <w:proofErr w:type="spellEnd"/>
      <w:r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 xml:space="preserve">účinok </w:t>
      </w:r>
      <w:r w:rsidR="00A3329D">
        <w:rPr>
          <w:sz w:val="22"/>
          <w:szCs w:val="22"/>
          <w:lang w:val="sk-SK"/>
        </w:rPr>
        <w:t>na</w:t>
      </w:r>
      <w:r w:rsidR="00B607D1" w:rsidRPr="00B607D1">
        <w:rPr>
          <w:sz w:val="22"/>
          <w:szCs w:val="22"/>
          <w:lang w:val="sk-SK"/>
        </w:rPr>
        <w:t xml:space="preserve"> potkano</w:t>
      </w:r>
      <w:r w:rsidR="00A3329D">
        <w:rPr>
          <w:sz w:val="22"/>
          <w:szCs w:val="22"/>
          <w:lang w:val="sk-SK"/>
        </w:rPr>
        <w:t>ch</w:t>
      </w:r>
      <w:r w:rsidR="00B607D1" w:rsidRPr="00B607D1">
        <w:rPr>
          <w:sz w:val="22"/>
          <w:szCs w:val="22"/>
          <w:lang w:val="sk-SK"/>
        </w:rPr>
        <w:t xml:space="preserve"> pri dávke 200 mg/kg v potrave ani u králikov pri dávke 200 mg/kg </w:t>
      </w:r>
      <w:r w:rsidR="00A3329D">
        <w:rPr>
          <w:sz w:val="22"/>
          <w:szCs w:val="22"/>
          <w:lang w:val="sk-SK"/>
        </w:rPr>
        <w:t>žalúdočnou</w:t>
      </w:r>
      <w:r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>sondou</w:t>
      </w:r>
      <w:r>
        <w:rPr>
          <w:sz w:val="22"/>
          <w:szCs w:val="22"/>
          <w:lang w:val="sk-SK"/>
        </w:rPr>
        <w:t xml:space="preserve"> alebo </w:t>
      </w:r>
      <w:r w:rsidR="00B607D1" w:rsidRPr="00B607D1">
        <w:rPr>
          <w:sz w:val="22"/>
          <w:szCs w:val="22"/>
          <w:lang w:val="sk-SK"/>
        </w:rPr>
        <w:t xml:space="preserve">50 mg/kg </w:t>
      </w:r>
      <w:proofErr w:type="spellStart"/>
      <w:r w:rsidR="00B607D1" w:rsidRPr="00B607D1">
        <w:rPr>
          <w:sz w:val="22"/>
          <w:szCs w:val="22"/>
          <w:lang w:val="sk-SK"/>
        </w:rPr>
        <w:t>subkutánnou</w:t>
      </w:r>
      <w:proofErr w:type="spellEnd"/>
      <w:r w:rsidR="00B607D1" w:rsidRPr="00B607D1">
        <w:rPr>
          <w:sz w:val="22"/>
          <w:szCs w:val="22"/>
          <w:lang w:val="sk-SK"/>
        </w:rPr>
        <w:t xml:space="preserve"> injekciou. Plodnosť u potkanov nebola narušená pri dávkach </w:t>
      </w:r>
      <w:r w:rsidR="00A3329D">
        <w:rPr>
          <w:sz w:val="22"/>
          <w:szCs w:val="22"/>
          <w:lang w:val="sk-SK"/>
        </w:rPr>
        <w:t xml:space="preserve">až </w:t>
      </w:r>
      <w:r w:rsidR="00B607D1" w:rsidRPr="00B607D1">
        <w:rPr>
          <w:sz w:val="22"/>
          <w:szCs w:val="22"/>
          <w:lang w:val="sk-SK"/>
        </w:rPr>
        <w:t>do 200 mg/kg v potrave.</w:t>
      </w:r>
    </w:p>
    <w:p w14:paraId="610349BC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56309793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2133B9EC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</w:t>
      </w:r>
      <w:r w:rsidRPr="00B607D1">
        <w:rPr>
          <w:b/>
          <w:color w:val="000000"/>
          <w:sz w:val="22"/>
          <w:szCs w:val="22"/>
          <w:lang w:val="sk-SK"/>
        </w:rPr>
        <w:tab/>
        <w:t>FARMACEUTICKÉ INFORMÁCIE</w:t>
      </w:r>
    </w:p>
    <w:p w14:paraId="58704C34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67284CF1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6.1</w:t>
      </w:r>
      <w:r w:rsidRPr="00B607D1">
        <w:rPr>
          <w:b/>
          <w:color w:val="000000"/>
          <w:sz w:val="22"/>
          <w:szCs w:val="22"/>
          <w:lang w:val="sk-SK"/>
        </w:rPr>
        <w:tab/>
        <w:t>Zoznam pomocných látok</w:t>
      </w:r>
    </w:p>
    <w:p w14:paraId="101CA287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3593DAE1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chlorid sodný</w:t>
      </w:r>
    </w:p>
    <w:p w14:paraId="0440A84F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kyselina chlorovodíková, koncentrovaná (na úpravu pH)</w:t>
      </w:r>
    </w:p>
    <w:p w14:paraId="3F858583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lastRenderedPageBreak/>
        <w:t>hydroxid sodný (na úpravu pH)</w:t>
      </w:r>
    </w:p>
    <w:p w14:paraId="005FCFE1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voda na injekcie</w:t>
      </w:r>
    </w:p>
    <w:p w14:paraId="76B6A3AE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57B24C36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6.2</w:t>
      </w:r>
      <w:r w:rsidRPr="00B607D1">
        <w:rPr>
          <w:b/>
          <w:color w:val="000000"/>
          <w:sz w:val="22"/>
          <w:szCs w:val="22"/>
          <w:lang w:val="sk-SK"/>
        </w:rPr>
        <w:tab/>
        <w:t>Inkompatibility</w:t>
      </w:r>
    </w:p>
    <w:p w14:paraId="6E22A189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419BF084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Tento liek sa nesmie miešať s inými liekmi okrem tých, ktoré sú uvedené v časti 6.6.</w:t>
      </w:r>
    </w:p>
    <w:p w14:paraId="1666D996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02B61CF9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6.3</w:t>
      </w:r>
      <w:r w:rsidRPr="00B607D1">
        <w:rPr>
          <w:b/>
          <w:color w:val="000000"/>
          <w:sz w:val="22"/>
          <w:szCs w:val="22"/>
          <w:lang w:val="sk-SK"/>
        </w:rPr>
        <w:tab/>
        <w:t>Čas použiteľnosti</w:t>
      </w:r>
    </w:p>
    <w:p w14:paraId="1F8228E4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5F6781A7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1547D7">
        <w:rPr>
          <w:sz w:val="22"/>
          <w:szCs w:val="22"/>
          <w:lang w:val="sk-SK"/>
        </w:rPr>
        <w:t>Neotvorená ampulka:</w:t>
      </w:r>
      <w:r w:rsidRPr="00B607D1">
        <w:rPr>
          <w:sz w:val="22"/>
          <w:szCs w:val="22"/>
          <w:lang w:val="sk-SK"/>
        </w:rPr>
        <w:t xml:space="preserve"> 2 roky </w:t>
      </w:r>
    </w:p>
    <w:p w14:paraId="20E5D7CF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2C94E882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bookmarkStart w:id="2" w:name="_Hlk25735572"/>
      <w:bookmarkStart w:id="3" w:name="_Hlk25735728"/>
      <w:r w:rsidRPr="00B607D1">
        <w:rPr>
          <w:sz w:val="22"/>
          <w:szCs w:val="22"/>
          <w:u w:val="single"/>
          <w:lang w:val="sk-SK"/>
        </w:rPr>
        <w:t>Čas použiteľnosti po prvom otvorení</w:t>
      </w:r>
      <w:r w:rsidRPr="00B607D1">
        <w:rPr>
          <w:sz w:val="22"/>
          <w:szCs w:val="22"/>
          <w:lang w:val="sk-SK"/>
        </w:rPr>
        <w:t>: Liek sa má použiť okamžite po otvorení ampulky.</w:t>
      </w:r>
    </w:p>
    <w:bookmarkEnd w:id="2"/>
    <w:p w14:paraId="67A88191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467F764F" w14:textId="7F156821" w:rsidR="00CB0881" w:rsidRPr="00677859" w:rsidRDefault="00B607D1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 w:rsidRPr="00677859">
        <w:rPr>
          <w:sz w:val="22"/>
          <w:szCs w:val="22"/>
          <w:u w:val="single"/>
          <w:lang w:val="sk-SK"/>
        </w:rPr>
        <w:t>Čas použiteľnosti po riedení</w:t>
      </w:r>
      <w:r w:rsidRPr="00677859">
        <w:rPr>
          <w:sz w:val="22"/>
          <w:szCs w:val="22"/>
          <w:lang w:val="sk-SK"/>
        </w:rPr>
        <w:t xml:space="preserve">: Chemická a fyzikálna stabilita </w:t>
      </w:r>
      <w:r w:rsidR="00677859" w:rsidRPr="00677859">
        <w:rPr>
          <w:sz w:val="22"/>
          <w:szCs w:val="22"/>
          <w:lang w:val="sk-SK"/>
        </w:rPr>
        <w:t>pred</w:t>
      </w:r>
      <w:r w:rsidRPr="00677859">
        <w:rPr>
          <w:sz w:val="22"/>
          <w:szCs w:val="22"/>
          <w:lang w:val="sk-SK"/>
        </w:rPr>
        <w:t xml:space="preserve"> použití</w:t>
      </w:r>
      <w:r w:rsidR="00677859" w:rsidRPr="00677859">
        <w:rPr>
          <w:sz w:val="22"/>
          <w:szCs w:val="22"/>
          <w:lang w:val="sk-SK"/>
        </w:rPr>
        <w:t>m</w:t>
      </w:r>
      <w:r w:rsidRPr="00677859">
        <w:rPr>
          <w:sz w:val="22"/>
          <w:szCs w:val="22"/>
          <w:lang w:val="sk-SK"/>
        </w:rPr>
        <w:t xml:space="preserve"> bola preukázaná po</w:t>
      </w:r>
      <w:r w:rsidR="00677859" w:rsidRPr="00677859">
        <w:rPr>
          <w:sz w:val="22"/>
          <w:szCs w:val="22"/>
          <w:lang w:val="sk-SK"/>
        </w:rPr>
        <w:t xml:space="preserve"> dobu</w:t>
      </w:r>
      <w:r w:rsidRPr="00677859">
        <w:rPr>
          <w:sz w:val="22"/>
          <w:szCs w:val="22"/>
          <w:lang w:val="sk-SK"/>
        </w:rPr>
        <w:t xml:space="preserve"> 24</w:t>
      </w:r>
      <w:r w:rsidR="001547D7" w:rsidRPr="00677859">
        <w:rPr>
          <w:sz w:val="22"/>
          <w:szCs w:val="22"/>
          <w:lang w:val="sk-SK"/>
        </w:rPr>
        <w:t> </w:t>
      </w:r>
      <w:r w:rsidRPr="00677859">
        <w:rPr>
          <w:sz w:val="22"/>
          <w:szCs w:val="22"/>
          <w:lang w:val="sk-SK"/>
        </w:rPr>
        <w:t>hodín pri 25 °C a 2-8 °C.</w:t>
      </w:r>
    </w:p>
    <w:p w14:paraId="22EA9E5A" w14:textId="440DDA8B" w:rsidR="00CB0881" w:rsidRPr="00B607D1" w:rsidRDefault="00B607D1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 w:rsidRPr="00677859">
        <w:rPr>
          <w:sz w:val="22"/>
          <w:szCs w:val="22"/>
          <w:lang w:val="sk-SK"/>
        </w:rPr>
        <w:t>Z mikrobiologického hľadiska sa m</w:t>
      </w:r>
      <w:r w:rsidR="00677859" w:rsidRPr="00677859">
        <w:rPr>
          <w:sz w:val="22"/>
          <w:szCs w:val="22"/>
          <w:lang w:val="sk-SK"/>
        </w:rPr>
        <w:t xml:space="preserve">á </w:t>
      </w:r>
      <w:r w:rsidRPr="00677859">
        <w:rPr>
          <w:sz w:val="22"/>
          <w:szCs w:val="22"/>
          <w:lang w:val="sk-SK"/>
        </w:rPr>
        <w:t>liek použiť okamžite. Ak sa nepoužije okamžite, za čas a</w:t>
      </w:r>
      <w:r w:rsidR="001547D7" w:rsidRPr="00677859">
        <w:rPr>
          <w:sz w:val="22"/>
          <w:szCs w:val="22"/>
          <w:lang w:val="sk-SK"/>
        </w:rPr>
        <w:t> </w:t>
      </w:r>
      <w:r w:rsidRPr="00677859">
        <w:rPr>
          <w:sz w:val="22"/>
          <w:szCs w:val="22"/>
          <w:lang w:val="sk-SK"/>
        </w:rPr>
        <w:t xml:space="preserve">podmienky uchovávania pred použitím </w:t>
      </w:r>
      <w:r w:rsidR="00677859" w:rsidRPr="00677859">
        <w:rPr>
          <w:sz w:val="22"/>
          <w:szCs w:val="22"/>
          <w:lang w:val="sk-SK"/>
        </w:rPr>
        <w:t xml:space="preserve">je </w:t>
      </w:r>
      <w:r w:rsidRPr="00677859">
        <w:rPr>
          <w:sz w:val="22"/>
          <w:szCs w:val="22"/>
          <w:lang w:val="sk-SK"/>
        </w:rPr>
        <w:t>zodpoved</w:t>
      </w:r>
      <w:r w:rsidR="00677859" w:rsidRPr="00677859">
        <w:rPr>
          <w:sz w:val="22"/>
          <w:szCs w:val="22"/>
          <w:lang w:val="sk-SK"/>
        </w:rPr>
        <w:t>ný</w:t>
      </w:r>
      <w:r w:rsidRPr="00677859">
        <w:rPr>
          <w:sz w:val="22"/>
          <w:szCs w:val="22"/>
          <w:lang w:val="sk-SK"/>
        </w:rPr>
        <w:t xml:space="preserve"> používateľ a z</w:t>
      </w:r>
      <w:r w:rsidR="00677859" w:rsidRPr="00677859">
        <w:rPr>
          <w:sz w:val="22"/>
          <w:szCs w:val="22"/>
          <w:lang w:val="sk-SK"/>
        </w:rPr>
        <w:t>vyčajne</w:t>
      </w:r>
      <w:r w:rsidRPr="00677859">
        <w:rPr>
          <w:sz w:val="22"/>
          <w:szCs w:val="22"/>
          <w:lang w:val="sk-SK"/>
        </w:rPr>
        <w:t xml:space="preserve"> nem</w:t>
      </w:r>
      <w:r w:rsidR="00876859">
        <w:rPr>
          <w:sz w:val="22"/>
          <w:szCs w:val="22"/>
          <w:lang w:val="sk-SK"/>
        </w:rPr>
        <w:t>ajú</w:t>
      </w:r>
      <w:r w:rsidRPr="00677859">
        <w:rPr>
          <w:sz w:val="22"/>
          <w:szCs w:val="22"/>
          <w:lang w:val="sk-SK"/>
        </w:rPr>
        <w:t xml:space="preserve"> byť dlhš</w:t>
      </w:r>
      <w:r w:rsidR="00876859">
        <w:rPr>
          <w:sz w:val="22"/>
          <w:szCs w:val="22"/>
          <w:lang w:val="sk-SK"/>
        </w:rPr>
        <w:t>ie</w:t>
      </w:r>
      <w:r w:rsidRPr="00677859">
        <w:rPr>
          <w:sz w:val="22"/>
          <w:szCs w:val="22"/>
          <w:lang w:val="sk-SK"/>
        </w:rPr>
        <w:t xml:space="preserve"> ako 24</w:t>
      </w:r>
      <w:r w:rsidR="00677859" w:rsidRPr="00677859">
        <w:rPr>
          <w:sz w:val="22"/>
          <w:szCs w:val="22"/>
          <w:lang w:val="sk-SK"/>
        </w:rPr>
        <w:t> </w:t>
      </w:r>
      <w:r w:rsidRPr="00677859">
        <w:rPr>
          <w:sz w:val="22"/>
          <w:szCs w:val="22"/>
          <w:lang w:val="sk-SK"/>
        </w:rPr>
        <w:t xml:space="preserve">hodín pri teplote 2 až 8 °C, pokiaľ </w:t>
      </w:r>
      <w:r w:rsidR="00876859">
        <w:rPr>
          <w:sz w:val="22"/>
          <w:szCs w:val="22"/>
          <w:lang w:val="sk-SK"/>
        </w:rPr>
        <w:t xml:space="preserve">sa </w:t>
      </w:r>
      <w:r w:rsidRPr="00677859">
        <w:rPr>
          <w:sz w:val="22"/>
          <w:szCs w:val="22"/>
          <w:lang w:val="sk-SK"/>
        </w:rPr>
        <w:t>riedenie ne</w:t>
      </w:r>
      <w:r w:rsidR="00876859">
        <w:rPr>
          <w:sz w:val="22"/>
          <w:szCs w:val="22"/>
          <w:lang w:val="sk-SK"/>
        </w:rPr>
        <w:t>uskutočnilo</w:t>
      </w:r>
      <w:r w:rsidRPr="00677859">
        <w:rPr>
          <w:sz w:val="22"/>
          <w:szCs w:val="22"/>
          <w:lang w:val="sk-SK"/>
        </w:rPr>
        <w:t xml:space="preserve"> </w:t>
      </w:r>
      <w:r w:rsidR="00876859">
        <w:rPr>
          <w:sz w:val="22"/>
          <w:szCs w:val="22"/>
          <w:lang w:val="sk-SK"/>
        </w:rPr>
        <w:t>v</w:t>
      </w:r>
      <w:r w:rsidRPr="00677859">
        <w:rPr>
          <w:sz w:val="22"/>
          <w:szCs w:val="22"/>
          <w:lang w:val="sk-SK"/>
        </w:rPr>
        <w:t xml:space="preserve"> kontrolovaných a</w:t>
      </w:r>
      <w:r w:rsidR="001547D7" w:rsidRPr="00677859">
        <w:rPr>
          <w:sz w:val="22"/>
          <w:szCs w:val="22"/>
          <w:lang w:val="sk-SK"/>
        </w:rPr>
        <w:t> </w:t>
      </w:r>
      <w:r w:rsidRPr="00677859">
        <w:rPr>
          <w:sz w:val="22"/>
          <w:szCs w:val="22"/>
          <w:lang w:val="sk-SK"/>
        </w:rPr>
        <w:t>validovaných aseptických podmien</w:t>
      </w:r>
      <w:r w:rsidR="00876859">
        <w:rPr>
          <w:sz w:val="22"/>
          <w:szCs w:val="22"/>
          <w:lang w:val="sk-SK"/>
        </w:rPr>
        <w:t>kach</w:t>
      </w:r>
      <w:r w:rsidRPr="00677859">
        <w:rPr>
          <w:sz w:val="22"/>
          <w:szCs w:val="22"/>
          <w:lang w:val="sk-SK"/>
        </w:rPr>
        <w:t>.</w:t>
      </w:r>
    </w:p>
    <w:bookmarkEnd w:id="3"/>
    <w:p w14:paraId="1DC99A85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5A39A027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6.4</w:t>
      </w:r>
      <w:r w:rsidRPr="00B607D1">
        <w:rPr>
          <w:b/>
          <w:color w:val="000000"/>
          <w:sz w:val="22"/>
          <w:szCs w:val="22"/>
          <w:lang w:val="sk-SK"/>
        </w:rPr>
        <w:tab/>
        <w:t>Špeciálne upozornenia na uchovávanie</w:t>
      </w:r>
    </w:p>
    <w:p w14:paraId="6FC1EF14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7DFDB637" w14:textId="77777777" w:rsidR="001547D7" w:rsidRDefault="00B607D1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Tento liek nevyžaduje žiadne zvláštne podmienky na uchovávanie. </w:t>
      </w:r>
    </w:p>
    <w:p w14:paraId="0944682D" w14:textId="77777777" w:rsidR="001547D7" w:rsidRDefault="001547D7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</w:p>
    <w:p w14:paraId="205D3422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Podmienky na uchovávanie po riedení alebo prvom otvorení lieku, pozri časť 6.3.</w:t>
      </w:r>
    </w:p>
    <w:p w14:paraId="32A5AF27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</w:p>
    <w:p w14:paraId="193D4ADB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FF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6.5</w:t>
      </w:r>
      <w:r w:rsidRPr="00B607D1">
        <w:rPr>
          <w:b/>
          <w:color w:val="000000"/>
          <w:sz w:val="22"/>
          <w:szCs w:val="22"/>
          <w:lang w:val="sk-SK"/>
        </w:rPr>
        <w:tab/>
        <w:t>Druh obalu a obsah balenia</w:t>
      </w:r>
      <w:r w:rsidRPr="00B607D1">
        <w:rPr>
          <w:b/>
          <w:color w:val="0000FF"/>
          <w:sz w:val="22"/>
          <w:szCs w:val="22"/>
          <w:lang w:val="sk-SK"/>
        </w:rPr>
        <w:t xml:space="preserve"> </w:t>
      </w:r>
    </w:p>
    <w:p w14:paraId="5F6D654F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22"/>
          <w:szCs w:val="22"/>
          <w:lang w:val="sk-SK"/>
        </w:rPr>
      </w:pPr>
    </w:p>
    <w:p w14:paraId="0625D42F" w14:textId="71C4B580" w:rsidR="00C81F93" w:rsidRPr="007D79EC" w:rsidRDefault="00C81F93" w:rsidP="00C81F93">
      <w:pPr>
        <w:rPr>
          <w:sz w:val="22"/>
          <w:szCs w:val="22"/>
          <w:lang w:val="sk-SK"/>
        </w:rPr>
      </w:pPr>
      <w:bookmarkStart w:id="4" w:name="_Hlk25734996"/>
      <w:r>
        <w:rPr>
          <w:sz w:val="22"/>
          <w:szCs w:val="22"/>
          <w:lang w:val="sk-SK"/>
        </w:rPr>
        <w:t>A</w:t>
      </w:r>
      <w:r w:rsidRPr="007D79EC">
        <w:rPr>
          <w:sz w:val="22"/>
          <w:szCs w:val="22"/>
          <w:lang w:val="sk-SK"/>
        </w:rPr>
        <w:t xml:space="preserve">mpulky </w:t>
      </w:r>
      <w:r>
        <w:rPr>
          <w:sz w:val="22"/>
          <w:szCs w:val="22"/>
          <w:lang w:val="sk-SK"/>
        </w:rPr>
        <w:t xml:space="preserve">z číreho skla </w:t>
      </w:r>
      <w:r w:rsidR="00596148">
        <w:rPr>
          <w:sz w:val="22"/>
          <w:szCs w:val="22"/>
          <w:lang w:val="sk-SK"/>
        </w:rPr>
        <w:t>typu</w:t>
      </w:r>
      <w:r>
        <w:rPr>
          <w:sz w:val="22"/>
          <w:szCs w:val="22"/>
          <w:lang w:val="sk-SK"/>
        </w:rPr>
        <w:t xml:space="preserve"> </w:t>
      </w:r>
      <w:r w:rsidRPr="007D79EC">
        <w:rPr>
          <w:sz w:val="22"/>
          <w:szCs w:val="22"/>
          <w:lang w:val="sk-SK"/>
        </w:rPr>
        <w:t>I s objemom 1 ml.</w:t>
      </w:r>
    </w:p>
    <w:bookmarkEnd w:id="4"/>
    <w:p w14:paraId="7449CF6F" w14:textId="0AB0249A" w:rsidR="00C81F93" w:rsidRPr="007D79EC" w:rsidRDefault="00C81F93" w:rsidP="00C81F93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Ampulky sú balené v PVC </w:t>
      </w:r>
      <w:r>
        <w:rPr>
          <w:sz w:val="22"/>
          <w:szCs w:val="22"/>
          <w:lang w:val="sk-SK"/>
        </w:rPr>
        <w:t>vložkách. Vložky sú balené v</w:t>
      </w:r>
      <w:r w:rsidR="00596148">
        <w:rPr>
          <w:sz w:val="22"/>
          <w:szCs w:val="22"/>
          <w:lang w:val="sk-SK"/>
        </w:rPr>
        <w:t xml:space="preserve"> papierovej </w:t>
      </w:r>
      <w:r w:rsidRPr="007D79EC">
        <w:rPr>
          <w:sz w:val="22"/>
          <w:szCs w:val="22"/>
          <w:lang w:val="sk-SK"/>
        </w:rPr>
        <w:t>škatuľke.</w:t>
      </w:r>
    </w:p>
    <w:p w14:paraId="4EA7D6A6" w14:textId="77777777" w:rsidR="00C81F93" w:rsidRDefault="00C81F93" w:rsidP="00C81F93">
      <w:pPr>
        <w:rPr>
          <w:sz w:val="22"/>
          <w:szCs w:val="22"/>
          <w:lang w:val="sk-SK"/>
        </w:rPr>
      </w:pPr>
    </w:p>
    <w:p w14:paraId="17E28BED" w14:textId="77777777" w:rsidR="00C81F93" w:rsidRDefault="00C81F93" w:rsidP="00C81F93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Veľkos</w:t>
      </w:r>
      <w:r>
        <w:rPr>
          <w:sz w:val="22"/>
          <w:szCs w:val="22"/>
          <w:lang w:val="sk-SK"/>
        </w:rPr>
        <w:t>ti</w:t>
      </w:r>
      <w:r w:rsidRPr="007D79EC">
        <w:rPr>
          <w:sz w:val="22"/>
          <w:szCs w:val="22"/>
          <w:lang w:val="sk-SK"/>
        </w:rPr>
        <w:t xml:space="preserve"> balenia: 5 alebo 10 ampuliek</w:t>
      </w:r>
    </w:p>
    <w:p w14:paraId="60AF69C9" w14:textId="77777777" w:rsidR="00CB0881" w:rsidRPr="00B607D1" w:rsidRDefault="00CB0881" w:rsidP="00B607D1">
      <w:pPr>
        <w:jc w:val="both"/>
        <w:rPr>
          <w:sz w:val="22"/>
          <w:szCs w:val="22"/>
          <w:lang w:val="sk-SK"/>
        </w:rPr>
      </w:pPr>
    </w:p>
    <w:p w14:paraId="447A2101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Na trh nemusia byť uvedené všetky veľkosti balenia.</w:t>
      </w:r>
    </w:p>
    <w:p w14:paraId="1C510D2A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6C72CA03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6.6</w:t>
      </w:r>
      <w:r w:rsidRPr="00B607D1">
        <w:rPr>
          <w:b/>
          <w:color w:val="000000"/>
          <w:sz w:val="22"/>
          <w:szCs w:val="22"/>
          <w:lang w:val="sk-SK"/>
        </w:rPr>
        <w:tab/>
        <w:t>Špeciálne opatrenia na likvidáciu a iné zaobchádzanie s liekom</w:t>
      </w:r>
    </w:p>
    <w:p w14:paraId="0ABCD96B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09ED88F5" w14:textId="54D8CD2B" w:rsidR="00CB0881" w:rsidRPr="00B607D1" w:rsidRDefault="00B607D1" w:rsidP="000304B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bookmarkStart w:id="5" w:name="_Hlk25735384"/>
      <w:r w:rsidRPr="00B607D1">
        <w:rPr>
          <w:sz w:val="22"/>
          <w:szCs w:val="22"/>
          <w:lang w:val="sk-SK"/>
        </w:rPr>
        <w:t>Len na jedno</w:t>
      </w:r>
      <w:r w:rsidR="001547D7">
        <w:rPr>
          <w:sz w:val="22"/>
          <w:szCs w:val="22"/>
          <w:lang w:val="sk-SK"/>
        </w:rPr>
        <w:t>razové</w:t>
      </w:r>
      <w:r w:rsidRPr="00B607D1">
        <w:rPr>
          <w:sz w:val="22"/>
          <w:szCs w:val="22"/>
          <w:lang w:val="sk-SK"/>
        </w:rPr>
        <w:t xml:space="preserve"> použitie. Po otvorení </w:t>
      </w:r>
      <w:r w:rsidR="00356A5F">
        <w:rPr>
          <w:sz w:val="22"/>
          <w:szCs w:val="22"/>
          <w:lang w:val="sk-SK"/>
        </w:rPr>
        <w:t>sa má</w:t>
      </w:r>
      <w:r w:rsidRPr="00B607D1">
        <w:rPr>
          <w:sz w:val="22"/>
          <w:szCs w:val="22"/>
          <w:lang w:val="sk-SK"/>
        </w:rPr>
        <w:t xml:space="preserve"> všet</w:t>
      </w:r>
      <w:r w:rsidR="00356A5F">
        <w:rPr>
          <w:sz w:val="22"/>
          <w:szCs w:val="22"/>
          <w:lang w:val="sk-SK"/>
        </w:rPr>
        <w:t>ok</w:t>
      </w:r>
      <w:r w:rsidRPr="00B607D1">
        <w:rPr>
          <w:sz w:val="22"/>
          <w:szCs w:val="22"/>
          <w:lang w:val="sk-SK"/>
        </w:rPr>
        <w:t xml:space="preserve"> nepoužit</w:t>
      </w:r>
      <w:r w:rsidR="00356A5F">
        <w:rPr>
          <w:sz w:val="22"/>
          <w:szCs w:val="22"/>
          <w:lang w:val="sk-SK"/>
        </w:rPr>
        <w:t xml:space="preserve">ý roztok </w:t>
      </w:r>
      <w:r w:rsidRPr="00B607D1">
        <w:rPr>
          <w:sz w:val="22"/>
          <w:szCs w:val="22"/>
          <w:lang w:val="sk-SK"/>
        </w:rPr>
        <w:t xml:space="preserve">zlikvidovať. </w:t>
      </w:r>
    </w:p>
    <w:bookmarkEnd w:id="5"/>
    <w:p w14:paraId="78ABE37C" w14:textId="77777777" w:rsidR="00CB0881" w:rsidRPr="00B607D1" w:rsidRDefault="00CB0881" w:rsidP="000304B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</w:p>
    <w:p w14:paraId="75430CFF" w14:textId="36506460" w:rsidR="00CB0881" w:rsidRPr="00B607D1" w:rsidRDefault="00677859" w:rsidP="000304B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bookmarkStart w:id="6" w:name="_Hlk25735415"/>
      <w:r>
        <w:rPr>
          <w:sz w:val="22"/>
          <w:szCs w:val="22"/>
          <w:lang w:val="sk-SK"/>
        </w:rPr>
        <w:t>P</w:t>
      </w:r>
      <w:r w:rsidR="00B607D1" w:rsidRPr="00B607D1">
        <w:rPr>
          <w:sz w:val="22"/>
          <w:szCs w:val="22"/>
          <w:lang w:val="sk-SK"/>
        </w:rPr>
        <w:t xml:space="preserve">red použitím </w:t>
      </w:r>
      <w:r>
        <w:rPr>
          <w:sz w:val="22"/>
          <w:szCs w:val="22"/>
          <w:lang w:val="sk-SK"/>
        </w:rPr>
        <w:t>sa má liek</w:t>
      </w:r>
      <w:r w:rsidR="00B607D1" w:rsidRPr="00B607D1">
        <w:rPr>
          <w:sz w:val="22"/>
          <w:szCs w:val="22"/>
          <w:lang w:val="sk-SK"/>
        </w:rPr>
        <w:t xml:space="preserve"> vizuálne skontrolovať. </w:t>
      </w:r>
      <w:r w:rsidR="00356A5F">
        <w:rPr>
          <w:sz w:val="22"/>
          <w:szCs w:val="22"/>
          <w:lang w:val="sk-SK"/>
        </w:rPr>
        <w:t>Má</w:t>
      </w:r>
      <w:r w:rsidR="000304BB">
        <w:rPr>
          <w:sz w:val="22"/>
          <w:szCs w:val="22"/>
          <w:lang w:val="sk-SK"/>
        </w:rPr>
        <w:t xml:space="preserve"> sa </w:t>
      </w:r>
      <w:r w:rsidR="00B607D1" w:rsidRPr="00B607D1">
        <w:rPr>
          <w:sz w:val="22"/>
          <w:szCs w:val="22"/>
          <w:lang w:val="sk-SK"/>
        </w:rPr>
        <w:t>použ</w:t>
      </w:r>
      <w:r w:rsidR="000304BB">
        <w:rPr>
          <w:sz w:val="22"/>
          <w:szCs w:val="22"/>
          <w:lang w:val="sk-SK"/>
        </w:rPr>
        <w:t>iť</w:t>
      </w:r>
      <w:r w:rsidR="00B607D1" w:rsidRPr="00B607D1">
        <w:rPr>
          <w:sz w:val="22"/>
          <w:szCs w:val="22"/>
          <w:lang w:val="sk-SK"/>
        </w:rPr>
        <w:t xml:space="preserve"> iba čír</w:t>
      </w:r>
      <w:r w:rsidR="000304BB">
        <w:rPr>
          <w:sz w:val="22"/>
          <w:szCs w:val="22"/>
          <w:lang w:val="sk-SK"/>
        </w:rPr>
        <w:t>y</w:t>
      </w:r>
      <w:r w:rsidR="00B607D1" w:rsidRPr="00B607D1">
        <w:rPr>
          <w:sz w:val="22"/>
          <w:szCs w:val="22"/>
          <w:lang w:val="sk-SK"/>
        </w:rPr>
        <w:t xml:space="preserve"> roztok bez častíc.</w:t>
      </w:r>
    </w:p>
    <w:bookmarkEnd w:id="6"/>
    <w:p w14:paraId="285683B5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1A076DFB" w14:textId="6231874B" w:rsidR="00CB0881" w:rsidRPr="00B607D1" w:rsidRDefault="00B607D1" w:rsidP="00044E38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bookmarkStart w:id="7" w:name="_Hlk25735435"/>
      <w:proofErr w:type="spellStart"/>
      <w:r w:rsidRPr="00B607D1">
        <w:rPr>
          <w:sz w:val="22"/>
          <w:szCs w:val="22"/>
          <w:lang w:val="sk-SK"/>
        </w:rPr>
        <w:t>Scopolamine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butylbromide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Kalceks</w:t>
      </w:r>
      <w:proofErr w:type="spellEnd"/>
      <w:r w:rsidRPr="00B607D1">
        <w:rPr>
          <w:sz w:val="22"/>
          <w:szCs w:val="22"/>
          <w:lang w:val="sk-SK"/>
        </w:rPr>
        <w:t xml:space="preserve"> sa môže riediť </w:t>
      </w:r>
      <w:proofErr w:type="spellStart"/>
      <w:r w:rsidRPr="00B607D1">
        <w:rPr>
          <w:sz w:val="22"/>
          <w:szCs w:val="22"/>
          <w:lang w:val="sk-SK"/>
        </w:rPr>
        <w:t>dextrózou</w:t>
      </w:r>
      <w:proofErr w:type="spellEnd"/>
      <w:r w:rsidRPr="00B607D1">
        <w:rPr>
          <w:sz w:val="22"/>
          <w:szCs w:val="22"/>
          <w:lang w:val="sk-SK"/>
        </w:rPr>
        <w:t xml:space="preserve"> alebo injekčným roztokom 0,9</w:t>
      </w:r>
      <w:r w:rsidR="00C57F13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>% chloridu sodného.</w:t>
      </w:r>
    </w:p>
    <w:bookmarkEnd w:id="7"/>
    <w:p w14:paraId="2A12E4A4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6168EAD9" w14:textId="77777777" w:rsidR="00677859" w:rsidRPr="00677859" w:rsidRDefault="00677859" w:rsidP="00677859">
      <w:pPr>
        <w:rPr>
          <w:bCs/>
          <w:sz w:val="22"/>
          <w:szCs w:val="22"/>
          <w:lang w:val="sk-SK"/>
        </w:rPr>
      </w:pPr>
      <w:r w:rsidRPr="00677859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1AD910E5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1469D652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3B4FB2F3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7.</w:t>
      </w:r>
      <w:r w:rsidRPr="00B607D1">
        <w:rPr>
          <w:b/>
          <w:color w:val="000000"/>
          <w:sz w:val="22"/>
          <w:szCs w:val="22"/>
          <w:lang w:val="sk-SK"/>
        </w:rPr>
        <w:tab/>
        <w:t>DRŽITEĽ ROZHODNUTIA O REGISTRÁCII</w:t>
      </w:r>
    </w:p>
    <w:p w14:paraId="7B90DFBA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7FE3DF66" w14:textId="77777777" w:rsidR="00CB0881" w:rsidRPr="00B607D1" w:rsidRDefault="00B607D1" w:rsidP="00B607D1">
      <w:pPr>
        <w:tabs>
          <w:tab w:val="left" w:pos="567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AS KALCEKS</w:t>
      </w:r>
    </w:p>
    <w:p w14:paraId="63FE3D92" w14:textId="7DD6F161" w:rsidR="00CB0881" w:rsidRPr="00B607D1" w:rsidRDefault="00B607D1" w:rsidP="00B607D1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B607D1">
        <w:rPr>
          <w:sz w:val="22"/>
          <w:szCs w:val="22"/>
          <w:lang w:val="sk-SK"/>
        </w:rPr>
        <w:t>Krustpils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iela</w:t>
      </w:r>
      <w:proofErr w:type="spellEnd"/>
      <w:r w:rsidRPr="00B607D1">
        <w:rPr>
          <w:sz w:val="22"/>
          <w:szCs w:val="22"/>
          <w:lang w:val="sk-SK"/>
        </w:rPr>
        <w:t xml:space="preserve"> 53, </w:t>
      </w:r>
      <w:proofErr w:type="spellStart"/>
      <w:r w:rsidRPr="00B607D1">
        <w:rPr>
          <w:sz w:val="22"/>
          <w:szCs w:val="22"/>
          <w:lang w:val="sk-SK"/>
        </w:rPr>
        <w:t>R</w:t>
      </w:r>
      <w:r w:rsidR="005C08BB" w:rsidRPr="00B607D1">
        <w:rPr>
          <w:sz w:val="22"/>
          <w:szCs w:val="22"/>
          <w:lang w:val="sk-SK"/>
        </w:rPr>
        <w:t>ī</w:t>
      </w:r>
      <w:r w:rsidRPr="00B607D1">
        <w:rPr>
          <w:sz w:val="22"/>
          <w:szCs w:val="22"/>
          <w:lang w:val="sk-SK"/>
        </w:rPr>
        <w:t>ga</w:t>
      </w:r>
      <w:proofErr w:type="spellEnd"/>
      <w:r w:rsidRPr="00B607D1">
        <w:rPr>
          <w:sz w:val="22"/>
          <w:szCs w:val="22"/>
          <w:lang w:val="sk-SK"/>
        </w:rPr>
        <w:t>, LV</w:t>
      </w:r>
      <w:r w:rsidR="005234FC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 xml:space="preserve">1057, </w:t>
      </w:r>
      <w:r w:rsidR="000304BB">
        <w:rPr>
          <w:sz w:val="22"/>
          <w:szCs w:val="22"/>
          <w:lang w:val="sk-SK"/>
        </w:rPr>
        <w:t>Lotyšsko</w:t>
      </w:r>
    </w:p>
    <w:p w14:paraId="2B8CEB13" w14:textId="77777777" w:rsidR="00CB0881" w:rsidRPr="00B607D1" w:rsidRDefault="00B607D1" w:rsidP="00B607D1">
      <w:pPr>
        <w:tabs>
          <w:tab w:val="left" w:pos="567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Tel.: +371 67083320</w:t>
      </w:r>
    </w:p>
    <w:p w14:paraId="5822F3FE" w14:textId="45532B47" w:rsidR="00CB0881" w:rsidRPr="005C08BB" w:rsidRDefault="00B607D1" w:rsidP="00B607D1">
      <w:pPr>
        <w:tabs>
          <w:tab w:val="left" w:pos="567"/>
        </w:tabs>
        <w:rPr>
          <w:sz w:val="22"/>
          <w:szCs w:val="22"/>
          <w:lang w:val="sk-SK"/>
        </w:rPr>
      </w:pPr>
      <w:r w:rsidRPr="005C08BB">
        <w:rPr>
          <w:sz w:val="22"/>
          <w:szCs w:val="22"/>
          <w:lang w:val="sk-SK"/>
        </w:rPr>
        <w:t xml:space="preserve">E-mail: </w:t>
      </w:r>
      <w:hyperlink r:id="rId8" w:history="1">
        <w:r w:rsidR="005C08BB" w:rsidRPr="0029510D">
          <w:rPr>
            <w:rStyle w:val="Hypertextovprepojenie"/>
            <w:color w:val="auto"/>
            <w:sz w:val="22"/>
            <w:szCs w:val="22"/>
            <w:u w:val="none"/>
            <w:lang w:val="sk-SK"/>
          </w:rPr>
          <w:t>kalceks@kalceks.lv</w:t>
        </w:r>
      </w:hyperlink>
    </w:p>
    <w:p w14:paraId="2B32E235" w14:textId="22B02002" w:rsidR="005C08BB" w:rsidRDefault="005C08BB" w:rsidP="00B607D1">
      <w:pPr>
        <w:tabs>
          <w:tab w:val="left" w:pos="567"/>
        </w:tabs>
        <w:rPr>
          <w:sz w:val="22"/>
          <w:szCs w:val="22"/>
          <w:lang w:val="sk-SK"/>
        </w:rPr>
      </w:pPr>
    </w:p>
    <w:p w14:paraId="59C89EB4" w14:textId="77777777" w:rsidR="005C08BB" w:rsidRPr="00B607D1" w:rsidRDefault="005C08BB" w:rsidP="00B607D1">
      <w:pPr>
        <w:tabs>
          <w:tab w:val="left" w:pos="567"/>
        </w:tabs>
        <w:rPr>
          <w:sz w:val="22"/>
          <w:szCs w:val="22"/>
          <w:lang w:val="sk-SK"/>
        </w:rPr>
      </w:pPr>
    </w:p>
    <w:p w14:paraId="5EFAA3D0" w14:textId="77777777" w:rsidR="000304BB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8.</w:t>
      </w:r>
      <w:r w:rsidRPr="00B607D1">
        <w:rPr>
          <w:b/>
          <w:color w:val="000000"/>
          <w:sz w:val="22"/>
          <w:szCs w:val="22"/>
          <w:lang w:val="sk-SK"/>
        </w:rPr>
        <w:tab/>
        <w:t>REGISTRAČNÉ ČÍSLO</w:t>
      </w:r>
    </w:p>
    <w:p w14:paraId="3D69280C" w14:textId="23E8D3B8" w:rsidR="00CB0881" w:rsidRDefault="0029510D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  <w:r w:rsidRPr="0029510D">
        <w:rPr>
          <w:color w:val="000000"/>
          <w:sz w:val="22"/>
          <w:szCs w:val="22"/>
          <w:lang w:val="sk-SK"/>
        </w:rPr>
        <w:lastRenderedPageBreak/>
        <w:t>73/0031/20-S</w:t>
      </w:r>
    </w:p>
    <w:p w14:paraId="0632267C" w14:textId="77777777" w:rsidR="000304BB" w:rsidRPr="00B607D1" w:rsidRDefault="000304BB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4CFB1985" w14:textId="77777777" w:rsidR="00CB0881" w:rsidRPr="00B607D1" w:rsidRDefault="00CB0881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580EDF2D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9.</w:t>
      </w:r>
      <w:r w:rsidRPr="00B607D1">
        <w:rPr>
          <w:b/>
          <w:color w:val="000000"/>
          <w:sz w:val="22"/>
          <w:szCs w:val="22"/>
          <w:lang w:val="sk-SK"/>
        </w:rPr>
        <w:tab/>
        <w:t>DÁTUM PRVEJ REGISTRÁCIE/PREDĹŽENIA REGISTRÁCIE</w:t>
      </w:r>
    </w:p>
    <w:p w14:paraId="4D94B5B6" w14:textId="77777777" w:rsidR="00CB0881" w:rsidRPr="00B607D1" w:rsidRDefault="00CB0881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5D0BE454" w14:textId="77777777" w:rsidR="00CB0881" w:rsidRPr="00B607D1" w:rsidRDefault="00B607D1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  <w:r w:rsidRPr="00B607D1">
        <w:rPr>
          <w:color w:val="000000"/>
          <w:sz w:val="22"/>
          <w:szCs w:val="22"/>
          <w:lang w:val="sk-SK"/>
        </w:rPr>
        <w:t>Dátum prvej registrácie:</w:t>
      </w:r>
    </w:p>
    <w:p w14:paraId="2B68AB52" w14:textId="77777777" w:rsidR="00CB0881" w:rsidRPr="00B607D1" w:rsidRDefault="00CB0881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69812182" w14:textId="77777777" w:rsidR="00CB0881" w:rsidRPr="00B607D1" w:rsidRDefault="00CB0881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19EF6553" w14:textId="77777777" w:rsidR="00CB088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10.</w:t>
      </w:r>
      <w:r w:rsidRPr="00B607D1">
        <w:rPr>
          <w:b/>
          <w:color w:val="000000"/>
          <w:sz w:val="22"/>
          <w:szCs w:val="22"/>
          <w:lang w:val="sk-SK"/>
        </w:rPr>
        <w:tab/>
        <w:t>DÁTUM REVÍZIE TEXTU</w:t>
      </w:r>
    </w:p>
    <w:p w14:paraId="6A0856EB" w14:textId="77777777" w:rsidR="007536B8" w:rsidRDefault="007536B8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</w:p>
    <w:p w14:paraId="5CFB5919" w14:textId="541FDC78" w:rsidR="007536B8" w:rsidRPr="007536B8" w:rsidRDefault="00A12059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02</w:t>
      </w:r>
      <w:r w:rsidR="007536B8" w:rsidRPr="0029510D">
        <w:rPr>
          <w:color w:val="000000"/>
          <w:sz w:val="22"/>
          <w:szCs w:val="22"/>
          <w:lang w:val="sk-SK"/>
        </w:rPr>
        <w:t>/2020</w:t>
      </w:r>
    </w:p>
    <w:sectPr w:rsidR="007536B8" w:rsidRPr="007536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418" w:bottom="1134" w:left="1418" w:header="737" w:footer="737" w:gutter="0"/>
      <w:pgNumType w:start="1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97769" w16cid:durableId="21DBCFFA"/>
  <w16cid:commentId w16cid:paraId="22C77233" w16cid:durableId="21DBD184"/>
  <w16cid:commentId w16cid:paraId="5F5F26B8" w16cid:durableId="21DBD0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695B2" w14:textId="77777777" w:rsidR="00B607D1" w:rsidRDefault="00B607D1">
      <w:r>
        <w:separator/>
      </w:r>
    </w:p>
  </w:endnote>
  <w:endnote w:type="continuationSeparator" w:id="0">
    <w:p w14:paraId="7121C109" w14:textId="77777777" w:rsidR="00B607D1" w:rsidRDefault="00B6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20828" w14:textId="77777777" w:rsidR="00B607D1" w:rsidRDefault="00B607D1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536"/>
        <w:tab w:val="center" w:pos="8930"/>
      </w:tabs>
      <w:rPr>
        <w:rFonts w:ascii="Helvetica Neue" w:eastAsia="Helvetica Neue" w:hAnsi="Helvetica Neue" w:cs="Helvetica Neue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D3CF2" w14:textId="77777777" w:rsidR="00B607D1" w:rsidRPr="0029510D" w:rsidRDefault="00B607D1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ind w:right="96"/>
      <w:jc w:val="center"/>
      <w:rPr>
        <w:rFonts w:eastAsia="Arial"/>
        <w:color w:val="000000"/>
        <w:sz w:val="18"/>
        <w:szCs w:val="18"/>
      </w:rPr>
    </w:pPr>
    <w:r w:rsidRPr="0029510D">
      <w:rPr>
        <w:rFonts w:eastAsia="Arial"/>
        <w:color w:val="000000"/>
        <w:sz w:val="18"/>
        <w:szCs w:val="18"/>
      </w:rPr>
      <w:fldChar w:fldCharType="begin"/>
    </w:r>
    <w:r w:rsidRPr="0029510D">
      <w:rPr>
        <w:rFonts w:eastAsia="Arial"/>
        <w:color w:val="000000"/>
        <w:sz w:val="18"/>
        <w:szCs w:val="18"/>
      </w:rPr>
      <w:instrText>PAGE</w:instrText>
    </w:r>
    <w:r w:rsidRPr="0029510D">
      <w:rPr>
        <w:rFonts w:eastAsia="Arial"/>
        <w:color w:val="000000"/>
        <w:sz w:val="18"/>
        <w:szCs w:val="18"/>
      </w:rPr>
      <w:fldChar w:fldCharType="separate"/>
    </w:r>
    <w:r w:rsidR="00EF5B05">
      <w:rPr>
        <w:rFonts w:eastAsia="Arial"/>
        <w:noProof/>
        <w:color w:val="000000"/>
        <w:sz w:val="18"/>
        <w:szCs w:val="18"/>
      </w:rPr>
      <w:t>2</w:t>
    </w:r>
    <w:r w:rsidRPr="0029510D">
      <w:rPr>
        <w:rFonts w:eastAsia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FF723" w14:textId="77777777" w:rsidR="00B607D1" w:rsidRPr="0029510D" w:rsidRDefault="00B607D1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ind w:right="96"/>
      <w:jc w:val="center"/>
      <w:rPr>
        <w:rFonts w:eastAsia="Helvetica Neue"/>
        <w:color w:val="000000"/>
        <w:sz w:val="18"/>
        <w:szCs w:val="18"/>
      </w:rPr>
    </w:pPr>
    <w:r w:rsidRPr="0029510D">
      <w:rPr>
        <w:rFonts w:eastAsia="Arial"/>
        <w:color w:val="000000"/>
        <w:sz w:val="18"/>
        <w:szCs w:val="18"/>
      </w:rPr>
      <w:fldChar w:fldCharType="begin"/>
    </w:r>
    <w:r w:rsidRPr="0029510D">
      <w:rPr>
        <w:rFonts w:eastAsia="Arial"/>
        <w:color w:val="000000"/>
        <w:sz w:val="18"/>
        <w:szCs w:val="18"/>
      </w:rPr>
      <w:instrText>PAGE</w:instrText>
    </w:r>
    <w:r w:rsidRPr="0029510D">
      <w:rPr>
        <w:rFonts w:eastAsia="Arial"/>
        <w:color w:val="000000"/>
        <w:sz w:val="18"/>
        <w:szCs w:val="18"/>
      </w:rPr>
      <w:fldChar w:fldCharType="separate"/>
    </w:r>
    <w:r w:rsidR="00EF5B05">
      <w:rPr>
        <w:rFonts w:eastAsia="Arial"/>
        <w:noProof/>
        <w:color w:val="000000"/>
        <w:sz w:val="18"/>
        <w:szCs w:val="18"/>
      </w:rPr>
      <w:t>1</w:t>
    </w:r>
    <w:r w:rsidRPr="0029510D">
      <w:rPr>
        <w:rFonts w:eastAsia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EE69D" w14:textId="77777777" w:rsidR="00B607D1" w:rsidRDefault="00B607D1">
      <w:r>
        <w:separator/>
      </w:r>
    </w:p>
  </w:footnote>
  <w:footnote w:type="continuationSeparator" w:id="0">
    <w:p w14:paraId="0F96A20C" w14:textId="77777777" w:rsidR="00B607D1" w:rsidRDefault="00B60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6C528" w14:textId="77777777" w:rsidR="00B607D1" w:rsidRDefault="00B607D1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153"/>
        <w:tab w:val="right" w:pos="8306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F8CCD" w14:textId="77777777" w:rsidR="00FF2ED2" w:rsidRPr="000E2A37" w:rsidRDefault="00FF2ED2" w:rsidP="00FF2ED2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153"/>
        <w:tab w:val="right" w:pos="8306"/>
      </w:tabs>
      <w:rPr>
        <w:rFonts w:eastAsia="Helvetica Neue"/>
        <w:color w:val="000000"/>
        <w:sz w:val="18"/>
        <w:szCs w:val="18"/>
        <w:lang w:val="sk-SK"/>
      </w:rPr>
    </w:pPr>
    <w:r w:rsidRPr="000E2A37">
      <w:rPr>
        <w:rFonts w:eastAsia="Helvetica Neue"/>
        <w:color w:val="000000"/>
        <w:sz w:val="18"/>
        <w:szCs w:val="18"/>
        <w:lang w:val="sk-SK"/>
      </w:rPr>
      <w:t>Schválený text k rozhodnutiu o registrácii, ev. č.:2018/08092-REG</w:t>
    </w:r>
  </w:p>
  <w:p w14:paraId="1D48C559" w14:textId="77777777" w:rsidR="00B607D1" w:rsidRDefault="00B607D1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153"/>
        <w:tab w:val="right" w:pos="8306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49D8" w14:textId="2609D0FF" w:rsidR="00B607D1" w:rsidRPr="000E2A37" w:rsidRDefault="00493F00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153"/>
        <w:tab w:val="right" w:pos="8306"/>
      </w:tabs>
      <w:rPr>
        <w:rFonts w:eastAsia="Helvetica Neue"/>
        <w:color w:val="000000"/>
        <w:sz w:val="18"/>
        <w:szCs w:val="18"/>
        <w:lang w:val="sk-SK"/>
      </w:rPr>
    </w:pPr>
    <w:r w:rsidRPr="000E2A37">
      <w:rPr>
        <w:rFonts w:eastAsia="Helvetica Neue"/>
        <w:color w:val="000000"/>
        <w:sz w:val="18"/>
        <w:szCs w:val="18"/>
        <w:lang w:val="sk-SK"/>
      </w:rPr>
      <w:t>Schválený text k rozhodnutiu o registrácii, ev. č.:2018/08092-REG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064F"/>
    <w:multiLevelType w:val="multilevel"/>
    <w:tmpl w:val="728A7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7638F9"/>
    <w:multiLevelType w:val="multilevel"/>
    <w:tmpl w:val="BDA4B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346C6B"/>
    <w:multiLevelType w:val="multilevel"/>
    <w:tmpl w:val="2CF4D6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410A61"/>
    <w:multiLevelType w:val="multilevel"/>
    <w:tmpl w:val="D2627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841F3B"/>
    <w:multiLevelType w:val="hybridMultilevel"/>
    <w:tmpl w:val="BB149480"/>
    <w:lvl w:ilvl="0" w:tplc="46AEE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1241F"/>
    <w:multiLevelType w:val="multilevel"/>
    <w:tmpl w:val="E32A5076"/>
    <w:lvl w:ilvl="0">
      <w:start w:val="513824048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8A96968"/>
    <w:multiLevelType w:val="hybridMultilevel"/>
    <w:tmpl w:val="31CE25DC"/>
    <w:lvl w:ilvl="0" w:tplc="46AEE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81"/>
    <w:rsid w:val="000304BB"/>
    <w:rsid w:val="0004147E"/>
    <w:rsid w:val="00044E38"/>
    <w:rsid w:val="00062B24"/>
    <w:rsid w:val="00071D92"/>
    <w:rsid w:val="00091387"/>
    <w:rsid w:val="0009610B"/>
    <w:rsid w:val="000D619D"/>
    <w:rsid w:val="000E2A37"/>
    <w:rsid w:val="00126F48"/>
    <w:rsid w:val="001547D7"/>
    <w:rsid w:val="001A11C3"/>
    <w:rsid w:val="001D2A05"/>
    <w:rsid w:val="001E5690"/>
    <w:rsid w:val="00204A0C"/>
    <w:rsid w:val="00213788"/>
    <w:rsid w:val="0029510D"/>
    <w:rsid w:val="002963C2"/>
    <w:rsid w:val="002A2D95"/>
    <w:rsid w:val="002C120E"/>
    <w:rsid w:val="00356A5F"/>
    <w:rsid w:val="00391983"/>
    <w:rsid w:val="003A1F9B"/>
    <w:rsid w:val="003F5B5E"/>
    <w:rsid w:val="004054AD"/>
    <w:rsid w:val="0041611B"/>
    <w:rsid w:val="00493F00"/>
    <w:rsid w:val="004C7551"/>
    <w:rsid w:val="00501C47"/>
    <w:rsid w:val="00506FFC"/>
    <w:rsid w:val="00522FDF"/>
    <w:rsid w:val="005234FC"/>
    <w:rsid w:val="00595BE8"/>
    <w:rsid w:val="00596148"/>
    <w:rsid w:val="005C08BB"/>
    <w:rsid w:val="00622D6C"/>
    <w:rsid w:val="00650D80"/>
    <w:rsid w:val="00677859"/>
    <w:rsid w:val="00745344"/>
    <w:rsid w:val="007536B8"/>
    <w:rsid w:val="007A0086"/>
    <w:rsid w:val="007A1F7D"/>
    <w:rsid w:val="007C4AB2"/>
    <w:rsid w:val="007D65EA"/>
    <w:rsid w:val="00876859"/>
    <w:rsid w:val="008C4030"/>
    <w:rsid w:val="008C5AF2"/>
    <w:rsid w:val="0091100A"/>
    <w:rsid w:val="0092421B"/>
    <w:rsid w:val="0097210E"/>
    <w:rsid w:val="009B344A"/>
    <w:rsid w:val="009C178F"/>
    <w:rsid w:val="009E285F"/>
    <w:rsid w:val="00A12059"/>
    <w:rsid w:val="00A3329D"/>
    <w:rsid w:val="00A42892"/>
    <w:rsid w:val="00AA2DC8"/>
    <w:rsid w:val="00B2246C"/>
    <w:rsid w:val="00B607D1"/>
    <w:rsid w:val="00BA34CF"/>
    <w:rsid w:val="00BE5981"/>
    <w:rsid w:val="00C12007"/>
    <w:rsid w:val="00C57F13"/>
    <w:rsid w:val="00C66E07"/>
    <w:rsid w:val="00C81F93"/>
    <w:rsid w:val="00C95BFF"/>
    <w:rsid w:val="00CB0881"/>
    <w:rsid w:val="00CF67EB"/>
    <w:rsid w:val="00D211A4"/>
    <w:rsid w:val="00D622EE"/>
    <w:rsid w:val="00D9296C"/>
    <w:rsid w:val="00DD7413"/>
    <w:rsid w:val="00E0363A"/>
    <w:rsid w:val="00EF5B05"/>
    <w:rsid w:val="00F24DC5"/>
    <w:rsid w:val="00F45151"/>
    <w:rsid w:val="00F7598C"/>
    <w:rsid w:val="00F8064A"/>
    <w:rsid w:val="00FA7FBC"/>
    <w:rsid w:val="00FC452B"/>
    <w:rsid w:val="00FE3373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8ADE"/>
  <w15:docId w15:val="{B990BDE9-4E34-40DD-9FF9-4209FDFD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F8064A"/>
    <w:rPr>
      <w:sz w:val="22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F8064A"/>
    <w:rPr>
      <w:sz w:val="22"/>
      <w:szCs w:val="24"/>
      <w:lang w:val="sk-SK" w:eastAsia="sk-SK"/>
    </w:rPr>
  </w:style>
  <w:style w:type="paragraph" w:customStyle="1" w:styleId="Default">
    <w:name w:val="Default"/>
    <w:rsid w:val="009B34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3F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3F00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8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8B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8B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8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8B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5C08BB"/>
    <w:rPr>
      <w:color w:val="0000FF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5C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ceks@kalceks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1698</Words>
  <Characters>9679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Bezeková, Kamila</cp:lastModifiedBy>
  <cp:revision>4</cp:revision>
  <dcterms:created xsi:type="dcterms:W3CDTF">2020-01-30T12:39:00Z</dcterms:created>
  <dcterms:modified xsi:type="dcterms:W3CDTF">2020-02-04T09:40:00Z</dcterms:modified>
</cp:coreProperties>
</file>