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8CC4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062E0D41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2FBF261F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3262CE1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A94A7B9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33F36B4E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6855FF" w14:textId="77777777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</w:p>
    <w:p w14:paraId="69B7D620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</w:p>
    <w:p w14:paraId="4C9E7632" w14:textId="77777777" w:rsidR="00875350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</w:p>
    <w:p w14:paraId="76293D91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272BE8F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A9577B1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31D95F9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</w:t>
      </w:r>
      <w:r w:rsidR="007407B0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KVANTITATÍVNE ZLOŽENIE</w:t>
      </w:r>
    </w:p>
    <w:p w14:paraId="110F2EA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0E7E65B0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: každá tableta obsahuje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 tadalafilu.</w:t>
      </w:r>
    </w:p>
    <w:p w14:paraId="220FC551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každá tableta obsahuje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 tadalafilu.</w:t>
      </w:r>
    </w:p>
    <w:p w14:paraId="521166A1" w14:textId="77777777" w:rsidR="00875350" w:rsidRPr="008976C4" w:rsidRDefault="00875350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každá tableta obsahuje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 tadalafilu.</w:t>
      </w:r>
    </w:p>
    <w:p w14:paraId="009AFCCB" w14:textId="77777777" w:rsidR="007021C4" w:rsidRDefault="007021C4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E0A41A" w14:textId="1BA3FD62" w:rsidR="00875350" w:rsidRPr="008976C4" w:rsidRDefault="00875350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Pomocné látky so známym účinkom: 63,87</w:t>
      </w:r>
      <w:r w:rsidR="007407B0">
        <w:rPr>
          <w:sz w:val="22"/>
          <w:szCs w:val="22"/>
          <w:lang w:val="sk-SK"/>
        </w:rPr>
        <w:t>5 mg</w:t>
      </w:r>
      <w:r w:rsidR="009B7942" w:rsidRPr="008976C4">
        <w:rPr>
          <w:sz w:val="22"/>
          <w:szCs w:val="22"/>
          <w:lang w:val="sk-SK"/>
        </w:rPr>
        <w:t xml:space="preserve">, </w:t>
      </w:r>
      <w:r w:rsidRPr="008976C4">
        <w:rPr>
          <w:sz w:val="22"/>
          <w:szCs w:val="22"/>
          <w:lang w:val="sk-SK"/>
        </w:rPr>
        <w:t>127,7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 alebo</w:t>
      </w:r>
      <w:r w:rsidR="00F833C5">
        <w:rPr>
          <w:sz w:val="22"/>
          <w:szCs w:val="22"/>
          <w:lang w:val="sk-SK"/>
        </w:rPr>
        <w:t xml:space="preserve"> 225,5</w:t>
      </w:r>
      <w:r w:rsidR="007407B0">
        <w:rPr>
          <w:sz w:val="22"/>
          <w:szCs w:val="22"/>
          <w:lang w:val="sk-SK"/>
        </w:rPr>
        <w:t> mg</w:t>
      </w:r>
      <w:r w:rsidR="00F833C5">
        <w:rPr>
          <w:sz w:val="22"/>
          <w:szCs w:val="22"/>
          <w:lang w:val="sk-SK"/>
        </w:rPr>
        <w:t xml:space="preserve"> monohydrátu laktózy.</w:t>
      </w:r>
    </w:p>
    <w:p w14:paraId="4909D17B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18B624AB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EA9647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37F6FAF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2AEC7999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01A112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tableta.</w:t>
      </w:r>
    </w:p>
    <w:p w14:paraId="528D1C1C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>: žlté okrúhle bikonvexné filmom obalené tablety s priemerom 6 mm.</w:t>
      </w:r>
    </w:p>
    <w:p w14:paraId="0A7C3F95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žlté okrúhle bikonvexné filmom obalené tablety s deliacou ryhou na jednej strane a hladké na druhej strane s priemerom 8 mm.</w:t>
      </w:r>
    </w:p>
    <w:p w14:paraId="5B9FEFB3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Tableta sa môže rozdeliť na rovnaké dávky.</w:t>
      </w:r>
    </w:p>
    <w:p w14:paraId="21BB8530" w14:textId="77777777" w:rsidR="00B529C1" w:rsidRPr="008976C4" w:rsidRDefault="00B529C1" w:rsidP="00B529C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>: žlté podlhovasté bikonvexné filmom obalené tablety s deliacou ryhou na oboch stranách</w:t>
      </w:r>
      <w:r w:rsidR="005E2495" w:rsidRPr="008976C4">
        <w:rPr>
          <w:sz w:val="22"/>
          <w:szCs w:val="22"/>
          <w:lang w:val="sk-SK"/>
        </w:rPr>
        <w:t xml:space="preserve"> s</w:t>
      </w:r>
      <w:r w:rsidR="00F833C5">
        <w:rPr>
          <w:sz w:val="22"/>
          <w:szCs w:val="22"/>
          <w:lang w:val="sk-SK"/>
        </w:rPr>
        <w:t> </w:t>
      </w:r>
      <w:r w:rsidRPr="008976C4">
        <w:rPr>
          <w:sz w:val="22"/>
          <w:szCs w:val="22"/>
          <w:lang w:val="sk-SK"/>
        </w:rPr>
        <w:t>dĺžk</w:t>
      </w:r>
      <w:r w:rsidR="005E2495" w:rsidRPr="008976C4">
        <w:rPr>
          <w:sz w:val="22"/>
          <w:szCs w:val="22"/>
          <w:lang w:val="sk-SK"/>
        </w:rPr>
        <w:t>ou</w:t>
      </w:r>
      <w:r w:rsidRPr="008976C4">
        <w:rPr>
          <w:sz w:val="22"/>
          <w:szCs w:val="22"/>
          <w:lang w:val="sk-SK"/>
        </w:rPr>
        <w:t xml:space="preserve"> 15 mm</w:t>
      </w:r>
      <w:r w:rsidR="005E2495" w:rsidRPr="008976C4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="005E2495" w:rsidRPr="008976C4">
        <w:rPr>
          <w:sz w:val="22"/>
          <w:szCs w:val="22"/>
          <w:lang w:val="sk-SK"/>
        </w:rPr>
        <w:t>šírkou</w:t>
      </w:r>
      <w:r w:rsidRPr="008976C4">
        <w:rPr>
          <w:sz w:val="22"/>
          <w:szCs w:val="22"/>
          <w:lang w:val="sk-SK"/>
        </w:rPr>
        <w:t xml:space="preserve"> 6</w:t>
      </w:r>
      <w:r w:rsidR="005E2495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>mm</w:t>
      </w:r>
      <w:r w:rsidR="009F64A1" w:rsidRPr="008976C4">
        <w:rPr>
          <w:sz w:val="22"/>
          <w:szCs w:val="22"/>
          <w:lang w:val="sk-SK"/>
        </w:rPr>
        <w:t>.</w:t>
      </w:r>
    </w:p>
    <w:p w14:paraId="31F15024" w14:textId="77777777" w:rsidR="0031627A" w:rsidRPr="008976C4" w:rsidRDefault="00B0082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Tableta sa môže rozdeliť na rovnaké </w:t>
      </w:r>
      <w:r w:rsidR="003A1066" w:rsidRPr="008976C4">
        <w:rPr>
          <w:sz w:val="22"/>
          <w:szCs w:val="22"/>
          <w:lang w:val="sk-SK"/>
        </w:rPr>
        <w:t>dávky</w:t>
      </w:r>
      <w:r w:rsidRPr="008976C4">
        <w:rPr>
          <w:sz w:val="22"/>
          <w:szCs w:val="22"/>
          <w:lang w:val="sk-SK"/>
        </w:rPr>
        <w:t>.</w:t>
      </w:r>
    </w:p>
    <w:p w14:paraId="119C366B" w14:textId="77777777" w:rsidR="00B00820" w:rsidRPr="008976C4" w:rsidRDefault="00B0082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0E06955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C35C024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2518EBE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1E2FE4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49202228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0CB3AAF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Liečba erektilnej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3F9749D4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r w:rsidR="00B6606E" w:rsidRPr="008976C4">
        <w:rPr>
          <w:sz w:val="22"/>
          <w:szCs w:val="22"/>
          <w:lang w:val="sk-SK"/>
        </w:rPr>
        <w:t>tadalafil</w:t>
      </w:r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>, je potrebná sexuálna stimulácia.</w:t>
      </w:r>
    </w:p>
    <w:p w14:paraId="29F82667" w14:textId="77777777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ni</w:t>
      </w:r>
      <w:r w:rsidR="007407B0">
        <w:rPr>
          <w:sz w:val="22"/>
          <w:szCs w:val="22"/>
          <w:lang w:val="sk-SK"/>
        </w:rPr>
        <w:t>e je určený na použitie u žien.</w:t>
      </w:r>
    </w:p>
    <w:p w14:paraId="2FE615D6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8E0731B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spôsob podávania</w:t>
      </w:r>
    </w:p>
    <w:p w14:paraId="45ACADC6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0C934C0A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09D8DD93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Dospelí muži</w:t>
      </w:r>
    </w:p>
    <w:p w14:paraId="5FB8FDE2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Vo všeobecnosti, odporúčaná dávka je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 bez ohľadu na príjem potravy.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tadalafil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nevedie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očakávanému účinku, sa môže použiť dávka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 Liek sa m</w:t>
      </w:r>
      <w:r w:rsidR="009F64A1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užiť aspoň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56F0AAC1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Maximálne dávkovanie je jedenkrát denne.</w:t>
      </w:r>
    </w:p>
    <w:p w14:paraId="69D39E47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10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je určený na užívanie pred očakávanou sexuálnou aktivitou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neodporúča sa na trvalé každodenné užívanie.</w:t>
      </w:r>
    </w:p>
    <w:p w14:paraId="766C06C5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sa predpokladá časté užívanie tadalafilu (t.j. aspoň dvakrát týždenne)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najnižšou dávkou Tadalafilu PMCS jedenkrát denne, na základe rozhodnutia pacienta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zváženia lekára.</w:t>
      </w:r>
    </w:p>
    <w:p w14:paraId="294CB2DF" w14:textId="77777777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týchto pacientov sa odporúča dávka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jedenkrát denne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približne rovnakom čase. Dávku je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možné znížiť na 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jedenkrát denne podľa znášanlivosti pacienta (2,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tablet</w:t>
      </w:r>
      <w:r w:rsidR="005E2495" w:rsidRPr="00A97DFF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 xml:space="preserve"> sú dostupné na trhu).</w:t>
      </w:r>
    </w:p>
    <w:p w14:paraId="7E76DFDD" w14:textId="77777777" w:rsidR="009B20B9" w:rsidRPr="008976C4" w:rsidRDefault="009B20B9" w:rsidP="009B20B9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>Vhodnosť kontinuálneho používania jedenkrát denne sa má pravidelne prehodnocovať.</w:t>
      </w:r>
    </w:p>
    <w:p w14:paraId="31770CBC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3F304E0E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20AB96A9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71BF87F1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starších pacientov nie je potrebná žiadna úprava dávky.</w:t>
      </w:r>
    </w:p>
    <w:p w14:paraId="5BCF0B61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0F4788F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poruchou funkcie obličiek</w:t>
      </w:r>
    </w:p>
    <w:p w14:paraId="2DC1C424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ľahkou až stredne závažnou poruchou funkcie obličiek nie je potrebná žiadna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dávky. Pre pacientov so závažnou poruchou funkcie obličiek je maximálna </w:t>
      </w:r>
      <w:r w:rsidR="008806D8" w:rsidRPr="00A97DFF">
        <w:rPr>
          <w:sz w:val="22"/>
          <w:szCs w:val="22"/>
          <w:lang w:val="sk-SK"/>
        </w:rPr>
        <w:t>odporúčaná</w:t>
      </w:r>
      <w:r w:rsidRPr="00A97DFF">
        <w:rPr>
          <w:sz w:val="22"/>
          <w:szCs w:val="22"/>
          <w:lang w:val="sk-SK"/>
        </w:rPr>
        <w:t xml:space="preserve"> dávka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</w:t>
      </w:r>
    </w:p>
    <w:p w14:paraId="7D8E69C6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tadalafilu jedenkrát denne sa neodporúča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5.2).</w:t>
      </w:r>
    </w:p>
    <w:p w14:paraId="5B7CC2D2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5C4ACFB9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poruchou funkcie pečene</w:t>
      </w:r>
    </w:p>
    <w:p w14:paraId="3D0FD974" w14:textId="77777777" w:rsidR="009B20B9" w:rsidRPr="00A97DFF" w:rsidRDefault="008806D8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 xml:space="preserve">dporúčaná dávka </w:t>
      </w:r>
      <w:r w:rsidRPr="00A97DFF">
        <w:rPr>
          <w:sz w:val="22"/>
          <w:szCs w:val="22"/>
          <w:lang w:val="sk-SK"/>
        </w:rPr>
        <w:t>Tadalafilu PMCS</w:t>
      </w:r>
      <w:r w:rsidR="00D7517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 </w:t>
      </w:r>
      <w:r w:rsidR="00D7517A"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="00D7517A" w:rsidRPr="00A97DFF">
        <w:rPr>
          <w:sz w:val="22"/>
          <w:szCs w:val="22"/>
          <w:lang w:val="sk-SK"/>
        </w:rPr>
        <w:t>nou aktivitou bez ohľadu na príjem potravy. O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bezpečnosti použitia</w:t>
      </w:r>
      <w:r w:rsidRPr="00A97DFF">
        <w:rPr>
          <w:sz w:val="22"/>
          <w:szCs w:val="22"/>
          <w:lang w:val="sk-SK"/>
        </w:rPr>
        <w:t xml:space="preserve"> tadalafilu </w:t>
      </w:r>
      <w:r w:rsidR="00D7517A"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pacientov so závažnou poruchou pečene (trieda C Child</w:t>
      </w:r>
      <w:r w:rsidRPr="00A97DFF">
        <w:rPr>
          <w:sz w:val="22"/>
          <w:szCs w:val="22"/>
          <w:lang w:val="sk-SK"/>
        </w:rPr>
        <w:t>ovej</w:t>
      </w:r>
      <w:r w:rsidR="00D7517A" w:rsidRPr="00A97DFF">
        <w:rPr>
          <w:sz w:val="22"/>
          <w:szCs w:val="22"/>
          <w:lang w:val="sk-SK"/>
        </w:rPr>
        <w:t>-Pughovej klasifikácie) sú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dostupné iba obmedzené klinické údaje; v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 xml:space="preserve">prípade </w:t>
      </w:r>
      <w:r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musí predpisujúci lekár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dôsledne zvážiť pomer pr</w:t>
      </w:r>
      <w:r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rizika. O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podávaní vyšších dávok tadalafilu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0 mg</w:t>
      </w:r>
      <w:r w:rsidR="00D7517A" w:rsidRPr="00A97DFF">
        <w:rPr>
          <w:sz w:val="22"/>
          <w:szCs w:val="22"/>
          <w:lang w:val="sk-SK"/>
        </w:rPr>
        <w:t xml:space="preserve"> pacientom s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poruchou funkcie pečene nie sú dostupné žiadne údaje.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Dávkovanie jedenkrát denne sa nehodnotilo u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poruchou funkcie pečene, preto v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prípade</w:t>
      </w:r>
      <w:r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predpísania lieku, musí lekár individuálne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dôsledne zvážiť pomer pr</w:t>
      </w:r>
      <w:r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="00D7517A" w:rsidRPr="00A97DFF">
        <w:rPr>
          <w:sz w:val="22"/>
          <w:szCs w:val="22"/>
          <w:lang w:val="sk-SK"/>
        </w:rPr>
        <w:t>5.2).</w:t>
      </w:r>
    </w:p>
    <w:p w14:paraId="24160A8A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9F09F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diabetom</w:t>
      </w:r>
    </w:p>
    <w:p w14:paraId="7C4E9E5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mužov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diabetom nie je potrebná žiadna úprava dávky.</w:t>
      </w:r>
    </w:p>
    <w:p w14:paraId="6F1DB72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207AED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5BCAD142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Použitie Tadalafilu PMCS sa netýka pediatrickej populácie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indikácii liečby erektilnej dysfunkcie.</w:t>
      </w:r>
    </w:p>
    <w:p w14:paraId="0ECAAD71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06C8113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2DA07225" w14:textId="77777777" w:rsidR="00D7517A" w:rsidRPr="008976C4" w:rsidRDefault="00E45E07" w:rsidP="00F833C5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Tadalafil PMCS je dostupný vo forme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>,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filmom obalených tabliet na perorálne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použitie.</w:t>
      </w:r>
    </w:p>
    <w:p w14:paraId="7F47D0C7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14C3F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7576BA5E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6D88BC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</w:t>
      </w:r>
      <w:r w:rsidR="00F833C5">
        <w:rPr>
          <w:sz w:val="22"/>
          <w:szCs w:val="22"/>
          <w:lang w:val="sk-SK"/>
        </w:rPr>
        <w:t> </w:t>
      </w:r>
      <w:r w:rsidRPr="008976C4">
        <w:rPr>
          <w:sz w:val="22"/>
          <w:szCs w:val="22"/>
          <w:lang w:val="sk-SK"/>
        </w:rPr>
        <w:t>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1C78332F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A504147" w14:textId="77777777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zosilňuje hypotenzn</w:t>
      </w:r>
      <w:r w:rsidR="00E14192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 nitrátov. To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pravdepodobne vyplýva 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kombinovaných účinkov nitrátov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tadalafilu na metabolickú dráhu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oxid dusnatý/cGMP. 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toho dôvodu je kontraindikované podávanie </w:t>
      </w:r>
      <w:r w:rsidR="008806D8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akejkoľvek forme (pozri časť 4.5).</w:t>
      </w:r>
    </w:p>
    <w:p w14:paraId="03E52B45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B9ADD1" w14:textId="77777777" w:rsidR="0015352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153528" w:rsidRPr="00A97DFF">
        <w:rPr>
          <w:sz w:val="22"/>
          <w:szCs w:val="22"/>
          <w:lang w:val="sk-SK"/>
        </w:rPr>
        <w:t xml:space="preserve"> sa nesmie používať u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mužov so srdcovým ochorením, pre ktorých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Potenciálne kardiálne riziko sexuálnej aktivity </w:t>
      </w:r>
      <w:r w:rsidR="00E14192"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zváži ošetrujúci lekár.</w:t>
      </w:r>
    </w:p>
    <w:p w14:paraId="334DE3CC" w14:textId="77777777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Nasledujúce skupiny pacientov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kardiovaskulárnym ochorením neboli zahrnuté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preto je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nich použitie tadalafilu kontraindikované:</w:t>
      </w:r>
    </w:p>
    <w:p w14:paraId="4E28DDC7" w14:textId="7D3C62DA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infarktom myokardu počas posledných 90 dní,</w:t>
      </w:r>
    </w:p>
    <w:p w14:paraId="10D0FEE0" w14:textId="10A945A0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nestabilnou angínou pektoris alebo angínou pektoris, ktorá sa prejavuje počas pohlavného styku,</w:t>
      </w:r>
    </w:p>
    <w:p w14:paraId="3CCE9A36" w14:textId="48E0CB7D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so zlyhaním srdca NYHA 2 alebo väčším počas posledných 6 mesiacov,</w:t>
      </w:r>
    </w:p>
    <w:p w14:paraId="5CFEE45B" w14:textId="72EB555F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neliečenými arytmiami, hypotenziou (&lt; 90/50 mm Hg) alebo neliečenou hypertenziou,</w:t>
      </w:r>
    </w:p>
    <w:p w14:paraId="398B4FA0" w14:textId="49370AFB" w:rsidR="00F46575" w:rsidRPr="00A64C06" w:rsidRDefault="00F46575" w:rsidP="00A64C06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contextualSpacing w:val="0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pacienti s mozgovou príhodou počas posledných 6 mesiacov.</w:t>
      </w:r>
    </w:p>
    <w:p w14:paraId="307A7B6D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DDD751" w14:textId="77777777" w:rsidR="003B5A05" w:rsidRPr="008976C4" w:rsidRDefault="008806D8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Tadalafil PMCS</w:t>
      </w:r>
      <w:r w:rsidR="00153528" w:rsidRPr="00A97DFF">
        <w:rPr>
          <w:sz w:val="22"/>
          <w:szCs w:val="22"/>
          <w:lang w:val="sk-SK"/>
        </w:rPr>
        <w:t xml:space="preserve"> je kontraindikovaný u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pacientov, ktorí majú stratu videnia v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jednom oku v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dôsledku</w:t>
      </w:r>
      <w:r w:rsidR="00F833C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nearteritickej prednej ischemickej neuropatie zrakového nervu (non-arteritic anterior ischaemic optic</w:t>
      </w:r>
      <w:r w:rsidR="00F833C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neuropathy, NAION) bez ohľadu na to, či táto príhoda súvisela alebo nesúvisela s</w:t>
      </w:r>
      <w:r w:rsidR="00F833C5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F833C5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0A9A2CA6" w14:textId="77777777" w:rsidR="001C0CDD" w:rsidRPr="007021C4" w:rsidRDefault="001C0CDD" w:rsidP="00E9536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021C4">
        <w:rPr>
          <w:color w:val="000000"/>
          <w:sz w:val="22"/>
          <w:szCs w:val="22"/>
          <w:lang w:val="sk-SK"/>
        </w:rPr>
        <w:t>Súbe</w:t>
      </w:r>
      <w:r w:rsidRPr="007021C4">
        <w:rPr>
          <w:color w:val="000000"/>
          <w:spacing w:val="-2"/>
          <w:sz w:val="22"/>
          <w:szCs w:val="22"/>
          <w:lang w:val="sk-SK"/>
        </w:rPr>
        <w:t>ž</w:t>
      </w:r>
      <w:r w:rsidRPr="007021C4">
        <w:rPr>
          <w:color w:val="000000"/>
          <w:sz w:val="22"/>
          <w:szCs w:val="22"/>
          <w:lang w:val="sk-SK"/>
        </w:rPr>
        <w:t>né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poda</w:t>
      </w:r>
      <w:r w:rsidRPr="007021C4">
        <w:rPr>
          <w:color w:val="000000"/>
          <w:spacing w:val="-2"/>
          <w:sz w:val="22"/>
          <w:szCs w:val="22"/>
          <w:lang w:val="sk-SK"/>
        </w:rPr>
        <w:t>n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P</w:t>
      </w:r>
      <w:r w:rsidRPr="007021C4">
        <w:rPr>
          <w:color w:val="000000"/>
          <w:spacing w:val="-1"/>
          <w:sz w:val="22"/>
          <w:szCs w:val="22"/>
          <w:lang w:val="sk-SK"/>
        </w:rPr>
        <w:t>DE</w:t>
      </w:r>
      <w:r w:rsidRPr="007021C4">
        <w:rPr>
          <w:color w:val="000000"/>
          <w:sz w:val="22"/>
          <w:szCs w:val="22"/>
          <w:lang w:val="sk-SK"/>
        </w:rPr>
        <w:t>5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n</w:t>
      </w:r>
      <w:r w:rsidRPr="007021C4">
        <w:rPr>
          <w:color w:val="000000"/>
          <w:spacing w:val="-2"/>
          <w:sz w:val="22"/>
          <w:szCs w:val="22"/>
          <w:lang w:val="sk-SK"/>
        </w:rPr>
        <w:t>h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b</w:t>
      </w:r>
      <w:r w:rsidRPr="007021C4">
        <w:rPr>
          <w:color w:val="000000"/>
          <w:spacing w:val="-1"/>
          <w:sz w:val="22"/>
          <w:szCs w:val="22"/>
          <w:lang w:val="sk-SK"/>
        </w:rPr>
        <w:t>í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z w:val="22"/>
          <w:szCs w:val="22"/>
          <w:lang w:val="sk-SK"/>
        </w:rPr>
        <w:t xml:space="preserve">, 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ane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a</w:t>
      </w:r>
      <w:r w:rsidRPr="007021C4">
        <w:rPr>
          <w:color w:val="000000"/>
          <w:spacing w:val="-2"/>
          <w:sz w:val="22"/>
          <w:szCs w:val="22"/>
          <w:lang w:val="sk-SK"/>
        </w:rPr>
        <w:t>d</w:t>
      </w:r>
      <w:r w:rsidRPr="007021C4">
        <w:rPr>
          <w:color w:val="000000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f</w:t>
      </w:r>
      <w:r w:rsidRPr="007021C4">
        <w:rPr>
          <w:color w:val="000000"/>
          <w:spacing w:val="-1"/>
          <w:sz w:val="22"/>
          <w:szCs w:val="22"/>
          <w:lang w:val="sk-SK"/>
        </w:rPr>
        <w:t>i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u,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 xml:space="preserve">o 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pacing w:val="-1"/>
          <w:sz w:val="22"/>
          <w:szCs w:val="22"/>
          <w:lang w:val="sk-SK"/>
        </w:rPr>
        <w:t>t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u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pacing w:val="-2"/>
          <w:sz w:val="22"/>
          <w:szCs w:val="22"/>
          <w:lang w:val="sk-SK"/>
        </w:rPr>
        <w:t>o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i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2"/>
          <w:sz w:val="22"/>
          <w:szCs w:val="22"/>
          <w:lang w:val="sk-SK"/>
        </w:rPr>
        <w:t>g</w:t>
      </w:r>
      <w:r w:rsidRPr="007021C4">
        <w:rPr>
          <w:color w:val="000000"/>
          <w:sz w:val="22"/>
          <w:szCs w:val="22"/>
          <w:lang w:val="sk-SK"/>
        </w:rPr>
        <w:t>uan</w:t>
      </w:r>
      <w:r w:rsidRPr="007021C4">
        <w:rPr>
          <w:color w:val="000000"/>
          <w:spacing w:val="-2"/>
          <w:sz w:val="22"/>
          <w:szCs w:val="22"/>
          <w:lang w:val="sk-SK"/>
        </w:rPr>
        <w:t>y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c</w:t>
      </w:r>
      <w:r w:rsidRPr="007021C4">
        <w:rPr>
          <w:color w:val="000000"/>
          <w:spacing w:val="-2"/>
          <w:sz w:val="22"/>
          <w:szCs w:val="22"/>
          <w:lang w:val="sk-SK"/>
        </w:rPr>
        <w:t>yk</w:t>
      </w:r>
      <w:r w:rsidRPr="007021C4">
        <w:rPr>
          <w:color w:val="000000"/>
          <w:spacing w:val="1"/>
          <w:sz w:val="22"/>
          <w:szCs w:val="22"/>
          <w:lang w:val="sk-SK"/>
        </w:rPr>
        <w:t>l</w:t>
      </w:r>
      <w:r w:rsidRPr="007021C4">
        <w:rPr>
          <w:color w:val="000000"/>
          <w:sz w:val="22"/>
          <w:szCs w:val="22"/>
          <w:lang w:val="sk-SK"/>
        </w:rPr>
        <w:t>áz</w:t>
      </w:r>
      <w:r w:rsidRPr="007021C4">
        <w:rPr>
          <w:color w:val="000000"/>
          <w:spacing w:val="-2"/>
          <w:sz w:val="22"/>
          <w:szCs w:val="22"/>
          <w:lang w:val="sk-SK"/>
        </w:rPr>
        <w:t>y</w:t>
      </w:r>
      <w:r w:rsidRPr="007021C4">
        <w:rPr>
          <w:color w:val="000000"/>
          <w:sz w:val="22"/>
          <w:szCs w:val="22"/>
          <w:lang w:val="sk-SK"/>
        </w:rPr>
        <w:t>, akým</w:t>
      </w:r>
      <w:r w:rsidRPr="007021C4">
        <w:rPr>
          <w:color w:val="000000"/>
          <w:spacing w:val="-4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3"/>
          <w:sz w:val="22"/>
          <w:szCs w:val="22"/>
          <w:lang w:val="sk-SK"/>
        </w:rPr>
        <w:t>j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n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z w:val="22"/>
          <w:szCs w:val="22"/>
          <w:lang w:val="sk-SK"/>
        </w:rPr>
        <w:t>p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.</w:t>
      </w:r>
      <w:r w:rsidR="007021C4" w:rsidRPr="007021C4">
        <w:rPr>
          <w:color w:val="000000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ri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c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pacing w:val="-2"/>
          <w:sz w:val="22"/>
          <w:szCs w:val="22"/>
          <w:lang w:val="sk-SK"/>
        </w:rPr>
        <w:t>g</w:t>
      </w:r>
      <w:r w:rsidRPr="007021C4">
        <w:rPr>
          <w:color w:val="000000"/>
          <w:sz w:val="22"/>
          <w:szCs w:val="22"/>
          <w:lang w:val="sk-SK"/>
        </w:rPr>
        <w:t>uá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,</w:t>
      </w:r>
      <w:r w:rsidRPr="007021C4">
        <w:rPr>
          <w:color w:val="000000"/>
          <w:spacing w:val="-2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j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2"/>
          <w:sz w:val="22"/>
          <w:szCs w:val="22"/>
          <w:lang w:val="sk-SK"/>
        </w:rPr>
        <w:t>k</w:t>
      </w:r>
      <w:r w:rsidRPr="007021C4">
        <w:rPr>
          <w:color w:val="000000"/>
          <w:sz w:val="22"/>
          <w:szCs w:val="22"/>
          <w:lang w:val="sk-SK"/>
        </w:rPr>
        <w:t>on</w:t>
      </w:r>
      <w:r w:rsidRPr="007021C4">
        <w:rPr>
          <w:color w:val="000000"/>
          <w:spacing w:val="-1"/>
          <w:sz w:val="22"/>
          <w:szCs w:val="22"/>
          <w:lang w:val="sk-SK"/>
        </w:rPr>
        <w:t>t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nd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pacing w:val="-2"/>
          <w:sz w:val="22"/>
          <w:szCs w:val="22"/>
          <w:lang w:val="sk-SK"/>
        </w:rPr>
        <w:t>k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z w:val="22"/>
          <w:szCs w:val="22"/>
          <w:lang w:val="sk-SK"/>
        </w:rPr>
        <w:t>ané, p</w:t>
      </w:r>
      <w:r w:rsidRPr="007021C4">
        <w:rPr>
          <w:color w:val="000000"/>
          <w:spacing w:val="-2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ž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ô</w:t>
      </w:r>
      <w:r w:rsidRPr="007021C4">
        <w:rPr>
          <w:color w:val="000000"/>
          <w:spacing w:val="-2"/>
          <w:sz w:val="22"/>
          <w:szCs w:val="22"/>
          <w:lang w:val="sk-SK"/>
        </w:rPr>
        <w:t>ž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-2"/>
          <w:sz w:val="22"/>
          <w:szCs w:val="22"/>
          <w:lang w:val="sk-SK"/>
        </w:rPr>
        <w:t>v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e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>ť k</w:t>
      </w:r>
      <w:r w:rsidR="007021C4">
        <w:rPr>
          <w:color w:val="000000"/>
          <w:spacing w:val="-2"/>
          <w:sz w:val="22"/>
          <w:szCs w:val="22"/>
          <w:lang w:val="sk-SK"/>
        </w:rPr>
        <w:t> 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>y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p</w:t>
      </w:r>
      <w:r w:rsidRPr="007021C4">
        <w:rPr>
          <w:color w:val="000000"/>
          <w:spacing w:val="1"/>
          <w:sz w:val="22"/>
          <w:szCs w:val="22"/>
          <w:lang w:val="sk-SK"/>
        </w:rPr>
        <w:t>t</w:t>
      </w:r>
      <w:r w:rsidRPr="007021C4">
        <w:rPr>
          <w:color w:val="000000"/>
          <w:spacing w:val="2"/>
          <w:sz w:val="22"/>
          <w:szCs w:val="22"/>
          <w:lang w:val="sk-SK"/>
        </w:rPr>
        <w:t>o</w:t>
      </w:r>
      <w:r w:rsidRPr="007021C4">
        <w:rPr>
          <w:color w:val="000000"/>
          <w:spacing w:val="-4"/>
          <w:sz w:val="22"/>
          <w:szCs w:val="22"/>
          <w:lang w:val="sk-SK"/>
        </w:rPr>
        <w:t>m</w:t>
      </w:r>
      <w:r w:rsidRPr="007021C4">
        <w:rPr>
          <w:color w:val="000000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ti</w:t>
      </w:r>
      <w:r w:rsidRPr="007021C4">
        <w:rPr>
          <w:color w:val="000000"/>
          <w:sz w:val="22"/>
          <w:szCs w:val="22"/>
          <w:lang w:val="sk-SK"/>
        </w:rPr>
        <w:t>c</w:t>
      </w:r>
      <w:r w:rsidRPr="007021C4">
        <w:rPr>
          <w:color w:val="000000"/>
          <w:spacing w:val="-2"/>
          <w:sz w:val="22"/>
          <w:szCs w:val="22"/>
          <w:lang w:val="sk-SK"/>
        </w:rPr>
        <w:t>ke</w:t>
      </w:r>
      <w:r w:rsidRPr="007021C4">
        <w:rPr>
          <w:color w:val="000000"/>
          <w:sz w:val="22"/>
          <w:szCs w:val="22"/>
          <w:lang w:val="sk-SK"/>
        </w:rPr>
        <w:t>j</w:t>
      </w:r>
      <w:r w:rsidRPr="007021C4">
        <w:rPr>
          <w:color w:val="000000"/>
          <w:spacing w:val="4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h</w:t>
      </w:r>
      <w:r w:rsidRPr="007021C4">
        <w:rPr>
          <w:color w:val="000000"/>
          <w:spacing w:val="-2"/>
          <w:sz w:val="22"/>
          <w:szCs w:val="22"/>
          <w:lang w:val="sk-SK"/>
        </w:rPr>
        <w:t>y</w:t>
      </w:r>
      <w:r w:rsidRPr="007021C4">
        <w:rPr>
          <w:color w:val="000000"/>
          <w:sz w:val="22"/>
          <w:szCs w:val="22"/>
          <w:lang w:val="sk-SK"/>
        </w:rPr>
        <w:t>po</w:t>
      </w:r>
      <w:r w:rsidRPr="007021C4">
        <w:rPr>
          <w:color w:val="000000"/>
          <w:spacing w:val="-1"/>
          <w:sz w:val="22"/>
          <w:szCs w:val="22"/>
          <w:lang w:val="sk-SK"/>
        </w:rPr>
        <w:t>t</w:t>
      </w:r>
      <w:r w:rsidRPr="007021C4">
        <w:rPr>
          <w:color w:val="000000"/>
          <w:sz w:val="22"/>
          <w:szCs w:val="22"/>
          <w:lang w:val="sk-SK"/>
        </w:rPr>
        <w:t>en</w:t>
      </w:r>
      <w:r w:rsidRPr="007021C4">
        <w:rPr>
          <w:color w:val="000000"/>
          <w:spacing w:val="-2"/>
          <w:sz w:val="22"/>
          <w:szCs w:val="22"/>
          <w:lang w:val="sk-SK"/>
        </w:rPr>
        <w:t>z</w:t>
      </w:r>
      <w:r w:rsidRPr="007021C4">
        <w:rPr>
          <w:color w:val="000000"/>
          <w:spacing w:val="1"/>
          <w:sz w:val="22"/>
          <w:szCs w:val="22"/>
          <w:lang w:val="sk-SK"/>
        </w:rPr>
        <w:t>i</w:t>
      </w:r>
      <w:r w:rsidRPr="007021C4">
        <w:rPr>
          <w:color w:val="000000"/>
          <w:sz w:val="22"/>
          <w:szCs w:val="22"/>
          <w:lang w:val="sk-SK"/>
        </w:rPr>
        <w:t>i</w:t>
      </w:r>
      <w:r w:rsidRPr="007021C4">
        <w:rPr>
          <w:color w:val="000000"/>
          <w:spacing w:val="-1"/>
          <w:sz w:val="22"/>
          <w:szCs w:val="22"/>
          <w:lang w:val="sk-SK"/>
        </w:rPr>
        <w:t xml:space="preserve"> </w:t>
      </w:r>
      <w:r w:rsidRPr="007021C4">
        <w:rPr>
          <w:color w:val="000000"/>
          <w:spacing w:val="1"/>
          <w:sz w:val="22"/>
          <w:szCs w:val="22"/>
          <w:lang w:val="sk-SK"/>
        </w:rPr>
        <w:t>(</w:t>
      </w:r>
      <w:r w:rsidRPr="007021C4">
        <w:rPr>
          <w:color w:val="000000"/>
          <w:spacing w:val="-2"/>
          <w:sz w:val="22"/>
          <w:szCs w:val="22"/>
          <w:lang w:val="sk-SK"/>
        </w:rPr>
        <w:t>p</w:t>
      </w:r>
      <w:r w:rsidRPr="007021C4">
        <w:rPr>
          <w:color w:val="000000"/>
          <w:sz w:val="22"/>
          <w:szCs w:val="22"/>
          <w:lang w:val="sk-SK"/>
        </w:rPr>
        <w:t>o</w:t>
      </w:r>
      <w:r w:rsidRPr="007021C4">
        <w:rPr>
          <w:color w:val="000000"/>
          <w:spacing w:val="-2"/>
          <w:sz w:val="22"/>
          <w:szCs w:val="22"/>
          <w:lang w:val="sk-SK"/>
        </w:rPr>
        <w:t>z</w:t>
      </w:r>
      <w:r w:rsidRPr="007021C4">
        <w:rPr>
          <w:color w:val="000000"/>
          <w:spacing w:val="1"/>
          <w:sz w:val="22"/>
          <w:szCs w:val="22"/>
          <w:lang w:val="sk-SK"/>
        </w:rPr>
        <w:t>r</w:t>
      </w:r>
      <w:r w:rsidRPr="007021C4">
        <w:rPr>
          <w:color w:val="000000"/>
          <w:sz w:val="22"/>
          <w:szCs w:val="22"/>
          <w:lang w:val="sk-SK"/>
        </w:rPr>
        <w:t>i</w:t>
      </w:r>
      <w:r w:rsidRPr="007021C4">
        <w:rPr>
          <w:color w:val="000000"/>
          <w:spacing w:val="1"/>
          <w:sz w:val="22"/>
          <w:szCs w:val="22"/>
          <w:lang w:val="sk-SK"/>
        </w:rPr>
        <w:t xml:space="preserve"> </w:t>
      </w:r>
      <w:r w:rsidRPr="007021C4">
        <w:rPr>
          <w:color w:val="000000"/>
          <w:sz w:val="22"/>
          <w:szCs w:val="22"/>
          <w:lang w:val="sk-SK"/>
        </w:rPr>
        <w:t>č</w:t>
      </w:r>
      <w:r w:rsidRPr="007021C4">
        <w:rPr>
          <w:color w:val="000000"/>
          <w:spacing w:val="-2"/>
          <w:sz w:val="22"/>
          <w:szCs w:val="22"/>
          <w:lang w:val="sk-SK"/>
        </w:rPr>
        <w:t>a</w:t>
      </w:r>
      <w:r w:rsidRPr="007021C4">
        <w:rPr>
          <w:color w:val="000000"/>
          <w:spacing w:val="1"/>
          <w:sz w:val="22"/>
          <w:szCs w:val="22"/>
          <w:lang w:val="sk-SK"/>
        </w:rPr>
        <w:t>s</w:t>
      </w:r>
      <w:r w:rsidRPr="007021C4">
        <w:rPr>
          <w:color w:val="000000"/>
          <w:sz w:val="22"/>
          <w:szCs w:val="22"/>
          <w:lang w:val="sk-SK"/>
        </w:rPr>
        <w:t>ť 4.5</w:t>
      </w:r>
      <w:r w:rsidRPr="007021C4">
        <w:rPr>
          <w:color w:val="000000"/>
          <w:spacing w:val="1"/>
          <w:sz w:val="22"/>
          <w:szCs w:val="22"/>
          <w:lang w:val="sk-SK"/>
        </w:rPr>
        <w:t>)</w:t>
      </w:r>
      <w:r w:rsidRPr="007021C4">
        <w:rPr>
          <w:color w:val="000000"/>
          <w:sz w:val="22"/>
          <w:szCs w:val="22"/>
          <w:lang w:val="sk-SK"/>
        </w:rPr>
        <w:t>.</w:t>
      </w:r>
    </w:p>
    <w:p w14:paraId="57AF9732" w14:textId="77777777" w:rsidR="001C0CDD" w:rsidRPr="007021C4" w:rsidRDefault="001C0CDD" w:rsidP="00E953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485087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opatrenia pri používaní</w:t>
      </w:r>
    </w:p>
    <w:p w14:paraId="1F460C15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4A4E9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r w:rsidR="00D46B29" w:rsidRPr="00A97DFF">
        <w:rPr>
          <w:sz w:val="22"/>
          <w:szCs w:val="22"/>
          <w:u w:val="single"/>
          <w:lang w:val="sk-SK"/>
        </w:rPr>
        <w:t>Tadalafilom PMCS</w:t>
      </w:r>
    </w:p>
    <w:p w14:paraId="06B57283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diagnostike erektilnej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farmakologickej liečby zohľadniť anamnézu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výsledky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79F6D0E5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 začatím akejkoľvek liečby erektilnej dysfunkcie lekár m</w:t>
      </w:r>
      <w:r w:rsidR="00FF136B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zvážiť kardiovaskulárny stav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pacienta, pretože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súvislosti so sexuálnou aktivitou existuje určitý stupeň kardiálneho rizika.</w:t>
      </w:r>
    </w:p>
    <w:p w14:paraId="0CB8E212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vazodilatačné vlastnosti, ktoré spôsobujú mierne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prechodné zníženie krvného tlaku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časť 5.1),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ako taký potenc</w:t>
      </w:r>
      <w:r w:rsidR="00E9536E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uje hypotenzn</w:t>
      </w:r>
      <w:r w:rsidR="00FF136B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2BC59033" w14:textId="77777777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rámci vyšetrenia erektilnej dysfunkcie je potrebné diagnostikovať jej možné príčiny, pričom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r w:rsidR="00D46B29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účinný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ktorí sa podrobili operačnému zákroku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prostatektómii</w:t>
      </w:r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5539CF3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5CE5C66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78BB8779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postmarketingovom sledovaní a/alebo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udalosti, vrátane infarktu myokardu, náhlej smrti, nestabilnej angíny 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ventrikulárnej arytmie,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mozgovej príhody, tranzitórnych ischemických atakov, bolesti na hrudníku, palpitácií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tachykardií.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Väčšina pacientov,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boli tieto udalosti hlásené, vykazovali už predtým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kardiovaskulárnych rizikových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priamej súvislosti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týmito rizikovými faktormi, s</w:t>
      </w:r>
      <w:r w:rsidR="00DE3937">
        <w:rPr>
          <w:sz w:val="22"/>
          <w:szCs w:val="22"/>
          <w:lang w:val="sk-SK"/>
        </w:rPr>
        <w:t> </w:t>
      </w:r>
      <w:r w:rsidR="008806D8" w:rsidRPr="00A97DFF">
        <w:rPr>
          <w:sz w:val="22"/>
          <w:szCs w:val="22"/>
          <w:lang w:val="sk-SK"/>
        </w:rPr>
        <w:t>tadalafilom</w:t>
      </w:r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kombináciou týchto či ďalších faktorov.</w:t>
      </w:r>
    </w:p>
    <w:p w14:paraId="4D4925AB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užívajúcich súčasne antihypertenzn</w:t>
      </w:r>
      <w:r w:rsidR="000210C5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 môže tadalafil vyvolať zníženie krvného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tlaku. Na začiatku liečby tadalafilom jedenkrát denne je potrebné klinické zváženie prípadnej úpravy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antihypertenznej </w:t>
      </w:r>
      <w:r w:rsidR="00723351" w:rsidRPr="00A97DFF">
        <w:rPr>
          <w:sz w:val="22"/>
          <w:szCs w:val="22"/>
          <w:lang w:val="sk-SK"/>
        </w:rPr>
        <w:t>liečby</w:t>
      </w:r>
      <w:r w:rsidRPr="00A97DFF">
        <w:rPr>
          <w:sz w:val="22"/>
          <w:szCs w:val="22"/>
          <w:lang w:val="sk-SK"/>
        </w:rPr>
        <w:t>.</w:t>
      </w:r>
    </w:p>
    <w:p w14:paraId="0A36DC94" w14:textId="77777777" w:rsidR="003B5A05" w:rsidRPr="008976C4" w:rsidRDefault="00D73FA3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 xml:space="preserve">blokátory môže súčasné podanie </w:t>
      </w:r>
      <w:r w:rsidR="008806D8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viesť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 pacientov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symptomatickej hypotenzii (pozri časť 4.5). Kombinácia tadalafilu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doxazosínom sa neodporúča.</w:t>
      </w:r>
    </w:p>
    <w:p w14:paraId="75B8C9DE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253B04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2855DB8D" w14:textId="77777777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súvislosti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užitím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iných inhibítorov PDE5 boli hlásené poruchy zraku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prípady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NAION. Pacient má byť poučený, aby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prípade náhlej poruchy videnia prestal užívať </w:t>
      </w:r>
      <w:r w:rsidR="00D46B29" w:rsidRPr="00A97DFF">
        <w:rPr>
          <w:sz w:val="22"/>
          <w:szCs w:val="22"/>
          <w:lang w:val="sk-SK"/>
        </w:rPr>
        <w:t xml:space="preserve">Tadalafil PMCS </w:t>
      </w:r>
      <w:r w:rsidRPr="00A97DFF">
        <w:rPr>
          <w:sz w:val="22"/>
          <w:szCs w:val="22"/>
          <w:lang w:val="sk-SK"/>
        </w:rPr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ihneď sa poradil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lekárom (pozri časť 4.3).</w:t>
      </w:r>
    </w:p>
    <w:p w14:paraId="00D47490" w14:textId="77777777" w:rsidR="00AB3B35" w:rsidRPr="00A97DFF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885E99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Poruchy funkcie obličiek a</w:t>
      </w:r>
      <w:r w:rsidR="00DE3937">
        <w:rPr>
          <w:sz w:val="22"/>
          <w:szCs w:val="22"/>
          <w:u w:val="single"/>
          <w:lang w:val="sk-SK"/>
        </w:rPr>
        <w:t> </w:t>
      </w:r>
      <w:r w:rsidRPr="00A97DFF">
        <w:rPr>
          <w:sz w:val="22"/>
          <w:szCs w:val="22"/>
          <w:u w:val="single"/>
          <w:lang w:val="sk-SK"/>
        </w:rPr>
        <w:t>pečene</w:t>
      </w:r>
    </w:p>
    <w:p w14:paraId="17A20CD2" w14:textId="77777777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dôvodu zvýšenej expozície tadalafilu (AUC), obmedzenej klinickej skúsenosti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nedostatočnej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schopnosti ovplyvňovať klírens dialýzou, dávkovanie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jedenkrát denne sa neodporúča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poruchou funkcie obličiek.</w:t>
      </w:r>
    </w:p>
    <w:p w14:paraId="3ED28F42" w14:textId="77777777" w:rsidR="00AB3B35" w:rsidRPr="00A97DFF" w:rsidRDefault="008F4B3A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bezpečnosti použitia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jedenkrát denne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hepatálnou insuficienciou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(trieda C Child</w:t>
      </w:r>
      <w:r w:rsidR="00D46B29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>-Pughovej klasifikácie) sú dostupné iba obmedzené klinické údaje. Dávkovanie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jedenkrát denne sa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nehodnotilo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hepatálnou insuficienciou.</w:t>
      </w:r>
      <w:r w:rsidR="008976C4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prípade predpísania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musí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rizika.</w:t>
      </w:r>
    </w:p>
    <w:p w14:paraId="2ECEAEF2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A1A36D5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Priapizmus a</w:t>
      </w:r>
      <w:r w:rsidR="00F833C5">
        <w:rPr>
          <w:sz w:val="22"/>
          <w:szCs w:val="22"/>
          <w:u w:val="single"/>
          <w:lang w:val="sk-SK"/>
        </w:rPr>
        <w:t> </w:t>
      </w:r>
      <w:r w:rsidRPr="00A97DFF">
        <w:rPr>
          <w:sz w:val="22"/>
          <w:szCs w:val="22"/>
          <w:u w:val="single"/>
          <w:lang w:val="sk-SK"/>
        </w:rPr>
        <w:t>anatomická deformácia penisu</w:t>
      </w:r>
    </w:p>
    <w:p w14:paraId="6AB656B4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trvá erekcia 4 hodiny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viac, je potrebné poučiť 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nutnosti okamžitého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vyhľadania lekára. Ak nedôjde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okamžitej liečbe priapizmu, môže dôjsť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poškodeniu tkaniva penisu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trvalej strate potencie.</w:t>
      </w:r>
    </w:p>
    <w:p w14:paraId="7029229C" w14:textId="77777777" w:rsidR="008F4B3A" w:rsidRPr="00A97DFF" w:rsidRDefault="00D46B29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2C5807" w:rsidRPr="00A97DFF">
        <w:rPr>
          <w:sz w:val="22"/>
          <w:szCs w:val="22"/>
          <w:lang w:val="sk-SK"/>
        </w:rPr>
        <w:t xml:space="preserve"> je potrebné užívať s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opatrnosťou u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pacientov s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anatomickými deformáciami penisu (ako je</w:t>
      </w:r>
      <w:r w:rsidRPr="00A97DFF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angulácia, fibróza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>h telies alebo Peyronieho choroba) alebo u</w:t>
      </w:r>
      <w:r w:rsidR="00F833C5">
        <w:rPr>
          <w:sz w:val="22"/>
          <w:szCs w:val="22"/>
          <w:lang w:val="sk-SK"/>
        </w:rPr>
        <w:t> </w:t>
      </w:r>
      <w:r w:rsidR="002C5807" w:rsidRPr="00A97DFF">
        <w:rPr>
          <w:sz w:val="22"/>
          <w:szCs w:val="22"/>
          <w:lang w:val="sk-SK"/>
        </w:rPr>
        <w:t>pacientov trpiacich</w:t>
      </w:r>
      <w:r w:rsidR="00F833C5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>ochoreniami, ktoré môžu predisponovať ku vzniku priapizmu (ako je kosáčiková anémia,</w:t>
      </w:r>
      <w:r w:rsidR="00F833C5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lastRenderedPageBreak/>
        <w:t>mnohopočetný myelóm alebo leukémia).</w:t>
      </w:r>
    </w:p>
    <w:p w14:paraId="7521B819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9A099FC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</w:t>
      </w:r>
      <w:r w:rsidR="00F833C5">
        <w:rPr>
          <w:sz w:val="22"/>
          <w:szCs w:val="22"/>
          <w:u w:val="single"/>
          <w:lang w:val="sk-SK"/>
        </w:rPr>
        <w:t> </w:t>
      </w:r>
      <w:r w:rsidRPr="00A97DFF">
        <w:rPr>
          <w:sz w:val="22"/>
          <w:szCs w:val="22"/>
          <w:u w:val="single"/>
          <w:lang w:val="sk-SK"/>
        </w:rPr>
        <w:t>inhibítormi CYP3A4</w:t>
      </w:r>
    </w:p>
    <w:p w14:paraId="1140189D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r w:rsidR="00D46B29" w:rsidRPr="00A97DFF">
        <w:rPr>
          <w:sz w:val="22"/>
          <w:szCs w:val="22"/>
          <w:lang w:val="sk-SK"/>
        </w:rPr>
        <w:t>Tadalafilu PMCS</w:t>
      </w:r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(ritonavir, 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ketokonazol, itrakonazol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erytromycín), keďže bola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kombinácii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týmito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pozorovaná zvýšená systémová expozícia tadalafilu (AUC) (pozri časť 4.5).</w:t>
      </w:r>
    </w:p>
    <w:p w14:paraId="62FCFE1F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ADE938" w14:textId="77777777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Tadalafil PMCS</w:t>
      </w:r>
      <w:r w:rsidR="00E122C6" w:rsidRPr="00A97DFF">
        <w:rPr>
          <w:sz w:val="22"/>
          <w:szCs w:val="22"/>
          <w:u w:val="single"/>
          <w:lang w:val="sk-SK"/>
        </w:rPr>
        <w:t xml:space="preserve"> a</w:t>
      </w:r>
      <w:r w:rsidR="00F833C5">
        <w:rPr>
          <w:sz w:val="22"/>
          <w:szCs w:val="22"/>
          <w:u w:val="single"/>
          <w:lang w:val="sk-SK"/>
        </w:rPr>
        <w:t> </w:t>
      </w:r>
      <w:r w:rsidR="00E122C6" w:rsidRPr="00A97DFF">
        <w:rPr>
          <w:sz w:val="22"/>
          <w:szCs w:val="22"/>
          <w:u w:val="single"/>
          <w:lang w:val="sk-SK"/>
        </w:rPr>
        <w:t>iné lieky na liečbu erektilnej dysfunkcie</w:t>
      </w:r>
    </w:p>
    <w:p w14:paraId="10D8C9C9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Bezpečnosť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účinnosť kombinovanej liečby </w:t>
      </w:r>
      <w:r w:rsidR="00D46B2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inými PDE5 inhibítormi alebo inými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liekmi na liečbu erektilnej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476461" w:rsidRPr="00A97DFF">
        <w:rPr>
          <w:sz w:val="22"/>
          <w:szCs w:val="22"/>
          <w:lang w:val="sk-SK"/>
        </w:rPr>
        <w:t>i majú byť poučení</w:t>
      </w:r>
      <w:r w:rsidRPr="00A97DFF">
        <w:rPr>
          <w:sz w:val="22"/>
          <w:szCs w:val="22"/>
          <w:lang w:val="sk-SK"/>
        </w:rPr>
        <w:t xml:space="preserve">, aby neužívali </w:t>
      </w:r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 xml:space="preserve">adalafil PMCS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takýchto kombináciách.</w:t>
      </w:r>
    </w:p>
    <w:p w14:paraId="67C1DF96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AB66D8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3A3B97B8" w14:textId="77777777" w:rsidR="00BC0CDC" w:rsidRDefault="00D46B29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PMCS</w:t>
      </w:r>
      <w:r w:rsidR="00E122C6" w:rsidRPr="00A97DFF">
        <w:rPr>
          <w:sz w:val="22"/>
          <w:szCs w:val="22"/>
          <w:lang w:val="sk-SK"/>
        </w:rPr>
        <w:t xml:space="preserve"> obsahuje laktózu. </w:t>
      </w:r>
    </w:p>
    <w:p w14:paraId="31952EC8" w14:textId="7F0B0B57" w:rsidR="002C5807" w:rsidRPr="008976C4" w:rsidRDefault="00E122C6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so zriedkav</w:t>
      </w:r>
      <w:r w:rsidR="0088767F">
        <w:rPr>
          <w:sz w:val="22"/>
          <w:szCs w:val="22"/>
          <w:lang w:val="sk-SK"/>
        </w:rPr>
        <w:t>ými dedičnými problémami galaktózovej intolerancie, celkovým deficitom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laktázy alebo glukózo-galaktózovou malabsorpciou nemajú užívať tento liek.</w:t>
      </w:r>
    </w:p>
    <w:p w14:paraId="43307EFB" w14:textId="40B631EE" w:rsidR="0010684E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8A63F05" w14:textId="35A3B720" w:rsidR="0088767F" w:rsidRDefault="0088767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obsahuje menej ako 1 mmol sodíka (23 mg) v jednej tablete, t.j. v podstate zanedbateľné množstvo sodíka. </w:t>
      </w:r>
    </w:p>
    <w:p w14:paraId="611207E9" w14:textId="77777777" w:rsidR="0088767F" w:rsidRPr="008976C4" w:rsidRDefault="0088767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684323C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iné interakcie</w:t>
      </w:r>
    </w:p>
    <w:p w14:paraId="0887F37A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294545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Ako je popísané nižšie, interakčné štúdie boli vykonané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dávkami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a/alebo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tadalafilu. Na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základe tých interakčných štúdií, kde bola použitá iba dávka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, sa nedajú úplne vylúčiť klinicky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relevantné interakcie pri vyššom dávkovaní.</w:t>
      </w:r>
    </w:p>
    <w:p w14:paraId="6F73FF84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01E657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iných liečiv na tadalafil</w:t>
      </w:r>
    </w:p>
    <w:p w14:paraId="30C6A77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50132DD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ketokonazol (20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zvýšil expozíciu (AUC) tadalafilu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2-násobne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hodnotami AUC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pre samotný tadalafil. Ketokonazol (40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denne) zvýšil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expozíciu (AUC) tadalafilu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4-násobne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%. Inhibítor proteázy ritonavir (20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2-krát denne), ktorý je inhibítorom CYP3A4, CYP2C9, CYP2C19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CYP2D6, zvýšil expozíciu (AUC)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tadalafilu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inhibítory proteázy, ako 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inavir,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iné inhibítory CYP3A4, ako erytromycín, klaritromycín,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itrakonazol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grapefruitová šťava sa spolu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tadalafilom majú používať opatrne, pretože je možné predpokladať, že by mohli zvyšovať plazmatické koncentrácie tadalafilu (pozri časť 4.4). Následkom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toho sa môže zvýšiť výskyt nežiaducich reakcií 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časti 4.8.</w:t>
      </w:r>
    </w:p>
    <w:p w14:paraId="0AD34284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AB8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7FE1365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Úloha transportných proteínov (napr. p-glykoproteínu) pri distribúcii tadalafilu nie je známa. Aj tak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však existuje potenciál liekových interakcií sprostredkovaných inhibíciou transportných proteínov.</w:t>
      </w:r>
    </w:p>
    <w:p w14:paraId="7DEDB9AF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F95CF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306F78D2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Rifampicín, ktorý je induktorom CYP3A4, znížil hodnotu AUC tadalafilu 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hodnotami AUC po podaní samotného tadalafilu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). Predpokladá sa, že táto znížená expozícia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zníži účinok tadalafilu, rozsah zníženia účinku nie je známy. Iné induktory CYP3A4 , ako sú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fenobarbital, fenytoín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tadalafilu.</w:t>
      </w:r>
    </w:p>
    <w:p w14:paraId="3F7AE003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7F0B71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Vplyv tadalafilu na iné lieky</w:t>
      </w:r>
    </w:p>
    <w:p w14:paraId="62724AD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5AF27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tadalafil (5</w:t>
      </w:r>
      <w:r w:rsidR="00A764F3">
        <w:rPr>
          <w:sz w:val="22"/>
          <w:szCs w:val="22"/>
          <w:lang w:val="sk-SK"/>
        </w:rPr>
        <w:t> mg</w:t>
      </w:r>
      <w:r w:rsidRPr="00A97DFF">
        <w:rPr>
          <w:sz w:val="22"/>
          <w:szCs w:val="22"/>
          <w:lang w:val="sk-SK"/>
        </w:rPr>
        <w:t>, 10</w:t>
      </w:r>
      <w:r w:rsidR="00A764F3">
        <w:rPr>
          <w:sz w:val="22"/>
          <w:szCs w:val="22"/>
          <w:lang w:val="sk-SK"/>
        </w:rPr>
        <w:t>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zosilňuje hypotenzn</w:t>
      </w:r>
      <w:r w:rsidR="00A430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 nitrátov.</w:t>
      </w:r>
    </w:p>
    <w:p w14:paraId="3B97A930" w14:textId="5FAD27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toho dôvodu je kontraindikované podávanie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pacientom, ktorí užívajú organický nitrát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akejkoľvek forme (pozri časť 4.3). Podľa výsledkov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>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ktorej 150 </w:t>
      </w:r>
      <w:r w:rsidR="00665220" w:rsidRPr="00A97DFF">
        <w:rPr>
          <w:sz w:val="22"/>
          <w:szCs w:val="22"/>
          <w:lang w:val="sk-SK"/>
        </w:rPr>
        <w:t>účastníkov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užívalo po dobu 7 dní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rôznych časoch dennú dávku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tadalafilu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0,4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mg sublingválneho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nitroglycerínu bolo zistené, že interakcia pretrvávala po dobu dlhšiu ako 24 hodín, ale nebola už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zaznamenaná po uplynutí 48 hodín od poslednej dávky tadalafilu.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pacienta užívajúceho akúkoľvek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dávku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(2,</w:t>
      </w:r>
      <w:r w:rsidR="007407B0">
        <w:rPr>
          <w:sz w:val="22"/>
          <w:szCs w:val="22"/>
          <w:lang w:val="sk-SK"/>
        </w:rPr>
        <w:t>5 mg</w:t>
      </w:r>
      <w:r w:rsidR="00665220" w:rsidRPr="00A97DFF">
        <w:rPr>
          <w:sz w:val="22"/>
          <w:szCs w:val="22"/>
          <w:lang w:val="sk-SK"/>
        </w:rPr>
        <w:t xml:space="preserve"> 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), kde sa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život ohrozujúcej situácii javí podanie nitrátov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66522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aspoň 48 hodín. Za týchto okolností je možné nitráty aplikovať, avšak iba pod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priamym lekárskym dohľadom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za náležitého monitorovania hemodynamických funkcií.</w:t>
      </w:r>
    </w:p>
    <w:p w14:paraId="4442609E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81607F" w14:textId="77777777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1B5FAC7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Súčasné podanie doxazosínu (4</w:t>
      </w:r>
      <w:r w:rsidR="00A764F3">
        <w:rPr>
          <w:sz w:val="22"/>
          <w:szCs w:val="22"/>
          <w:lang w:val="sk-SK"/>
        </w:rPr>
        <w:t> mg</w:t>
      </w:r>
      <w:r w:rsidRPr="00A97DFF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8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mg denne)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tadalafilu (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denná dávka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ako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jednorazová dávka) signifikantne zvyšuje</w:t>
      </w:r>
      <w:r w:rsidR="00E8690B" w:rsidRPr="00A97DFF">
        <w:rPr>
          <w:sz w:val="22"/>
          <w:szCs w:val="22"/>
          <w:lang w:val="sk-SK"/>
        </w:rPr>
        <w:t xml:space="preserve"> hypotenzn</w:t>
      </w:r>
      <w:r w:rsidR="00A43030" w:rsidRPr="00A97DFF">
        <w:rPr>
          <w:sz w:val="22"/>
          <w:szCs w:val="22"/>
          <w:lang w:val="sk-SK"/>
        </w:rPr>
        <w:t>ý</w:t>
      </w:r>
      <w:r w:rsidR="00E8690B" w:rsidRPr="00A97DFF">
        <w:rPr>
          <w:sz w:val="22"/>
          <w:szCs w:val="22"/>
          <w:lang w:val="sk-SK"/>
        </w:rPr>
        <w:t xml:space="preserve"> účinok tohto alfa</w:t>
      </w:r>
      <w:r w:rsidRPr="00A97DFF">
        <w:rPr>
          <w:sz w:val="22"/>
          <w:szCs w:val="22"/>
          <w:lang w:val="sk-SK"/>
        </w:rPr>
        <w:t>blokátora.</w:t>
      </w:r>
    </w:p>
    <w:p w14:paraId="40686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Tento účinok trvá aspoň dvanásť hodín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môže byť symptomatický vrátane synkopy. Preto sa táto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kombinácia neodporúča (pozri časť 4.4).</w:t>
      </w:r>
    </w:p>
    <w:p w14:paraId="00CEB58C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interakčných štúdiách vykonaných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limitovaným počtom zdravých dobrovoľníkov neboli tieto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účinky hlásené pri alfuzosíne alebo tamsulozíne. Avšak pozornosť treba venovať pri používaní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 u</w:t>
      </w:r>
      <w:r w:rsidR="00F833C5">
        <w:rPr>
          <w:sz w:val="22"/>
          <w:szCs w:val="22"/>
          <w:lang w:val="sk-SK"/>
        </w:rPr>
        <w:t> </w:t>
      </w:r>
      <w:r w:rsidR="00E8690B" w:rsidRPr="00A97DFF">
        <w:rPr>
          <w:sz w:val="22"/>
          <w:szCs w:val="22"/>
          <w:lang w:val="sk-SK"/>
        </w:rPr>
        <w:t>pacientov liečených alfa</w:t>
      </w:r>
      <w:r w:rsidRPr="00A97DFF">
        <w:rPr>
          <w:sz w:val="22"/>
          <w:szCs w:val="22"/>
          <w:lang w:val="sk-SK"/>
        </w:rPr>
        <w:t>blokátormi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najmä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starších osôb. Liečbu treba začať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minimálnou dávkou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postupne upraviť.</w:t>
      </w:r>
    </w:p>
    <w:p w14:paraId="15176B4B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E7BCE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klinicko-farmakologických štúdiách sa skúmala schopnosť tadalafilu zosilniť hypotenzn</w:t>
      </w:r>
      <w:r w:rsidR="00A430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účinky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antihypertenzn</w:t>
      </w:r>
      <w:r w:rsidR="00A43030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ch liekov. Skúmal sa pritom vplyv na hlavné skupiny antihypertenzn</w:t>
      </w:r>
      <w:r w:rsidR="00A022FD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ch liekov,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vrátane blokátorov kalciového kanála (amlodipín), inhibítorov enzýmu konvertujúceho angiotenzín</w:t>
      </w:r>
      <w:r w:rsidR="00F833C5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(enalapril), beta</w:t>
      </w:r>
      <w:r w:rsidRPr="00A97DFF">
        <w:rPr>
          <w:sz w:val="22"/>
          <w:szCs w:val="22"/>
          <w:lang w:val="sk-SK"/>
        </w:rPr>
        <w:t>blokátorov (metoprolol), tiazidových diuretík (bendrofluazid)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blokátorov receptorov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angiotenzínu II (rozličné typy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dávky, podávané samostatne alebo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tiazidmi,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 kalciového kanála, betablokátormi a/alebo alfa</w:t>
      </w:r>
      <w:r w:rsidRPr="00A97DFF">
        <w:rPr>
          <w:sz w:val="22"/>
          <w:szCs w:val="22"/>
          <w:lang w:val="sk-SK"/>
        </w:rPr>
        <w:t>blokátormi). Tadalafil (v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okrem štúdií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blokátormi receptorov angiotenzínu II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amlodipínom,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ktorých sa použila dávka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nemal klinicky významn</w:t>
      </w:r>
      <w:r w:rsidR="00052430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interakcie so žiadnym liekom z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týchto skupín.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 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maný tadalafil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2EBD2ACE" w14:textId="77777777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ambulantných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kontrolách vo vzťahu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>ou, vykazovali iba minimálny pokles krvného tlaku, podobný zníženiu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pozorovanému u zdravých osôb. U</w:t>
      </w:r>
      <w:r w:rsidR="00DE3937">
        <w:rPr>
          <w:sz w:val="22"/>
          <w:szCs w:val="22"/>
          <w:lang w:val="sk-SK"/>
        </w:rPr>
        <w:t> 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>, ktorých krvný tlak nebol 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bolo pozorované väčšie zníženie krvného tlaku, ktoré však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väčšiny jednotlivcov nebolo spojené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príznakmi hypotenzie.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pacientov, ktorí súbežne používajú antihypertenzn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lieky, môže tadalafil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spôsobiť zníženie krvného tl</w:t>
      </w:r>
      <w:r w:rsidR="00052430" w:rsidRPr="00A97DFF">
        <w:rPr>
          <w:sz w:val="22"/>
          <w:szCs w:val="22"/>
          <w:lang w:val="sk-SK"/>
        </w:rPr>
        <w:t>aku, ktoré je (s</w:t>
      </w:r>
      <w:r w:rsidR="00DE3937">
        <w:rPr>
          <w:sz w:val="22"/>
          <w:szCs w:val="22"/>
          <w:lang w:val="sk-SK"/>
        </w:rPr>
        <w:t> </w:t>
      </w:r>
      <w:r w:rsidR="00052430" w:rsidRPr="00A97DFF">
        <w:rPr>
          <w:sz w:val="22"/>
          <w:szCs w:val="22"/>
          <w:lang w:val="sk-SK"/>
        </w:rPr>
        <w:t>výnimkou alfa</w:t>
      </w:r>
      <w:r w:rsidRPr="00A97DFF">
        <w:rPr>
          <w:sz w:val="22"/>
          <w:szCs w:val="22"/>
          <w:lang w:val="sk-SK"/>
        </w:rPr>
        <w:t>blokátorov, pozri vyššie)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všeobecne mierne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 je pravdepodobné, že bude klinicky významn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>. Pri analýze údajov 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klinických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nežiaducich účinkov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užívajúcimi tadalafil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kombinácii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antihypertenzn</w:t>
      </w:r>
      <w:r w:rsidR="009253F8" w:rsidRPr="00A97DFF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antihypertenzn</w:t>
      </w:r>
      <w:r w:rsidR="009253F8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A1FE985" w14:textId="77777777" w:rsidR="00802BA3" w:rsidRPr="00E9536E" w:rsidRDefault="00802BA3" w:rsidP="00E953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54E4E23" w14:textId="77777777" w:rsidR="00E9536E" w:rsidRPr="00E9536E" w:rsidRDefault="00E9536E" w:rsidP="00E953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E9536E">
        <w:rPr>
          <w:i/>
          <w:iCs/>
          <w:color w:val="000000"/>
          <w:spacing w:val="-1"/>
          <w:sz w:val="22"/>
          <w:szCs w:val="22"/>
          <w:lang w:val="sk-SK"/>
        </w:rPr>
        <w:t>R</w:t>
      </w:r>
      <w:r w:rsidRPr="00E9536E">
        <w:rPr>
          <w:i/>
          <w:iCs/>
          <w:color w:val="000000"/>
          <w:spacing w:val="1"/>
          <w:sz w:val="22"/>
          <w:szCs w:val="22"/>
          <w:lang w:val="sk-SK"/>
        </w:rPr>
        <w:t>i</w:t>
      </w:r>
      <w:r w:rsidRPr="00E9536E">
        <w:rPr>
          <w:i/>
          <w:iCs/>
          <w:color w:val="000000"/>
          <w:sz w:val="22"/>
          <w:szCs w:val="22"/>
          <w:lang w:val="sk-SK"/>
        </w:rPr>
        <w:t>o</w:t>
      </w:r>
      <w:r w:rsidRPr="00E9536E">
        <w:rPr>
          <w:i/>
          <w:iCs/>
          <w:color w:val="000000"/>
          <w:spacing w:val="-2"/>
          <w:sz w:val="22"/>
          <w:szCs w:val="22"/>
          <w:lang w:val="sk-SK"/>
        </w:rPr>
        <w:t>c</w:t>
      </w:r>
      <w:r w:rsidRPr="00E9536E">
        <w:rPr>
          <w:i/>
          <w:iCs/>
          <w:color w:val="000000"/>
          <w:spacing w:val="1"/>
          <w:sz w:val="22"/>
          <w:szCs w:val="22"/>
          <w:lang w:val="sk-SK"/>
        </w:rPr>
        <w:t>i</w:t>
      </w:r>
      <w:r w:rsidRPr="00E9536E">
        <w:rPr>
          <w:i/>
          <w:iCs/>
          <w:color w:val="000000"/>
          <w:sz w:val="22"/>
          <w:szCs w:val="22"/>
          <w:lang w:val="sk-SK"/>
        </w:rPr>
        <w:t>gu</w:t>
      </w:r>
      <w:r w:rsidRPr="00E9536E">
        <w:rPr>
          <w:i/>
          <w:iCs/>
          <w:color w:val="000000"/>
          <w:spacing w:val="-2"/>
          <w:sz w:val="22"/>
          <w:szCs w:val="22"/>
          <w:lang w:val="sk-SK"/>
        </w:rPr>
        <w:t>á</w:t>
      </w:r>
      <w:r w:rsidRPr="00E9536E">
        <w:rPr>
          <w:i/>
          <w:iCs/>
          <w:color w:val="000000"/>
          <w:sz w:val="22"/>
          <w:szCs w:val="22"/>
          <w:lang w:val="sk-SK"/>
        </w:rPr>
        <w:t>t</w:t>
      </w:r>
    </w:p>
    <w:p w14:paraId="48185EBE" w14:textId="1B5A5C2F" w:rsidR="00E9536E" w:rsidRPr="00E9536E" w:rsidRDefault="00E9536E" w:rsidP="00E953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ed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pacing w:val="1"/>
          <w:sz w:val="22"/>
          <w:szCs w:val="22"/>
          <w:lang w:val="sk-SK"/>
        </w:rPr>
        <w:t>li</w:t>
      </w:r>
      <w:r w:rsidRPr="00E9536E">
        <w:rPr>
          <w:color w:val="000000"/>
          <w:spacing w:val="-2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úd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á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ad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>tí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ny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</w:t>
      </w:r>
      <w:r w:rsidRPr="00E9536E">
        <w:rPr>
          <w:color w:val="000000"/>
          <w:spacing w:val="-2"/>
          <w:sz w:val="22"/>
          <w:szCs w:val="22"/>
          <w:lang w:val="sk-SK"/>
        </w:rPr>
        <w:t>y</w:t>
      </w:r>
      <w:r w:rsidRPr="00E9536E">
        <w:rPr>
          <w:color w:val="000000"/>
          <w:sz w:val="22"/>
          <w:szCs w:val="22"/>
          <w:lang w:val="sk-SK"/>
        </w:rPr>
        <w:t>s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é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pacing w:val="2"/>
          <w:sz w:val="22"/>
          <w:szCs w:val="22"/>
          <w:lang w:val="sk-SK"/>
        </w:rPr>
        <w:t>o</w:t>
      </w:r>
      <w:r w:rsidRPr="00E9536E">
        <w:rPr>
          <w:color w:val="000000"/>
          <w:sz w:val="22"/>
          <w:szCs w:val="22"/>
          <w:lang w:val="sk-SK"/>
        </w:rPr>
        <w:t>vý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1"/>
          <w:sz w:val="22"/>
          <w:szCs w:val="22"/>
          <w:lang w:val="sk-SK"/>
        </w:rPr>
        <w:t>ú</w:t>
      </w:r>
      <w:r w:rsidRPr="00E9536E">
        <w:rPr>
          <w:color w:val="000000"/>
          <w:sz w:val="22"/>
          <w:szCs w:val="22"/>
          <w:lang w:val="sk-SK"/>
        </w:rPr>
        <w:t>č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nok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z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ž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3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-2"/>
          <w:sz w:val="22"/>
          <w:szCs w:val="22"/>
          <w:lang w:val="sk-SK"/>
        </w:rPr>
        <w:t>c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ný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tl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 xml:space="preserve">,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eď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sa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h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-1"/>
          <w:sz w:val="22"/>
          <w:szCs w:val="22"/>
          <w:lang w:val="sk-SK"/>
        </w:rPr>
        <w:t>í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pacing w:val="-2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y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1"/>
          <w:sz w:val="22"/>
          <w:szCs w:val="22"/>
          <w:lang w:val="sk-SK"/>
        </w:rPr>
        <w:t>DE</w:t>
      </w:r>
      <w:r w:rsidRPr="00E9536E">
        <w:rPr>
          <w:color w:val="000000"/>
          <w:sz w:val="22"/>
          <w:szCs w:val="22"/>
          <w:lang w:val="sk-SK"/>
        </w:rPr>
        <w:t>5podá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-2"/>
          <w:sz w:val="22"/>
          <w:szCs w:val="22"/>
          <w:lang w:val="sk-SK"/>
        </w:rPr>
        <w:t>č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ne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</w:t>
      </w:r>
      <w:r>
        <w:rPr>
          <w:color w:val="000000"/>
          <w:spacing w:val="1"/>
          <w:sz w:val="22"/>
          <w:szCs w:val="22"/>
          <w:lang w:val="sk-SK"/>
        </w:rPr>
        <w:t> </w:t>
      </w:r>
      <w:r w:rsidRPr="00E9536E">
        <w:rPr>
          <w:color w:val="000000"/>
          <w:spacing w:val="-2"/>
          <w:sz w:val="22"/>
          <w:szCs w:val="22"/>
          <w:lang w:val="sk-SK"/>
        </w:rPr>
        <w:t>r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2"/>
          <w:sz w:val="22"/>
          <w:szCs w:val="22"/>
          <w:lang w:val="sk-SK"/>
        </w:rPr>
        <w:t>c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g</w:t>
      </w:r>
      <w:r w:rsidRPr="00E9536E">
        <w:rPr>
          <w:color w:val="000000"/>
          <w:sz w:val="22"/>
          <w:szCs w:val="22"/>
          <w:lang w:val="sk-SK"/>
        </w:rPr>
        <w:t>uá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z w:val="22"/>
          <w:szCs w:val="22"/>
          <w:lang w:val="sk-SK"/>
        </w:rPr>
        <w:t xml:space="preserve">. </w:t>
      </w:r>
      <w:r w:rsidRPr="00E9536E">
        <w:rPr>
          <w:color w:val="000000"/>
          <w:spacing w:val="1"/>
          <w:sz w:val="22"/>
          <w:szCs w:val="22"/>
          <w:lang w:val="sk-SK"/>
        </w:rPr>
        <w:t>Kl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-3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-2"/>
          <w:sz w:val="22"/>
          <w:szCs w:val="22"/>
          <w:lang w:val="sk-SK"/>
        </w:rPr>
        <w:t>d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p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eu</w:t>
      </w:r>
      <w:r w:rsidRPr="00E9536E">
        <w:rPr>
          <w:color w:val="000000"/>
          <w:spacing w:val="-2"/>
          <w:sz w:val="22"/>
          <w:szCs w:val="22"/>
          <w:lang w:val="sk-SK"/>
        </w:rPr>
        <w:t>káz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li</w:t>
      </w:r>
      <w:r w:rsidRPr="00E9536E">
        <w:rPr>
          <w:color w:val="000000"/>
          <w:sz w:val="22"/>
          <w:szCs w:val="22"/>
          <w:lang w:val="sk-SK"/>
        </w:rPr>
        <w:t xml:space="preserve">, </w:t>
      </w:r>
      <w:r w:rsidRPr="00E9536E">
        <w:rPr>
          <w:color w:val="000000"/>
          <w:spacing w:val="-2"/>
          <w:sz w:val="22"/>
          <w:szCs w:val="22"/>
          <w:lang w:val="sk-SK"/>
        </w:rPr>
        <w:t>ž</w:t>
      </w:r>
      <w:r w:rsidRPr="00E9536E">
        <w:rPr>
          <w:color w:val="000000"/>
          <w:sz w:val="22"/>
          <w:szCs w:val="22"/>
          <w:lang w:val="sk-SK"/>
        </w:rPr>
        <w:t xml:space="preserve">e </w:t>
      </w:r>
      <w:r w:rsidRPr="00E9536E">
        <w:rPr>
          <w:color w:val="000000"/>
          <w:spacing w:val="-2"/>
          <w:sz w:val="22"/>
          <w:szCs w:val="22"/>
          <w:lang w:val="sk-SK"/>
        </w:rPr>
        <w:t>r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2"/>
          <w:sz w:val="22"/>
          <w:szCs w:val="22"/>
          <w:lang w:val="sk-SK"/>
        </w:rPr>
        <w:t>c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g</w:t>
      </w:r>
      <w:r w:rsidRPr="00E9536E">
        <w:rPr>
          <w:color w:val="000000"/>
          <w:sz w:val="22"/>
          <w:szCs w:val="22"/>
          <w:lang w:val="sk-SK"/>
        </w:rPr>
        <w:t>uát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pacing w:val="-2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ň</w:t>
      </w:r>
      <w:r w:rsidRPr="00E9536E">
        <w:rPr>
          <w:color w:val="000000"/>
          <w:spacing w:val="-2"/>
          <w:sz w:val="22"/>
          <w:szCs w:val="22"/>
          <w:lang w:val="sk-SK"/>
        </w:rPr>
        <w:t>u</w:t>
      </w:r>
      <w:r w:rsidRPr="00E9536E">
        <w:rPr>
          <w:color w:val="000000"/>
          <w:spacing w:val="1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h</w:t>
      </w:r>
      <w:r w:rsidRPr="00E9536E">
        <w:rPr>
          <w:color w:val="000000"/>
          <w:spacing w:val="-2"/>
          <w:sz w:val="22"/>
          <w:szCs w:val="22"/>
          <w:lang w:val="sk-SK"/>
        </w:rPr>
        <w:t>y</w:t>
      </w:r>
      <w:r w:rsidRPr="00E9536E">
        <w:rPr>
          <w:color w:val="000000"/>
          <w:sz w:val="22"/>
          <w:szCs w:val="22"/>
          <w:lang w:val="sk-SK"/>
        </w:rPr>
        <w:t>po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en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="008F7D17">
        <w:rPr>
          <w:color w:val="000000"/>
          <w:spacing w:val="-2"/>
          <w:sz w:val="22"/>
          <w:szCs w:val="22"/>
          <w:lang w:val="sk-SK"/>
        </w:rPr>
        <w:t>né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úč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 xml:space="preserve">y 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nh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-1"/>
          <w:sz w:val="22"/>
          <w:szCs w:val="22"/>
          <w:lang w:val="sk-SK"/>
        </w:rPr>
        <w:t>í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ov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1"/>
          <w:sz w:val="22"/>
          <w:szCs w:val="22"/>
          <w:lang w:val="sk-SK"/>
        </w:rPr>
        <w:t>DE</w:t>
      </w:r>
      <w:r w:rsidRPr="00E9536E">
        <w:rPr>
          <w:color w:val="000000"/>
          <w:sz w:val="22"/>
          <w:szCs w:val="22"/>
          <w:lang w:val="sk-SK"/>
        </w:rPr>
        <w:t>5.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V</w:t>
      </w:r>
      <w:r>
        <w:rPr>
          <w:color w:val="000000"/>
          <w:spacing w:val="2"/>
          <w:sz w:val="22"/>
          <w:szCs w:val="22"/>
          <w:lang w:val="sk-SK"/>
        </w:rPr>
        <w:t> 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ú</w:t>
      </w:r>
      <w:r w:rsidRPr="00E9536E">
        <w:rPr>
          <w:color w:val="000000"/>
          <w:spacing w:val="1"/>
          <w:sz w:val="22"/>
          <w:szCs w:val="22"/>
          <w:lang w:val="sk-SK"/>
        </w:rPr>
        <w:t>š</w:t>
      </w:r>
      <w:r w:rsidRPr="00E9536E">
        <w:rPr>
          <w:color w:val="000000"/>
          <w:spacing w:val="-2"/>
          <w:sz w:val="22"/>
          <w:szCs w:val="22"/>
          <w:lang w:val="sk-SK"/>
        </w:rPr>
        <w:t>a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e</w:t>
      </w:r>
      <w:r w:rsidRPr="00E9536E">
        <w:rPr>
          <w:color w:val="000000"/>
          <w:sz w:val="22"/>
          <w:szCs w:val="22"/>
          <w:lang w:val="sk-SK"/>
        </w:rPr>
        <w:t>j</w:t>
      </w:r>
      <w:r w:rsidRPr="00E9536E">
        <w:rPr>
          <w:color w:val="000000"/>
          <w:spacing w:val="4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2"/>
          <w:sz w:val="22"/>
          <w:szCs w:val="22"/>
          <w:lang w:val="sk-SK"/>
        </w:rPr>
        <w:t>o</w:t>
      </w:r>
      <w:r w:rsidRPr="00E9536E">
        <w:rPr>
          <w:color w:val="000000"/>
          <w:sz w:val="22"/>
          <w:szCs w:val="22"/>
          <w:lang w:val="sk-SK"/>
        </w:rPr>
        <w:t>pu</w:t>
      </w:r>
      <w:r w:rsidRPr="00E9536E">
        <w:rPr>
          <w:color w:val="000000"/>
          <w:spacing w:val="-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ác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3"/>
          <w:sz w:val="22"/>
          <w:szCs w:val="22"/>
          <w:lang w:val="sk-SK"/>
        </w:rPr>
        <w:t>n</w:t>
      </w:r>
      <w:r w:rsidRPr="00E9536E">
        <w:rPr>
          <w:color w:val="000000"/>
          <w:sz w:val="22"/>
          <w:szCs w:val="22"/>
          <w:lang w:val="sk-SK"/>
        </w:rPr>
        <w:t>ebol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á</w:t>
      </w:r>
      <w:r w:rsidRPr="00E9536E">
        <w:rPr>
          <w:color w:val="000000"/>
          <w:spacing w:val="1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>dený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ž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adny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dô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az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 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1"/>
          <w:sz w:val="22"/>
          <w:szCs w:val="22"/>
          <w:lang w:val="sk-SK"/>
        </w:rPr>
        <w:t>ri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-2"/>
          <w:sz w:val="22"/>
          <w:szCs w:val="22"/>
          <w:lang w:val="sk-SK"/>
        </w:rPr>
        <w:t>z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om</w:t>
      </w:r>
      <w:r w:rsidRPr="00E9536E">
        <w:rPr>
          <w:color w:val="000000"/>
          <w:spacing w:val="-1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pacing w:val="1"/>
          <w:sz w:val="22"/>
          <w:szCs w:val="22"/>
          <w:lang w:val="sk-SK"/>
        </w:rPr>
        <w:t>li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-3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om</w:t>
      </w:r>
      <w:r w:rsidRPr="00E9536E">
        <w:rPr>
          <w:color w:val="000000"/>
          <w:spacing w:val="-4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úč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 xml:space="preserve">u 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po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pacing w:val="1"/>
          <w:sz w:val="22"/>
          <w:szCs w:val="22"/>
          <w:lang w:val="sk-SK"/>
        </w:rPr>
        <w:t>í</w:t>
      </w:r>
      <w:r w:rsidRPr="00E9536E">
        <w:rPr>
          <w:color w:val="000000"/>
          <w:sz w:val="22"/>
          <w:szCs w:val="22"/>
          <w:lang w:val="sk-SK"/>
        </w:rPr>
        <w:t>nan</w:t>
      </w:r>
      <w:r w:rsidRPr="00E9536E">
        <w:rPr>
          <w:color w:val="000000"/>
          <w:spacing w:val="-2"/>
          <w:sz w:val="22"/>
          <w:szCs w:val="22"/>
          <w:lang w:val="sk-SK"/>
        </w:rPr>
        <w:t>e</w:t>
      </w:r>
      <w:r w:rsidRPr="00E9536E">
        <w:rPr>
          <w:color w:val="000000"/>
          <w:sz w:val="22"/>
          <w:szCs w:val="22"/>
          <w:lang w:val="sk-SK"/>
        </w:rPr>
        <w:t>j</w:t>
      </w:r>
      <w:r w:rsidRPr="00E9536E">
        <w:rPr>
          <w:color w:val="000000"/>
          <w:spacing w:val="4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nác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e. S</w:t>
      </w:r>
      <w:r w:rsidRPr="00E9536E">
        <w:rPr>
          <w:color w:val="000000"/>
          <w:spacing w:val="-2"/>
          <w:sz w:val="22"/>
          <w:szCs w:val="22"/>
          <w:lang w:val="sk-SK"/>
        </w:rPr>
        <w:t>ú</w:t>
      </w:r>
      <w:r w:rsidRPr="00E9536E">
        <w:rPr>
          <w:color w:val="000000"/>
          <w:sz w:val="22"/>
          <w:szCs w:val="22"/>
          <w:lang w:val="sk-SK"/>
        </w:rPr>
        <w:t>ča</w:t>
      </w:r>
      <w:r w:rsidRPr="00E9536E">
        <w:rPr>
          <w:color w:val="000000"/>
          <w:spacing w:val="1"/>
          <w:sz w:val="22"/>
          <w:szCs w:val="22"/>
          <w:lang w:val="sk-SK"/>
        </w:rPr>
        <w:t>s</w:t>
      </w:r>
      <w:r w:rsidRPr="00E9536E">
        <w:rPr>
          <w:color w:val="000000"/>
          <w:sz w:val="22"/>
          <w:szCs w:val="22"/>
          <w:lang w:val="sk-SK"/>
        </w:rPr>
        <w:t>né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-2"/>
          <w:sz w:val="22"/>
          <w:szCs w:val="22"/>
          <w:lang w:val="sk-SK"/>
        </w:rPr>
        <w:t>ž</w:t>
      </w:r>
      <w:r w:rsidRPr="00E9536E">
        <w:rPr>
          <w:color w:val="000000"/>
          <w:spacing w:val="1"/>
          <w:sz w:val="22"/>
          <w:szCs w:val="22"/>
          <w:lang w:val="sk-SK"/>
        </w:rPr>
        <w:t>í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an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ri</w:t>
      </w:r>
      <w:r w:rsidRPr="00E9536E">
        <w:rPr>
          <w:color w:val="000000"/>
          <w:spacing w:val="-2"/>
          <w:sz w:val="22"/>
          <w:szCs w:val="22"/>
          <w:lang w:val="sk-SK"/>
        </w:rPr>
        <w:t>o</w:t>
      </w:r>
      <w:r w:rsidRPr="00E9536E">
        <w:rPr>
          <w:color w:val="000000"/>
          <w:sz w:val="22"/>
          <w:szCs w:val="22"/>
          <w:lang w:val="sk-SK"/>
        </w:rPr>
        <w:t>c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g</w:t>
      </w:r>
      <w:r w:rsidRPr="00E9536E">
        <w:rPr>
          <w:color w:val="000000"/>
          <w:sz w:val="22"/>
          <w:szCs w:val="22"/>
          <w:lang w:val="sk-SK"/>
        </w:rPr>
        <w:t>uá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u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s</w:t>
      </w:r>
      <w:r>
        <w:rPr>
          <w:color w:val="000000"/>
          <w:spacing w:val="-2"/>
          <w:sz w:val="22"/>
          <w:szCs w:val="22"/>
          <w:lang w:val="sk-SK"/>
        </w:rPr>
        <w:t> </w:t>
      </w:r>
      <w:r w:rsidRPr="00E9536E">
        <w:rPr>
          <w:color w:val="000000"/>
          <w:sz w:val="22"/>
          <w:szCs w:val="22"/>
          <w:lang w:val="sk-SK"/>
        </w:rPr>
        <w:t>P</w:t>
      </w:r>
      <w:r w:rsidRPr="00E9536E">
        <w:rPr>
          <w:color w:val="000000"/>
          <w:spacing w:val="-1"/>
          <w:sz w:val="22"/>
          <w:szCs w:val="22"/>
          <w:lang w:val="sk-SK"/>
        </w:rPr>
        <w:t>DE</w:t>
      </w:r>
      <w:r w:rsidRPr="00E9536E">
        <w:rPr>
          <w:color w:val="000000"/>
          <w:sz w:val="22"/>
          <w:szCs w:val="22"/>
          <w:lang w:val="sk-SK"/>
        </w:rPr>
        <w:t xml:space="preserve">5 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nh</w:t>
      </w:r>
      <w:r w:rsidRPr="00E9536E">
        <w:rPr>
          <w:color w:val="000000"/>
          <w:spacing w:val="-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>b</w:t>
      </w:r>
      <w:r w:rsidRPr="00E9536E">
        <w:rPr>
          <w:color w:val="000000"/>
          <w:spacing w:val="-1"/>
          <w:sz w:val="22"/>
          <w:szCs w:val="22"/>
          <w:lang w:val="sk-SK"/>
        </w:rPr>
        <w:t>í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pacing w:val="-4"/>
          <w:sz w:val="22"/>
          <w:szCs w:val="22"/>
          <w:lang w:val="sk-SK"/>
        </w:rPr>
        <w:t>m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z w:val="22"/>
          <w:szCs w:val="22"/>
          <w:lang w:val="sk-SK"/>
        </w:rPr>
        <w:t xml:space="preserve">, 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pacing w:val="1"/>
          <w:sz w:val="22"/>
          <w:szCs w:val="22"/>
          <w:lang w:val="sk-SK"/>
        </w:rPr>
        <w:t>r</w:t>
      </w:r>
      <w:r w:rsidRPr="00E9536E">
        <w:rPr>
          <w:color w:val="000000"/>
          <w:sz w:val="22"/>
          <w:szCs w:val="22"/>
          <w:lang w:val="sk-SK"/>
        </w:rPr>
        <w:t>á</w:t>
      </w:r>
      <w:r w:rsidRPr="00E9536E">
        <w:rPr>
          <w:color w:val="000000"/>
          <w:spacing w:val="1"/>
          <w:sz w:val="22"/>
          <w:szCs w:val="22"/>
          <w:lang w:val="sk-SK"/>
        </w:rPr>
        <w:t>t</w:t>
      </w:r>
      <w:r w:rsidRPr="00E9536E">
        <w:rPr>
          <w:color w:val="000000"/>
          <w:spacing w:val="-2"/>
          <w:sz w:val="22"/>
          <w:szCs w:val="22"/>
          <w:lang w:val="sk-SK"/>
        </w:rPr>
        <w:t>a</w:t>
      </w:r>
      <w:r w:rsidRPr="00E9536E">
        <w:rPr>
          <w:color w:val="000000"/>
          <w:sz w:val="22"/>
          <w:szCs w:val="22"/>
          <w:lang w:val="sk-SK"/>
        </w:rPr>
        <w:t>ne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-1"/>
          <w:sz w:val="22"/>
          <w:szCs w:val="22"/>
          <w:lang w:val="sk-SK"/>
        </w:rPr>
        <w:t>t</w:t>
      </w:r>
      <w:r w:rsidRPr="00E9536E">
        <w:rPr>
          <w:color w:val="000000"/>
          <w:sz w:val="22"/>
          <w:szCs w:val="22"/>
          <w:lang w:val="sk-SK"/>
        </w:rPr>
        <w:t>ada</w:t>
      </w:r>
      <w:r w:rsidRPr="00E9536E">
        <w:rPr>
          <w:color w:val="000000"/>
          <w:spacing w:val="-1"/>
          <w:sz w:val="22"/>
          <w:szCs w:val="22"/>
          <w:lang w:val="sk-SK"/>
        </w:rPr>
        <w:t>l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-2"/>
          <w:sz w:val="22"/>
          <w:szCs w:val="22"/>
          <w:lang w:val="sk-SK"/>
        </w:rPr>
        <w:t>f</w:t>
      </w:r>
      <w:r w:rsidRPr="00E9536E">
        <w:rPr>
          <w:color w:val="000000"/>
          <w:spacing w:val="1"/>
          <w:sz w:val="22"/>
          <w:szCs w:val="22"/>
          <w:lang w:val="sk-SK"/>
        </w:rPr>
        <w:t>il</w:t>
      </w:r>
      <w:r w:rsidRPr="00E9536E">
        <w:rPr>
          <w:color w:val="000000"/>
          <w:sz w:val="22"/>
          <w:szCs w:val="22"/>
          <w:lang w:val="sk-SK"/>
        </w:rPr>
        <w:t>u,</w:t>
      </w:r>
      <w:r w:rsidRPr="00E9536E">
        <w:rPr>
          <w:color w:val="000000"/>
          <w:spacing w:val="-2"/>
          <w:sz w:val="22"/>
          <w:szCs w:val="22"/>
          <w:lang w:val="sk-SK"/>
        </w:rPr>
        <w:t xml:space="preserve"> </w:t>
      </w:r>
      <w:r w:rsidRPr="00E9536E">
        <w:rPr>
          <w:color w:val="000000"/>
          <w:spacing w:val="1"/>
          <w:sz w:val="22"/>
          <w:szCs w:val="22"/>
          <w:lang w:val="sk-SK"/>
        </w:rPr>
        <w:t>j</w:t>
      </w:r>
      <w:r w:rsidRPr="00E9536E">
        <w:rPr>
          <w:color w:val="000000"/>
          <w:sz w:val="22"/>
          <w:szCs w:val="22"/>
          <w:lang w:val="sk-SK"/>
        </w:rPr>
        <w:t xml:space="preserve">e 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on</w:t>
      </w:r>
      <w:r w:rsidRPr="00E9536E">
        <w:rPr>
          <w:color w:val="000000"/>
          <w:spacing w:val="1"/>
          <w:sz w:val="22"/>
          <w:szCs w:val="22"/>
          <w:lang w:val="sk-SK"/>
        </w:rPr>
        <w:t>tr</w:t>
      </w:r>
      <w:r w:rsidRPr="00E9536E">
        <w:rPr>
          <w:color w:val="000000"/>
          <w:sz w:val="22"/>
          <w:szCs w:val="22"/>
          <w:lang w:val="sk-SK"/>
        </w:rPr>
        <w:t>a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n</w:t>
      </w:r>
      <w:r w:rsidRPr="00E9536E">
        <w:rPr>
          <w:color w:val="000000"/>
          <w:sz w:val="22"/>
          <w:szCs w:val="22"/>
          <w:lang w:val="sk-SK"/>
        </w:rPr>
        <w:t>d</w:t>
      </w:r>
      <w:r w:rsidRPr="00E9536E">
        <w:rPr>
          <w:color w:val="000000"/>
          <w:spacing w:val="1"/>
          <w:sz w:val="22"/>
          <w:szCs w:val="22"/>
          <w:lang w:val="sk-SK"/>
        </w:rPr>
        <w:t>i</w:t>
      </w:r>
      <w:r w:rsidRPr="00E9536E">
        <w:rPr>
          <w:color w:val="000000"/>
          <w:spacing w:val="-2"/>
          <w:sz w:val="22"/>
          <w:szCs w:val="22"/>
          <w:lang w:val="sk-SK"/>
        </w:rPr>
        <w:t>k</w:t>
      </w:r>
      <w:r w:rsidRPr="00E9536E">
        <w:rPr>
          <w:color w:val="000000"/>
          <w:sz w:val="22"/>
          <w:szCs w:val="22"/>
          <w:lang w:val="sk-SK"/>
        </w:rPr>
        <w:t>o</w:t>
      </w:r>
      <w:r w:rsidRPr="00E9536E">
        <w:rPr>
          <w:color w:val="000000"/>
          <w:spacing w:val="-2"/>
          <w:sz w:val="22"/>
          <w:szCs w:val="22"/>
          <w:lang w:val="sk-SK"/>
        </w:rPr>
        <w:t>v</w:t>
      </w:r>
      <w:r w:rsidRPr="00E9536E">
        <w:rPr>
          <w:color w:val="000000"/>
          <w:sz w:val="22"/>
          <w:szCs w:val="22"/>
          <w:lang w:val="sk-SK"/>
        </w:rPr>
        <w:t>ané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(</w:t>
      </w:r>
      <w:r w:rsidRPr="00E9536E">
        <w:rPr>
          <w:color w:val="000000"/>
          <w:sz w:val="22"/>
          <w:szCs w:val="22"/>
          <w:lang w:val="sk-SK"/>
        </w:rPr>
        <w:t>po</w:t>
      </w:r>
      <w:r w:rsidRPr="00E9536E">
        <w:rPr>
          <w:color w:val="000000"/>
          <w:spacing w:val="-2"/>
          <w:sz w:val="22"/>
          <w:szCs w:val="22"/>
          <w:lang w:val="sk-SK"/>
        </w:rPr>
        <w:t>zr</w:t>
      </w:r>
      <w:r w:rsidRPr="00E9536E">
        <w:rPr>
          <w:color w:val="000000"/>
          <w:sz w:val="22"/>
          <w:szCs w:val="22"/>
          <w:lang w:val="sk-SK"/>
        </w:rPr>
        <w:t>i</w:t>
      </w:r>
      <w:r w:rsidRPr="00E9536E">
        <w:rPr>
          <w:color w:val="000000"/>
          <w:spacing w:val="1"/>
          <w:sz w:val="22"/>
          <w:szCs w:val="22"/>
          <w:lang w:val="sk-SK"/>
        </w:rPr>
        <w:t xml:space="preserve"> </w:t>
      </w:r>
      <w:r w:rsidRPr="00E9536E">
        <w:rPr>
          <w:color w:val="000000"/>
          <w:sz w:val="22"/>
          <w:szCs w:val="22"/>
          <w:lang w:val="sk-SK"/>
        </w:rPr>
        <w:t>č</w:t>
      </w:r>
      <w:r w:rsidRPr="00E9536E">
        <w:rPr>
          <w:color w:val="000000"/>
          <w:spacing w:val="-2"/>
          <w:sz w:val="22"/>
          <w:szCs w:val="22"/>
          <w:lang w:val="sk-SK"/>
        </w:rPr>
        <w:t>as</w:t>
      </w:r>
      <w:r w:rsidRPr="00E9536E">
        <w:rPr>
          <w:color w:val="000000"/>
          <w:sz w:val="22"/>
          <w:szCs w:val="22"/>
          <w:lang w:val="sk-SK"/>
        </w:rPr>
        <w:t>ť 4.3</w:t>
      </w:r>
      <w:r w:rsidRPr="00E9536E">
        <w:rPr>
          <w:color w:val="000000"/>
          <w:spacing w:val="1"/>
          <w:sz w:val="22"/>
          <w:szCs w:val="22"/>
          <w:lang w:val="sk-SK"/>
        </w:rPr>
        <w:t>)</w:t>
      </w:r>
      <w:r w:rsidRPr="00E9536E">
        <w:rPr>
          <w:color w:val="000000"/>
          <w:sz w:val="22"/>
          <w:szCs w:val="22"/>
          <w:lang w:val="sk-SK"/>
        </w:rPr>
        <w:t>.</w:t>
      </w:r>
    </w:p>
    <w:p w14:paraId="69F78A8B" w14:textId="77777777" w:rsidR="00E9536E" w:rsidRPr="00E9536E" w:rsidRDefault="00E9536E" w:rsidP="00E9536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8AE96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5-alfa reduktázy</w:t>
      </w:r>
    </w:p>
    <w:p w14:paraId="642A399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klinickom skúšaní, kde sa porovnával účinok tadalafilu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súbežnom podávaní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finasteridom</w:t>
      </w:r>
      <w:r w:rsidR="00F833C5">
        <w:rPr>
          <w:sz w:val="22"/>
          <w:szCs w:val="22"/>
          <w:lang w:val="sk-SK"/>
        </w:rPr>
        <w:t xml:space="preserve">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oproti placebu podávanému spolu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finasteridom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BPH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nevyskytli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žiadne nové nežiaduce reakcie. Avšak nebola vykonaná oficiálna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tadalafilu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inhibítorov 5-alfa reduktázy (5-ARI),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potrebné podávať tadalafil súbežne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5-ARI so zvýšenou opatrnosťou.</w:t>
      </w:r>
    </w:p>
    <w:p w14:paraId="42F02FC5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65713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CYPIA2 (napr. teofylín)</w:t>
      </w:r>
    </w:p>
    <w:p w14:paraId="35B4D38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 podaní tadalafilu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dávke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spolu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teofylínom (neselektívny inhibítor fosfodiesterázy) sa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klinicko-farmakologickej štúdii nezistila žiadna farmakokinetická interakcia. Jediným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lastRenderedPageBreak/>
        <w:t>farmakodynamickým účinkom bolo malé (3,5 úderov/min) zrýchlenie tepu. Hoci bol tento účinok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malý,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 nevykazoval klinickú významnosť, pri spoločnom podaní týchto liekov by sa mal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75238A47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F7CB46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Etinylestradiol a</w:t>
      </w:r>
      <w:r w:rsidR="00F833C5">
        <w:rPr>
          <w:i/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terbutalín</w:t>
      </w:r>
    </w:p>
    <w:p w14:paraId="1E2117B4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Zistilo sa, že tadalafil spôsobuje zvýšenie biologickej dostupnosti etinylestradiolu po perorálnom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podaní,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 perorálnom podaní terbutalínu sa dá očakávať podobné zvýšenie, hoci jeho klinický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dôsledok je neistý.</w:t>
      </w:r>
    </w:p>
    <w:p w14:paraId="769710DB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C6E91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58DC4335" w14:textId="748F3B6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Koncentrácia alkoholu (priemerná maximálna koncentrácia alkoholu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nebola ovplyvnená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súčasným podaním tadalafilu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alebo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koncentrácii tadalafilu po 3 hodinách po súbežnom užití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alkoholom. Alkohol bol 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podmienok maximalizujúcich rýchlosť jeho vstrebávania (ráno nalačno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bez jedla ešte 2 hodiny po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požití alkoholu). Tadalafil (2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nezosilňoval priemerné zníženie krvného tlaku spôsobené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alkoholom (0,7 g/kg, t.j. približne 180 ml 40% alkoholu [vodky]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80-kg muža),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 osôb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však boli pozorované posturálne závraty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ortostatická hypotenzia. Pokiaľ bol tadalafil podaný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nižšou dávkou alkoholu (0,6 g/kg), hypotenzia nebola pozorovaná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výskyt závratov mal podobnú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frekvenciu ako po alkohole samotnom. Tadalafil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nezosilňoval vplyv alkoholu na kognitívne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funkcie.</w:t>
      </w:r>
    </w:p>
    <w:p w14:paraId="150B2B03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7DD50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3E6142B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Nepredpokladá sa, že by tadalafil spôsoboval klinicky významn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 xml:space="preserve"> inhibíciu alebo indukciu klírensu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liekov, ktoré sú metabolizované izoformami CYP450. Štúdie potvrdili, že tadalafil neinhibuje ani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neindukuje izoformy CYP450, vrátane CYP3A4, CYP1A2, CYP2D6, CYP2E1, CYP2C9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CYP2C19.</w:t>
      </w:r>
    </w:p>
    <w:p w14:paraId="3448EE33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E6E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Substráty pre CYP2C9 (napr. R-warfarín)</w:t>
      </w:r>
    </w:p>
    <w:p w14:paraId="718D3F16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nemá žiadny klinicky významný účinok na expozíciu (AUC) S-warfarínu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alebo R-warfarínu (substrát pre CYP2C9), ani nespôsobil zmeny protrombínového času navodené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warfarínom.</w:t>
      </w:r>
    </w:p>
    <w:p w14:paraId="52BA2F0B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BABA32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Aspirín</w:t>
      </w:r>
    </w:p>
    <w:p w14:paraId="129F913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(1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nepotencuje predĺženie času krvácania spôsobeného kyselinou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acetylsalicylovou.</w:t>
      </w:r>
    </w:p>
    <w:p w14:paraId="0E93011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9C95F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Antidiabetické lieky</w:t>
      </w:r>
    </w:p>
    <w:p w14:paraId="6A32AFD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antidiabetikami.</w:t>
      </w:r>
    </w:p>
    <w:p w14:paraId="359106BA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BBE0D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laktácia</w:t>
      </w:r>
    </w:p>
    <w:p w14:paraId="1DAC843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E585CEF" w14:textId="77777777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nie je indikovaný na použitie u</w:t>
      </w:r>
      <w:r w:rsidR="00F833C5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žien.</w:t>
      </w:r>
    </w:p>
    <w:p w14:paraId="1EF236C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2D71F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63794D7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dispozícii je iba obmedzené množstvo údajov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použití tadalafilu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gravidných žien. Štúdie na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zvieratách nepreukázali priame alebo nepriame účinky na priebeh tehotenstva, embryonálny/fetálny vývoj, pôrod alebo postnatálny vývoj (pozri časť 5.3). Užívanie </w:t>
      </w:r>
      <w:r w:rsidR="00052430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tehotenstve sa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preventívnych dôvodov neodporúča.</w:t>
      </w:r>
    </w:p>
    <w:p w14:paraId="3F9CE3E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E01EC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Laktácia</w:t>
      </w:r>
    </w:p>
    <w:p w14:paraId="3109E74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Dostupné farmakodynamické/toxikologické dáta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zvierat preukázali exkréciu tadalafilu do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mlieka. Nemôže byť vylúčené riziko pre dojčené dieťa. </w:t>
      </w:r>
      <w:r w:rsidR="00052430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sa nemá užívať</w:t>
      </w:r>
      <w:r w:rsidR="00F833C5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63F9611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0F52D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73EAC8CA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psov sa objavili účinky, ktoré môžu indikovať poruchu fertility. Dve po sebe nasledujúce klinické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skúšania naznačujú, že nie je pravdepodobné, aby sa tento účinok objavil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ľudí, ale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mužov bola zaznamenaná znížená koncentrácia spermií (pozri časti 5.1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5.3).</w:t>
      </w:r>
    </w:p>
    <w:p w14:paraId="1125EBCA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6D36857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</w:t>
      </w:r>
      <w:r w:rsidR="00DE3937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obsluhovať stroje</w:t>
      </w:r>
    </w:p>
    <w:p w14:paraId="2756C825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748F4B4" w14:textId="77777777" w:rsidR="00971C72" w:rsidRPr="00A97DFF" w:rsidRDefault="00052430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 xml:space="preserve"> má zanedbateľný vplyv na schopnosť viesť vozidlá alebo obsluhovať stroje. Hoci výskyt</w:t>
      </w:r>
      <w:r w:rsidR="00F833C5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závratov v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 xml:space="preserve">klinických </w:t>
      </w:r>
      <w:r w:rsidRPr="00A97DFF">
        <w:rPr>
          <w:sz w:val="22"/>
          <w:szCs w:val="22"/>
          <w:lang w:val="sk-SK"/>
        </w:rPr>
        <w:t>skúšaniach</w:t>
      </w:r>
      <w:r w:rsidR="00802BA3" w:rsidRPr="00A97DFF">
        <w:rPr>
          <w:sz w:val="22"/>
          <w:szCs w:val="22"/>
          <w:lang w:val="sk-SK"/>
        </w:rPr>
        <w:t xml:space="preserve"> bol podobný v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 xml:space="preserve">skupinách </w:t>
      </w:r>
      <w:r w:rsidR="009A785B" w:rsidRPr="00A97DFF">
        <w:rPr>
          <w:sz w:val="22"/>
          <w:szCs w:val="22"/>
          <w:lang w:val="sk-SK"/>
        </w:rPr>
        <w:t>s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placeb</w:t>
      </w:r>
      <w:r w:rsidR="009A785B" w:rsidRPr="00A97DFF">
        <w:rPr>
          <w:sz w:val="22"/>
          <w:szCs w:val="22"/>
          <w:lang w:val="sk-SK"/>
        </w:rPr>
        <w:t>om</w:t>
      </w:r>
      <w:r w:rsidR="00802BA3"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tadalafil</w:t>
      </w:r>
      <w:r w:rsidR="009A785B" w:rsidRPr="00A97DFF">
        <w:rPr>
          <w:sz w:val="22"/>
          <w:szCs w:val="22"/>
          <w:lang w:val="sk-SK"/>
        </w:rPr>
        <w:t>om</w:t>
      </w:r>
      <w:r w:rsidR="00802BA3" w:rsidRPr="00A97DFF">
        <w:rPr>
          <w:sz w:val="22"/>
          <w:szCs w:val="22"/>
          <w:lang w:val="sk-SK"/>
        </w:rPr>
        <w:t>, pred vedením</w:t>
      </w:r>
      <w:r w:rsidR="00F833C5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motorových vozidiel alebo používaním strojov by pacienti mali poznať svoju reakciu na </w:t>
      </w:r>
      <w:r w:rsidRPr="00A97DFF">
        <w:rPr>
          <w:sz w:val="22"/>
          <w:szCs w:val="22"/>
          <w:lang w:val="sk-SK"/>
        </w:rPr>
        <w:t>tadalafil</w:t>
      </w:r>
      <w:r w:rsidR="00802BA3" w:rsidRPr="00A97DFF">
        <w:rPr>
          <w:sz w:val="22"/>
          <w:szCs w:val="22"/>
          <w:lang w:val="sk-SK"/>
        </w:rPr>
        <w:t>.</w:t>
      </w:r>
    </w:p>
    <w:p w14:paraId="54E07F3F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37E7645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658BFB7F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63C2D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0DA8675A" w14:textId="77777777" w:rsidR="00802BA3" w:rsidRPr="006617F6" w:rsidRDefault="00802BA3" w:rsidP="006617F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617F6">
        <w:rPr>
          <w:sz w:val="22"/>
          <w:szCs w:val="22"/>
          <w:lang w:val="sk-SK"/>
        </w:rPr>
        <w:t>Najčastejšie hlásené nežiaduce účinky u</w:t>
      </w:r>
      <w:r w:rsidR="00DE3937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 xml:space="preserve">pacientov užívajúcich </w:t>
      </w:r>
      <w:r w:rsidR="00982496" w:rsidRPr="006617F6">
        <w:rPr>
          <w:sz w:val="22"/>
          <w:szCs w:val="22"/>
          <w:lang w:val="sk-SK"/>
        </w:rPr>
        <w:t>tadalafil</w:t>
      </w:r>
      <w:r w:rsidRPr="006617F6">
        <w:rPr>
          <w:sz w:val="22"/>
          <w:szCs w:val="22"/>
          <w:lang w:val="sk-SK"/>
        </w:rPr>
        <w:t xml:space="preserve"> na liečbu erektilnej dysfunkcie</w:t>
      </w:r>
      <w:r w:rsidR="00F833C5" w:rsidRPr="006617F6">
        <w:rPr>
          <w:sz w:val="22"/>
          <w:szCs w:val="22"/>
          <w:lang w:val="sk-SK"/>
        </w:rPr>
        <w:t xml:space="preserve"> </w:t>
      </w:r>
      <w:r w:rsidRPr="006617F6">
        <w:rPr>
          <w:sz w:val="22"/>
          <w:szCs w:val="22"/>
          <w:lang w:val="sk-SK"/>
        </w:rPr>
        <w:t>alebo benígnej hyperplázie prostaty boli bolesť hlavy, dyspepsia, bolesť chrbta a</w:t>
      </w:r>
      <w:r w:rsidR="00DE3937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>myalgia, u</w:t>
      </w:r>
      <w:r w:rsidR="00F833C5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>ktorých</w:t>
      </w:r>
      <w:r w:rsidR="00F833C5" w:rsidRPr="006617F6">
        <w:rPr>
          <w:sz w:val="22"/>
          <w:szCs w:val="22"/>
          <w:lang w:val="sk-SK"/>
        </w:rPr>
        <w:t xml:space="preserve"> </w:t>
      </w:r>
      <w:r w:rsidRPr="006617F6">
        <w:rPr>
          <w:sz w:val="22"/>
          <w:szCs w:val="22"/>
          <w:lang w:val="sk-SK"/>
        </w:rPr>
        <w:t xml:space="preserve">incidencia narastala so zvyšujúcou sa dávkou </w:t>
      </w:r>
      <w:r w:rsidR="00A32907" w:rsidRPr="006617F6">
        <w:rPr>
          <w:sz w:val="22"/>
          <w:szCs w:val="22"/>
          <w:lang w:val="sk-SK"/>
        </w:rPr>
        <w:t>tadalafilu.</w:t>
      </w:r>
      <w:r w:rsidRPr="006617F6">
        <w:rPr>
          <w:sz w:val="22"/>
          <w:szCs w:val="22"/>
          <w:lang w:val="sk-SK"/>
        </w:rPr>
        <w:t xml:space="preserve"> </w:t>
      </w:r>
      <w:r w:rsidR="006617F6" w:rsidRPr="006617F6">
        <w:rPr>
          <w:color w:val="000000"/>
          <w:sz w:val="22"/>
          <w:szCs w:val="22"/>
          <w:lang w:val="sk-SK"/>
        </w:rPr>
        <w:t>Hlásené nežiaduce účinky boli prechodné a</w:t>
      </w:r>
      <w:r w:rsidR="006617F6">
        <w:rPr>
          <w:color w:val="000000"/>
          <w:sz w:val="22"/>
          <w:szCs w:val="22"/>
          <w:lang w:val="sk-SK"/>
        </w:rPr>
        <w:t> </w:t>
      </w:r>
      <w:r w:rsidR="006617F6" w:rsidRPr="006617F6">
        <w:rPr>
          <w:color w:val="000000"/>
          <w:sz w:val="22"/>
          <w:szCs w:val="22"/>
          <w:lang w:val="sk-SK"/>
        </w:rPr>
        <w:t xml:space="preserve">zvyčajne mierne alebo stredne závažné. </w:t>
      </w:r>
      <w:r w:rsidR="001E4E6A" w:rsidRPr="006617F6">
        <w:rPr>
          <w:sz w:val="22"/>
          <w:szCs w:val="22"/>
          <w:lang w:val="sk-SK"/>
        </w:rPr>
        <w:t xml:space="preserve">Väčšina prípadov </w:t>
      </w:r>
      <w:r w:rsidRPr="006617F6">
        <w:rPr>
          <w:sz w:val="22"/>
          <w:szCs w:val="22"/>
          <w:lang w:val="sk-SK"/>
        </w:rPr>
        <w:t>boles</w:t>
      </w:r>
      <w:r w:rsidR="001E4E6A" w:rsidRPr="006617F6">
        <w:rPr>
          <w:sz w:val="22"/>
          <w:szCs w:val="22"/>
          <w:lang w:val="sk-SK"/>
        </w:rPr>
        <w:t>ti</w:t>
      </w:r>
      <w:r w:rsidRPr="006617F6">
        <w:rPr>
          <w:sz w:val="22"/>
          <w:szCs w:val="22"/>
          <w:lang w:val="sk-SK"/>
        </w:rPr>
        <w:t xml:space="preserve"> hlavy hlásená pri užívaní </w:t>
      </w:r>
      <w:r w:rsidR="00A32907" w:rsidRPr="006617F6">
        <w:rPr>
          <w:sz w:val="22"/>
          <w:szCs w:val="22"/>
          <w:lang w:val="sk-SK"/>
        </w:rPr>
        <w:t>tadalafilu</w:t>
      </w:r>
      <w:r w:rsidR="009A785B" w:rsidRPr="006617F6">
        <w:rPr>
          <w:sz w:val="22"/>
          <w:szCs w:val="22"/>
          <w:lang w:val="sk-SK"/>
        </w:rPr>
        <w:t xml:space="preserve"> </w:t>
      </w:r>
      <w:r w:rsidRPr="006617F6">
        <w:rPr>
          <w:sz w:val="22"/>
          <w:szCs w:val="22"/>
          <w:lang w:val="sk-SK"/>
        </w:rPr>
        <w:t xml:space="preserve">jedenkrát denne </w:t>
      </w:r>
      <w:r w:rsidR="001E4E6A" w:rsidRPr="006617F6">
        <w:rPr>
          <w:sz w:val="22"/>
          <w:szCs w:val="22"/>
          <w:lang w:val="sk-SK"/>
        </w:rPr>
        <w:t xml:space="preserve">bola </w:t>
      </w:r>
      <w:r w:rsidRPr="006617F6">
        <w:rPr>
          <w:sz w:val="22"/>
          <w:szCs w:val="22"/>
          <w:lang w:val="sk-SK"/>
        </w:rPr>
        <w:t>medzi 10-tym a</w:t>
      </w:r>
      <w:r w:rsidR="00DE3937" w:rsidRPr="006617F6">
        <w:rPr>
          <w:sz w:val="22"/>
          <w:szCs w:val="22"/>
          <w:lang w:val="sk-SK"/>
        </w:rPr>
        <w:t> </w:t>
      </w:r>
      <w:r w:rsidRPr="006617F6">
        <w:rPr>
          <w:sz w:val="22"/>
          <w:szCs w:val="22"/>
          <w:lang w:val="sk-SK"/>
        </w:rPr>
        <w:t>30-tym dňom od začiatku liečby.</w:t>
      </w:r>
    </w:p>
    <w:p w14:paraId="1091A19E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DF1ED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Tabuľkové zhrnutie nežiaducich účinkov</w:t>
      </w:r>
    </w:p>
    <w:p w14:paraId="05327106" w14:textId="0A8395D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nižšie uvedenej tabuľke sú vymenované nežiaduce účinky zo spontánnych hlásení </w:t>
      </w:r>
      <w:r w:rsidR="00223691"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</w:t>
      </w:r>
      <w:r w:rsidR="00223691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7165B2">
        <w:rPr>
          <w:sz w:val="22"/>
          <w:szCs w:val="22"/>
          <w:lang w:val="sk-SK"/>
        </w:rPr>
        <w:t>8 022</w:t>
      </w:r>
      <w:r w:rsidRPr="00A97DFF">
        <w:rPr>
          <w:sz w:val="22"/>
          <w:szCs w:val="22"/>
          <w:lang w:val="sk-SK"/>
        </w:rPr>
        <w:t xml:space="preserve"> pacientov liečených </w:t>
      </w:r>
      <w:r w:rsidR="00A32907" w:rsidRPr="00A97DFF">
        <w:rPr>
          <w:sz w:val="22"/>
          <w:szCs w:val="22"/>
          <w:lang w:val="sk-SK"/>
        </w:rPr>
        <w:t>tadalafilom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7165B2">
        <w:rPr>
          <w:sz w:val="22"/>
          <w:szCs w:val="22"/>
          <w:lang w:val="sk-SK"/>
        </w:rPr>
        <w:t> 4 422</w:t>
      </w:r>
      <w:r w:rsidRPr="00A97DFF">
        <w:rPr>
          <w:sz w:val="22"/>
          <w:szCs w:val="22"/>
          <w:lang w:val="sk-SK"/>
        </w:rPr>
        <w:t xml:space="preserve"> pacientov na placebe)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liečbe erektilnej dysfunkcie na vyžiadanie alebo jedenkrát denne alebo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liečbe benígnej hyperplázie prostaty jedenkrát denne.</w:t>
      </w:r>
    </w:p>
    <w:p w14:paraId="7B2694E5" w14:textId="77777777" w:rsidR="00802BA3" w:rsidRPr="008976C4" w:rsidRDefault="00F46575" w:rsidP="00F833C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Frekvencia výskytu:</w:t>
      </w:r>
      <w:r w:rsidR="00802BA3" w:rsidRPr="00A97DFF">
        <w:rPr>
          <w:sz w:val="22"/>
          <w:szCs w:val="22"/>
          <w:lang w:val="sk-SK"/>
        </w:rPr>
        <w:t xml:space="preserve"> veľmi časté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1/10), časté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1/100 až 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1/10), menej časté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 až 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1/100),</w:t>
      </w:r>
      <w:r w:rsidR="00F833C5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zriedkavé (≥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 až 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000), veľmi zriedkavé (&lt;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1/10</w:t>
      </w:r>
      <w:r w:rsidR="00904B4B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000) a</w:t>
      </w:r>
      <w:r w:rsidR="007407B0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neznáme (z</w:t>
      </w:r>
      <w:r w:rsidR="007407B0">
        <w:rPr>
          <w:sz w:val="22"/>
          <w:szCs w:val="22"/>
          <w:lang w:val="sk-SK"/>
        </w:rPr>
        <w:t> </w:t>
      </w:r>
      <w:r w:rsidR="00802BA3" w:rsidRPr="00A97DFF">
        <w:rPr>
          <w:sz w:val="22"/>
          <w:szCs w:val="22"/>
          <w:lang w:val="sk-SK"/>
        </w:rPr>
        <w:t>dostupných údajov).</w:t>
      </w:r>
    </w:p>
    <w:p w14:paraId="1EF65CB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1B4326" w:rsidRPr="008976C4" w14:paraId="68729D0F" w14:textId="77777777" w:rsidTr="001B4326">
        <w:tc>
          <w:tcPr>
            <w:tcW w:w="3095" w:type="dxa"/>
          </w:tcPr>
          <w:p w14:paraId="6C4EFD4A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3096" w:type="dxa"/>
          </w:tcPr>
          <w:p w14:paraId="2D57FDEA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3096" w:type="dxa"/>
          </w:tcPr>
          <w:p w14:paraId="23B4C191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1B4326" w:rsidRPr="008976C4" w14:paraId="7155755C" w14:textId="77777777" w:rsidTr="008E2BFC">
        <w:tc>
          <w:tcPr>
            <w:tcW w:w="9287" w:type="dxa"/>
            <w:gridSpan w:val="3"/>
          </w:tcPr>
          <w:p w14:paraId="100029EF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1B4326" w:rsidRPr="008976C4" w14:paraId="25FDFDBC" w14:textId="77777777" w:rsidTr="001B4326">
        <w:tc>
          <w:tcPr>
            <w:tcW w:w="3095" w:type="dxa"/>
          </w:tcPr>
          <w:p w14:paraId="76844BD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4C5DABCD" w14:textId="77777777" w:rsidR="001B4326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Hypersenzitívne reakcie</w:t>
            </w:r>
          </w:p>
        </w:tc>
        <w:tc>
          <w:tcPr>
            <w:tcW w:w="3096" w:type="dxa"/>
          </w:tcPr>
          <w:p w14:paraId="4094C2B2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Angioedém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25B3E135" w14:textId="77777777" w:rsidTr="008E2BFC">
        <w:tc>
          <w:tcPr>
            <w:tcW w:w="9287" w:type="dxa"/>
            <w:gridSpan w:val="3"/>
          </w:tcPr>
          <w:p w14:paraId="1BFBCB5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1B4326" w:rsidRPr="008976C4" w14:paraId="7E42CEFB" w14:textId="77777777" w:rsidTr="001B4326">
        <w:tc>
          <w:tcPr>
            <w:tcW w:w="3095" w:type="dxa"/>
          </w:tcPr>
          <w:p w14:paraId="00D36E9F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3096" w:type="dxa"/>
          </w:tcPr>
          <w:p w14:paraId="4A477E5C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Závrat</w:t>
            </w:r>
          </w:p>
        </w:tc>
        <w:tc>
          <w:tcPr>
            <w:tcW w:w="3096" w:type="dxa"/>
          </w:tcPr>
          <w:p w14:paraId="33C77CE5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Mozgová príhoda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(vrátane krvácavých príhod),</w:t>
            </w:r>
          </w:p>
          <w:p w14:paraId="070F2A99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synkopa,</w:t>
            </w:r>
          </w:p>
          <w:p w14:paraId="6BE1D50B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tranzitórne ischemické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ataky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51B7004E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migréna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74938D2B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záchvaty</w:t>
            </w:r>
            <w:r w:rsidR="007165B2"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5B9BACD8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1B4326" w:rsidRPr="008976C4" w14:paraId="232EB321" w14:textId="77777777" w:rsidTr="008E2BFC">
        <w:tc>
          <w:tcPr>
            <w:tcW w:w="9287" w:type="dxa"/>
            <w:gridSpan w:val="3"/>
          </w:tcPr>
          <w:p w14:paraId="640B5E54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1B4326" w:rsidRPr="008976C4" w14:paraId="4BFF7DBE" w14:textId="77777777" w:rsidTr="001B4326">
        <w:tc>
          <w:tcPr>
            <w:tcW w:w="3095" w:type="dxa"/>
          </w:tcPr>
          <w:p w14:paraId="519AC11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38ED9F57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Rozmazané videnie,</w:t>
            </w:r>
          </w:p>
          <w:p w14:paraId="0F06913E" w14:textId="75187ADF" w:rsidR="001B4326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pocity opisované ako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bolesť oka</w:t>
            </w:r>
          </w:p>
        </w:tc>
        <w:tc>
          <w:tcPr>
            <w:tcW w:w="3096" w:type="dxa"/>
          </w:tcPr>
          <w:p w14:paraId="09FEB9B0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Defekt zorného poľa,</w:t>
            </w:r>
          </w:p>
          <w:p w14:paraId="0C265754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opuch očných viečok,</w:t>
            </w:r>
          </w:p>
          <w:p w14:paraId="35F0E272" w14:textId="77777777" w:rsidR="00F833C5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konjunktiválna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hyperémia</w:t>
            </w:r>
            <w:r w:rsidR="00772D92" w:rsidRPr="007165B2">
              <w:rPr>
                <w:sz w:val="22"/>
                <w:szCs w:val="22"/>
                <w:lang w:val="sk-SK"/>
              </w:rPr>
              <w:t>,</w:t>
            </w:r>
          </w:p>
          <w:p w14:paraId="752BFA57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nearteritická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predná ischemická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neuropatia zrakového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nervu (NAION)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332FCE06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cievna</w:t>
            </w:r>
            <w:r w:rsidR="00A97DFF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oklúzia</w:t>
            </w:r>
            <w:r w:rsidR="003306AC" w:rsidRPr="007165B2">
              <w:rPr>
                <w:sz w:val="22"/>
                <w:szCs w:val="22"/>
                <w:lang w:val="sk-SK"/>
              </w:rPr>
              <w:t xml:space="preserve"> sietnice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28E0033A" w14:textId="77777777" w:rsidTr="008E2BFC">
        <w:tc>
          <w:tcPr>
            <w:tcW w:w="9287" w:type="dxa"/>
            <w:gridSpan w:val="3"/>
          </w:tcPr>
          <w:p w14:paraId="2387B964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ucha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labyrintu</w:t>
            </w:r>
          </w:p>
        </w:tc>
      </w:tr>
      <w:tr w:rsidR="001B4326" w:rsidRPr="008976C4" w14:paraId="68028CB0" w14:textId="77777777" w:rsidTr="001B4326">
        <w:tc>
          <w:tcPr>
            <w:tcW w:w="3095" w:type="dxa"/>
          </w:tcPr>
          <w:p w14:paraId="34E89001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58E93839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Tin</w:t>
            </w:r>
            <w:r w:rsidR="003306AC" w:rsidRPr="007165B2">
              <w:rPr>
                <w:sz w:val="22"/>
                <w:szCs w:val="22"/>
                <w:lang w:val="sk-SK"/>
              </w:rPr>
              <w:t>n</w:t>
            </w:r>
            <w:r w:rsidRPr="007165B2">
              <w:rPr>
                <w:sz w:val="22"/>
                <w:szCs w:val="22"/>
                <w:lang w:val="sk-SK"/>
              </w:rPr>
              <w:t>itus</w:t>
            </w:r>
          </w:p>
        </w:tc>
        <w:tc>
          <w:tcPr>
            <w:tcW w:w="3096" w:type="dxa"/>
          </w:tcPr>
          <w:p w14:paraId="061ED5F3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Náhla hluchota</w:t>
            </w:r>
          </w:p>
        </w:tc>
      </w:tr>
      <w:tr w:rsidR="001B4326" w:rsidRPr="008976C4" w14:paraId="4D867F12" w14:textId="77777777" w:rsidTr="008E2BFC">
        <w:tc>
          <w:tcPr>
            <w:tcW w:w="9287" w:type="dxa"/>
            <w:gridSpan w:val="3"/>
          </w:tcPr>
          <w:p w14:paraId="44DC2BBB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</w:t>
            </w:r>
            <w:r w:rsidR="008E2BFC" w:rsidRPr="007165B2">
              <w:rPr>
                <w:i/>
                <w:sz w:val="22"/>
                <w:szCs w:val="22"/>
                <w:lang w:val="sk-SK"/>
              </w:rPr>
              <w:t>y</w:t>
            </w:r>
            <w:r w:rsidRPr="007165B2">
              <w:rPr>
                <w:i/>
                <w:sz w:val="22"/>
                <w:szCs w:val="22"/>
                <w:lang w:val="sk-SK"/>
              </w:rPr>
              <w:t xml:space="preserve"> srdca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srdcovej činnost</w:t>
            </w:r>
            <w:r w:rsidR="008E2BFC" w:rsidRPr="007165B2">
              <w:rPr>
                <w:i/>
                <w:sz w:val="22"/>
                <w:szCs w:val="22"/>
                <w:lang w:val="sk-SK"/>
              </w:rPr>
              <w:t>i</w:t>
            </w:r>
            <w:r w:rsidR="008E2BFC" w:rsidRPr="007165B2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1B4326" w:rsidRPr="008976C4" w14:paraId="7C5C2127" w14:textId="77777777" w:rsidTr="001B4326">
        <w:tc>
          <w:tcPr>
            <w:tcW w:w="3095" w:type="dxa"/>
          </w:tcPr>
          <w:p w14:paraId="3BC5C316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2CD9EBE6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Tachykardia,</w:t>
            </w:r>
          </w:p>
          <w:p w14:paraId="3F3BA647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3096" w:type="dxa"/>
          </w:tcPr>
          <w:p w14:paraId="6E66D5D2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Infarkt myokardu,</w:t>
            </w:r>
          </w:p>
          <w:p w14:paraId="7A25C5EF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nestabilná angína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pektoris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16274A5A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ventrikulárna arytmia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1B4326" w:rsidRPr="008976C4" w14:paraId="056007B5" w14:textId="77777777" w:rsidTr="008E2BFC">
        <w:tc>
          <w:tcPr>
            <w:tcW w:w="9287" w:type="dxa"/>
            <w:gridSpan w:val="3"/>
          </w:tcPr>
          <w:p w14:paraId="7570D9CA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1B4326" w:rsidRPr="008976C4" w14:paraId="54C5B4D1" w14:textId="77777777" w:rsidTr="001B4326">
        <w:tc>
          <w:tcPr>
            <w:tcW w:w="3095" w:type="dxa"/>
          </w:tcPr>
          <w:p w14:paraId="50145ED4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Návaly tepla</w:t>
            </w:r>
          </w:p>
        </w:tc>
        <w:tc>
          <w:tcPr>
            <w:tcW w:w="3096" w:type="dxa"/>
          </w:tcPr>
          <w:p w14:paraId="3886CE12" w14:textId="77777777" w:rsidR="006806DF" w:rsidRPr="007165B2" w:rsidRDefault="006806DF" w:rsidP="007165B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Hypotenzia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269C6753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3096" w:type="dxa"/>
          </w:tcPr>
          <w:p w14:paraId="5934AC60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5BAD2D3E" w14:textId="77777777" w:rsidTr="008E2BFC">
        <w:tc>
          <w:tcPr>
            <w:tcW w:w="9287" w:type="dxa"/>
            <w:gridSpan w:val="3"/>
          </w:tcPr>
          <w:p w14:paraId="3FB69CE1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dýchacej sústavy, hrudníka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mediastína</w:t>
            </w:r>
          </w:p>
        </w:tc>
      </w:tr>
      <w:tr w:rsidR="001B4326" w:rsidRPr="008976C4" w14:paraId="3D79AD6B" w14:textId="77777777" w:rsidTr="001B4326">
        <w:tc>
          <w:tcPr>
            <w:tcW w:w="3095" w:type="dxa"/>
          </w:tcPr>
          <w:p w14:paraId="1DAD84A2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Kongescia nosovej</w:t>
            </w:r>
            <w:r w:rsidR="00F833C5" w:rsidRPr="007165B2">
              <w:rPr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sliznice</w:t>
            </w:r>
          </w:p>
        </w:tc>
        <w:tc>
          <w:tcPr>
            <w:tcW w:w="3096" w:type="dxa"/>
          </w:tcPr>
          <w:p w14:paraId="24C5FDEA" w14:textId="77777777" w:rsidR="006806DF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Dyspnoe,</w:t>
            </w:r>
          </w:p>
          <w:p w14:paraId="5AAAC349" w14:textId="472EC36F" w:rsidR="001B4326" w:rsidRPr="007165B2" w:rsidRDefault="00904B4B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</w:t>
            </w:r>
            <w:r w:rsidR="006806DF" w:rsidRPr="007165B2">
              <w:rPr>
                <w:sz w:val="22"/>
                <w:szCs w:val="22"/>
                <w:lang w:val="sk-SK"/>
              </w:rPr>
              <w:t>rvácanie z</w:t>
            </w:r>
            <w:r w:rsidR="007407B0" w:rsidRPr="007165B2">
              <w:rPr>
                <w:sz w:val="22"/>
                <w:szCs w:val="22"/>
                <w:lang w:val="sk-SK"/>
              </w:rPr>
              <w:t> </w:t>
            </w:r>
            <w:r w:rsidR="006806DF" w:rsidRPr="007165B2">
              <w:rPr>
                <w:sz w:val="22"/>
                <w:szCs w:val="22"/>
                <w:lang w:val="sk-SK"/>
              </w:rPr>
              <w:t>nosa</w:t>
            </w:r>
          </w:p>
        </w:tc>
        <w:tc>
          <w:tcPr>
            <w:tcW w:w="3096" w:type="dxa"/>
          </w:tcPr>
          <w:p w14:paraId="6412BA15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67CDA54F" w14:textId="77777777" w:rsidTr="008E2BFC">
        <w:tc>
          <w:tcPr>
            <w:tcW w:w="9287" w:type="dxa"/>
            <w:gridSpan w:val="3"/>
          </w:tcPr>
          <w:p w14:paraId="7FFEAA06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lastRenderedPageBreak/>
              <w:t>Poruchy gastrointestinálneho traktu</w:t>
            </w:r>
          </w:p>
        </w:tc>
      </w:tr>
      <w:tr w:rsidR="001B4326" w:rsidRPr="0088767F" w14:paraId="57375E7D" w14:textId="77777777" w:rsidTr="001B4326">
        <w:tc>
          <w:tcPr>
            <w:tcW w:w="3095" w:type="dxa"/>
          </w:tcPr>
          <w:p w14:paraId="0D7AE60C" w14:textId="333A0540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Dyspepsia</w:t>
            </w:r>
          </w:p>
        </w:tc>
        <w:tc>
          <w:tcPr>
            <w:tcW w:w="3096" w:type="dxa"/>
          </w:tcPr>
          <w:p w14:paraId="3ED810FC" w14:textId="77777777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brucha</w:t>
            </w:r>
            <w:r w:rsidR="007165B2" w:rsidRPr="007165B2">
              <w:rPr>
                <w:sz w:val="22"/>
                <w:szCs w:val="22"/>
                <w:lang w:val="sk-SK"/>
              </w:rPr>
              <w:t xml:space="preserve"> </w:t>
            </w:r>
          </w:p>
          <w:p w14:paraId="021056FD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pacing w:val="-2"/>
                <w:sz w:val="22"/>
                <w:szCs w:val="22"/>
                <w:lang w:val="sk-SK"/>
              </w:rPr>
              <w:t>v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z w:val="22"/>
                <w:szCs w:val="22"/>
                <w:lang w:val="sk-SK"/>
              </w:rPr>
              <w:t>acan</w:t>
            </w:r>
            <w:r w:rsidRPr="007165B2">
              <w:rPr>
                <w:spacing w:val="-1"/>
                <w:sz w:val="22"/>
                <w:szCs w:val="22"/>
                <w:lang w:val="sk-SK"/>
              </w:rPr>
              <w:t>i</w:t>
            </w:r>
            <w:r w:rsidRPr="007165B2">
              <w:rPr>
                <w:sz w:val="22"/>
                <w:szCs w:val="22"/>
                <w:lang w:val="sk-SK"/>
              </w:rPr>
              <w:t>e,</w:t>
            </w:r>
          </w:p>
          <w:p w14:paraId="47E5C74E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nau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z</w:t>
            </w:r>
            <w:r w:rsidRPr="007165B2">
              <w:rPr>
                <w:sz w:val="22"/>
                <w:szCs w:val="22"/>
                <w:lang w:val="sk-SK"/>
              </w:rPr>
              <w:t>ea,</w:t>
            </w:r>
          </w:p>
          <w:p w14:paraId="551BD94C" w14:textId="77777777" w:rsidR="001B4326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pacing w:val="-2"/>
                <w:sz w:val="22"/>
                <w:szCs w:val="22"/>
                <w:lang w:val="sk-SK"/>
              </w:rPr>
              <w:t>g</w:t>
            </w:r>
            <w:r w:rsidRPr="007165B2">
              <w:rPr>
                <w:sz w:val="22"/>
                <w:szCs w:val="22"/>
                <w:lang w:val="sk-SK"/>
              </w:rPr>
              <w:t>as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tr</w:t>
            </w:r>
            <w:r w:rsidRPr="007165B2">
              <w:rPr>
                <w:sz w:val="22"/>
                <w:szCs w:val="22"/>
                <w:lang w:val="sk-SK"/>
              </w:rPr>
              <w:t>oe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z</w:t>
            </w:r>
            <w:r w:rsidRPr="007165B2">
              <w:rPr>
                <w:sz w:val="22"/>
                <w:szCs w:val="22"/>
                <w:lang w:val="sk-SK"/>
              </w:rPr>
              <w:t>o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f</w:t>
            </w:r>
            <w:r w:rsidRPr="007165B2">
              <w:rPr>
                <w:sz w:val="22"/>
                <w:szCs w:val="22"/>
                <w:lang w:val="sk-SK"/>
              </w:rPr>
              <w:t>á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g</w:t>
            </w:r>
            <w:r w:rsidRPr="007165B2">
              <w:rPr>
                <w:sz w:val="22"/>
                <w:szCs w:val="22"/>
                <w:lang w:val="sk-SK"/>
              </w:rPr>
              <w:t>ový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z w:val="22"/>
                <w:szCs w:val="22"/>
                <w:lang w:val="sk-SK"/>
              </w:rPr>
              <w:t>e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fl</w:t>
            </w:r>
            <w:r w:rsidRPr="007165B2">
              <w:rPr>
                <w:sz w:val="22"/>
                <w:szCs w:val="22"/>
                <w:lang w:val="sk-SK"/>
              </w:rPr>
              <w:t>ux</w:t>
            </w:r>
          </w:p>
        </w:tc>
        <w:tc>
          <w:tcPr>
            <w:tcW w:w="3096" w:type="dxa"/>
          </w:tcPr>
          <w:p w14:paraId="286C20E9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8767F" w14:paraId="2404E6FB" w14:textId="77777777" w:rsidTr="008E2BFC">
        <w:tc>
          <w:tcPr>
            <w:tcW w:w="9287" w:type="dxa"/>
            <w:gridSpan w:val="3"/>
          </w:tcPr>
          <w:p w14:paraId="0230C51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kože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podkožného tkaniva</w:t>
            </w:r>
          </w:p>
        </w:tc>
      </w:tr>
      <w:tr w:rsidR="001B4326" w:rsidRPr="008976C4" w14:paraId="6733EBE5" w14:textId="77777777" w:rsidTr="001B4326">
        <w:tc>
          <w:tcPr>
            <w:tcW w:w="3095" w:type="dxa"/>
          </w:tcPr>
          <w:p w14:paraId="6B1E01CD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75349BBB" w14:textId="1295BCDA" w:rsidR="001B4326" w:rsidRPr="007165B2" w:rsidRDefault="00F833C5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Vyrážka</w:t>
            </w:r>
          </w:p>
        </w:tc>
        <w:tc>
          <w:tcPr>
            <w:tcW w:w="3096" w:type="dxa"/>
          </w:tcPr>
          <w:p w14:paraId="7E47483F" w14:textId="157AA1AF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Žihľavka,</w:t>
            </w:r>
          </w:p>
          <w:p w14:paraId="0FAB87B5" w14:textId="77777777" w:rsidR="006806DF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Stevensov-Johnsonov syndróm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4281F71B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exfoliatívna dermatitída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="007165B2" w:rsidRPr="007165B2">
              <w:rPr>
                <w:sz w:val="22"/>
                <w:szCs w:val="22"/>
                <w:lang w:val="sk-SK"/>
              </w:rPr>
              <w:t>,</w:t>
            </w:r>
          </w:p>
          <w:p w14:paraId="0EF1A42C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hyperhidróza (potenie)</w:t>
            </w:r>
          </w:p>
        </w:tc>
      </w:tr>
      <w:tr w:rsidR="001B4326" w:rsidRPr="008976C4" w14:paraId="323BC860" w14:textId="77777777" w:rsidTr="008E2BFC">
        <w:tc>
          <w:tcPr>
            <w:tcW w:w="9287" w:type="dxa"/>
            <w:gridSpan w:val="3"/>
          </w:tcPr>
          <w:p w14:paraId="4DEDAE12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kostrovej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svalovej sústavy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spojivového tkaniva</w:t>
            </w:r>
          </w:p>
        </w:tc>
      </w:tr>
      <w:tr w:rsidR="001B4326" w:rsidRPr="008976C4" w14:paraId="6078E013" w14:textId="77777777" w:rsidTr="001B4326">
        <w:trPr>
          <w:trHeight w:val="25"/>
        </w:trPr>
        <w:tc>
          <w:tcPr>
            <w:tcW w:w="3095" w:type="dxa"/>
          </w:tcPr>
          <w:p w14:paraId="3A82CA91" w14:textId="1C9969AE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chrbta,</w:t>
            </w:r>
          </w:p>
          <w:p w14:paraId="46A1DF49" w14:textId="4477E70B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myalgia,</w:t>
            </w:r>
          </w:p>
          <w:p w14:paraId="4AFFDFB7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končatín</w:t>
            </w:r>
          </w:p>
        </w:tc>
        <w:tc>
          <w:tcPr>
            <w:tcW w:w="3096" w:type="dxa"/>
          </w:tcPr>
          <w:p w14:paraId="55365468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20510D5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6162AB41" w14:textId="77777777" w:rsidTr="008E2BFC">
        <w:trPr>
          <w:trHeight w:val="21"/>
        </w:trPr>
        <w:tc>
          <w:tcPr>
            <w:tcW w:w="9287" w:type="dxa"/>
            <w:gridSpan w:val="3"/>
          </w:tcPr>
          <w:p w14:paraId="18391837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obličiek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močových ciest</w:t>
            </w:r>
          </w:p>
        </w:tc>
      </w:tr>
      <w:tr w:rsidR="001B4326" w:rsidRPr="008976C4" w14:paraId="5442EB13" w14:textId="77777777" w:rsidTr="001B4326">
        <w:trPr>
          <w:trHeight w:val="21"/>
        </w:trPr>
        <w:tc>
          <w:tcPr>
            <w:tcW w:w="3095" w:type="dxa"/>
          </w:tcPr>
          <w:p w14:paraId="2150BC1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314BE81D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Hematúria</w:t>
            </w:r>
          </w:p>
        </w:tc>
        <w:tc>
          <w:tcPr>
            <w:tcW w:w="3096" w:type="dxa"/>
          </w:tcPr>
          <w:p w14:paraId="481477C0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1B4326" w:rsidRPr="008976C4" w14:paraId="27DFA861" w14:textId="77777777" w:rsidTr="008E2BFC">
        <w:trPr>
          <w:trHeight w:val="21"/>
        </w:trPr>
        <w:tc>
          <w:tcPr>
            <w:tcW w:w="9287" w:type="dxa"/>
            <w:gridSpan w:val="3"/>
          </w:tcPr>
          <w:p w14:paraId="26410814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Poruchy reprodukčného systému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prsníkov</w:t>
            </w:r>
          </w:p>
        </w:tc>
      </w:tr>
      <w:tr w:rsidR="001B4326" w:rsidRPr="008976C4" w14:paraId="6B1B11F9" w14:textId="77777777" w:rsidTr="001B4326">
        <w:trPr>
          <w:trHeight w:val="21"/>
        </w:trPr>
        <w:tc>
          <w:tcPr>
            <w:tcW w:w="3095" w:type="dxa"/>
          </w:tcPr>
          <w:p w14:paraId="4A4B6528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49749A27" w14:textId="46E758A1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Predĺžené erekcie</w:t>
            </w:r>
          </w:p>
          <w:p w14:paraId="623D32F8" w14:textId="343FE4D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0BDA20EA" w14:textId="123AE978" w:rsidR="007165B2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Priapizmus</w:t>
            </w:r>
          </w:p>
          <w:p w14:paraId="4A2D70FF" w14:textId="791B6081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krvácanie z penisu,</w:t>
            </w:r>
          </w:p>
          <w:p w14:paraId="4C54C51F" w14:textId="77777777" w:rsidR="001B4326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hematospermia</w:t>
            </w:r>
          </w:p>
        </w:tc>
      </w:tr>
      <w:tr w:rsidR="001B4326" w:rsidRPr="008976C4" w14:paraId="333DBAA1" w14:textId="77777777" w:rsidTr="008E2BFC">
        <w:trPr>
          <w:trHeight w:val="65"/>
        </w:trPr>
        <w:tc>
          <w:tcPr>
            <w:tcW w:w="9287" w:type="dxa"/>
            <w:gridSpan w:val="3"/>
          </w:tcPr>
          <w:p w14:paraId="088D63E3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7165B2">
              <w:rPr>
                <w:i/>
                <w:sz w:val="22"/>
                <w:szCs w:val="22"/>
                <w:lang w:val="sk-SK"/>
              </w:rPr>
              <w:t>Celkové poruchy a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reakcie v</w:t>
            </w:r>
            <w:r w:rsidR="00DE3937" w:rsidRPr="007165B2">
              <w:rPr>
                <w:i/>
                <w:sz w:val="22"/>
                <w:szCs w:val="22"/>
                <w:lang w:val="sk-SK"/>
              </w:rPr>
              <w:t> </w:t>
            </w:r>
            <w:r w:rsidRPr="007165B2">
              <w:rPr>
                <w:i/>
                <w:sz w:val="22"/>
                <w:szCs w:val="22"/>
                <w:lang w:val="sk-SK"/>
              </w:rPr>
              <w:t>mieste podania</w:t>
            </w:r>
          </w:p>
        </w:tc>
      </w:tr>
      <w:tr w:rsidR="001B4326" w:rsidRPr="0088767F" w14:paraId="6609462D" w14:textId="77777777" w:rsidTr="001B4326">
        <w:trPr>
          <w:trHeight w:val="65"/>
        </w:trPr>
        <w:tc>
          <w:tcPr>
            <w:tcW w:w="3095" w:type="dxa"/>
          </w:tcPr>
          <w:p w14:paraId="622D910C" w14:textId="77777777" w:rsidR="001B4326" w:rsidRPr="007165B2" w:rsidRDefault="001B4326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</w:tcPr>
          <w:p w14:paraId="09225C0B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Bolesť na hrudníku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="007165B2" w:rsidRPr="007165B2">
              <w:rPr>
                <w:sz w:val="22"/>
                <w:szCs w:val="22"/>
                <w:lang w:val="sk-SK"/>
              </w:rPr>
              <w:t>,</w:t>
            </w:r>
          </w:p>
          <w:p w14:paraId="0631CDF1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pe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pacing w:val="-1"/>
                <w:sz w:val="22"/>
                <w:szCs w:val="22"/>
                <w:lang w:val="sk-SK"/>
              </w:rPr>
              <w:t>i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f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é</w:t>
            </w:r>
            <w:r w:rsidRPr="007165B2">
              <w:rPr>
                <w:spacing w:val="1"/>
                <w:sz w:val="22"/>
                <w:szCs w:val="22"/>
                <w:lang w:val="sk-SK"/>
              </w:rPr>
              <w:t>r</w:t>
            </w:r>
            <w:r w:rsidRPr="007165B2">
              <w:rPr>
                <w:sz w:val="22"/>
                <w:szCs w:val="22"/>
                <w:lang w:val="sk-SK"/>
              </w:rPr>
              <w:t>ny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 xml:space="preserve"> </w:t>
            </w:r>
            <w:r w:rsidRPr="007165B2">
              <w:rPr>
                <w:sz w:val="22"/>
                <w:szCs w:val="22"/>
                <w:lang w:val="sk-SK"/>
              </w:rPr>
              <w:t>edé</w:t>
            </w:r>
            <w:r w:rsidRPr="007165B2">
              <w:rPr>
                <w:spacing w:val="-4"/>
                <w:sz w:val="22"/>
                <w:szCs w:val="22"/>
                <w:lang w:val="sk-SK"/>
              </w:rPr>
              <w:t>m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3FB65604" w14:textId="77777777" w:rsidR="007165B2" w:rsidRPr="007165B2" w:rsidRDefault="007165B2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úna</w:t>
            </w:r>
            <w:r w:rsidRPr="007165B2">
              <w:rPr>
                <w:spacing w:val="-2"/>
                <w:sz w:val="22"/>
                <w:szCs w:val="22"/>
                <w:lang w:val="sk-SK"/>
              </w:rPr>
              <w:t>v</w:t>
            </w:r>
            <w:r w:rsidRPr="007165B2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3096" w:type="dxa"/>
          </w:tcPr>
          <w:p w14:paraId="510EAB86" w14:textId="77777777" w:rsidR="006806DF" w:rsidRPr="007165B2" w:rsidRDefault="006806DF" w:rsidP="007165B2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Tvárový edém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165B2">
              <w:rPr>
                <w:sz w:val="22"/>
                <w:szCs w:val="22"/>
                <w:lang w:val="sk-SK"/>
              </w:rPr>
              <w:t>,</w:t>
            </w:r>
          </w:p>
          <w:p w14:paraId="3AD705E0" w14:textId="77777777" w:rsidR="001B4326" w:rsidRPr="007165B2" w:rsidRDefault="006806DF" w:rsidP="007165B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7165B2">
              <w:rPr>
                <w:sz w:val="22"/>
                <w:szCs w:val="22"/>
                <w:lang w:val="sk-SK"/>
              </w:rPr>
              <w:t>náhla srdcová smrť</w:t>
            </w:r>
            <w:r w:rsidRPr="007165B2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0CD62A75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F27728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(1) Väčšina pacientov vykazovala už predtým prítomnosť kardiovaskulárnych rizikových faktorov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časť 4.4).</w:t>
      </w:r>
    </w:p>
    <w:p w14:paraId="77610BA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(2) Nežiaduce účinky hlásené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rámci postmarketingového sledovania nepozorované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kontrolovaných klinických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61087C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(3) Častejšie hlásené, keď sa 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 podáva pacientom, ktorí už užívajú antihypertenzn</w:t>
      </w:r>
      <w:r w:rsidR="003306AC" w:rsidRPr="00A97DFF">
        <w:rPr>
          <w:sz w:val="22"/>
          <w:szCs w:val="22"/>
          <w:lang w:val="sk-SK"/>
        </w:rPr>
        <w:t>é</w:t>
      </w:r>
      <w:r w:rsidRPr="00A97DFF">
        <w:rPr>
          <w:sz w:val="22"/>
          <w:szCs w:val="22"/>
          <w:lang w:val="sk-SK"/>
        </w:rPr>
        <w:t xml:space="preserve"> lieky.</w:t>
      </w:r>
    </w:p>
    <w:p w14:paraId="1DA3DA7B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016E29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Popis vybraných nežiaducich účinkov</w:t>
      </w:r>
    </w:p>
    <w:p w14:paraId="7BEBEDB0" w14:textId="77777777" w:rsidR="00F27016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liečených tadalafilom jedenkrát denne bol hlásený mierne zvýšený výskyt abnormalít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EKG, najmä sínusovej bradykardie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placebom. Väčšina týchto abnormalít EKG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nesúvisela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nežiaducimi účinkami.</w:t>
      </w:r>
    </w:p>
    <w:p w14:paraId="250A6E21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C2F9EC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</w:p>
    <w:p w14:paraId="69EA703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>, ktorí užívali tadalafil počas klinického skúšania, či už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 liečbu erektilnej dysfunkcie alebo na liečbu benígnej hyperplázie prostaty sú obmedzené.</w:t>
      </w:r>
    </w:p>
    <w:p w14:paraId="61DFAB7F" w14:textId="77777777" w:rsidR="007165B2" w:rsidRPr="007165B2" w:rsidRDefault="007165B2" w:rsidP="007165B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165B2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7165B2">
        <w:rPr>
          <w:sz w:val="22"/>
          <w:szCs w:val="22"/>
          <w:lang w:val="sk-SK"/>
        </w:rPr>
        <w:t>klinických skúšaniach s</w:t>
      </w:r>
      <w:r>
        <w:rPr>
          <w:sz w:val="22"/>
          <w:szCs w:val="22"/>
          <w:lang w:val="sk-SK"/>
        </w:rPr>
        <w:t> </w:t>
      </w:r>
      <w:r w:rsidRPr="007165B2">
        <w:rPr>
          <w:sz w:val="22"/>
          <w:szCs w:val="22"/>
          <w:lang w:val="sk-SK"/>
        </w:rPr>
        <w:t>tadalafilom na vyžiadanie na liečbu erektilnej dysfunkcie bola u</w:t>
      </w:r>
      <w:r>
        <w:rPr>
          <w:sz w:val="22"/>
          <w:szCs w:val="22"/>
          <w:lang w:val="sk-SK"/>
        </w:rPr>
        <w:t> </w:t>
      </w:r>
      <w:r w:rsidRPr="007165B2">
        <w:rPr>
          <w:sz w:val="22"/>
          <w:szCs w:val="22"/>
          <w:lang w:val="sk-SK"/>
        </w:rPr>
        <w:t>pacientov starších ako 65 rokov častejšie hlásená hnačka.</w:t>
      </w:r>
    </w:p>
    <w:p w14:paraId="5CC305D8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klinických skúšaniach s</w:t>
      </w:r>
      <w:r w:rsidR="00DE3937">
        <w:rPr>
          <w:sz w:val="22"/>
          <w:szCs w:val="22"/>
          <w:lang w:val="sk-SK"/>
        </w:rPr>
        <w:t> 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tadalafilu užívanými jedenkrát denne na liečbu benígnej hyperplázie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prostaty boli hlásené závraty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hnačka častejšie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40C42016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F0FC60E" w14:textId="77777777" w:rsidR="007A323E" w:rsidRPr="008976C4" w:rsidRDefault="007A323E" w:rsidP="007A323E">
      <w:pPr>
        <w:suppressLineNumbers/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5B2DEDA9" w14:textId="0602D6A6" w:rsidR="00C91E0F" w:rsidRPr="008976C4" w:rsidRDefault="007A323E" w:rsidP="007A323E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8166E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 xml:space="preserve">národné </w:t>
      </w:r>
      <w:r w:rsidR="00F8166E">
        <w:rPr>
          <w:sz w:val="22"/>
          <w:szCs w:val="22"/>
          <w:highlight w:val="lightGray"/>
          <w:lang w:val="sk-SK"/>
        </w:rPr>
        <w:t>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0C035FCA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87E715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25D00AB4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9375011" w14:textId="77777777" w:rsidR="0096476F" w:rsidRPr="008976C4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Zdravým osobám boli podané jednorazové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Pr="00A97DFF">
        <w:rPr>
          <w:sz w:val="22"/>
          <w:szCs w:val="22"/>
          <w:lang w:val="sk-SK"/>
        </w:rPr>
        <w:t>do 50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pacientom sa podali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Pr="00A97DFF">
        <w:rPr>
          <w:sz w:val="22"/>
          <w:szCs w:val="22"/>
          <w:lang w:val="sk-SK"/>
        </w:rPr>
        <w:t>do 10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 Nežiaduce účinky boli podobné ako pri nižších dávkach.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prípade predávkovania je potrebné začať štandardnú podpornú liečbu. Hemodialýza prispieva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eliminácii tadalafilu iba nepatrne.</w:t>
      </w:r>
    </w:p>
    <w:p w14:paraId="1A076A41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983FD6E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79E392E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1C0479D9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2C32F07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44F01E66" w14:textId="77777777" w:rsidR="0096476F" w:rsidRPr="00B63222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ACAF676" w14:textId="77777777" w:rsidR="002379F8" w:rsidRPr="008976C4" w:rsidRDefault="00F46575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64C06">
        <w:rPr>
          <w:sz w:val="22"/>
          <w:szCs w:val="22"/>
          <w:lang w:val="sk-SK"/>
        </w:rPr>
        <w:t>Farmakoterapeutická skupina:</w:t>
      </w:r>
      <w:r w:rsidR="002379F8" w:rsidRPr="008976C4">
        <w:rPr>
          <w:sz w:val="22"/>
          <w:szCs w:val="22"/>
          <w:lang w:val="sk-SK"/>
        </w:rPr>
        <w:t xml:space="preserve"> </w:t>
      </w:r>
      <w:r w:rsidR="00802BA3" w:rsidRPr="008976C4">
        <w:rPr>
          <w:sz w:val="22"/>
          <w:szCs w:val="22"/>
          <w:lang w:val="sk-SK"/>
        </w:rPr>
        <w:t>urologiká, liečivá pri poruchách erekcie</w:t>
      </w:r>
      <w:r w:rsidR="002379F8"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904B4B">
        <w:rPr>
          <w:sz w:val="22"/>
          <w:szCs w:val="22"/>
          <w:lang w:val="sk-SK"/>
        </w:rPr>
        <w:t>.</w:t>
      </w:r>
    </w:p>
    <w:p w14:paraId="675DEAAD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900D893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Mechanizmus účinku</w:t>
      </w:r>
    </w:p>
    <w:p w14:paraId="50813E31" w14:textId="03C1040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je selektívny</w:t>
      </w:r>
      <w:r w:rsidR="007165B2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reverzibilný inhibítor fosfodiesterázy typu 5 (PDE5) </w:t>
      </w:r>
      <w:r w:rsidR="007165B2">
        <w:rPr>
          <w:sz w:val="22"/>
          <w:szCs w:val="22"/>
          <w:lang w:val="sk-SK"/>
        </w:rPr>
        <w:t>špecifický</w:t>
      </w:r>
      <w:r w:rsidR="007165B2" w:rsidRPr="00A97DFF">
        <w:rPr>
          <w:sz w:val="22"/>
          <w:szCs w:val="22"/>
          <w:lang w:val="sk-SK"/>
        </w:rPr>
        <w:t xml:space="preserve"> </w:t>
      </w:r>
      <w:r w:rsidR="007165B2">
        <w:rPr>
          <w:sz w:val="22"/>
          <w:szCs w:val="22"/>
          <w:lang w:val="sk-SK"/>
        </w:rPr>
        <w:t xml:space="preserve">pre </w:t>
      </w:r>
      <w:r w:rsidRPr="00A97DFF">
        <w:rPr>
          <w:sz w:val="22"/>
          <w:szCs w:val="22"/>
          <w:lang w:val="sk-SK"/>
        </w:rPr>
        <w:t>cyklick</w:t>
      </w:r>
      <w:r w:rsidR="007165B2">
        <w:rPr>
          <w:sz w:val="22"/>
          <w:szCs w:val="22"/>
          <w:lang w:val="sk-SK"/>
        </w:rPr>
        <w:t>ý</w:t>
      </w:r>
      <w:r w:rsidRPr="00A97DFF">
        <w:rPr>
          <w:sz w:val="22"/>
          <w:szCs w:val="22"/>
          <w:lang w:val="sk-SK"/>
        </w:rPr>
        <w:t xml:space="preserve"> guanozín monofosfát (cGMP).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uvoľnenie oxidu dusnatého, inhibícia PDE5 tadalafilom zvyšuje hladiny cGMP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corpus cavernosum.</w:t>
      </w:r>
    </w:p>
    <w:p w14:paraId="093BBFE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relaxácii hladkej svaloviny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umožneniu vtoku krvi do tkanív penisu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následnou erekciou.</w:t>
      </w:r>
    </w:p>
    <w:p w14:paraId="543D120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liečbe erektilnej dysfunkcie nemá tadalafil žiadny účinok bez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nej stimulácie.</w:t>
      </w:r>
    </w:p>
    <w:p w14:paraId="45E950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2C6681C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Farmakodynamické účinky</w:t>
      </w:r>
    </w:p>
    <w:p w14:paraId="3094C22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tadalafil je selektívnym inhibítorom PDE5. PDE5 je enzým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hladkej svalovine corpus cavernosum, ciev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vnútorných orgánov, ďalej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kostrovom svalstve, krvných doštičkách, obličkách, pľúcach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mozočku. Účinok tadalafilu na PDE5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 silnejší ako na iné fosfodiest</w:t>
      </w:r>
      <w:r w:rsidR="007407B0">
        <w:rPr>
          <w:sz w:val="22"/>
          <w:szCs w:val="22"/>
          <w:lang w:val="sk-SK"/>
        </w:rPr>
        <w:t>erázy. Tadalafil má viac ako 10 </w:t>
      </w:r>
      <w:r w:rsidRPr="00A97DFF">
        <w:rPr>
          <w:sz w:val="22"/>
          <w:szCs w:val="22"/>
          <w:lang w:val="sk-SK"/>
        </w:rPr>
        <w:t>000-krát silnejší účinok na PDE5 ako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 PDE1, PDE2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PDE4,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srdci, mozgu, cievach, pečeni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iných orgánoch.</w:t>
      </w:r>
    </w:p>
    <w:p w14:paraId="55EA278A" w14:textId="568B1F1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má viac ako 10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r w:rsidRPr="00A97DFF">
        <w:rPr>
          <w:sz w:val="22"/>
          <w:szCs w:val="22"/>
          <w:lang w:val="sk-SK"/>
        </w:rPr>
        <w:t>ktorý sa nachádza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cievach. Táto selektivita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PDE5 oproti PDE3 je dôležitá, pretože PDE3 má význam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myokardu. Okrem toho, tadalafil má približne 700-krát silnejší účinok na PDE5 ako na PDE6, enzým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nachádzajúci sa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sietnici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ktorý je zodpovedný za fototransdukciu. Tadalafil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PDE10.</w:t>
      </w:r>
    </w:p>
    <w:p w14:paraId="12FBC84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3E2766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Klinická účinnosť a bezpečnosť</w:t>
      </w:r>
    </w:p>
    <w:p w14:paraId="30CE3C0D" w14:textId="77777777" w:rsidR="00ED5149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troch klinických </w:t>
      </w:r>
      <w:r w:rsidR="0033179C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vykonaných </w:t>
      </w:r>
      <w:r w:rsidR="00DE4295"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1054 paciento</w:t>
      </w:r>
      <w:r w:rsidR="00DE4295" w:rsidRPr="00A97DFF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domácom prostredí sa sledovalo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obdobie reakcie pacienta na tadalafil podávaný podľa potreby. Tadalafil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viedol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štatisticky významnému zlepšeniu erektilnej funkcie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schopnosti vykonať úspešný pohlavný styk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období až do 36 hodín po jeho užití, rovnako ako schopnosti dosiahnuť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udržať erekciu dostatočnú na úspešný pohlavný styk už 16 minút po jeho užití.</w:t>
      </w:r>
    </w:p>
    <w:p w14:paraId="72E287C6" w14:textId="77777777" w:rsidR="008A4955" w:rsidRPr="00A97DFF" w:rsidRDefault="008A495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7FBAF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placebom, tadalafil 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 zdravým osobám neviedol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žiadnym významným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zmenám systolického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diastolického tlaku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ľahu (priemerné maximálne zníženie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1,6/0,8 mm Hg),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systolického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diastolického tlaku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stoji (priemerné maximálne zníženie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0,2/4,6 mm Hg)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srdcovej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frekvencie.</w:t>
      </w:r>
    </w:p>
    <w:p w14:paraId="7A33FE93" w14:textId="77777777" w:rsidR="00802BA3" w:rsidRPr="00A97DFF" w:rsidRDefault="00802BA3" w:rsidP="00DE393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 hodnotiacej vplyv tadalafilu na zrak sa pri 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súlade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nízkou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afinitou tadalafilu k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PDE6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PDE5. Vo všetkých klinických štúdiách sa pozoroval</w:t>
      </w:r>
      <w:r w:rsidR="00DE393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zriedkavý výskyt porúch farebného videnia (&lt; 0,1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%).</w:t>
      </w:r>
    </w:p>
    <w:p w14:paraId="37BA48C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0880D56" w14:textId="77777777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Boli vykonané tri štúdie u mužov zamerané na zhodnotenie potenciálneho účinku </w:t>
      </w:r>
      <w:r w:rsidR="008A4955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1</w:t>
      </w:r>
      <w:r w:rsidR="007407B0">
        <w:rPr>
          <w:sz w:val="22"/>
          <w:szCs w:val="22"/>
          <w:lang w:val="sk-SK"/>
        </w:rPr>
        <w:t>0 mg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(jedna 6-mesačná štúdia)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(jedna 6-mesačná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jedna 9-mesačná štúdia) podávaného denne na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spermatogenézu.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dvoch z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týchto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súvislosti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liečbou tadalafilom pozorované poklesy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počte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koncentrácii spermií pravdepodobne bez klinickej významnosti.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zmenami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ďalších parametroch ako je motilita, morfológia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FSH.</w:t>
      </w:r>
    </w:p>
    <w:p w14:paraId="7E745170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65348B" w14:textId="28D8567F" w:rsidR="001B4326" w:rsidRPr="00A97DFF" w:rsidRDefault="00ED5149" w:rsidP="00ED514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podávaný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dávkach 2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10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bol hodnotený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16 klinických štúdiách zahŕňajúcich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3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250 pacientov, vrátane pacientov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rozličným stupňom erektilnej dysfunkcie (mierna, stredne ťažká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ťažká), rôznymi etiologickými príčinami, rozličným vekom (21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86 rokov)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etnickou príslušnosťou. Väčšina pacientov udávala erektilnú dysfunkciu trvajúcu najmenej 1 rok.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štúdiách skúmajúcich primárnu účinnosť </w:t>
      </w:r>
      <w:r w:rsidR="00651996"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všeobecnej populácie udávalo zlepšenie erekcie po užití tadalafilu až 81 % pacientov</w:t>
      </w:r>
      <w:r w:rsidR="004D5E23"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35 % na placebe. Aj pacienti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rôznym stupňom erektilnej dysfunkcie udávali zlepšenie erekcie počas užívania tadalafilu (86 % pri ľahkej forme, 83 % pri stredne ťažkej forme </w:t>
      </w:r>
      <w:r w:rsidRPr="00A97DFF">
        <w:rPr>
          <w:sz w:val="22"/>
          <w:szCs w:val="22"/>
          <w:lang w:val="sk-SK"/>
        </w:rPr>
        <w:lastRenderedPageBreak/>
        <w:t>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72 % pri ťažkej forme erektilnej dysfunkcie,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 45 %, 42 %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19 % na placebe).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štúdiách skúmajúcich primárnu účinnosť sa 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liečených tadalafilom zaznamenala 75 % úspešnosť pohlavných stykov,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32 % na placebe.</w:t>
      </w:r>
    </w:p>
    <w:p w14:paraId="789D8B70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FB4AD0" w14:textId="265544C1" w:rsidR="00A45F10" w:rsidRPr="00A97DFF" w:rsidRDefault="00A45F10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Na zhodnotenie tadalafilu jedenkrát denne podávaného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dávkach 2,5, 5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boli pôvodne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vykonané 3 klinické štúdie zahŕňajúce 853 pacientov rôzneho veku (v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rozmedzí 21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82 rokov)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etnickej príslušnosti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erektilnou dysfunkciou rôznej závažnosti (mierna, stredne ťažká, ťažká)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pôvodu.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dvoch štúdiách skúmajúcich primárnu účinnosť na vzorke celkovej populácie bol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priemerný podiel úspešnosti pohlavných stykov 57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67 % pri tadalafile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>, 50 % pri tadalafile 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31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37 % pri placebe.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pacientami so sekundárnou erektilnou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dysfunkciou pri diabete bol priemerný podiel úspešn</w:t>
      </w:r>
      <w:r w:rsidR="00651996" w:rsidRPr="00A97DFF">
        <w:rPr>
          <w:sz w:val="22"/>
          <w:szCs w:val="22"/>
          <w:lang w:val="sk-SK"/>
        </w:rPr>
        <w:t>ých pokusov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pohlavný styk</w:t>
      </w:r>
      <w:r w:rsidR="00651996" w:rsidRPr="00A97DFF">
        <w:rPr>
          <w:sz w:val="22"/>
          <w:szCs w:val="22"/>
          <w:lang w:val="sk-SK"/>
        </w:rPr>
        <w:t xml:space="preserve"> na jeden subjekt</w:t>
      </w:r>
      <w:r w:rsidRPr="00A97DFF">
        <w:rPr>
          <w:sz w:val="22"/>
          <w:szCs w:val="22"/>
          <w:lang w:val="sk-SK"/>
        </w:rPr>
        <w:t xml:space="preserve"> 41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46</w:t>
      </w:r>
      <w:r w:rsidR="00ED5149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pri tadalafile</w:t>
      </w:r>
      <w:r w:rsidR="00F833C5">
        <w:rPr>
          <w:sz w:val="22"/>
          <w:szCs w:val="22"/>
          <w:lang w:val="sk-SK"/>
        </w:rPr>
        <w:t xml:space="preserve"> </w:t>
      </w:r>
      <w:r w:rsidR="007407B0">
        <w:rPr>
          <w:sz w:val="22"/>
          <w:szCs w:val="22"/>
          <w:lang w:val="sk-SK"/>
        </w:rPr>
        <w:t>5 mg</w:t>
      </w:r>
      <w:r w:rsidR="003E00A0" w:rsidRPr="00A97DFF">
        <w:rPr>
          <w:sz w:val="22"/>
          <w:szCs w:val="22"/>
          <w:lang w:val="sk-SK"/>
        </w:rPr>
        <w:t xml:space="preserve"> a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 tadalafile 2,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28 % pri placebe. Väčšina pacientov vo všetkých troch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štúdiách reagovala na predchádzajúcu liečbu PDE5 inhibítormi užívanými podľa potreby.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následnej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štúdii bolo 217 pacientov, ktorí ešte neboli liečení PDE5 inhibítormi, randomizovaných na tadalafil</w:t>
      </w:r>
      <w:r w:rsidR="00F833C5">
        <w:rPr>
          <w:sz w:val="22"/>
          <w:szCs w:val="22"/>
          <w:lang w:val="sk-SK"/>
        </w:rPr>
        <w:t xml:space="preserve"> 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 xml:space="preserve"> jedenkrát denne oproti placebu. Priemerný podiel úspešn</w:t>
      </w:r>
      <w:r w:rsidR="00651996" w:rsidRPr="00A97DFF">
        <w:rPr>
          <w:sz w:val="22"/>
          <w:szCs w:val="22"/>
          <w:lang w:val="sk-SK"/>
        </w:rPr>
        <w:t>ých pokusov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pohlavný styk</w:t>
      </w:r>
      <w:r w:rsidR="00651996" w:rsidRPr="00A97DFF">
        <w:rPr>
          <w:sz w:val="22"/>
          <w:szCs w:val="22"/>
          <w:lang w:val="sk-SK"/>
        </w:rPr>
        <w:t xml:space="preserve"> na jeden subjekt</w:t>
      </w:r>
      <w:r w:rsidRPr="00A97DFF">
        <w:rPr>
          <w:sz w:val="22"/>
          <w:szCs w:val="22"/>
          <w:lang w:val="sk-SK"/>
        </w:rPr>
        <w:t xml:space="preserve"> bol 68 %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prospech </w:t>
      </w:r>
      <w:r w:rsidR="00ED5149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oproti 52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pacientov užívajúcich placebo.</w:t>
      </w:r>
    </w:p>
    <w:p w14:paraId="1971E29C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0F34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12-týždennej štúdii vykonanej so 186 pacientmi (142 užívajúcich tadalafil, 44 placebo) so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sekundárnou erektilnou dysfunkciou spôsobenou poranením miechy tadalafil signifikantne zlepšoval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erektilnú dysfunkciu vedúcu ku 48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</w:t>
      </w:r>
      <w:r w:rsidR="009B7942" w:rsidRPr="00A97DFF">
        <w:rPr>
          <w:sz w:val="22"/>
          <w:szCs w:val="22"/>
          <w:lang w:val="sk-SK"/>
        </w:rPr>
        <w:t xml:space="preserve">priemernému </w:t>
      </w:r>
      <w:r w:rsidRPr="00A97DFF">
        <w:rPr>
          <w:sz w:val="22"/>
          <w:szCs w:val="22"/>
          <w:lang w:val="sk-SK"/>
        </w:rPr>
        <w:t xml:space="preserve">podielu </w:t>
      </w:r>
      <w:r w:rsidR="00A45F1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spešných pokusov o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pohlavný styk na </w:t>
      </w:r>
      <w:r w:rsidR="00645AAC" w:rsidRPr="00A97DFF">
        <w:rPr>
          <w:sz w:val="22"/>
          <w:szCs w:val="22"/>
          <w:lang w:val="sk-SK"/>
        </w:rPr>
        <w:t>účastníka</w:t>
      </w:r>
      <w:r w:rsidR="009B794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užívajúcich tadalafil 10 alebo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(flexibilná dávka, podľa potreby)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</w:t>
      </w:r>
      <w:r w:rsidR="009B794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17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pacientov užívajúcimi placebo.</w:t>
      </w:r>
    </w:p>
    <w:p w14:paraId="7F58CEB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002BA3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Pediatrická populácia</w:t>
      </w:r>
    </w:p>
    <w:p w14:paraId="5A96D32C" w14:textId="77777777" w:rsidR="00802BA3" w:rsidRPr="008976C4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Európska agentúra pre lieky udelila výnimku z</w:t>
      </w:r>
      <w:r w:rsidR="00DE3937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povinnosti predložiť výsledky štúdií </w:t>
      </w:r>
      <w:r w:rsidR="008A093E" w:rsidRPr="00A97DFF">
        <w:rPr>
          <w:sz w:val="22"/>
          <w:szCs w:val="22"/>
          <w:lang w:val="sk-SK"/>
        </w:rPr>
        <w:t>s</w:t>
      </w:r>
      <w:r w:rsidR="00DE3937">
        <w:rPr>
          <w:sz w:val="22"/>
          <w:szCs w:val="22"/>
          <w:lang w:val="sk-SK"/>
        </w:rPr>
        <w:t> </w:t>
      </w:r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vo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všetkých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645AAC" w:rsidRPr="00A97DFF">
        <w:rPr>
          <w:sz w:val="22"/>
          <w:szCs w:val="22"/>
          <w:lang w:val="sk-SK"/>
        </w:rPr>
        <w:t>. I</w:t>
      </w:r>
      <w:r w:rsidRPr="00A97DFF">
        <w:rPr>
          <w:sz w:val="22"/>
          <w:szCs w:val="22"/>
          <w:lang w:val="sk-SK"/>
        </w:rPr>
        <w:t>nformácie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použití </w:t>
      </w:r>
      <w:r w:rsidR="008A093E"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="008A093E" w:rsidRPr="00A97DFF">
        <w:rPr>
          <w:sz w:val="22"/>
          <w:szCs w:val="22"/>
          <w:lang w:val="sk-SK"/>
        </w:rPr>
        <w:t xml:space="preserve">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4.2.</w:t>
      </w:r>
    </w:p>
    <w:p w14:paraId="67301959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B49476B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0545B6C8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E81C124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Absorpcia</w:t>
      </w:r>
    </w:p>
    <w:p w14:paraId="32DB5B8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Tadalafil sa rýchlo vstrebáva po perorálnom podaní, pričom priemerná maximálna </w:t>
      </w:r>
      <w:r w:rsidR="008A093E" w:rsidRPr="00A97DFF">
        <w:rPr>
          <w:sz w:val="22"/>
          <w:szCs w:val="22"/>
          <w:lang w:val="sk-SK"/>
        </w:rPr>
        <w:t xml:space="preserve">pozorovaná </w:t>
      </w:r>
      <w:r w:rsidRPr="00A97DFF">
        <w:rPr>
          <w:sz w:val="22"/>
          <w:szCs w:val="22"/>
          <w:lang w:val="sk-SK"/>
        </w:rPr>
        <w:t>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priemerne za </w:t>
      </w:r>
      <w:r w:rsidRPr="00A97DFF">
        <w:rPr>
          <w:sz w:val="22"/>
          <w:szCs w:val="22"/>
          <w:lang w:val="sk-SK"/>
        </w:rPr>
        <w:t>2 hodiny 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dostupnosť tadalafilu po perorálnom podaní nebola stanovená.</w:t>
      </w:r>
    </w:p>
    <w:p w14:paraId="2453B8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Príjem potravy neovplyvňuje rýchlosť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stupeň absorbcie tadalafilu,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preto sa </w:t>
      </w:r>
      <w:r w:rsidR="00A32907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môže užívať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bez ohľadu na príjem potravy. Čas podania (ráno alebo večer) nemá žiadny klinicky významný vplyv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na rýchlosť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stupeň absorpcie tadalafilu.</w:t>
      </w:r>
    </w:p>
    <w:p w14:paraId="3AE125E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790E2D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Distribúcia</w:t>
      </w:r>
    </w:p>
    <w:p w14:paraId="4121B1B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Priemerná hodnota distr</w:t>
      </w:r>
      <w:r w:rsidR="00904B4B">
        <w:rPr>
          <w:sz w:val="22"/>
          <w:szCs w:val="22"/>
          <w:lang w:val="sk-SK"/>
        </w:rPr>
        <w:t>ibučného objemu je približne 63 </w:t>
      </w:r>
      <w:r w:rsidRPr="00A97DFF">
        <w:rPr>
          <w:sz w:val="22"/>
          <w:szCs w:val="22"/>
          <w:lang w:val="sk-SK"/>
        </w:rPr>
        <w:t>l, čo odráža prienik tadalafilu do tkanív. Pri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terapeutických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tadalafilu viaže na plazmatické bielkoviny. Porucha renálnej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látky na plazmatické bielkoviny.</w:t>
      </w:r>
    </w:p>
    <w:p w14:paraId="44AB53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ejakuláte zdravých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7B9D316B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87DDC11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Biotransformácia</w:t>
      </w:r>
    </w:p>
    <w:p w14:paraId="6F705E4D" w14:textId="77777777" w:rsidR="00802BA3" w:rsidRPr="00A97DFF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Tadalafil sa metabolizuje najmä prostredníctvom izoformy 3A4 cytochrómu P450 (CYP). Hlavným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metabolitom cirkulujúcim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krvi je metylkatechol glukuronid.</w:t>
      </w:r>
      <w:r w:rsidR="00904B4B">
        <w:rPr>
          <w:sz w:val="22"/>
          <w:szCs w:val="22"/>
          <w:lang w:val="sk-SK"/>
        </w:rPr>
        <w:t xml:space="preserve"> Tento metabolit má najmenej 13 </w:t>
      </w:r>
      <w:r w:rsidRPr="00A97DFF">
        <w:rPr>
          <w:sz w:val="22"/>
          <w:szCs w:val="22"/>
          <w:lang w:val="sk-SK"/>
        </w:rPr>
        <w:t>000-krát nižší účinok na PDE5 ako tadalafil.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toho dôvodu sa pri pozorovaných koncentráciách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metabolitu nepredpokladá jeho klinicky významný účinok.</w:t>
      </w:r>
    </w:p>
    <w:p w14:paraId="44DE9FEA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A9BC3C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Eliminácia</w:t>
      </w:r>
    </w:p>
    <w:p w14:paraId="29A716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osôb je priemerná hodnota perorálneho klírensu tadalafilu 2,5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l/h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priemerný polčas je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17,5</w:t>
      </w:r>
      <w:r w:rsidR="00904B4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h. Tadalafil sa vylučuje prevažne vo forme inaktívnych metabolitov najmä stolicou (približne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podanej dávky)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podanej dávky).</w:t>
      </w:r>
    </w:p>
    <w:p w14:paraId="0A1DAC4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664FC5" w14:textId="77777777" w:rsidR="00802BA3" w:rsidRPr="00A64C06" w:rsidRDefault="00F46575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lastRenderedPageBreak/>
        <w:t>Linearita/nelinearita</w:t>
      </w:r>
    </w:p>
    <w:p w14:paraId="030F12B6" w14:textId="5E9C7173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osôb je lineárna z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hľadiska času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dávky. 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dávkovom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rozmedzí 2,5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stúpa expozícia (AUC) priamo úmerne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veľkosťou dávky. Pri dávkovaní raz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 sa rovnovážne plazmatické koncentrácie dosiahnu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priebehu 5 dní.</w:t>
      </w:r>
    </w:p>
    <w:p w14:paraId="744D70E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Farmakokinetika tadalafilu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osôb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erektilnou dysfunkciou je podobná ako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ľudí.</w:t>
      </w:r>
    </w:p>
    <w:p w14:paraId="59F27018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4C32F72" w14:textId="77777777" w:rsidR="00802BA3" w:rsidRPr="00A64C06" w:rsidRDefault="00F46575" w:rsidP="00802BA3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k-SK"/>
        </w:rPr>
      </w:pPr>
      <w:r w:rsidRPr="00A64C06">
        <w:rPr>
          <w:sz w:val="22"/>
          <w:szCs w:val="22"/>
          <w:u w:val="single"/>
          <w:lang w:val="sk-SK"/>
        </w:rPr>
        <w:t>Osobitné skupiny pacientov</w:t>
      </w:r>
    </w:p>
    <w:p w14:paraId="0E8E675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81F8346" w14:textId="781975C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klírensu tadalafilu,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zvýšeniu expozície (AUC)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 zdravými osobami vo veku 19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45 rokov. Tento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vplyv veku nie je klinicky významný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nevyžaduje si žiadnu úpravu dávkovania.</w:t>
      </w:r>
    </w:p>
    <w:p w14:paraId="3BFBC1E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44AEB4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0931B2C8" w14:textId="6BAF54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klinicko-farmakologických štúdiách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jednotlivými dávkami tadalafilu (</w:t>
      </w:r>
      <w:r w:rsidR="007407B0">
        <w:rPr>
          <w:sz w:val="22"/>
          <w:szCs w:val="22"/>
          <w:lang w:val="sk-SK"/>
        </w:rPr>
        <w:t>5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bola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systémová expozícia tadalafilu (AUC) približne dvojnásobná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osôb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51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obličiek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tiež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dialyzovaných osôb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konečnom štádiu zlyhania obličiek.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hemodialyzovaných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vyššia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porovnaní so zdravými jednotlivcami. Hemodialýza prispieva k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eliminácii tadalafilu iba nepatrne.</w:t>
      </w:r>
    </w:p>
    <w:p w14:paraId="52A452E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050D8D9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73FD7E45" w14:textId="77777777" w:rsidR="00F93C32" w:rsidRPr="00A97DFF" w:rsidRDefault="00802BA3" w:rsidP="00D426E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osôb s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(skupina A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B podľa Child</w:t>
      </w:r>
      <w:r w:rsidR="00A45F10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>-Pughovej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klasifikácie) je expozícia tadalafilu (AUC) pri podaní dávky 1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 xml:space="preserve"> porovnateľná so zdravými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osobami.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bezpečnosti </w:t>
      </w:r>
      <w:r w:rsidR="0084715A" w:rsidRPr="00A97DFF">
        <w:rPr>
          <w:sz w:val="22"/>
          <w:szCs w:val="22"/>
          <w:lang w:val="sk-SK"/>
        </w:rPr>
        <w:t>tadalafilu</w:t>
      </w:r>
      <w:r w:rsidRPr="00A97DFF">
        <w:rPr>
          <w:sz w:val="22"/>
          <w:szCs w:val="22"/>
          <w:lang w:val="sk-SK"/>
        </w:rPr>
        <w:t xml:space="preserve">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so závažnou hepatálnou insuficienciou (trieda C Child</w:t>
      </w:r>
      <w:r w:rsidR="00A45F10" w:rsidRPr="00A97DFF">
        <w:rPr>
          <w:sz w:val="22"/>
          <w:szCs w:val="22"/>
          <w:lang w:val="sk-SK"/>
        </w:rPr>
        <w:t>ovej</w:t>
      </w:r>
      <w:r w:rsidRPr="00A97DFF">
        <w:rPr>
          <w:sz w:val="22"/>
          <w:szCs w:val="22"/>
          <w:lang w:val="sk-SK"/>
        </w:rPr>
        <w:t xml:space="preserve">-Pughovej klasifikácie) sú dostupné iba obmedzené klinické údaje. </w:t>
      </w:r>
      <w:r w:rsidR="00D426EF" w:rsidRPr="00A97DFF">
        <w:rPr>
          <w:sz w:val="22"/>
          <w:szCs w:val="22"/>
          <w:lang w:val="sk-SK"/>
        </w:rPr>
        <w:t>V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prípade predpísania tada</w:t>
      </w:r>
      <w:r w:rsidR="00EB770B" w:rsidRPr="00A97DFF">
        <w:rPr>
          <w:sz w:val="22"/>
          <w:szCs w:val="22"/>
          <w:lang w:val="sk-SK"/>
        </w:rPr>
        <w:t>la</w:t>
      </w:r>
      <w:r w:rsidR="00D426EF" w:rsidRPr="00A97DFF">
        <w:rPr>
          <w:sz w:val="22"/>
          <w:szCs w:val="22"/>
          <w:lang w:val="sk-SK"/>
        </w:rPr>
        <w:t>filu musí lekár individuálne dôsledne zvážiť pomer prínosu a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rizika. Údaje o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podaní tadalafilu v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dávke vyššej ako 1</w:t>
      </w:r>
      <w:r w:rsidR="007407B0">
        <w:rPr>
          <w:sz w:val="22"/>
          <w:szCs w:val="22"/>
          <w:lang w:val="sk-SK"/>
        </w:rPr>
        <w:t>0 mg</w:t>
      </w:r>
      <w:r w:rsidR="00D426EF" w:rsidRPr="00A97DFF">
        <w:rPr>
          <w:sz w:val="22"/>
          <w:szCs w:val="22"/>
          <w:lang w:val="sk-SK"/>
        </w:rPr>
        <w:t xml:space="preserve"> pacientom s</w:t>
      </w:r>
      <w:r w:rsidR="004C4F3B">
        <w:rPr>
          <w:sz w:val="22"/>
          <w:szCs w:val="22"/>
          <w:lang w:val="sk-SK"/>
        </w:rPr>
        <w:t> </w:t>
      </w:r>
      <w:r w:rsidR="00D426EF" w:rsidRPr="00A97DFF">
        <w:rPr>
          <w:sz w:val="22"/>
          <w:szCs w:val="22"/>
          <w:lang w:val="sk-SK"/>
        </w:rPr>
        <w:t>po</w:t>
      </w:r>
      <w:r w:rsidR="00EB770B" w:rsidRPr="00A97DFF">
        <w:rPr>
          <w:sz w:val="22"/>
          <w:szCs w:val="22"/>
          <w:lang w:val="sk-SK"/>
        </w:rPr>
        <w:t>ruchou</w:t>
      </w:r>
      <w:r w:rsidR="00D426EF" w:rsidRPr="00A97DFF">
        <w:rPr>
          <w:sz w:val="22"/>
          <w:szCs w:val="22"/>
          <w:lang w:val="sk-SK"/>
        </w:rPr>
        <w:t xml:space="preserve"> funkcie pečene nie sú dostupné.</w:t>
      </w:r>
    </w:p>
    <w:p w14:paraId="5EE2018B" w14:textId="77777777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užívaní tadalafilu jedenkrát denne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pacientov s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poruchou funkcie pečene nie sú dostatočné údaje. Ak je </w:t>
      </w:r>
      <w:r w:rsidR="0084715A" w:rsidRPr="00A97DFF">
        <w:rPr>
          <w:sz w:val="22"/>
          <w:szCs w:val="22"/>
          <w:lang w:val="sk-SK"/>
        </w:rPr>
        <w:t>tadalafil</w:t>
      </w:r>
      <w:r w:rsidRPr="00A97DFF">
        <w:rPr>
          <w:sz w:val="22"/>
          <w:szCs w:val="22"/>
          <w:lang w:val="sk-SK"/>
        </w:rPr>
        <w:t xml:space="preserve"> predpísaný jedenkrát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denne, musí lekár individuálne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dôs</w:t>
      </w:r>
      <w:r w:rsidR="0084715A" w:rsidRPr="00A97DFF">
        <w:rPr>
          <w:sz w:val="22"/>
          <w:szCs w:val="22"/>
          <w:lang w:val="sk-SK"/>
        </w:rPr>
        <w:t>ledne zvážiť pomer prínosu</w:t>
      </w:r>
      <w:r w:rsidRPr="00A97DFF">
        <w:rPr>
          <w:sz w:val="22"/>
          <w:szCs w:val="22"/>
          <w:lang w:val="sk-SK"/>
        </w:rPr>
        <w:t xml:space="preserve">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rizika.</w:t>
      </w:r>
    </w:p>
    <w:p w14:paraId="1F6221AB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2B24D6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Diabetici</w:t>
      </w:r>
    </w:p>
    <w:p w14:paraId="5D4F34D0" w14:textId="77777777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(AUC) tadalafilu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diabetikov je približne o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nižšia ako hodnota AUC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zdravých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expozícii si nevyžaduje žiadnu úpravu dávkovania.</w:t>
      </w:r>
    </w:p>
    <w:p w14:paraId="42AA00B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E9DDDF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</w:t>
      </w:r>
      <w:r w:rsidR="004C4F3B">
        <w:rPr>
          <w:b/>
          <w:bCs/>
          <w:sz w:val="22"/>
          <w:szCs w:val="22"/>
          <w:lang w:val="sk-SK"/>
        </w:rPr>
        <w:t> </w:t>
      </w:r>
      <w:r w:rsidRPr="008976C4">
        <w:rPr>
          <w:b/>
          <w:bCs/>
          <w:sz w:val="22"/>
          <w:szCs w:val="22"/>
          <w:lang w:val="sk-SK"/>
        </w:rPr>
        <w:t>bezpečnosti</w:t>
      </w:r>
    </w:p>
    <w:p w14:paraId="3CF17DBE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771B1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Predklinické údaje na základe obvyklých farmakologických štúdií bezpečnosti, toxicity po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opakovanom podaní, genotoxicity, karcinogénneho potenciálu, reprodukčnej toxicity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vývinu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neodhalili žiadne osobitné riziko pre ľudí.</w:t>
      </w:r>
    </w:p>
    <w:p w14:paraId="7FB9F08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potkanov a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myší, ktorým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Pr="00A97DFF">
        <w:rPr>
          <w:sz w:val="22"/>
          <w:szCs w:val="22"/>
          <w:lang w:val="sk-SK"/>
        </w:rPr>
        <w:t>1</w:t>
      </w:r>
      <w:r w:rsidR="007407B0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00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/kg/deň tadalafilu, sa nezistili žiadne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známky teratogenity, embryotoxicity a</w:t>
      </w:r>
      <w:r w:rsidR="00BF4F52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fetotoxicity. 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štúdii, ktorá hodnotila prenatálny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postnatálny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vývoj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potkanov, bola dávka, pri ktorej sa nezistil žiadny účinok 3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/kg/deň.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gravidných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zistené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ľudí po podaní dávky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.</w:t>
      </w:r>
    </w:p>
    <w:p w14:paraId="1B4DF544" w14:textId="79793F9D" w:rsidR="00462C50" w:rsidRPr="008976C4" w:rsidRDefault="00802BA3" w:rsidP="00F833C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samíc a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samcov potkanov sa nezistila žiadna porucha plodnosti. U</w:t>
      </w:r>
      <w:r w:rsidR="00F833C5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psov, ktorým sa podával tadalafil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denných dávkach 2</w:t>
      </w:r>
      <w:r w:rsidR="007407B0">
        <w:rPr>
          <w:sz w:val="22"/>
          <w:szCs w:val="22"/>
          <w:lang w:val="sk-SK"/>
        </w:rPr>
        <w:t>5 mg</w:t>
      </w:r>
      <w:r w:rsidRPr="00A97DFF">
        <w:rPr>
          <w:sz w:val="22"/>
          <w:szCs w:val="22"/>
          <w:lang w:val="sk-SK"/>
        </w:rPr>
        <w:t>/kg/deň počas obdobia 6</w:t>
      </w:r>
      <w:r w:rsidR="00904B4B">
        <w:rPr>
          <w:sz w:val="22"/>
          <w:szCs w:val="22"/>
          <w:lang w:val="sk-SK"/>
        </w:rPr>
        <w:t>–</w:t>
      </w:r>
      <w:r w:rsidRPr="00A97DFF">
        <w:rPr>
          <w:sz w:val="22"/>
          <w:szCs w:val="22"/>
          <w:lang w:val="sk-SK"/>
        </w:rPr>
        <w:t>12 mesiacov (čo je minimálne trojnásobne vyššia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expozícia [rozmedzie 3,7–18,6] než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</w:t>
      </w:r>
      <w:r w:rsidR="007407B0">
        <w:rPr>
          <w:sz w:val="22"/>
          <w:szCs w:val="22"/>
          <w:lang w:val="sk-SK"/>
        </w:rPr>
        <w:t>0 mg</w:t>
      </w:r>
      <w:r w:rsidRPr="00A97DFF">
        <w:rPr>
          <w:sz w:val="22"/>
          <w:szCs w:val="22"/>
          <w:lang w:val="sk-SK"/>
        </w:rPr>
        <w:t>) a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epitelu semenných kanálikov, ktorá u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niektorých psov viedla k</w:t>
      </w:r>
      <w:r w:rsidR="004C4F3B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zníženiu spermatogenézy. Pozri tiež</w:t>
      </w:r>
      <w:r w:rsidR="00F833C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časť 5.1.</w:t>
      </w:r>
    </w:p>
    <w:p w14:paraId="18C6F36B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750ED0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5CC60B37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4A92C06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90AC35C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CF590D1" w14:textId="3B8A53C2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</w:t>
      </w:r>
    </w:p>
    <w:p w14:paraId="43C16716" w14:textId="44BC1EB4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monohydrát laktózy</w:t>
      </w:r>
    </w:p>
    <w:p w14:paraId="6D9C8391" w14:textId="7FF2C870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mikrokryštalická celulóza</w:t>
      </w:r>
    </w:p>
    <w:p w14:paraId="287043F1" w14:textId="200063DB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povidón 25</w:t>
      </w:r>
    </w:p>
    <w:p w14:paraId="75EB4E89" w14:textId="4A038314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sodná soľ kroskarmelózy</w:t>
      </w:r>
    </w:p>
    <w:p w14:paraId="5F30E3BD" w14:textId="65BF067C" w:rsidR="00BF4F52" w:rsidRPr="00A97DFF" w:rsidRDefault="000F049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</w:t>
      </w:r>
      <w:r w:rsidR="009A0B1C">
        <w:rPr>
          <w:sz w:val="22"/>
          <w:szCs w:val="22"/>
          <w:lang w:val="sk-SK"/>
        </w:rPr>
        <w:t>át</w:t>
      </w:r>
      <w:r>
        <w:rPr>
          <w:sz w:val="22"/>
          <w:szCs w:val="22"/>
          <w:lang w:val="sk-SK"/>
        </w:rPr>
        <w:t xml:space="preserve"> horečnatý</w:t>
      </w:r>
    </w:p>
    <w:p w14:paraId="719DC12B" w14:textId="40C345BB" w:rsidR="00BF4F52" w:rsidRPr="00A97DFF" w:rsidRDefault="000F049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laurylsíran sodný</w:t>
      </w:r>
    </w:p>
    <w:p w14:paraId="4C0883F5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DBB3939" w14:textId="1E56F68B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Obal tablety</w:t>
      </w:r>
    </w:p>
    <w:p w14:paraId="128F3D24" w14:textId="093D03A6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Opadry žltá 0Y-32823</w:t>
      </w:r>
      <w:r w:rsidR="00904B4B">
        <w:rPr>
          <w:sz w:val="22"/>
          <w:szCs w:val="22"/>
          <w:lang w:val="sk-SK"/>
        </w:rPr>
        <w:t>:</w:t>
      </w:r>
    </w:p>
    <w:p w14:paraId="1C294441" w14:textId="04C19FEB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hypromelóza 6 cp</w:t>
      </w:r>
    </w:p>
    <w:p w14:paraId="762C3199" w14:textId="1320BF15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oxid titaničitý (E171)</w:t>
      </w:r>
    </w:p>
    <w:p w14:paraId="1877BF6F" w14:textId="6A4F51C2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makrogol 400</w:t>
      </w:r>
    </w:p>
    <w:p w14:paraId="44F7BAC0" w14:textId="0000641C" w:rsidR="00BF4F52" w:rsidRPr="00A97DFF" w:rsidRDefault="00BF4F52" w:rsidP="00BF4F52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žltý oxid železitý (E172)</w:t>
      </w:r>
    </w:p>
    <w:p w14:paraId="6EC41EC8" w14:textId="2A0D377A" w:rsidR="00BF4F52" w:rsidRPr="00A97DFF" w:rsidRDefault="00BF4F52" w:rsidP="00BF4F52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4DDBFFC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7A1B24F3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7E656899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6AAC32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7E5CC251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7979A8E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1E11209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21CF783" w14:textId="0CA574FC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  <w:r w:rsidR="00F8166E">
        <w:rPr>
          <w:sz w:val="22"/>
          <w:szCs w:val="22"/>
          <w:lang w:val="sk-SK"/>
        </w:rPr>
        <w:t>.</w:t>
      </w:r>
    </w:p>
    <w:p w14:paraId="7C501336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6FDE86B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75CA16A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4D2FC72" w14:textId="7777777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0D2B993A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CA20A8E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</w:t>
      </w:r>
      <w:r w:rsidR="007407B0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obsah balenia</w:t>
      </w:r>
    </w:p>
    <w:p w14:paraId="4F7BC42C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A21BCFA" w14:textId="77777777" w:rsidR="00D56AE0" w:rsidRPr="008976C4" w:rsidRDefault="000E58F2" w:rsidP="00C94B9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PVC/P</w:t>
      </w:r>
      <w:r w:rsidR="00BF4F52" w:rsidRPr="008976C4">
        <w:rPr>
          <w:sz w:val="22"/>
          <w:szCs w:val="22"/>
          <w:lang w:val="sk-SK"/>
        </w:rPr>
        <w:t>V</w:t>
      </w:r>
      <w:r w:rsidRPr="008976C4">
        <w:rPr>
          <w:sz w:val="22"/>
          <w:szCs w:val="22"/>
          <w:lang w:val="sk-SK"/>
        </w:rPr>
        <w:t>dC</w:t>
      </w:r>
      <w:r w:rsidR="00BF4F52" w:rsidRPr="008976C4">
        <w:rPr>
          <w:sz w:val="22"/>
          <w:szCs w:val="22"/>
          <w:lang w:val="sk-SK"/>
        </w:rPr>
        <w:t>/Al</w:t>
      </w:r>
      <w:r w:rsidRPr="008976C4">
        <w:rPr>
          <w:sz w:val="22"/>
          <w:szCs w:val="22"/>
          <w:lang w:val="sk-SK"/>
        </w:rPr>
        <w:t xml:space="preserve"> </w:t>
      </w:r>
      <w:r w:rsidR="00BF4F52" w:rsidRPr="008976C4">
        <w:rPr>
          <w:sz w:val="22"/>
          <w:szCs w:val="22"/>
          <w:lang w:val="sk-SK"/>
        </w:rPr>
        <w:t>blister alebo OPA/Al/PVC/Al blister</w:t>
      </w:r>
      <w:r w:rsidR="00D56AE0" w:rsidRPr="008976C4">
        <w:rPr>
          <w:sz w:val="22"/>
          <w:szCs w:val="22"/>
          <w:lang w:val="sk-SK"/>
        </w:rPr>
        <w:t>, pap</w:t>
      </w:r>
      <w:r w:rsidRPr="008976C4">
        <w:rPr>
          <w:sz w:val="22"/>
          <w:szCs w:val="22"/>
          <w:lang w:val="sk-SK"/>
        </w:rPr>
        <w:t>ierová</w:t>
      </w:r>
      <w:r w:rsidR="00D56AE0" w:rsidRPr="008976C4">
        <w:rPr>
          <w:sz w:val="22"/>
          <w:szCs w:val="22"/>
          <w:lang w:val="sk-SK"/>
        </w:rPr>
        <w:t xml:space="preserve"> </w:t>
      </w:r>
      <w:r w:rsidR="002D47BC" w:rsidRPr="008976C4">
        <w:rPr>
          <w:sz w:val="22"/>
          <w:szCs w:val="22"/>
          <w:lang w:val="sk-SK"/>
        </w:rPr>
        <w:t>škatuľka</w:t>
      </w:r>
      <w:r w:rsidR="00F833C5">
        <w:rPr>
          <w:sz w:val="22"/>
          <w:szCs w:val="22"/>
          <w:lang w:val="sk-SK"/>
        </w:rPr>
        <w:t>.</w:t>
      </w:r>
    </w:p>
    <w:p w14:paraId="5B5B995C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41756C1" w14:textId="58160ABA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 xml:space="preserve">: </w:t>
      </w:r>
      <w:r w:rsidR="00BF4F52" w:rsidRPr="008976C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 xml:space="preserve">4, </w:t>
      </w:r>
      <w:r w:rsidR="00DF0247" w:rsidRPr="008976C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10, 12</w:t>
      </w:r>
      <w:r w:rsidR="00BF4F52" w:rsidRPr="008976C4">
        <w:rPr>
          <w:sz w:val="22"/>
          <w:szCs w:val="22"/>
          <w:lang w:val="sk-SK"/>
        </w:rPr>
        <w:t>, 20, 30, 50</w:t>
      </w:r>
      <w:r w:rsidRPr="008976C4">
        <w:rPr>
          <w:sz w:val="22"/>
          <w:szCs w:val="22"/>
          <w:lang w:val="sk-SK"/>
        </w:rPr>
        <w:t xml:space="preserve"> a</w:t>
      </w:r>
      <w:r w:rsidR="007407B0">
        <w:rPr>
          <w:sz w:val="22"/>
          <w:szCs w:val="22"/>
          <w:lang w:val="sk-SK"/>
        </w:rPr>
        <w:t> </w:t>
      </w:r>
      <w:r w:rsidR="00BF4F52" w:rsidRPr="008976C4">
        <w:rPr>
          <w:sz w:val="22"/>
          <w:szCs w:val="22"/>
          <w:lang w:val="sk-SK"/>
        </w:rPr>
        <w:t>10</w:t>
      </w:r>
      <w:r w:rsidRPr="008976C4">
        <w:rPr>
          <w:sz w:val="22"/>
          <w:szCs w:val="22"/>
          <w:lang w:val="sk-SK"/>
        </w:rPr>
        <w:t xml:space="preserve">0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F833C5">
        <w:rPr>
          <w:sz w:val="22"/>
          <w:szCs w:val="22"/>
          <w:lang w:val="sk-SK"/>
        </w:rPr>
        <w:t>.</w:t>
      </w:r>
    </w:p>
    <w:p w14:paraId="6E681F60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="00F833C5">
        <w:rPr>
          <w:sz w:val="22"/>
          <w:szCs w:val="22"/>
          <w:lang w:val="sk-SK"/>
        </w:rPr>
        <w:t xml:space="preserve"> všetky veľkosti balenia.</w:t>
      </w:r>
    </w:p>
    <w:p w14:paraId="2B8889FB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0222F70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iné zaobchádzanie s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liekom</w:t>
      </w:r>
    </w:p>
    <w:p w14:paraId="2A82999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F4A9DF3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Žiadne zvláštne požiadavky.</w:t>
      </w:r>
    </w:p>
    <w:p w14:paraId="1C9A75A8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CA0639A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01A0647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</w:t>
      </w:r>
      <w:r w:rsidR="00F833C5">
        <w:rPr>
          <w:b/>
          <w:bCs/>
          <w:sz w:val="22"/>
          <w:szCs w:val="22"/>
          <w:lang w:val="sk-SK"/>
        </w:rPr>
        <w:t> </w:t>
      </w:r>
      <w:r w:rsidR="002379F8" w:rsidRPr="008976C4">
        <w:rPr>
          <w:b/>
          <w:bCs/>
          <w:sz w:val="22"/>
          <w:szCs w:val="22"/>
          <w:lang w:val="sk-SK"/>
        </w:rPr>
        <w:t>REGISTRÁCII</w:t>
      </w:r>
    </w:p>
    <w:p w14:paraId="616FAB08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013890" w14:textId="20E3E0E9" w:rsidR="00713859" w:rsidRPr="008976C4" w:rsidRDefault="00167D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PRO.MED.CS Praha a.s., Telčská </w:t>
      </w:r>
      <w:r w:rsidR="006B5A22">
        <w:rPr>
          <w:sz w:val="22"/>
          <w:szCs w:val="22"/>
          <w:lang w:val="sk-SK"/>
        </w:rPr>
        <w:t>377/</w:t>
      </w:r>
      <w:r w:rsidRPr="008976C4">
        <w:rPr>
          <w:sz w:val="22"/>
          <w:szCs w:val="22"/>
          <w:lang w:val="sk-SK"/>
        </w:rPr>
        <w:t xml:space="preserve">1, </w:t>
      </w:r>
      <w:r w:rsidR="006B5A22">
        <w:rPr>
          <w:sz w:val="22"/>
          <w:szCs w:val="22"/>
          <w:lang w:val="sk-SK"/>
        </w:rPr>
        <w:t xml:space="preserve">Michle, </w:t>
      </w:r>
      <w:r w:rsidRPr="008976C4">
        <w:rPr>
          <w:sz w:val="22"/>
          <w:szCs w:val="22"/>
          <w:lang w:val="sk-SK"/>
        </w:rPr>
        <w:t>140 00 Praha 4, Česká republika</w:t>
      </w:r>
    </w:p>
    <w:p w14:paraId="0DE399F2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5A424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AC6E10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1D3A40" w:rsidRPr="008976C4">
        <w:rPr>
          <w:b/>
          <w:bCs/>
          <w:sz w:val="22"/>
          <w:szCs w:val="22"/>
          <w:lang w:val="sk-SK"/>
        </w:rPr>
        <w:t>A</w:t>
      </w:r>
    </w:p>
    <w:p w14:paraId="1AB2BACF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5B549B3" w14:textId="77777777" w:rsidR="00A75647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Tadalafil PMCS </w:t>
      </w:r>
      <w:r w:rsidR="007407B0">
        <w:rPr>
          <w:sz w:val="22"/>
          <w:szCs w:val="22"/>
          <w:lang w:val="sk-SK"/>
        </w:rPr>
        <w:t>5 mg</w:t>
      </w:r>
      <w:r w:rsidRPr="008976C4">
        <w:rPr>
          <w:sz w:val="22"/>
          <w:szCs w:val="22"/>
          <w:lang w:val="sk-SK"/>
        </w:rPr>
        <w:t xml:space="preserve">: </w:t>
      </w:r>
      <w:r w:rsidR="00630C37" w:rsidRPr="008976C4">
        <w:rPr>
          <w:sz w:val="22"/>
          <w:szCs w:val="22"/>
          <w:lang w:val="sk-SK"/>
        </w:rPr>
        <w:t>83/0261/14-S</w:t>
      </w:r>
    </w:p>
    <w:p w14:paraId="26D94234" w14:textId="77777777" w:rsidR="00BF4F52" w:rsidRPr="008976C4" w:rsidRDefault="00BF4F52" w:rsidP="00BF4F5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1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: </w:t>
      </w:r>
      <w:r w:rsidR="00630C37" w:rsidRPr="008976C4">
        <w:rPr>
          <w:sz w:val="22"/>
          <w:szCs w:val="22"/>
          <w:lang w:val="sk-SK"/>
        </w:rPr>
        <w:t>83/0262/14-S</w:t>
      </w:r>
    </w:p>
    <w:p w14:paraId="77CD8720" w14:textId="77777777" w:rsidR="00BF4F52" w:rsidRPr="008976C4" w:rsidRDefault="00BF4F52" w:rsidP="00BF4F52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Tadalafil PMCS 2</w:t>
      </w:r>
      <w:r w:rsidR="007407B0">
        <w:rPr>
          <w:sz w:val="22"/>
          <w:szCs w:val="22"/>
          <w:lang w:val="sk-SK"/>
        </w:rPr>
        <w:t>0 mg</w:t>
      </w:r>
      <w:r w:rsidRPr="008976C4">
        <w:rPr>
          <w:sz w:val="22"/>
          <w:szCs w:val="22"/>
          <w:lang w:val="sk-SK"/>
        </w:rPr>
        <w:t xml:space="preserve">: </w:t>
      </w:r>
      <w:r w:rsidR="00630C37" w:rsidRPr="008976C4">
        <w:rPr>
          <w:sz w:val="22"/>
          <w:szCs w:val="22"/>
          <w:lang w:val="sk-SK"/>
        </w:rPr>
        <w:t>83/0263/14-S</w:t>
      </w:r>
    </w:p>
    <w:p w14:paraId="22C5C658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856F138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A709D40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2D4D8B0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2DB38CE" w14:textId="60A66D2A" w:rsidR="002E79E8" w:rsidRPr="008976C4" w:rsidRDefault="00F46575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F7D17">
        <w:rPr>
          <w:sz w:val="22"/>
          <w:szCs w:val="22"/>
          <w:lang w:val="sk-SK"/>
        </w:rPr>
        <w:t>Dátum prvej registrácie:</w:t>
      </w:r>
      <w:r w:rsidR="008F7D17">
        <w:rPr>
          <w:sz w:val="22"/>
          <w:szCs w:val="22"/>
          <w:lang w:val="sk-SK"/>
        </w:rPr>
        <w:t xml:space="preserve"> 11. 08. 2014</w:t>
      </w:r>
    </w:p>
    <w:p w14:paraId="7F1EDF38" w14:textId="2EE47593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  <w:r w:rsidR="009C4842">
        <w:rPr>
          <w:sz w:val="22"/>
          <w:szCs w:val="22"/>
          <w:lang w:val="sk-SK"/>
        </w:rPr>
        <w:t xml:space="preserve"> 31. 10. 2019</w:t>
      </w:r>
    </w:p>
    <w:p w14:paraId="5E6663E0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9125E05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0ADB0E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52681B2E" w14:textId="77777777" w:rsidR="00C94B90" w:rsidRPr="008976C4" w:rsidRDefault="00C94B90">
      <w:pPr>
        <w:rPr>
          <w:sz w:val="22"/>
          <w:szCs w:val="22"/>
          <w:lang w:val="sk-SK"/>
        </w:rPr>
      </w:pPr>
    </w:p>
    <w:p w14:paraId="7EE79364" w14:textId="22296982" w:rsidR="002379F8" w:rsidRPr="008976C4" w:rsidRDefault="008C248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Február</w:t>
      </w:r>
      <w:r w:rsidR="00BC4F82">
        <w:rPr>
          <w:sz w:val="22"/>
          <w:szCs w:val="22"/>
          <w:lang w:val="sk-SK"/>
        </w:rPr>
        <w:t xml:space="preserve"> 20</w:t>
      </w:r>
      <w:r w:rsidR="00E473DB">
        <w:rPr>
          <w:sz w:val="22"/>
          <w:szCs w:val="22"/>
          <w:lang w:val="sk-SK"/>
        </w:rPr>
        <w:t>20</w:t>
      </w:r>
    </w:p>
    <w:sectPr w:rsidR="002379F8" w:rsidRPr="008976C4" w:rsidSect="00A64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06349" w14:textId="77777777" w:rsidR="00230721" w:rsidRDefault="00230721">
      <w:r>
        <w:separator/>
      </w:r>
    </w:p>
    <w:p w14:paraId="597DBC13" w14:textId="77777777" w:rsidR="00230721" w:rsidRDefault="00230721"/>
    <w:p w14:paraId="47A51140" w14:textId="77777777" w:rsidR="00230721" w:rsidRDefault="00230721"/>
    <w:p w14:paraId="229390C1" w14:textId="77777777" w:rsidR="00230721" w:rsidRDefault="00230721"/>
    <w:p w14:paraId="1225010D" w14:textId="77777777" w:rsidR="00230721" w:rsidRDefault="00230721"/>
    <w:p w14:paraId="30A60765" w14:textId="77777777" w:rsidR="00230721" w:rsidRDefault="00230721"/>
    <w:p w14:paraId="6C7685F4" w14:textId="77777777" w:rsidR="00230721" w:rsidRDefault="00230721"/>
    <w:p w14:paraId="19FDE0CC" w14:textId="77777777" w:rsidR="00230721" w:rsidRDefault="00230721"/>
    <w:p w14:paraId="3BA5AF07" w14:textId="77777777" w:rsidR="00230721" w:rsidRDefault="00230721"/>
    <w:p w14:paraId="5E386CDE" w14:textId="77777777" w:rsidR="00230721" w:rsidRDefault="00230721"/>
    <w:p w14:paraId="35B56BDF" w14:textId="77777777" w:rsidR="00230721" w:rsidRDefault="00230721"/>
  </w:endnote>
  <w:endnote w:type="continuationSeparator" w:id="0">
    <w:p w14:paraId="4919D8A7" w14:textId="77777777" w:rsidR="00230721" w:rsidRDefault="00230721">
      <w:r>
        <w:continuationSeparator/>
      </w:r>
    </w:p>
    <w:p w14:paraId="7F995714" w14:textId="77777777" w:rsidR="00230721" w:rsidRDefault="00230721"/>
    <w:p w14:paraId="38AEA75B" w14:textId="77777777" w:rsidR="00230721" w:rsidRDefault="00230721"/>
    <w:p w14:paraId="1F572919" w14:textId="77777777" w:rsidR="00230721" w:rsidRDefault="00230721"/>
    <w:p w14:paraId="6DD07228" w14:textId="77777777" w:rsidR="00230721" w:rsidRDefault="00230721"/>
    <w:p w14:paraId="70B84CB5" w14:textId="77777777" w:rsidR="00230721" w:rsidRDefault="00230721"/>
    <w:p w14:paraId="6963B669" w14:textId="77777777" w:rsidR="00230721" w:rsidRDefault="00230721"/>
    <w:p w14:paraId="3159C152" w14:textId="77777777" w:rsidR="00230721" w:rsidRDefault="00230721"/>
    <w:p w14:paraId="5B5A4533" w14:textId="77777777" w:rsidR="00230721" w:rsidRDefault="00230721"/>
    <w:p w14:paraId="311D8A46" w14:textId="77777777" w:rsidR="00230721" w:rsidRDefault="00230721"/>
    <w:p w14:paraId="554E639D" w14:textId="77777777" w:rsidR="00230721" w:rsidRDefault="00230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0AF2" w14:textId="77777777" w:rsidR="001B0D12" w:rsidRDefault="001B0D1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0855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FBE5E91" w14:textId="2E83F9CC" w:rsidR="00690363" w:rsidRPr="00A64C06" w:rsidRDefault="00690363">
        <w:pPr>
          <w:pStyle w:val="Pta"/>
          <w:jc w:val="center"/>
          <w:rPr>
            <w:sz w:val="18"/>
            <w:szCs w:val="18"/>
          </w:rPr>
        </w:pPr>
        <w:r w:rsidRPr="00A64C06">
          <w:rPr>
            <w:sz w:val="18"/>
            <w:szCs w:val="18"/>
          </w:rPr>
          <w:fldChar w:fldCharType="begin"/>
        </w:r>
        <w:r w:rsidRPr="00A64C06">
          <w:rPr>
            <w:sz w:val="18"/>
            <w:szCs w:val="18"/>
          </w:rPr>
          <w:instrText>PAGE   \* MERGEFORMAT</w:instrText>
        </w:r>
        <w:r w:rsidRPr="00A64C06">
          <w:rPr>
            <w:sz w:val="18"/>
            <w:szCs w:val="18"/>
          </w:rPr>
          <w:fldChar w:fldCharType="separate"/>
        </w:r>
        <w:r w:rsidR="00E15D0A" w:rsidRPr="00E15D0A">
          <w:rPr>
            <w:noProof/>
            <w:sz w:val="18"/>
            <w:szCs w:val="18"/>
            <w:lang w:val="sk-SK"/>
          </w:rPr>
          <w:t>1</w:t>
        </w:r>
        <w:r w:rsidRPr="00A64C06">
          <w:rPr>
            <w:sz w:val="18"/>
            <w:szCs w:val="18"/>
          </w:rPr>
          <w:fldChar w:fldCharType="end"/>
        </w:r>
      </w:p>
    </w:sdtContent>
  </w:sdt>
  <w:p w14:paraId="51905F4C" w14:textId="77777777" w:rsidR="009B3BC0" w:rsidRDefault="009B3B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C8EA0" w14:textId="77777777" w:rsidR="001B0D12" w:rsidRDefault="001B0D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7862B" w14:textId="77777777" w:rsidR="00230721" w:rsidRDefault="00230721">
      <w:r>
        <w:separator/>
      </w:r>
    </w:p>
    <w:p w14:paraId="3932E501" w14:textId="77777777" w:rsidR="00230721" w:rsidRDefault="00230721"/>
    <w:p w14:paraId="708838D8" w14:textId="77777777" w:rsidR="00230721" w:rsidRDefault="00230721"/>
    <w:p w14:paraId="34F99C5F" w14:textId="77777777" w:rsidR="00230721" w:rsidRDefault="00230721"/>
    <w:p w14:paraId="66F0C38C" w14:textId="77777777" w:rsidR="00230721" w:rsidRDefault="00230721"/>
    <w:p w14:paraId="3D8AC64C" w14:textId="77777777" w:rsidR="00230721" w:rsidRDefault="00230721"/>
    <w:p w14:paraId="0FE635CB" w14:textId="77777777" w:rsidR="00230721" w:rsidRDefault="00230721"/>
    <w:p w14:paraId="0DAA5A9B" w14:textId="77777777" w:rsidR="00230721" w:rsidRDefault="00230721"/>
    <w:p w14:paraId="5B62A614" w14:textId="77777777" w:rsidR="00230721" w:rsidRDefault="00230721"/>
    <w:p w14:paraId="728A28D3" w14:textId="77777777" w:rsidR="00230721" w:rsidRDefault="00230721"/>
    <w:p w14:paraId="394D2582" w14:textId="77777777" w:rsidR="00230721" w:rsidRDefault="00230721"/>
  </w:footnote>
  <w:footnote w:type="continuationSeparator" w:id="0">
    <w:p w14:paraId="4C8C2BA9" w14:textId="77777777" w:rsidR="00230721" w:rsidRDefault="00230721">
      <w:r>
        <w:continuationSeparator/>
      </w:r>
    </w:p>
    <w:p w14:paraId="3873DC1E" w14:textId="77777777" w:rsidR="00230721" w:rsidRDefault="00230721"/>
    <w:p w14:paraId="4FD0500D" w14:textId="77777777" w:rsidR="00230721" w:rsidRDefault="00230721"/>
    <w:p w14:paraId="059BE4CF" w14:textId="77777777" w:rsidR="00230721" w:rsidRDefault="00230721"/>
    <w:p w14:paraId="48A583C2" w14:textId="77777777" w:rsidR="00230721" w:rsidRDefault="00230721"/>
    <w:p w14:paraId="10BC89EA" w14:textId="77777777" w:rsidR="00230721" w:rsidRDefault="00230721"/>
    <w:p w14:paraId="2C0380B8" w14:textId="77777777" w:rsidR="00230721" w:rsidRDefault="00230721"/>
    <w:p w14:paraId="1D6DDADA" w14:textId="77777777" w:rsidR="00230721" w:rsidRDefault="00230721"/>
    <w:p w14:paraId="1A71A607" w14:textId="77777777" w:rsidR="00230721" w:rsidRDefault="00230721"/>
    <w:p w14:paraId="14FB234D" w14:textId="77777777" w:rsidR="00230721" w:rsidRDefault="00230721"/>
    <w:p w14:paraId="018602C4" w14:textId="77777777" w:rsidR="00230721" w:rsidRDefault="002307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CB4AD" w14:textId="77777777" w:rsidR="001B0D12" w:rsidRDefault="001B0D1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6FA03" w14:textId="66706149" w:rsidR="00C83B9A" w:rsidRDefault="00C83B9A" w:rsidP="00C83B9A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</w:t>
    </w:r>
    <w:r w:rsidR="007C1B70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 xml:space="preserve">č.: </w:t>
    </w:r>
    <w:r w:rsidR="007578D5">
      <w:rPr>
        <w:sz w:val="18"/>
        <w:szCs w:val="18"/>
        <w:lang w:val="sk-SK"/>
      </w:rPr>
      <w:t>201</w:t>
    </w:r>
    <w:r w:rsidR="002C56A1">
      <w:rPr>
        <w:sz w:val="18"/>
        <w:szCs w:val="18"/>
        <w:lang w:val="sk-SK"/>
      </w:rPr>
      <w:t>9</w:t>
    </w:r>
    <w:r w:rsidR="007578D5">
      <w:rPr>
        <w:sz w:val="18"/>
        <w:szCs w:val="18"/>
        <w:lang w:val="sk-SK"/>
      </w:rPr>
      <w:t>/0</w:t>
    </w:r>
    <w:r w:rsidR="00826A95">
      <w:rPr>
        <w:sz w:val="18"/>
        <w:szCs w:val="18"/>
        <w:lang w:val="sk-SK"/>
      </w:rPr>
      <w:t>7019</w:t>
    </w:r>
    <w:r w:rsidR="002C56A1">
      <w:rPr>
        <w:sz w:val="18"/>
        <w:szCs w:val="18"/>
        <w:lang w:val="sk-SK"/>
      </w:rPr>
      <w:t>-Z1B</w:t>
    </w:r>
  </w:p>
  <w:p w14:paraId="7F820D3F" w14:textId="77777777" w:rsidR="00857080" w:rsidRDefault="0085708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7AC58" w14:textId="04D2BDE1" w:rsidR="009B3BC0" w:rsidRDefault="009B3BC0" w:rsidP="00722563">
    <w:pPr>
      <w:pStyle w:val="Hlavika"/>
      <w:rPr>
        <w:sz w:val="18"/>
        <w:szCs w:val="18"/>
        <w:lang w:val="sk-SK"/>
      </w:rPr>
    </w:pPr>
  </w:p>
  <w:p w14:paraId="0E7B722E" w14:textId="77777777" w:rsidR="008F7D17" w:rsidRPr="003924D3" w:rsidRDefault="008F7D17" w:rsidP="008F7D17">
    <w:pPr>
      <w:pStyle w:val="Hlavika"/>
      <w:rPr>
        <w:lang w:val="sk-SK"/>
      </w:rPr>
    </w:pPr>
    <w:r>
      <w:rPr>
        <w:sz w:val="18"/>
        <w:szCs w:val="18"/>
        <w:lang w:val="sk-SK"/>
      </w:rPr>
      <w:t>Príloha č. 1 k notifikácii o zmene, ev.č.: 2015/05190-Z1A</w:t>
    </w:r>
  </w:p>
  <w:p w14:paraId="30D809C1" w14:textId="241E0E7E" w:rsidR="008F7D17" w:rsidRDefault="008F7D17" w:rsidP="0072256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ev.č.: 2016/0</w:t>
    </w:r>
    <w:r w:rsidR="002A453E">
      <w:rPr>
        <w:sz w:val="18"/>
        <w:szCs w:val="18"/>
        <w:lang w:val="sk-SK"/>
      </w:rPr>
      <w:t>5065</w:t>
    </w:r>
    <w:r>
      <w:rPr>
        <w:sz w:val="18"/>
        <w:szCs w:val="18"/>
        <w:lang w:val="sk-SK"/>
      </w:rPr>
      <w:t>-Z1B</w:t>
    </w:r>
  </w:p>
  <w:p w14:paraId="4337DE56" w14:textId="0BA09EF1" w:rsidR="006B5A22" w:rsidRPr="00A64C06" w:rsidRDefault="006B5A22" w:rsidP="00722563">
    <w:pPr>
      <w:pStyle w:val="Hlavika"/>
      <w:rPr>
        <w:lang w:val="sk-SK"/>
      </w:rPr>
    </w:pPr>
    <w:r>
      <w:rPr>
        <w:sz w:val="18"/>
        <w:szCs w:val="18"/>
        <w:lang w:val="sk-SK"/>
      </w:rPr>
      <w:t>Príloha č.2 k notifikácii o zmene, ev.č.: 2018/0</w:t>
    </w:r>
    <w:r w:rsidR="00857080">
      <w:rPr>
        <w:sz w:val="18"/>
        <w:szCs w:val="18"/>
        <w:lang w:val="sk-SK"/>
      </w:rPr>
      <w:t>8107</w:t>
    </w:r>
    <w:r>
      <w:rPr>
        <w:sz w:val="18"/>
        <w:szCs w:val="18"/>
        <w:lang w:val="sk-SK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2B1256"/>
    <w:multiLevelType w:val="hybridMultilevel"/>
    <w:tmpl w:val="5F64FBC6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627A"/>
    <w:multiLevelType w:val="hybridMultilevel"/>
    <w:tmpl w:val="2CB69200"/>
    <w:lvl w:ilvl="0" w:tplc="E3B67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974"/>
    <w:rsid w:val="00005100"/>
    <w:rsid w:val="0001600A"/>
    <w:rsid w:val="000210C5"/>
    <w:rsid w:val="00052430"/>
    <w:rsid w:val="0006257F"/>
    <w:rsid w:val="00092491"/>
    <w:rsid w:val="000B654D"/>
    <w:rsid w:val="000B73B8"/>
    <w:rsid w:val="000D477A"/>
    <w:rsid w:val="000D5A72"/>
    <w:rsid w:val="000D70DB"/>
    <w:rsid w:val="000E58F2"/>
    <w:rsid w:val="000E6ED0"/>
    <w:rsid w:val="000E7E1A"/>
    <w:rsid w:val="000F0499"/>
    <w:rsid w:val="00100BF7"/>
    <w:rsid w:val="001019B0"/>
    <w:rsid w:val="0010684E"/>
    <w:rsid w:val="00110898"/>
    <w:rsid w:val="00112E53"/>
    <w:rsid w:val="0011571A"/>
    <w:rsid w:val="001476E5"/>
    <w:rsid w:val="00152148"/>
    <w:rsid w:val="00153528"/>
    <w:rsid w:val="00164F8E"/>
    <w:rsid w:val="0016703B"/>
    <w:rsid w:val="00167D50"/>
    <w:rsid w:val="0017070E"/>
    <w:rsid w:val="00175219"/>
    <w:rsid w:val="001770A0"/>
    <w:rsid w:val="00187124"/>
    <w:rsid w:val="001A2771"/>
    <w:rsid w:val="001A5831"/>
    <w:rsid w:val="001A6D0F"/>
    <w:rsid w:val="001B0D12"/>
    <w:rsid w:val="001B4326"/>
    <w:rsid w:val="001C0CDD"/>
    <w:rsid w:val="001D2B2D"/>
    <w:rsid w:val="001D3A40"/>
    <w:rsid w:val="001E4E6A"/>
    <w:rsid w:val="00214C15"/>
    <w:rsid w:val="002206BC"/>
    <w:rsid w:val="00223691"/>
    <w:rsid w:val="00230721"/>
    <w:rsid w:val="00233205"/>
    <w:rsid w:val="0023457D"/>
    <w:rsid w:val="002379F8"/>
    <w:rsid w:val="00255D18"/>
    <w:rsid w:val="00265F74"/>
    <w:rsid w:val="002755D8"/>
    <w:rsid w:val="00280220"/>
    <w:rsid w:val="002824C9"/>
    <w:rsid w:val="00291E91"/>
    <w:rsid w:val="00297491"/>
    <w:rsid w:val="002A2B3F"/>
    <w:rsid w:val="002A453E"/>
    <w:rsid w:val="002B5555"/>
    <w:rsid w:val="002C56A1"/>
    <w:rsid w:val="002C5807"/>
    <w:rsid w:val="002D47BC"/>
    <w:rsid w:val="002D5CF0"/>
    <w:rsid w:val="002D5D14"/>
    <w:rsid w:val="002E5309"/>
    <w:rsid w:val="002E653E"/>
    <w:rsid w:val="002E6AB7"/>
    <w:rsid w:val="002E79E8"/>
    <w:rsid w:val="002F1D88"/>
    <w:rsid w:val="00301875"/>
    <w:rsid w:val="003045BC"/>
    <w:rsid w:val="0031627A"/>
    <w:rsid w:val="00316E75"/>
    <w:rsid w:val="00327505"/>
    <w:rsid w:val="003306AC"/>
    <w:rsid w:val="0033179C"/>
    <w:rsid w:val="00353FB2"/>
    <w:rsid w:val="0035537A"/>
    <w:rsid w:val="00380434"/>
    <w:rsid w:val="003959BA"/>
    <w:rsid w:val="003A1066"/>
    <w:rsid w:val="003B5A05"/>
    <w:rsid w:val="003B7C9A"/>
    <w:rsid w:val="003C3666"/>
    <w:rsid w:val="003E00A0"/>
    <w:rsid w:val="003F3B4B"/>
    <w:rsid w:val="00405F84"/>
    <w:rsid w:val="004100A5"/>
    <w:rsid w:val="00416450"/>
    <w:rsid w:val="00452703"/>
    <w:rsid w:val="00462C50"/>
    <w:rsid w:val="00476461"/>
    <w:rsid w:val="00495D73"/>
    <w:rsid w:val="004979DE"/>
    <w:rsid w:val="004A528E"/>
    <w:rsid w:val="004A793B"/>
    <w:rsid w:val="004C0468"/>
    <w:rsid w:val="004C1B26"/>
    <w:rsid w:val="004C2555"/>
    <w:rsid w:val="004C36C2"/>
    <w:rsid w:val="004C4F3B"/>
    <w:rsid w:val="004D3013"/>
    <w:rsid w:val="004D5E23"/>
    <w:rsid w:val="004E236F"/>
    <w:rsid w:val="004E4D16"/>
    <w:rsid w:val="004F1AE8"/>
    <w:rsid w:val="004F749D"/>
    <w:rsid w:val="00505F30"/>
    <w:rsid w:val="0051379B"/>
    <w:rsid w:val="00514187"/>
    <w:rsid w:val="00522F3E"/>
    <w:rsid w:val="005263E3"/>
    <w:rsid w:val="00527CD6"/>
    <w:rsid w:val="00535E41"/>
    <w:rsid w:val="00554744"/>
    <w:rsid w:val="00554B83"/>
    <w:rsid w:val="00561470"/>
    <w:rsid w:val="00571D2A"/>
    <w:rsid w:val="00572414"/>
    <w:rsid w:val="00573F6D"/>
    <w:rsid w:val="00575551"/>
    <w:rsid w:val="0058701F"/>
    <w:rsid w:val="005947AD"/>
    <w:rsid w:val="005A1131"/>
    <w:rsid w:val="005A5F7E"/>
    <w:rsid w:val="005B69EB"/>
    <w:rsid w:val="005D7483"/>
    <w:rsid w:val="005E1EB6"/>
    <w:rsid w:val="005E2495"/>
    <w:rsid w:val="005F55AC"/>
    <w:rsid w:val="005F7B7B"/>
    <w:rsid w:val="0060209E"/>
    <w:rsid w:val="006049A6"/>
    <w:rsid w:val="006220F5"/>
    <w:rsid w:val="00630C37"/>
    <w:rsid w:val="00645AAC"/>
    <w:rsid w:val="00651996"/>
    <w:rsid w:val="00655C93"/>
    <w:rsid w:val="006617F6"/>
    <w:rsid w:val="00663AE2"/>
    <w:rsid w:val="00665220"/>
    <w:rsid w:val="006806DF"/>
    <w:rsid w:val="00690363"/>
    <w:rsid w:val="006B5A22"/>
    <w:rsid w:val="006B77CF"/>
    <w:rsid w:val="006E3B66"/>
    <w:rsid w:val="006F0102"/>
    <w:rsid w:val="0070134D"/>
    <w:rsid w:val="007021C4"/>
    <w:rsid w:val="00702FE1"/>
    <w:rsid w:val="00712631"/>
    <w:rsid w:val="00713859"/>
    <w:rsid w:val="007165B2"/>
    <w:rsid w:val="00722563"/>
    <w:rsid w:val="00723351"/>
    <w:rsid w:val="007309B4"/>
    <w:rsid w:val="007407B0"/>
    <w:rsid w:val="007578D5"/>
    <w:rsid w:val="00772D92"/>
    <w:rsid w:val="007736B8"/>
    <w:rsid w:val="00774639"/>
    <w:rsid w:val="00787964"/>
    <w:rsid w:val="0079771F"/>
    <w:rsid w:val="007A3046"/>
    <w:rsid w:val="007A323E"/>
    <w:rsid w:val="007B7808"/>
    <w:rsid w:val="007C1B70"/>
    <w:rsid w:val="007F4C6B"/>
    <w:rsid w:val="008002C9"/>
    <w:rsid w:val="00802BA3"/>
    <w:rsid w:val="00807AEA"/>
    <w:rsid w:val="0082454C"/>
    <w:rsid w:val="00826A95"/>
    <w:rsid w:val="00835A10"/>
    <w:rsid w:val="008378DF"/>
    <w:rsid w:val="0084715A"/>
    <w:rsid w:val="00850211"/>
    <w:rsid w:val="00852C0C"/>
    <w:rsid w:val="00854BB1"/>
    <w:rsid w:val="00857080"/>
    <w:rsid w:val="00857627"/>
    <w:rsid w:val="00875350"/>
    <w:rsid w:val="008806D8"/>
    <w:rsid w:val="0088767F"/>
    <w:rsid w:val="008976C4"/>
    <w:rsid w:val="008A093E"/>
    <w:rsid w:val="008A4955"/>
    <w:rsid w:val="008C0ECB"/>
    <w:rsid w:val="008C1025"/>
    <w:rsid w:val="008C248B"/>
    <w:rsid w:val="008D7E63"/>
    <w:rsid w:val="008E0452"/>
    <w:rsid w:val="008E11ED"/>
    <w:rsid w:val="008E2BFC"/>
    <w:rsid w:val="008F0169"/>
    <w:rsid w:val="008F4B3A"/>
    <w:rsid w:val="008F5FF8"/>
    <w:rsid w:val="008F7D17"/>
    <w:rsid w:val="00900F22"/>
    <w:rsid w:val="00904B4B"/>
    <w:rsid w:val="009143F0"/>
    <w:rsid w:val="00923B80"/>
    <w:rsid w:val="00923DC9"/>
    <w:rsid w:val="009253F8"/>
    <w:rsid w:val="00925639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9198E"/>
    <w:rsid w:val="009A0B1C"/>
    <w:rsid w:val="009A2108"/>
    <w:rsid w:val="009A785B"/>
    <w:rsid w:val="009B20B9"/>
    <w:rsid w:val="009B3BC0"/>
    <w:rsid w:val="009B3BED"/>
    <w:rsid w:val="009B4AEB"/>
    <w:rsid w:val="009B7942"/>
    <w:rsid w:val="009B7DA0"/>
    <w:rsid w:val="009C4842"/>
    <w:rsid w:val="009C5628"/>
    <w:rsid w:val="009C608E"/>
    <w:rsid w:val="009D13F0"/>
    <w:rsid w:val="009D144C"/>
    <w:rsid w:val="009E1354"/>
    <w:rsid w:val="009E6EC8"/>
    <w:rsid w:val="009F64A1"/>
    <w:rsid w:val="009F763A"/>
    <w:rsid w:val="00A022FD"/>
    <w:rsid w:val="00A167FC"/>
    <w:rsid w:val="00A26C57"/>
    <w:rsid w:val="00A32907"/>
    <w:rsid w:val="00A42364"/>
    <w:rsid w:val="00A43030"/>
    <w:rsid w:val="00A45F10"/>
    <w:rsid w:val="00A5220F"/>
    <w:rsid w:val="00A56CF5"/>
    <w:rsid w:val="00A64C06"/>
    <w:rsid w:val="00A65E68"/>
    <w:rsid w:val="00A7023B"/>
    <w:rsid w:val="00A75647"/>
    <w:rsid w:val="00A764F3"/>
    <w:rsid w:val="00A855D7"/>
    <w:rsid w:val="00A911A8"/>
    <w:rsid w:val="00A96BD6"/>
    <w:rsid w:val="00A97DFF"/>
    <w:rsid w:val="00AA07B8"/>
    <w:rsid w:val="00AA5619"/>
    <w:rsid w:val="00AA64A9"/>
    <w:rsid w:val="00AB00F1"/>
    <w:rsid w:val="00AB3B35"/>
    <w:rsid w:val="00AB5340"/>
    <w:rsid w:val="00AD2CD8"/>
    <w:rsid w:val="00AD70F9"/>
    <w:rsid w:val="00AE4105"/>
    <w:rsid w:val="00AF01A7"/>
    <w:rsid w:val="00AF19DE"/>
    <w:rsid w:val="00B00820"/>
    <w:rsid w:val="00B11DA7"/>
    <w:rsid w:val="00B2377E"/>
    <w:rsid w:val="00B25ECF"/>
    <w:rsid w:val="00B52965"/>
    <w:rsid w:val="00B529C1"/>
    <w:rsid w:val="00B5518E"/>
    <w:rsid w:val="00B61485"/>
    <w:rsid w:val="00B63222"/>
    <w:rsid w:val="00B6606E"/>
    <w:rsid w:val="00B77B01"/>
    <w:rsid w:val="00BA1333"/>
    <w:rsid w:val="00BA3ACC"/>
    <w:rsid w:val="00BA7633"/>
    <w:rsid w:val="00BB250B"/>
    <w:rsid w:val="00BB2AE1"/>
    <w:rsid w:val="00BC0CDC"/>
    <w:rsid w:val="00BC4F82"/>
    <w:rsid w:val="00BD7691"/>
    <w:rsid w:val="00BE1974"/>
    <w:rsid w:val="00BF0A76"/>
    <w:rsid w:val="00BF4F52"/>
    <w:rsid w:val="00C07EA0"/>
    <w:rsid w:val="00C1472A"/>
    <w:rsid w:val="00C22414"/>
    <w:rsid w:val="00C454C5"/>
    <w:rsid w:val="00C5054A"/>
    <w:rsid w:val="00C52FA8"/>
    <w:rsid w:val="00C57255"/>
    <w:rsid w:val="00C63E57"/>
    <w:rsid w:val="00C66F56"/>
    <w:rsid w:val="00C70A80"/>
    <w:rsid w:val="00C70B60"/>
    <w:rsid w:val="00C734A7"/>
    <w:rsid w:val="00C80631"/>
    <w:rsid w:val="00C83B9A"/>
    <w:rsid w:val="00C84988"/>
    <w:rsid w:val="00C870A9"/>
    <w:rsid w:val="00C91E0F"/>
    <w:rsid w:val="00C94B90"/>
    <w:rsid w:val="00C97AD0"/>
    <w:rsid w:val="00CA379B"/>
    <w:rsid w:val="00CB010F"/>
    <w:rsid w:val="00CB2E57"/>
    <w:rsid w:val="00CC0118"/>
    <w:rsid w:val="00CC4F88"/>
    <w:rsid w:val="00D06C95"/>
    <w:rsid w:val="00D26AE7"/>
    <w:rsid w:val="00D426EF"/>
    <w:rsid w:val="00D46B29"/>
    <w:rsid w:val="00D56AE0"/>
    <w:rsid w:val="00D63276"/>
    <w:rsid w:val="00D639C4"/>
    <w:rsid w:val="00D73FA3"/>
    <w:rsid w:val="00D7517A"/>
    <w:rsid w:val="00D766E2"/>
    <w:rsid w:val="00D826E8"/>
    <w:rsid w:val="00D97F25"/>
    <w:rsid w:val="00DA4D29"/>
    <w:rsid w:val="00DD2A5B"/>
    <w:rsid w:val="00DE3937"/>
    <w:rsid w:val="00DE4295"/>
    <w:rsid w:val="00DE6E39"/>
    <w:rsid w:val="00DF0247"/>
    <w:rsid w:val="00DF1C84"/>
    <w:rsid w:val="00DF2DC6"/>
    <w:rsid w:val="00E03E7D"/>
    <w:rsid w:val="00E122C6"/>
    <w:rsid w:val="00E14192"/>
    <w:rsid w:val="00E15D0A"/>
    <w:rsid w:val="00E20083"/>
    <w:rsid w:val="00E45162"/>
    <w:rsid w:val="00E45E07"/>
    <w:rsid w:val="00E473DB"/>
    <w:rsid w:val="00E638BE"/>
    <w:rsid w:val="00E67674"/>
    <w:rsid w:val="00E7506D"/>
    <w:rsid w:val="00E7565C"/>
    <w:rsid w:val="00E8690B"/>
    <w:rsid w:val="00E9536E"/>
    <w:rsid w:val="00E97CEB"/>
    <w:rsid w:val="00EB770B"/>
    <w:rsid w:val="00EC29B4"/>
    <w:rsid w:val="00ED5149"/>
    <w:rsid w:val="00ED6AFD"/>
    <w:rsid w:val="00EE0F81"/>
    <w:rsid w:val="00EF3957"/>
    <w:rsid w:val="00F03EE4"/>
    <w:rsid w:val="00F0772C"/>
    <w:rsid w:val="00F078BC"/>
    <w:rsid w:val="00F14663"/>
    <w:rsid w:val="00F16427"/>
    <w:rsid w:val="00F27016"/>
    <w:rsid w:val="00F36A07"/>
    <w:rsid w:val="00F413D2"/>
    <w:rsid w:val="00F46575"/>
    <w:rsid w:val="00F67F0D"/>
    <w:rsid w:val="00F70D50"/>
    <w:rsid w:val="00F8166E"/>
    <w:rsid w:val="00F833C5"/>
    <w:rsid w:val="00F84528"/>
    <w:rsid w:val="00F93C32"/>
    <w:rsid w:val="00FB1897"/>
    <w:rsid w:val="00FE5F9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0A1FE5"/>
  <w15:docId w15:val="{B2F454BF-2028-4461-9976-A21B33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43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80434"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380434"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380434"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locked/>
    <w:rsid w:val="00380434"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paragraph" w:styleId="Odsekzoznamu">
    <w:name w:val="List Paragraph"/>
    <w:basedOn w:val="Normlny"/>
    <w:uiPriority w:val="72"/>
    <w:rsid w:val="00904B4B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8F7D17"/>
    <w:rPr>
      <w:sz w:val="24"/>
      <w:szCs w:val="24"/>
    </w:rPr>
  </w:style>
  <w:style w:type="paragraph" w:customStyle="1" w:styleId="Default">
    <w:name w:val="Default"/>
    <w:rsid w:val="0088767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5468</Words>
  <Characters>31173</Characters>
  <Application>Microsoft Office Word</Application>
  <DocSecurity>0</DocSecurity>
  <Lines>259</Lines>
  <Paragraphs>73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hameln rds</vt:lpstr>
      <vt:lpstr>hameln rds</vt:lpstr>
      <vt:lpstr>hameln rds</vt:lpstr>
    </vt:vector>
  </TitlesOfParts>
  <Company>hameln gmbh</Company>
  <LinksUpToDate>false</LinksUpToDate>
  <CharactersWithSpaces>36568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subject/>
  <dc:creator>hameln rds</dc:creator>
  <cp:keywords/>
  <dc:description/>
  <cp:lastModifiedBy>Kuziaková, Marianna</cp:lastModifiedBy>
  <cp:revision>3</cp:revision>
  <cp:lastPrinted>2011-01-18T14:43:00Z</cp:lastPrinted>
  <dcterms:created xsi:type="dcterms:W3CDTF">2020-01-30T11:52:00Z</dcterms:created>
  <dcterms:modified xsi:type="dcterms:W3CDTF">2020-01-30T11:52:00Z</dcterms:modified>
</cp:coreProperties>
</file>