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C41" w:rsidRPr="00BA26DB" w:rsidRDefault="00C91C41">
      <w:pPr>
        <w:rPr>
          <w:rFonts w:ascii="Times New Roman" w:hAnsi="Times New Roman"/>
          <w:sz w:val="22"/>
          <w:szCs w:val="22"/>
        </w:rPr>
      </w:pPr>
    </w:p>
    <w:p w:rsidR="000D6F3D" w:rsidRPr="00A12068" w:rsidRDefault="000D6F3D">
      <w:pPr>
        <w:pStyle w:val="Nadpis1"/>
        <w:widowControl w:val="0"/>
        <w:jc w:val="center"/>
        <w:rPr>
          <w:bCs w:val="0"/>
          <w:lang w:val="sk-SK"/>
        </w:rPr>
      </w:pPr>
      <w:r w:rsidRPr="00A12068">
        <w:rPr>
          <w:bCs w:val="0"/>
          <w:lang w:val="sk-SK"/>
        </w:rPr>
        <w:t>SÚHRN CHARAKTERISTICKÝCH VLASTNOSTÍ LIEKU</w:t>
      </w:r>
    </w:p>
    <w:p w:rsidR="000D6F3D" w:rsidRPr="00A12068" w:rsidRDefault="000D6F3D" w:rsidP="00E12DE9">
      <w:pPr>
        <w:widowControl w:val="0"/>
        <w:rPr>
          <w:rFonts w:ascii="Times New Roman" w:hAnsi="Times New Roman"/>
          <w:b/>
          <w:sz w:val="22"/>
          <w:szCs w:val="22"/>
        </w:rPr>
      </w:pPr>
    </w:p>
    <w:p w:rsidR="000D6F3D" w:rsidRPr="00A12068" w:rsidRDefault="000D6F3D" w:rsidP="00E12DE9">
      <w:pPr>
        <w:widowControl w:val="0"/>
        <w:rPr>
          <w:rFonts w:ascii="Times New Roman" w:hAnsi="Times New Roman"/>
          <w:b/>
          <w:sz w:val="22"/>
          <w:szCs w:val="22"/>
        </w:rPr>
      </w:pPr>
    </w:p>
    <w:p w:rsidR="000D6F3D" w:rsidRPr="00A12068" w:rsidRDefault="000D6F3D" w:rsidP="00E12DE9">
      <w:pPr>
        <w:widowControl w:val="0"/>
        <w:rPr>
          <w:rFonts w:ascii="Times New Roman" w:hAnsi="Times New Roman"/>
          <w:b/>
          <w:sz w:val="22"/>
          <w:szCs w:val="22"/>
        </w:rPr>
      </w:pPr>
      <w:r w:rsidRPr="00A12068">
        <w:rPr>
          <w:rFonts w:ascii="Times New Roman" w:hAnsi="Times New Roman"/>
          <w:b/>
          <w:sz w:val="22"/>
          <w:szCs w:val="22"/>
        </w:rPr>
        <w:t>1.</w:t>
      </w:r>
      <w:r w:rsidRPr="00A12068">
        <w:rPr>
          <w:rFonts w:ascii="Times New Roman" w:hAnsi="Times New Roman"/>
          <w:b/>
          <w:sz w:val="22"/>
          <w:szCs w:val="22"/>
        </w:rPr>
        <w:tab/>
      </w:r>
      <w:r w:rsidRPr="00A12068">
        <w:rPr>
          <w:rFonts w:ascii="Times New Roman" w:hAnsi="Times New Roman"/>
          <w:b/>
          <w:caps/>
          <w:sz w:val="22"/>
          <w:szCs w:val="22"/>
        </w:rPr>
        <w:t>Názov lieku</w:t>
      </w:r>
    </w:p>
    <w:p w:rsidR="000D6F3D" w:rsidRPr="00D67A45" w:rsidRDefault="000D6F3D" w:rsidP="00E12DE9">
      <w:pPr>
        <w:pStyle w:val="SPCNormal"/>
        <w:rPr>
          <w:szCs w:val="22"/>
        </w:rPr>
      </w:pPr>
    </w:p>
    <w:p w:rsidR="000D6F3D" w:rsidRPr="00A12068" w:rsidRDefault="000D6F3D" w:rsidP="00E12DE9">
      <w:pPr>
        <w:pStyle w:val="SPCNormal"/>
        <w:rPr>
          <w:szCs w:val="22"/>
          <w:highlight w:val="lightGray"/>
        </w:rPr>
      </w:pPr>
      <w:r w:rsidRPr="00A12068">
        <w:rPr>
          <w:szCs w:val="22"/>
        </w:rPr>
        <w:t>Lunaldin 100 mikrogramov sublingválne tablety</w:t>
      </w:r>
    </w:p>
    <w:p w:rsidR="000D6F3D" w:rsidRPr="00A12068" w:rsidRDefault="000D6F3D" w:rsidP="00E12DE9">
      <w:pPr>
        <w:pStyle w:val="SPCNormal"/>
        <w:rPr>
          <w:szCs w:val="22"/>
          <w:highlight w:val="lightGray"/>
        </w:rPr>
      </w:pPr>
      <w:r w:rsidRPr="00A12068">
        <w:rPr>
          <w:szCs w:val="22"/>
          <w:highlight w:val="lightGray"/>
        </w:rPr>
        <w:t>Lunaldin 200 mikrogramov sublingválne tablety</w:t>
      </w:r>
    </w:p>
    <w:p w:rsidR="000D6F3D" w:rsidRPr="00A12068" w:rsidRDefault="000D6F3D" w:rsidP="00E12DE9">
      <w:pPr>
        <w:pStyle w:val="SPCNormal"/>
        <w:rPr>
          <w:szCs w:val="22"/>
          <w:highlight w:val="lightGray"/>
        </w:rPr>
      </w:pPr>
      <w:r w:rsidRPr="00A12068">
        <w:rPr>
          <w:szCs w:val="22"/>
          <w:highlight w:val="lightGray"/>
        </w:rPr>
        <w:t>Lunaldin 300 mikrogramov sublingválne tablety</w:t>
      </w:r>
    </w:p>
    <w:p w:rsidR="000D6F3D" w:rsidRPr="00A12068" w:rsidRDefault="000D6F3D" w:rsidP="00E12DE9">
      <w:pPr>
        <w:pStyle w:val="SPCNormal"/>
        <w:rPr>
          <w:szCs w:val="22"/>
          <w:highlight w:val="lightGray"/>
        </w:rPr>
      </w:pPr>
      <w:r w:rsidRPr="00A12068">
        <w:rPr>
          <w:szCs w:val="22"/>
          <w:highlight w:val="lightGray"/>
        </w:rPr>
        <w:t>Lunaldin 400 mikrogramov sublingválne tablety</w:t>
      </w:r>
    </w:p>
    <w:p w:rsidR="000D6F3D" w:rsidRPr="00A12068" w:rsidRDefault="000D6F3D" w:rsidP="00E12DE9">
      <w:pPr>
        <w:pStyle w:val="SPCNormal"/>
        <w:rPr>
          <w:szCs w:val="22"/>
          <w:highlight w:val="lightGray"/>
        </w:rPr>
      </w:pPr>
      <w:r w:rsidRPr="00A12068">
        <w:rPr>
          <w:szCs w:val="22"/>
          <w:highlight w:val="lightGray"/>
        </w:rPr>
        <w:t>Lunaldin 600 mikrogramov sublingválne tablety</w:t>
      </w:r>
    </w:p>
    <w:p w:rsidR="000D6F3D" w:rsidRPr="00A12068" w:rsidRDefault="000D6F3D" w:rsidP="00E12DE9">
      <w:pPr>
        <w:pStyle w:val="SPCNormal"/>
        <w:rPr>
          <w:szCs w:val="22"/>
        </w:rPr>
      </w:pPr>
      <w:r w:rsidRPr="00A12068">
        <w:rPr>
          <w:szCs w:val="22"/>
          <w:highlight w:val="lightGray"/>
        </w:rPr>
        <w:t>Lunaldin 800 mikrogramov sublingválne tablety</w:t>
      </w: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1"/>
        <w:spacing w:before="0"/>
        <w:rPr>
          <w:szCs w:val="22"/>
        </w:rPr>
      </w:pPr>
      <w:r w:rsidRPr="00A12068">
        <w:rPr>
          <w:szCs w:val="22"/>
        </w:rPr>
        <w:t>2.</w:t>
      </w:r>
      <w:r w:rsidRPr="00A12068">
        <w:rPr>
          <w:szCs w:val="22"/>
        </w:rPr>
        <w:tab/>
        <w:t>kvalitatívne a kvantitatívne zloženie</w:t>
      </w:r>
    </w:p>
    <w:p w:rsidR="000D6F3D" w:rsidRPr="00A12068" w:rsidRDefault="000D6F3D" w:rsidP="00E12DE9">
      <w:pPr>
        <w:pStyle w:val="SPCNormal"/>
        <w:rPr>
          <w:szCs w:val="22"/>
        </w:rPr>
      </w:pPr>
    </w:p>
    <w:p w:rsidR="00814737" w:rsidRPr="00A12068" w:rsidRDefault="00E6456B" w:rsidP="00E12DE9">
      <w:pPr>
        <w:pStyle w:val="SPCNormal"/>
        <w:rPr>
          <w:szCs w:val="22"/>
        </w:rPr>
      </w:pPr>
      <w:r w:rsidRPr="00A12068">
        <w:rPr>
          <w:szCs w:val="22"/>
        </w:rPr>
        <w:t xml:space="preserve">Jedna </w:t>
      </w:r>
      <w:r w:rsidR="000D6F3D" w:rsidRPr="00A12068">
        <w:rPr>
          <w:szCs w:val="22"/>
        </w:rPr>
        <w:t>sublingválna tableta obsahuje</w:t>
      </w:r>
      <w:r w:rsidR="00814737" w:rsidRPr="00A12068">
        <w:rPr>
          <w:szCs w:val="22"/>
        </w:rPr>
        <w:t>:</w:t>
      </w:r>
    </w:p>
    <w:p w:rsidR="000D6F3D" w:rsidRPr="00A12068" w:rsidRDefault="000D6F3D" w:rsidP="00E12DE9">
      <w:pPr>
        <w:pStyle w:val="SPCNormal"/>
        <w:rPr>
          <w:szCs w:val="22"/>
          <w:highlight w:val="lightGray"/>
        </w:rPr>
      </w:pPr>
      <w:r w:rsidRPr="00A12068">
        <w:rPr>
          <w:szCs w:val="22"/>
        </w:rPr>
        <w:t>100 mikrogramov fentanylu (vo forme citrátu)</w:t>
      </w:r>
    </w:p>
    <w:p w:rsidR="000D6F3D" w:rsidRPr="00A12068" w:rsidRDefault="000D6F3D" w:rsidP="00E12DE9">
      <w:pPr>
        <w:pStyle w:val="SPCNormal"/>
        <w:rPr>
          <w:szCs w:val="22"/>
          <w:highlight w:val="lightGray"/>
        </w:rPr>
      </w:pPr>
      <w:r w:rsidRPr="00A12068">
        <w:rPr>
          <w:szCs w:val="22"/>
          <w:highlight w:val="lightGray"/>
        </w:rPr>
        <w:t>200 mikrogramov fentanylu (vo forme citrátu)</w:t>
      </w:r>
    </w:p>
    <w:p w:rsidR="000D6F3D" w:rsidRPr="00A12068" w:rsidRDefault="000D6F3D" w:rsidP="00E12DE9">
      <w:pPr>
        <w:pStyle w:val="SPCNormal"/>
        <w:rPr>
          <w:szCs w:val="22"/>
          <w:highlight w:val="lightGray"/>
        </w:rPr>
      </w:pPr>
      <w:r w:rsidRPr="00A12068">
        <w:rPr>
          <w:szCs w:val="22"/>
          <w:highlight w:val="lightGray"/>
        </w:rPr>
        <w:t>300 mikrogramov fentanylu (vo forme citrátu)</w:t>
      </w:r>
    </w:p>
    <w:p w:rsidR="000D6F3D" w:rsidRPr="00A12068" w:rsidRDefault="000D6F3D" w:rsidP="00E12DE9">
      <w:pPr>
        <w:pStyle w:val="SPCNormal"/>
        <w:rPr>
          <w:szCs w:val="22"/>
          <w:highlight w:val="lightGray"/>
        </w:rPr>
      </w:pPr>
      <w:r w:rsidRPr="00A12068">
        <w:rPr>
          <w:szCs w:val="22"/>
          <w:highlight w:val="lightGray"/>
        </w:rPr>
        <w:t>400 mikrogramov fentanylu (vo forme citrátu)</w:t>
      </w:r>
    </w:p>
    <w:p w:rsidR="000D6F3D" w:rsidRPr="00A12068" w:rsidRDefault="000D6F3D" w:rsidP="00E12DE9">
      <w:pPr>
        <w:pStyle w:val="SPCNormal"/>
        <w:rPr>
          <w:szCs w:val="22"/>
          <w:highlight w:val="lightGray"/>
        </w:rPr>
      </w:pPr>
      <w:r w:rsidRPr="00A12068">
        <w:rPr>
          <w:szCs w:val="22"/>
          <w:highlight w:val="lightGray"/>
        </w:rPr>
        <w:t>600 mikrogramov fentanylu (vo forme citrátu)</w:t>
      </w:r>
    </w:p>
    <w:p w:rsidR="000D6F3D" w:rsidRPr="00A12068" w:rsidRDefault="000D6F3D" w:rsidP="00E12DE9">
      <w:pPr>
        <w:pStyle w:val="SPCNormal"/>
        <w:rPr>
          <w:szCs w:val="22"/>
        </w:rPr>
      </w:pPr>
      <w:r w:rsidRPr="00A12068">
        <w:rPr>
          <w:szCs w:val="22"/>
          <w:highlight w:val="lightGray"/>
        </w:rPr>
        <w:t>800 mikrogramov fentanylu (vo forme citrátu)</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Úplný zoznam pomocných látok, pozri časť 6.1.</w:t>
      </w: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1"/>
        <w:spacing w:before="0"/>
        <w:rPr>
          <w:szCs w:val="22"/>
        </w:rPr>
      </w:pPr>
      <w:r w:rsidRPr="00A12068">
        <w:rPr>
          <w:szCs w:val="22"/>
        </w:rPr>
        <w:t>3.</w:t>
      </w:r>
      <w:r w:rsidRPr="00A12068">
        <w:rPr>
          <w:szCs w:val="22"/>
        </w:rPr>
        <w:tab/>
        <w:t>Lieková forma</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Sublingválna tableta.</w:t>
      </w:r>
    </w:p>
    <w:p w:rsidR="000D6F3D" w:rsidRPr="00A12068" w:rsidRDefault="000D6F3D" w:rsidP="00E12DE9">
      <w:pPr>
        <w:pStyle w:val="SPCNormal"/>
        <w:rPr>
          <w:szCs w:val="22"/>
        </w:rPr>
      </w:pPr>
    </w:p>
    <w:p w:rsidR="000D6F3D" w:rsidRPr="00A12068" w:rsidRDefault="000D6F3D" w:rsidP="00E12DE9">
      <w:pPr>
        <w:pStyle w:val="SPCNormal"/>
        <w:rPr>
          <w:szCs w:val="22"/>
          <w:highlight w:val="lightGray"/>
        </w:rPr>
      </w:pPr>
      <w:r w:rsidRPr="00A12068">
        <w:rPr>
          <w:szCs w:val="22"/>
        </w:rPr>
        <w:t>100 mikrogramová sublingválna tableta je biela okrúhla</w:t>
      </w:r>
      <w:r w:rsidR="00147837" w:rsidRPr="00A12068">
        <w:rPr>
          <w:szCs w:val="22"/>
        </w:rPr>
        <w:t xml:space="preserve"> tableta</w:t>
      </w:r>
    </w:p>
    <w:p w:rsidR="000D6F3D" w:rsidRPr="00A12068" w:rsidRDefault="000D6F3D" w:rsidP="00E12DE9">
      <w:pPr>
        <w:pStyle w:val="SPCNormal"/>
        <w:rPr>
          <w:szCs w:val="22"/>
          <w:highlight w:val="lightGray"/>
        </w:rPr>
      </w:pPr>
      <w:r w:rsidRPr="00A12068">
        <w:rPr>
          <w:szCs w:val="22"/>
          <w:highlight w:val="lightGray"/>
        </w:rPr>
        <w:t>200 mikrogramová sublingválna tableta je biela oválna</w:t>
      </w:r>
      <w:r w:rsidR="00147837" w:rsidRPr="00A12068">
        <w:rPr>
          <w:szCs w:val="22"/>
          <w:highlight w:val="lightGray"/>
        </w:rPr>
        <w:t xml:space="preserve"> tableta</w:t>
      </w:r>
    </w:p>
    <w:p w:rsidR="000D6F3D" w:rsidRPr="00A12068" w:rsidRDefault="000D6F3D" w:rsidP="00E12DE9">
      <w:pPr>
        <w:pStyle w:val="SPCNormal"/>
        <w:rPr>
          <w:szCs w:val="22"/>
          <w:highlight w:val="lightGray"/>
        </w:rPr>
      </w:pPr>
      <w:r w:rsidRPr="00A12068">
        <w:rPr>
          <w:szCs w:val="22"/>
          <w:highlight w:val="lightGray"/>
        </w:rPr>
        <w:t xml:space="preserve">300 mikrogramová sublingválna tableta je biela </w:t>
      </w:r>
      <w:r w:rsidR="00147837" w:rsidRPr="00A12068">
        <w:rPr>
          <w:szCs w:val="22"/>
          <w:highlight w:val="lightGray"/>
        </w:rPr>
        <w:t xml:space="preserve">tableta </w:t>
      </w:r>
      <w:r w:rsidRPr="00A12068">
        <w:rPr>
          <w:szCs w:val="22"/>
          <w:highlight w:val="lightGray"/>
        </w:rPr>
        <w:t>v tvare trojuholníka</w:t>
      </w:r>
    </w:p>
    <w:p w:rsidR="000D6F3D" w:rsidRPr="00A12068" w:rsidRDefault="000D6F3D" w:rsidP="00E12DE9">
      <w:pPr>
        <w:pStyle w:val="SPCNormal"/>
        <w:rPr>
          <w:szCs w:val="22"/>
          <w:highlight w:val="lightGray"/>
        </w:rPr>
      </w:pPr>
      <w:r w:rsidRPr="00A12068">
        <w:rPr>
          <w:szCs w:val="22"/>
          <w:highlight w:val="lightGray"/>
        </w:rPr>
        <w:t xml:space="preserve">400 mikrogramová sublingválna tableta je biela </w:t>
      </w:r>
      <w:r w:rsidR="00147837" w:rsidRPr="00A12068">
        <w:rPr>
          <w:szCs w:val="22"/>
          <w:highlight w:val="lightGray"/>
        </w:rPr>
        <w:t xml:space="preserve">tableta </w:t>
      </w:r>
      <w:r w:rsidRPr="00A12068">
        <w:rPr>
          <w:szCs w:val="22"/>
          <w:highlight w:val="lightGray"/>
        </w:rPr>
        <w:t>v tvare diamantu</w:t>
      </w:r>
    </w:p>
    <w:p w:rsidR="000D6F3D" w:rsidRPr="00A12068" w:rsidRDefault="000D6F3D" w:rsidP="00E12DE9">
      <w:pPr>
        <w:pStyle w:val="SPCNormal"/>
        <w:rPr>
          <w:szCs w:val="22"/>
          <w:highlight w:val="lightGray"/>
        </w:rPr>
      </w:pPr>
      <w:r w:rsidRPr="00A12068">
        <w:rPr>
          <w:szCs w:val="22"/>
          <w:highlight w:val="lightGray"/>
        </w:rPr>
        <w:t xml:space="preserve">600 mikrogramová sublingválna tableta je biela </w:t>
      </w:r>
      <w:r w:rsidR="00147837" w:rsidRPr="00A12068">
        <w:rPr>
          <w:szCs w:val="22"/>
          <w:highlight w:val="lightGray"/>
        </w:rPr>
        <w:t xml:space="preserve">tableta </w:t>
      </w:r>
      <w:r w:rsidRPr="00A12068">
        <w:rPr>
          <w:szCs w:val="22"/>
          <w:highlight w:val="lightGray"/>
        </w:rPr>
        <w:t>v tvare „D“</w:t>
      </w:r>
    </w:p>
    <w:p w:rsidR="000D6F3D" w:rsidRPr="00A12068" w:rsidRDefault="000D6F3D" w:rsidP="00E12DE9">
      <w:pPr>
        <w:pStyle w:val="SPCNormal"/>
        <w:rPr>
          <w:szCs w:val="22"/>
        </w:rPr>
      </w:pPr>
      <w:r w:rsidRPr="00A12068">
        <w:rPr>
          <w:szCs w:val="22"/>
          <w:highlight w:val="lightGray"/>
        </w:rPr>
        <w:t xml:space="preserve">800 mikrogramová sublingválna tableta je biela </w:t>
      </w:r>
      <w:r w:rsidR="00147837" w:rsidRPr="00A12068">
        <w:rPr>
          <w:szCs w:val="22"/>
          <w:highlight w:val="lightGray"/>
        </w:rPr>
        <w:t xml:space="preserve">tableta </w:t>
      </w:r>
      <w:r w:rsidRPr="00A12068">
        <w:rPr>
          <w:szCs w:val="22"/>
          <w:highlight w:val="lightGray"/>
        </w:rPr>
        <w:t>v tvare kapsule</w:t>
      </w: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1"/>
        <w:spacing w:before="0"/>
        <w:rPr>
          <w:szCs w:val="22"/>
        </w:rPr>
      </w:pPr>
      <w:r w:rsidRPr="00A12068">
        <w:rPr>
          <w:szCs w:val="22"/>
        </w:rPr>
        <w:t>4.</w:t>
      </w:r>
      <w:r w:rsidRPr="00A12068">
        <w:rPr>
          <w:szCs w:val="22"/>
        </w:rPr>
        <w:tab/>
        <w:t>klinickÉ ÚDAJE</w:t>
      </w:r>
    </w:p>
    <w:p w:rsidR="000D6F3D" w:rsidRPr="00A12068" w:rsidRDefault="000D6F3D" w:rsidP="00E12DE9">
      <w:pPr>
        <w:pStyle w:val="SPCNormal"/>
        <w:rPr>
          <w:szCs w:val="22"/>
        </w:rPr>
      </w:pPr>
    </w:p>
    <w:p w:rsidR="000D6F3D" w:rsidRPr="00A12068" w:rsidRDefault="000D6F3D" w:rsidP="00E12DE9">
      <w:pPr>
        <w:pStyle w:val="SPC2"/>
        <w:rPr>
          <w:szCs w:val="22"/>
        </w:rPr>
      </w:pPr>
      <w:r w:rsidRPr="00A12068">
        <w:rPr>
          <w:szCs w:val="22"/>
        </w:rPr>
        <w:t>4.1</w:t>
      </w:r>
      <w:r w:rsidRPr="00A12068">
        <w:rPr>
          <w:szCs w:val="22"/>
        </w:rPr>
        <w:tab/>
        <w:t>Terapeutické indikácie</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Kontrola </w:t>
      </w:r>
      <w:r w:rsidR="005E21F0" w:rsidRPr="00A12068">
        <w:rPr>
          <w:szCs w:val="22"/>
        </w:rPr>
        <w:t xml:space="preserve">prelomovej </w:t>
      </w:r>
      <w:r w:rsidRPr="00A12068">
        <w:rPr>
          <w:szCs w:val="22"/>
        </w:rPr>
        <w:t>bolesti u dospelých pacientov používajúcich opiáty na potlačenie chronick</w:t>
      </w:r>
      <w:r w:rsidR="00740BBA" w:rsidRPr="00A12068">
        <w:rPr>
          <w:szCs w:val="22"/>
        </w:rPr>
        <w:t>ej</w:t>
      </w:r>
      <w:r w:rsidRPr="00A12068">
        <w:rPr>
          <w:szCs w:val="22"/>
        </w:rPr>
        <w:t xml:space="preserve"> </w:t>
      </w:r>
      <w:r w:rsidR="00740BBA" w:rsidRPr="00A12068">
        <w:rPr>
          <w:szCs w:val="22"/>
        </w:rPr>
        <w:t xml:space="preserve">nádorovej </w:t>
      </w:r>
      <w:r w:rsidRPr="00A12068">
        <w:rPr>
          <w:szCs w:val="22"/>
        </w:rPr>
        <w:t>bolest</w:t>
      </w:r>
      <w:r w:rsidR="00740BBA" w:rsidRPr="00A12068">
        <w:rPr>
          <w:szCs w:val="22"/>
        </w:rPr>
        <w:t>i</w:t>
      </w:r>
      <w:r w:rsidRPr="00A12068">
        <w:rPr>
          <w:szCs w:val="22"/>
        </w:rPr>
        <w:t xml:space="preserve">. </w:t>
      </w:r>
      <w:r w:rsidR="005E21F0" w:rsidRPr="00A12068">
        <w:rPr>
          <w:szCs w:val="22"/>
        </w:rPr>
        <w:t>Prelomová</w:t>
      </w:r>
      <w:r w:rsidRPr="00A12068">
        <w:rPr>
          <w:szCs w:val="22"/>
        </w:rPr>
        <w:t xml:space="preserve"> bolesť je prechodné vystupňovanie za normálnych okolností kontrolovanej chronickej bolesti.</w:t>
      </w:r>
    </w:p>
    <w:p w:rsidR="000D6F3D" w:rsidRPr="00A12068" w:rsidRDefault="000D6F3D" w:rsidP="00E12DE9">
      <w:pPr>
        <w:pStyle w:val="SPCNormal"/>
        <w:rPr>
          <w:szCs w:val="22"/>
        </w:rPr>
      </w:pPr>
    </w:p>
    <w:p w:rsidR="000D6F3D" w:rsidRPr="00A12068" w:rsidRDefault="000D6F3D" w:rsidP="00E12DE9">
      <w:pPr>
        <w:pStyle w:val="SPC2"/>
        <w:rPr>
          <w:szCs w:val="22"/>
        </w:rPr>
      </w:pPr>
      <w:r w:rsidRPr="00A12068">
        <w:rPr>
          <w:szCs w:val="22"/>
        </w:rPr>
        <w:t>4.2</w:t>
      </w:r>
      <w:r w:rsidRPr="00A12068">
        <w:rPr>
          <w:szCs w:val="22"/>
        </w:rPr>
        <w:tab/>
        <w:t>Dávkovanie a spôsob podávania</w:t>
      </w:r>
    </w:p>
    <w:p w:rsidR="000D6F3D" w:rsidRPr="00A12068" w:rsidRDefault="000D6F3D" w:rsidP="00E12DE9">
      <w:pPr>
        <w:pStyle w:val="SPCNormal"/>
        <w:rPr>
          <w:szCs w:val="22"/>
        </w:rPr>
      </w:pPr>
    </w:p>
    <w:p w:rsidR="000D6F3D" w:rsidRPr="00A12068" w:rsidRDefault="000D6F3D" w:rsidP="00E12DE9">
      <w:pPr>
        <w:pStyle w:val="Zkladntext"/>
        <w:spacing w:before="0" w:after="0"/>
        <w:rPr>
          <w:szCs w:val="22"/>
        </w:rPr>
      </w:pPr>
      <w:r w:rsidRPr="00A12068">
        <w:rPr>
          <w:szCs w:val="22"/>
        </w:rPr>
        <w:t xml:space="preserve">Lunaldin sa podáva pacientom, ktorí </w:t>
      </w:r>
      <w:r w:rsidR="009540B2" w:rsidRPr="00A12068">
        <w:rPr>
          <w:szCs w:val="22"/>
        </w:rPr>
        <w:t>sa považujú za tolerantných voči svojej</w:t>
      </w:r>
      <w:r w:rsidRPr="00A12068">
        <w:rPr>
          <w:szCs w:val="22"/>
        </w:rPr>
        <w:t xml:space="preserve"> opiátov</w:t>
      </w:r>
      <w:r w:rsidR="009540B2" w:rsidRPr="00A12068">
        <w:rPr>
          <w:szCs w:val="22"/>
        </w:rPr>
        <w:t>ej</w:t>
      </w:r>
      <w:r w:rsidRPr="00A12068">
        <w:rPr>
          <w:szCs w:val="22"/>
        </w:rPr>
        <w:t xml:space="preserve"> terapi</w:t>
      </w:r>
      <w:r w:rsidR="009540B2" w:rsidRPr="00A12068">
        <w:rPr>
          <w:szCs w:val="22"/>
        </w:rPr>
        <w:t>i</w:t>
      </w:r>
      <w:r w:rsidRPr="00A12068">
        <w:rPr>
          <w:szCs w:val="22"/>
        </w:rPr>
        <w:t xml:space="preserve"> chronick</w:t>
      </w:r>
      <w:r w:rsidR="009540B2" w:rsidRPr="00A12068">
        <w:rPr>
          <w:szCs w:val="22"/>
        </w:rPr>
        <w:t>ej</w:t>
      </w:r>
      <w:r w:rsidRPr="00A12068">
        <w:rPr>
          <w:szCs w:val="22"/>
        </w:rPr>
        <w:t xml:space="preserve"> </w:t>
      </w:r>
      <w:r w:rsidR="009540B2" w:rsidRPr="00A12068">
        <w:rPr>
          <w:szCs w:val="22"/>
        </w:rPr>
        <w:t xml:space="preserve">nádorovej </w:t>
      </w:r>
      <w:r w:rsidRPr="00A12068">
        <w:rPr>
          <w:szCs w:val="22"/>
        </w:rPr>
        <w:t>bolest</w:t>
      </w:r>
      <w:r w:rsidR="009540B2" w:rsidRPr="00A12068">
        <w:rPr>
          <w:szCs w:val="22"/>
        </w:rPr>
        <w:t>i</w:t>
      </w:r>
      <w:r w:rsidRPr="00A12068">
        <w:rPr>
          <w:szCs w:val="22"/>
        </w:rPr>
        <w:t xml:space="preserve">. Pacienti </w:t>
      </w:r>
      <w:r w:rsidR="009540B2" w:rsidRPr="00A12068">
        <w:rPr>
          <w:szCs w:val="22"/>
        </w:rPr>
        <w:t xml:space="preserve">sa môžu považovať za </w:t>
      </w:r>
      <w:r w:rsidRPr="00A12068">
        <w:rPr>
          <w:szCs w:val="22"/>
        </w:rPr>
        <w:t>toler</w:t>
      </w:r>
      <w:r w:rsidR="009540B2" w:rsidRPr="00A12068">
        <w:rPr>
          <w:szCs w:val="22"/>
        </w:rPr>
        <w:t>antných</w:t>
      </w:r>
      <w:r w:rsidRPr="00A12068">
        <w:rPr>
          <w:szCs w:val="22"/>
        </w:rPr>
        <w:t xml:space="preserve"> vtedy, ak </w:t>
      </w:r>
      <w:r w:rsidR="00033D3D" w:rsidRPr="00A12068">
        <w:rPr>
          <w:szCs w:val="22"/>
        </w:rPr>
        <w:t>užívajú</w:t>
      </w:r>
      <w:r w:rsidRPr="00A12068">
        <w:rPr>
          <w:szCs w:val="22"/>
        </w:rPr>
        <w:t xml:space="preserve"> aspoň 60</w:t>
      </w:r>
      <w:r w:rsidR="009540B2" w:rsidRPr="00A12068">
        <w:rPr>
          <w:szCs w:val="22"/>
        </w:rPr>
        <w:t> </w:t>
      </w:r>
      <w:r w:rsidRPr="00A12068">
        <w:rPr>
          <w:szCs w:val="22"/>
        </w:rPr>
        <w:t xml:space="preserve">mg </w:t>
      </w:r>
      <w:r w:rsidR="00B12B31" w:rsidRPr="00A12068">
        <w:rPr>
          <w:szCs w:val="22"/>
        </w:rPr>
        <w:t xml:space="preserve">perorálneho </w:t>
      </w:r>
      <w:r w:rsidRPr="00A12068">
        <w:rPr>
          <w:szCs w:val="22"/>
        </w:rPr>
        <w:t xml:space="preserve">morfínu denne, </w:t>
      </w:r>
      <w:r w:rsidR="00B12B31" w:rsidRPr="00A12068">
        <w:rPr>
          <w:szCs w:val="22"/>
        </w:rPr>
        <w:t xml:space="preserve">najmenej </w:t>
      </w:r>
      <w:r w:rsidRPr="00A12068">
        <w:rPr>
          <w:szCs w:val="22"/>
        </w:rPr>
        <w:t xml:space="preserve">25 mikrogramov </w:t>
      </w:r>
      <w:r w:rsidR="009540B2" w:rsidRPr="00A12068">
        <w:rPr>
          <w:szCs w:val="22"/>
        </w:rPr>
        <w:t xml:space="preserve">transdermálneho </w:t>
      </w:r>
      <w:r w:rsidRPr="00A12068">
        <w:rPr>
          <w:szCs w:val="22"/>
        </w:rPr>
        <w:t xml:space="preserve">fentanylu za hodinu, </w:t>
      </w:r>
      <w:r w:rsidR="00B12B31" w:rsidRPr="00A12068">
        <w:rPr>
          <w:szCs w:val="22"/>
        </w:rPr>
        <w:t>najmenej 30 mg oxykodónu denne, najmenej 8 m</w:t>
      </w:r>
      <w:r w:rsidR="0051712B" w:rsidRPr="00A12068">
        <w:rPr>
          <w:szCs w:val="22"/>
        </w:rPr>
        <w:t>g</w:t>
      </w:r>
      <w:r w:rsidR="00B12B31" w:rsidRPr="00A12068">
        <w:rPr>
          <w:szCs w:val="22"/>
        </w:rPr>
        <w:t xml:space="preserve"> perorálneho hydromorfónu denne </w:t>
      </w:r>
      <w:r w:rsidRPr="00A12068">
        <w:rPr>
          <w:szCs w:val="22"/>
        </w:rPr>
        <w:t>alebo ekvianalgetickú dávku iného opiátu počas jedného týždňa alebo dlhšie.</w:t>
      </w:r>
    </w:p>
    <w:p w:rsidR="000D6F3D" w:rsidRPr="00A12068" w:rsidRDefault="000D6F3D" w:rsidP="00E12DE9">
      <w:pPr>
        <w:pStyle w:val="Zkladntext"/>
        <w:spacing w:before="0" w:after="0"/>
        <w:rPr>
          <w:szCs w:val="22"/>
        </w:rPr>
      </w:pPr>
    </w:p>
    <w:p w:rsidR="00B12B31" w:rsidRPr="00A12068" w:rsidRDefault="00B12B31" w:rsidP="00E12DE9">
      <w:pPr>
        <w:pStyle w:val="SPCNormal"/>
        <w:rPr>
          <w:szCs w:val="22"/>
        </w:rPr>
      </w:pPr>
      <w:r w:rsidRPr="00A12068">
        <w:rPr>
          <w:szCs w:val="22"/>
          <w:u w:val="single"/>
        </w:rPr>
        <w:t>Spôsob pod</w:t>
      </w:r>
      <w:r w:rsidR="00690CE4" w:rsidRPr="00A12068">
        <w:rPr>
          <w:szCs w:val="22"/>
          <w:u w:val="single"/>
        </w:rPr>
        <w:t>áv</w:t>
      </w:r>
      <w:r w:rsidRPr="00A12068">
        <w:rPr>
          <w:szCs w:val="22"/>
          <w:u w:val="single"/>
        </w:rPr>
        <w:t>ania</w:t>
      </w:r>
    </w:p>
    <w:p w:rsidR="000D6F3D" w:rsidRPr="00A12068" w:rsidRDefault="000D6F3D" w:rsidP="00E12DE9">
      <w:pPr>
        <w:pStyle w:val="SPCNormal"/>
        <w:rPr>
          <w:szCs w:val="22"/>
        </w:rPr>
      </w:pPr>
      <w:r w:rsidRPr="00A12068">
        <w:rPr>
          <w:szCs w:val="22"/>
        </w:rPr>
        <w:lastRenderedPageBreak/>
        <w:t xml:space="preserve">Sublingválne tablety Lunaldin sa aplikujú priamo pod jazyk na najhlbšom mieste. Sublingválne tablety Lunaldin sa nesmú prehltnúť, ale treba ich nechať úplne rozpustiť v sublingválnej dutine bez hryzenia či cmúľania. </w:t>
      </w:r>
      <w:r w:rsidR="00A94015" w:rsidRPr="00A12068">
        <w:rPr>
          <w:szCs w:val="22"/>
        </w:rPr>
        <w:t>P</w:t>
      </w:r>
      <w:r w:rsidRPr="00A12068">
        <w:rPr>
          <w:szCs w:val="22"/>
        </w:rPr>
        <w:t>acientov</w:t>
      </w:r>
      <w:r w:rsidR="00A94015" w:rsidRPr="00A12068">
        <w:rPr>
          <w:szCs w:val="22"/>
        </w:rPr>
        <w:t xml:space="preserve"> treba upozorniť</w:t>
      </w:r>
      <w:r w:rsidRPr="00A12068">
        <w:rPr>
          <w:szCs w:val="22"/>
        </w:rPr>
        <w:t xml:space="preserve">, aby nejedli ani nepili, kým sa tableta úplne nerozpustí. </w:t>
      </w:r>
    </w:p>
    <w:p w:rsidR="000D6F3D" w:rsidRPr="00A12068" w:rsidRDefault="000D6F3D" w:rsidP="00E12DE9">
      <w:pPr>
        <w:pStyle w:val="SPCNormal"/>
        <w:rPr>
          <w:szCs w:val="22"/>
          <w:u w:val="single"/>
        </w:rPr>
      </w:pPr>
    </w:p>
    <w:p w:rsidR="000D6F3D" w:rsidRPr="00A12068" w:rsidRDefault="000D6F3D" w:rsidP="00E12DE9">
      <w:pPr>
        <w:rPr>
          <w:rFonts w:ascii="Times New Roman" w:hAnsi="Times New Roman"/>
          <w:sz w:val="22"/>
          <w:szCs w:val="22"/>
        </w:rPr>
      </w:pPr>
      <w:r w:rsidRPr="00A12068">
        <w:rPr>
          <w:rFonts w:ascii="Times New Roman" w:hAnsi="Times New Roman"/>
          <w:sz w:val="22"/>
          <w:szCs w:val="22"/>
        </w:rPr>
        <w:t xml:space="preserve">U pacientov, ktorí majú sucho v ústach, sa pred podaním Lunaldinu môže </w:t>
      </w:r>
      <w:r w:rsidR="00A94015" w:rsidRPr="00A12068">
        <w:rPr>
          <w:rFonts w:ascii="Times New Roman" w:hAnsi="Times New Roman"/>
          <w:sz w:val="22"/>
          <w:szCs w:val="22"/>
        </w:rPr>
        <w:t xml:space="preserve">ústna </w:t>
      </w:r>
      <w:r w:rsidRPr="00A12068">
        <w:rPr>
          <w:rFonts w:ascii="Times New Roman" w:hAnsi="Times New Roman"/>
          <w:sz w:val="22"/>
          <w:szCs w:val="22"/>
        </w:rPr>
        <w:t>sliznica navlhčiť vodou.</w:t>
      </w:r>
    </w:p>
    <w:p w:rsidR="000D6F3D" w:rsidRPr="00A12068" w:rsidRDefault="000D6F3D" w:rsidP="00E12DE9">
      <w:pPr>
        <w:pStyle w:val="SPCNormal"/>
        <w:rPr>
          <w:szCs w:val="22"/>
          <w:u w:val="single"/>
        </w:rPr>
      </w:pPr>
    </w:p>
    <w:p w:rsidR="000D6F3D" w:rsidRPr="00A12068" w:rsidRDefault="00F77AB1" w:rsidP="00E12DE9">
      <w:pPr>
        <w:pStyle w:val="SPCNormal"/>
        <w:rPr>
          <w:szCs w:val="22"/>
        </w:rPr>
      </w:pPr>
      <w:r w:rsidRPr="00A12068">
        <w:rPr>
          <w:szCs w:val="22"/>
          <w:u w:val="single"/>
        </w:rPr>
        <w:t>Titrácia</w:t>
      </w:r>
      <w:r w:rsidR="000D6F3D" w:rsidRPr="00A12068">
        <w:rPr>
          <w:szCs w:val="22"/>
          <w:u w:val="single"/>
        </w:rPr>
        <w:t xml:space="preserve"> dávky:</w:t>
      </w:r>
    </w:p>
    <w:p w:rsidR="000D6F3D" w:rsidRPr="00A12068" w:rsidRDefault="000D6F3D"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 xml:space="preserve">Cieľom </w:t>
      </w:r>
      <w:r w:rsidR="00A94015" w:rsidRPr="00A12068">
        <w:rPr>
          <w:rFonts w:ascii="Times New Roman" w:hAnsi="Times New Roman"/>
          <w:sz w:val="22"/>
          <w:szCs w:val="22"/>
        </w:rPr>
        <w:t>titrácie</w:t>
      </w:r>
      <w:r w:rsidRPr="00A12068">
        <w:rPr>
          <w:rFonts w:ascii="Times New Roman" w:hAnsi="Times New Roman"/>
          <w:sz w:val="22"/>
          <w:szCs w:val="22"/>
        </w:rPr>
        <w:t xml:space="preserve"> dávk</w:t>
      </w:r>
      <w:r w:rsidR="00A94015" w:rsidRPr="00A12068">
        <w:rPr>
          <w:rFonts w:ascii="Times New Roman" w:hAnsi="Times New Roman"/>
          <w:sz w:val="22"/>
          <w:szCs w:val="22"/>
        </w:rPr>
        <w:t>y</w:t>
      </w:r>
      <w:r w:rsidRPr="00A12068">
        <w:rPr>
          <w:rFonts w:ascii="Times New Roman" w:hAnsi="Times New Roman"/>
          <w:sz w:val="22"/>
          <w:szCs w:val="22"/>
        </w:rPr>
        <w:t xml:space="preserve"> je identifikovať optimálnu udržiavaciu dávku pri pokračujúcej liečbe</w:t>
      </w:r>
      <w:r w:rsidR="007A12A6" w:rsidRPr="00A12068">
        <w:rPr>
          <w:rFonts w:ascii="Times New Roman" w:hAnsi="Times New Roman"/>
          <w:sz w:val="22"/>
          <w:szCs w:val="22"/>
        </w:rPr>
        <w:t xml:space="preserve"> </w:t>
      </w:r>
      <w:r w:rsidRPr="00A12068">
        <w:rPr>
          <w:rFonts w:ascii="Times New Roman" w:hAnsi="Times New Roman"/>
          <w:sz w:val="22"/>
          <w:szCs w:val="22"/>
        </w:rPr>
        <w:t xml:space="preserve">epizód </w:t>
      </w:r>
      <w:r w:rsidR="005E21F0" w:rsidRPr="00A12068">
        <w:rPr>
          <w:rFonts w:ascii="Times New Roman" w:hAnsi="Times New Roman"/>
          <w:sz w:val="22"/>
          <w:szCs w:val="22"/>
        </w:rPr>
        <w:t xml:space="preserve">prelomovej </w:t>
      </w:r>
      <w:r w:rsidRPr="00A12068">
        <w:rPr>
          <w:rFonts w:ascii="Times New Roman" w:hAnsi="Times New Roman"/>
          <w:sz w:val="22"/>
          <w:szCs w:val="22"/>
        </w:rPr>
        <w:t xml:space="preserve">bolesti. Optimálna dávka by mala zabezpečovať dostatočnú </w:t>
      </w:r>
      <w:r w:rsidR="00662466" w:rsidRPr="00A12068">
        <w:rPr>
          <w:rFonts w:ascii="Times New Roman" w:hAnsi="Times New Roman"/>
          <w:sz w:val="22"/>
          <w:szCs w:val="22"/>
        </w:rPr>
        <w:t>analgéziu</w:t>
      </w:r>
      <w:r w:rsidRPr="00A12068">
        <w:rPr>
          <w:rFonts w:ascii="Times New Roman" w:hAnsi="Times New Roman"/>
          <w:sz w:val="22"/>
          <w:szCs w:val="22"/>
        </w:rPr>
        <w:t xml:space="preserve"> s prijateľnou</w:t>
      </w:r>
      <w:r w:rsidR="007A12A6" w:rsidRPr="00A12068">
        <w:rPr>
          <w:rFonts w:ascii="Times New Roman" w:hAnsi="Times New Roman"/>
          <w:sz w:val="22"/>
          <w:szCs w:val="22"/>
        </w:rPr>
        <w:t xml:space="preserve"> </w:t>
      </w:r>
      <w:r w:rsidRPr="00A12068">
        <w:rPr>
          <w:rFonts w:ascii="Times New Roman" w:hAnsi="Times New Roman"/>
          <w:sz w:val="22"/>
          <w:szCs w:val="22"/>
        </w:rPr>
        <w:t>mierou nežiaducich reakcií.</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Optimálna dávka Lunaldinu sa stanoví postupným zvyšovaním dávky u každého pacienta individuálne. Počas fázy </w:t>
      </w:r>
      <w:r w:rsidR="00662466" w:rsidRPr="00A12068">
        <w:rPr>
          <w:szCs w:val="22"/>
        </w:rPr>
        <w:t xml:space="preserve">titrácie </w:t>
      </w:r>
      <w:r w:rsidRPr="00A12068">
        <w:rPr>
          <w:szCs w:val="22"/>
        </w:rPr>
        <w:t>dávky je k dispozícii niekoľko dávok</w:t>
      </w:r>
      <w:r w:rsidRPr="00A12068">
        <w:rPr>
          <w:i/>
          <w:szCs w:val="22"/>
        </w:rPr>
        <w:t>.</w:t>
      </w:r>
      <w:r w:rsidR="00662466" w:rsidRPr="00A12068">
        <w:rPr>
          <w:szCs w:val="22"/>
        </w:rPr>
        <w:t xml:space="preserve"> </w:t>
      </w:r>
      <w:r w:rsidR="00690CE4" w:rsidRPr="00A12068">
        <w:rPr>
          <w:szCs w:val="22"/>
        </w:rPr>
        <w:t xml:space="preserve">Začiatočná </w:t>
      </w:r>
      <w:r w:rsidRPr="00A12068">
        <w:rPr>
          <w:szCs w:val="22"/>
        </w:rPr>
        <w:t xml:space="preserve">dávka Lunaldinu </w:t>
      </w:r>
      <w:r w:rsidR="00690CE4" w:rsidRPr="00A12068">
        <w:rPr>
          <w:szCs w:val="22"/>
        </w:rPr>
        <w:t>má</w:t>
      </w:r>
      <w:r w:rsidRPr="00A12068">
        <w:rPr>
          <w:szCs w:val="22"/>
        </w:rPr>
        <w:t xml:space="preserve"> byť 100 mikrogramov a postupne sa </w:t>
      </w:r>
      <w:r w:rsidR="00690CE4" w:rsidRPr="00A12068">
        <w:rPr>
          <w:szCs w:val="22"/>
        </w:rPr>
        <w:t xml:space="preserve">má </w:t>
      </w:r>
      <w:r w:rsidRPr="00A12068">
        <w:rPr>
          <w:szCs w:val="22"/>
        </w:rPr>
        <w:t xml:space="preserve">zvyšovať </w:t>
      </w:r>
      <w:r w:rsidR="00C53D7B" w:rsidRPr="00A12068">
        <w:rPr>
          <w:szCs w:val="22"/>
        </w:rPr>
        <w:t xml:space="preserve">podľa potreby </w:t>
      </w:r>
      <w:r w:rsidRPr="00A12068">
        <w:rPr>
          <w:szCs w:val="22"/>
        </w:rPr>
        <w:t xml:space="preserve">v rozsahu </w:t>
      </w:r>
      <w:r w:rsidR="00C53D7B" w:rsidRPr="00A12068">
        <w:rPr>
          <w:szCs w:val="22"/>
        </w:rPr>
        <w:t>dostupných síl</w:t>
      </w:r>
      <w:r w:rsidRPr="00A12068">
        <w:rPr>
          <w:szCs w:val="22"/>
        </w:rPr>
        <w:t xml:space="preserve"> tabliet.</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Kým sa nedosiahne optimálna dávka, pacientov treba starostlivo sledovať.</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Prechod od iných preparátov obsahujúcich fentanyl na Lunaldin sa nesmie urobiť v pomere 1:1, </w:t>
      </w:r>
      <w:r w:rsidR="00347179" w:rsidRPr="00A12068">
        <w:rPr>
          <w:szCs w:val="22"/>
        </w:rPr>
        <w:t>kvôli rozličným</w:t>
      </w:r>
      <w:r w:rsidRPr="00A12068">
        <w:rPr>
          <w:szCs w:val="22"/>
        </w:rPr>
        <w:t xml:space="preserve"> absorpčný</w:t>
      </w:r>
      <w:r w:rsidR="00347179" w:rsidRPr="00A12068">
        <w:rPr>
          <w:szCs w:val="22"/>
        </w:rPr>
        <w:t>m</w:t>
      </w:r>
      <w:r w:rsidRPr="00A12068">
        <w:rPr>
          <w:szCs w:val="22"/>
        </w:rPr>
        <w:t xml:space="preserve"> profil</w:t>
      </w:r>
      <w:r w:rsidR="00347179" w:rsidRPr="00A12068">
        <w:rPr>
          <w:szCs w:val="22"/>
        </w:rPr>
        <w:t>om</w:t>
      </w:r>
      <w:r w:rsidRPr="00A12068">
        <w:rPr>
          <w:szCs w:val="22"/>
        </w:rPr>
        <w:t>. Ak pacient</w:t>
      </w:r>
      <w:r w:rsidR="009A4BC7" w:rsidRPr="00A12068">
        <w:rPr>
          <w:szCs w:val="22"/>
        </w:rPr>
        <w:t>i</w:t>
      </w:r>
      <w:r w:rsidRPr="00A12068">
        <w:rPr>
          <w:szCs w:val="22"/>
        </w:rPr>
        <w:t xml:space="preserve"> pre</w:t>
      </w:r>
      <w:r w:rsidR="009A4BC7" w:rsidRPr="00A12068">
        <w:rPr>
          <w:szCs w:val="22"/>
        </w:rPr>
        <w:t>chádzajú</w:t>
      </w:r>
      <w:r w:rsidRPr="00A12068">
        <w:rPr>
          <w:szCs w:val="22"/>
        </w:rPr>
        <w:t xml:space="preserve"> z iného fentanyl obsahujúceho </w:t>
      </w:r>
      <w:r w:rsidR="00690CE4" w:rsidRPr="00A12068">
        <w:rPr>
          <w:szCs w:val="22"/>
        </w:rPr>
        <w:t>lieku</w:t>
      </w:r>
      <w:r w:rsidRPr="00A12068">
        <w:rPr>
          <w:szCs w:val="22"/>
        </w:rPr>
        <w:t xml:space="preserve">, </w:t>
      </w:r>
      <w:r w:rsidR="00347179" w:rsidRPr="00A12068">
        <w:rPr>
          <w:szCs w:val="22"/>
        </w:rPr>
        <w:t>je po</w:t>
      </w:r>
      <w:r w:rsidRPr="00A12068">
        <w:rPr>
          <w:szCs w:val="22"/>
        </w:rPr>
        <w:t>treb</w:t>
      </w:r>
      <w:r w:rsidR="00347179" w:rsidRPr="00A12068">
        <w:rPr>
          <w:szCs w:val="22"/>
        </w:rPr>
        <w:t>ná nová</w:t>
      </w:r>
      <w:r w:rsidRPr="00A12068">
        <w:rPr>
          <w:szCs w:val="22"/>
        </w:rPr>
        <w:t xml:space="preserve"> </w:t>
      </w:r>
      <w:r w:rsidR="00347179" w:rsidRPr="00A12068">
        <w:rPr>
          <w:szCs w:val="22"/>
        </w:rPr>
        <w:t>titrácia</w:t>
      </w:r>
      <w:r w:rsidRPr="00A12068">
        <w:rPr>
          <w:szCs w:val="22"/>
        </w:rPr>
        <w:t xml:space="preserve"> dávky </w:t>
      </w:r>
      <w:r w:rsidR="00347179" w:rsidRPr="00A12068">
        <w:rPr>
          <w:szCs w:val="22"/>
        </w:rPr>
        <w:t>Lunaldinu</w:t>
      </w:r>
      <w:r w:rsidRPr="00A12068">
        <w:rPr>
          <w:szCs w:val="22"/>
        </w:rPr>
        <w:t>.</w:t>
      </w:r>
    </w:p>
    <w:p w:rsidR="000D6F3D" w:rsidRPr="00A12068" w:rsidRDefault="000D6F3D" w:rsidP="00E12DE9">
      <w:pPr>
        <w:pStyle w:val="SPCNormal"/>
        <w:rPr>
          <w:szCs w:val="22"/>
        </w:rPr>
      </w:pPr>
    </w:p>
    <w:p w:rsidR="000D6F3D" w:rsidRPr="00A12068" w:rsidRDefault="00347179" w:rsidP="00E12DE9">
      <w:pPr>
        <w:pStyle w:val="SPCNormal"/>
        <w:rPr>
          <w:szCs w:val="22"/>
        </w:rPr>
      </w:pPr>
      <w:r w:rsidRPr="00A12068">
        <w:rPr>
          <w:szCs w:val="22"/>
        </w:rPr>
        <w:t>Pri titrácii sa o</w:t>
      </w:r>
      <w:r w:rsidR="000D6F3D" w:rsidRPr="00A12068">
        <w:rPr>
          <w:szCs w:val="22"/>
        </w:rPr>
        <w:t>dporúča použiť nasledujúci dávk</w:t>
      </w:r>
      <w:r w:rsidRPr="00A12068">
        <w:rPr>
          <w:szCs w:val="22"/>
        </w:rPr>
        <w:t>ovací režim</w:t>
      </w:r>
      <w:r w:rsidR="000D6F3D" w:rsidRPr="00A12068">
        <w:rPr>
          <w:szCs w:val="22"/>
        </w:rPr>
        <w:t>, pričom ošetrujúci lekár musí v každom prípade zohľadniť klinické potreby pacienta, jeho vek a sprievodné ochorenia.</w:t>
      </w:r>
    </w:p>
    <w:p w:rsidR="000D6F3D" w:rsidRPr="00A12068" w:rsidRDefault="000D6F3D" w:rsidP="00E12DE9">
      <w:pPr>
        <w:pStyle w:val="SPCNormal"/>
        <w:rPr>
          <w:szCs w:val="22"/>
        </w:rPr>
      </w:pPr>
    </w:p>
    <w:p w:rsidR="00B12B31" w:rsidRPr="00A12068" w:rsidRDefault="000D6F3D"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Terapia sa u všetkých pacientov začína jedn</w:t>
      </w:r>
      <w:r w:rsidR="00347179" w:rsidRPr="00A12068">
        <w:rPr>
          <w:rFonts w:ascii="Times New Roman" w:hAnsi="Times New Roman"/>
          <w:sz w:val="22"/>
          <w:szCs w:val="22"/>
        </w:rPr>
        <w:t>ou</w:t>
      </w:r>
      <w:r w:rsidRPr="00A12068">
        <w:rPr>
          <w:rFonts w:ascii="Times New Roman" w:hAnsi="Times New Roman"/>
          <w:sz w:val="22"/>
          <w:szCs w:val="22"/>
        </w:rPr>
        <w:t xml:space="preserve"> 100 mikrogramov</w:t>
      </w:r>
      <w:r w:rsidR="00347179" w:rsidRPr="00A12068">
        <w:rPr>
          <w:rFonts w:ascii="Times New Roman" w:hAnsi="Times New Roman"/>
          <w:sz w:val="22"/>
          <w:szCs w:val="22"/>
        </w:rPr>
        <w:t>ou</w:t>
      </w:r>
      <w:r w:rsidRPr="00A12068">
        <w:rPr>
          <w:rFonts w:ascii="Times New Roman" w:hAnsi="Times New Roman"/>
          <w:sz w:val="22"/>
          <w:szCs w:val="22"/>
        </w:rPr>
        <w:t xml:space="preserve"> sublingváln</w:t>
      </w:r>
      <w:r w:rsidR="00347179" w:rsidRPr="00A12068">
        <w:rPr>
          <w:rFonts w:ascii="Times New Roman" w:hAnsi="Times New Roman"/>
          <w:sz w:val="22"/>
          <w:szCs w:val="22"/>
        </w:rPr>
        <w:t>ou</w:t>
      </w:r>
      <w:r w:rsidRPr="00A12068">
        <w:rPr>
          <w:rFonts w:ascii="Times New Roman" w:hAnsi="Times New Roman"/>
          <w:sz w:val="22"/>
          <w:szCs w:val="22"/>
        </w:rPr>
        <w:t xml:space="preserve"> tablet</w:t>
      </w:r>
      <w:r w:rsidR="00347179" w:rsidRPr="00A12068">
        <w:rPr>
          <w:rFonts w:ascii="Times New Roman" w:hAnsi="Times New Roman"/>
          <w:sz w:val="22"/>
          <w:szCs w:val="22"/>
        </w:rPr>
        <w:t>ou</w:t>
      </w:r>
      <w:r w:rsidRPr="00A12068">
        <w:rPr>
          <w:rFonts w:ascii="Times New Roman" w:hAnsi="Times New Roman"/>
          <w:sz w:val="22"/>
          <w:szCs w:val="22"/>
        </w:rPr>
        <w:t>. Ak sa do 15</w:t>
      </w:r>
      <w:r w:rsidR="00D146BB" w:rsidRPr="00A12068">
        <w:rPr>
          <w:rFonts w:ascii="Times New Roman" w:hAnsi="Times New Roman"/>
          <w:sz w:val="22"/>
          <w:szCs w:val="22"/>
        </w:rPr>
        <w:t> – </w:t>
      </w:r>
      <w:r w:rsidRPr="00A12068">
        <w:rPr>
          <w:rFonts w:ascii="Times New Roman" w:hAnsi="Times New Roman"/>
          <w:sz w:val="22"/>
          <w:szCs w:val="22"/>
        </w:rPr>
        <w:t>30 minút od podania jedn</w:t>
      </w:r>
      <w:r w:rsidR="00347179" w:rsidRPr="00A12068">
        <w:rPr>
          <w:rFonts w:ascii="Times New Roman" w:hAnsi="Times New Roman"/>
          <w:sz w:val="22"/>
          <w:szCs w:val="22"/>
        </w:rPr>
        <w:t>ej</w:t>
      </w:r>
      <w:r w:rsidRPr="00A12068">
        <w:rPr>
          <w:rFonts w:ascii="Times New Roman" w:hAnsi="Times New Roman"/>
          <w:sz w:val="22"/>
          <w:szCs w:val="22"/>
        </w:rPr>
        <w:t xml:space="preserve"> sublingválnej tablety nedosiahne primeran</w:t>
      </w:r>
      <w:r w:rsidR="00180A5D" w:rsidRPr="00A12068">
        <w:rPr>
          <w:rFonts w:ascii="Times New Roman" w:hAnsi="Times New Roman"/>
          <w:sz w:val="22"/>
          <w:szCs w:val="22"/>
        </w:rPr>
        <w:t>á analgézia</w:t>
      </w:r>
      <w:r w:rsidRPr="00A12068">
        <w:rPr>
          <w:rFonts w:ascii="Times New Roman" w:hAnsi="Times New Roman"/>
          <w:sz w:val="22"/>
          <w:szCs w:val="22"/>
        </w:rPr>
        <w:t xml:space="preserve">, možno podať doplnkovú (druhú) 100 mikrogramovú sublingválnu tabletu. Ak sa dostatočná </w:t>
      </w:r>
      <w:r w:rsidR="00180A5D" w:rsidRPr="00A12068">
        <w:rPr>
          <w:rFonts w:ascii="Times New Roman" w:hAnsi="Times New Roman"/>
          <w:sz w:val="22"/>
          <w:szCs w:val="22"/>
        </w:rPr>
        <w:t>an</w:t>
      </w:r>
      <w:r w:rsidR="001D1098" w:rsidRPr="00A12068">
        <w:rPr>
          <w:rFonts w:ascii="Times New Roman" w:hAnsi="Times New Roman"/>
          <w:sz w:val="22"/>
          <w:szCs w:val="22"/>
        </w:rPr>
        <w:t>a</w:t>
      </w:r>
      <w:r w:rsidR="00180A5D" w:rsidRPr="00A12068">
        <w:rPr>
          <w:rFonts w:ascii="Times New Roman" w:hAnsi="Times New Roman"/>
          <w:sz w:val="22"/>
          <w:szCs w:val="22"/>
        </w:rPr>
        <w:t xml:space="preserve">lgézia </w:t>
      </w:r>
      <w:r w:rsidRPr="00A12068">
        <w:rPr>
          <w:rFonts w:ascii="Times New Roman" w:hAnsi="Times New Roman"/>
          <w:sz w:val="22"/>
          <w:szCs w:val="22"/>
        </w:rPr>
        <w:t>nedosiahne v</w:t>
      </w:r>
      <w:r w:rsidR="00E12DE9" w:rsidRPr="00A12068">
        <w:rPr>
          <w:rFonts w:ascii="Times New Roman" w:hAnsi="Times New Roman"/>
          <w:sz w:val="22"/>
          <w:szCs w:val="22"/>
        </w:rPr>
        <w:t> </w:t>
      </w:r>
      <w:r w:rsidRPr="00A12068">
        <w:rPr>
          <w:rFonts w:ascii="Times New Roman" w:hAnsi="Times New Roman"/>
          <w:sz w:val="22"/>
          <w:szCs w:val="22"/>
        </w:rPr>
        <w:t>priebehu 15</w:t>
      </w:r>
      <w:r w:rsidR="00D146BB" w:rsidRPr="00A12068">
        <w:rPr>
          <w:rFonts w:ascii="Times New Roman" w:hAnsi="Times New Roman"/>
          <w:sz w:val="22"/>
          <w:szCs w:val="22"/>
        </w:rPr>
        <w:t> – </w:t>
      </w:r>
      <w:r w:rsidRPr="00A12068">
        <w:rPr>
          <w:rFonts w:ascii="Times New Roman" w:hAnsi="Times New Roman"/>
          <w:sz w:val="22"/>
          <w:szCs w:val="22"/>
        </w:rPr>
        <w:t xml:space="preserve">30 minút od prvej dávky, treba pri ďalšej epizóde </w:t>
      </w:r>
      <w:r w:rsidR="005E21F0" w:rsidRPr="00A12068">
        <w:rPr>
          <w:rFonts w:ascii="Times New Roman" w:hAnsi="Times New Roman"/>
          <w:sz w:val="22"/>
          <w:szCs w:val="22"/>
        </w:rPr>
        <w:t xml:space="preserve">prelomovej </w:t>
      </w:r>
      <w:r w:rsidRPr="00A12068">
        <w:rPr>
          <w:rFonts w:ascii="Times New Roman" w:hAnsi="Times New Roman"/>
          <w:sz w:val="22"/>
          <w:szCs w:val="22"/>
        </w:rPr>
        <w:t>bolesti uvažovať o</w:t>
      </w:r>
      <w:r w:rsidR="00E12DE9" w:rsidRPr="00A12068">
        <w:rPr>
          <w:rFonts w:ascii="Times New Roman" w:hAnsi="Times New Roman"/>
          <w:sz w:val="22"/>
          <w:szCs w:val="22"/>
        </w:rPr>
        <w:t> </w:t>
      </w:r>
      <w:r w:rsidRPr="00A12068">
        <w:rPr>
          <w:rFonts w:ascii="Times New Roman" w:hAnsi="Times New Roman"/>
          <w:sz w:val="22"/>
          <w:szCs w:val="22"/>
        </w:rPr>
        <w:t xml:space="preserve">možnom zvýšení </w:t>
      </w:r>
      <w:r w:rsidR="001B7FC7" w:rsidRPr="00A12068">
        <w:rPr>
          <w:rFonts w:ascii="Times New Roman" w:hAnsi="Times New Roman"/>
          <w:sz w:val="22"/>
          <w:szCs w:val="22"/>
        </w:rPr>
        <w:t xml:space="preserve">dávky </w:t>
      </w:r>
      <w:r w:rsidRPr="00A12068">
        <w:rPr>
          <w:rFonts w:ascii="Times New Roman" w:hAnsi="Times New Roman"/>
          <w:sz w:val="22"/>
          <w:szCs w:val="22"/>
        </w:rPr>
        <w:t xml:space="preserve">na ďalšiu vyššiu </w:t>
      </w:r>
      <w:r w:rsidR="00347179" w:rsidRPr="00A12068">
        <w:rPr>
          <w:rFonts w:ascii="Times New Roman" w:hAnsi="Times New Roman"/>
          <w:sz w:val="22"/>
          <w:szCs w:val="22"/>
        </w:rPr>
        <w:t xml:space="preserve">silu </w:t>
      </w:r>
      <w:r w:rsidRPr="00A12068">
        <w:rPr>
          <w:rFonts w:ascii="Times New Roman" w:hAnsi="Times New Roman"/>
          <w:sz w:val="22"/>
          <w:szCs w:val="22"/>
        </w:rPr>
        <w:t>tablet</w:t>
      </w:r>
      <w:r w:rsidR="00347179" w:rsidRPr="00A12068">
        <w:rPr>
          <w:rFonts w:ascii="Times New Roman" w:hAnsi="Times New Roman"/>
          <w:sz w:val="22"/>
          <w:szCs w:val="22"/>
        </w:rPr>
        <w:t>y</w:t>
      </w:r>
      <w:r w:rsidRPr="00A12068">
        <w:rPr>
          <w:rFonts w:ascii="Times New Roman" w:hAnsi="Times New Roman"/>
          <w:sz w:val="22"/>
          <w:szCs w:val="22"/>
        </w:rPr>
        <w:t xml:space="preserve">. (Pozri obrázok nižšie.) </w:t>
      </w:r>
    </w:p>
    <w:p w:rsidR="00B12B31" w:rsidRPr="00A12068" w:rsidRDefault="00B12B31" w:rsidP="00E12DE9">
      <w:pPr>
        <w:autoSpaceDE w:val="0"/>
        <w:autoSpaceDN w:val="0"/>
        <w:adjustRightInd w:val="0"/>
        <w:rPr>
          <w:rFonts w:ascii="Times New Roman" w:hAnsi="Times New Roman"/>
          <w:sz w:val="22"/>
          <w:szCs w:val="22"/>
        </w:rPr>
      </w:pPr>
    </w:p>
    <w:p w:rsidR="000D6F3D" w:rsidRPr="00A12068" w:rsidRDefault="000D6F3D"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Dávku treba zvyšovať postupne, až kým sa nedosiahne požadovan</w:t>
      </w:r>
      <w:r w:rsidR="00180A5D" w:rsidRPr="00A12068">
        <w:rPr>
          <w:rFonts w:ascii="Times New Roman" w:hAnsi="Times New Roman"/>
          <w:sz w:val="22"/>
          <w:szCs w:val="22"/>
        </w:rPr>
        <w:t>á</w:t>
      </w:r>
      <w:r w:rsidRPr="00A12068">
        <w:rPr>
          <w:rFonts w:ascii="Times New Roman" w:hAnsi="Times New Roman"/>
          <w:sz w:val="22"/>
          <w:szCs w:val="22"/>
        </w:rPr>
        <w:t xml:space="preserve"> </w:t>
      </w:r>
      <w:r w:rsidR="00180A5D" w:rsidRPr="00A12068">
        <w:rPr>
          <w:rFonts w:ascii="Times New Roman" w:hAnsi="Times New Roman"/>
          <w:sz w:val="22"/>
          <w:szCs w:val="22"/>
        </w:rPr>
        <w:t>analgézia</w:t>
      </w:r>
      <w:r w:rsidR="00B12B31" w:rsidRPr="00A12068">
        <w:rPr>
          <w:rFonts w:ascii="Times New Roman" w:hAnsi="Times New Roman"/>
          <w:sz w:val="22"/>
          <w:szCs w:val="22"/>
        </w:rPr>
        <w:t xml:space="preserve"> s</w:t>
      </w:r>
      <w:r w:rsidR="0051712B" w:rsidRPr="00A12068">
        <w:rPr>
          <w:rFonts w:ascii="Times New Roman" w:hAnsi="Times New Roman"/>
          <w:sz w:val="22"/>
          <w:szCs w:val="22"/>
        </w:rPr>
        <w:t>o</w:t>
      </w:r>
      <w:r w:rsidR="00360ADA" w:rsidRPr="00A12068">
        <w:rPr>
          <w:rFonts w:ascii="Times New Roman" w:hAnsi="Times New Roman"/>
          <w:sz w:val="22"/>
          <w:szCs w:val="22"/>
        </w:rPr>
        <w:t xml:space="preserve"> </w:t>
      </w:r>
      <w:r w:rsidR="00B12B31" w:rsidRPr="00A12068">
        <w:rPr>
          <w:rFonts w:ascii="Times New Roman" w:hAnsi="Times New Roman"/>
          <w:sz w:val="22"/>
          <w:szCs w:val="22"/>
        </w:rPr>
        <w:t xml:space="preserve">znesiteľnými vedľajšími </w:t>
      </w:r>
      <w:r w:rsidR="001B7FC7" w:rsidRPr="00A12068">
        <w:rPr>
          <w:rFonts w:ascii="Times New Roman" w:hAnsi="Times New Roman"/>
          <w:sz w:val="22"/>
          <w:szCs w:val="22"/>
        </w:rPr>
        <w:t>reakci</w:t>
      </w:r>
      <w:r w:rsidR="00B12B31" w:rsidRPr="00A12068">
        <w:rPr>
          <w:rFonts w:ascii="Times New Roman" w:hAnsi="Times New Roman"/>
          <w:sz w:val="22"/>
          <w:szCs w:val="22"/>
        </w:rPr>
        <w:t>ami</w:t>
      </w:r>
      <w:r w:rsidRPr="00A12068">
        <w:rPr>
          <w:rFonts w:ascii="Times New Roman" w:hAnsi="Times New Roman"/>
          <w:sz w:val="22"/>
          <w:szCs w:val="22"/>
        </w:rPr>
        <w:t>. Pri dávke 400 mikrogramov a</w:t>
      </w:r>
      <w:r w:rsidR="00033D3D" w:rsidRPr="00A12068">
        <w:rPr>
          <w:rFonts w:ascii="Times New Roman" w:hAnsi="Times New Roman"/>
          <w:sz w:val="22"/>
          <w:szCs w:val="22"/>
        </w:rPr>
        <w:t> </w:t>
      </w:r>
      <w:r w:rsidRPr="00A12068">
        <w:rPr>
          <w:rFonts w:ascii="Times New Roman" w:hAnsi="Times New Roman"/>
          <w:sz w:val="22"/>
          <w:szCs w:val="22"/>
        </w:rPr>
        <w:t>viac</w:t>
      </w:r>
      <w:r w:rsidR="00033D3D" w:rsidRPr="00A12068">
        <w:rPr>
          <w:rFonts w:ascii="Times New Roman" w:hAnsi="Times New Roman"/>
          <w:sz w:val="22"/>
          <w:szCs w:val="22"/>
        </w:rPr>
        <w:t>,</w:t>
      </w:r>
      <w:r w:rsidRPr="00A12068">
        <w:rPr>
          <w:rFonts w:ascii="Times New Roman" w:hAnsi="Times New Roman"/>
          <w:sz w:val="22"/>
          <w:szCs w:val="22"/>
        </w:rPr>
        <w:t xml:space="preserve"> </w:t>
      </w:r>
      <w:r w:rsidR="001B7FC7" w:rsidRPr="00A12068">
        <w:rPr>
          <w:rFonts w:ascii="Times New Roman" w:hAnsi="Times New Roman"/>
          <w:sz w:val="22"/>
          <w:szCs w:val="22"/>
        </w:rPr>
        <w:t xml:space="preserve">treba </w:t>
      </w:r>
      <w:r w:rsidRPr="00A12068">
        <w:rPr>
          <w:rFonts w:ascii="Times New Roman" w:hAnsi="Times New Roman"/>
          <w:sz w:val="22"/>
          <w:szCs w:val="22"/>
        </w:rPr>
        <w:t>dávku v doplnkovej (druhej) tablete zv</w:t>
      </w:r>
      <w:r w:rsidR="001B7FC7" w:rsidRPr="00A12068">
        <w:rPr>
          <w:rFonts w:ascii="Times New Roman" w:hAnsi="Times New Roman"/>
          <w:sz w:val="22"/>
          <w:szCs w:val="22"/>
        </w:rPr>
        <w:t>ýšiť</w:t>
      </w:r>
      <w:r w:rsidRPr="00A12068">
        <w:rPr>
          <w:rFonts w:ascii="Times New Roman" w:hAnsi="Times New Roman"/>
          <w:sz w:val="22"/>
          <w:szCs w:val="22"/>
        </w:rPr>
        <w:t xml:space="preserve"> </w:t>
      </w:r>
      <w:r w:rsidR="001B7FC7" w:rsidRPr="00A12068">
        <w:rPr>
          <w:rFonts w:ascii="Times New Roman" w:hAnsi="Times New Roman"/>
          <w:sz w:val="22"/>
          <w:szCs w:val="22"/>
        </w:rPr>
        <w:t>z</w:t>
      </w:r>
      <w:r w:rsidRPr="00A12068">
        <w:rPr>
          <w:rFonts w:ascii="Times New Roman" w:hAnsi="Times New Roman"/>
          <w:sz w:val="22"/>
          <w:szCs w:val="22"/>
        </w:rPr>
        <w:t xml:space="preserve">o 100 </w:t>
      </w:r>
      <w:r w:rsidR="001B7FC7" w:rsidRPr="00A12068">
        <w:rPr>
          <w:rFonts w:ascii="Times New Roman" w:hAnsi="Times New Roman"/>
          <w:sz w:val="22"/>
          <w:szCs w:val="22"/>
        </w:rPr>
        <w:t>n</w:t>
      </w:r>
      <w:r w:rsidRPr="00A12068">
        <w:rPr>
          <w:rFonts w:ascii="Times New Roman" w:hAnsi="Times New Roman"/>
          <w:sz w:val="22"/>
          <w:szCs w:val="22"/>
        </w:rPr>
        <w:t>a 200 mikrogramo</w:t>
      </w:r>
      <w:r w:rsidR="001B7FC7" w:rsidRPr="00A12068">
        <w:rPr>
          <w:rFonts w:ascii="Times New Roman" w:hAnsi="Times New Roman"/>
          <w:sz w:val="22"/>
          <w:szCs w:val="22"/>
        </w:rPr>
        <w:t>v</w:t>
      </w:r>
      <w:r w:rsidRPr="00A12068">
        <w:rPr>
          <w:rFonts w:ascii="Times New Roman" w:hAnsi="Times New Roman"/>
          <w:sz w:val="22"/>
          <w:szCs w:val="22"/>
        </w:rPr>
        <w:t xml:space="preserve">. Ilustruje to rozpis uvedený nižšie. Pri jednej epizóde </w:t>
      </w:r>
      <w:r w:rsidR="005E21F0" w:rsidRPr="00A12068">
        <w:rPr>
          <w:rFonts w:ascii="Times New Roman" w:hAnsi="Times New Roman"/>
          <w:sz w:val="22"/>
          <w:szCs w:val="22"/>
        </w:rPr>
        <w:t xml:space="preserve">prelomovej </w:t>
      </w:r>
      <w:r w:rsidRPr="00A12068">
        <w:rPr>
          <w:rFonts w:ascii="Times New Roman" w:hAnsi="Times New Roman"/>
          <w:sz w:val="22"/>
          <w:szCs w:val="22"/>
        </w:rPr>
        <w:t xml:space="preserve">bolesti počas </w:t>
      </w:r>
      <w:r w:rsidR="001B7FC7" w:rsidRPr="00A12068">
        <w:rPr>
          <w:rFonts w:ascii="Times New Roman" w:hAnsi="Times New Roman"/>
          <w:sz w:val="22"/>
          <w:szCs w:val="22"/>
        </w:rPr>
        <w:t>titračnej f</w:t>
      </w:r>
      <w:r w:rsidR="00F93758" w:rsidRPr="00A12068">
        <w:rPr>
          <w:rFonts w:ascii="Times New Roman" w:hAnsi="Times New Roman"/>
          <w:sz w:val="22"/>
          <w:szCs w:val="22"/>
        </w:rPr>
        <w:t>á</w:t>
      </w:r>
      <w:r w:rsidR="001B7FC7" w:rsidRPr="00A12068">
        <w:rPr>
          <w:rFonts w:ascii="Times New Roman" w:hAnsi="Times New Roman"/>
          <w:sz w:val="22"/>
          <w:szCs w:val="22"/>
        </w:rPr>
        <w:t xml:space="preserve">zy </w:t>
      </w:r>
      <w:r w:rsidRPr="00A12068">
        <w:rPr>
          <w:rFonts w:ascii="Times New Roman" w:hAnsi="Times New Roman"/>
          <w:sz w:val="22"/>
          <w:szCs w:val="22"/>
        </w:rPr>
        <w:t xml:space="preserve">nepodávajte viac ako dve (2) </w:t>
      </w:r>
      <w:r w:rsidR="00B12B31" w:rsidRPr="00A12068">
        <w:rPr>
          <w:rFonts w:ascii="Times New Roman" w:hAnsi="Times New Roman"/>
          <w:sz w:val="22"/>
          <w:szCs w:val="22"/>
        </w:rPr>
        <w:t>dávky</w:t>
      </w:r>
      <w:r w:rsidRPr="00A12068">
        <w:rPr>
          <w:rFonts w:ascii="Times New Roman" w:hAnsi="Times New Roman"/>
          <w:sz w:val="22"/>
          <w:szCs w:val="22"/>
        </w:rPr>
        <w:t>.</w:t>
      </w:r>
    </w:p>
    <w:p w:rsidR="000D6F3D" w:rsidRPr="00A12068" w:rsidRDefault="000D6F3D" w:rsidP="00E12DE9">
      <w:pPr>
        <w:autoSpaceDE w:val="0"/>
        <w:autoSpaceDN w:val="0"/>
        <w:adjustRightInd w:val="0"/>
        <w:rPr>
          <w:rFonts w:ascii="Times New Roman" w:hAnsi="Times New Roman"/>
          <w:sz w:val="22"/>
          <w:szCs w:val="22"/>
        </w:rPr>
      </w:pPr>
    </w:p>
    <w:p w:rsidR="000D6F3D" w:rsidRPr="00A12068" w:rsidRDefault="000D6F3D" w:rsidP="00E12DE9">
      <w:pPr>
        <w:autoSpaceDE w:val="0"/>
        <w:autoSpaceDN w:val="0"/>
        <w:adjustRightInd w:val="0"/>
        <w:rPr>
          <w:rFonts w:ascii="Times New Roman" w:hAnsi="Times New Roman"/>
          <w:sz w:val="22"/>
          <w:szCs w:val="22"/>
        </w:rPr>
      </w:pPr>
    </w:p>
    <w:p w:rsidR="000D6F3D" w:rsidRPr="00A12068" w:rsidRDefault="000D6F3D" w:rsidP="00E12DE9">
      <w:pPr>
        <w:autoSpaceDE w:val="0"/>
        <w:autoSpaceDN w:val="0"/>
        <w:adjustRightInd w:val="0"/>
        <w:rPr>
          <w:rFonts w:ascii="Times New Roman" w:hAnsi="Times New Roman"/>
          <w:sz w:val="22"/>
          <w:szCs w:val="22"/>
        </w:rPr>
      </w:pPr>
    </w:p>
    <w:p w:rsidR="000D6F3D" w:rsidRPr="00A12068" w:rsidRDefault="000D6F3D" w:rsidP="00E12DE9">
      <w:pPr>
        <w:autoSpaceDE w:val="0"/>
        <w:autoSpaceDN w:val="0"/>
        <w:adjustRightInd w:val="0"/>
        <w:rPr>
          <w:rFonts w:ascii="Times New Roman" w:hAnsi="Times New Roman"/>
          <w:sz w:val="22"/>
          <w:szCs w:val="22"/>
        </w:rPr>
      </w:pPr>
    </w:p>
    <w:p w:rsidR="000D6F3D" w:rsidRPr="00A12068" w:rsidRDefault="000D6F3D" w:rsidP="00E12DE9">
      <w:pPr>
        <w:autoSpaceDE w:val="0"/>
        <w:autoSpaceDN w:val="0"/>
        <w:adjustRightInd w:val="0"/>
        <w:rPr>
          <w:rFonts w:ascii="Times New Roman" w:hAnsi="Times New Roman"/>
          <w:sz w:val="22"/>
          <w:szCs w:val="22"/>
        </w:rPr>
      </w:pPr>
    </w:p>
    <w:p w:rsidR="000D6F3D" w:rsidRPr="00A12068" w:rsidRDefault="000D6F3D" w:rsidP="00E12DE9">
      <w:pPr>
        <w:autoSpaceDE w:val="0"/>
        <w:autoSpaceDN w:val="0"/>
        <w:adjustRightInd w:val="0"/>
        <w:rPr>
          <w:rFonts w:ascii="Times New Roman" w:hAnsi="Times New Roman"/>
          <w:sz w:val="22"/>
          <w:szCs w:val="22"/>
        </w:rPr>
      </w:pPr>
      <w:r w:rsidRPr="00A12068">
        <w:rPr>
          <w:rFonts w:ascii="Times New Roman" w:hAnsi="Times New Roman"/>
          <w:sz w:val="22"/>
          <w:szCs w:val="22"/>
        </w:rPr>
        <w:br w:type="page"/>
      </w:r>
    </w:p>
    <w:p w:rsidR="000D6F3D" w:rsidRPr="00A12068" w:rsidRDefault="000D6F3D" w:rsidP="00E12DE9">
      <w:pPr>
        <w:pStyle w:val="Hlavika"/>
        <w:tabs>
          <w:tab w:val="clear" w:pos="4153"/>
          <w:tab w:val="clear" w:pos="8306"/>
        </w:tabs>
        <w:autoSpaceDE w:val="0"/>
        <w:autoSpaceDN w:val="0"/>
        <w:adjustRightInd w:val="0"/>
        <w:rPr>
          <w:rFonts w:ascii="Times New Roman" w:hAnsi="Times New Roman"/>
          <w:sz w:val="22"/>
          <w:szCs w:val="22"/>
        </w:rPr>
      </w:pPr>
    </w:p>
    <w:p w:rsidR="000D6F3D" w:rsidRPr="00A12068" w:rsidRDefault="000D6F3D" w:rsidP="00E12DE9">
      <w:pPr>
        <w:pStyle w:val="Hlavika"/>
        <w:tabs>
          <w:tab w:val="clear" w:pos="4153"/>
          <w:tab w:val="clear" w:pos="8306"/>
        </w:tabs>
        <w:autoSpaceDE w:val="0"/>
        <w:autoSpaceDN w:val="0"/>
        <w:adjustRightInd w:val="0"/>
        <w:rPr>
          <w:rFonts w:ascii="Times New Roman" w:hAnsi="Times New Roman"/>
          <w:sz w:val="22"/>
          <w:szCs w:val="22"/>
        </w:rPr>
      </w:pPr>
    </w:p>
    <w:p w:rsidR="000D6F3D" w:rsidRPr="00A12068" w:rsidRDefault="000D6F3D" w:rsidP="00E12DE9">
      <w:pPr>
        <w:pStyle w:val="SPCNormal"/>
        <w:jc w:val="center"/>
        <w:rPr>
          <w:b/>
          <w:bCs/>
          <w:szCs w:val="22"/>
          <w:highlight w:val="green"/>
        </w:rPr>
      </w:pPr>
      <w:r w:rsidRPr="00A12068">
        <w:rPr>
          <w:b/>
          <w:bCs/>
          <w:szCs w:val="22"/>
        </w:rPr>
        <w:t xml:space="preserve">Titračný proces </w:t>
      </w:r>
      <w:r w:rsidR="00D2653D" w:rsidRPr="00A12068">
        <w:rPr>
          <w:b/>
          <w:bCs/>
          <w:szCs w:val="22"/>
        </w:rPr>
        <w:t>Lunaldinu</w:t>
      </w:r>
    </w:p>
    <w:p w:rsidR="000D6F3D" w:rsidRPr="00A12068" w:rsidRDefault="000D6F3D" w:rsidP="00E12DE9">
      <w:pPr>
        <w:pStyle w:val="SPCNormal"/>
        <w:rPr>
          <w:szCs w:val="22"/>
          <w:highlight w:val="green"/>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722EBC" w:rsidP="00E12DE9">
      <w:pPr>
        <w:pStyle w:val="SPCNormal"/>
        <w:rPr>
          <w:szCs w:val="22"/>
        </w:rPr>
      </w:pPr>
      <w:r>
        <w:rPr>
          <w:szCs w:val="22"/>
          <w:highlight w:val="green"/>
          <w:u w:val="single"/>
        </w:rPr>
        <w:pict>
          <v:group id="_x0000_s1026" style="position:absolute;margin-left:1in;margin-top:.9pt;width:342pt;height:264pt;z-index:251657216" coordorigin="1152,480" coordsize="2736,2112">
            <v:rect id="_x0000_s1027" style="position:absolute;left:1680;top:480;width:1632;height:287;v-text-anchor:middle" filled="f" fillcolor="#936">
              <v:textbox style="mso-next-textbox:#_x0000_s1027">
                <w:txbxContent>
                  <w:p w:rsidR="003D4962" w:rsidRPr="00A12068" w:rsidRDefault="003D4962">
                    <w:pPr>
                      <w:autoSpaceDE w:val="0"/>
                      <w:autoSpaceDN w:val="0"/>
                      <w:adjustRightInd w:val="0"/>
                      <w:jc w:val="center"/>
                      <w:rPr>
                        <w:rFonts w:ascii="Times New Roman" w:hAnsi="Times New Roman"/>
                        <w:b/>
                        <w:bCs/>
                        <w:sz w:val="22"/>
                        <w:szCs w:val="22"/>
                      </w:rPr>
                    </w:pPr>
                    <w:r w:rsidRPr="00A12068">
                      <w:rPr>
                        <w:rFonts w:ascii="Times New Roman" w:hAnsi="Times New Roman"/>
                        <w:b/>
                        <w:bCs/>
                        <w:sz w:val="22"/>
                        <w:szCs w:val="22"/>
                      </w:rPr>
                      <w:t>Začiatočná dávka</w:t>
                    </w:r>
                  </w:p>
                  <w:p w:rsidR="003D4962" w:rsidRPr="00A12068" w:rsidRDefault="003D4962">
                    <w:pPr>
                      <w:autoSpaceDE w:val="0"/>
                      <w:autoSpaceDN w:val="0"/>
                      <w:adjustRightInd w:val="0"/>
                      <w:jc w:val="center"/>
                      <w:rPr>
                        <w:b/>
                        <w:bCs/>
                        <w:sz w:val="22"/>
                        <w:szCs w:val="22"/>
                      </w:rPr>
                    </w:pPr>
                    <w:r w:rsidRPr="00A12068">
                      <w:rPr>
                        <w:rFonts w:ascii="Times New Roman" w:hAnsi="Times New Roman"/>
                        <w:b/>
                        <w:bCs/>
                        <w:sz w:val="22"/>
                        <w:szCs w:val="22"/>
                      </w:rPr>
                      <w:t>100 μg</w:t>
                    </w:r>
                  </w:p>
                </w:txbxContent>
              </v:textbox>
            </v:rect>
            <v:rect id="_x0000_s1028" style="position:absolute;left:1392;top:912;width:2208;height:192;v-text-anchor:middle" filled="f" fillcolor="#936">
              <v:textbox style="mso-next-textbox:#_x0000_s1028">
                <w:txbxContent>
                  <w:p w:rsidR="003D4962" w:rsidRPr="00C05730" w:rsidRDefault="003D4962">
                    <w:pPr>
                      <w:autoSpaceDE w:val="0"/>
                      <w:autoSpaceDN w:val="0"/>
                      <w:adjustRightInd w:val="0"/>
                      <w:jc w:val="center"/>
                      <w:rPr>
                        <w:rFonts w:ascii="Times New Roman" w:hAnsi="Times New Roman"/>
                        <w:b/>
                        <w:bCs/>
                        <w:sz w:val="22"/>
                        <w:szCs w:val="22"/>
                        <w:lang w:val="es-ES"/>
                      </w:rPr>
                    </w:pPr>
                    <w:r w:rsidRPr="00C05730">
                      <w:rPr>
                        <w:rFonts w:ascii="Times New Roman" w:hAnsi="Times New Roman"/>
                        <w:b/>
                        <w:bCs/>
                        <w:sz w:val="22"/>
                        <w:szCs w:val="22"/>
                        <w:lang w:val="es-ES"/>
                      </w:rPr>
                      <w:t>Dostatočná úľava bolesti dosiahnutá do 15-30 minút?</w:t>
                    </w:r>
                  </w:p>
                  <w:p w:rsidR="003D4962" w:rsidRPr="00C05730" w:rsidRDefault="003D4962">
                    <w:pPr>
                      <w:autoSpaceDE w:val="0"/>
                      <w:autoSpaceDN w:val="0"/>
                      <w:adjustRightInd w:val="0"/>
                      <w:jc w:val="center"/>
                      <w:rPr>
                        <w:b/>
                        <w:bCs/>
                        <w:sz w:val="22"/>
                        <w:szCs w:val="22"/>
                        <w:lang w:val="es-ES"/>
                      </w:rPr>
                    </w:pPr>
                  </w:p>
                  <w:p w:rsidR="003D4962" w:rsidRPr="00C05730" w:rsidRDefault="003D4962">
                    <w:pPr>
                      <w:autoSpaceDE w:val="0"/>
                      <w:autoSpaceDN w:val="0"/>
                      <w:adjustRightInd w:val="0"/>
                      <w:jc w:val="center"/>
                      <w:rPr>
                        <w:b/>
                        <w:bCs/>
                        <w:sz w:val="22"/>
                        <w:szCs w:val="22"/>
                        <w:lang w:val="es-ES"/>
                      </w:rPr>
                    </w:pPr>
                  </w:p>
                  <w:p w:rsidR="003D4962" w:rsidRPr="00C05730" w:rsidRDefault="003D4962">
                    <w:pPr>
                      <w:autoSpaceDE w:val="0"/>
                      <w:autoSpaceDN w:val="0"/>
                      <w:adjustRightInd w:val="0"/>
                      <w:jc w:val="center"/>
                      <w:rPr>
                        <w:b/>
                        <w:bCs/>
                        <w:sz w:val="22"/>
                        <w:szCs w:val="22"/>
                        <w:lang w:val="es-ES"/>
                      </w:rPr>
                    </w:pPr>
                  </w:p>
                </w:txbxContent>
              </v:textbox>
            </v:rect>
            <v:rect id="_x0000_s1029" style="position:absolute;left:1488;top:1381;width:480;height:174;v-text-anchor:middle" filled="f" fillcolor="#0cf">
              <v:textbox style="mso-next-textbox:#_x0000_s1029">
                <w:txbxContent>
                  <w:p w:rsidR="003D4962" w:rsidRPr="00A12068" w:rsidRDefault="003D4962">
                    <w:pPr>
                      <w:pStyle w:val="Nadpis4"/>
                      <w:rPr>
                        <w:lang w:val="sk-SK"/>
                      </w:rPr>
                    </w:pPr>
                    <w:r w:rsidRPr="00A12068">
                      <w:rPr>
                        <w:lang w:val="sk-SK"/>
                      </w:rPr>
                      <w:t>Áno</w:t>
                    </w:r>
                  </w:p>
                </w:txbxContent>
              </v:textbox>
            </v:rect>
            <v:rect id="_x0000_s1030" style="position:absolute;left:3024;top:1381;width:480;height:174;v-text-anchor:middle" filled="f" fillcolor="#339">
              <v:textbox style="mso-next-textbox:#_x0000_s1030">
                <w:txbxContent>
                  <w:p w:rsidR="003D4962" w:rsidRPr="00A12068" w:rsidRDefault="003D4962">
                    <w:pPr>
                      <w:pStyle w:val="Nadpis4"/>
                      <w:rPr>
                        <w:lang w:val="sk-SK"/>
                      </w:rPr>
                    </w:pPr>
                    <w:r w:rsidRPr="00A12068">
                      <w:rPr>
                        <w:lang w:val="sk-SK"/>
                      </w:rPr>
                      <w:t>Nie</w:t>
                    </w:r>
                  </w:p>
                </w:txbxContent>
              </v:textbox>
            </v:rect>
            <v:rect id="_x0000_s1031" style="position:absolute;left:2640;top:1699;width:1248;height:360;v-text-anchor:middle" filled="f" fillcolor="#936">
              <v:textbox style="mso-next-textbox:#_x0000_s1031">
                <w:txbxContent>
                  <w:p w:rsidR="003D4962" w:rsidRDefault="003D4962">
                    <w:pPr>
                      <w:pStyle w:val="Nadpis4"/>
                      <w:rPr>
                        <w:lang w:val="sk-SK"/>
                      </w:rPr>
                    </w:pPr>
                    <w:r>
                      <w:rPr>
                        <w:lang w:val="sk-SK"/>
                      </w:rPr>
                      <w:t>Užite druhú tabletu</w:t>
                    </w:r>
                  </w:p>
                  <w:p w:rsidR="003D4962" w:rsidRDefault="003D4962">
                    <w:pPr>
                      <w:pStyle w:val="Zkladntext2"/>
                    </w:pPr>
                    <w:r>
                      <w:t>(Pozri tabuľku na stanovenie sily druhej tablety)</w:t>
                    </w:r>
                  </w:p>
                </w:txbxContent>
              </v:textbox>
            </v:rect>
            <v:rect id="_x0000_s1032" style="position:absolute;left:2640;top:2208;width:1248;height:384;v-text-anchor:middle" filled="f" fillcolor="#936">
              <v:textbox style="mso-next-textbox:#_x0000_s1032">
                <w:txbxContent>
                  <w:p w:rsidR="003D4962" w:rsidRDefault="003D496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Zvýš prvú tabletu na ďalšiu vyššiu silu pri následnej epizóde prelomovej bolesti</w:t>
                    </w:r>
                  </w:p>
                </w:txbxContent>
              </v:textbox>
            </v:rect>
            <v:rect id="_x0000_s1033" style="position:absolute;left:1152;top:2208;width:1152;height:384;v-text-anchor:middle" filled="f" fillcolor="#936">
              <v:textbox style="mso-next-textbox:#_x0000_s1033">
                <w:txbxContent>
                  <w:p w:rsidR="003D4962" w:rsidRDefault="003D4962">
                    <w:pPr>
                      <w:autoSpaceDE w:val="0"/>
                      <w:autoSpaceDN w:val="0"/>
                      <w:adjustRightInd w:val="0"/>
                      <w:jc w:val="center"/>
                      <w:rPr>
                        <w:rFonts w:ascii="Times New Roman" w:hAnsi="Times New Roman"/>
                        <w:b/>
                        <w:bCs/>
                        <w:sz w:val="22"/>
                        <w:szCs w:val="22"/>
                      </w:rPr>
                    </w:pPr>
                    <w:r>
                      <w:rPr>
                        <w:rFonts w:ascii="Times New Roman" w:hAnsi="Times New Roman"/>
                        <w:b/>
                        <w:bCs/>
                        <w:sz w:val="22"/>
                        <w:szCs w:val="22"/>
                      </w:rPr>
                      <w:t>Použi túto dávku na následné epizódy prelomovej bolesti</w:t>
                    </w:r>
                  </w:p>
                </w:txbxContent>
              </v:textbox>
            </v:rect>
            <v:shapetype id="_x0000_t32" coordsize="21600,21600" o:spt="32" o:oned="t" path="m,l21600,21600e" filled="f">
              <v:path arrowok="t" fillok="f" o:connecttype="none"/>
              <o:lock v:ext="edit" shapetype="t"/>
            </v:shapetype>
            <v:shape id="_x0000_s1034" type="#_x0000_t32" style="position:absolute;left:2496;top:767;width:0;height:145"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5" type="#_x0000_t34" style="position:absolute;left:1973;top:859;width:277;height:768;rotation:90" o:connectortype="elbow" adj="10761,-31050,-194634">
              <v:stroke endarrow="block"/>
            </v:shape>
            <v:shape id="_x0000_s1036" type="#_x0000_t34" style="position:absolute;left:2741;top:859;width:277;height:768;rotation:90;flip:x" o:connectortype="elbow" adj="10761,31050,-194634">
              <v:stroke endarrow="block"/>
            </v:shape>
            <v:shape id="_x0000_s1037" type="#_x0000_t32" style="position:absolute;left:1728;top:1555;width:0;height:653" o:connectortype="straight">
              <v:stroke endarrow="block"/>
            </v:shape>
            <v:shape id="_x0000_s1038" type="#_x0000_t32" style="position:absolute;left:3264;top:1555;width:0;height:144" o:connectortype="straight">
              <v:stroke endarrow="block"/>
            </v:shape>
            <v:shape id="_x0000_s1039" type="#_x0000_t32" style="position:absolute;left:3264;top:2059;width:0;height:149" o:connectortype="straight">
              <v:stroke endarrow="block"/>
            </v:shape>
            <v:shape id="_x0000_s1040" type="#_x0000_t34" style="position:absolute;left:3600;top:1008;width:288;height:1392;flip:x y" o:connectortype="elbow" adj="-10800,37241,291600">
              <v:stroke endarrow="block"/>
            </v:shape>
          </v:group>
        </w:pict>
      </w: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Normal"/>
        <w:rPr>
          <w:b/>
          <w:szCs w:val="22"/>
          <w:u w:val="single"/>
        </w:rPr>
      </w:pPr>
    </w:p>
    <w:p w:rsidR="000D6F3D" w:rsidRPr="00A12068" w:rsidRDefault="000D6F3D" w:rsidP="00E12DE9">
      <w:pPr>
        <w:pStyle w:val="SPCNormal"/>
        <w:rPr>
          <w:b/>
          <w:szCs w:val="22"/>
          <w:u w:val="single"/>
        </w:rPr>
      </w:pPr>
    </w:p>
    <w:p w:rsidR="000D6F3D" w:rsidRPr="00A12068" w:rsidRDefault="000D6F3D" w:rsidP="00E12DE9">
      <w:pPr>
        <w:pStyle w:val="SPCNormal"/>
        <w:rPr>
          <w:b/>
          <w:szCs w:val="22"/>
          <w:u w:val="single"/>
        </w:rPr>
      </w:pPr>
    </w:p>
    <w:p w:rsidR="000D6F3D" w:rsidRPr="00A12068" w:rsidRDefault="000D6F3D" w:rsidP="00E12DE9">
      <w:pPr>
        <w:pStyle w:val="SPCNormal"/>
        <w:rPr>
          <w:b/>
          <w:szCs w:val="22"/>
          <w:u w:val="single"/>
        </w:rPr>
      </w:pPr>
    </w:p>
    <w:p w:rsidR="000D6F3D" w:rsidRPr="00A12068" w:rsidRDefault="000D6F3D" w:rsidP="00E12DE9">
      <w:pPr>
        <w:pStyle w:val="SPCNormal"/>
        <w:rPr>
          <w:b/>
          <w:szCs w:val="22"/>
          <w:u w:val="single"/>
        </w:rPr>
      </w:pPr>
    </w:p>
    <w:p w:rsidR="000D6F3D" w:rsidRPr="00A12068" w:rsidRDefault="000D6F3D" w:rsidP="00E12DE9">
      <w:pPr>
        <w:autoSpaceDE w:val="0"/>
        <w:autoSpaceDN w:val="0"/>
        <w:adjustRightInd w:val="0"/>
        <w:rPr>
          <w:rFonts w:ascii="Times New Roman" w:hAnsi="Times New Roman"/>
          <w:sz w:val="22"/>
          <w:szCs w:val="22"/>
        </w:rPr>
      </w:pPr>
    </w:p>
    <w:p w:rsidR="000D6F3D" w:rsidRPr="00A12068" w:rsidRDefault="000D6F3D" w:rsidP="00E12DE9">
      <w:pPr>
        <w:pStyle w:val="SPCNormal"/>
        <w:rPr>
          <w:b/>
          <w:szCs w:val="22"/>
          <w:u w:val="single"/>
        </w:rPr>
      </w:pPr>
    </w:p>
    <w:p w:rsidR="000D6F3D" w:rsidRPr="00A12068" w:rsidRDefault="000D6F3D" w:rsidP="00E12DE9">
      <w:pPr>
        <w:pStyle w:val="SPCNormal"/>
        <w:rPr>
          <w:b/>
          <w:szCs w:val="22"/>
          <w:u w:val="single"/>
        </w:rPr>
      </w:pPr>
    </w:p>
    <w:tbl>
      <w:tblPr>
        <w:tblW w:w="4552" w:type="pct"/>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4227"/>
      </w:tblGrid>
      <w:tr w:rsidR="000D6F3D" w:rsidRPr="00A12068">
        <w:trPr>
          <w:jc w:val="center"/>
        </w:trPr>
        <w:tc>
          <w:tcPr>
            <w:tcW w:w="2500" w:type="pct"/>
          </w:tcPr>
          <w:p w:rsidR="000D6F3D" w:rsidRPr="00A12068" w:rsidRDefault="000D6F3D" w:rsidP="00E12DE9">
            <w:pPr>
              <w:pStyle w:val="SPCNormal"/>
              <w:rPr>
                <w:szCs w:val="22"/>
              </w:rPr>
            </w:pPr>
            <w:r w:rsidRPr="00A12068">
              <w:rPr>
                <w:szCs w:val="22"/>
              </w:rPr>
              <w:t xml:space="preserve">Veľkosť dávky (mikrogramy) prvej sublingválnej tablety na epizódu </w:t>
            </w:r>
            <w:r w:rsidR="005E21F0" w:rsidRPr="00A12068">
              <w:rPr>
                <w:szCs w:val="22"/>
              </w:rPr>
              <w:t xml:space="preserve">prelomovej </w:t>
            </w:r>
            <w:r w:rsidRPr="00A12068">
              <w:rPr>
                <w:szCs w:val="22"/>
              </w:rPr>
              <w:t>bolesti</w:t>
            </w:r>
          </w:p>
        </w:tc>
        <w:tc>
          <w:tcPr>
            <w:tcW w:w="2500" w:type="pct"/>
          </w:tcPr>
          <w:p w:rsidR="00D146BB" w:rsidRPr="00A12068" w:rsidRDefault="000D6F3D" w:rsidP="00E12DE9">
            <w:pPr>
              <w:pStyle w:val="SPCNormal"/>
              <w:rPr>
                <w:szCs w:val="22"/>
              </w:rPr>
            </w:pPr>
            <w:r w:rsidRPr="00A12068">
              <w:rPr>
                <w:szCs w:val="22"/>
              </w:rPr>
              <w:t xml:space="preserve">Veľkosť dávky (mikrogramy) dodatkovej (druhej) sublingválnej tablety podanej po </w:t>
            </w:r>
          </w:p>
          <w:p w:rsidR="000D6F3D" w:rsidRPr="00A12068" w:rsidRDefault="000D6F3D" w:rsidP="00D146BB">
            <w:pPr>
              <w:pStyle w:val="SPCNormal"/>
              <w:rPr>
                <w:szCs w:val="22"/>
              </w:rPr>
            </w:pPr>
            <w:r w:rsidRPr="00A12068">
              <w:rPr>
                <w:szCs w:val="22"/>
              </w:rPr>
              <w:t>15</w:t>
            </w:r>
            <w:r w:rsidR="00D146BB" w:rsidRPr="00A12068">
              <w:rPr>
                <w:szCs w:val="22"/>
              </w:rPr>
              <w:t> – </w:t>
            </w:r>
            <w:r w:rsidRPr="00A12068">
              <w:rPr>
                <w:szCs w:val="22"/>
              </w:rPr>
              <w:t>30 minútach po prvej tablete, ak je to potrebné</w:t>
            </w:r>
          </w:p>
        </w:tc>
      </w:tr>
      <w:tr w:rsidR="000D6F3D" w:rsidRPr="00A12068">
        <w:trPr>
          <w:jc w:val="center"/>
        </w:trPr>
        <w:tc>
          <w:tcPr>
            <w:tcW w:w="2500" w:type="pct"/>
          </w:tcPr>
          <w:p w:rsidR="000D6F3D" w:rsidRPr="00A12068" w:rsidRDefault="000D6F3D" w:rsidP="004E27FD">
            <w:pPr>
              <w:pStyle w:val="SPCNormal"/>
              <w:jc w:val="center"/>
              <w:rPr>
                <w:szCs w:val="22"/>
              </w:rPr>
            </w:pPr>
            <w:r w:rsidRPr="00A12068">
              <w:rPr>
                <w:szCs w:val="22"/>
              </w:rPr>
              <w:t>100</w:t>
            </w:r>
          </w:p>
        </w:tc>
        <w:tc>
          <w:tcPr>
            <w:tcW w:w="2500" w:type="pct"/>
          </w:tcPr>
          <w:p w:rsidR="000D6F3D" w:rsidRPr="00A12068" w:rsidRDefault="000D6F3D" w:rsidP="004E27FD">
            <w:pPr>
              <w:pStyle w:val="SPCNormal"/>
              <w:jc w:val="center"/>
              <w:rPr>
                <w:szCs w:val="22"/>
              </w:rPr>
            </w:pPr>
            <w:r w:rsidRPr="00A12068">
              <w:rPr>
                <w:szCs w:val="22"/>
              </w:rPr>
              <w:t>100</w:t>
            </w:r>
          </w:p>
        </w:tc>
      </w:tr>
      <w:tr w:rsidR="000D6F3D" w:rsidRPr="00A12068">
        <w:trPr>
          <w:jc w:val="center"/>
        </w:trPr>
        <w:tc>
          <w:tcPr>
            <w:tcW w:w="2500" w:type="pct"/>
          </w:tcPr>
          <w:p w:rsidR="000D6F3D" w:rsidRPr="00A12068" w:rsidRDefault="000D6F3D" w:rsidP="004E27FD">
            <w:pPr>
              <w:pStyle w:val="SPCNormal"/>
              <w:jc w:val="center"/>
              <w:rPr>
                <w:szCs w:val="22"/>
              </w:rPr>
            </w:pPr>
            <w:r w:rsidRPr="00A12068">
              <w:rPr>
                <w:szCs w:val="22"/>
              </w:rPr>
              <w:t>200</w:t>
            </w:r>
          </w:p>
        </w:tc>
        <w:tc>
          <w:tcPr>
            <w:tcW w:w="2500" w:type="pct"/>
          </w:tcPr>
          <w:p w:rsidR="000D6F3D" w:rsidRPr="00A12068" w:rsidRDefault="000D6F3D" w:rsidP="004E27FD">
            <w:pPr>
              <w:pStyle w:val="SPCNormal"/>
              <w:jc w:val="center"/>
              <w:rPr>
                <w:szCs w:val="22"/>
              </w:rPr>
            </w:pPr>
            <w:r w:rsidRPr="00A12068">
              <w:rPr>
                <w:szCs w:val="22"/>
              </w:rPr>
              <w:t>100</w:t>
            </w:r>
          </w:p>
        </w:tc>
      </w:tr>
      <w:tr w:rsidR="000D6F3D" w:rsidRPr="00A12068">
        <w:trPr>
          <w:jc w:val="center"/>
        </w:trPr>
        <w:tc>
          <w:tcPr>
            <w:tcW w:w="2500" w:type="pct"/>
          </w:tcPr>
          <w:p w:rsidR="000D6F3D" w:rsidRPr="00A12068" w:rsidRDefault="000D6F3D" w:rsidP="004E27FD">
            <w:pPr>
              <w:pStyle w:val="SPCNormal"/>
              <w:jc w:val="center"/>
              <w:rPr>
                <w:szCs w:val="22"/>
              </w:rPr>
            </w:pPr>
            <w:r w:rsidRPr="00A12068">
              <w:rPr>
                <w:szCs w:val="22"/>
              </w:rPr>
              <w:t>300</w:t>
            </w:r>
          </w:p>
        </w:tc>
        <w:tc>
          <w:tcPr>
            <w:tcW w:w="2500" w:type="pct"/>
          </w:tcPr>
          <w:p w:rsidR="000D6F3D" w:rsidRPr="00A12068" w:rsidRDefault="000D6F3D" w:rsidP="004E27FD">
            <w:pPr>
              <w:pStyle w:val="SPCNormal"/>
              <w:jc w:val="center"/>
              <w:rPr>
                <w:szCs w:val="22"/>
              </w:rPr>
            </w:pPr>
            <w:r w:rsidRPr="00A12068">
              <w:rPr>
                <w:szCs w:val="22"/>
              </w:rPr>
              <w:t>100</w:t>
            </w:r>
          </w:p>
        </w:tc>
      </w:tr>
      <w:tr w:rsidR="000D6F3D" w:rsidRPr="00A12068">
        <w:trPr>
          <w:jc w:val="center"/>
        </w:trPr>
        <w:tc>
          <w:tcPr>
            <w:tcW w:w="2500" w:type="pct"/>
          </w:tcPr>
          <w:p w:rsidR="000D6F3D" w:rsidRPr="00A12068" w:rsidRDefault="000D6F3D" w:rsidP="004E27FD">
            <w:pPr>
              <w:pStyle w:val="SPCNormal"/>
              <w:jc w:val="center"/>
              <w:rPr>
                <w:szCs w:val="22"/>
              </w:rPr>
            </w:pPr>
            <w:r w:rsidRPr="00A12068">
              <w:rPr>
                <w:szCs w:val="22"/>
              </w:rPr>
              <w:t>400</w:t>
            </w:r>
          </w:p>
        </w:tc>
        <w:tc>
          <w:tcPr>
            <w:tcW w:w="2500" w:type="pct"/>
          </w:tcPr>
          <w:p w:rsidR="000D6F3D" w:rsidRPr="00A12068" w:rsidRDefault="000D6F3D" w:rsidP="004E27FD">
            <w:pPr>
              <w:pStyle w:val="SPCNormal"/>
              <w:jc w:val="center"/>
              <w:rPr>
                <w:szCs w:val="22"/>
              </w:rPr>
            </w:pPr>
            <w:r w:rsidRPr="00A12068">
              <w:rPr>
                <w:szCs w:val="22"/>
              </w:rPr>
              <w:t>200</w:t>
            </w:r>
          </w:p>
        </w:tc>
      </w:tr>
      <w:tr w:rsidR="000D6F3D" w:rsidRPr="00A12068">
        <w:trPr>
          <w:jc w:val="center"/>
        </w:trPr>
        <w:tc>
          <w:tcPr>
            <w:tcW w:w="2500" w:type="pct"/>
          </w:tcPr>
          <w:p w:rsidR="000D6F3D" w:rsidRPr="00A12068" w:rsidRDefault="000D6F3D" w:rsidP="004E27FD">
            <w:pPr>
              <w:pStyle w:val="SPCNormal"/>
              <w:jc w:val="center"/>
              <w:rPr>
                <w:szCs w:val="22"/>
              </w:rPr>
            </w:pPr>
            <w:r w:rsidRPr="00A12068">
              <w:rPr>
                <w:szCs w:val="22"/>
              </w:rPr>
              <w:t>600</w:t>
            </w:r>
          </w:p>
        </w:tc>
        <w:tc>
          <w:tcPr>
            <w:tcW w:w="2500" w:type="pct"/>
          </w:tcPr>
          <w:p w:rsidR="000D6F3D" w:rsidRPr="00A12068" w:rsidRDefault="000D6F3D" w:rsidP="004E27FD">
            <w:pPr>
              <w:pStyle w:val="SPCNormal"/>
              <w:jc w:val="center"/>
              <w:rPr>
                <w:szCs w:val="22"/>
              </w:rPr>
            </w:pPr>
            <w:r w:rsidRPr="00A12068">
              <w:rPr>
                <w:szCs w:val="22"/>
              </w:rPr>
              <w:t>200</w:t>
            </w:r>
          </w:p>
        </w:tc>
      </w:tr>
      <w:tr w:rsidR="000D6F3D" w:rsidRPr="00A12068">
        <w:trPr>
          <w:jc w:val="center"/>
        </w:trPr>
        <w:tc>
          <w:tcPr>
            <w:tcW w:w="2500" w:type="pct"/>
          </w:tcPr>
          <w:p w:rsidR="000D6F3D" w:rsidRPr="00A12068" w:rsidRDefault="000D6F3D" w:rsidP="004E27FD">
            <w:pPr>
              <w:pStyle w:val="SPCNormal"/>
              <w:jc w:val="center"/>
              <w:rPr>
                <w:szCs w:val="22"/>
              </w:rPr>
            </w:pPr>
            <w:r w:rsidRPr="00A12068">
              <w:rPr>
                <w:szCs w:val="22"/>
              </w:rPr>
              <w:t>800</w:t>
            </w:r>
          </w:p>
        </w:tc>
        <w:tc>
          <w:tcPr>
            <w:tcW w:w="2500" w:type="pct"/>
          </w:tcPr>
          <w:p w:rsidR="000D6F3D" w:rsidRPr="00A12068" w:rsidRDefault="000D6F3D" w:rsidP="004E27FD">
            <w:pPr>
              <w:pStyle w:val="SPCNormal"/>
              <w:jc w:val="center"/>
              <w:rPr>
                <w:szCs w:val="22"/>
              </w:rPr>
            </w:pPr>
            <w:r w:rsidRPr="00A12068">
              <w:rPr>
                <w:szCs w:val="22"/>
              </w:rPr>
              <w:t>-</w:t>
            </w:r>
          </w:p>
        </w:tc>
      </w:tr>
    </w:tbl>
    <w:p w:rsidR="000D6F3D" w:rsidRPr="00A12068" w:rsidRDefault="000D6F3D" w:rsidP="00E12DE9">
      <w:pPr>
        <w:pStyle w:val="SPCNormal"/>
        <w:rPr>
          <w:b/>
          <w:szCs w:val="22"/>
          <w:u w:val="single"/>
        </w:rPr>
      </w:pPr>
    </w:p>
    <w:p w:rsidR="000D6F3D" w:rsidRPr="00A12068" w:rsidRDefault="000D6F3D" w:rsidP="00E12DE9">
      <w:pPr>
        <w:pStyle w:val="SPCNormal"/>
        <w:rPr>
          <w:szCs w:val="22"/>
        </w:rPr>
      </w:pPr>
      <w:r w:rsidRPr="00A12068">
        <w:rPr>
          <w:szCs w:val="22"/>
        </w:rPr>
        <w:t>Ak sa pri vyššej dávke dosiahne potrebn</w:t>
      </w:r>
      <w:r w:rsidR="00662466" w:rsidRPr="00A12068">
        <w:rPr>
          <w:szCs w:val="22"/>
        </w:rPr>
        <w:t>á analgézia</w:t>
      </w:r>
      <w:r w:rsidRPr="00A12068">
        <w:rPr>
          <w:szCs w:val="22"/>
        </w:rPr>
        <w:t xml:space="preserve">, ale </w:t>
      </w:r>
      <w:r w:rsidR="00662466" w:rsidRPr="00A12068">
        <w:rPr>
          <w:szCs w:val="22"/>
        </w:rPr>
        <w:t xml:space="preserve">nežiaduce </w:t>
      </w:r>
      <w:r w:rsidRPr="00A12068">
        <w:rPr>
          <w:szCs w:val="22"/>
        </w:rPr>
        <w:t xml:space="preserve">účinky sú neprijateľné, možno podať stredne veľkú dávku (podľa potreby </w:t>
      </w:r>
      <w:r w:rsidR="00662466" w:rsidRPr="00A12068">
        <w:rPr>
          <w:szCs w:val="22"/>
        </w:rPr>
        <w:t xml:space="preserve">použiť </w:t>
      </w:r>
      <w:r w:rsidRPr="00A12068">
        <w:rPr>
          <w:szCs w:val="22"/>
        </w:rPr>
        <w:t>100 mikrogramovú sublingválnu tabletu).</w:t>
      </w:r>
    </w:p>
    <w:p w:rsidR="000D6F3D" w:rsidRPr="00A12068" w:rsidRDefault="000D6F3D" w:rsidP="00E12DE9">
      <w:pPr>
        <w:pStyle w:val="SPCNormal"/>
        <w:rPr>
          <w:szCs w:val="22"/>
        </w:rPr>
      </w:pPr>
    </w:p>
    <w:p w:rsidR="00B12B31" w:rsidRPr="00A12068" w:rsidRDefault="00B12B31" w:rsidP="00E12DE9">
      <w:pPr>
        <w:pStyle w:val="SPCNormal"/>
        <w:rPr>
          <w:szCs w:val="22"/>
        </w:rPr>
      </w:pPr>
      <w:r w:rsidRPr="00A12068">
        <w:rPr>
          <w:szCs w:val="22"/>
        </w:rPr>
        <w:t>Počas titrácie môžu byť pacienti poučení, aby užívali násobky 100 mikrogramových tabliet a/alebo 200 mikrogramových tabliet pri jednorazovej dávke. Naraz sa nem</w:t>
      </w:r>
      <w:r w:rsidR="00180A5D" w:rsidRPr="00A12068">
        <w:rPr>
          <w:szCs w:val="22"/>
        </w:rPr>
        <w:t>ajú</w:t>
      </w:r>
      <w:r w:rsidRPr="00A12068">
        <w:rPr>
          <w:szCs w:val="22"/>
        </w:rPr>
        <w:t xml:space="preserve"> užiť viac ako štyri (4) tablety.</w:t>
      </w:r>
    </w:p>
    <w:p w:rsidR="00B12B31" w:rsidRPr="00A12068" w:rsidRDefault="00B12B31" w:rsidP="00E12DE9">
      <w:pPr>
        <w:pStyle w:val="SPCNormal"/>
        <w:rPr>
          <w:szCs w:val="22"/>
        </w:rPr>
      </w:pPr>
    </w:p>
    <w:p w:rsidR="000D6F3D" w:rsidRPr="00A12068" w:rsidRDefault="000D6F3D" w:rsidP="00E12DE9">
      <w:pPr>
        <w:pStyle w:val="SPCNormal"/>
        <w:rPr>
          <w:szCs w:val="22"/>
        </w:rPr>
      </w:pPr>
      <w:r w:rsidRPr="00A12068">
        <w:rPr>
          <w:szCs w:val="22"/>
        </w:rPr>
        <w:t xml:space="preserve">V klinických štúdiách </w:t>
      </w:r>
      <w:r w:rsidR="00B12B31" w:rsidRPr="00A12068">
        <w:rPr>
          <w:szCs w:val="22"/>
        </w:rPr>
        <w:t xml:space="preserve">u pacientov </w:t>
      </w:r>
      <w:r w:rsidRPr="00A12068">
        <w:rPr>
          <w:szCs w:val="22"/>
        </w:rPr>
        <w:t>nebol</w:t>
      </w:r>
      <w:r w:rsidR="00B12B31" w:rsidRPr="00A12068">
        <w:rPr>
          <w:szCs w:val="22"/>
        </w:rPr>
        <w:t>a</w:t>
      </w:r>
      <w:r w:rsidRPr="00A12068">
        <w:rPr>
          <w:szCs w:val="22"/>
        </w:rPr>
        <w:t xml:space="preserve"> hodnoten</w:t>
      </w:r>
      <w:r w:rsidR="00B12B31" w:rsidRPr="00A12068">
        <w:rPr>
          <w:szCs w:val="22"/>
        </w:rPr>
        <w:t>á</w:t>
      </w:r>
      <w:r w:rsidRPr="00A12068">
        <w:rPr>
          <w:szCs w:val="22"/>
        </w:rPr>
        <w:t xml:space="preserve"> </w:t>
      </w:r>
      <w:r w:rsidR="00B12B31" w:rsidRPr="00A12068">
        <w:rPr>
          <w:szCs w:val="22"/>
        </w:rPr>
        <w:t xml:space="preserve">účinnosť a bezpečnosť dávok </w:t>
      </w:r>
      <w:r w:rsidRPr="00A12068">
        <w:rPr>
          <w:szCs w:val="22"/>
        </w:rPr>
        <w:t>vyšš</w:t>
      </w:r>
      <w:r w:rsidR="00B12B31" w:rsidRPr="00A12068">
        <w:rPr>
          <w:szCs w:val="22"/>
        </w:rPr>
        <w:t>ích</w:t>
      </w:r>
      <w:r w:rsidRPr="00A12068">
        <w:rPr>
          <w:szCs w:val="22"/>
        </w:rPr>
        <w:t xml:space="preserve"> ako 800</w:t>
      </w:r>
      <w:r w:rsidR="00D146BB" w:rsidRPr="00A12068">
        <w:rPr>
          <w:szCs w:val="22"/>
        </w:rPr>
        <w:t> </w:t>
      </w:r>
      <w:r w:rsidRPr="00A12068">
        <w:rPr>
          <w:szCs w:val="22"/>
        </w:rPr>
        <w:t>mikrogramov.</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S cieľom minimalizovať riziko výskytu vedľajších reakcií typických pre opiáty a zistiť primeranú dávku, musia byť pacienti počas </w:t>
      </w:r>
      <w:r w:rsidR="00180A5D" w:rsidRPr="00A12068">
        <w:rPr>
          <w:szCs w:val="22"/>
        </w:rPr>
        <w:t>titrácie</w:t>
      </w:r>
      <w:r w:rsidRPr="00A12068">
        <w:rPr>
          <w:szCs w:val="22"/>
        </w:rPr>
        <w:t xml:space="preserve"> dávky dôsledne sledovaní profesionálnymi zdravotníckymi pracovníkmi.</w:t>
      </w:r>
    </w:p>
    <w:p w:rsidR="002134DE" w:rsidRPr="00A12068" w:rsidRDefault="002134DE" w:rsidP="00E12DE9">
      <w:pPr>
        <w:pStyle w:val="SPCNormal"/>
        <w:rPr>
          <w:szCs w:val="22"/>
        </w:rPr>
      </w:pPr>
    </w:p>
    <w:p w:rsidR="002134DE" w:rsidRPr="00A12068" w:rsidRDefault="002134DE" w:rsidP="00E12DE9">
      <w:pPr>
        <w:pStyle w:val="SPCNormal"/>
        <w:rPr>
          <w:szCs w:val="22"/>
        </w:rPr>
      </w:pPr>
      <w:r w:rsidRPr="00A12068">
        <w:rPr>
          <w:szCs w:val="22"/>
        </w:rPr>
        <w:t xml:space="preserve">Počas titrácie majú pacienti počkať najmenej 2 hodiny, kým užijú Lunaldin na potlačenie ďalšej epizódy </w:t>
      </w:r>
      <w:r w:rsidR="005E21F0" w:rsidRPr="00A12068">
        <w:rPr>
          <w:szCs w:val="22"/>
        </w:rPr>
        <w:t xml:space="preserve">prelomovej </w:t>
      </w:r>
      <w:r w:rsidRPr="00A12068">
        <w:rPr>
          <w:szCs w:val="22"/>
        </w:rPr>
        <w:t>bolesti.</w:t>
      </w:r>
    </w:p>
    <w:p w:rsidR="000D6F3D" w:rsidRPr="00A12068" w:rsidRDefault="000D6F3D" w:rsidP="00E12DE9">
      <w:pPr>
        <w:pStyle w:val="SPCNormal"/>
        <w:rPr>
          <w:szCs w:val="22"/>
        </w:rPr>
      </w:pPr>
    </w:p>
    <w:p w:rsidR="000D6F3D" w:rsidRPr="00A12068" w:rsidRDefault="000D6F3D" w:rsidP="00E12DE9">
      <w:pPr>
        <w:pStyle w:val="SPCNormal"/>
        <w:rPr>
          <w:szCs w:val="22"/>
          <w:u w:val="single"/>
        </w:rPr>
      </w:pPr>
      <w:r w:rsidRPr="00A12068">
        <w:rPr>
          <w:szCs w:val="22"/>
          <w:u w:val="single"/>
        </w:rPr>
        <w:lastRenderedPageBreak/>
        <w:t>Udržiavacia terapia:</w:t>
      </w:r>
    </w:p>
    <w:p w:rsidR="000D6F3D" w:rsidRPr="00A12068" w:rsidRDefault="00F93758" w:rsidP="00E12DE9">
      <w:pPr>
        <w:pStyle w:val="SPCNormal"/>
        <w:rPr>
          <w:szCs w:val="22"/>
        </w:rPr>
      </w:pPr>
      <w:r w:rsidRPr="00A12068">
        <w:rPr>
          <w:szCs w:val="22"/>
        </w:rPr>
        <w:t>Akonáhle</w:t>
      </w:r>
      <w:r w:rsidR="000D6F3D" w:rsidRPr="00A12068">
        <w:rPr>
          <w:szCs w:val="22"/>
        </w:rPr>
        <w:t xml:space="preserve"> bola zistená vhodná dávka, čo môže byť viac ako jedna tableta, pacienta treba na tejto dávke udržovať a </w:t>
      </w:r>
      <w:r w:rsidR="009E5192" w:rsidRPr="00A12068">
        <w:rPr>
          <w:szCs w:val="22"/>
        </w:rPr>
        <w:t>obmedziť</w:t>
      </w:r>
      <w:r w:rsidR="009E5192" w:rsidRPr="00A12068" w:rsidDel="009E5192">
        <w:rPr>
          <w:szCs w:val="22"/>
        </w:rPr>
        <w:t xml:space="preserve"> </w:t>
      </w:r>
      <w:r w:rsidR="009E5192" w:rsidRPr="00A12068">
        <w:rPr>
          <w:szCs w:val="22"/>
        </w:rPr>
        <w:t>spotrebu na maximálne štyri dávky</w:t>
      </w:r>
      <w:r w:rsidR="000D6F3D" w:rsidRPr="00A12068">
        <w:rPr>
          <w:szCs w:val="22"/>
        </w:rPr>
        <w:t xml:space="preserve"> Lunaldinu </w:t>
      </w:r>
      <w:r w:rsidR="009E5192" w:rsidRPr="00A12068">
        <w:rPr>
          <w:szCs w:val="22"/>
        </w:rPr>
        <w:t>denne</w:t>
      </w:r>
      <w:r w:rsidR="000D6F3D" w:rsidRPr="00A12068">
        <w:rPr>
          <w:szCs w:val="22"/>
        </w:rPr>
        <w:t xml:space="preserve">. </w:t>
      </w:r>
    </w:p>
    <w:p w:rsidR="000D6F3D" w:rsidRPr="00A12068" w:rsidRDefault="000D6F3D" w:rsidP="00E12DE9">
      <w:pPr>
        <w:pStyle w:val="SPCNormal"/>
        <w:rPr>
          <w:szCs w:val="22"/>
        </w:rPr>
      </w:pPr>
    </w:p>
    <w:p w:rsidR="002134DE" w:rsidRPr="00A12068" w:rsidRDefault="002134DE" w:rsidP="00E12DE9">
      <w:pPr>
        <w:pStyle w:val="SPCNormal"/>
        <w:rPr>
          <w:szCs w:val="22"/>
        </w:rPr>
      </w:pPr>
      <w:r w:rsidRPr="00A12068">
        <w:rPr>
          <w:szCs w:val="22"/>
        </w:rPr>
        <w:t>Počas udržiava</w:t>
      </w:r>
      <w:r w:rsidR="0051712B" w:rsidRPr="00A12068">
        <w:rPr>
          <w:szCs w:val="22"/>
        </w:rPr>
        <w:t>cieho obdobia</w:t>
      </w:r>
      <w:r w:rsidRPr="00A12068">
        <w:rPr>
          <w:szCs w:val="22"/>
        </w:rPr>
        <w:t xml:space="preserve"> majú pacienti počkať najmenej 2 hodiny, kým užijú Lunaldin na potlačenie ďalšej epizódy </w:t>
      </w:r>
      <w:r w:rsidR="005E21F0" w:rsidRPr="00A12068">
        <w:rPr>
          <w:szCs w:val="22"/>
        </w:rPr>
        <w:t xml:space="preserve">prelomovej </w:t>
      </w:r>
      <w:r w:rsidRPr="00A12068">
        <w:rPr>
          <w:szCs w:val="22"/>
        </w:rPr>
        <w:t>bolesti.</w:t>
      </w:r>
    </w:p>
    <w:p w:rsidR="002134DE" w:rsidRPr="00A12068" w:rsidRDefault="002134DE" w:rsidP="00E12DE9">
      <w:pPr>
        <w:pStyle w:val="SPCNormal"/>
        <w:rPr>
          <w:szCs w:val="22"/>
        </w:rPr>
      </w:pPr>
    </w:p>
    <w:p w:rsidR="000D6F3D" w:rsidRPr="00A12068" w:rsidRDefault="0011058D" w:rsidP="00E12DE9">
      <w:pPr>
        <w:pStyle w:val="SPCNormal"/>
        <w:keepNext/>
        <w:keepLines/>
        <w:rPr>
          <w:szCs w:val="22"/>
          <w:u w:val="single"/>
        </w:rPr>
      </w:pPr>
      <w:r w:rsidRPr="00A12068">
        <w:rPr>
          <w:szCs w:val="22"/>
          <w:u w:val="single"/>
        </w:rPr>
        <w:t>Ú</w:t>
      </w:r>
      <w:r w:rsidR="000D6F3D" w:rsidRPr="00A12068">
        <w:rPr>
          <w:szCs w:val="22"/>
          <w:u w:val="single"/>
        </w:rPr>
        <w:t>prav</w:t>
      </w:r>
      <w:r w:rsidRPr="00A12068">
        <w:rPr>
          <w:szCs w:val="22"/>
          <w:u w:val="single"/>
        </w:rPr>
        <w:t>a</w:t>
      </w:r>
      <w:r w:rsidR="000D6F3D" w:rsidRPr="00A12068">
        <w:rPr>
          <w:szCs w:val="22"/>
          <w:u w:val="single"/>
        </w:rPr>
        <w:t xml:space="preserve"> dávk</w:t>
      </w:r>
      <w:r w:rsidR="009E5192" w:rsidRPr="00A12068">
        <w:rPr>
          <w:szCs w:val="22"/>
          <w:u w:val="single"/>
        </w:rPr>
        <w:t>y</w:t>
      </w:r>
      <w:r w:rsidR="000D6F3D" w:rsidRPr="00A12068">
        <w:rPr>
          <w:szCs w:val="22"/>
          <w:u w:val="single"/>
        </w:rPr>
        <w:t>:</w:t>
      </w:r>
    </w:p>
    <w:p w:rsidR="000D6F3D" w:rsidRPr="00A12068" w:rsidRDefault="000D6F3D" w:rsidP="00E12DE9">
      <w:pPr>
        <w:pStyle w:val="SPCNormal"/>
        <w:rPr>
          <w:szCs w:val="22"/>
        </w:rPr>
      </w:pPr>
      <w:r w:rsidRPr="00A12068">
        <w:rPr>
          <w:szCs w:val="22"/>
        </w:rPr>
        <w:t xml:space="preserve">Ak sa odozva na </w:t>
      </w:r>
      <w:r w:rsidR="009E5192" w:rsidRPr="00A12068">
        <w:rPr>
          <w:szCs w:val="22"/>
        </w:rPr>
        <w:t xml:space="preserve">vytitrovanú dávku </w:t>
      </w:r>
      <w:r w:rsidRPr="00A12068">
        <w:rPr>
          <w:szCs w:val="22"/>
        </w:rPr>
        <w:t>Lunaldin</w:t>
      </w:r>
      <w:r w:rsidR="00B349C6" w:rsidRPr="00A12068">
        <w:rPr>
          <w:szCs w:val="22"/>
        </w:rPr>
        <w:t>u</w:t>
      </w:r>
      <w:r w:rsidRPr="00A12068">
        <w:rPr>
          <w:szCs w:val="22"/>
        </w:rPr>
        <w:t xml:space="preserve"> (analgetický účinok alebo vedľajšie reakcie) významne zmení, dávku treba upraviť tak, aby sa opäť dosiahla optimálna dávka.</w:t>
      </w:r>
    </w:p>
    <w:p w:rsidR="000D6F3D" w:rsidRPr="00A12068" w:rsidRDefault="000D6F3D" w:rsidP="00E12DE9">
      <w:pPr>
        <w:pStyle w:val="SPCNormal"/>
        <w:rPr>
          <w:szCs w:val="22"/>
        </w:rPr>
      </w:pPr>
      <w:r w:rsidRPr="00A12068">
        <w:rPr>
          <w:szCs w:val="22"/>
        </w:rPr>
        <w:t xml:space="preserve">Ak dochádza počas dňa k viac ako štyrom epizódam </w:t>
      </w:r>
      <w:r w:rsidR="005E21F0" w:rsidRPr="00A12068">
        <w:rPr>
          <w:szCs w:val="22"/>
        </w:rPr>
        <w:t xml:space="preserve">prelomovej </w:t>
      </w:r>
      <w:r w:rsidRPr="00A12068">
        <w:rPr>
          <w:szCs w:val="22"/>
        </w:rPr>
        <w:t xml:space="preserve">bolesti počas viac ako štyroch za sebou idúcich dní, treba prehodnotiť dávku opiátu s dlhotrvajúcim účinkom </w:t>
      </w:r>
      <w:r w:rsidR="00580A18" w:rsidRPr="00A12068">
        <w:rPr>
          <w:szCs w:val="22"/>
        </w:rPr>
        <w:t>na</w:t>
      </w:r>
      <w:r w:rsidRPr="00A12068">
        <w:rPr>
          <w:szCs w:val="22"/>
        </w:rPr>
        <w:t xml:space="preserve"> chronickú bolesť. Ak sa zmení opiát s dlhotrvajúci účinkom, alebo jeho dávkovanie, treba prehodnotiť dávku Lunaldinu a</w:t>
      </w:r>
      <w:r w:rsidR="00E12DE9" w:rsidRPr="00A12068">
        <w:rPr>
          <w:szCs w:val="22"/>
        </w:rPr>
        <w:t> </w:t>
      </w:r>
      <w:r w:rsidRPr="00A12068">
        <w:rPr>
          <w:szCs w:val="22"/>
        </w:rPr>
        <w:t xml:space="preserve">opäť ju </w:t>
      </w:r>
      <w:r w:rsidR="003B2EC0" w:rsidRPr="00A12068">
        <w:rPr>
          <w:szCs w:val="22"/>
        </w:rPr>
        <w:t xml:space="preserve">vytitrovať podľa potreby tak, aby sa zabezpečilo, že pacient je na </w:t>
      </w:r>
      <w:r w:rsidRPr="00A12068">
        <w:rPr>
          <w:szCs w:val="22"/>
        </w:rPr>
        <w:t>optim</w:t>
      </w:r>
      <w:r w:rsidR="003B2EC0" w:rsidRPr="00A12068">
        <w:rPr>
          <w:szCs w:val="22"/>
        </w:rPr>
        <w:t>álnej dávke</w:t>
      </w:r>
      <w:r w:rsidRPr="00A12068">
        <w:rPr>
          <w:szCs w:val="22"/>
        </w:rPr>
        <w:t>.</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Opätovnú </w:t>
      </w:r>
      <w:r w:rsidR="003B2EC0" w:rsidRPr="00A12068">
        <w:rPr>
          <w:szCs w:val="22"/>
        </w:rPr>
        <w:t xml:space="preserve">titráciu </w:t>
      </w:r>
      <w:r w:rsidRPr="00A12068">
        <w:rPr>
          <w:szCs w:val="22"/>
        </w:rPr>
        <w:t>dávky akéhokoľvek analgetika musí sledovať profesionálny zdravotnícky pracovník.</w:t>
      </w:r>
    </w:p>
    <w:p w:rsidR="009C68DC" w:rsidRDefault="009C68DC" w:rsidP="00E12DE9">
      <w:pPr>
        <w:pStyle w:val="SPCNormal"/>
        <w:rPr>
          <w:szCs w:val="22"/>
        </w:rPr>
      </w:pPr>
    </w:p>
    <w:p w:rsidR="000D6F3D" w:rsidRPr="00A12068" w:rsidRDefault="009C68DC" w:rsidP="00E12DE9">
      <w:pPr>
        <w:pStyle w:val="SPCNormal"/>
        <w:rPr>
          <w:szCs w:val="22"/>
        </w:rPr>
      </w:pPr>
      <w:r w:rsidRPr="00722EBC">
        <w:rPr>
          <w:szCs w:val="22"/>
        </w:rPr>
        <w:t>Pri nedostatočnej kontrole bolesti je potrebné myslieť na možnosť hyperalgézie, tolerancie a progresie základného ochorenia (pozri časť 4.4).</w:t>
      </w:r>
    </w:p>
    <w:p w:rsidR="009C68DC" w:rsidRDefault="009C68DC" w:rsidP="00E12DE9">
      <w:pPr>
        <w:pStyle w:val="SPCNormal"/>
        <w:rPr>
          <w:szCs w:val="22"/>
          <w:u w:val="single"/>
        </w:rPr>
      </w:pPr>
    </w:p>
    <w:p w:rsidR="000D6F3D" w:rsidRPr="00A12068" w:rsidRDefault="000D6F3D" w:rsidP="00E12DE9">
      <w:pPr>
        <w:pStyle w:val="SPCNormal"/>
        <w:rPr>
          <w:szCs w:val="22"/>
          <w:u w:val="single"/>
        </w:rPr>
      </w:pPr>
      <w:r w:rsidRPr="00A12068">
        <w:rPr>
          <w:szCs w:val="22"/>
          <w:u w:val="single"/>
        </w:rPr>
        <w:t xml:space="preserve">Ukončenie </w:t>
      </w:r>
      <w:r w:rsidR="0021655A" w:rsidRPr="00A12068">
        <w:rPr>
          <w:szCs w:val="22"/>
          <w:u w:val="single"/>
        </w:rPr>
        <w:t>liečby</w:t>
      </w:r>
      <w:r w:rsidRPr="00A12068">
        <w:rPr>
          <w:szCs w:val="22"/>
          <w:u w:val="single"/>
        </w:rPr>
        <w:t>:</w:t>
      </w:r>
    </w:p>
    <w:p w:rsidR="0021655A" w:rsidRPr="00A12068" w:rsidRDefault="0021655A" w:rsidP="00E12DE9">
      <w:pPr>
        <w:spacing w:line="220" w:lineRule="atLeast"/>
        <w:rPr>
          <w:rFonts w:ascii="Times New Roman" w:hAnsi="Times New Roman"/>
          <w:sz w:val="22"/>
          <w:szCs w:val="22"/>
        </w:rPr>
      </w:pPr>
      <w:r w:rsidRPr="00A12068">
        <w:rPr>
          <w:rFonts w:ascii="Times New Roman" w:hAnsi="Times New Roman"/>
          <w:sz w:val="22"/>
          <w:szCs w:val="22"/>
        </w:rPr>
        <w:t>Ak sa u pacienta už nevyskytujú epizódy intenzívnej bolesti, liečba liekom Lunaldin sa má ihneď ukončiť. Predpísaná liečba pretrvávajúcej základnej bolesti má pokračovať.</w:t>
      </w:r>
    </w:p>
    <w:p w:rsidR="0021655A" w:rsidRPr="00A12068" w:rsidRDefault="0021655A" w:rsidP="00E12DE9">
      <w:pPr>
        <w:spacing w:line="220" w:lineRule="atLeast"/>
        <w:rPr>
          <w:rFonts w:ascii="Times New Roman" w:hAnsi="Times New Roman"/>
          <w:sz w:val="22"/>
          <w:szCs w:val="22"/>
        </w:rPr>
      </w:pPr>
      <w:r w:rsidRPr="00A12068">
        <w:rPr>
          <w:rFonts w:ascii="Times New Roman" w:hAnsi="Times New Roman"/>
          <w:sz w:val="22"/>
          <w:szCs w:val="22"/>
        </w:rPr>
        <w:t>Ak je potrebné ukončenie liečby všetkými opioidmi, lekár musí pacienta pozorne sledovať na kontrolu rizika náhlych abstinenčných príznakov.</w:t>
      </w:r>
    </w:p>
    <w:p w:rsidR="000D6F3D" w:rsidRPr="00A12068" w:rsidRDefault="000D6F3D" w:rsidP="00E12DE9">
      <w:pPr>
        <w:pStyle w:val="SPCNormal"/>
        <w:rPr>
          <w:szCs w:val="22"/>
        </w:rPr>
      </w:pPr>
    </w:p>
    <w:p w:rsidR="000D6F3D" w:rsidRPr="00A12068" w:rsidRDefault="000D6F3D" w:rsidP="00E12DE9">
      <w:pPr>
        <w:pStyle w:val="SPCNormal"/>
        <w:rPr>
          <w:szCs w:val="22"/>
          <w:u w:val="single"/>
        </w:rPr>
      </w:pPr>
      <w:r w:rsidRPr="00A12068">
        <w:rPr>
          <w:szCs w:val="22"/>
          <w:u w:val="single"/>
        </w:rPr>
        <w:t xml:space="preserve">Použitie </w:t>
      </w:r>
      <w:r w:rsidR="00033D3D" w:rsidRPr="00A12068">
        <w:rPr>
          <w:szCs w:val="22"/>
          <w:u w:val="single"/>
        </w:rPr>
        <w:t>u</w:t>
      </w:r>
      <w:r w:rsidRPr="00A12068">
        <w:rPr>
          <w:szCs w:val="22"/>
          <w:u w:val="single"/>
        </w:rPr>
        <w:t xml:space="preserve"> det</w:t>
      </w:r>
      <w:r w:rsidR="00033D3D" w:rsidRPr="00A12068">
        <w:rPr>
          <w:szCs w:val="22"/>
          <w:u w:val="single"/>
        </w:rPr>
        <w:t>í</w:t>
      </w:r>
      <w:r w:rsidRPr="00A12068">
        <w:rPr>
          <w:szCs w:val="22"/>
          <w:u w:val="single"/>
        </w:rPr>
        <w:t xml:space="preserve"> a mladistvých:</w:t>
      </w:r>
    </w:p>
    <w:p w:rsidR="000D6F3D" w:rsidRPr="00A12068" w:rsidRDefault="000D6F3D" w:rsidP="00E12DE9">
      <w:pPr>
        <w:pStyle w:val="SPCNormal"/>
        <w:rPr>
          <w:szCs w:val="22"/>
        </w:rPr>
      </w:pPr>
      <w:r w:rsidRPr="00A12068">
        <w:rPr>
          <w:szCs w:val="22"/>
        </w:rPr>
        <w:t xml:space="preserve">Lunaldin sa nesmie používať </w:t>
      </w:r>
      <w:r w:rsidR="00AA29A4" w:rsidRPr="00A12068">
        <w:rPr>
          <w:szCs w:val="22"/>
        </w:rPr>
        <w:t>u</w:t>
      </w:r>
      <w:r w:rsidRPr="00A12068">
        <w:rPr>
          <w:szCs w:val="22"/>
        </w:rPr>
        <w:t xml:space="preserve"> os</w:t>
      </w:r>
      <w:r w:rsidR="00AA29A4" w:rsidRPr="00A12068">
        <w:rPr>
          <w:szCs w:val="22"/>
        </w:rPr>
        <w:t>ô</w:t>
      </w:r>
      <w:r w:rsidRPr="00A12068">
        <w:rPr>
          <w:szCs w:val="22"/>
        </w:rPr>
        <w:t>b mladš</w:t>
      </w:r>
      <w:r w:rsidR="00AA29A4" w:rsidRPr="00A12068">
        <w:rPr>
          <w:szCs w:val="22"/>
        </w:rPr>
        <w:t>ích</w:t>
      </w:r>
      <w:r w:rsidRPr="00A12068">
        <w:rPr>
          <w:szCs w:val="22"/>
        </w:rPr>
        <w:t xml:space="preserve"> ako 18 rokov, kvôli chýbajúcim údajom o bezpečnost</w:t>
      </w:r>
      <w:r w:rsidR="00033D3D" w:rsidRPr="00A12068">
        <w:rPr>
          <w:szCs w:val="22"/>
        </w:rPr>
        <w:t>i</w:t>
      </w:r>
      <w:r w:rsidRPr="00A12068">
        <w:rPr>
          <w:szCs w:val="22"/>
        </w:rPr>
        <w:t xml:space="preserve"> a účinnosti.</w:t>
      </w:r>
    </w:p>
    <w:p w:rsidR="000D6F3D" w:rsidRPr="00A12068" w:rsidRDefault="000D6F3D" w:rsidP="00E12DE9">
      <w:pPr>
        <w:pStyle w:val="SPCNormal"/>
        <w:rPr>
          <w:szCs w:val="22"/>
        </w:rPr>
      </w:pPr>
    </w:p>
    <w:p w:rsidR="000D6F3D" w:rsidRPr="00A12068" w:rsidRDefault="000D6F3D" w:rsidP="00E12DE9">
      <w:pPr>
        <w:pStyle w:val="SPCNormal"/>
        <w:rPr>
          <w:szCs w:val="22"/>
          <w:u w:val="single"/>
        </w:rPr>
      </w:pPr>
      <w:r w:rsidRPr="00A12068">
        <w:rPr>
          <w:szCs w:val="22"/>
          <w:u w:val="single"/>
        </w:rPr>
        <w:t>Použitie u</w:t>
      </w:r>
      <w:r w:rsidR="00BF7D6F" w:rsidRPr="00A12068">
        <w:rPr>
          <w:szCs w:val="22"/>
          <w:u w:val="single"/>
        </w:rPr>
        <w:t> </w:t>
      </w:r>
      <w:r w:rsidR="00740E93" w:rsidRPr="00A12068">
        <w:rPr>
          <w:szCs w:val="22"/>
          <w:u w:val="single"/>
        </w:rPr>
        <w:t>starších</w:t>
      </w:r>
      <w:r w:rsidR="00BF7D6F" w:rsidRPr="00A12068">
        <w:rPr>
          <w:szCs w:val="22"/>
          <w:u w:val="single"/>
        </w:rPr>
        <w:t xml:space="preserve"> ľudí</w:t>
      </w:r>
      <w:r w:rsidRPr="00A12068">
        <w:rPr>
          <w:szCs w:val="22"/>
          <w:u w:val="single"/>
        </w:rPr>
        <w:t>:</w:t>
      </w:r>
    </w:p>
    <w:p w:rsidR="000D6F3D" w:rsidRPr="00A12068" w:rsidRDefault="00AA29A4" w:rsidP="00E12DE9">
      <w:pPr>
        <w:pStyle w:val="SPCNormal"/>
        <w:rPr>
          <w:szCs w:val="22"/>
        </w:rPr>
      </w:pPr>
      <w:r w:rsidRPr="00A12068">
        <w:rPr>
          <w:szCs w:val="22"/>
        </w:rPr>
        <w:t>Titráciu</w:t>
      </w:r>
      <w:r w:rsidR="000D6F3D" w:rsidRPr="00A12068">
        <w:rPr>
          <w:szCs w:val="22"/>
        </w:rPr>
        <w:t xml:space="preserve"> dávky treba robiť mimoriadne starostlivo a pozorne sledovať pacientov </w:t>
      </w:r>
      <w:r w:rsidR="00256368" w:rsidRPr="00A12068">
        <w:rPr>
          <w:szCs w:val="22"/>
        </w:rPr>
        <w:t>kvôli</w:t>
      </w:r>
      <w:r w:rsidR="000D6F3D" w:rsidRPr="00A12068">
        <w:rPr>
          <w:szCs w:val="22"/>
        </w:rPr>
        <w:t xml:space="preserve"> prejav</w:t>
      </w:r>
      <w:r w:rsidR="00256368" w:rsidRPr="00A12068">
        <w:rPr>
          <w:szCs w:val="22"/>
        </w:rPr>
        <w:t>om</w:t>
      </w:r>
      <w:r w:rsidR="000D6F3D" w:rsidRPr="00A12068">
        <w:rPr>
          <w:szCs w:val="22"/>
        </w:rPr>
        <w:t xml:space="preserve"> fentanylo</w:t>
      </w:r>
      <w:r w:rsidR="00256368" w:rsidRPr="00A12068">
        <w:rPr>
          <w:szCs w:val="22"/>
        </w:rPr>
        <w:t>vej toxicity</w:t>
      </w:r>
      <w:r w:rsidR="000D6F3D" w:rsidRPr="00A12068">
        <w:rPr>
          <w:szCs w:val="22"/>
        </w:rPr>
        <w:t xml:space="preserve"> (pozri časť 4.4)</w:t>
      </w:r>
      <w:r w:rsidR="00033D3D" w:rsidRPr="00A12068">
        <w:rPr>
          <w:szCs w:val="22"/>
        </w:rPr>
        <w:t>.</w:t>
      </w:r>
    </w:p>
    <w:p w:rsidR="000D6F3D" w:rsidRPr="00A12068" w:rsidRDefault="000D6F3D" w:rsidP="00E12DE9">
      <w:pPr>
        <w:pStyle w:val="SPCNormal"/>
        <w:rPr>
          <w:szCs w:val="22"/>
        </w:rPr>
      </w:pPr>
    </w:p>
    <w:p w:rsidR="000D6F3D" w:rsidRPr="00A12068" w:rsidRDefault="000D6F3D" w:rsidP="00E12DE9">
      <w:pPr>
        <w:pStyle w:val="SPCNormal"/>
        <w:rPr>
          <w:szCs w:val="22"/>
          <w:u w:val="single"/>
        </w:rPr>
      </w:pPr>
      <w:r w:rsidRPr="00A12068">
        <w:rPr>
          <w:szCs w:val="22"/>
          <w:u w:val="single"/>
        </w:rPr>
        <w:t>Používanie u pacientov s po</w:t>
      </w:r>
      <w:r w:rsidR="00076C04" w:rsidRPr="00A12068">
        <w:rPr>
          <w:szCs w:val="22"/>
          <w:u w:val="single"/>
        </w:rPr>
        <w:t>ruch</w:t>
      </w:r>
      <w:r w:rsidRPr="00A12068">
        <w:rPr>
          <w:szCs w:val="22"/>
          <w:u w:val="single"/>
        </w:rPr>
        <w:t>ou funkci</w:t>
      </w:r>
      <w:r w:rsidR="00076C04" w:rsidRPr="00A12068">
        <w:rPr>
          <w:szCs w:val="22"/>
          <w:u w:val="single"/>
        </w:rPr>
        <w:t>e</w:t>
      </w:r>
      <w:r w:rsidRPr="00A12068">
        <w:rPr>
          <w:szCs w:val="22"/>
          <w:u w:val="single"/>
        </w:rPr>
        <w:t xml:space="preserve"> pečene a obličiek:</w:t>
      </w:r>
    </w:p>
    <w:p w:rsidR="000D6F3D" w:rsidRPr="00A12068" w:rsidRDefault="000D6F3D" w:rsidP="00E12DE9">
      <w:pPr>
        <w:pStyle w:val="SPCNormal"/>
        <w:rPr>
          <w:szCs w:val="22"/>
        </w:rPr>
      </w:pPr>
      <w:r w:rsidRPr="00A12068">
        <w:rPr>
          <w:szCs w:val="22"/>
        </w:rPr>
        <w:t xml:space="preserve">Pacientov s obmedzenou funkciou pečene či obličiek treba starostlivo sledovať, či vo fáze </w:t>
      </w:r>
      <w:r w:rsidR="00076C04" w:rsidRPr="00A12068">
        <w:rPr>
          <w:szCs w:val="22"/>
        </w:rPr>
        <w:t>titrácie</w:t>
      </w:r>
      <w:r w:rsidRPr="00A12068">
        <w:rPr>
          <w:szCs w:val="22"/>
        </w:rPr>
        <w:t xml:space="preserve"> dávky </w:t>
      </w:r>
      <w:r w:rsidR="00076C04" w:rsidRPr="00A12068">
        <w:rPr>
          <w:szCs w:val="22"/>
        </w:rPr>
        <w:t xml:space="preserve">Lunaldinu </w:t>
      </w:r>
      <w:r w:rsidRPr="00A12068">
        <w:rPr>
          <w:szCs w:val="22"/>
        </w:rPr>
        <w:t>neprejavujú príznaky fentanylo</w:t>
      </w:r>
      <w:r w:rsidR="00256368" w:rsidRPr="00A12068">
        <w:rPr>
          <w:szCs w:val="22"/>
        </w:rPr>
        <w:t>vej toxicity</w:t>
      </w:r>
      <w:r w:rsidRPr="00A12068">
        <w:rPr>
          <w:szCs w:val="22"/>
        </w:rPr>
        <w:t xml:space="preserve"> (pozri časť 4.4). </w:t>
      </w:r>
    </w:p>
    <w:p w:rsidR="000D6F3D" w:rsidRPr="00A12068" w:rsidRDefault="000D6F3D" w:rsidP="00E12DE9">
      <w:pPr>
        <w:pStyle w:val="SPCNormal"/>
        <w:rPr>
          <w:szCs w:val="22"/>
        </w:rPr>
      </w:pPr>
    </w:p>
    <w:p w:rsidR="000D6F3D" w:rsidRPr="00A12068" w:rsidRDefault="000D6F3D" w:rsidP="00E12DE9">
      <w:pPr>
        <w:pStyle w:val="SPC2"/>
        <w:rPr>
          <w:szCs w:val="22"/>
        </w:rPr>
      </w:pPr>
      <w:r w:rsidRPr="00A12068">
        <w:rPr>
          <w:szCs w:val="22"/>
        </w:rPr>
        <w:t>4.3</w:t>
      </w:r>
      <w:r w:rsidRPr="00A12068">
        <w:rPr>
          <w:szCs w:val="22"/>
        </w:rPr>
        <w:tab/>
        <w:t>Kontraindikácie</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Precitlivenosť na </w:t>
      </w:r>
      <w:r w:rsidR="00C22810" w:rsidRPr="00A12068">
        <w:rPr>
          <w:szCs w:val="22"/>
        </w:rPr>
        <w:t xml:space="preserve">fentanyl </w:t>
      </w:r>
      <w:r w:rsidRPr="00A12068">
        <w:rPr>
          <w:szCs w:val="22"/>
        </w:rPr>
        <w:t xml:space="preserve">alebo na </w:t>
      </w:r>
      <w:r w:rsidR="00C22810" w:rsidRPr="00A12068">
        <w:rPr>
          <w:szCs w:val="22"/>
        </w:rPr>
        <w:t xml:space="preserve">ktorúkoľvek z </w:t>
      </w:r>
      <w:r w:rsidRPr="00A12068">
        <w:rPr>
          <w:szCs w:val="22"/>
        </w:rPr>
        <w:t>pomocných látok</w:t>
      </w:r>
      <w:r w:rsidR="002134DE" w:rsidRPr="00A12068">
        <w:rPr>
          <w:szCs w:val="22"/>
        </w:rPr>
        <w:t xml:space="preserve"> uvedených v časti 6.1</w:t>
      </w:r>
      <w:r w:rsidRPr="00A12068">
        <w:rPr>
          <w:szCs w:val="22"/>
        </w:rPr>
        <w:t>.</w:t>
      </w:r>
    </w:p>
    <w:p w:rsidR="000D6F3D" w:rsidRPr="00A12068" w:rsidRDefault="000D6F3D" w:rsidP="00E12DE9">
      <w:pPr>
        <w:pStyle w:val="SPCNormal"/>
        <w:rPr>
          <w:szCs w:val="22"/>
        </w:rPr>
      </w:pPr>
    </w:p>
    <w:p w:rsidR="00C91C41" w:rsidRPr="00A12068" w:rsidRDefault="00C91C41"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 xml:space="preserve">Pacienti bez udržiavacej liečby opioidmi kvôli zvýšenému riziku </w:t>
      </w:r>
      <w:r w:rsidR="00330919" w:rsidRPr="00A12068">
        <w:rPr>
          <w:rFonts w:ascii="Times New Roman" w:hAnsi="Times New Roman"/>
          <w:sz w:val="22"/>
          <w:szCs w:val="22"/>
        </w:rPr>
        <w:t>respiračnej depresie</w:t>
      </w:r>
      <w:r w:rsidRPr="00A12068">
        <w:rPr>
          <w:rFonts w:ascii="Times New Roman" w:hAnsi="Times New Roman"/>
          <w:sz w:val="22"/>
          <w:szCs w:val="22"/>
        </w:rPr>
        <w:t>.</w:t>
      </w:r>
    </w:p>
    <w:p w:rsidR="000D6F3D" w:rsidRPr="00A12068" w:rsidRDefault="000D6F3D" w:rsidP="00E12DE9">
      <w:pPr>
        <w:pStyle w:val="SPCNormal"/>
        <w:rPr>
          <w:szCs w:val="22"/>
        </w:rPr>
      </w:pPr>
    </w:p>
    <w:p w:rsidR="000D6F3D" w:rsidRPr="00A12068" w:rsidRDefault="00F65C68" w:rsidP="00E12DE9">
      <w:pPr>
        <w:pStyle w:val="SPCNormal"/>
        <w:rPr>
          <w:szCs w:val="22"/>
        </w:rPr>
      </w:pPr>
      <w:r w:rsidRPr="00A12068">
        <w:rPr>
          <w:szCs w:val="22"/>
        </w:rPr>
        <w:t>Ťažká</w:t>
      </w:r>
      <w:r w:rsidR="00256368" w:rsidRPr="00A12068">
        <w:rPr>
          <w:szCs w:val="22"/>
        </w:rPr>
        <w:t xml:space="preserve"> </w:t>
      </w:r>
      <w:r w:rsidR="00330919" w:rsidRPr="00A12068">
        <w:rPr>
          <w:szCs w:val="22"/>
        </w:rPr>
        <w:t>respiračná depresia</w:t>
      </w:r>
      <w:r w:rsidR="000D6F3D" w:rsidRPr="00A12068">
        <w:rPr>
          <w:szCs w:val="22"/>
        </w:rPr>
        <w:t xml:space="preserve"> alebo </w:t>
      </w:r>
      <w:r w:rsidR="00256368" w:rsidRPr="00A12068">
        <w:rPr>
          <w:szCs w:val="22"/>
        </w:rPr>
        <w:t xml:space="preserve">ťažká obštrukcia </w:t>
      </w:r>
      <w:r w:rsidR="000D6F3D" w:rsidRPr="00A12068">
        <w:rPr>
          <w:szCs w:val="22"/>
        </w:rPr>
        <w:t>pľúc.</w:t>
      </w:r>
    </w:p>
    <w:p w:rsidR="00330919" w:rsidRPr="00A12068" w:rsidRDefault="00330919" w:rsidP="00E12DE9">
      <w:pPr>
        <w:pStyle w:val="SPCNormal"/>
        <w:rPr>
          <w:szCs w:val="22"/>
        </w:rPr>
      </w:pPr>
    </w:p>
    <w:p w:rsidR="00C91C41" w:rsidRPr="00A12068" w:rsidRDefault="00C91C41"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 xml:space="preserve">Liečba akútnej bolesti </w:t>
      </w:r>
      <w:r w:rsidR="00F65C68" w:rsidRPr="00A12068">
        <w:rPr>
          <w:rFonts w:ascii="Times New Roman" w:hAnsi="Times New Roman"/>
          <w:sz w:val="22"/>
          <w:szCs w:val="22"/>
        </w:rPr>
        <w:t xml:space="preserve">inej ako </w:t>
      </w:r>
      <w:r w:rsidR="005E21F0" w:rsidRPr="00A12068">
        <w:rPr>
          <w:rFonts w:ascii="Times New Roman" w:hAnsi="Times New Roman"/>
          <w:sz w:val="22"/>
          <w:szCs w:val="22"/>
        </w:rPr>
        <w:t>j</w:t>
      </w:r>
      <w:r w:rsidR="00F65C68" w:rsidRPr="00A12068">
        <w:rPr>
          <w:rFonts w:ascii="Times New Roman" w:hAnsi="Times New Roman"/>
          <w:sz w:val="22"/>
          <w:szCs w:val="22"/>
        </w:rPr>
        <w:t xml:space="preserve">e </w:t>
      </w:r>
      <w:r w:rsidR="005E21F0" w:rsidRPr="00A12068">
        <w:rPr>
          <w:rFonts w:ascii="Times New Roman" w:hAnsi="Times New Roman"/>
          <w:sz w:val="22"/>
          <w:szCs w:val="22"/>
        </w:rPr>
        <w:t>prelomová</w:t>
      </w:r>
      <w:r w:rsidRPr="00A12068">
        <w:rPr>
          <w:rFonts w:ascii="Times New Roman" w:hAnsi="Times New Roman"/>
          <w:sz w:val="22"/>
          <w:szCs w:val="22"/>
        </w:rPr>
        <w:t xml:space="preserve"> boles</w:t>
      </w:r>
      <w:r w:rsidR="005E21F0" w:rsidRPr="00A12068">
        <w:rPr>
          <w:rFonts w:ascii="Times New Roman" w:hAnsi="Times New Roman"/>
          <w:sz w:val="22"/>
          <w:szCs w:val="22"/>
        </w:rPr>
        <w:t>ť</w:t>
      </w:r>
      <w:r w:rsidR="00370B76" w:rsidRPr="00A12068">
        <w:rPr>
          <w:rFonts w:ascii="Times New Roman" w:hAnsi="Times New Roman"/>
          <w:sz w:val="22"/>
          <w:szCs w:val="22"/>
        </w:rPr>
        <w:t>.</w:t>
      </w:r>
    </w:p>
    <w:p w:rsidR="000D6F3D" w:rsidRPr="00A12068" w:rsidRDefault="000D6F3D" w:rsidP="00E12DE9">
      <w:pPr>
        <w:pStyle w:val="SPCNormal"/>
        <w:rPr>
          <w:szCs w:val="22"/>
        </w:rPr>
      </w:pPr>
    </w:p>
    <w:p w:rsidR="000D6F3D" w:rsidRPr="00A12068" w:rsidRDefault="000D6F3D" w:rsidP="00E12DE9">
      <w:pPr>
        <w:pStyle w:val="SPC2"/>
        <w:rPr>
          <w:szCs w:val="22"/>
        </w:rPr>
      </w:pPr>
      <w:r w:rsidRPr="00A12068">
        <w:rPr>
          <w:szCs w:val="22"/>
        </w:rPr>
        <w:t>4.4</w:t>
      </w:r>
      <w:r w:rsidRPr="00A12068">
        <w:rPr>
          <w:szCs w:val="22"/>
        </w:rPr>
        <w:tab/>
        <w:t>Osobitné upozornenia a opatrenia pri používaní</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Pacientov aj ich </w:t>
      </w:r>
      <w:r w:rsidR="008665D1" w:rsidRPr="00A12068">
        <w:rPr>
          <w:szCs w:val="22"/>
        </w:rPr>
        <w:t xml:space="preserve">opatrovateľov </w:t>
      </w:r>
      <w:r w:rsidRPr="00A12068">
        <w:rPr>
          <w:szCs w:val="22"/>
        </w:rPr>
        <w:t xml:space="preserve">treba informovať, že obsah </w:t>
      </w:r>
      <w:r w:rsidR="002D5081" w:rsidRPr="00A12068">
        <w:rPr>
          <w:szCs w:val="22"/>
        </w:rPr>
        <w:t>účin</w:t>
      </w:r>
      <w:r w:rsidRPr="00A12068">
        <w:rPr>
          <w:szCs w:val="22"/>
        </w:rPr>
        <w:t>nej látky v Lunaldine môže byť smrteľn</w:t>
      </w:r>
      <w:r w:rsidR="00BA26DB" w:rsidRPr="00A12068">
        <w:rPr>
          <w:szCs w:val="22"/>
        </w:rPr>
        <w:t>ý</w:t>
      </w:r>
      <w:r w:rsidRPr="00A12068">
        <w:rPr>
          <w:szCs w:val="22"/>
        </w:rPr>
        <w:t xml:space="preserve"> pre dieťa a tablety preto treba uchovávať mimo </w:t>
      </w:r>
      <w:r w:rsidR="00161F9E" w:rsidRPr="00A12068">
        <w:rPr>
          <w:szCs w:val="22"/>
        </w:rPr>
        <w:t xml:space="preserve">dohľadu a </w:t>
      </w:r>
      <w:r w:rsidRPr="00A12068">
        <w:rPr>
          <w:szCs w:val="22"/>
        </w:rPr>
        <w:t>dosah</w:t>
      </w:r>
      <w:r w:rsidR="00161F9E" w:rsidRPr="00A12068">
        <w:rPr>
          <w:szCs w:val="22"/>
        </w:rPr>
        <w:t>u</w:t>
      </w:r>
      <w:r w:rsidRPr="00A12068">
        <w:rPr>
          <w:szCs w:val="22"/>
        </w:rPr>
        <w:t xml:space="preserve"> detí.</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Pretože opiátová terapia, napr. Lunaldinom, môže mať potenciálne vážne </w:t>
      </w:r>
      <w:r w:rsidR="000A4DBA" w:rsidRPr="00A12068">
        <w:rPr>
          <w:szCs w:val="22"/>
        </w:rPr>
        <w:t xml:space="preserve">nežiaduce </w:t>
      </w:r>
      <w:r w:rsidRPr="00A12068">
        <w:rPr>
          <w:szCs w:val="22"/>
        </w:rPr>
        <w:t xml:space="preserve">účinky, pacienti aj </w:t>
      </w:r>
      <w:r w:rsidR="008665D1" w:rsidRPr="00A12068">
        <w:rPr>
          <w:szCs w:val="22"/>
        </w:rPr>
        <w:t>opatrovate</w:t>
      </w:r>
      <w:r w:rsidR="00F82C45" w:rsidRPr="00A12068">
        <w:rPr>
          <w:szCs w:val="22"/>
        </w:rPr>
        <w:t>lia</w:t>
      </w:r>
      <w:r w:rsidR="008665D1" w:rsidRPr="00A12068">
        <w:rPr>
          <w:szCs w:val="22"/>
        </w:rPr>
        <w:t xml:space="preserve"> </w:t>
      </w:r>
      <w:r w:rsidRPr="00A12068">
        <w:rPr>
          <w:szCs w:val="22"/>
        </w:rPr>
        <w:t>si musia byť vedomí dôležitosti správneho užívania Lunaldinu a čo treba robiť v prípade, že sa objavia známky predávkovania.</w:t>
      </w:r>
    </w:p>
    <w:p w:rsidR="000D6F3D" w:rsidRPr="00A12068" w:rsidRDefault="007F217D" w:rsidP="00E12DE9">
      <w:pPr>
        <w:pStyle w:val="SPCNormal"/>
        <w:rPr>
          <w:szCs w:val="22"/>
        </w:rPr>
      </w:pPr>
      <w:r w:rsidRPr="00A12068">
        <w:rPr>
          <w:szCs w:val="22"/>
        </w:rPr>
        <w:lastRenderedPageBreak/>
        <w:t>Predtým</w:t>
      </w:r>
      <w:r w:rsidR="00D02204" w:rsidRPr="00A12068">
        <w:rPr>
          <w:szCs w:val="22"/>
        </w:rPr>
        <w:t>,</w:t>
      </w:r>
      <w:r w:rsidR="000D6F3D" w:rsidRPr="00A12068">
        <w:rPr>
          <w:szCs w:val="22"/>
        </w:rPr>
        <w:t xml:space="preserve"> ako </w:t>
      </w:r>
      <w:r w:rsidR="000A4DBA" w:rsidRPr="00A12068">
        <w:rPr>
          <w:szCs w:val="22"/>
        </w:rPr>
        <w:t xml:space="preserve">sa </w:t>
      </w:r>
      <w:r w:rsidR="000D6F3D" w:rsidRPr="00A12068">
        <w:rPr>
          <w:szCs w:val="22"/>
        </w:rPr>
        <w:t>liečb</w:t>
      </w:r>
      <w:r w:rsidR="000A4DBA" w:rsidRPr="00A12068">
        <w:rPr>
          <w:szCs w:val="22"/>
        </w:rPr>
        <w:t>a</w:t>
      </w:r>
      <w:r w:rsidR="000D6F3D" w:rsidRPr="00A12068">
        <w:rPr>
          <w:szCs w:val="22"/>
        </w:rPr>
        <w:t xml:space="preserve"> Lunaldinom </w:t>
      </w:r>
      <w:r w:rsidR="000A4DBA" w:rsidRPr="00A12068">
        <w:rPr>
          <w:szCs w:val="22"/>
        </w:rPr>
        <w:t>začne</w:t>
      </w:r>
      <w:r w:rsidR="000D6F3D" w:rsidRPr="00A12068">
        <w:rPr>
          <w:szCs w:val="22"/>
        </w:rPr>
        <w:t xml:space="preserve">, musí byť u pacientov stabilizovaná liečba chronickej bolesti pomocou opiátov. </w:t>
      </w:r>
    </w:p>
    <w:p w:rsidR="000D6F3D" w:rsidRPr="00A12068" w:rsidRDefault="000D6F3D" w:rsidP="00E12DE9">
      <w:pPr>
        <w:pStyle w:val="SPCNormal"/>
        <w:rPr>
          <w:szCs w:val="22"/>
        </w:rPr>
      </w:pPr>
    </w:p>
    <w:p w:rsidR="000D6F3D" w:rsidRPr="00722EBC" w:rsidRDefault="000D6F3D" w:rsidP="00E12DE9">
      <w:pPr>
        <w:pStyle w:val="SPCNormal"/>
        <w:rPr>
          <w:szCs w:val="22"/>
        </w:rPr>
      </w:pPr>
      <w:r w:rsidRPr="00A12068">
        <w:rPr>
          <w:szCs w:val="22"/>
        </w:rPr>
        <w:t>Pri opakovanom podávaní opiátov ako fentanyl sa môže vyvinúť tolerancia alebo fyzická</w:t>
      </w:r>
      <w:r w:rsidR="000A4DBA" w:rsidRPr="00A12068">
        <w:rPr>
          <w:szCs w:val="22"/>
        </w:rPr>
        <w:t xml:space="preserve"> a</w:t>
      </w:r>
      <w:r w:rsidRPr="00A12068">
        <w:rPr>
          <w:szCs w:val="22"/>
        </w:rPr>
        <w:t>/</w:t>
      </w:r>
      <w:r w:rsidR="000A4DBA" w:rsidRPr="00A12068">
        <w:rPr>
          <w:szCs w:val="22"/>
        </w:rPr>
        <w:t xml:space="preserve">alebo </w:t>
      </w:r>
      <w:r w:rsidRPr="00A12068">
        <w:rPr>
          <w:szCs w:val="22"/>
        </w:rPr>
        <w:t xml:space="preserve">psychická závislosť. Iatrogénna závislosť po terapeutickom </w:t>
      </w:r>
      <w:r w:rsidRPr="00722EBC">
        <w:rPr>
          <w:szCs w:val="22"/>
        </w:rPr>
        <w:t xml:space="preserve">použití </w:t>
      </w:r>
      <w:r w:rsidR="00E23475" w:rsidRPr="00722EBC">
        <w:rPr>
          <w:szCs w:val="22"/>
        </w:rPr>
        <w:t xml:space="preserve">opioidov </w:t>
      </w:r>
      <w:r w:rsidRPr="00722EBC">
        <w:rPr>
          <w:szCs w:val="22"/>
        </w:rPr>
        <w:t xml:space="preserve">je </w:t>
      </w:r>
      <w:r w:rsidR="009C68DC" w:rsidRPr="00722EBC">
        <w:rPr>
          <w:szCs w:val="22"/>
        </w:rPr>
        <w:t>tiež znám</w:t>
      </w:r>
      <w:r w:rsidR="00D723D0" w:rsidRPr="00722EBC">
        <w:rPr>
          <w:szCs w:val="22"/>
        </w:rPr>
        <w:t>a</w:t>
      </w:r>
      <w:r w:rsidRPr="00722EBC">
        <w:rPr>
          <w:szCs w:val="22"/>
        </w:rPr>
        <w:t xml:space="preserve">. </w:t>
      </w:r>
    </w:p>
    <w:p w:rsidR="000D6F3D" w:rsidRPr="00722EBC" w:rsidRDefault="000D6F3D" w:rsidP="00E12DE9">
      <w:pPr>
        <w:pStyle w:val="SPCNormal"/>
        <w:rPr>
          <w:szCs w:val="22"/>
        </w:rPr>
      </w:pPr>
    </w:p>
    <w:p w:rsidR="000D6F3D" w:rsidRPr="00722EBC" w:rsidRDefault="000D6F3D" w:rsidP="00E12DE9">
      <w:pPr>
        <w:pStyle w:val="SPCNormal"/>
        <w:rPr>
          <w:szCs w:val="22"/>
        </w:rPr>
      </w:pPr>
      <w:r w:rsidRPr="00722EBC">
        <w:rPr>
          <w:szCs w:val="22"/>
        </w:rPr>
        <w:t>Tak ako u všetkých opiátov</w:t>
      </w:r>
      <w:r w:rsidR="00D02204" w:rsidRPr="00722EBC">
        <w:rPr>
          <w:szCs w:val="22"/>
        </w:rPr>
        <w:t>,</w:t>
      </w:r>
      <w:r w:rsidRPr="00722EBC">
        <w:rPr>
          <w:szCs w:val="22"/>
        </w:rPr>
        <w:t xml:space="preserve"> je pri používaní Lunaldinu riziko klinicky významnej respiračnej depresie. Mimoriadna opatrnosť sa vyžaduje počas </w:t>
      </w:r>
      <w:r w:rsidR="00330919" w:rsidRPr="00722EBC">
        <w:rPr>
          <w:szCs w:val="22"/>
        </w:rPr>
        <w:t>titrácie</w:t>
      </w:r>
      <w:r w:rsidRPr="00722EBC">
        <w:rPr>
          <w:szCs w:val="22"/>
        </w:rPr>
        <w:t xml:space="preserve"> dávky </w:t>
      </w:r>
      <w:r w:rsidR="00330919" w:rsidRPr="00722EBC">
        <w:rPr>
          <w:szCs w:val="22"/>
        </w:rPr>
        <w:t>u</w:t>
      </w:r>
      <w:r w:rsidRPr="00722EBC">
        <w:rPr>
          <w:szCs w:val="22"/>
        </w:rPr>
        <w:t xml:space="preserve"> pacientov s</w:t>
      </w:r>
      <w:r w:rsidR="00330919" w:rsidRPr="00722EBC">
        <w:rPr>
          <w:szCs w:val="22"/>
        </w:rPr>
        <w:t> </w:t>
      </w:r>
      <w:r w:rsidRPr="00722EBC">
        <w:rPr>
          <w:szCs w:val="22"/>
        </w:rPr>
        <w:t>chronick</w:t>
      </w:r>
      <w:r w:rsidR="00330919" w:rsidRPr="00722EBC">
        <w:rPr>
          <w:szCs w:val="22"/>
        </w:rPr>
        <w:t>ou obštrukčnou</w:t>
      </w:r>
      <w:r w:rsidRPr="00722EBC">
        <w:rPr>
          <w:szCs w:val="22"/>
        </w:rPr>
        <w:t xml:space="preserve"> </w:t>
      </w:r>
      <w:r w:rsidR="00330919" w:rsidRPr="00722EBC">
        <w:rPr>
          <w:szCs w:val="22"/>
        </w:rPr>
        <w:t xml:space="preserve">chorobou </w:t>
      </w:r>
      <w:r w:rsidRPr="00722EBC">
        <w:rPr>
          <w:szCs w:val="22"/>
        </w:rPr>
        <w:t>pľúc alebo trpiacich iným ochorením zvyšujúcim riziko respir</w:t>
      </w:r>
      <w:r w:rsidR="00330919" w:rsidRPr="00722EBC">
        <w:rPr>
          <w:szCs w:val="22"/>
        </w:rPr>
        <w:t>ačnej depresie</w:t>
      </w:r>
      <w:r w:rsidRPr="00722EBC">
        <w:rPr>
          <w:szCs w:val="22"/>
        </w:rPr>
        <w:t xml:space="preserve"> (napr. myastenia gravis), pretože hrozí zhoršenie respiračnej depresie, čo môže viesť až k</w:t>
      </w:r>
      <w:r w:rsidR="00A90EC1" w:rsidRPr="00722EBC">
        <w:rPr>
          <w:szCs w:val="22"/>
        </w:rPr>
        <w:t> </w:t>
      </w:r>
      <w:r w:rsidR="00330919" w:rsidRPr="00722EBC">
        <w:rPr>
          <w:szCs w:val="22"/>
        </w:rPr>
        <w:t>respiračnému</w:t>
      </w:r>
      <w:r w:rsidRPr="00722EBC">
        <w:rPr>
          <w:szCs w:val="22"/>
        </w:rPr>
        <w:t xml:space="preserve"> zlyhaniu. </w:t>
      </w:r>
    </w:p>
    <w:p w:rsidR="000D6F3D" w:rsidRPr="00722EBC" w:rsidRDefault="000D6F3D" w:rsidP="00E12DE9">
      <w:pPr>
        <w:pStyle w:val="SPCNormal"/>
        <w:rPr>
          <w:szCs w:val="22"/>
        </w:rPr>
      </w:pPr>
    </w:p>
    <w:p w:rsidR="009C68DC" w:rsidRPr="00722EBC" w:rsidRDefault="000D6F3D" w:rsidP="00E12DE9">
      <w:pPr>
        <w:pStyle w:val="SPCNormal"/>
        <w:rPr>
          <w:szCs w:val="22"/>
        </w:rPr>
      </w:pPr>
      <w:r w:rsidRPr="00722EBC">
        <w:rPr>
          <w:szCs w:val="22"/>
        </w:rPr>
        <w:t>Pri podávaní Lunaldinu buďte mimoriadne opatrní u pacientov, ktorí sú obzvlášť citliví na intrakraniálne efekty hyperkapnie, napríklad u tých, ktorí vykazujú známky zvýšeného intrakraniálneho tlaku, potlačeného vedomia, kómy alebo mozgových nádorov. U pacientov so zraneniami hlavy môžu opiáty maskovať klinický priebeh. V takom prípade použite opiáty</w:t>
      </w:r>
      <w:r w:rsidR="00AD7A27" w:rsidRPr="00722EBC">
        <w:rPr>
          <w:szCs w:val="22"/>
        </w:rPr>
        <w:t>,</w:t>
      </w:r>
      <w:r w:rsidRPr="00722EBC">
        <w:rPr>
          <w:szCs w:val="22"/>
        </w:rPr>
        <w:t xml:space="preserve"> iba ak je to absolútne nevyhnutné. </w:t>
      </w:r>
    </w:p>
    <w:p w:rsidR="000D6F3D" w:rsidRPr="00722EBC" w:rsidRDefault="000D6F3D" w:rsidP="00E12DE9">
      <w:pPr>
        <w:pStyle w:val="SPCNormal"/>
        <w:rPr>
          <w:szCs w:val="22"/>
        </w:rPr>
      </w:pPr>
    </w:p>
    <w:p w:rsidR="000D6F3D" w:rsidRDefault="009C68DC" w:rsidP="00E12DE9">
      <w:pPr>
        <w:pStyle w:val="SPCNormal"/>
        <w:rPr>
          <w:szCs w:val="22"/>
        </w:rPr>
      </w:pPr>
      <w:r w:rsidRPr="00722EBC">
        <w:rPr>
          <w:szCs w:val="22"/>
        </w:rPr>
        <w:t>Tak ako pri iných opioidoch, v prípade nedostatočnej kontroly bolesti ako odpovede na zvýšenú dávku fentanylu, je potrebné myslieť na možnosť hyperalgézie indukovanej opioidmi. Môže sa indikovať zníženie dávky fentanylu, ukončenie liečby fentanylom alebo prehodnotenie liečby.</w:t>
      </w:r>
    </w:p>
    <w:p w:rsidR="009C68DC" w:rsidRPr="00A12068" w:rsidRDefault="009C68DC" w:rsidP="00E12DE9">
      <w:pPr>
        <w:pStyle w:val="SPCNormal"/>
        <w:rPr>
          <w:szCs w:val="22"/>
        </w:rPr>
      </w:pPr>
    </w:p>
    <w:p w:rsidR="007C1709" w:rsidRPr="00A12068" w:rsidRDefault="003A342C" w:rsidP="00E12DE9">
      <w:pPr>
        <w:autoSpaceDE w:val="0"/>
        <w:autoSpaceDN w:val="0"/>
        <w:adjustRightInd w:val="0"/>
        <w:rPr>
          <w:rFonts w:ascii="Times New Roman" w:hAnsi="Times New Roman"/>
          <w:sz w:val="22"/>
          <w:szCs w:val="22"/>
          <w:u w:val="single"/>
        </w:rPr>
      </w:pPr>
      <w:r w:rsidRPr="00A12068">
        <w:rPr>
          <w:rFonts w:ascii="Times New Roman" w:hAnsi="Times New Roman"/>
          <w:sz w:val="22"/>
          <w:szCs w:val="22"/>
          <w:u w:val="single"/>
        </w:rPr>
        <w:t>Chorob</w:t>
      </w:r>
      <w:r w:rsidR="007C1709" w:rsidRPr="00A12068">
        <w:rPr>
          <w:rFonts w:ascii="Times New Roman" w:hAnsi="Times New Roman"/>
          <w:sz w:val="22"/>
          <w:szCs w:val="22"/>
          <w:u w:val="single"/>
        </w:rPr>
        <w:t>y srdca</w:t>
      </w:r>
    </w:p>
    <w:p w:rsidR="007C1709" w:rsidRPr="00A12068" w:rsidRDefault="007C1709"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Fentanyl môže spôsobiť bradykardiu. Pacienti s predchádzajúcou alebo už existujúcou bradyarytmiou majú užívať fentanyl s opatrnosťou.</w:t>
      </w:r>
    </w:p>
    <w:p w:rsidR="000D6F3D" w:rsidRPr="00A12068" w:rsidRDefault="000D6F3D" w:rsidP="00E12DE9">
      <w:pPr>
        <w:pStyle w:val="SPCNormal"/>
        <w:rPr>
          <w:szCs w:val="22"/>
        </w:rPr>
      </w:pPr>
    </w:p>
    <w:p w:rsidR="000D6F3D" w:rsidRPr="00A12068" w:rsidRDefault="000D6F3D" w:rsidP="00E12DE9">
      <w:pPr>
        <w:rPr>
          <w:rFonts w:ascii="Times New Roman" w:hAnsi="Times New Roman"/>
          <w:sz w:val="22"/>
          <w:szCs w:val="22"/>
        </w:rPr>
      </w:pPr>
      <w:r w:rsidRPr="00A12068">
        <w:rPr>
          <w:rFonts w:ascii="Times New Roman" w:hAnsi="Times New Roman"/>
          <w:sz w:val="22"/>
          <w:szCs w:val="22"/>
        </w:rPr>
        <w:t>Údaje z</w:t>
      </w:r>
      <w:r w:rsidR="00AD7A27" w:rsidRPr="00A12068">
        <w:rPr>
          <w:rFonts w:ascii="Times New Roman" w:hAnsi="Times New Roman"/>
          <w:sz w:val="22"/>
          <w:szCs w:val="22"/>
        </w:rPr>
        <w:t>o</w:t>
      </w:r>
      <w:r w:rsidRPr="00A12068">
        <w:rPr>
          <w:rFonts w:ascii="Times New Roman" w:hAnsi="Times New Roman"/>
          <w:sz w:val="22"/>
          <w:szCs w:val="22"/>
        </w:rPr>
        <w:t xml:space="preserve"> štúdií s </w:t>
      </w:r>
      <w:r w:rsidR="00AD7A27" w:rsidRPr="00A12068">
        <w:rPr>
          <w:rFonts w:ascii="Times New Roman" w:hAnsi="Times New Roman"/>
          <w:sz w:val="22"/>
          <w:szCs w:val="22"/>
        </w:rPr>
        <w:t xml:space="preserve">intravenóznym </w:t>
      </w:r>
      <w:r w:rsidRPr="00A12068">
        <w:rPr>
          <w:rFonts w:ascii="Times New Roman" w:hAnsi="Times New Roman"/>
          <w:sz w:val="22"/>
          <w:szCs w:val="22"/>
        </w:rPr>
        <w:t xml:space="preserve">fentanylom poukazujú na to, že u starších pacientov </w:t>
      </w:r>
      <w:r w:rsidR="003A342C" w:rsidRPr="00A12068">
        <w:rPr>
          <w:rFonts w:ascii="Times New Roman" w:hAnsi="Times New Roman"/>
          <w:sz w:val="22"/>
          <w:szCs w:val="22"/>
        </w:rPr>
        <w:t>môže byť</w:t>
      </w:r>
      <w:r w:rsidRPr="00A12068">
        <w:rPr>
          <w:rFonts w:ascii="Times New Roman" w:hAnsi="Times New Roman"/>
          <w:sz w:val="22"/>
          <w:szCs w:val="22"/>
        </w:rPr>
        <w:t xml:space="preserve"> spomalen</w:t>
      </w:r>
      <w:r w:rsidR="00E207D7" w:rsidRPr="00A12068">
        <w:rPr>
          <w:rFonts w:ascii="Times New Roman" w:hAnsi="Times New Roman"/>
          <w:sz w:val="22"/>
          <w:szCs w:val="22"/>
        </w:rPr>
        <w:t>ý</w:t>
      </w:r>
      <w:r w:rsidRPr="00A12068">
        <w:rPr>
          <w:rFonts w:ascii="Times New Roman" w:hAnsi="Times New Roman"/>
          <w:sz w:val="22"/>
          <w:szCs w:val="22"/>
        </w:rPr>
        <w:t xml:space="preserve"> jeho </w:t>
      </w:r>
      <w:r w:rsidR="00E207D7" w:rsidRPr="00A12068">
        <w:rPr>
          <w:rFonts w:ascii="Times New Roman" w:hAnsi="Times New Roman"/>
          <w:sz w:val="22"/>
          <w:szCs w:val="22"/>
        </w:rPr>
        <w:t>klírens</w:t>
      </w:r>
      <w:r w:rsidR="003A342C" w:rsidRPr="00A12068">
        <w:rPr>
          <w:rFonts w:ascii="Times New Roman" w:hAnsi="Times New Roman"/>
          <w:sz w:val="22"/>
          <w:szCs w:val="22"/>
        </w:rPr>
        <w:t>,</w:t>
      </w:r>
      <w:r w:rsidRPr="00A12068">
        <w:rPr>
          <w:rFonts w:ascii="Times New Roman" w:hAnsi="Times New Roman"/>
          <w:sz w:val="22"/>
          <w:szCs w:val="22"/>
        </w:rPr>
        <w:t xml:space="preserve"> predĺžený </w:t>
      </w:r>
      <w:r w:rsidR="007F5383" w:rsidRPr="00A12068">
        <w:rPr>
          <w:rFonts w:ascii="Times New Roman" w:hAnsi="Times New Roman"/>
          <w:sz w:val="22"/>
          <w:szCs w:val="22"/>
        </w:rPr>
        <w:t xml:space="preserve">eliminačný </w:t>
      </w:r>
      <w:r w:rsidRPr="00A12068">
        <w:rPr>
          <w:rFonts w:ascii="Times New Roman" w:hAnsi="Times New Roman"/>
          <w:sz w:val="22"/>
          <w:szCs w:val="22"/>
        </w:rPr>
        <w:t xml:space="preserve">polčas a že môžu byť citlivejší na </w:t>
      </w:r>
      <w:r w:rsidR="00A36846" w:rsidRPr="00A12068">
        <w:rPr>
          <w:rFonts w:ascii="Times New Roman" w:hAnsi="Times New Roman"/>
          <w:sz w:val="22"/>
          <w:szCs w:val="22"/>
        </w:rPr>
        <w:t>liečivo</w:t>
      </w:r>
      <w:r w:rsidRPr="00A12068">
        <w:rPr>
          <w:rFonts w:ascii="Times New Roman" w:hAnsi="Times New Roman"/>
          <w:sz w:val="22"/>
          <w:szCs w:val="22"/>
        </w:rPr>
        <w:t xml:space="preserve"> ako mlad</w:t>
      </w:r>
      <w:r w:rsidR="003A342C" w:rsidRPr="00A12068">
        <w:rPr>
          <w:rFonts w:ascii="Times New Roman" w:hAnsi="Times New Roman"/>
          <w:sz w:val="22"/>
          <w:szCs w:val="22"/>
        </w:rPr>
        <w:t>š</w:t>
      </w:r>
      <w:r w:rsidRPr="00A12068">
        <w:rPr>
          <w:rFonts w:ascii="Times New Roman" w:hAnsi="Times New Roman"/>
          <w:sz w:val="22"/>
          <w:szCs w:val="22"/>
        </w:rPr>
        <w:t xml:space="preserve">í pacienti. Starší, </w:t>
      </w:r>
      <w:r w:rsidR="003A342C" w:rsidRPr="00A12068">
        <w:rPr>
          <w:rFonts w:ascii="Times New Roman" w:hAnsi="Times New Roman"/>
          <w:sz w:val="22"/>
          <w:szCs w:val="22"/>
        </w:rPr>
        <w:t>kachektickí</w:t>
      </w:r>
      <w:r w:rsidRPr="00A12068">
        <w:rPr>
          <w:rFonts w:ascii="Times New Roman" w:hAnsi="Times New Roman"/>
          <w:sz w:val="22"/>
          <w:szCs w:val="22"/>
        </w:rPr>
        <w:t xml:space="preserve"> a chorobou oslabení pacienti musia byť </w:t>
      </w:r>
      <w:r w:rsidR="003A342C" w:rsidRPr="00A12068">
        <w:rPr>
          <w:rFonts w:ascii="Times New Roman" w:hAnsi="Times New Roman"/>
          <w:sz w:val="22"/>
          <w:szCs w:val="22"/>
        </w:rPr>
        <w:t xml:space="preserve">pozorne </w:t>
      </w:r>
      <w:r w:rsidRPr="00A12068">
        <w:rPr>
          <w:rFonts w:ascii="Times New Roman" w:hAnsi="Times New Roman"/>
          <w:sz w:val="22"/>
          <w:szCs w:val="22"/>
        </w:rPr>
        <w:t>sledovaní</w:t>
      </w:r>
      <w:r w:rsidR="00C100E7" w:rsidRPr="00A12068">
        <w:rPr>
          <w:rFonts w:ascii="Times New Roman" w:hAnsi="Times New Roman"/>
          <w:sz w:val="22"/>
          <w:szCs w:val="22"/>
        </w:rPr>
        <w:t>,</w:t>
      </w:r>
      <w:r w:rsidRPr="00A12068">
        <w:rPr>
          <w:rFonts w:ascii="Times New Roman" w:hAnsi="Times New Roman"/>
          <w:sz w:val="22"/>
          <w:szCs w:val="22"/>
        </w:rPr>
        <w:t xml:space="preserve"> </w:t>
      </w:r>
      <w:r w:rsidR="00C100E7" w:rsidRPr="00A12068">
        <w:rPr>
          <w:rFonts w:ascii="Times New Roman" w:hAnsi="Times New Roman"/>
          <w:sz w:val="22"/>
          <w:szCs w:val="22"/>
        </w:rPr>
        <w:t>či sa u nich ne</w:t>
      </w:r>
      <w:r w:rsidRPr="00A12068">
        <w:rPr>
          <w:rFonts w:ascii="Times New Roman" w:hAnsi="Times New Roman"/>
          <w:sz w:val="22"/>
          <w:szCs w:val="22"/>
        </w:rPr>
        <w:t>prejavi</w:t>
      </w:r>
      <w:r w:rsidR="00C100E7" w:rsidRPr="00A12068">
        <w:rPr>
          <w:rFonts w:ascii="Times New Roman" w:hAnsi="Times New Roman"/>
          <w:sz w:val="22"/>
          <w:szCs w:val="22"/>
        </w:rPr>
        <w:t>a</w:t>
      </w:r>
      <w:r w:rsidRPr="00A12068">
        <w:rPr>
          <w:rFonts w:ascii="Times New Roman" w:hAnsi="Times New Roman"/>
          <w:sz w:val="22"/>
          <w:szCs w:val="22"/>
        </w:rPr>
        <w:t xml:space="preserve"> príznak</w:t>
      </w:r>
      <w:r w:rsidR="00C100E7" w:rsidRPr="00A12068">
        <w:rPr>
          <w:rFonts w:ascii="Times New Roman" w:hAnsi="Times New Roman"/>
          <w:sz w:val="22"/>
          <w:szCs w:val="22"/>
        </w:rPr>
        <w:t>y</w:t>
      </w:r>
      <w:r w:rsidRPr="00A12068">
        <w:rPr>
          <w:rFonts w:ascii="Times New Roman" w:hAnsi="Times New Roman"/>
          <w:sz w:val="22"/>
          <w:szCs w:val="22"/>
        </w:rPr>
        <w:t xml:space="preserve"> toxicity fentanylu a</w:t>
      </w:r>
      <w:r w:rsidR="00C100E7" w:rsidRPr="00A12068">
        <w:rPr>
          <w:rFonts w:ascii="Times New Roman" w:hAnsi="Times New Roman"/>
          <w:sz w:val="22"/>
          <w:szCs w:val="22"/>
        </w:rPr>
        <w:t> v prípade potreby</w:t>
      </w:r>
      <w:r w:rsidRPr="00A12068">
        <w:rPr>
          <w:rFonts w:ascii="Times New Roman" w:hAnsi="Times New Roman"/>
          <w:sz w:val="22"/>
          <w:szCs w:val="22"/>
        </w:rPr>
        <w:t xml:space="preserve"> </w:t>
      </w:r>
      <w:r w:rsidR="00C100E7" w:rsidRPr="00A12068">
        <w:rPr>
          <w:rFonts w:ascii="Times New Roman" w:hAnsi="Times New Roman"/>
          <w:sz w:val="22"/>
          <w:szCs w:val="22"/>
        </w:rPr>
        <w:t xml:space="preserve">im </w:t>
      </w:r>
      <w:r w:rsidR="0007705C" w:rsidRPr="00A12068">
        <w:rPr>
          <w:rFonts w:ascii="Times New Roman" w:hAnsi="Times New Roman"/>
          <w:sz w:val="22"/>
          <w:szCs w:val="22"/>
        </w:rPr>
        <w:t xml:space="preserve">treba </w:t>
      </w:r>
      <w:r w:rsidRPr="00A12068">
        <w:rPr>
          <w:rFonts w:ascii="Times New Roman" w:hAnsi="Times New Roman"/>
          <w:sz w:val="22"/>
          <w:szCs w:val="22"/>
        </w:rPr>
        <w:t>zníži</w:t>
      </w:r>
      <w:r w:rsidR="00C100E7" w:rsidRPr="00A12068">
        <w:rPr>
          <w:rFonts w:ascii="Times New Roman" w:hAnsi="Times New Roman"/>
          <w:sz w:val="22"/>
          <w:szCs w:val="22"/>
        </w:rPr>
        <w:t>ť</w:t>
      </w:r>
      <w:r w:rsidRPr="00A12068">
        <w:rPr>
          <w:rFonts w:ascii="Times New Roman" w:hAnsi="Times New Roman"/>
          <w:sz w:val="22"/>
          <w:szCs w:val="22"/>
        </w:rPr>
        <w:t xml:space="preserve"> dávk</w:t>
      </w:r>
      <w:r w:rsidR="00C100E7" w:rsidRPr="00A12068">
        <w:rPr>
          <w:rFonts w:ascii="Times New Roman" w:hAnsi="Times New Roman"/>
          <w:sz w:val="22"/>
          <w:szCs w:val="22"/>
        </w:rPr>
        <w:t>u</w:t>
      </w:r>
      <w:r w:rsidRPr="00A12068">
        <w:rPr>
          <w:rFonts w:ascii="Times New Roman" w:hAnsi="Times New Roman"/>
          <w:sz w:val="22"/>
          <w:szCs w:val="22"/>
        </w:rPr>
        <w:t>.</w:t>
      </w:r>
    </w:p>
    <w:p w:rsidR="000D6F3D" w:rsidRPr="00A12068" w:rsidRDefault="000D6F3D" w:rsidP="00E12DE9">
      <w:pPr>
        <w:rPr>
          <w:rFonts w:ascii="Times New Roman" w:hAnsi="Times New Roman"/>
          <w:sz w:val="22"/>
          <w:szCs w:val="22"/>
        </w:rPr>
      </w:pPr>
    </w:p>
    <w:p w:rsidR="000D6F3D" w:rsidRPr="00A12068" w:rsidRDefault="000D6F3D" w:rsidP="00E12DE9">
      <w:pPr>
        <w:pStyle w:val="SPCNormal"/>
        <w:rPr>
          <w:szCs w:val="22"/>
        </w:rPr>
      </w:pPr>
      <w:r w:rsidRPr="00A12068">
        <w:rPr>
          <w:szCs w:val="22"/>
        </w:rPr>
        <w:t xml:space="preserve">Lunaldin treba podávať opatrne pacientom s </w:t>
      </w:r>
      <w:r w:rsidR="0007705C" w:rsidRPr="00A12068">
        <w:rPr>
          <w:szCs w:val="22"/>
        </w:rPr>
        <w:t>dys</w:t>
      </w:r>
      <w:r w:rsidRPr="00A12068">
        <w:rPr>
          <w:szCs w:val="22"/>
        </w:rPr>
        <w:t xml:space="preserve">funkciou pečene či obličiek, predovšetkým vo fáze </w:t>
      </w:r>
      <w:r w:rsidR="0007705C" w:rsidRPr="00A12068">
        <w:rPr>
          <w:szCs w:val="22"/>
        </w:rPr>
        <w:t>titrácie</w:t>
      </w:r>
      <w:r w:rsidRPr="00A12068">
        <w:rPr>
          <w:szCs w:val="22"/>
        </w:rPr>
        <w:t xml:space="preserve"> dávky. </w:t>
      </w:r>
      <w:r w:rsidR="0007705C" w:rsidRPr="00A12068">
        <w:rPr>
          <w:szCs w:val="22"/>
        </w:rPr>
        <w:t xml:space="preserve">Použitie </w:t>
      </w:r>
      <w:r w:rsidRPr="00A12068">
        <w:rPr>
          <w:szCs w:val="22"/>
        </w:rPr>
        <w:t>Lunaldin</w:t>
      </w:r>
      <w:r w:rsidR="0007705C" w:rsidRPr="00A12068">
        <w:rPr>
          <w:szCs w:val="22"/>
        </w:rPr>
        <w:t>u</w:t>
      </w:r>
      <w:r w:rsidRPr="00A12068">
        <w:rPr>
          <w:szCs w:val="22"/>
        </w:rPr>
        <w:t xml:space="preserve"> </w:t>
      </w:r>
      <w:r w:rsidR="00AD7A27" w:rsidRPr="00A12068">
        <w:rPr>
          <w:szCs w:val="22"/>
        </w:rPr>
        <w:t>u</w:t>
      </w:r>
      <w:r w:rsidRPr="00A12068">
        <w:rPr>
          <w:szCs w:val="22"/>
        </w:rPr>
        <w:t xml:space="preserve"> pacientov s </w:t>
      </w:r>
      <w:r w:rsidR="0007705C" w:rsidRPr="00A12068">
        <w:rPr>
          <w:szCs w:val="22"/>
        </w:rPr>
        <w:t>poruchou</w:t>
      </w:r>
      <w:r w:rsidRPr="00A12068">
        <w:rPr>
          <w:szCs w:val="22"/>
        </w:rPr>
        <w:t xml:space="preserve"> funkci</w:t>
      </w:r>
      <w:r w:rsidR="0007705C" w:rsidRPr="00A12068">
        <w:rPr>
          <w:szCs w:val="22"/>
        </w:rPr>
        <w:t>e</w:t>
      </w:r>
      <w:r w:rsidRPr="00A12068">
        <w:rPr>
          <w:szCs w:val="22"/>
        </w:rPr>
        <w:t xml:space="preserve"> pečene či obličiek</w:t>
      </w:r>
      <w:r w:rsidR="0007705C" w:rsidRPr="00A12068">
        <w:rPr>
          <w:szCs w:val="22"/>
        </w:rPr>
        <w:t xml:space="preserve"> môže </w:t>
      </w:r>
      <w:r w:rsidRPr="00A12068">
        <w:rPr>
          <w:szCs w:val="22"/>
        </w:rPr>
        <w:t>zvýši</w:t>
      </w:r>
      <w:r w:rsidR="0007705C" w:rsidRPr="00A12068">
        <w:rPr>
          <w:szCs w:val="22"/>
        </w:rPr>
        <w:t>ť</w:t>
      </w:r>
      <w:r w:rsidRPr="00A12068">
        <w:rPr>
          <w:szCs w:val="22"/>
        </w:rPr>
        <w:t xml:space="preserve"> bio</w:t>
      </w:r>
      <w:r w:rsidR="00AD7A27" w:rsidRPr="00A12068">
        <w:rPr>
          <w:szCs w:val="22"/>
        </w:rPr>
        <w:t>logick</w:t>
      </w:r>
      <w:r w:rsidR="0007705C" w:rsidRPr="00A12068">
        <w:rPr>
          <w:szCs w:val="22"/>
        </w:rPr>
        <w:t>ú</w:t>
      </w:r>
      <w:r w:rsidR="00AD7A27" w:rsidRPr="00A12068">
        <w:rPr>
          <w:szCs w:val="22"/>
        </w:rPr>
        <w:t xml:space="preserve"> </w:t>
      </w:r>
      <w:r w:rsidRPr="00A12068">
        <w:rPr>
          <w:szCs w:val="22"/>
        </w:rPr>
        <w:t>dostupnosť fentanylu a z</w:t>
      </w:r>
      <w:r w:rsidR="0007705C" w:rsidRPr="00A12068">
        <w:rPr>
          <w:szCs w:val="22"/>
        </w:rPr>
        <w:t>nížiť</w:t>
      </w:r>
      <w:r w:rsidRPr="00A12068">
        <w:rPr>
          <w:szCs w:val="22"/>
        </w:rPr>
        <w:t xml:space="preserve"> jeho </w:t>
      </w:r>
      <w:r w:rsidR="0007705C" w:rsidRPr="00A12068">
        <w:rPr>
          <w:szCs w:val="22"/>
        </w:rPr>
        <w:t>systémový klírens</w:t>
      </w:r>
      <w:r w:rsidRPr="00A12068">
        <w:rPr>
          <w:szCs w:val="22"/>
        </w:rPr>
        <w:t>, čo môže viesť k jeho akumulácii a</w:t>
      </w:r>
      <w:r w:rsidR="00A90EC1" w:rsidRPr="00A12068">
        <w:rPr>
          <w:szCs w:val="22"/>
        </w:rPr>
        <w:t> </w:t>
      </w:r>
      <w:r w:rsidRPr="00A12068">
        <w:rPr>
          <w:szCs w:val="22"/>
        </w:rPr>
        <w:t>k</w:t>
      </w:r>
      <w:r w:rsidR="00A90EC1" w:rsidRPr="00A12068">
        <w:rPr>
          <w:szCs w:val="22"/>
        </w:rPr>
        <w:t> </w:t>
      </w:r>
      <w:r w:rsidRPr="00A12068">
        <w:rPr>
          <w:szCs w:val="22"/>
        </w:rPr>
        <w:t>výraznejším a predĺženým opiátovým účinkom.</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Buďte opatrní pri nasadení Lunaldinu u pacientov s hyp</w:t>
      </w:r>
      <w:r w:rsidR="007F5383" w:rsidRPr="00A12068">
        <w:rPr>
          <w:szCs w:val="22"/>
        </w:rPr>
        <w:t>o</w:t>
      </w:r>
      <w:r w:rsidRPr="00A12068">
        <w:rPr>
          <w:szCs w:val="22"/>
        </w:rPr>
        <w:t>volémiou a hypotenziou.</w:t>
      </w:r>
    </w:p>
    <w:p w:rsidR="000D6F3D" w:rsidRPr="00A12068" w:rsidRDefault="000D6F3D" w:rsidP="00E12DE9">
      <w:pPr>
        <w:pStyle w:val="SPCNormal"/>
        <w:rPr>
          <w:szCs w:val="22"/>
        </w:rPr>
      </w:pPr>
    </w:p>
    <w:p w:rsidR="000D6F3D" w:rsidRPr="00A12068" w:rsidRDefault="000D6F3D" w:rsidP="00E12DE9">
      <w:pPr>
        <w:rPr>
          <w:rFonts w:ascii="Times New Roman" w:hAnsi="Times New Roman"/>
          <w:sz w:val="22"/>
          <w:szCs w:val="22"/>
        </w:rPr>
      </w:pPr>
      <w:r w:rsidRPr="00A12068">
        <w:rPr>
          <w:rFonts w:ascii="Times New Roman" w:hAnsi="Times New Roman"/>
          <w:sz w:val="22"/>
          <w:szCs w:val="22"/>
        </w:rPr>
        <w:t xml:space="preserve">Lunaldin nebol študovaný u pacientov s ranami v ústach alebo zápalom ústnych slizníc. U takýchto pacientov hrozí riziko zvýšenej systémovej expozície </w:t>
      </w:r>
      <w:r w:rsidR="007F5383" w:rsidRPr="00A12068">
        <w:rPr>
          <w:rFonts w:ascii="Times New Roman" w:hAnsi="Times New Roman"/>
          <w:sz w:val="22"/>
          <w:szCs w:val="22"/>
        </w:rPr>
        <w:t>liečiva</w:t>
      </w:r>
      <w:r w:rsidRPr="00A12068">
        <w:rPr>
          <w:rFonts w:ascii="Times New Roman" w:hAnsi="Times New Roman"/>
          <w:sz w:val="22"/>
          <w:szCs w:val="22"/>
        </w:rPr>
        <w:t xml:space="preserve"> a preto sa pri </w:t>
      </w:r>
      <w:r w:rsidR="007F5383" w:rsidRPr="00A12068">
        <w:rPr>
          <w:rFonts w:ascii="Times New Roman" w:hAnsi="Times New Roman"/>
          <w:sz w:val="22"/>
          <w:szCs w:val="22"/>
        </w:rPr>
        <w:t xml:space="preserve">titrácii </w:t>
      </w:r>
      <w:r w:rsidRPr="00A12068">
        <w:rPr>
          <w:rFonts w:ascii="Times New Roman" w:hAnsi="Times New Roman"/>
          <w:sz w:val="22"/>
          <w:szCs w:val="22"/>
        </w:rPr>
        <w:t>dávky vyžaduje mimoriadna opatrnosť.</w:t>
      </w:r>
      <w:r w:rsidRPr="00A12068">
        <w:rPr>
          <w:rFonts w:ascii="Times New Roman" w:hAnsi="Times New Roman"/>
          <w:sz w:val="22"/>
          <w:szCs w:val="22"/>
          <w:u w:val="single"/>
        </w:rPr>
        <w:t xml:space="preserve"> </w:t>
      </w:r>
    </w:p>
    <w:p w:rsidR="000D6F3D" w:rsidRPr="00A12068" w:rsidRDefault="000D6F3D" w:rsidP="00E12DE9">
      <w:pPr>
        <w:pStyle w:val="SPCNormal"/>
        <w:rPr>
          <w:szCs w:val="22"/>
        </w:rPr>
      </w:pPr>
    </w:p>
    <w:p w:rsidR="000D6F3D" w:rsidRPr="00A12068" w:rsidRDefault="00800F42" w:rsidP="00E12DE9">
      <w:pPr>
        <w:pStyle w:val="SPCNormal"/>
        <w:rPr>
          <w:szCs w:val="22"/>
        </w:rPr>
      </w:pPr>
      <w:r w:rsidRPr="00A12068">
        <w:rPr>
          <w:szCs w:val="22"/>
        </w:rPr>
        <w:t>U</w:t>
      </w:r>
      <w:r w:rsidR="000D6F3D" w:rsidRPr="00A12068">
        <w:rPr>
          <w:szCs w:val="22"/>
        </w:rPr>
        <w:t>končen</w:t>
      </w:r>
      <w:r w:rsidRPr="00A12068">
        <w:rPr>
          <w:szCs w:val="22"/>
        </w:rPr>
        <w:t>ie</w:t>
      </w:r>
      <w:r w:rsidR="000D6F3D" w:rsidRPr="00A12068">
        <w:rPr>
          <w:szCs w:val="22"/>
        </w:rPr>
        <w:t xml:space="preserve"> terapie Lunaldinom nem</w:t>
      </w:r>
      <w:r w:rsidRPr="00A12068">
        <w:rPr>
          <w:szCs w:val="22"/>
        </w:rPr>
        <w:t>á</w:t>
      </w:r>
      <w:r w:rsidR="000D6F3D" w:rsidRPr="00A12068">
        <w:rPr>
          <w:szCs w:val="22"/>
        </w:rPr>
        <w:t xml:space="preserve"> </w:t>
      </w:r>
      <w:r w:rsidR="007F217D" w:rsidRPr="00A12068">
        <w:rPr>
          <w:szCs w:val="22"/>
        </w:rPr>
        <w:t xml:space="preserve">mať </w:t>
      </w:r>
      <w:r w:rsidRPr="00A12068">
        <w:rPr>
          <w:szCs w:val="22"/>
        </w:rPr>
        <w:t>zjavné následky</w:t>
      </w:r>
      <w:r w:rsidR="000D6F3D" w:rsidRPr="00A12068">
        <w:rPr>
          <w:szCs w:val="22"/>
        </w:rPr>
        <w:t xml:space="preserve">, </w:t>
      </w:r>
      <w:r w:rsidR="007F217D" w:rsidRPr="00A12068">
        <w:rPr>
          <w:szCs w:val="22"/>
        </w:rPr>
        <w:t xml:space="preserve">okrem možných </w:t>
      </w:r>
      <w:r w:rsidRPr="00A12068">
        <w:rPr>
          <w:szCs w:val="22"/>
        </w:rPr>
        <w:t>príznak</w:t>
      </w:r>
      <w:r w:rsidR="007F217D" w:rsidRPr="00A12068">
        <w:rPr>
          <w:szCs w:val="22"/>
        </w:rPr>
        <w:t>ov</w:t>
      </w:r>
      <w:r w:rsidRPr="00A12068">
        <w:rPr>
          <w:szCs w:val="22"/>
        </w:rPr>
        <w:t xml:space="preserve"> </w:t>
      </w:r>
      <w:r w:rsidR="009961A8" w:rsidRPr="00A12068">
        <w:rPr>
          <w:szCs w:val="22"/>
        </w:rPr>
        <w:t xml:space="preserve">z vysadenia </w:t>
      </w:r>
      <w:r w:rsidR="007F217D" w:rsidRPr="00A12068">
        <w:rPr>
          <w:szCs w:val="22"/>
        </w:rPr>
        <w:t xml:space="preserve">ako </w:t>
      </w:r>
      <w:r w:rsidRPr="00A12068">
        <w:rPr>
          <w:szCs w:val="22"/>
        </w:rPr>
        <w:t>sú</w:t>
      </w:r>
      <w:r w:rsidR="000D6F3D" w:rsidRPr="00A12068">
        <w:rPr>
          <w:szCs w:val="22"/>
        </w:rPr>
        <w:t xml:space="preserve"> úzkosť, triaška, potenie, bledosť, </w:t>
      </w:r>
      <w:r w:rsidRPr="00A12068">
        <w:rPr>
          <w:szCs w:val="22"/>
        </w:rPr>
        <w:t xml:space="preserve">nauzea </w:t>
      </w:r>
      <w:r w:rsidR="000D6F3D" w:rsidRPr="00A12068">
        <w:rPr>
          <w:szCs w:val="22"/>
        </w:rPr>
        <w:t>a vracanie.</w:t>
      </w:r>
    </w:p>
    <w:p w:rsidR="000D6F3D" w:rsidRPr="00A12068" w:rsidRDefault="000D6F3D" w:rsidP="00E12DE9">
      <w:pPr>
        <w:rPr>
          <w:rFonts w:ascii="Times New Roman" w:hAnsi="Times New Roman"/>
          <w:sz w:val="22"/>
          <w:szCs w:val="22"/>
        </w:rPr>
      </w:pPr>
    </w:p>
    <w:p w:rsidR="007C1709" w:rsidRPr="00A12068" w:rsidRDefault="007C1709" w:rsidP="00E12DE9">
      <w:pPr>
        <w:autoSpaceDE w:val="0"/>
        <w:autoSpaceDN w:val="0"/>
        <w:adjustRightInd w:val="0"/>
        <w:rPr>
          <w:rFonts w:ascii="Times New Roman" w:hAnsi="Times New Roman"/>
          <w:iCs/>
          <w:sz w:val="22"/>
          <w:szCs w:val="22"/>
          <w:u w:val="single"/>
        </w:rPr>
      </w:pPr>
      <w:r w:rsidRPr="00A12068">
        <w:rPr>
          <w:rFonts w:ascii="Times New Roman" w:hAnsi="Times New Roman"/>
          <w:iCs/>
          <w:sz w:val="22"/>
          <w:szCs w:val="22"/>
          <w:u w:val="single"/>
        </w:rPr>
        <w:t>S</w:t>
      </w:r>
      <w:r w:rsidR="009961A8" w:rsidRPr="00A12068">
        <w:rPr>
          <w:rFonts w:ascii="Times New Roman" w:hAnsi="Times New Roman"/>
          <w:iCs/>
          <w:sz w:val="22"/>
          <w:szCs w:val="22"/>
          <w:u w:val="single"/>
        </w:rPr>
        <w:t>é</w:t>
      </w:r>
      <w:r w:rsidRPr="00A12068">
        <w:rPr>
          <w:rFonts w:ascii="Times New Roman" w:hAnsi="Times New Roman"/>
          <w:iCs/>
          <w:sz w:val="22"/>
          <w:szCs w:val="22"/>
          <w:u w:val="single"/>
        </w:rPr>
        <w:t>rotonínový syndróm</w:t>
      </w:r>
    </w:p>
    <w:p w:rsidR="007C1709" w:rsidRPr="00A12068" w:rsidRDefault="005F48C4" w:rsidP="00A90EC1">
      <w:pPr>
        <w:autoSpaceDE w:val="0"/>
        <w:autoSpaceDN w:val="0"/>
        <w:adjustRightInd w:val="0"/>
        <w:ind w:left="154" w:hanging="154"/>
        <w:rPr>
          <w:rFonts w:ascii="Times New Roman" w:hAnsi="Times New Roman"/>
          <w:sz w:val="22"/>
          <w:szCs w:val="22"/>
        </w:rPr>
      </w:pPr>
      <w:r w:rsidRPr="00A12068">
        <w:rPr>
          <w:rFonts w:ascii="Times New Roman" w:hAnsi="Times New Roman"/>
          <w:sz w:val="22"/>
          <w:szCs w:val="22"/>
        </w:rPr>
        <w:t xml:space="preserve">• </w:t>
      </w:r>
      <w:r w:rsidR="007C1709" w:rsidRPr="00A12068">
        <w:rPr>
          <w:rFonts w:ascii="Times New Roman" w:hAnsi="Times New Roman"/>
          <w:sz w:val="22"/>
          <w:szCs w:val="22"/>
        </w:rPr>
        <w:t>Pri súbežnom podávaní Lunaldinu s liekmi, ktoré ovplyvňujú s</w:t>
      </w:r>
      <w:r w:rsidR="009961A8" w:rsidRPr="00A12068">
        <w:rPr>
          <w:rFonts w:ascii="Times New Roman" w:hAnsi="Times New Roman"/>
          <w:sz w:val="22"/>
          <w:szCs w:val="22"/>
        </w:rPr>
        <w:t>é</w:t>
      </w:r>
      <w:r w:rsidR="007C1709" w:rsidRPr="00A12068">
        <w:rPr>
          <w:rFonts w:ascii="Times New Roman" w:hAnsi="Times New Roman"/>
          <w:sz w:val="22"/>
          <w:szCs w:val="22"/>
        </w:rPr>
        <w:t>rotonínergické neurotransmiterové systémy, sa odporúča opatrnosť.</w:t>
      </w:r>
    </w:p>
    <w:p w:rsidR="00A90EC1" w:rsidRPr="00A12068" w:rsidRDefault="00A90EC1" w:rsidP="00A90EC1">
      <w:pPr>
        <w:autoSpaceDE w:val="0"/>
        <w:autoSpaceDN w:val="0"/>
        <w:adjustRightInd w:val="0"/>
        <w:ind w:left="154" w:hanging="154"/>
        <w:rPr>
          <w:rFonts w:ascii="Times New Roman" w:hAnsi="Times New Roman"/>
          <w:sz w:val="22"/>
          <w:szCs w:val="22"/>
        </w:rPr>
      </w:pPr>
    </w:p>
    <w:p w:rsidR="007C1709" w:rsidRPr="00A12068" w:rsidRDefault="007C1709"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Pri súbežnom používaní so s</w:t>
      </w:r>
      <w:r w:rsidR="00AD5D92" w:rsidRPr="00A12068">
        <w:rPr>
          <w:rFonts w:ascii="Times New Roman" w:hAnsi="Times New Roman"/>
          <w:sz w:val="22"/>
          <w:szCs w:val="22"/>
        </w:rPr>
        <w:t>é</w:t>
      </w:r>
      <w:r w:rsidRPr="00A12068">
        <w:rPr>
          <w:rFonts w:ascii="Times New Roman" w:hAnsi="Times New Roman"/>
          <w:sz w:val="22"/>
          <w:szCs w:val="22"/>
        </w:rPr>
        <w:t>rotonínergickými liekmi, ako sú napríklad selektívne inhib</w:t>
      </w:r>
      <w:r w:rsidR="00AD5D92" w:rsidRPr="00A12068">
        <w:rPr>
          <w:rFonts w:ascii="Times New Roman" w:hAnsi="Times New Roman"/>
          <w:sz w:val="22"/>
          <w:szCs w:val="22"/>
        </w:rPr>
        <w:t>í</w:t>
      </w:r>
      <w:r w:rsidRPr="00A12068">
        <w:rPr>
          <w:rFonts w:ascii="Times New Roman" w:hAnsi="Times New Roman"/>
          <w:sz w:val="22"/>
          <w:szCs w:val="22"/>
        </w:rPr>
        <w:t>tory spätného vychytávania s</w:t>
      </w:r>
      <w:r w:rsidR="00AD5D92" w:rsidRPr="00A12068">
        <w:rPr>
          <w:rFonts w:ascii="Times New Roman" w:hAnsi="Times New Roman"/>
          <w:sz w:val="22"/>
          <w:szCs w:val="22"/>
        </w:rPr>
        <w:t>é</w:t>
      </w:r>
      <w:r w:rsidRPr="00A12068">
        <w:rPr>
          <w:rFonts w:ascii="Times New Roman" w:hAnsi="Times New Roman"/>
          <w:sz w:val="22"/>
          <w:szCs w:val="22"/>
        </w:rPr>
        <w:t>rotonínu (SSRI) a inhibítory spätného vychytávania s</w:t>
      </w:r>
      <w:r w:rsidR="00AD5D92" w:rsidRPr="00A12068">
        <w:rPr>
          <w:rFonts w:ascii="Times New Roman" w:hAnsi="Times New Roman"/>
          <w:sz w:val="22"/>
          <w:szCs w:val="22"/>
        </w:rPr>
        <w:t>é</w:t>
      </w:r>
      <w:r w:rsidRPr="00A12068">
        <w:rPr>
          <w:rFonts w:ascii="Times New Roman" w:hAnsi="Times New Roman"/>
          <w:sz w:val="22"/>
          <w:szCs w:val="22"/>
        </w:rPr>
        <w:t>rotonínu a nor</w:t>
      </w:r>
      <w:r w:rsidR="00AD5D92" w:rsidRPr="00A12068">
        <w:rPr>
          <w:rFonts w:ascii="Times New Roman" w:hAnsi="Times New Roman"/>
          <w:sz w:val="22"/>
          <w:szCs w:val="22"/>
        </w:rPr>
        <w:t>adrenal</w:t>
      </w:r>
      <w:r w:rsidRPr="00A12068">
        <w:rPr>
          <w:rFonts w:ascii="Times New Roman" w:hAnsi="Times New Roman"/>
          <w:sz w:val="22"/>
          <w:szCs w:val="22"/>
        </w:rPr>
        <w:t>ínu (SNRI), a s liekmi zhoršujúcimi metabolizmus s</w:t>
      </w:r>
      <w:r w:rsidR="00AD5D92" w:rsidRPr="00A12068">
        <w:rPr>
          <w:rFonts w:ascii="Times New Roman" w:hAnsi="Times New Roman"/>
          <w:sz w:val="22"/>
          <w:szCs w:val="22"/>
        </w:rPr>
        <w:t>é</w:t>
      </w:r>
      <w:r w:rsidRPr="00A12068">
        <w:rPr>
          <w:rFonts w:ascii="Times New Roman" w:hAnsi="Times New Roman"/>
          <w:sz w:val="22"/>
          <w:szCs w:val="22"/>
        </w:rPr>
        <w:t>rotonínu (vrátane inhibítorov monoam</w:t>
      </w:r>
      <w:r w:rsidR="000C43E1" w:rsidRPr="00A12068">
        <w:rPr>
          <w:rFonts w:ascii="Times New Roman" w:hAnsi="Times New Roman"/>
          <w:sz w:val="22"/>
          <w:szCs w:val="22"/>
        </w:rPr>
        <w:t>i</w:t>
      </w:r>
      <w:r w:rsidRPr="00A12068">
        <w:rPr>
          <w:rFonts w:ascii="Times New Roman" w:hAnsi="Times New Roman"/>
          <w:sz w:val="22"/>
          <w:szCs w:val="22"/>
        </w:rPr>
        <w:t>noxidázy [IMAO]), môže dôjsť k rozvoju s</w:t>
      </w:r>
      <w:r w:rsidR="000C43E1" w:rsidRPr="00A12068">
        <w:rPr>
          <w:rFonts w:ascii="Times New Roman" w:hAnsi="Times New Roman"/>
          <w:sz w:val="22"/>
          <w:szCs w:val="22"/>
        </w:rPr>
        <w:t>é</w:t>
      </w:r>
      <w:r w:rsidRPr="00A12068">
        <w:rPr>
          <w:rFonts w:ascii="Times New Roman" w:hAnsi="Times New Roman"/>
          <w:sz w:val="22"/>
          <w:szCs w:val="22"/>
        </w:rPr>
        <w:t>rotonínového syndrómu potenciálne ohrozujúceho život. K tomu môže dochádzať v rámci odporúčanej dávky.</w:t>
      </w:r>
    </w:p>
    <w:p w:rsidR="007C1709" w:rsidRPr="00A12068" w:rsidRDefault="007C1709"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S</w:t>
      </w:r>
      <w:r w:rsidR="000C43E1" w:rsidRPr="00A12068">
        <w:rPr>
          <w:rFonts w:ascii="Times New Roman" w:hAnsi="Times New Roman"/>
          <w:sz w:val="22"/>
          <w:szCs w:val="22"/>
        </w:rPr>
        <w:t>é</w:t>
      </w:r>
      <w:r w:rsidRPr="00A12068">
        <w:rPr>
          <w:rFonts w:ascii="Times New Roman" w:hAnsi="Times New Roman"/>
          <w:sz w:val="22"/>
          <w:szCs w:val="22"/>
        </w:rPr>
        <w:t>rotonínový syndróm môže zahŕňať zmeny duševného stavu (napríklad agitáciu, halucinácie,</w:t>
      </w:r>
    </w:p>
    <w:p w:rsidR="007C1709" w:rsidRPr="00A12068" w:rsidRDefault="007C1709"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kómu), autonómnu nestabilitu (napríklad tachykardiu, nestabilný krvný tlak, hypertermiu),</w:t>
      </w:r>
    </w:p>
    <w:p w:rsidR="007C1709" w:rsidRPr="00A12068" w:rsidRDefault="007C1709"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neuromuskulárne anomálie (napríklad hyperreflexiu, poruchu koordinácie, stuhnutosť) a/alebo</w:t>
      </w:r>
    </w:p>
    <w:p w:rsidR="007C1709" w:rsidRPr="00A12068" w:rsidRDefault="007C1709" w:rsidP="00E12DE9">
      <w:pPr>
        <w:autoSpaceDE w:val="0"/>
        <w:autoSpaceDN w:val="0"/>
        <w:adjustRightInd w:val="0"/>
        <w:rPr>
          <w:rFonts w:ascii="Times New Roman" w:hAnsi="Times New Roman"/>
          <w:sz w:val="22"/>
          <w:szCs w:val="22"/>
        </w:rPr>
      </w:pPr>
      <w:r w:rsidRPr="00A12068">
        <w:rPr>
          <w:rFonts w:ascii="Times New Roman" w:hAnsi="Times New Roman"/>
          <w:sz w:val="22"/>
          <w:szCs w:val="22"/>
        </w:rPr>
        <w:lastRenderedPageBreak/>
        <w:t>gastrointestinálne symptómy (napríklad nevoľnosť, vracanie, hnačku).</w:t>
      </w:r>
    </w:p>
    <w:p w:rsidR="007C1709" w:rsidRPr="00A12068" w:rsidRDefault="007C1709"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Ak existuje podozrenie na s</w:t>
      </w:r>
      <w:r w:rsidR="000C43E1" w:rsidRPr="00A12068">
        <w:rPr>
          <w:rFonts w:ascii="Times New Roman" w:hAnsi="Times New Roman"/>
          <w:sz w:val="22"/>
          <w:szCs w:val="22"/>
        </w:rPr>
        <w:t>é</w:t>
      </w:r>
      <w:r w:rsidRPr="00A12068">
        <w:rPr>
          <w:rFonts w:ascii="Times New Roman" w:hAnsi="Times New Roman"/>
          <w:sz w:val="22"/>
          <w:szCs w:val="22"/>
        </w:rPr>
        <w:t>rotonínový syndróm, liečba Lunaldinom</w:t>
      </w:r>
      <w:r w:rsidR="000C43E1" w:rsidRPr="00A12068">
        <w:rPr>
          <w:rFonts w:ascii="Times New Roman" w:hAnsi="Times New Roman"/>
          <w:sz w:val="22"/>
          <w:szCs w:val="22"/>
        </w:rPr>
        <w:t xml:space="preserve"> </w:t>
      </w:r>
      <w:r w:rsidRPr="00A12068">
        <w:rPr>
          <w:rFonts w:ascii="Times New Roman" w:hAnsi="Times New Roman"/>
          <w:sz w:val="22"/>
          <w:szCs w:val="22"/>
        </w:rPr>
        <w:t>sa má ukončiť.</w:t>
      </w:r>
    </w:p>
    <w:p w:rsidR="007C1709" w:rsidRPr="00A12068" w:rsidRDefault="007C1709" w:rsidP="00E12DE9">
      <w:pPr>
        <w:rPr>
          <w:rFonts w:ascii="Times New Roman" w:hAnsi="Times New Roman"/>
          <w:sz w:val="22"/>
          <w:szCs w:val="22"/>
        </w:rPr>
      </w:pPr>
    </w:p>
    <w:p w:rsidR="000D6F3D" w:rsidRPr="00A12068" w:rsidRDefault="000D6F3D" w:rsidP="00E12DE9">
      <w:pPr>
        <w:pStyle w:val="SPC2"/>
        <w:rPr>
          <w:szCs w:val="22"/>
        </w:rPr>
      </w:pPr>
      <w:r w:rsidRPr="00A12068">
        <w:rPr>
          <w:szCs w:val="22"/>
        </w:rPr>
        <w:t>4.5</w:t>
      </w:r>
      <w:r w:rsidRPr="00A12068">
        <w:rPr>
          <w:szCs w:val="22"/>
        </w:rPr>
        <w:tab/>
        <w:t>Liekové a iné interakcie</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Fentanyl je metabolizovaný CYP3A4. Liečivá, ktoré inhibujú aktivitu CYP3A4, ako napríklad makrolidové antibiotiká (napr. erytromycín), azolové antifungálne preparáty (napr. ketokonazol, itrakonazol) alebo určité inhibítory proteáz (napr. ritonavir) môžu zvýšiť bio</w:t>
      </w:r>
      <w:r w:rsidR="00A61F26" w:rsidRPr="00A12068">
        <w:rPr>
          <w:szCs w:val="22"/>
        </w:rPr>
        <w:t xml:space="preserve">logickú </w:t>
      </w:r>
      <w:r w:rsidRPr="00A12068">
        <w:rPr>
          <w:szCs w:val="22"/>
        </w:rPr>
        <w:t xml:space="preserve">dostupnosť fentanylu potlačením jeho systémového </w:t>
      </w:r>
      <w:r w:rsidR="00DE56E5" w:rsidRPr="00A12068">
        <w:rPr>
          <w:szCs w:val="22"/>
        </w:rPr>
        <w:t>klírensu</w:t>
      </w:r>
      <w:r w:rsidRPr="00A12068">
        <w:rPr>
          <w:szCs w:val="22"/>
        </w:rPr>
        <w:t xml:space="preserve"> a tým potenciálne</w:t>
      </w:r>
      <w:r w:rsidR="00DE56E5" w:rsidRPr="00A12068">
        <w:rPr>
          <w:szCs w:val="22"/>
        </w:rPr>
        <w:t xml:space="preserve"> posilniť alebo</w:t>
      </w:r>
      <w:r w:rsidRPr="00A12068">
        <w:rPr>
          <w:szCs w:val="22"/>
        </w:rPr>
        <w:t xml:space="preserve"> predĺžiť opiátové účinky. Je známe, že aj grapefruitová šťava inhibuje CYP3A4. </w:t>
      </w:r>
      <w:r w:rsidR="003F27D3" w:rsidRPr="00A12068">
        <w:rPr>
          <w:szCs w:val="22"/>
        </w:rPr>
        <w:t>Súbežné podávanie s látkami, ktoré indukujú aktivitu CYP3A4, ako sú antim</w:t>
      </w:r>
      <w:r w:rsidR="00B56615" w:rsidRPr="00A12068">
        <w:rPr>
          <w:szCs w:val="22"/>
        </w:rPr>
        <w:t>ykobakteriálne</w:t>
      </w:r>
      <w:r w:rsidR="003F27D3" w:rsidRPr="00A12068">
        <w:rPr>
          <w:szCs w:val="22"/>
        </w:rPr>
        <w:t xml:space="preserve"> l</w:t>
      </w:r>
      <w:r w:rsidR="00A12068">
        <w:rPr>
          <w:szCs w:val="22"/>
        </w:rPr>
        <w:t>iečivá</w:t>
      </w:r>
      <w:r w:rsidR="00B56615" w:rsidRPr="00A12068">
        <w:rPr>
          <w:szCs w:val="22"/>
        </w:rPr>
        <w:t xml:space="preserve"> (napr. rifampicín, rifabutín), antiepileptiká (napr. karbamazepín, fenytoín a</w:t>
      </w:r>
      <w:r w:rsidR="00B56615" w:rsidRPr="00D67A45">
        <w:rPr>
          <w:szCs w:val="22"/>
        </w:rPr>
        <w:t> feno</w:t>
      </w:r>
      <w:r w:rsidR="00B56615" w:rsidRPr="00A12068">
        <w:rPr>
          <w:szCs w:val="22"/>
        </w:rPr>
        <w:t xml:space="preserve">barbital), rastlinné prípravky (napr. </w:t>
      </w:r>
      <w:r w:rsidR="00D7441B" w:rsidRPr="00A12068">
        <w:rPr>
          <w:szCs w:val="22"/>
        </w:rPr>
        <w:t>ľ</w:t>
      </w:r>
      <w:r w:rsidR="00B56615" w:rsidRPr="00A12068">
        <w:rPr>
          <w:szCs w:val="22"/>
        </w:rPr>
        <w:t xml:space="preserve">ubovník bodkovaný, </w:t>
      </w:r>
      <w:r w:rsidR="00B56615" w:rsidRPr="00A12068">
        <w:rPr>
          <w:i/>
          <w:szCs w:val="22"/>
        </w:rPr>
        <w:t>Hypericum perforatum</w:t>
      </w:r>
      <w:r w:rsidR="00B56615" w:rsidRPr="00A12068">
        <w:rPr>
          <w:szCs w:val="22"/>
        </w:rPr>
        <w:t>), môžu zoslabovať účinnosť fentanylu. Induktory CYP3A4 vykazujú svoj účinok časovo závislým spôsobom, a môže trvať aspoň 2 týždne</w:t>
      </w:r>
      <w:r w:rsidR="00D67A45">
        <w:rPr>
          <w:szCs w:val="22"/>
        </w:rPr>
        <w:t>,</w:t>
      </w:r>
      <w:r w:rsidR="00B56615" w:rsidRPr="00A12068">
        <w:rPr>
          <w:szCs w:val="22"/>
        </w:rPr>
        <w:t xml:space="preserve"> </w:t>
      </w:r>
      <w:r w:rsidR="00C15C48">
        <w:rPr>
          <w:szCs w:val="22"/>
        </w:rPr>
        <w:t xml:space="preserve">kým sa </w:t>
      </w:r>
      <w:r w:rsidR="00B56615" w:rsidRPr="00A12068">
        <w:rPr>
          <w:szCs w:val="22"/>
        </w:rPr>
        <w:t xml:space="preserve">od </w:t>
      </w:r>
      <w:r w:rsidR="00C15C48">
        <w:rPr>
          <w:szCs w:val="22"/>
        </w:rPr>
        <w:t xml:space="preserve">ich </w:t>
      </w:r>
      <w:r w:rsidR="00B56615" w:rsidRPr="00A12068">
        <w:rPr>
          <w:szCs w:val="22"/>
        </w:rPr>
        <w:t>za</w:t>
      </w:r>
      <w:r w:rsidR="00C15C48">
        <w:rPr>
          <w:szCs w:val="22"/>
        </w:rPr>
        <w:t>vedenia</w:t>
      </w:r>
      <w:r w:rsidR="00B56615" w:rsidRPr="00A12068">
        <w:rPr>
          <w:szCs w:val="22"/>
        </w:rPr>
        <w:t xml:space="preserve"> užívania dosiahn</w:t>
      </w:r>
      <w:r w:rsidR="00C15C48">
        <w:rPr>
          <w:szCs w:val="22"/>
        </w:rPr>
        <w:t>e</w:t>
      </w:r>
      <w:r w:rsidR="00B56615" w:rsidRPr="00A12068">
        <w:rPr>
          <w:szCs w:val="22"/>
        </w:rPr>
        <w:t xml:space="preserve"> maximálny účinok</w:t>
      </w:r>
      <w:r w:rsidR="00D345F0" w:rsidRPr="00A12068">
        <w:rPr>
          <w:szCs w:val="22"/>
        </w:rPr>
        <w:t xml:space="preserve">. </w:t>
      </w:r>
      <w:r w:rsidR="00514D0F" w:rsidRPr="00A12068">
        <w:rPr>
          <w:szCs w:val="22"/>
        </w:rPr>
        <w:t>Naopak, p</w:t>
      </w:r>
      <w:r w:rsidR="00C15C48">
        <w:rPr>
          <w:szCs w:val="22"/>
        </w:rPr>
        <w:t>o</w:t>
      </w:r>
      <w:r w:rsidR="00514D0F" w:rsidRPr="00A12068">
        <w:rPr>
          <w:szCs w:val="22"/>
        </w:rPr>
        <w:t xml:space="preserve"> ukončení liečby môže indukcia CYP3A4 pretrvávať aspoň 2 týždne, kým sa zoslabí. Pacienti, ktorí užívajú fentanyl a ktorí ukončili liečbu alebo im bola znížená dávka induktorov CYP3A4, môžu čeliť riziku zvýšenej aktivity fentanylu alebo jeho toxicity. </w:t>
      </w:r>
      <w:r w:rsidR="00C15C48">
        <w:rPr>
          <w:szCs w:val="22"/>
        </w:rPr>
        <w:t>F</w:t>
      </w:r>
      <w:r w:rsidRPr="00A12068">
        <w:rPr>
          <w:szCs w:val="22"/>
        </w:rPr>
        <w:t xml:space="preserve">entanyl </w:t>
      </w:r>
      <w:r w:rsidR="00C15C48">
        <w:rPr>
          <w:szCs w:val="22"/>
        </w:rPr>
        <w:t xml:space="preserve">sa má preto </w:t>
      </w:r>
      <w:r w:rsidRPr="00A12068">
        <w:rPr>
          <w:szCs w:val="22"/>
        </w:rPr>
        <w:t>podáva</w:t>
      </w:r>
      <w:r w:rsidR="00C15C48">
        <w:rPr>
          <w:szCs w:val="22"/>
        </w:rPr>
        <w:t>ť pacientom s opatrnosťou, ak je</w:t>
      </w:r>
      <w:r w:rsidRPr="00A12068">
        <w:rPr>
          <w:szCs w:val="22"/>
        </w:rPr>
        <w:t xml:space="preserve"> </w:t>
      </w:r>
      <w:r w:rsidR="00C15C48">
        <w:rPr>
          <w:szCs w:val="22"/>
        </w:rPr>
        <w:t xml:space="preserve">podávaný </w:t>
      </w:r>
      <w:r w:rsidRPr="00A12068">
        <w:rPr>
          <w:szCs w:val="22"/>
        </w:rPr>
        <w:t>spolu s</w:t>
      </w:r>
      <w:r w:rsidR="004137E4" w:rsidRPr="00A12068">
        <w:rPr>
          <w:szCs w:val="22"/>
        </w:rPr>
        <w:t> </w:t>
      </w:r>
      <w:r w:rsidRPr="00A12068">
        <w:rPr>
          <w:szCs w:val="22"/>
        </w:rPr>
        <w:t xml:space="preserve">inhibítormi </w:t>
      </w:r>
      <w:r w:rsidR="00514D0F" w:rsidRPr="00A12068">
        <w:rPr>
          <w:szCs w:val="22"/>
        </w:rPr>
        <w:t xml:space="preserve">a/alebo induktormi </w:t>
      </w:r>
      <w:r w:rsidRPr="00A12068">
        <w:rPr>
          <w:szCs w:val="22"/>
        </w:rPr>
        <w:t>CYP3A4</w:t>
      </w:r>
      <w:r w:rsidR="00C15C48">
        <w:rPr>
          <w:szCs w:val="22"/>
        </w:rPr>
        <w:t>.</w:t>
      </w:r>
    </w:p>
    <w:p w:rsidR="000D6F3D" w:rsidRPr="00D67A45"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Súbežné podávanie iných látok potlačujúcich CNS, ako sú deriváty morfínu (analgetiká a antitusiká), </w:t>
      </w:r>
      <w:r w:rsidR="00DE56E5" w:rsidRPr="00A12068">
        <w:rPr>
          <w:szCs w:val="22"/>
        </w:rPr>
        <w:t>celkové</w:t>
      </w:r>
      <w:r w:rsidRPr="00A12068">
        <w:rPr>
          <w:szCs w:val="22"/>
        </w:rPr>
        <w:t xml:space="preserve"> anestetiká, relaxanty kostrového svalstva, sedatívne antidepresív</w:t>
      </w:r>
      <w:r w:rsidR="00DE56E5" w:rsidRPr="00A12068">
        <w:rPr>
          <w:szCs w:val="22"/>
        </w:rPr>
        <w:t>a</w:t>
      </w:r>
      <w:r w:rsidRPr="00A12068">
        <w:rPr>
          <w:szCs w:val="22"/>
        </w:rPr>
        <w:t>, sedatívne H1 antihistaminiká, barbituráty, anxiolytiká (</w:t>
      </w:r>
      <w:r w:rsidR="00DE56E5" w:rsidRPr="00A12068">
        <w:rPr>
          <w:szCs w:val="22"/>
        </w:rPr>
        <w:t>t</w:t>
      </w:r>
      <w:r w:rsidR="00AC6F67" w:rsidRPr="00A12068">
        <w:rPr>
          <w:szCs w:val="22"/>
        </w:rPr>
        <w:t>. </w:t>
      </w:r>
      <w:r w:rsidR="00DE56E5" w:rsidRPr="00A12068">
        <w:rPr>
          <w:szCs w:val="22"/>
        </w:rPr>
        <w:t>j</w:t>
      </w:r>
      <w:r w:rsidRPr="00A12068">
        <w:rPr>
          <w:szCs w:val="22"/>
        </w:rPr>
        <w:t>. benzdiazepíny), hypnotiká, antipsychotiká, klonidín a</w:t>
      </w:r>
      <w:r w:rsidR="00AC6F67" w:rsidRPr="00A12068">
        <w:rPr>
          <w:szCs w:val="22"/>
        </w:rPr>
        <w:t> </w:t>
      </w:r>
      <w:r w:rsidRPr="00A12068">
        <w:rPr>
          <w:szCs w:val="22"/>
        </w:rPr>
        <w:t xml:space="preserve">príbuzné látky môžu spôsobiť výraznejšie potlačenie CNS. Môže sa </w:t>
      </w:r>
      <w:r w:rsidR="00A61F26" w:rsidRPr="00A12068">
        <w:rPr>
          <w:szCs w:val="22"/>
        </w:rPr>
        <w:t>vyskytnúť</w:t>
      </w:r>
      <w:r w:rsidRPr="00A12068">
        <w:rPr>
          <w:szCs w:val="22"/>
        </w:rPr>
        <w:t> respiračn</w:t>
      </w:r>
      <w:r w:rsidR="00A61F26" w:rsidRPr="00A12068">
        <w:rPr>
          <w:szCs w:val="22"/>
        </w:rPr>
        <w:t>á</w:t>
      </w:r>
      <w:r w:rsidRPr="00A12068">
        <w:rPr>
          <w:szCs w:val="22"/>
        </w:rPr>
        <w:t xml:space="preserve"> depresi</w:t>
      </w:r>
      <w:r w:rsidR="00A61F26" w:rsidRPr="00A12068">
        <w:rPr>
          <w:szCs w:val="22"/>
        </w:rPr>
        <w:t>a</w:t>
      </w:r>
      <w:r w:rsidRPr="00A12068">
        <w:rPr>
          <w:szCs w:val="22"/>
        </w:rPr>
        <w:t>, hypotenzia a výrazný sedatívny účinok.</w:t>
      </w:r>
    </w:p>
    <w:p w:rsidR="000D6F3D" w:rsidRPr="00A12068" w:rsidRDefault="000D6F3D" w:rsidP="00E12DE9">
      <w:pPr>
        <w:pStyle w:val="SPCNormal"/>
        <w:rPr>
          <w:szCs w:val="22"/>
        </w:rPr>
      </w:pPr>
    </w:p>
    <w:p w:rsidR="000D6F3D" w:rsidRPr="00A12068" w:rsidRDefault="000D6F3D" w:rsidP="00E12DE9">
      <w:pPr>
        <w:rPr>
          <w:rFonts w:ascii="Times New Roman" w:hAnsi="Times New Roman"/>
          <w:sz w:val="22"/>
          <w:szCs w:val="22"/>
        </w:rPr>
      </w:pPr>
      <w:r w:rsidRPr="00A12068">
        <w:rPr>
          <w:rFonts w:ascii="Times New Roman" w:hAnsi="Times New Roman"/>
          <w:sz w:val="22"/>
          <w:szCs w:val="22"/>
        </w:rPr>
        <w:t xml:space="preserve">Alkohol potenciuje sedatívne účinky morfínových analgetík, preto </w:t>
      </w:r>
      <w:r w:rsidR="00DE56E5" w:rsidRPr="00A12068">
        <w:rPr>
          <w:rFonts w:ascii="Times New Roman" w:hAnsi="Times New Roman"/>
          <w:sz w:val="22"/>
          <w:szCs w:val="22"/>
        </w:rPr>
        <w:t xml:space="preserve">sa </w:t>
      </w:r>
      <w:r w:rsidRPr="00A12068">
        <w:rPr>
          <w:rFonts w:ascii="Times New Roman" w:hAnsi="Times New Roman"/>
          <w:sz w:val="22"/>
          <w:szCs w:val="22"/>
        </w:rPr>
        <w:t xml:space="preserve">pri terapii Lunaldinom neodporúča požívať alkoholické nápoje ani </w:t>
      </w:r>
      <w:r w:rsidR="007F217D" w:rsidRPr="00A12068">
        <w:rPr>
          <w:rFonts w:ascii="Times New Roman" w:hAnsi="Times New Roman"/>
          <w:sz w:val="22"/>
          <w:szCs w:val="22"/>
        </w:rPr>
        <w:t xml:space="preserve">lieky </w:t>
      </w:r>
      <w:r w:rsidRPr="00A12068">
        <w:rPr>
          <w:rFonts w:ascii="Times New Roman" w:hAnsi="Times New Roman"/>
          <w:sz w:val="22"/>
          <w:szCs w:val="22"/>
        </w:rPr>
        <w:t>obsahujúce alkohol.</w:t>
      </w:r>
    </w:p>
    <w:p w:rsidR="000D6F3D" w:rsidRPr="00A12068" w:rsidRDefault="000D6F3D" w:rsidP="00E12DE9">
      <w:pPr>
        <w:rPr>
          <w:rFonts w:ascii="Times New Roman" w:hAnsi="Times New Roman"/>
          <w:sz w:val="22"/>
          <w:szCs w:val="22"/>
        </w:rPr>
      </w:pPr>
    </w:p>
    <w:p w:rsidR="000D6F3D" w:rsidRPr="00A12068" w:rsidRDefault="00DE56E5" w:rsidP="00E12DE9">
      <w:pPr>
        <w:rPr>
          <w:rFonts w:ascii="Times New Roman" w:hAnsi="Times New Roman"/>
          <w:sz w:val="22"/>
          <w:szCs w:val="22"/>
        </w:rPr>
      </w:pPr>
      <w:r w:rsidRPr="00A12068">
        <w:rPr>
          <w:rFonts w:ascii="Times New Roman" w:hAnsi="Times New Roman"/>
          <w:sz w:val="22"/>
          <w:szCs w:val="22"/>
        </w:rPr>
        <w:t>U</w:t>
      </w:r>
      <w:r w:rsidR="000D6F3D" w:rsidRPr="00A12068">
        <w:rPr>
          <w:rFonts w:ascii="Times New Roman" w:hAnsi="Times New Roman"/>
          <w:sz w:val="22"/>
          <w:szCs w:val="22"/>
        </w:rPr>
        <w:t>žívanie Lunaldinu sa neodporúča paciento</w:t>
      </w:r>
      <w:r w:rsidRPr="00A12068">
        <w:rPr>
          <w:rFonts w:ascii="Times New Roman" w:hAnsi="Times New Roman"/>
          <w:sz w:val="22"/>
          <w:szCs w:val="22"/>
        </w:rPr>
        <w:t>m</w:t>
      </w:r>
      <w:r w:rsidR="000D6F3D" w:rsidRPr="00A12068">
        <w:rPr>
          <w:rFonts w:ascii="Times New Roman" w:hAnsi="Times New Roman"/>
          <w:sz w:val="22"/>
          <w:szCs w:val="22"/>
        </w:rPr>
        <w:t>, ktorým boli v priebehu 14 dní podané inhibítory monoam</w:t>
      </w:r>
      <w:r w:rsidR="009D7401" w:rsidRPr="00A12068">
        <w:rPr>
          <w:rFonts w:ascii="Times New Roman" w:hAnsi="Times New Roman"/>
          <w:sz w:val="22"/>
          <w:szCs w:val="22"/>
        </w:rPr>
        <w:t>i</w:t>
      </w:r>
      <w:r w:rsidR="000D6F3D" w:rsidRPr="00A12068">
        <w:rPr>
          <w:rFonts w:ascii="Times New Roman" w:hAnsi="Times New Roman"/>
          <w:sz w:val="22"/>
          <w:szCs w:val="22"/>
        </w:rPr>
        <w:t>nooxidázy (MAO), pretože MAO inhibítor</w:t>
      </w:r>
      <w:r w:rsidR="009D7401" w:rsidRPr="00A12068">
        <w:rPr>
          <w:rFonts w:ascii="Times New Roman" w:hAnsi="Times New Roman"/>
          <w:sz w:val="22"/>
          <w:szCs w:val="22"/>
        </w:rPr>
        <w:t>y</w:t>
      </w:r>
      <w:r w:rsidR="000D6F3D" w:rsidRPr="00A12068">
        <w:rPr>
          <w:rFonts w:ascii="Times New Roman" w:hAnsi="Times New Roman"/>
          <w:sz w:val="22"/>
          <w:szCs w:val="22"/>
        </w:rPr>
        <w:t xml:space="preserve"> spôsobujú silné a nepredvídateľné potencovanie ópiových analgetík.</w:t>
      </w:r>
    </w:p>
    <w:p w:rsidR="000D6F3D" w:rsidRPr="00A12068" w:rsidRDefault="000D6F3D" w:rsidP="00E12DE9">
      <w:pPr>
        <w:pStyle w:val="SPCNormal"/>
        <w:rPr>
          <w:szCs w:val="22"/>
        </w:rPr>
      </w:pPr>
    </w:p>
    <w:p w:rsidR="00BF34A8" w:rsidRPr="00A12068" w:rsidRDefault="00BF34A8" w:rsidP="00E12DE9">
      <w:pPr>
        <w:pStyle w:val="SPCNormal"/>
        <w:rPr>
          <w:szCs w:val="22"/>
        </w:rPr>
      </w:pPr>
      <w:r w:rsidRPr="00A12068">
        <w:rPr>
          <w:szCs w:val="22"/>
        </w:rPr>
        <w:t>Súbežné užívanie parciálnych opioidných agonistov/antagonistov (napr.</w:t>
      </w:r>
      <w:r w:rsidR="00BA26DB" w:rsidRPr="00A12068">
        <w:rPr>
          <w:szCs w:val="22"/>
        </w:rPr>
        <w:t xml:space="preserve"> </w:t>
      </w:r>
      <w:r w:rsidRPr="00A12068">
        <w:rPr>
          <w:szCs w:val="22"/>
        </w:rPr>
        <w:t>buprenorfínu, nalbufínu, pentazocínu) sa neodporúča. Majú vysokú afinitu k opioid</w:t>
      </w:r>
      <w:r w:rsidR="00AC6F67" w:rsidRPr="00A12068">
        <w:rPr>
          <w:szCs w:val="22"/>
        </w:rPr>
        <w:t>n</w:t>
      </w:r>
      <w:r w:rsidRPr="00A12068">
        <w:rPr>
          <w:szCs w:val="22"/>
        </w:rPr>
        <w:t>ým receptorom s relatívne nízkou prirodzenou aktivitou, a preto čiastočne antagonizujú analgetický účinok fentanylu a u pacientov závislých od opioidov môžu vyvolať abstinenčné príznaky.</w:t>
      </w:r>
    </w:p>
    <w:p w:rsidR="000D6F3D" w:rsidRPr="00A12068" w:rsidRDefault="000D6F3D" w:rsidP="00E12DE9">
      <w:pPr>
        <w:rPr>
          <w:rFonts w:ascii="Times New Roman" w:hAnsi="Times New Roman"/>
          <w:sz w:val="22"/>
          <w:szCs w:val="22"/>
        </w:rPr>
      </w:pPr>
    </w:p>
    <w:p w:rsidR="00286E67" w:rsidRPr="00A12068" w:rsidRDefault="00286E67" w:rsidP="00E12DE9">
      <w:pPr>
        <w:autoSpaceDE w:val="0"/>
        <w:autoSpaceDN w:val="0"/>
        <w:adjustRightInd w:val="0"/>
        <w:rPr>
          <w:rFonts w:ascii="Times New Roman" w:hAnsi="Times New Roman"/>
          <w:sz w:val="22"/>
          <w:szCs w:val="22"/>
          <w:u w:val="single"/>
        </w:rPr>
      </w:pPr>
      <w:r w:rsidRPr="00A12068">
        <w:rPr>
          <w:rFonts w:ascii="Times New Roman" w:hAnsi="Times New Roman"/>
          <w:sz w:val="22"/>
          <w:szCs w:val="22"/>
          <w:u w:val="single"/>
        </w:rPr>
        <w:t>S</w:t>
      </w:r>
      <w:r w:rsidR="00DE5EDD" w:rsidRPr="00A12068">
        <w:rPr>
          <w:rFonts w:ascii="Times New Roman" w:hAnsi="Times New Roman"/>
          <w:sz w:val="22"/>
          <w:szCs w:val="22"/>
          <w:u w:val="single"/>
        </w:rPr>
        <w:t>é</w:t>
      </w:r>
      <w:r w:rsidRPr="00A12068">
        <w:rPr>
          <w:rFonts w:ascii="Times New Roman" w:hAnsi="Times New Roman"/>
          <w:sz w:val="22"/>
          <w:szCs w:val="22"/>
          <w:u w:val="single"/>
        </w:rPr>
        <w:t>rotonínergické lieky</w:t>
      </w:r>
    </w:p>
    <w:p w:rsidR="00286E67" w:rsidRPr="00A12068" w:rsidRDefault="00286E67"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Súbežné podávanie fentanylu s</w:t>
      </w:r>
      <w:r w:rsidR="00DE5EDD" w:rsidRPr="00A12068">
        <w:rPr>
          <w:rFonts w:ascii="Times New Roman" w:hAnsi="Times New Roman"/>
          <w:sz w:val="22"/>
          <w:szCs w:val="22"/>
        </w:rPr>
        <w:t>o</w:t>
      </w:r>
      <w:r w:rsidRPr="00A12068">
        <w:rPr>
          <w:rFonts w:ascii="Times New Roman" w:hAnsi="Times New Roman"/>
          <w:sz w:val="22"/>
          <w:szCs w:val="22"/>
        </w:rPr>
        <w:t xml:space="preserve"> s</w:t>
      </w:r>
      <w:r w:rsidR="00DE5EDD" w:rsidRPr="00A12068">
        <w:rPr>
          <w:rFonts w:ascii="Times New Roman" w:hAnsi="Times New Roman"/>
          <w:sz w:val="22"/>
          <w:szCs w:val="22"/>
        </w:rPr>
        <w:t>é</w:t>
      </w:r>
      <w:r w:rsidRPr="00A12068">
        <w:rPr>
          <w:rFonts w:ascii="Times New Roman" w:hAnsi="Times New Roman"/>
          <w:sz w:val="22"/>
          <w:szCs w:val="22"/>
        </w:rPr>
        <w:t>rotonínergickým lie</w:t>
      </w:r>
      <w:r w:rsidR="00DE5EDD" w:rsidRPr="00A12068">
        <w:rPr>
          <w:rFonts w:ascii="Times New Roman" w:hAnsi="Times New Roman"/>
          <w:sz w:val="22"/>
          <w:szCs w:val="22"/>
        </w:rPr>
        <w:t>čiv</w:t>
      </w:r>
      <w:r w:rsidRPr="00A12068">
        <w:rPr>
          <w:rFonts w:ascii="Times New Roman" w:hAnsi="Times New Roman"/>
          <w:sz w:val="22"/>
          <w:szCs w:val="22"/>
        </w:rPr>
        <w:t>om, napríklad so selektívnym inhibítorom spätného vychytávania s</w:t>
      </w:r>
      <w:r w:rsidR="00DE5EDD" w:rsidRPr="00A12068">
        <w:rPr>
          <w:rFonts w:ascii="Times New Roman" w:hAnsi="Times New Roman"/>
          <w:sz w:val="22"/>
          <w:szCs w:val="22"/>
        </w:rPr>
        <w:t>é</w:t>
      </w:r>
      <w:r w:rsidRPr="00A12068">
        <w:rPr>
          <w:rFonts w:ascii="Times New Roman" w:hAnsi="Times New Roman"/>
          <w:sz w:val="22"/>
          <w:szCs w:val="22"/>
        </w:rPr>
        <w:t>rotonínu (SSRI), inhibítorom spätného vychytávania s</w:t>
      </w:r>
      <w:r w:rsidR="00DE5EDD" w:rsidRPr="00A12068">
        <w:rPr>
          <w:rFonts w:ascii="Times New Roman" w:hAnsi="Times New Roman"/>
          <w:sz w:val="22"/>
          <w:szCs w:val="22"/>
        </w:rPr>
        <w:t>é</w:t>
      </w:r>
      <w:r w:rsidRPr="00A12068">
        <w:rPr>
          <w:rFonts w:ascii="Times New Roman" w:hAnsi="Times New Roman"/>
          <w:sz w:val="22"/>
          <w:szCs w:val="22"/>
        </w:rPr>
        <w:t>rotonínu a</w:t>
      </w:r>
      <w:r w:rsidR="00C22810" w:rsidRPr="00A12068">
        <w:rPr>
          <w:rFonts w:ascii="Times New Roman" w:hAnsi="Times New Roman"/>
          <w:sz w:val="22"/>
          <w:szCs w:val="22"/>
        </w:rPr>
        <w:t> </w:t>
      </w:r>
      <w:r w:rsidRPr="00A12068">
        <w:rPr>
          <w:rFonts w:ascii="Times New Roman" w:hAnsi="Times New Roman"/>
          <w:sz w:val="22"/>
          <w:szCs w:val="22"/>
        </w:rPr>
        <w:t>nor</w:t>
      </w:r>
      <w:r w:rsidR="00DE5EDD" w:rsidRPr="00A12068">
        <w:rPr>
          <w:rFonts w:ascii="Times New Roman" w:hAnsi="Times New Roman"/>
          <w:sz w:val="22"/>
          <w:szCs w:val="22"/>
        </w:rPr>
        <w:t>adrenal</w:t>
      </w:r>
      <w:r w:rsidRPr="00A12068">
        <w:rPr>
          <w:rFonts w:ascii="Times New Roman" w:hAnsi="Times New Roman"/>
          <w:sz w:val="22"/>
          <w:szCs w:val="22"/>
        </w:rPr>
        <w:t>ínu (SNRI) alebo inhibítorom monoam</w:t>
      </w:r>
      <w:r w:rsidR="00DE5EDD" w:rsidRPr="00A12068">
        <w:rPr>
          <w:rFonts w:ascii="Times New Roman" w:hAnsi="Times New Roman"/>
          <w:sz w:val="22"/>
          <w:szCs w:val="22"/>
        </w:rPr>
        <w:t>i</w:t>
      </w:r>
      <w:r w:rsidRPr="00A12068">
        <w:rPr>
          <w:rFonts w:ascii="Times New Roman" w:hAnsi="Times New Roman"/>
          <w:sz w:val="22"/>
          <w:szCs w:val="22"/>
        </w:rPr>
        <w:t>noxidázy (IMAO), môže zvyšovať riziko vzniku s</w:t>
      </w:r>
      <w:r w:rsidR="00DE5EDD" w:rsidRPr="00A12068">
        <w:rPr>
          <w:rFonts w:ascii="Times New Roman" w:hAnsi="Times New Roman"/>
          <w:sz w:val="22"/>
          <w:szCs w:val="22"/>
        </w:rPr>
        <w:t>é</w:t>
      </w:r>
      <w:r w:rsidRPr="00A12068">
        <w:rPr>
          <w:rFonts w:ascii="Times New Roman" w:hAnsi="Times New Roman"/>
          <w:sz w:val="22"/>
          <w:szCs w:val="22"/>
        </w:rPr>
        <w:t>rotonínového syndrómu, čo je stav potenciálne ohrozujúci život.</w:t>
      </w:r>
    </w:p>
    <w:p w:rsidR="00286E67" w:rsidRPr="00A12068" w:rsidRDefault="00286E67" w:rsidP="00E12DE9">
      <w:pPr>
        <w:rPr>
          <w:rFonts w:ascii="Times New Roman" w:hAnsi="Times New Roman"/>
          <w:sz w:val="22"/>
          <w:szCs w:val="22"/>
        </w:rPr>
      </w:pPr>
    </w:p>
    <w:p w:rsidR="000D6F3D" w:rsidRPr="00A12068" w:rsidRDefault="000D6F3D" w:rsidP="00E12DE9">
      <w:pPr>
        <w:pStyle w:val="SPC2"/>
        <w:rPr>
          <w:szCs w:val="22"/>
        </w:rPr>
      </w:pPr>
      <w:r w:rsidRPr="00A12068">
        <w:rPr>
          <w:szCs w:val="22"/>
        </w:rPr>
        <w:t>4.6</w:t>
      </w:r>
      <w:r w:rsidRPr="00A12068">
        <w:rPr>
          <w:szCs w:val="22"/>
        </w:rPr>
        <w:tab/>
      </w:r>
      <w:r w:rsidR="002134DE" w:rsidRPr="00A12068">
        <w:rPr>
          <w:szCs w:val="22"/>
        </w:rPr>
        <w:t xml:space="preserve">Fertilita, gravidita </w:t>
      </w:r>
      <w:r w:rsidRPr="00A12068">
        <w:rPr>
          <w:szCs w:val="22"/>
        </w:rPr>
        <w:t>a laktácia</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Bezpečnosť fentanylu počas tehotenstva nebola </w:t>
      </w:r>
      <w:r w:rsidR="00DE5EDD" w:rsidRPr="00A12068">
        <w:rPr>
          <w:szCs w:val="22"/>
        </w:rPr>
        <w:t>zatiaľ stanov</w:t>
      </w:r>
      <w:r w:rsidRPr="00A12068">
        <w:rPr>
          <w:szCs w:val="22"/>
        </w:rPr>
        <w:t>ená. Štúdie na zvieratách preukázali reprodukčnú toxicitu</w:t>
      </w:r>
      <w:r w:rsidR="002134DE" w:rsidRPr="00A12068">
        <w:rPr>
          <w:szCs w:val="22"/>
        </w:rPr>
        <w:t xml:space="preserve"> s narušen</w:t>
      </w:r>
      <w:r w:rsidR="00F87B37" w:rsidRPr="00A12068">
        <w:rPr>
          <w:szCs w:val="22"/>
        </w:rPr>
        <w:t>ou</w:t>
      </w:r>
      <w:r w:rsidR="002134DE" w:rsidRPr="00A12068">
        <w:rPr>
          <w:szCs w:val="22"/>
        </w:rPr>
        <w:t xml:space="preserve"> fertilit</w:t>
      </w:r>
      <w:r w:rsidR="00F87B37" w:rsidRPr="00A12068">
        <w:rPr>
          <w:szCs w:val="22"/>
        </w:rPr>
        <w:t>ou</w:t>
      </w:r>
      <w:r w:rsidR="002134DE" w:rsidRPr="00A12068">
        <w:rPr>
          <w:szCs w:val="22"/>
        </w:rPr>
        <w:t xml:space="preserve"> u potkanov </w:t>
      </w:r>
      <w:r w:rsidRPr="00A12068">
        <w:rPr>
          <w:szCs w:val="22"/>
        </w:rPr>
        <w:t>(pozri 5.3). Nie je známe potenciálne riziko u</w:t>
      </w:r>
      <w:r w:rsidR="00AC6F67" w:rsidRPr="00A12068">
        <w:rPr>
          <w:szCs w:val="22"/>
        </w:rPr>
        <w:t> </w:t>
      </w:r>
      <w:r w:rsidRPr="00A12068">
        <w:rPr>
          <w:szCs w:val="22"/>
        </w:rPr>
        <w:t>ľudí. Fentanyl sa má nasadzovať počas tehotenstva</w:t>
      </w:r>
      <w:r w:rsidR="00484964" w:rsidRPr="00A12068">
        <w:rPr>
          <w:szCs w:val="22"/>
        </w:rPr>
        <w:t>,</w:t>
      </w:r>
      <w:r w:rsidRPr="00A12068">
        <w:rPr>
          <w:szCs w:val="22"/>
        </w:rPr>
        <w:t xml:space="preserve"> iba ak je to nevyhnutné.</w:t>
      </w:r>
    </w:p>
    <w:p w:rsidR="000D6F3D" w:rsidRPr="00A12068" w:rsidRDefault="000D6F3D" w:rsidP="00E12DE9">
      <w:pPr>
        <w:ind w:firstLine="720"/>
        <w:rPr>
          <w:rFonts w:ascii="Times New Roman" w:hAnsi="Times New Roman"/>
          <w:sz w:val="22"/>
          <w:szCs w:val="22"/>
        </w:rPr>
      </w:pPr>
    </w:p>
    <w:p w:rsidR="000D6F3D" w:rsidRPr="00A12068" w:rsidRDefault="000D6F3D" w:rsidP="00E12DE9">
      <w:pPr>
        <w:rPr>
          <w:rFonts w:ascii="Times New Roman" w:hAnsi="Times New Roman"/>
          <w:sz w:val="22"/>
          <w:szCs w:val="22"/>
        </w:rPr>
      </w:pPr>
      <w:r w:rsidRPr="00A12068">
        <w:rPr>
          <w:rFonts w:ascii="Times New Roman" w:hAnsi="Times New Roman"/>
          <w:sz w:val="22"/>
          <w:szCs w:val="22"/>
        </w:rPr>
        <w:t xml:space="preserve">Dlhodobá liečba počas tehotenstva môže u novorodenca vyvolať </w:t>
      </w:r>
      <w:r w:rsidR="00484964" w:rsidRPr="00A12068">
        <w:rPr>
          <w:rFonts w:ascii="Times New Roman" w:hAnsi="Times New Roman"/>
          <w:sz w:val="22"/>
          <w:szCs w:val="22"/>
        </w:rPr>
        <w:t>abstinenčné</w:t>
      </w:r>
      <w:r w:rsidRPr="00A12068">
        <w:rPr>
          <w:rFonts w:ascii="Times New Roman" w:hAnsi="Times New Roman"/>
          <w:sz w:val="22"/>
          <w:szCs w:val="22"/>
        </w:rPr>
        <w:t xml:space="preserve"> príznaky. </w:t>
      </w:r>
    </w:p>
    <w:p w:rsidR="000D6F3D" w:rsidRPr="00A12068" w:rsidRDefault="000D6F3D" w:rsidP="00E12DE9">
      <w:pPr>
        <w:rPr>
          <w:rFonts w:ascii="Times New Roman" w:hAnsi="Times New Roman"/>
          <w:sz w:val="22"/>
          <w:szCs w:val="22"/>
        </w:rPr>
      </w:pPr>
    </w:p>
    <w:p w:rsidR="000D6F3D" w:rsidRPr="00A12068" w:rsidRDefault="000D6F3D" w:rsidP="00E12DE9">
      <w:pPr>
        <w:rPr>
          <w:rFonts w:ascii="Times New Roman" w:hAnsi="Times New Roman"/>
          <w:sz w:val="22"/>
          <w:szCs w:val="22"/>
        </w:rPr>
      </w:pPr>
      <w:r w:rsidRPr="00A12068">
        <w:rPr>
          <w:rFonts w:ascii="Times New Roman" w:hAnsi="Times New Roman"/>
          <w:sz w:val="22"/>
          <w:szCs w:val="22"/>
        </w:rPr>
        <w:t xml:space="preserve">Fentanyl sa nemá používať </w:t>
      </w:r>
      <w:r w:rsidR="00F9449F" w:rsidRPr="00A12068">
        <w:rPr>
          <w:rFonts w:ascii="Times New Roman" w:hAnsi="Times New Roman"/>
          <w:sz w:val="22"/>
          <w:szCs w:val="22"/>
        </w:rPr>
        <w:t xml:space="preserve">ani na začiatku ani počas </w:t>
      </w:r>
      <w:r w:rsidRPr="00A12068">
        <w:rPr>
          <w:rFonts w:ascii="Times New Roman" w:hAnsi="Times New Roman"/>
          <w:sz w:val="22"/>
          <w:szCs w:val="22"/>
        </w:rPr>
        <w:t>pôrodu (vrát</w:t>
      </w:r>
      <w:r w:rsidR="00484964" w:rsidRPr="00A12068">
        <w:rPr>
          <w:rFonts w:ascii="Times New Roman" w:hAnsi="Times New Roman"/>
          <w:sz w:val="22"/>
          <w:szCs w:val="22"/>
        </w:rPr>
        <w:t>a</w:t>
      </w:r>
      <w:r w:rsidRPr="00A12068">
        <w:rPr>
          <w:rFonts w:ascii="Times New Roman" w:hAnsi="Times New Roman"/>
          <w:sz w:val="22"/>
          <w:szCs w:val="22"/>
        </w:rPr>
        <w:t xml:space="preserve">ne pôrodu cisárskym rezom), pretože fentanyl prechádza placentou a môže u plodu alebo u novorodenca spôsobiť </w:t>
      </w:r>
      <w:r w:rsidR="00DE5EDD" w:rsidRPr="00A12068">
        <w:rPr>
          <w:rFonts w:ascii="Times New Roman" w:hAnsi="Times New Roman"/>
          <w:sz w:val="22"/>
          <w:szCs w:val="22"/>
        </w:rPr>
        <w:t>respiračnú depresiu</w:t>
      </w:r>
      <w:r w:rsidRPr="00A12068">
        <w:rPr>
          <w:rFonts w:ascii="Times New Roman" w:hAnsi="Times New Roman"/>
          <w:sz w:val="22"/>
          <w:szCs w:val="22"/>
        </w:rPr>
        <w:t>.</w:t>
      </w:r>
    </w:p>
    <w:p w:rsidR="000D6F3D" w:rsidRPr="00A12068" w:rsidRDefault="000D6F3D" w:rsidP="00E12DE9">
      <w:pPr>
        <w:rPr>
          <w:rFonts w:ascii="Times New Roman" w:hAnsi="Times New Roman"/>
          <w:sz w:val="22"/>
          <w:szCs w:val="22"/>
        </w:rPr>
      </w:pPr>
    </w:p>
    <w:p w:rsidR="00286E67" w:rsidRPr="00A12068" w:rsidRDefault="00AC6F67" w:rsidP="00E12DE9">
      <w:pPr>
        <w:autoSpaceDE w:val="0"/>
        <w:autoSpaceDN w:val="0"/>
        <w:adjustRightInd w:val="0"/>
        <w:rPr>
          <w:rFonts w:ascii="Times New Roman" w:hAnsi="Times New Roman"/>
          <w:sz w:val="22"/>
          <w:szCs w:val="22"/>
          <w:u w:val="single"/>
        </w:rPr>
      </w:pPr>
      <w:r w:rsidRPr="00A12068">
        <w:rPr>
          <w:rFonts w:ascii="Times New Roman" w:hAnsi="Times New Roman"/>
          <w:sz w:val="22"/>
          <w:szCs w:val="22"/>
          <w:u w:val="single"/>
        </w:rPr>
        <w:t>Dojčenie</w:t>
      </w:r>
    </w:p>
    <w:p w:rsidR="00CC09C2" w:rsidRPr="00A12068" w:rsidRDefault="00CC09C2" w:rsidP="00AC6F67">
      <w:pPr>
        <w:pStyle w:val="BodytextAgency"/>
        <w:spacing w:after="0" w:line="220" w:lineRule="atLeast"/>
        <w:rPr>
          <w:rFonts w:ascii="Times New Roman" w:hAnsi="Times New Roman"/>
          <w:sz w:val="22"/>
          <w:szCs w:val="22"/>
          <w:lang w:val="sk-SK"/>
        </w:rPr>
      </w:pPr>
      <w:r w:rsidRPr="00A12068">
        <w:rPr>
          <w:rFonts w:ascii="Times New Roman" w:hAnsi="Times New Roman"/>
          <w:sz w:val="22"/>
          <w:szCs w:val="22"/>
          <w:lang w:val="sk-SK"/>
        </w:rPr>
        <w:lastRenderedPageBreak/>
        <w:t>Fentanyl prechádza do materského mlieka a u dojčeného dieťaťa môže spôsobiť sedáciu a respiračn</w:t>
      </w:r>
      <w:r w:rsidR="00AC6F67" w:rsidRPr="00A12068">
        <w:rPr>
          <w:rFonts w:ascii="Times New Roman" w:hAnsi="Times New Roman"/>
          <w:sz w:val="22"/>
          <w:szCs w:val="22"/>
          <w:lang w:val="sk-SK"/>
        </w:rPr>
        <w:t>ú</w:t>
      </w:r>
      <w:r w:rsidRPr="00A12068">
        <w:rPr>
          <w:rFonts w:ascii="Times New Roman" w:hAnsi="Times New Roman"/>
          <w:sz w:val="22"/>
          <w:szCs w:val="22"/>
          <w:lang w:val="sk-SK"/>
        </w:rPr>
        <w:t xml:space="preserve"> </w:t>
      </w:r>
      <w:r w:rsidR="00AC6F67" w:rsidRPr="00A12068">
        <w:rPr>
          <w:rFonts w:ascii="Times New Roman" w:hAnsi="Times New Roman"/>
          <w:sz w:val="22"/>
          <w:szCs w:val="22"/>
          <w:lang w:val="sk-SK"/>
        </w:rPr>
        <w:t>depresiu</w:t>
      </w:r>
      <w:r w:rsidRPr="00A12068">
        <w:rPr>
          <w:rFonts w:ascii="Times New Roman" w:hAnsi="Times New Roman"/>
          <w:sz w:val="22"/>
          <w:szCs w:val="22"/>
          <w:lang w:val="sk-SK"/>
        </w:rPr>
        <w:t>. Fentanyl ne</w:t>
      </w:r>
      <w:r w:rsidR="00AC6F67" w:rsidRPr="00A12068">
        <w:rPr>
          <w:rFonts w:ascii="Times New Roman" w:hAnsi="Times New Roman"/>
          <w:sz w:val="22"/>
          <w:szCs w:val="22"/>
          <w:lang w:val="sk-SK"/>
        </w:rPr>
        <w:t>smú</w:t>
      </w:r>
      <w:r w:rsidRPr="00A12068">
        <w:rPr>
          <w:rFonts w:ascii="Times New Roman" w:hAnsi="Times New Roman"/>
          <w:sz w:val="22"/>
          <w:szCs w:val="22"/>
          <w:lang w:val="sk-SK"/>
        </w:rPr>
        <w:t xml:space="preserve"> užívať dojčiace ženy a dojčenie sa má obnoviť najskôr po 5 dňoch po poslednom podaní fentanylu.</w:t>
      </w:r>
    </w:p>
    <w:p w:rsidR="00286E67" w:rsidRPr="00A12068" w:rsidRDefault="00286E67" w:rsidP="00AC6F67">
      <w:pPr>
        <w:rPr>
          <w:rFonts w:ascii="Times New Roman" w:hAnsi="Times New Roman"/>
          <w:dstrike/>
          <w:sz w:val="22"/>
          <w:szCs w:val="22"/>
        </w:rPr>
      </w:pPr>
    </w:p>
    <w:p w:rsidR="000D6F3D" w:rsidRPr="00A12068" w:rsidRDefault="000D6F3D" w:rsidP="00E12DE9">
      <w:pPr>
        <w:pStyle w:val="SPC2"/>
        <w:rPr>
          <w:szCs w:val="22"/>
        </w:rPr>
      </w:pPr>
      <w:r w:rsidRPr="00A12068">
        <w:rPr>
          <w:szCs w:val="22"/>
        </w:rPr>
        <w:t>4.7</w:t>
      </w:r>
      <w:r w:rsidRPr="00A12068">
        <w:rPr>
          <w:szCs w:val="22"/>
        </w:rPr>
        <w:tab/>
        <w:t>Ovplyvnenie schopnosti viesť vozidlá a obsluhovať stroje</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Neuskutočnili sa žiadne štúdie o účinkoch </w:t>
      </w:r>
      <w:r w:rsidR="002134DE" w:rsidRPr="00A12068">
        <w:rPr>
          <w:szCs w:val="22"/>
        </w:rPr>
        <w:t xml:space="preserve">Lunaldinu </w:t>
      </w:r>
      <w:r w:rsidRPr="00A12068">
        <w:rPr>
          <w:szCs w:val="22"/>
        </w:rPr>
        <w:t>na schopnosť viesť vozidlá a obsluhovať stroje.</w:t>
      </w:r>
    </w:p>
    <w:p w:rsidR="000D6F3D" w:rsidRPr="00A12068" w:rsidRDefault="000D6F3D" w:rsidP="00E12DE9">
      <w:pPr>
        <w:pStyle w:val="SPCNormal"/>
        <w:rPr>
          <w:szCs w:val="22"/>
        </w:rPr>
      </w:pPr>
    </w:p>
    <w:p w:rsidR="000D6F3D" w:rsidRPr="00A12068" w:rsidRDefault="002134DE" w:rsidP="00E12DE9">
      <w:pPr>
        <w:pStyle w:val="SPCNormal"/>
        <w:rPr>
          <w:szCs w:val="22"/>
        </w:rPr>
      </w:pPr>
      <w:r w:rsidRPr="00A12068">
        <w:rPr>
          <w:szCs w:val="22"/>
        </w:rPr>
        <w:t xml:space="preserve">Opiátové analgetiká </w:t>
      </w:r>
      <w:r w:rsidR="000D6F3D" w:rsidRPr="00A12068">
        <w:rPr>
          <w:szCs w:val="22"/>
        </w:rPr>
        <w:t>však môž</w:t>
      </w:r>
      <w:r w:rsidRPr="00A12068">
        <w:rPr>
          <w:szCs w:val="22"/>
        </w:rPr>
        <w:t>u</w:t>
      </w:r>
      <w:r w:rsidR="000D6F3D" w:rsidRPr="00A12068">
        <w:rPr>
          <w:szCs w:val="22"/>
        </w:rPr>
        <w:t xml:space="preserve"> negatívne ovplyvniť mentálne aj fyzické schopnosti vykonávať potenciálne nebezpečné činnosti, akými sú </w:t>
      </w:r>
      <w:r w:rsidR="004849AB" w:rsidRPr="00A12068">
        <w:rPr>
          <w:szCs w:val="22"/>
        </w:rPr>
        <w:t>vedenie vozidiel</w:t>
      </w:r>
      <w:r w:rsidR="000D6F3D" w:rsidRPr="00A12068">
        <w:rPr>
          <w:szCs w:val="22"/>
        </w:rPr>
        <w:t xml:space="preserve"> a obsluha</w:t>
      </w:r>
      <w:r w:rsidR="004849AB" w:rsidRPr="00A12068">
        <w:rPr>
          <w:szCs w:val="22"/>
        </w:rPr>
        <w:t xml:space="preserve"> strojov</w:t>
      </w:r>
      <w:r w:rsidR="000D6F3D" w:rsidRPr="00A12068">
        <w:rPr>
          <w:szCs w:val="22"/>
        </w:rPr>
        <w:t xml:space="preserve">. Pacienti by nemali </w:t>
      </w:r>
      <w:r w:rsidR="004849AB" w:rsidRPr="00A12068">
        <w:rPr>
          <w:szCs w:val="22"/>
        </w:rPr>
        <w:t>viesť vozidl</w:t>
      </w:r>
      <w:r w:rsidR="009C62DA" w:rsidRPr="00A12068">
        <w:rPr>
          <w:szCs w:val="22"/>
        </w:rPr>
        <w:t>á</w:t>
      </w:r>
      <w:r w:rsidR="004849AB" w:rsidRPr="00A12068">
        <w:rPr>
          <w:szCs w:val="22"/>
        </w:rPr>
        <w:t>,</w:t>
      </w:r>
      <w:r w:rsidR="000D6F3D" w:rsidRPr="00A12068">
        <w:rPr>
          <w:szCs w:val="22"/>
        </w:rPr>
        <w:t xml:space="preserve"> ani obsluhovať</w:t>
      </w:r>
      <w:r w:rsidR="004849AB" w:rsidRPr="00A12068">
        <w:rPr>
          <w:szCs w:val="22"/>
        </w:rPr>
        <w:t xml:space="preserve"> stroje</w:t>
      </w:r>
      <w:r w:rsidR="000D6F3D" w:rsidRPr="00A12068">
        <w:rPr>
          <w:szCs w:val="22"/>
        </w:rPr>
        <w:t xml:space="preserve">, ak pociťujú závrat alebo ospalosť, rozmazané alebo dvojité videnie ako dôsledok terapie Lunaldinom. </w:t>
      </w:r>
    </w:p>
    <w:p w:rsidR="000D6F3D" w:rsidRPr="00A12068" w:rsidRDefault="000D6F3D" w:rsidP="00E12DE9">
      <w:pPr>
        <w:pStyle w:val="SPCNormal"/>
        <w:rPr>
          <w:szCs w:val="22"/>
        </w:rPr>
      </w:pPr>
    </w:p>
    <w:p w:rsidR="000D6F3D" w:rsidRPr="00A12068" w:rsidRDefault="000D6F3D" w:rsidP="00E12DE9">
      <w:pPr>
        <w:pStyle w:val="SPC2"/>
        <w:rPr>
          <w:szCs w:val="22"/>
        </w:rPr>
      </w:pPr>
      <w:r w:rsidRPr="00A12068">
        <w:rPr>
          <w:szCs w:val="22"/>
        </w:rPr>
        <w:t>4.8</w:t>
      </w:r>
      <w:r w:rsidRPr="00A12068">
        <w:rPr>
          <w:szCs w:val="22"/>
        </w:rPr>
        <w:tab/>
        <w:t>Nežiaduce účinky</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U Lunaldinu možno očakávať nežiaduce účinky typické pre opiáty; pri dlhšom používaní má ich intenzita klesajúcu tendenciu. K </w:t>
      </w:r>
      <w:r w:rsidR="00C338EA" w:rsidRPr="00A12068">
        <w:rPr>
          <w:szCs w:val="22"/>
        </w:rPr>
        <w:t>najzávažnejším</w:t>
      </w:r>
      <w:r w:rsidRPr="00A12068">
        <w:rPr>
          <w:szCs w:val="22"/>
        </w:rPr>
        <w:t xml:space="preserve"> typicky opiátovým vedľajším </w:t>
      </w:r>
      <w:r w:rsidR="009C62DA" w:rsidRPr="00A12068">
        <w:rPr>
          <w:szCs w:val="22"/>
        </w:rPr>
        <w:t>reakciám</w:t>
      </w:r>
      <w:r w:rsidRPr="00A12068">
        <w:rPr>
          <w:szCs w:val="22"/>
        </w:rPr>
        <w:t xml:space="preserve"> patrí respiračná depresia (ktorá môže viesť až k z</w:t>
      </w:r>
      <w:r w:rsidR="00B82A69" w:rsidRPr="00A12068">
        <w:rPr>
          <w:szCs w:val="22"/>
        </w:rPr>
        <w:t>astaveniu</w:t>
      </w:r>
      <w:r w:rsidRPr="00A12068">
        <w:rPr>
          <w:szCs w:val="22"/>
        </w:rPr>
        <w:t xml:space="preserve"> dýchania), hypotenzia a šok. </w:t>
      </w:r>
    </w:p>
    <w:p w:rsidR="000C5C0A" w:rsidRPr="00A12068" w:rsidRDefault="000C5C0A" w:rsidP="00E12DE9">
      <w:pPr>
        <w:pStyle w:val="SPCNormal"/>
        <w:rPr>
          <w:szCs w:val="22"/>
        </w:rPr>
      </w:pPr>
    </w:p>
    <w:p w:rsidR="000C5C0A" w:rsidRPr="00A12068" w:rsidRDefault="000C5C0A" w:rsidP="00E12DE9">
      <w:pPr>
        <w:pStyle w:val="SPCNormal"/>
        <w:rPr>
          <w:szCs w:val="22"/>
        </w:rPr>
      </w:pPr>
      <w:r w:rsidRPr="00A12068">
        <w:rPr>
          <w:szCs w:val="22"/>
        </w:rPr>
        <w:t>Klinické štúdie Lunaldinu boli navrhnuté na hodnotenie bezpečnosti a účinnosti liečby pacientov s </w:t>
      </w:r>
      <w:r w:rsidR="005E21F0" w:rsidRPr="00A12068">
        <w:rPr>
          <w:szCs w:val="22"/>
        </w:rPr>
        <w:t>prelomovou</w:t>
      </w:r>
      <w:r w:rsidRPr="00A12068">
        <w:rPr>
          <w:szCs w:val="22"/>
        </w:rPr>
        <w:t xml:space="preserve"> </w:t>
      </w:r>
      <w:r w:rsidR="009C62DA" w:rsidRPr="00A12068">
        <w:rPr>
          <w:szCs w:val="22"/>
        </w:rPr>
        <w:t xml:space="preserve">nádorovou </w:t>
      </w:r>
      <w:r w:rsidRPr="00A12068">
        <w:rPr>
          <w:szCs w:val="22"/>
        </w:rPr>
        <w:t xml:space="preserve">bolesťou; všetci pacienti užívali pre </w:t>
      </w:r>
      <w:r w:rsidR="00F87B37" w:rsidRPr="00A12068">
        <w:rPr>
          <w:szCs w:val="22"/>
        </w:rPr>
        <w:t>svoje</w:t>
      </w:r>
      <w:r w:rsidRPr="00A12068">
        <w:rPr>
          <w:szCs w:val="22"/>
        </w:rPr>
        <w:t xml:space="preserve"> pretrvávajúce bolesti súčasne opiáty</w:t>
      </w:r>
      <w:r w:rsidR="00F87B37" w:rsidRPr="00A12068">
        <w:rPr>
          <w:szCs w:val="22"/>
        </w:rPr>
        <w:t>,</w:t>
      </w:r>
      <w:r w:rsidRPr="00A12068">
        <w:rPr>
          <w:szCs w:val="22"/>
        </w:rPr>
        <w:t xml:space="preserve"> ako morfín s p</w:t>
      </w:r>
      <w:r w:rsidR="00715594" w:rsidRPr="00A12068">
        <w:rPr>
          <w:szCs w:val="22"/>
        </w:rPr>
        <w:t>redĺže</w:t>
      </w:r>
      <w:r w:rsidRPr="00A12068">
        <w:rPr>
          <w:szCs w:val="22"/>
        </w:rPr>
        <w:t>ným uvoľňovaním, oxykodón s p</w:t>
      </w:r>
      <w:r w:rsidR="00715594" w:rsidRPr="00A12068">
        <w:rPr>
          <w:szCs w:val="22"/>
        </w:rPr>
        <w:t>redĺže</w:t>
      </w:r>
      <w:r w:rsidRPr="00A12068">
        <w:rPr>
          <w:szCs w:val="22"/>
        </w:rPr>
        <w:t>ným uvoľňovaním alebo transdermálny fentanyl. Preto nie je možné definitívne oddeliť účinky Lunaldinu samotného.</w:t>
      </w:r>
    </w:p>
    <w:p w:rsidR="000C5C0A" w:rsidRPr="00A12068" w:rsidRDefault="000C5C0A" w:rsidP="00E12DE9">
      <w:pPr>
        <w:pStyle w:val="SPCNormal"/>
        <w:rPr>
          <w:szCs w:val="22"/>
        </w:rPr>
      </w:pPr>
    </w:p>
    <w:p w:rsidR="000C5C0A" w:rsidRPr="00A12068" w:rsidRDefault="000C5C0A" w:rsidP="00E12DE9">
      <w:pPr>
        <w:pStyle w:val="SPCNormal"/>
        <w:rPr>
          <w:szCs w:val="22"/>
        </w:rPr>
      </w:pPr>
      <w:r w:rsidRPr="00A12068">
        <w:rPr>
          <w:szCs w:val="22"/>
        </w:rPr>
        <w:t>Medzi najčastejšie pozorované nežiaduce reakcie pri Lunaldine</w:t>
      </w:r>
      <w:r w:rsidR="00FB090C" w:rsidRPr="00A12068">
        <w:rPr>
          <w:szCs w:val="22"/>
        </w:rPr>
        <w:t xml:space="preserve"> patria nežiaduce reakcie typické pre opiáty, ako je nauzea, zápcha, somnolencia a bolesť hlavy.</w:t>
      </w:r>
      <w:r w:rsidRPr="00A12068">
        <w:rPr>
          <w:szCs w:val="22"/>
        </w:rPr>
        <w:t xml:space="preserve"> </w:t>
      </w:r>
    </w:p>
    <w:p w:rsidR="00FB090C" w:rsidRPr="00A12068" w:rsidRDefault="00FB090C" w:rsidP="00E12DE9">
      <w:pPr>
        <w:pStyle w:val="SPCNormal"/>
        <w:rPr>
          <w:szCs w:val="22"/>
        </w:rPr>
      </w:pPr>
    </w:p>
    <w:p w:rsidR="00FB090C" w:rsidRPr="00A12068" w:rsidRDefault="00FB090C" w:rsidP="00E12DE9">
      <w:pPr>
        <w:pStyle w:val="SPCNormal"/>
        <w:rPr>
          <w:szCs w:val="22"/>
        </w:rPr>
      </w:pPr>
      <w:r w:rsidRPr="00A12068">
        <w:rPr>
          <w:szCs w:val="22"/>
          <w:u w:val="single"/>
        </w:rPr>
        <w:t>Prehľadný súhrn nežiaducich reakcií pri Lunaldine</w:t>
      </w:r>
      <w:r w:rsidR="005F48C4" w:rsidRPr="00A12068">
        <w:rPr>
          <w:szCs w:val="22"/>
        </w:rPr>
        <w:t xml:space="preserve"> a/alebo iných zl</w:t>
      </w:r>
      <w:r w:rsidR="00E218D9" w:rsidRPr="00A12068">
        <w:rPr>
          <w:szCs w:val="22"/>
        </w:rPr>
        <w:t>účeninách</w:t>
      </w:r>
      <w:r w:rsidR="005F48C4" w:rsidRPr="00A12068">
        <w:rPr>
          <w:szCs w:val="22"/>
        </w:rPr>
        <w:t xml:space="preserve"> obsahujúcich fentanyl</w:t>
      </w:r>
      <w:r w:rsidRPr="00A12068">
        <w:rPr>
          <w:szCs w:val="22"/>
        </w:rPr>
        <w:t>:</w:t>
      </w:r>
    </w:p>
    <w:p w:rsidR="000D6F3D" w:rsidRPr="00A12068" w:rsidRDefault="000D6F3D" w:rsidP="00E12DE9">
      <w:pPr>
        <w:pStyle w:val="SPCNormal"/>
        <w:rPr>
          <w:szCs w:val="22"/>
        </w:rPr>
      </w:pPr>
      <w:r w:rsidRPr="00A12068">
        <w:rPr>
          <w:szCs w:val="22"/>
        </w:rPr>
        <w:t>N</w:t>
      </w:r>
      <w:r w:rsidR="005F48C4" w:rsidRPr="00A12068">
        <w:rPr>
          <w:szCs w:val="22"/>
        </w:rPr>
        <w:t>asledujúce n</w:t>
      </w:r>
      <w:r w:rsidRPr="00A12068">
        <w:rPr>
          <w:szCs w:val="22"/>
        </w:rPr>
        <w:t>e</w:t>
      </w:r>
      <w:r w:rsidR="0047148A" w:rsidRPr="00A12068">
        <w:rPr>
          <w:szCs w:val="22"/>
        </w:rPr>
        <w:t>žiaduce</w:t>
      </w:r>
      <w:r w:rsidRPr="00A12068">
        <w:rPr>
          <w:szCs w:val="22"/>
        </w:rPr>
        <w:t xml:space="preserve"> reakcie </w:t>
      </w:r>
      <w:r w:rsidR="005F48C4" w:rsidRPr="00A12068">
        <w:rPr>
          <w:szCs w:val="22"/>
        </w:rPr>
        <w:t xml:space="preserve">boli hlásené pri </w:t>
      </w:r>
      <w:r w:rsidRPr="00A12068">
        <w:rPr>
          <w:szCs w:val="22"/>
        </w:rPr>
        <w:t>Lunaldin</w:t>
      </w:r>
      <w:r w:rsidR="005F48C4" w:rsidRPr="00A12068">
        <w:rPr>
          <w:szCs w:val="22"/>
        </w:rPr>
        <w:t xml:space="preserve">e </w:t>
      </w:r>
      <w:r w:rsidR="005F48C4" w:rsidRPr="00A12068">
        <w:rPr>
          <w:b/>
          <w:szCs w:val="22"/>
        </w:rPr>
        <w:t>a/alebo iných zl</w:t>
      </w:r>
      <w:r w:rsidR="00E218D9" w:rsidRPr="00A12068">
        <w:rPr>
          <w:b/>
          <w:szCs w:val="22"/>
        </w:rPr>
        <w:t>účeninách</w:t>
      </w:r>
      <w:r w:rsidR="005F48C4" w:rsidRPr="00A12068">
        <w:rPr>
          <w:b/>
          <w:szCs w:val="22"/>
        </w:rPr>
        <w:t xml:space="preserve"> obsahujúcich fentanyl</w:t>
      </w:r>
      <w:r w:rsidR="000D28BF" w:rsidRPr="00A12068">
        <w:rPr>
          <w:szCs w:val="22"/>
        </w:rPr>
        <w:t xml:space="preserve"> počas klinických štúdií</w:t>
      </w:r>
      <w:r w:rsidR="0047148A" w:rsidRPr="00A12068">
        <w:rPr>
          <w:szCs w:val="22"/>
        </w:rPr>
        <w:t xml:space="preserve"> a tiež zaznamenané po uvedení lieku na trh</w:t>
      </w:r>
      <w:r w:rsidR="000D28BF" w:rsidRPr="00A12068">
        <w:rPr>
          <w:szCs w:val="22"/>
        </w:rPr>
        <w:t>.</w:t>
      </w:r>
      <w:r w:rsidRPr="00A12068">
        <w:rPr>
          <w:szCs w:val="22"/>
        </w:rPr>
        <w:t xml:space="preserve"> </w:t>
      </w:r>
      <w:r w:rsidR="000D28BF" w:rsidRPr="00A12068">
        <w:rPr>
          <w:szCs w:val="22"/>
        </w:rPr>
        <w:t>U</w:t>
      </w:r>
      <w:r w:rsidRPr="00A12068">
        <w:rPr>
          <w:szCs w:val="22"/>
        </w:rPr>
        <w:t xml:space="preserve">vedené </w:t>
      </w:r>
      <w:r w:rsidR="000D28BF" w:rsidRPr="00A12068">
        <w:rPr>
          <w:szCs w:val="22"/>
        </w:rPr>
        <w:t xml:space="preserve">sú </w:t>
      </w:r>
      <w:r w:rsidRPr="00A12068">
        <w:rPr>
          <w:szCs w:val="22"/>
        </w:rPr>
        <w:t xml:space="preserve">nižšie podľa tried systémových orgánov a frekvencie výskytu (veľmi časté </w:t>
      </w:r>
      <w:r w:rsidRPr="00A12068">
        <w:rPr>
          <w:szCs w:val="22"/>
        </w:rPr>
        <w:sym w:font="Symbol" w:char="F0B3"/>
      </w:r>
      <w:r w:rsidRPr="00A12068">
        <w:rPr>
          <w:szCs w:val="22"/>
        </w:rPr>
        <w:t xml:space="preserve"> 1/10; časté </w:t>
      </w:r>
      <w:r w:rsidRPr="00A12068">
        <w:rPr>
          <w:szCs w:val="22"/>
        </w:rPr>
        <w:sym w:font="Symbol" w:char="F0B3"/>
      </w:r>
      <w:r w:rsidRPr="00A12068">
        <w:rPr>
          <w:szCs w:val="22"/>
        </w:rPr>
        <w:t xml:space="preserve"> 1/100 až &lt; 1/10</w:t>
      </w:r>
      <w:r w:rsidR="0047148A" w:rsidRPr="00A12068">
        <w:rPr>
          <w:szCs w:val="22"/>
        </w:rPr>
        <w:t>; menej časté ≥</w:t>
      </w:r>
      <w:r w:rsidR="00B157D1" w:rsidRPr="00A12068">
        <w:rPr>
          <w:szCs w:val="22"/>
        </w:rPr>
        <w:t> </w:t>
      </w:r>
      <w:r w:rsidR="0047148A" w:rsidRPr="00A12068">
        <w:rPr>
          <w:szCs w:val="22"/>
        </w:rPr>
        <w:t>1/1</w:t>
      </w:r>
      <w:r w:rsidR="001301EF" w:rsidRPr="00A12068">
        <w:rPr>
          <w:szCs w:val="22"/>
        </w:rPr>
        <w:t> </w:t>
      </w:r>
      <w:r w:rsidR="0047148A" w:rsidRPr="00A12068">
        <w:rPr>
          <w:szCs w:val="22"/>
        </w:rPr>
        <w:t>000 až &lt;</w:t>
      </w:r>
      <w:r w:rsidR="00B157D1" w:rsidRPr="00A12068">
        <w:rPr>
          <w:szCs w:val="22"/>
        </w:rPr>
        <w:t> </w:t>
      </w:r>
      <w:r w:rsidR="0047148A" w:rsidRPr="00A12068">
        <w:rPr>
          <w:szCs w:val="22"/>
        </w:rPr>
        <w:t>1/100; neznáme (z </w:t>
      </w:r>
      <w:r w:rsidR="00111E62" w:rsidRPr="00A12068">
        <w:rPr>
          <w:szCs w:val="22"/>
        </w:rPr>
        <w:t>do</w:t>
      </w:r>
      <w:r w:rsidR="0047148A" w:rsidRPr="00A12068">
        <w:rPr>
          <w:szCs w:val="22"/>
        </w:rPr>
        <w:t xml:space="preserve">stupných </w:t>
      </w:r>
      <w:r w:rsidR="00C15C48">
        <w:rPr>
          <w:szCs w:val="22"/>
        </w:rPr>
        <w:t>údajov</w:t>
      </w:r>
      <w:r w:rsidR="0047148A" w:rsidRPr="00A12068">
        <w:rPr>
          <w:szCs w:val="22"/>
        </w:rPr>
        <w:t>)</w:t>
      </w:r>
      <w:r w:rsidRPr="00A12068">
        <w:rPr>
          <w:szCs w:val="22"/>
        </w:rPr>
        <w:t>). V rámci jednotlivých skupín frekvencií sú nežiaduce účinky usporiadané v poradí klesajúcej závažnosti.</w:t>
      </w:r>
    </w:p>
    <w:p w:rsidR="001301EF" w:rsidRPr="00D67A45" w:rsidRDefault="001301EF" w:rsidP="00E12DE9">
      <w:pPr>
        <w:pStyle w:val="SPCNormal"/>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693"/>
        <w:gridCol w:w="1772"/>
        <w:gridCol w:w="1878"/>
        <w:gridCol w:w="1820"/>
      </w:tblGrid>
      <w:tr w:rsidR="00111E62" w:rsidRPr="00A12068" w:rsidTr="00BA26DB">
        <w:tc>
          <w:tcPr>
            <w:tcW w:w="2123" w:type="dxa"/>
          </w:tcPr>
          <w:p w:rsidR="00111E62" w:rsidRPr="00A12068" w:rsidRDefault="00111E62" w:rsidP="00E12DE9">
            <w:pPr>
              <w:rPr>
                <w:rFonts w:ascii="Times New Roman" w:hAnsi="Times New Roman"/>
                <w:sz w:val="22"/>
                <w:szCs w:val="22"/>
              </w:rPr>
            </w:pPr>
            <w:r w:rsidRPr="00A12068">
              <w:rPr>
                <w:rFonts w:ascii="Times New Roman" w:hAnsi="Times New Roman"/>
                <w:b/>
                <w:sz w:val="22"/>
                <w:szCs w:val="22"/>
              </w:rPr>
              <w:t>Trieda orgánových systémov</w:t>
            </w:r>
          </w:p>
        </w:tc>
        <w:tc>
          <w:tcPr>
            <w:tcW w:w="7163" w:type="dxa"/>
            <w:gridSpan w:val="4"/>
          </w:tcPr>
          <w:p w:rsidR="00111E62" w:rsidRPr="00A12068" w:rsidRDefault="00111E62" w:rsidP="00E02ABC">
            <w:pPr>
              <w:jc w:val="center"/>
              <w:rPr>
                <w:rFonts w:ascii="Times New Roman" w:hAnsi="Times New Roman"/>
                <w:sz w:val="22"/>
                <w:szCs w:val="22"/>
              </w:rPr>
            </w:pPr>
            <w:r w:rsidRPr="00A12068">
              <w:rPr>
                <w:rFonts w:ascii="Times New Roman" w:hAnsi="Times New Roman"/>
                <w:b/>
                <w:sz w:val="22"/>
                <w:szCs w:val="22"/>
              </w:rPr>
              <w:t>Nežiaduce reakcie podľa frekvencie</w:t>
            </w:r>
          </w:p>
        </w:tc>
      </w:tr>
      <w:tr w:rsidR="00111E62" w:rsidRPr="00A12068" w:rsidTr="00BA26DB">
        <w:tc>
          <w:tcPr>
            <w:tcW w:w="2123" w:type="dxa"/>
          </w:tcPr>
          <w:p w:rsidR="00111E62" w:rsidRPr="00A12068" w:rsidRDefault="00111E62" w:rsidP="00E12DE9">
            <w:pPr>
              <w:rPr>
                <w:rFonts w:ascii="Times New Roman" w:hAnsi="Times New Roman"/>
                <w:sz w:val="22"/>
                <w:szCs w:val="22"/>
              </w:rPr>
            </w:pPr>
          </w:p>
        </w:tc>
        <w:tc>
          <w:tcPr>
            <w:tcW w:w="1693" w:type="dxa"/>
          </w:tcPr>
          <w:p w:rsidR="001301EF" w:rsidRPr="00A12068" w:rsidRDefault="00111E62" w:rsidP="00E12DE9">
            <w:pPr>
              <w:rPr>
                <w:rFonts w:ascii="Times New Roman" w:hAnsi="Times New Roman"/>
                <w:b/>
                <w:sz w:val="22"/>
                <w:szCs w:val="22"/>
              </w:rPr>
            </w:pPr>
            <w:r w:rsidRPr="00A12068">
              <w:rPr>
                <w:rFonts w:ascii="Times New Roman" w:hAnsi="Times New Roman"/>
                <w:b/>
                <w:sz w:val="22"/>
                <w:szCs w:val="22"/>
              </w:rPr>
              <w:t xml:space="preserve">veľmi časté </w:t>
            </w:r>
          </w:p>
          <w:p w:rsidR="00111E62" w:rsidRPr="00A12068" w:rsidRDefault="00111E62" w:rsidP="00E12DE9">
            <w:pPr>
              <w:rPr>
                <w:rFonts w:ascii="Times New Roman" w:hAnsi="Times New Roman"/>
                <w:b/>
                <w:sz w:val="22"/>
                <w:szCs w:val="22"/>
              </w:rPr>
            </w:pPr>
            <w:r w:rsidRPr="00A12068">
              <w:rPr>
                <w:rFonts w:ascii="Times New Roman" w:hAnsi="Times New Roman"/>
                <w:b/>
                <w:sz w:val="22"/>
                <w:szCs w:val="22"/>
              </w:rPr>
              <w:sym w:font="Symbol" w:char="F0B3"/>
            </w:r>
            <w:r w:rsidRPr="00A12068">
              <w:rPr>
                <w:rFonts w:ascii="Times New Roman" w:hAnsi="Times New Roman"/>
                <w:b/>
                <w:sz w:val="22"/>
                <w:szCs w:val="22"/>
              </w:rPr>
              <w:t xml:space="preserve"> 1/10</w:t>
            </w:r>
          </w:p>
        </w:tc>
        <w:tc>
          <w:tcPr>
            <w:tcW w:w="1772" w:type="dxa"/>
          </w:tcPr>
          <w:p w:rsidR="001301EF" w:rsidRPr="00A12068" w:rsidRDefault="00111E62" w:rsidP="00E12DE9">
            <w:pPr>
              <w:rPr>
                <w:rFonts w:ascii="Times New Roman" w:hAnsi="Times New Roman"/>
                <w:b/>
                <w:sz w:val="22"/>
                <w:szCs w:val="22"/>
              </w:rPr>
            </w:pPr>
            <w:r w:rsidRPr="00A12068">
              <w:rPr>
                <w:rFonts w:ascii="Times New Roman" w:hAnsi="Times New Roman"/>
                <w:b/>
                <w:sz w:val="22"/>
                <w:szCs w:val="22"/>
              </w:rPr>
              <w:t xml:space="preserve">časté </w:t>
            </w:r>
          </w:p>
          <w:p w:rsidR="00111E62" w:rsidRPr="00A12068" w:rsidRDefault="00111E62" w:rsidP="00E12DE9">
            <w:pPr>
              <w:rPr>
                <w:rFonts w:ascii="Times New Roman" w:hAnsi="Times New Roman"/>
                <w:b/>
                <w:sz w:val="22"/>
                <w:szCs w:val="22"/>
              </w:rPr>
            </w:pPr>
            <w:r w:rsidRPr="00A12068">
              <w:rPr>
                <w:rFonts w:ascii="Times New Roman" w:hAnsi="Times New Roman"/>
                <w:b/>
                <w:sz w:val="22"/>
                <w:szCs w:val="22"/>
              </w:rPr>
              <w:sym w:font="Symbol" w:char="F0B3"/>
            </w:r>
            <w:r w:rsidRPr="00A12068">
              <w:rPr>
                <w:rFonts w:ascii="Times New Roman" w:hAnsi="Times New Roman"/>
                <w:b/>
                <w:sz w:val="22"/>
                <w:szCs w:val="22"/>
              </w:rPr>
              <w:t xml:space="preserve"> 1/100 až &lt; 1/10</w:t>
            </w:r>
          </w:p>
        </w:tc>
        <w:tc>
          <w:tcPr>
            <w:tcW w:w="1878" w:type="dxa"/>
          </w:tcPr>
          <w:p w:rsidR="00111E62" w:rsidRPr="00A12068" w:rsidRDefault="00111E62" w:rsidP="00E12DE9">
            <w:pPr>
              <w:rPr>
                <w:rFonts w:ascii="Times New Roman" w:hAnsi="Times New Roman"/>
                <w:b/>
                <w:sz w:val="22"/>
                <w:szCs w:val="22"/>
              </w:rPr>
            </w:pPr>
            <w:r w:rsidRPr="00A12068">
              <w:rPr>
                <w:rFonts w:ascii="Times New Roman" w:hAnsi="Times New Roman"/>
                <w:b/>
                <w:sz w:val="22"/>
                <w:szCs w:val="22"/>
              </w:rPr>
              <w:t>menej časté ≥</w:t>
            </w:r>
            <w:r w:rsidR="00E02ABC" w:rsidRPr="00A12068">
              <w:rPr>
                <w:rFonts w:ascii="Times New Roman" w:hAnsi="Times New Roman"/>
                <w:b/>
                <w:sz w:val="22"/>
                <w:szCs w:val="22"/>
              </w:rPr>
              <w:t> </w:t>
            </w:r>
            <w:r w:rsidRPr="00A12068">
              <w:rPr>
                <w:rFonts w:ascii="Times New Roman" w:hAnsi="Times New Roman"/>
                <w:b/>
                <w:sz w:val="22"/>
                <w:szCs w:val="22"/>
              </w:rPr>
              <w:t>1/1</w:t>
            </w:r>
            <w:r w:rsidR="001301EF" w:rsidRPr="00A12068">
              <w:rPr>
                <w:rFonts w:ascii="Times New Roman" w:hAnsi="Times New Roman"/>
                <w:b/>
                <w:sz w:val="22"/>
                <w:szCs w:val="22"/>
              </w:rPr>
              <w:t> </w:t>
            </w:r>
            <w:r w:rsidRPr="00A12068">
              <w:rPr>
                <w:rFonts w:ascii="Times New Roman" w:hAnsi="Times New Roman"/>
                <w:b/>
                <w:sz w:val="22"/>
                <w:szCs w:val="22"/>
              </w:rPr>
              <w:t>000 až &lt;</w:t>
            </w:r>
            <w:r w:rsidR="00E02ABC" w:rsidRPr="00A12068">
              <w:rPr>
                <w:rFonts w:ascii="Times New Roman" w:hAnsi="Times New Roman"/>
                <w:b/>
                <w:sz w:val="22"/>
                <w:szCs w:val="22"/>
              </w:rPr>
              <w:t> </w:t>
            </w:r>
            <w:r w:rsidRPr="00A12068">
              <w:rPr>
                <w:rFonts w:ascii="Times New Roman" w:hAnsi="Times New Roman"/>
                <w:b/>
                <w:sz w:val="22"/>
                <w:szCs w:val="22"/>
              </w:rPr>
              <w:t>1/100</w:t>
            </w:r>
          </w:p>
        </w:tc>
        <w:tc>
          <w:tcPr>
            <w:tcW w:w="1820" w:type="dxa"/>
          </w:tcPr>
          <w:p w:rsidR="00111E62" w:rsidRPr="00A12068" w:rsidRDefault="00111E62" w:rsidP="00E12DE9">
            <w:pPr>
              <w:rPr>
                <w:rFonts w:ascii="Times New Roman" w:hAnsi="Times New Roman"/>
                <w:b/>
                <w:sz w:val="22"/>
                <w:szCs w:val="22"/>
              </w:rPr>
            </w:pPr>
            <w:r w:rsidRPr="00D67A45">
              <w:rPr>
                <w:rFonts w:ascii="Times New Roman" w:hAnsi="Times New Roman"/>
                <w:b/>
                <w:sz w:val="22"/>
                <w:szCs w:val="22"/>
              </w:rPr>
              <w:t>neznáme (nemožno st</w:t>
            </w:r>
            <w:r w:rsidRPr="00A12068">
              <w:rPr>
                <w:rFonts w:ascii="Times New Roman" w:hAnsi="Times New Roman"/>
                <w:b/>
                <w:sz w:val="22"/>
                <w:szCs w:val="22"/>
              </w:rPr>
              <w:t>anoviť z dostupných dát)</w:t>
            </w:r>
          </w:p>
        </w:tc>
      </w:tr>
      <w:tr w:rsidR="00111E62" w:rsidRPr="00A12068" w:rsidTr="00BA26DB">
        <w:tc>
          <w:tcPr>
            <w:tcW w:w="2123" w:type="dxa"/>
          </w:tcPr>
          <w:p w:rsidR="00111E62" w:rsidRPr="00A12068" w:rsidRDefault="00111E62" w:rsidP="00E12DE9">
            <w:pPr>
              <w:rPr>
                <w:rFonts w:ascii="Times New Roman" w:hAnsi="Times New Roman"/>
                <w:b/>
                <w:sz w:val="22"/>
                <w:szCs w:val="22"/>
              </w:rPr>
            </w:pPr>
            <w:r w:rsidRPr="00A12068">
              <w:rPr>
                <w:rFonts w:ascii="Times New Roman" w:hAnsi="Times New Roman"/>
                <w:b/>
                <w:sz w:val="22"/>
                <w:szCs w:val="22"/>
              </w:rPr>
              <w:t>Poruchy imunitného systému</w:t>
            </w:r>
          </w:p>
        </w:tc>
        <w:tc>
          <w:tcPr>
            <w:tcW w:w="1693" w:type="dxa"/>
          </w:tcPr>
          <w:p w:rsidR="00111E62" w:rsidRPr="00A12068" w:rsidRDefault="00111E62" w:rsidP="00E12DE9">
            <w:pPr>
              <w:rPr>
                <w:rFonts w:ascii="Times New Roman" w:hAnsi="Times New Roman"/>
                <w:sz w:val="22"/>
                <w:szCs w:val="22"/>
              </w:rPr>
            </w:pPr>
          </w:p>
        </w:tc>
        <w:tc>
          <w:tcPr>
            <w:tcW w:w="1772" w:type="dxa"/>
          </w:tcPr>
          <w:p w:rsidR="00111E62" w:rsidRPr="00A12068" w:rsidRDefault="00111E62" w:rsidP="00E12DE9">
            <w:pPr>
              <w:rPr>
                <w:rFonts w:ascii="Times New Roman" w:hAnsi="Times New Roman"/>
                <w:sz w:val="22"/>
                <w:szCs w:val="22"/>
              </w:rPr>
            </w:pPr>
          </w:p>
        </w:tc>
        <w:tc>
          <w:tcPr>
            <w:tcW w:w="1878" w:type="dxa"/>
          </w:tcPr>
          <w:p w:rsidR="00111E62" w:rsidRPr="00A12068" w:rsidRDefault="00111E62" w:rsidP="00E12DE9">
            <w:pPr>
              <w:rPr>
                <w:rFonts w:ascii="Times New Roman" w:hAnsi="Times New Roman"/>
                <w:sz w:val="22"/>
                <w:szCs w:val="22"/>
              </w:rPr>
            </w:pPr>
            <w:r w:rsidRPr="00A12068">
              <w:rPr>
                <w:rFonts w:ascii="Times New Roman" w:hAnsi="Times New Roman"/>
                <w:sz w:val="22"/>
                <w:szCs w:val="22"/>
              </w:rPr>
              <w:t>Precitlivenosť</w:t>
            </w:r>
          </w:p>
        </w:tc>
        <w:tc>
          <w:tcPr>
            <w:tcW w:w="1820" w:type="dxa"/>
          </w:tcPr>
          <w:p w:rsidR="00111E62" w:rsidRPr="00A12068" w:rsidRDefault="00111E62" w:rsidP="00E12DE9">
            <w:pPr>
              <w:rPr>
                <w:rFonts w:ascii="Times New Roman" w:hAnsi="Times New Roman"/>
                <w:sz w:val="22"/>
                <w:szCs w:val="22"/>
              </w:rPr>
            </w:pPr>
          </w:p>
        </w:tc>
      </w:tr>
      <w:tr w:rsidR="00111E62" w:rsidRPr="00A12068" w:rsidTr="00BA26DB">
        <w:tc>
          <w:tcPr>
            <w:tcW w:w="2123" w:type="dxa"/>
          </w:tcPr>
          <w:p w:rsidR="00111E62" w:rsidRPr="00A12068" w:rsidRDefault="00111E62" w:rsidP="00E12DE9">
            <w:pPr>
              <w:rPr>
                <w:rFonts w:ascii="Times New Roman" w:hAnsi="Times New Roman"/>
                <w:b/>
                <w:sz w:val="22"/>
                <w:szCs w:val="22"/>
              </w:rPr>
            </w:pPr>
            <w:r w:rsidRPr="00A12068">
              <w:rPr>
                <w:rFonts w:ascii="Times New Roman" w:hAnsi="Times New Roman"/>
                <w:b/>
                <w:sz w:val="22"/>
                <w:szCs w:val="22"/>
              </w:rPr>
              <w:t>Poruchy metabolizmu a výživy</w:t>
            </w:r>
          </w:p>
        </w:tc>
        <w:tc>
          <w:tcPr>
            <w:tcW w:w="1693" w:type="dxa"/>
          </w:tcPr>
          <w:p w:rsidR="00111E62" w:rsidRPr="00A12068" w:rsidRDefault="00111E62" w:rsidP="00E12DE9">
            <w:pPr>
              <w:rPr>
                <w:rFonts w:ascii="Times New Roman" w:hAnsi="Times New Roman"/>
                <w:sz w:val="22"/>
                <w:szCs w:val="22"/>
              </w:rPr>
            </w:pPr>
          </w:p>
        </w:tc>
        <w:tc>
          <w:tcPr>
            <w:tcW w:w="1772" w:type="dxa"/>
          </w:tcPr>
          <w:p w:rsidR="00111E62" w:rsidRPr="00A12068" w:rsidRDefault="00111E62" w:rsidP="00E12DE9">
            <w:pPr>
              <w:rPr>
                <w:rFonts w:ascii="Times New Roman" w:hAnsi="Times New Roman"/>
                <w:sz w:val="22"/>
                <w:szCs w:val="22"/>
              </w:rPr>
            </w:pPr>
          </w:p>
        </w:tc>
        <w:tc>
          <w:tcPr>
            <w:tcW w:w="1878" w:type="dxa"/>
          </w:tcPr>
          <w:p w:rsidR="00111E62" w:rsidRPr="00A12068" w:rsidRDefault="00111E62" w:rsidP="00E12DE9">
            <w:pPr>
              <w:rPr>
                <w:rFonts w:ascii="Times New Roman" w:hAnsi="Times New Roman"/>
                <w:sz w:val="22"/>
                <w:szCs w:val="22"/>
              </w:rPr>
            </w:pPr>
            <w:r w:rsidRPr="00A12068">
              <w:rPr>
                <w:rFonts w:ascii="Times New Roman" w:hAnsi="Times New Roman"/>
                <w:sz w:val="22"/>
                <w:szCs w:val="22"/>
              </w:rPr>
              <w:t>Anorexia</w:t>
            </w:r>
          </w:p>
          <w:p w:rsidR="00111E62" w:rsidRPr="00A12068" w:rsidRDefault="00111E62" w:rsidP="00E12DE9">
            <w:pPr>
              <w:rPr>
                <w:rFonts w:ascii="Times New Roman" w:hAnsi="Times New Roman"/>
                <w:sz w:val="22"/>
                <w:szCs w:val="22"/>
              </w:rPr>
            </w:pPr>
            <w:r w:rsidRPr="00A12068">
              <w:rPr>
                <w:rFonts w:ascii="Times New Roman" w:hAnsi="Times New Roman"/>
                <w:sz w:val="22"/>
                <w:szCs w:val="22"/>
              </w:rPr>
              <w:t>Znížená chuť do jedla</w:t>
            </w:r>
          </w:p>
        </w:tc>
        <w:tc>
          <w:tcPr>
            <w:tcW w:w="1820" w:type="dxa"/>
          </w:tcPr>
          <w:p w:rsidR="00111E62" w:rsidRPr="00A12068" w:rsidRDefault="00111E62" w:rsidP="00E12DE9">
            <w:pPr>
              <w:rPr>
                <w:rFonts w:ascii="Times New Roman" w:hAnsi="Times New Roman"/>
                <w:sz w:val="22"/>
                <w:szCs w:val="22"/>
              </w:rPr>
            </w:pPr>
          </w:p>
        </w:tc>
      </w:tr>
      <w:tr w:rsidR="00111E62" w:rsidRPr="00A12068" w:rsidTr="00BA26DB">
        <w:tc>
          <w:tcPr>
            <w:tcW w:w="2123" w:type="dxa"/>
          </w:tcPr>
          <w:p w:rsidR="00111E62" w:rsidRPr="00A12068" w:rsidRDefault="00111E62" w:rsidP="00E12DE9">
            <w:pPr>
              <w:rPr>
                <w:rFonts w:ascii="Times New Roman" w:hAnsi="Times New Roman"/>
                <w:b/>
                <w:sz w:val="22"/>
                <w:szCs w:val="22"/>
              </w:rPr>
            </w:pPr>
            <w:r w:rsidRPr="00A12068">
              <w:rPr>
                <w:rFonts w:ascii="Times New Roman" w:hAnsi="Times New Roman"/>
                <w:b/>
                <w:sz w:val="22"/>
                <w:szCs w:val="22"/>
              </w:rPr>
              <w:t>Psychické poruchy</w:t>
            </w:r>
          </w:p>
        </w:tc>
        <w:tc>
          <w:tcPr>
            <w:tcW w:w="1693" w:type="dxa"/>
          </w:tcPr>
          <w:p w:rsidR="00111E62" w:rsidRPr="00A12068" w:rsidRDefault="00111E62" w:rsidP="00E12DE9">
            <w:pPr>
              <w:rPr>
                <w:rFonts w:ascii="Times New Roman" w:hAnsi="Times New Roman"/>
                <w:sz w:val="22"/>
                <w:szCs w:val="22"/>
              </w:rPr>
            </w:pPr>
          </w:p>
        </w:tc>
        <w:tc>
          <w:tcPr>
            <w:tcW w:w="1772" w:type="dxa"/>
          </w:tcPr>
          <w:p w:rsidR="00111E62" w:rsidRPr="00A12068" w:rsidRDefault="00111E62" w:rsidP="00E12DE9">
            <w:pPr>
              <w:rPr>
                <w:rFonts w:ascii="Times New Roman" w:hAnsi="Times New Roman"/>
                <w:sz w:val="22"/>
                <w:szCs w:val="22"/>
              </w:rPr>
            </w:pPr>
          </w:p>
        </w:tc>
        <w:tc>
          <w:tcPr>
            <w:tcW w:w="1878" w:type="dxa"/>
          </w:tcPr>
          <w:p w:rsidR="00111E62" w:rsidRPr="00A12068" w:rsidRDefault="00111E62" w:rsidP="00E12DE9">
            <w:pPr>
              <w:rPr>
                <w:rFonts w:ascii="Times New Roman" w:hAnsi="Times New Roman"/>
                <w:sz w:val="22"/>
                <w:szCs w:val="22"/>
              </w:rPr>
            </w:pPr>
            <w:r w:rsidRPr="00A12068">
              <w:rPr>
                <w:rFonts w:ascii="Times New Roman" w:hAnsi="Times New Roman"/>
                <w:sz w:val="22"/>
                <w:szCs w:val="22"/>
              </w:rPr>
              <w:t>Depresia</w:t>
            </w:r>
          </w:p>
          <w:p w:rsidR="00111E62" w:rsidRPr="00A12068" w:rsidRDefault="00111E62" w:rsidP="00E12DE9">
            <w:pPr>
              <w:rPr>
                <w:rFonts w:ascii="Times New Roman" w:hAnsi="Times New Roman"/>
                <w:sz w:val="22"/>
                <w:szCs w:val="22"/>
              </w:rPr>
            </w:pPr>
            <w:r w:rsidRPr="00A12068">
              <w:rPr>
                <w:rFonts w:ascii="Times New Roman" w:hAnsi="Times New Roman"/>
                <w:sz w:val="22"/>
                <w:szCs w:val="22"/>
              </w:rPr>
              <w:t>Paranoja</w:t>
            </w:r>
          </w:p>
          <w:p w:rsidR="00111E62" w:rsidRPr="00A12068" w:rsidRDefault="00111E62" w:rsidP="00E12DE9">
            <w:pPr>
              <w:rPr>
                <w:rFonts w:ascii="Times New Roman" w:hAnsi="Times New Roman"/>
                <w:sz w:val="22"/>
                <w:szCs w:val="22"/>
              </w:rPr>
            </w:pPr>
            <w:r w:rsidRPr="00A12068">
              <w:rPr>
                <w:rFonts w:ascii="Times New Roman" w:hAnsi="Times New Roman"/>
                <w:sz w:val="22"/>
                <w:szCs w:val="22"/>
              </w:rPr>
              <w:t>Stav zmätenosti</w:t>
            </w:r>
          </w:p>
          <w:p w:rsidR="00111E62" w:rsidRPr="00A12068" w:rsidRDefault="00111E62" w:rsidP="00E12DE9">
            <w:pPr>
              <w:rPr>
                <w:rFonts w:ascii="Times New Roman" w:hAnsi="Times New Roman"/>
                <w:sz w:val="22"/>
                <w:szCs w:val="22"/>
              </w:rPr>
            </w:pPr>
            <w:r w:rsidRPr="00A12068">
              <w:rPr>
                <w:rFonts w:ascii="Times New Roman" w:hAnsi="Times New Roman"/>
                <w:sz w:val="22"/>
                <w:szCs w:val="22"/>
              </w:rPr>
              <w:t>Dezorientácia</w:t>
            </w:r>
          </w:p>
          <w:p w:rsidR="00111E62" w:rsidRPr="00A12068" w:rsidRDefault="00111E62" w:rsidP="00E12DE9">
            <w:pPr>
              <w:rPr>
                <w:rFonts w:ascii="Times New Roman" w:hAnsi="Times New Roman"/>
                <w:sz w:val="22"/>
                <w:szCs w:val="22"/>
              </w:rPr>
            </w:pPr>
            <w:r w:rsidRPr="00A12068">
              <w:rPr>
                <w:rFonts w:ascii="Times New Roman" w:hAnsi="Times New Roman"/>
                <w:sz w:val="22"/>
                <w:szCs w:val="22"/>
              </w:rPr>
              <w:t>Zmeny duševného stavu</w:t>
            </w:r>
          </w:p>
          <w:p w:rsidR="00111E62" w:rsidRPr="00A12068" w:rsidRDefault="00111E62" w:rsidP="00E12DE9">
            <w:pPr>
              <w:rPr>
                <w:rFonts w:ascii="Times New Roman" w:hAnsi="Times New Roman"/>
                <w:sz w:val="22"/>
                <w:szCs w:val="22"/>
              </w:rPr>
            </w:pPr>
            <w:r w:rsidRPr="00A12068">
              <w:rPr>
                <w:rFonts w:ascii="Times New Roman" w:hAnsi="Times New Roman"/>
                <w:sz w:val="22"/>
                <w:szCs w:val="22"/>
              </w:rPr>
              <w:t>Úzkosť</w:t>
            </w:r>
          </w:p>
          <w:p w:rsidR="00111E62" w:rsidRPr="00A12068" w:rsidRDefault="00111E62" w:rsidP="00E12DE9">
            <w:pPr>
              <w:rPr>
                <w:rFonts w:ascii="Times New Roman" w:hAnsi="Times New Roman"/>
                <w:sz w:val="22"/>
                <w:szCs w:val="22"/>
              </w:rPr>
            </w:pPr>
            <w:r w:rsidRPr="00A12068">
              <w:rPr>
                <w:rFonts w:ascii="Times New Roman" w:hAnsi="Times New Roman"/>
                <w:sz w:val="22"/>
                <w:szCs w:val="22"/>
              </w:rPr>
              <w:t>Euforická nálada</w:t>
            </w:r>
          </w:p>
          <w:p w:rsidR="00111E62" w:rsidRPr="00A12068" w:rsidRDefault="00111E62" w:rsidP="00E12DE9">
            <w:pPr>
              <w:rPr>
                <w:rFonts w:ascii="Times New Roman" w:hAnsi="Times New Roman"/>
                <w:sz w:val="22"/>
                <w:szCs w:val="22"/>
              </w:rPr>
            </w:pPr>
            <w:r w:rsidRPr="00A12068">
              <w:rPr>
                <w:rFonts w:ascii="Times New Roman" w:hAnsi="Times New Roman"/>
                <w:sz w:val="22"/>
                <w:szCs w:val="22"/>
              </w:rPr>
              <w:t>Dysfória</w:t>
            </w:r>
          </w:p>
          <w:p w:rsidR="00111E62" w:rsidRPr="00A12068" w:rsidRDefault="00111E62" w:rsidP="00E12DE9">
            <w:pPr>
              <w:rPr>
                <w:rFonts w:ascii="Times New Roman" w:hAnsi="Times New Roman"/>
                <w:sz w:val="22"/>
                <w:szCs w:val="22"/>
              </w:rPr>
            </w:pPr>
            <w:r w:rsidRPr="00A12068">
              <w:rPr>
                <w:rFonts w:ascii="Times New Roman" w:hAnsi="Times New Roman"/>
                <w:sz w:val="22"/>
                <w:szCs w:val="22"/>
              </w:rPr>
              <w:t>Emocionálna labilita</w:t>
            </w:r>
          </w:p>
          <w:p w:rsidR="00CC09C2" w:rsidRPr="00A12068" w:rsidRDefault="00111E62" w:rsidP="00E12DE9">
            <w:pPr>
              <w:rPr>
                <w:rFonts w:ascii="Times New Roman" w:hAnsi="Times New Roman"/>
                <w:sz w:val="22"/>
                <w:szCs w:val="22"/>
              </w:rPr>
            </w:pPr>
            <w:r w:rsidRPr="00A12068">
              <w:rPr>
                <w:rFonts w:ascii="Times New Roman" w:hAnsi="Times New Roman"/>
                <w:sz w:val="22"/>
                <w:szCs w:val="22"/>
              </w:rPr>
              <w:lastRenderedPageBreak/>
              <w:t>Porucha koncentrácie</w:t>
            </w:r>
          </w:p>
          <w:p w:rsidR="00BA26DB" w:rsidRPr="00A12068" w:rsidRDefault="00BA26DB" w:rsidP="00E12DE9">
            <w:pPr>
              <w:rPr>
                <w:rFonts w:ascii="Times New Roman" w:hAnsi="Times New Roman"/>
                <w:sz w:val="22"/>
                <w:szCs w:val="22"/>
              </w:rPr>
            </w:pPr>
            <w:r w:rsidRPr="00A12068">
              <w:rPr>
                <w:rFonts w:ascii="Times New Roman" w:hAnsi="Times New Roman"/>
                <w:sz w:val="22"/>
                <w:szCs w:val="22"/>
              </w:rPr>
              <w:t>Insomnia</w:t>
            </w:r>
          </w:p>
        </w:tc>
        <w:tc>
          <w:tcPr>
            <w:tcW w:w="1820" w:type="dxa"/>
          </w:tcPr>
          <w:p w:rsidR="00111E62" w:rsidRPr="00722EBC" w:rsidRDefault="00E218D9" w:rsidP="00BA26DB">
            <w:pPr>
              <w:rPr>
                <w:rFonts w:ascii="Times New Roman" w:hAnsi="Times New Roman"/>
                <w:sz w:val="22"/>
                <w:szCs w:val="22"/>
              </w:rPr>
            </w:pPr>
            <w:r w:rsidRPr="00722EBC">
              <w:rPr>
                <w:rFonts w:ascii="Times New Roman" w:hAnsi="Times New Roman"/>
                <w:sz w:val="22"/>
                <w:szCs w:val="22"/>
              </w:rPr>
              <w:lastRenderedPageBreak/>
              <w:t>Halucinácie</w:t>
            </w:r>
          </w:p>
          <w:p w:rsidR="009C68DC" w:rsidRPr="00722EBC" w:rsidRDefault="009C68DC" w:rsidP="009C68DC">
            <w:pPr>
              <w:rPr>
                <w:rFonts w:ascii="Times New Roman" w:hAnsi="Times New Roman"/>
                <w:sz w:val="22"/>
                <w:szCs w:val="22"/>
              </w:rPr>
            </w:pPr>
            <w:r w:rsidRPr="00722EBC">
              <w:rPr>
                <w:rFonts w:ascii="Times New Roman" w:hAnsi="Times New Roman"/>
                <w:sz w:val="22"/>
                <w:szCs w:val="22"/>
              </w:rPr>
              <w:t>Závislosť od lieku</w:t>
            </w:r>
          </w:p>
          <w:p w:rsidR="009C68DC" w:rsidRPr="00722EBC" w:rsidRDefault="009C68DC" w:rsidP="009C68DC">
            <w:pPr>
              <w:rPr>
                <w:rFonts w:ascii="Times New Roman" w:hAnsi="Times New Roman"/>
                <w:sz w:val="22"/>
                <w:szCs w:val="22"/>
              </w:rPr>
            </w:pPr>
            <w:r w:rsidRPr="00722EBC">
              <w:rPr>
                <w:rFonts w:ascii="Times New Roman" w:hAnsi="Times New Roman"/>
                <w:sz w:val="22"/>
                <w:szCs w:val="22"/>
              </w:rPr>
              <w:t>Zneužitie lieku</w:t>
            </w:r>
          </w:p>
          <w:p w:rsidR="009C68DC" w:rsidRPr="00722EBC" w:rsidRDefault="0095063A" w:rsidP="009C68DC">
            <w:pPr>
              <w:rPr>
                <w:rFonts w:ascii="Times New Roman" w:hAnsi="Times New Roman"/>
                <w:sz w:val="22"/>
                <w:szCs w:val="22"/>
              </w:rPr>
            </w:pPr>
            <w:r w:rsidRPr="00722EBC">
              <w:rPr>
                <w:rFonts w:ascii="Times New Roman" w:hAnsi="Times New Roman"/>
                <w:sz w:val="22"/>
                <w:szCs w:val="22"/>
              </w:rPr>
              <w:t>Delírium</w:t>
            </w:r>
          </w:p>
        </w:tc>
      </w:tr>
      <w:tr w:rsidR="00111E62" w:rsidRPr="00A12068" w:rsidTr="00BA26DB">
        <w:tc>
          <w:tcPr>
            <w:tcW w:w="2123" w:type="dxa"/>
          </w:tcPr>
          <w:p w:rsidR="00111E62" w:rsidRPr="00A12068" w:rsidRDefault="00493F9C" w:rsidP="00E12DE9">
            <w:pPr>
              <w:rPr>
                <w:rFonts w:ascii="Times New Roman" w:hAnsi="Times New Roman"/>
                <w:b/>
                <w:sz w:val="22"/>
                <w:szCs w:val="22"/>
              </w:rPr>
            </w:pPr>
            <w:r w:rsidRPr="00A12068">
              <w:rPr>
                <w:rFonts w:ascii="Times New Roman" w:hAnsi="Times New Roman"/>
                <w:b/>
                <w:sz w:val="22"/>
                <w:szCs w:val="22"/>
              </w:rPr>
              <w:lastRenderedPageBreak/>
              <w:t>Poruchy nervového systému</w:t>
            </w:r>
          </w:p>
        </w:tc>
        <w:tc>
          <w:tcPr>
            <w:tcW w:w="1693" w:type="dxa"/>
          </w:tcPr>
          <w:p w:rsidR="00111E62" w:rsidRPr="00A12068" w:rsidRDefault="00111E62" w:rsidP="00E12DE9">
            <w:pPr>
              <w:rPr>
                <w:rFonts w:ascii="Times New Roman" w:hAnsi="Times New Roman"/>
                <w:sz w:val="22"/>
                <w:szCs w:val="22"/>
              </w:rPr>
            </w:pPr>
          </w:p>
        </w:tc>
        <w:tc>
          <w:tcPr>
            <w:tcW w:w="1772" w:type="dxa"/>
          </w:tcPr>
          <w:p w:rsidR="00111E62" w:rsidRPr="00A12068" w:rsidRDefault="005A613E" w:rsidP="00E12DE9">
            <w:pPr>
              <w:rPr>
                <w:rFonts w:ascii="Times New Roman" w:hAnsi="Times New Roman"/>
                <w:sz w:val="22"/>
                <w:szCs w:val="22"/>
              </w:rPr>
            </w:pPr>
            <w:r w:rsidRPr="00A12068">
              <w:rPr>
                <w:rFonts w:ascii="Times New Roman" w:hAnsi="Times New Roman"/>
                <w:sz w:val="22"/>
                <w:szCs w:val="22"/>
              </w:rPr>
              <w:t>Závrat</w:t>
            </w:r>
          </w:p>
          <w:p w:rsidR="005A613E" w:rsidRPr="00A12068" w:rsidRDefault="005A613E" w:rsidP="00E12DE9">
            <w:pPr>
              <w:rPr>
                <w:rFonts w:ascii="Times New Roman" w:hAnsi="Times New Roman"/>
                <w:sz w:val="22"/>
                <w:szCs w:val="22"/>
              </w:rPr>
            </w:pPr>
            <w:r w:rsidRPr="00A12068">
              <w:rPr>
                <w:rFonts w:ascii="Times New Roman" w:hAnsi="Times New Roman"/>
                <w:sz w:val="22"/>
                <w:szCs w:val="22"/>
              </w:rPr>
              <w:t>Bolesť hlavy</w:t>
            </w:r>
          </w:p>
          <w:p w:rsidR="005A613E" w:rsidRPr="00A12068" w:rsidRDefault="005A613E" w:rsidP="00E12DE9">
            <w:pPr>
              <w:rPr>
                <w:rFonts w:ascii="Times New Roman" w:hAnsi="Times New Roman"/>
                <w:sz w:val="22"/>
                <w:szCs w:val="22"/>
              </w:rPr>
            </w:pPr>
            <w:r w:rsidRPr="00A12068">
              <w:rPr>
                <w:rFonts w:ascii="Times New Roman" w:hAnsi="Times New Roman"/>
                <w:sz w:val="22"/>
                <w:szCs w:val="22"/>
              </w:rPr>
              <w:t>Somnolencia</w:t>
            </w:r>
          </w:p>
        </w:tc>
        <w:tc>
          <w:tcPr>
            <w:tcW w:w="1878" w:type="dxa"/>
          </w:tcPr>
          <w:p w:rsidR="00111E62" w:rsidRPr="00A12068" w:rsidRDefault="005A613E" w:rsidP="00E12DE9">
            <w:pPr>
              <w:rPr>
                <w:rFonts w:ascii="Times New Roman" w:hAnsi="Times New Roman"/>
                <w:sz w:val="22"/>
                <w:szCs w:val="22"/>
              </w:rPr>
            </w:pPr>
            <w:r w:rsidRPr="00A12068">
              <w:rPr>
                <w:rFonts w:ascii="Times New Roman" w:hAnsi="Times New Roman"/>
                <w:sz w:val="22"/>
                <w:szCs w:val="22"/>
              </w:rPr>
              <w:t>Amnézia</w:t>
            </w:r>
          </w:p>
          <w:p w:rsidR="005A613E" w:rsidRPr="00A12068" w:rsidRDefault="005A613E" w:rsidP="00E12DE9">
            <w:pPr>
              <w:rPr>
                <w:rFonts w:ascii="Times New Roman" w:hAnsi="Times New Roman"/>
                <w:sz w:val="22"/>
                <w:szCs w:val="22"/>
              </w:rPr>
            </w:pPr>
            <w:r w:rsidRPr="00A12068">
              <w:rPr>
                <w:rFonts w:ascii="Times New Roman" w:hAnsi="Times New Roman"/>
                <w:sz w:val="22"/>
                <w:szCs w:val="22"/>
              </w:rPr>
              <w:t>Parosmia</w:t>
            </w:r>
          </w:p>
          <w:p w:rsidR="005A613E" w:rsidRPr="00A12068" w:rsidRDefault="005A613E" w:rsidP="00E12DE9">
            <w:pPr>
              <w:rPr>
                <w:rFonts w:ascii="Times New Roman" w:hAnsi="Times New Roman"/>
                <w:sz w:val="22"/>
                <w:szCs w:val="22"/>
              </w:rPr>
            </w:pPr>
            <w:r w:rsidRPr="00A12068">
              <w:rPr>
                <w:rFonts w:ascii="Times New Roman" w:hAnsi="Times New Roman"/>
                <w:sz w:val="22"/>
                <w:szCs w:val="22"/>
              </w:rPr>
              <w:t>Dysge</w:t>
            </w:r>
            <w:r w:rsidR="002D0F86" w:rsidRPr="00A12068">
              <w:rPr>
                <w:rFonts w:ascii="Times New Roman" w:hAnsi="Times New Roman"/>
                <w:sz w:val="22"/>
                <w:szCs w:val="22"/>
              </w:rPr>
              <w:t>ú</w:t>
            </w:r>
            <w:r w:rsidRPr="00A12068">
              <w:rPr>
                <w:rFonts w:ascii="Times New Roman" w:hAnsi="Times New Roman"/>
                <w:sz w:val="22"/>
                <w:szCs w:val="22"/>
              </w:rPr>
              <w:t>zia</w:t>
            </w:r>
          </w:p>
          <w:p w:rsidR="005A613E" w:rsidRPr="00A12068" w:rsidRDefault="005A613E" w:rsidP="00E12DE9">
            <w:pPr>
              <w:rPr>
                <w:rFonts w:ascii="Times New Roman" w:hAnsi="Times New Roman"/>
                <w:sz w:val="22"/>
                <w:szCs w:val="22"/>
              </w:rPr>
            </w:pPr>
            <w:r w:rsidRPr="00A12068">
              <w:rPr>
                <w:rFonts w:ascii="Times New Roman" w:hAnsi="Times New Roman"/>
                <w:sz w:val="22"/>
                <w:szCs w:val="22"/>
              </w:rPr>
              <w:t>Tremor</w:t>
            </w:r>
          </w:p>
          <w:p w:rsidR="005A613E" w:rsidRPr="00A12068" w:rsidRDefault="005A613E" w:rsidP="00E12DE9">
            <w:pPr>
              <w:rPr>
                <w:rFonts w:ascii="Times New Roman" w:hAnsi="Times New Roman"/>
                <w:sz w:val="22"/>
                <w:szCs w:val="22"/>
              </w:rPr>
            </w:pPr>
            <w:r w:rsidRPr="00A12068">
              <w:rPr>
                <w:rFonts w:ascii="Times New Roman" w:hAnsi="Times New Roman"/>
                <w:sz w:val="22"/>
                <w:szCs w:val="22"/>
              </w:rPr>
              <w:t>Letargia</w:t>
            </w:r>
          </w:p>
          <w:p w:rsidR="005A613E" w:rsidRPr="00A12068" w:rsidRDefault="005A613E" w:rsidP="00E12DE9">
            <w:pPr>
              <w:rPr>
                <w:rFonts w:ascii="Times New Roman" w:hAnsi="Times New Roman"/>
                <w:sz w:val="22"/>
                <w:szCs w:val="22"/>
              </w:rPr>
            </w:pPr>
            <w:r w:rsidRPr="00A12068">
              <w:rPr>
                <w:rFonts w:ascii="Times New Roman" w:hAnsi="Times New Roman"/>
                <w:sz w:val="22"/>
                <w:szCs w:val="22"/>
              </w:rPr>
              <w:t>Hypoestézia</w:t>
            </w:r>
          </w:p>
          <w:p w:rsidR="005A613E" w:rsidRPr="00A12068" w:rsidRDefault="005A613E" w:rsidP="00E12DE9">
            <w:pPr>
              <w:rPr>
                <w:rFonts w:ascii="Times New Roman" w:hAnsi="Times New Roman"/>
                <w:sz w:val="22"/>
                <w:szCs w:val="22"/>
              </w:rPr>
            </w:pPr>
            <w:r w:rsidRPr="00A12068">
              <w:rPr>
                <w:rFonts w:ascii="Times New Roman" w:hAnsi="Times New Roman"/>
                <w:sz w:val="22"/>
                <w:szCs w:val="22"/>
              </w:rPr>
              <w:t>Poruchy spánku</w:t>
            </w:r>
          </w:p>
        </w:tc>
        <w:tc>
          <w:tcPr>
            <w:tcW w:w="1820" w:type="dxa"/>
          </w:tcPr>
          <w:p w:rsidR="00111E62" w:rsidRPr="00722EBC" w:rsidRDefault="00E218D9" w:rsidP="00E12DE9">
            <w:pPr>
              <w:rPr>
                <w:rFonts w:ascii="Times New Roman" w:hAnsi="Times New Roman"/>
                <w:sz w:val="22"/>
                <w:szCs w:val="22"/>
              </w:rPr>
            </w:pPr>
            <w:r w:rsidRPr="00722EBC">
              <w:rPr>
                <w:rFonts w:ascii="Times New Roman" w:hAnsi="Times New Roman"/>
                <w:sz w:val="22"/>
                <w:szCs w:val="22"/>
              </w:rPr>
              <w:t>Kŕče</w:t>
            </w:r>
          </w:p>
          <w:p w:rsidR="008B476C" w:rsidRPr="00722EBC" w:rsidRDefault="008B476C" w:rsidP="008B476C">
            <w:pPr>
              <w:rPr>
                <w:rFonts w:ascii="Times New Roman" w:hAnsi="Times New Roman"/>
                <w:sz w:val="22"/>
                <w:szCs w:val="22"/>
              </w:rPr>
            </w:pPr>
            <w:r w:rsidRPr="00722EBC">
              <w:rPr>
                <w:rFonts w:ascii="Times New Roman" w:hAnsi="Times New Roman"/>
                <w:sz w:val="22"/>
                <w:szCs w:val="22"/>
              </w:rPr>
              <w:t>Znížený stupeň vedomia</w:t>
            </w:r>
          </w:p>
          <w:p w:rsidR="00111E62" w:rsidRPr="00722EBC" w:rsidRDefault="008B476C" w:rsidP="00E12DE9">
            <w:pPr>
              <w:rPr>
                <w:rFonts w:ascii="Times New Roman" w:hAnsi="Times New Roman"/>
                <w:sz w:val="22"/>
                <w:szCs w:val="22"/>
              </w:rPr>
            </w:pPr>
            <w:r w:rsidRPr="00722EBC">
              <w:rPr>
                <w:rFonts w:ascii="Times New Roman" w:hAnsi="Times New Roman"/>
                <w:sz w:val="22"/>
                <w:szCs w:val="22"/>
              </w:rPr>
              <w:t>Strata vedomia</w:t>
            </w:r>
          </w:p>
        </w:tc>
      </w:tr>
      <w:tr w:rsidR="00111E62" w:rsidRPr="00A12068" w:rsidTr="00BA26DB">
        <w:tc>
          <w:tcPr>
            <w:tcW w:w="2123" w:type="dxa"/>
          </w:tcPr>
          <w:p w:rsidR="00111E62" w:rsidRPr="00A12068" w:rsidRDefault="0049408C" w:rsidP="00E12DE9">
            <w:pPr>
              <w:rPr>
                <w:rFonts w:ascii="Times New Roman" w:hAnsi="Times New Roman"/>
                <w:b/>
                <w:sz w:val="22"/>
                <w:szCs w:val="22"/>
              </w:rPr>
            </w:pPr>
            <w:r w:rsidRPr="00A12068">
              <w:rPr>
                <w:rFonts w:ascii="Times New Roman" w:hAnsi="Times New Roman"/>
                <w:b/>
                <w:sz w:val="22"/>
                <w:szCs w:val="22"/>
              </w:rPr>
              <w:t>Poruchy</w:t>
            </w:r>
            <w:r w:rsidR="005A613E" w:rsidRPr="00A12068">
              <w:rPr>
                <w:rFonts w:ascii="Times New Roman" w:hAnsi="Times New Roman"/>
                <w:b/>
                <w:sz w:val="22"/>
                <w:szCs w:val="22"/>
              </w:rPr>
              <w:t xml:space="preserve"> oka</w:t>
            </w:r>
          </w:p>
        </w:tc>
        <w:tc>
          <w:tcPr>
            <w:tcW w:w="1693" w:type="dxa"/>
          </w:tcPr>
          <w:p w:rsidR="00111E62" w:rsidRPr="00A12068" w:rsidRDefault="00111E62" w:rsidP="00E12DE9">
            <w:pPr>
              <w:rPr>
                <w:rFonts w:ascii="Times New Roman" w:hAnsi="Times New Roman"/>
                <w:sz w:val="22"/>
                <w:szCs w:val="22"/>
              </w:rPr>
            </w:pPr>
          </w:p>
        </w:tc>
        <w:tc>
          <w:tcPr>
            <w:tcW w:w="1772" w:type="dxa"/>
          </w:tcPr>
          <w:p w:rsidR="00111E62" w:rsidRPr="00A12068" w:rsidRDefault="00111E62" w:rsidP="00E12DE9">
            <w:pPr>
              <w:rPr>
                <w:rFonts w:ascii="Times New Roman" w:hAnsi="Times New Roman"/>
                <w:sz w:val="22"/>
                <w:szCs w:val="22"/>
              </w:rPr>
            </w:pPr>
          </w:p>
        </w:tc>
        <w:tc>
          <w:tcPr>
            <w:tcW w:w="1878" w:type="dxa"/>
          </w:tcPr>
          <w:p w:rsidR="00111E62" w:rsidRPr="00A12068" w:rsidRDefault="006E3548" w:rsidP="00E12DE9">
            <w:pPr>
              <w:rPr>
                <w:rFonts w:ascii="Times New Roman" w:hAnsi="Times New Roman"/>
                <w:sz w:val="22"/>
                <w:szCs w:val="22"/>
              </w:rPr>
            </w:pPr>
            <w:r w:rsidRPr="00A12068">
              <w:rPr>
                <w:rFonts w:ascii="Times New Roman" w:hAnsi="Times New Roman"/>
                <w:sz w:val="22"/>
                <w:szCs w:val="22"/>
              </w:rPr>
              <w:t>Rozmaza</w:t>
            </w:r>
            <w:r w:rsidR="005A613E" w:rsidRPr="00A12068">
              <w:rPr>
                <w:rFonts w:ascii="Times New Roman" w:hAnsi="Times New Roman"/>
                <w:sz w:val="22"/>
                <w:szCs w:val="22"/>
              </w:rPr>
              <w:t>né videnie</w:t>
            </w:r>
          </w:p>
        </w:tc>
        <w:tc>
          <w:tcPr>
            <w:tcW w:w="1820" w:type="dxa"/>
          </w:tcPr>
          <w:p w:rsidR="00111E62" w:rsidRPr="00722EBC" w:rsidRDefault="00111E62" w:rsidP="00E12DE9">
            <w:pPr>
              <w:rPr>
                <w:rFonts w:ascii="Times New Roman" w:hAnsi="Times New Roman"/>
                <w:sz w:val="22"/>
                <w:szCs w:val="22"/>
              </w:rPr>
            </w:pPr>
          </w:p>
        </w:tc>
      </w:tr>
      <w:tr w:rsidR="00111E62" w:rsidRPr="00A12068" w:rsidTr="00BA26DB">
        <w:tc>
          <w:tcPr>
            <w:tcW w:w="2123" w:type="dxa"/>
          </w:tcPr>
          <w:p w:rsidR="00111E62" w:rsidRPr="00A12068" w:rsidRDefault="0049408C" w:rsidP="00E12DE9">
            <w:pPr>
              <w:rPr>
                <w:rFonts w:ascii="Times New Roman" w:hAnsi="Times New Roman"/>
                <w:b/>
                <w:sz w:val="22"/>
                <w:szCs w:val="22"/>
              </w:rPr>
            </w:pPr>
            <w:r w:rsidRPr="00A12068">
              <w:rPr>
                <w:rFonts w:ascii="Times New Roman" w:hAnsi="Times New Roman"/>
                <w:b/>
                <w:sz w:val="22"/>
                <w:szCs w:val="22"/>
              </w:rPr>
              <w:t xml:space="preserve">Poruchy </w:t>
            </w:r>
            <w:r w:rsidR="005A613E" w:rsidRPr="00A12068">
              <w:rPr>
                <w:rFonts w:ascii="Times New Roman" w:hAnsi="Times New Roman"/>
                <w:b/>
                <w:sz w:val="22"/>
                <w:szCs w:val="22"/>
              </w:rPr>
              <w:t>srdca</w:t>
            </w:r>
            <w:r w:rsidR="00FA4BF2" w:rsidRPr="00A12068">
              <w:rPr>
                <w:rFonts w:ascii="Times New Roman" w:hAnsi="Times New Roman"/>
                <w:b/>
                <w:sz w:val="22"/>
                <w:szCs w:val="22"/>
              </w:rPr>
              <w:t xml:space="preserve"> a srdcovej činnosti</w:t>
            </w:r>
          </w:p>
        </w:tc>
        <w:tc>
          <w:tcPr>
            <w:tcW w:w="1693" w:type="dxa"/>
          </w:tcPr>
          <w:p w:rsidR="00111E62" w:rsidRPr="00A12068" w:rsidRDefault="00111E62" w:rsidP="00E12DE9">
            <w:pPr>
              <w:rPr>
                <w:rFonts w:ascii="Times New Roman" w:hAnsi="Times New Roman"/>
                <w:sz w:val="22"/>
                <w:szCs w:val="22"/>
              </w:rPr>
            </w:pPr>
          </w:p>
        </w:tc>
        <w:tc>
          <w:tcPr>
            <w:tcW w:w="1772" w:type="dxa"/>
          </w:tcPr>
          <w:p w:rsidR="00111E62" w:rsidRPr="00A12068" w:rsidRDefault="00111E62" w:rsidP="00E12DE9">
            <w:pPr>
              <w:rPr>
                <w:rFonts w:ascii="Times New Roman" w:hAnsi="Times New Roman"/>
                <w:sz w:val="22"/>
                <w:szCs w:val="22"/>
              </w:rPr>
            </w:pPr>
          </w:p>
        </w:tc>
        <w:tc>
          <w:tcPr>
            <w:tcW w:w="1878" w:type="dxa"/>
          </w:tcPr>
          <w:p w:rsidR="00111E62" w:rsidRPr="00A12068" w:rsidRDefault="005A613E" w:rsidP="00E12DE9">
            <w:pPr>
              <w:rPr>
                <w:rFonts w:ascii="Times New Roman" w:hAnsi="Times New Roman"/>
                <w:sz w:val="22"/>
                <w:szCs w:val="22"/>
              </w:rPr>
            </w:pPr>
            <w:r w:rsidRPr="00A12068">
              <w:rPr>
                <w:rFonts w:ascii="Times New Roman" w:hAnsi="Times New Roman"/>
                <w:sz w:val="22"/>
                <w:szCs w:val="22"/>
              </w:rPr>
              <w:t>Tachykardia</w:t>
            </w:r>
          </w:p>
          <w:p w:rsidR="005A613E" w:rsidRPr="00A12068" w:rsidRDefault="005A613E" w:rsidP="00E12DE9">
            <w:pPr>
              <w:rPr>
                <w:rFonts w:ascii="Times New Roman" w:hAnsi="Times New Roman"/>
                <w:sz w:val="22"/>
                <w:szCs w:val="22"/>
              </w:rPr>
            </w:pPr>
            <w:r w:rsidRPr="00A12068">
              <w:rPr>
                <w:rFonts w:ascii="Times New Roman" w:hAnsi="Times New Roman"/>
                <w:sz w:val="22"/>
                <w:szCs w:val="22"/>
              </w:rPr>
              <w:t>Bradykardia</w:t>
            </w:r>
          </w:p>
        </w:tc>
        <w:tc>
          <w:tcPr>
            <w:tcW w:w="1820" w:type="dxa"/>
          </w:tcPr>
          <w:p w:rsidR="00111E62" w:rsidRPr="00722EBC" w:rsidRDefault="00111E62" w:rsidP="00E12DE9">
            <w:pPr>
              <w:rPr>
                <w:rFonts w:ascii="Times New Roman" w:hAnsi="Times New Roman"/>
                <w:sz w:val="22"/>
                <w:szCs w:val="22"/>
              </w:rPr>
            </w:pPr>
          </w:p>
        </w:tc>
      </w:tr>
      <w:tr w:rsidR="00111E62" w:rsidRPr="00A12068" w:rsidTr="00BA26DB">
        <w:tc>
          <w:tcPr>
            <w:tcW w:w="2123" w:type="dxa"/>
          </w:tcPr>
          <w:p w:rsidR="00111E62" w:rsidRPr="00A12068" w:rsidRDefault="0049408C" w:rsidP="00E12DE9">
            <w:pPr>
              <w:rPr>
                <w:rFonts w:ascii="Times New Roman" w:hAnsi="Times New Roman"/>
                <w:b/>
                <w:sz w:val="22"/>
                <w:szCs w:val="22"/>
              </w:rPr>
            </w:pPr>
            <w:r w:rsidRPr="00A12068">
              <w:rPr>
                <w:rFonts w:ascii="Times New Roman" w:hAnsi="Times New Roman"/>
                <w:b/>
                <w:sz w:val="22"/>
                <w:szCs w:val="22"/>
              </w:rPr>
              <w:t>Poruchy</w:t>
            </w:r>
            <w:r w:rsidR="005A613E" w:rsidRPr="00A12068">
              <w:rPr>
                <w:rFonts w:ascii="Times New Roman" w:hAnsi="Times New Roman"/>
                <w:b/>
                <w:sz w:val="22"/>
                <w:szCs w:val="22"/>
              </w:rPr>
              <w:t xml:space="preserve"> ciev</w:t>
            </w:r>
          </w:p>
        </w:tc>
        <w:tc>
          <w:tcPr>
            <w:tcW w:w="1693" w:type="dxa"/>
          </w:tcPr>
          <w:p w:rsidR="00111E62" w:rsidRPr="00A12068" w:rsidRDefault="00111E62" w:rsidP="00E12DE9">
            <w:pPr>
              <w:rPr>
                <w:rFonts w:ascii="Times New Roman" w:hAnsi="Times New Roman"/>
                <w:sz w:val="22"/>
                <w:szCs w:val="22"/>
              </w:rPr>
            </w:pPr>
          </w:p>
        </w:tc>
        <w:tc>
          <w:tcPr>
            <w:tcW w:w="1772" w:type="dxa"/>
          </w:tcPr>
          <w:p w:rsidR="00111E62" w:rsidRPr="00A12068" w:rsidRDefault="00111E62" w:rsidP="00E12DE9">
            <w:pPr>
              <w:rPr>
                <w:rFonts w:ascii="Times New Roman" w:hAnsi="Times New Roman"/>
                <w:sz w:val="22"/>
                <w:szCs w:val="22"/>
              </w:rPr>
            </w:pPr>
          </w:p>
        </w:tc>
        <w:tc>
          <w:tcPr>
            <w:tcW w:w="1878" w:type="dxa"/>
          </w:tcPr>
          <w:p w:rsidR="00111E62" w:rsidRPr="00A12068" w:rsidRDefault="005A613E" w:rsidP="00E12DE9">
            <w:pPr>
              <w:rPr>
                <w:rFonts w:ascii="Times New Roman" w:hAnsi="Times New Roman"/>
                <w:sz w:val="22"/>
                <w:szCs w:val="22"/>
              </w:rPr>
            </w:pPr>
            <w:r w:rsidRPr="00A12068">
              <w:rPr>
                <w:rFonts w:ascii="Times New Roman" w:hAnsi="Times New Roman"/>
                <w:sz w:val="22"/>
                <w:szCs w:val="22"/>
              </w:rPr>
              <w:t>Hypotenzia</w:t>
            </w:r>
          </w:p>
        </w:tc>
        <w:tc>
          <w:tcPr>
            <w:tcW w:w="1820" w:type="dxa"/>
          </w:tcPr>
          <w:p w:rsidR="00111E62" w:rsidRPr="00722EBC" w:rsidRDefault="00111E62" w:rsidP="00E12DE9">
            <w:pPr>
              <w:rPr>
                <w:rFonts w:ascii="Times New Roman" w:hAnsi="Times New Roman"/>
                <w:sz w:val="22"/>
                <w:szCs w:val="22"/>
              </w:rPr>
            </w:pPr>
          </w:p>
        </w:tc>
      </w:tr>
      <w:tr w:rsidR="00111E62" w:rsidRPr="00A12068" w:rsidTr="00BA26DB">
        <w:tc>
          <w:tcPr>
            <w:tcW w:w="2123" w:type="dxa"/>
          </w:tcPr>
          <w:p w:rsidR="005A613E" w:rsidRPr="00A12068" w:rsidRDefault="0049408C" w:rsidP="00E12DE9">
            <w:pPr>
              <w:rPr>
                <w:rFonts w:ascii="Times New Roman" w:hAnsi="Times New Roman"/>
                <w:b/>
                <w:sz w:val="22"/>
                <w:szCs w:val="22"/>
              </w:rPr>
            </w:pPr>
            <w:r w:rsidRPr="00A12068">
              <w:rPr>
                <w:rFonts w:ascii="Times New Roman" w:hAnsi="Times New Roman"/>
                <w:b/>
                <w:sz w:val="22"/>
                <w:szCs w:val="22"/>
              </w:rPr>
              <w:t>Poruchy</w:t>
            </w:r>
            <w:r w:rsidR="005A613E" w:rsidRPr="00A12068">
              <w:rPr>
                <w:rFonts w:ascii="Times New Roman" w:hAnsi="Times New Roman"/>
                <w:b/>
                <w:sz w:val="22"/>
                <w:szCs w:val="22"/>
              </w:rPr>
              <w:t xml:space="preserve"> dýchacej sústavy, hrudníka a</w:t>
            </w:r>
            <w:r w:rsidR="0063385F" w:rsidRPr="00A12068">
              <w:rPr>
                <w:rFonts w:ascii="Times New Roman" w:hAnsi="Times New Roman"/>
                <w:b/>
                <w:sz w:val="22"/>
                <w:szCs w:val="22"/>
              </w:rPr>
              <w:t> </w:t>
            </w:r>
            <w:r w:rsidR="005A613E" w:rsidRPr="00A12068">
              <w:rPr>
                <w:rFonts w:ascii="Times New Roman" w:hAnsi="Times New Roman"/>
                <w:b/>
                <w:sz w:val="22"/>
                <w:szCs w:val="22"/>
              </w:rPr>
              <w:t>mediastína</w:t>
            </w:r>
          </w:p>
          <w:p w:rsidR="00111E62" w:rsidRPr="00A12068" w:rsidRDefault="00111E62" w:rsidP="00E12DE9">
            <w:pPr>
              <w:rPr>
                <w:rFonts w:ascii="Times New Roman" w:hAnsi="Times New Roman"/>
                <w:b/>
                <w:sz w:val="22"/>
                <w:szCs w:val="22"/>
              </w:rPr>
            </w:pPr>
          </w:p>
        </w:tc>
        <w:tc>
          <w:tcPr>
            <w:tcW w:w="1693" w:type="dxa"/>
          </w:tcPr>
          <w:p w:rsidR="00111E62" w:rsidRPr="00A12068" w:rsidRDefault="00111E62" w:rsidP="00E12DE9">
            <w:pPr>
              <w:rPr>
                <w:rFonts w:ascii="Times New Roman" w:hAnsi="Times New Roman"/>
                <w:sz w:val="22"/>
                <w:szCs w:val="22"/>
              </w:rPr>
            </w:pPr>
          </w:p>
        </w:tc>
        <w:tc>
          <w:tcPr>
            <w:tcW w:w="1772" w:type="dxa"/>
          </w:tcPr>
          <w:p w:rsidR="00111E62" w:rsidRPr="00A12068" w:rsidRDefault="005A613E" w:rsidP="00E12DE9">
            <w:pPr>
              <w:rPr>
                <w:rFonts w:ascii="Times New Roman" w:hAnsi="Times New Roman"/>
                <w:sz w:val="22"/>
                <w:szCs w:val="22"/>
              </w:rPr>
            </w:pPr>
            <w:r w:rsidRPr="00A12068">
              <w:rPr>
                <w:rFonts w:ascii="Times New Roman" w:hAnsi="Times New Roman"/>
                <w:sz w:val="22"/>
                <w:szCs w:val="22"/>
              </w:rPr>
              <w:t>Dyspnoe</w:t>
            </w:r>
          </w:p>
        </w:tc>
        <w:tc>
          <w:tcPr>
            <w:tcW w:w="1878" w:type="dxa"/>
          </w:tcPr>
          <w:p w:rsidR="00111E62" w:rsidRPr="00A12068" w:rsidRDefault="005A613E" w:rsidP="00E12DE9">
            <w:pPr>
              <w:rPr>
                <w:rFonts w:ascii="Times New Roman" w:hAnsi="Times New Roman"/>
                <w:sz w:val="22"/>
                <w:szCs w:val="22"/>
              </w:rPr>
            </w:pPr>
            <w:r w:rsidRPr="00A12068">
              <w:rPr>
                <w:rFonts w:ascii="Times New Roman" w:hAnsi="Times New Roman"/>
                <w:sz w:val="22"/>
                <w:szCs w:val="22"/>
              </w:rPr>
              <w:t xml:space="preserve">Orofaryngeálna bolesť </w:t>
            </w:r>
          </w:p>
          <w:p w:rsidR="005A613E" w:rsidRPr="00A12068" w:rsidRDefault="005A613E" w:rsidP="00E12DE9">
            <w:pPr>
              <w:rPr>
                <w:rFonts w:ascii="Times New Roman" w:hAnsi="Times New Roman"/>
                <w:sz w:val="22"/>
                <w:szCs w:val="22"/>
              </w:rPr>
            </w:pPr>
            <w:r w:rsidRPr="00A12068">
              <w:rPr>
                <w:rFonts w:ascii="Times New Roman" w:hAnsi="Times New Roman"/>
                <w:sz w:val="22"/>
                <w:szCs w:val="22"/>
              </w:rPr>
              <w:t>Pocit stiahnutého hrdla</w:t>
            </w:r>
          </w:p>
        </w:tc>
        <w:tc>
          <w:tcPr>
            <w:tcW w:w="1820" w:type="dxa"/>
          </w:tcPr>
          <w:p w:rsidR="00111E62" w:rsidRPr="00722EBC" w:rsidRDefault="006E3548" w:rsidP="00E12DE9">
            <w:pPr>
              <w:rPr>
                <w:rFonts w:ascii="Times New Roman" w:hAnsi="Times New Roman"/>
                <w:sz w:val="22"/>
                <w:szCs w:val="22"/>
              </w:rPr>
            </w:pPr>
            <w:r w:rsidRPr="00722EBC">
              <w:rPr>
                <w:rFonts w:ascii="Times New Roman" w:hAnsi="Times New Roman"/>
                <w:sz w:val="22"/>
                <w:szCs w:val="22"/>
              </w:rPr>
              <w:t>Respiračná depresia</w:t>
            </w:r>
          </w:p>
        </w:tc>
      </w:tr>
      <w:tr w:rsidR="00BA26DB" w:rsidRPr="00A12068" w:rsidTr="00BA26DB">
        <w:tc>
          <w:tcPr>
            <w:tcW w:w="2123" w:type="dxa"/>
          </w:tcPr>
          <w:p w:rsidR="00BA26DB" w:rsidRPr="00A12068" w:rsidRDefault="00BA26DB" w:rsidP="00E12DE9">
            <w:pPr>
              <w:rPr>
                <w:rFonts w:ascii="Times New Roman" w:hAnsi="Times New Roman"/>
                <w:b/>
                <w:sz w:val="22"/>
                <w:szCs w:val="22"/>
              </w:rPr>
            </w:pPr>
            <w:r w:rsidRPr="00A12068">
              <w:rPr>
                <w:rFonts w:ascii="Times New Roman" w:hAnsi="Times New Roman"/>
                <w:b/>
                <w:sz w:val="22"/>
                <w:szCs w:val="22"/>
              </w:rPr>
              <w:t>Poruchy gastrointestinálneho traktu</w:t>
            </w:r>
          </w:p>
        </w:tc>
        <w:tc>
          <w:tcPr>
            <w:tcW w:w="1693" w:type="dxa"/>
          </w:tcPr>
          <w:p w:rsidR="00BA26DB" w:rsidRPr="00A12068" w:rsidRDefault="00BA26DB" w:rsidP="00E12DE9">
            <w:pPr>
              <w:rPr>
                <w:rFonts w:ascii="Times New Roman" w:hAnsi="Times New Roman"/>
                <w:sz w:val="22"/>
                <w:szCs w:val="22"/>
              </w:rPr>
            </w:pPr>
            <w:r w:rsidRPr="00A12068">
              <w:rPr>
                <w:rFonts w:ascii="Times New Roman" w:hAnsi="Times New Roman"/>
                <w:sz w:val="22"/>
                <w:szCs w:val="22"/>
              </w:rPr>
              <w:t>Nauzea</w:t>
            </w:r>
          </w:p>
        </w:tc>
        <w:tc>
          <w:tcPr>
            <w:tcW w:w="1772" w:type="dxa"/>
          </w:tcPr>
          <w:p w:rsidR="00BA26DB" w:rsidRPr="00A12068" w:rsidRDefault="00BA26DB" w:rsidP="002A14EB">
            <w:pPr>
              <w:rPr>
                <w:rFonts w:ascii="Times New Roman" w:hAnsi="Times New Roman"/>
                <w:sz w:val="22"/>
                <w:szCs w:val="22"/>
              </w:rPr>
            </w:pPr>
            <w:r w:rsidRPr="00A12068">
              <w:rPr>
                <w:rFonts w:ascii="Times New Roman" w:hAnsi="Times New Roman"/>
                <w:sz w:val="22"/>
                <w:szCs w:val="22"/>
              </w:rPr>
              <w:t>Stomatitída</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Vracanie</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Zápcha</w:t>
            </w:r>
          </w:p>
          <w:p w:rsidR="00BA26DB" w:rsidRPr="00A12068" w:rsidRDefault="00BA26DB" w:rsidP="00E12DE9">
            <w:pPr>
              <w:rPr>
                <w:rFonts w:ascii="Times New Roman" w:hAnsi="Times New Roman"/>
                <w:sz w:val="22"/>
                <w:szCs w:val="22"/>
              </w:rPr>
            </w:pPr>
            <w:r w:rsidRPr="00A12068">
              <w:rPr>
                <w:rFonts w:ascii="Times New Roman" w:hAnsi="Times New Roman"/>
                <w:sz w:val="22"/>
                <w:szCs w:val="22"/>
              </w:rPr>
              <w:t>Sucho v ústach</w:t>
            </w:r>
          </w:p>
        </w:tc>
        <w:tc>
          <w:tcPr>
            <w:tcW w:w="1878" w:type="dxa"/>
          </w:tcPr>
          <w:p w:rsidR="00BA26DB" w:rsidRPr="00A12068" w:rsidRDefault="00BA26DB" w:rsidP="002A14EB">
            <w:pPr>
              <w:rPr>
                <w:rFonts w:ascii="Times New Roman" w:hAnsi="Times New Roman"/>
                <w:sz w:val="22"/>
                <w:szCs w:val="22"/>
              </w:rPr>
            </w:pPr>
            <w:r w:rsidRPr="00A12068">
              <w:rPr>
                <w:rFonts w:ascii="Times New Roman" w:hAnsi="Times New Roman"/>
                <w:sz w:val="22"/>
                <w:szCs w:val="22"/>
              </w:rPr>
              <w:t>Vredy v ústach</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Gingiválna ulcerácia</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Vredy na perách</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Porucha vyprázdňovania žalúdka</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Bolesť v bruchu</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Dyspepsia</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Žalúdočný dyskomfort</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Poruchy jazyka</w:t>
            </w:r>
          </w:p>
          <w:p w:rsidR="00BA26DB" w:rsidRPr="00A12068" w:rsidRDefault="00BA26DB" w:rsidP="00E12DE9">
            <w:pPr>
              <w:rPr>
                <w:rFonts w:ascii="Times New Roman" w:hAnsi="Times New Roman"/>
                <w:sz w:val="22"/>
                <w:szCs w:val="22"/>
              </w:rPr>
            </w:pPr>
            <w:r w:rsidRPr="00A12068">
              <w:rPr>
                <w:rFonts w:ascii="Times New Roman" w:hAnsi="Times New Roman"/>
                <w:sz w:val="22"/>
                <w:szCs w:val="22"/>
              </w:rPr>
              <w:t>Aftózna stomatitída</w:t>
            </w:r>
          </w:p>
        </w:tc>
        <w:tc>
          <w:tcPr>
            <w:tcW w:w="1820" w:type="dxa"/>
          </w:tcPr>
          <w:p w:rsidR="00BA26DB" w:rsidRPr="00722EBC" w:rsidRDefault="00BA26DB" w:rsidP="002A14EB">
            <w:pPr>
              <w:rPr>
                <w:rFonts w:ascii="Times New Roman" w:hAnsi="Times New Roman"/>
                <w:sz w:val="22"/>
                <w:szCs w:val="22"/>
              </w:rPr>
            </w:pPr>
            <w:r w:rsidRPr="00722EBC">
              <w:rPr>
                <w:rFonts w:ascii="Times New Roman" w:hAnsi="Times New Roman"/>
                <w:sz w:val="22"/>
                <w:szCs w:val="22"/>
              </w:rPr>
              <w:t>Opuch jazyka</w:t>
            </w:r>
          </w:p>
          <w:p w:rsidR="00BA26DB" w:rsidRPr="00722EBC" w:rsidRDefault="00BA26DB" w:rsidP="00E12DE9">
            <w:pPr>
              <w:rPr>
                <w:rFonts w:ascii="Times New Roman" w:hAnsi="Times New Roman"/>
                <w:sz w:val="22"/>
                <w:szCs w:val="22"/>
              </w:rPr>
            </w:pPr>
            <w:r w:rsidRPr="00722EBC">
              <w:rPr>
                <w:rFonts w:ascii="Times New Roman" w:hAnsi="Times New Roman"/>
                <w:sz w:val="22"/>
                <w:szCs w:val="22"/>
              </w:rPr>
              <w:t>Hnačka</w:t>
            </w:r>
          </w:p>
        </w:tc>
      </w:tr>
      <w:tr w:rsidR="00BA26DB" w:rsidRPr="00A12068" w:rsidTr="00BA26DB">
        <w:tc>
          <w:tcPr>
            <w:tcW w:w="2123" w:type="dxa"/>
          </w:tcPr>
          <w:p w:rsidR="00BA26DB" w:rsidRPr="00A12068" w:rsidRDefault="00BA26DB" w:rsidP="00E12DE9">
            <w:pPr>
              <w:rPr>
                <w:rFonts w:ascii="Times New Roman" w:hAnsi="Times New Roman"/>
                <w:b/>
                <w:sz w:val="22"/>
                <w:szCs w:val="22"/>
              </w:rPr>
            </w:pPr>
            <w:r w:rsidRPr="00A12068">
              <w:rPr>
                <w:rFonts w:ascii="Times New Roman" w:hAnsi="Times New Roman"/>
                <w:b/>
                <w:sz w:val="22"/>
                <w:szCs w:val="22"/>
              </w:rPr>
              <w:t>Poruchy kože a</w:t>
            </w:r>
            <w:r w:rsidR="0063385F" w:rsidRPr="00A12068">
              <w:rPr>
                <w:rFonts w:ascii="Times New Roman" w:hAnsi="Times New Roman"/>
                <w:b/>
                <w:sz w:val="22"/>
                <w:szCs w:val="22"/>
              </w:rPr>
              <w:t> </w:t>
            </w:r>
            <w:r w:rsidRPr="00A12068">
              <w:rPr>
                <w:rFonts w:ascii="Times New Roman" w:hAnsi="Times New Roman"/>
                <w:b/>
                <w:sz w:val="22"/>
                <w:szCs w:val="22"/>
              </w:rPr>
              <w:t>podkožného tkaniva</w:t>
            </w:r>
          </w:p>
        </w:tc>
        <w:tc>
          <w:tcPr>
            <w:tcW w:w="1693" w:type="dxa"/>
          </w:tcPr>
          <w:p w:rsidR="00BA26DB" w:rsidRPr="00A12068" w:rsidRDefault="00BA26DB" w:rsidP="00E12DE9">
            <w:pPr>
              <w:rPr>
                <w:rFonts w:ascii="Times New Roman" w:hAnsi="Times New Roman"/>
                <w:sz w:val="22"/>
                <w:szCs w:val="22"/>
              </w:rPr>
            </w:pPr>
          </w:p>
        </w:tc>
        <w:tc>
          <w:tcPr>
            <w:tcW w:w="1772" w:type="dxa"/>
          </w:tcPr>
          <w:p w:rsidR="00BA26DB" w:rsidRPr="00A12068" w:rsidRDefault="00BA26DB" w:rsidP="00E12DE9">
            <w:pPr>
              <w:rPr>
                <w:rFonts w:ascii="Times New Roman" w:hAnsi="Times New Roman"/>
                <w:sz w:val="22"/>
                <w:szCs w:val="22"/>
              </w:rPr>
            </w:pPr>
            <w:r w:rsidRPr="00A12068">
              <w:rPr>
                <w:rFonts w:ascii="Times New Roman" w:hAnsi="Times New Roman"/>
                <w:sz w:val="22"/>
                <w:szCs w:val="22"/>
              </w:rPr>
              <w:t>Hyperhidróza</w:t>
            </w:r>
          </w:p>
        </w:tc>
        <w:tc>
          <w:tcPr>
            <w:tcW w:w="1878" w:type="dxa"/>
          </w:tcPr>
          <w:p w:rsidR="00BA26DB" w:rsidRPr="00A12068" w:rsidRDefault="00BA26DB" w:rsidP="002A14EB">
            <w:pPr>
              <w:rPr>
                <w:rFonts w:ascii="Times New Roman" w:hAnsi="Times New Roman"/>
                <w:sz w:val="22"/>
                <w:szCs w:val="22"/>
              </w:rPr>
            </w:pPr>
            <w:r w:rsidRPr="00A12068">
              <w:rPr>
                <w:rFonts w:ascii="Times New Roman" w:hAnsi="Times New Roman"/>
                <w:sz w:val="22"/>
                <w:szCs w:val="22"/>
              </w:rPr>
              <w:t>Lézie na koži</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Vyrážka</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Alergický pruritus</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Pruritus</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Nočné potenie</w:t>
            </w:r>
          </w:p>
          <w:p w:rsidR="00BA26DB" w:rsidRPr="00A12068" w:rsidRDefault="00BA26DB" w:rsidP="00E12DE9">
            <w:pPr>
              <w:rPr>
                <w:rFonts w:ascii="Times New Roman" w:hAnsi="Times New Roman"/>
                <w:sz w:val="22"/>
                <w:szCs w:val="22"/>
              </w:rPr>
            </w:pPr>
            <w:r w:rsidRPr="00A12068">
              <w:rPr>
                <w:rFonts w:ascii="Times New Roman" w:hAnsi="Times New Roman"/>
                <w:sz w:val="22"/>
                <w:szCs w:val="22"/>
              </w:rPr>
              <w:t xml:space="preserve">Náchylnosť na tvorbu modrín </w:t>
            </w:r>
          </w:p>
        </w:tc>
        <w:tc>
          <w:tcPr>
            <w:tcW w:w="1820" w:type="dxa"/>
          </w:tcPr>
          <w:p w:rsidR="00BA26DB" w:rsidRPr="00722EBC" w:rsidRDefault="008B476C" w:rsidP="00E12DE9">
            <w:pPr>
              <w:rPr>
                <w:rFonts w:ascii="Times New Roman" w:hAnsi="Times New Roman"/>
                <w:sz w:val="22"/>
                <w:szCs w:val="22"/>
              </w:rPr>
            </w:pPr>
            <w:r w:rsidRPr="00722EBC">
              <w:rPr>
                <w:rFonts w:ascii="Times New Roman" w:hAnsi="Times New Roman"/>
                <w:sz w:val="22"/>
                <w:szCs w:val="22"/>
              </w:rPr>
              <w:t>Urtikária</w:t>
            </w:r>
          </w:p>
        </w:tc>
      </w:tr>
      <w:tr w:rsidR="00BA26DB" w:rsidRPr="00A12068" w:rsidTr="00BA26DB">
        <w:tc>
          <w:tcPr>
            <w:tcW w:w="2123" w:type="dxa"/>
          </w:tcPr>
          <w:p w:rsidR="00BA26DB" w:rsidRPr="00A12068" w:rsidRDefault="00BA26DB" w:rsidP="002A14EB">
            <w:pPr>
              <w:widowControl w:val="0"/>
              <w:autoSpaceDE w:val="0"/>
              <w:autoSpaceDN w:val="0"/>
              <w:adjustRightInd w:val="0"/>
              <w:spacing w:before="17" w:line="240" w:lineRule="exact"/>
              <w:ind w:right="-34"/>
              <w:rPr>
                <w:rFonts w:ascii="Times New Roman" w:hAnsi="Times New Roman"/>
                <w:b/>
                <w:bCs/>
                <w:iCs/>
                <w:spacing w:val="-7"/>
                <w:sz w:val="22"/>
                <w:szCs w:val="22"/>
              </w:rPr>
            </w:pPr>
            <w:r w:rsidRPr="00A12068">
              <w:rPr>
                <w:rFonts w:ascii="Times New Roman" w:hAnsi="Times New Roman"/>
                <w:b/>
                <w:bCs/>
                <w:iCs/>
                <w:sz w:val="22"/>
                <w:szCs w:val="22"/>
              </w:rPr>
              <w:t>P</w:t>
            </w:r>
            <w:r w:rsidRPr="00A12068">
              <w:rPr>
                <w:rFonts w:ascii="Times New Roman" w:hAnsi="Times New Roman"/>
                <w:b/>
                <w:bCs/>
                <w:iCs/>
                <w:spacing w:val="1"/>
                <w:sz w:val="22"/>
                <w:szCs w:val="22"/>
              </w:rPr>
              <w:t>o</w:t>
            </w:r>
            <w:r w:rsidRPr="00A12068">
              <w:rPr>
                <w:rFonts w:ascii="Times New Roman" w:hAnsi="Times New Roman"/>
                <w:b/>
                <w:bCs/>
                <w:iCs/>
                <w:sz w:val="22"/>
                <w:szCs w:val="22"/>
              </w:rPr>
              <w:t>ruchy</w:t>
            </w:r>
            <w:r w:rsidRPr="00A12068">
              <w:rPr>
                <w:rFonts w:ascii="Times New Roman" w:hAnsi="Times New Roman"/>
                <w:b/>
                <w:bCs/>
                <w:iCs/>
                <w:spacing w:val="-8"/>
                <w:sz w:val="22"/>
                <w:szCs w:val="22"/>
              </w:rPr>
              <w:t xml:space="preserve"> </w:t>
            </w:r>
            <w:r w:rsidRPr="00A12068">
              <w:rPr>
                <w:rFonts w:ascii="Times New Roman" w:hAnsi="Times New Roman"/>
                <w:b/>
                <w:bCs/>
                <w:iCs/>
                <w:sz w:val="22"/>
                <w:szCs w:val="22"/>
              </w:rPr>
              <w:t>k</w:t>
            </w:r>
            <w:r w:rsidRPr="00A12068">
              <w:rPr>
                <w:rFonts w:ascii="Times New Roman" w:hAnsi="Times New Roman"/>
                <w:b/>
                <w:bCs/>
                <w:iCs/>
                <w:spacing w:val="1"/>
                <w:sz w:val="22"/>
                <w:szCs w:val="22"/>
              </w:rPr>
              <w:t>o</w:t>
            </w:r>
            <w:r w:rsidRPr="00A12068">
              <w:rPr>
                <w:rFonts w:ascii="Times New Roman" w:hAnsi="Times New Roman"/>
                <w:b/>
                <w:bCs/>
                <w:iCs/>
                <w:sz w:val="22"/>
                <w:szCs w:val="22"/>
              </w:rPr>
              <w:t>strovej</w:t>
            </w:r>
            <w:r w:rsidRPr="00A12068">
              <w:rPr>
                <w:rFonts w:ascii="Times New Roman" w:hAnsi="Times New Roman"/>
                <w:b/>
                <w:bCs/>
                <w:iCs/>
                <w:spacing w:val="-8"/>
                <w:sz w:val="22"/>
                <w:szCs w:val="22"/>
              </w:rPr>
              <w:t xml:space="preserve"> </w:t>
            </w:r>
            <w:r w:rsidRPr="00A12068">
              <w:rPr>
                <w:rFonts w:ascii="Times New Roman" w:hAnsi="Times New Roman"/>
                <w:b/>
                <w:bCs/>
                <w:iCs/>
                <w:sz w:val="22"/>
                <w:szCs w:val="22"/>
              </w:rPr>
              <w:t>a</w:t>
            </w:r>
            <w:r w:rsidR="0063385F" w:rsidRPr="00A12068">
              <w:rPr>
                <w:rFonts w:ascii="Times New Roman" w:hAnsi="Times New Roman"/>
                <w:b/>
                <w:bCs/>
                <w:iCs/>
                <w:spacing w:val="-1"/>
                <w:sz w:val="22"/>
                <w:szCs w:val="22"/>
              </w:rPr>
              <w:t> </w:t>
            </w:r>
            <w:r w:rsidRPr="00A12068">
              <w:rPr>
                <w:rFonts w:ascii="Times New Roman" w:hAnsi="Times New Roman"/>
                <w:b/>
                <w:bCs/>
                <w:iCs/>
                <w:sz w:val="22"/>
                <w:szCs w:val="22"/>
              </w:rPr>
              <w:t>sval</w:t>
            </w:r>
            <w:r w:rsidRPr="00A12068">
              <w:rPr>
                <w:rFonts w:ascii="Times New Roman" w:hAnsi="Times New Roman"/>
                <w:b/>
                <w:bCs/>
                <w:iCs/>
                <w:spacing w:val="1"/>
                <w:sz w:val="22"/>
                <w:szCs w:val="22"/>
              </w:rPr>
              <w:t>o</w:t>
            </w:r>
            <w:r w:rsidRPr="00A12068">
              <w:rPr>
                <w:rFonts w:ascii="Times New Roman" w:hAnsi="Times New Roman"/>
                <w:b/>
                <w:bCs/>
                <w:iCs/>
                <w:sz w:val="22"/>
                <w:szCs w:val="22"/>
              </w:rPr>
              <w:t>vej</w:t>
            </w:r>
            <w:r w:rsidRPr="00A12068">
              <w:rPr>
                <w:rFonts w:ascii="Times New Roman" w:hAnsi="Times New Roman"/>
                <w:b/>
                <w:bCs/>
                <w:iCs/>
                <w:spacing w:val="-7"/>
                <w:sz w:val="22"/>
                <w:szCs w:val="22"/>
              </w:rPr>
              <w:t xml:space="preserve"> </w:t>
            </w:r>
            <w:r w:rsidRPr="00A12068">
              <w:rPr>
                <w:rFonts w:ascii="Times New Roman" w:hAnsi="Times New Roman"/>
                <w:b/>
                <w:bCs/>
                <w:iCs/>
                <w:sz w:val="22"/>
                <w:szCs w:val="22"/>
              </w:rPr>
              <w:t>sústavy</w:t>
            </w:r>
            <w:r w:rsidRPr="00A12068">
              <w:rPr>
                <w:rFonts w:ascii="Times New Roman" w:hAnsi="Times New Roman"/>
                <w:b/>
                <w:bCs/>
                <w:iCs/>
                <w:spacing w:val="-7"/>
                <w:sz w:val="22"/>
                <w:szCs w:val="22"/>
              </w:rPr>
              <w:t xml:space="preserve"> </w:t>
            </w:r>
          </w:p>
          <w:p w:rsidR="00BA26DB" w:rsidRPr="00A12068" w:rsidRDefault="00BA26DB" w:rsidP="00E12DE9">
            <w:pPr>
              <w:rPr>
                <w:rFonts w:ascii="Times New Roman" w:hAnsi="Times New Roman"/>
                <w:b/>
                <w:sz w:val="22"/>
                <w:szCs w:val="22"/>
              </w:rPr>
            </w:pPr>
            <w:r w:rsidRPr="00A12068">
              <w:rPr>
                <w:rFonts w:ascii="Times New Roman" w:hAnsi="Times New Roman"/>
                <w:b/>
                <w:bCs/>
                <w:iCs/>
                <w:sz w:val="22"/>
                <w:szCs w:val="22"/>
              </w:rPr>
              <w:t>a</w:t>
            </w:r>
            <w:r w:rsidRPr="00A12068">
              <w:rPr>
                <w:rFonts w:ascii="Times New Roman" w:hAnsi="Times New Roman"/>
                <w:b/>
                <w:bCs/>
                <w:iCs/>
                <w:spacing w:val="1"/>
                <w:sz w:val="22"/>
                <w:szCs w:val="22"/>
              </w:rPr>
              <w:t xml:space="preserve"> </w:t>
            </w:r>
            <w:r w:rsidRPr="00A12068">
              <w:rPr>
                <w:rFonts w:ascii="Times New Roman" w:hAnsi="Times New Roman"/>
                <w:b/>
                <w:bCs/>
                <w:iCs/>
                <w:sz w:val="22"/>
                <w:szCs w:val="22"/>
              </w:rPr>
              <w:t>sp</w:t>
            </w:r>
            <w:r w:rsidRPr="00A12068">
              <w:rPr>
                <w:rFonts w:ascii="Times New Roman" w:hAnsi="Times New Roman"/>
                <w:b/>
                <w:bCs/>
                <w:iCs/>
                <w:spacing w:val="1"/>
                <w:sz w:val="22"/>
                <w:szCs w:val="22"/>
              </w:rPr>
              <w:t>o</w:t>
            </w:r>
            <w:r w:rsidRPr="00A12068">
              <w:rPr>
                <w:rFonts w:ascii="Times New Roman" w:hAnsi="Times New Roman"/>
                <w:b/>
                <w:bCs/>
                <w:iCs/>
                <w:sz w:val="22"/>
                <w:szCs w:val="22"/>
              </w:rPr>
              <w:t>jivového</w:t>
            </w:r>
            <w:r w:rsidRPr="00A12068">
              <w:rPr>
                <w:rFonts w:ascii="Times New Roman" w:hAnsi="Times New Roman"/>
                <w:b/>
                <w:bCs/>
                <w:iCs/>
                <w:spacing w:val="-10"/>
                <w:sz w:val="22"/>
                <w:szCs w:val="22"/>
              </w:rPr>
              <w:t xml:space="preserve"> </w:t>
            </w:r>
            <w:r w:rsidRPr="00A12068">
              <w:rPr>
                <w:rFonts w:ascii="Times New Roman" w:hAnsi="Times New Roman"/>
                <w:b/>
                <w:bCs/>
                <w:iCs/>
                <w:sz w:val="22"/>
                <w:szCs w:val="22"/>
              </w:rPr>
              <w:t>t</w:t>
            </w:r>
            <w:r w:rsidRPr="00A12068">
              <w:rPr>
                <w:rFonts w:ascii="Times New Roman" w:hAnsi="Times New Roman"/>
                <w:b/>
                <w:bCs/>
                <w:iCs/>
                <w:spacing w:val="1"/>
                <w:sz w:val="22"/>
                <w:szCs w:val="22"/>
              </w:rPr>
              <w:t>k</w:t>
            </w:r>
            <w:r w:rsidRPr="00A12068">
              <w:rPr>
                <w:rFonts w:ascii="Times New Roman" w:hAnsi="Times New Roman"/>
                <w:b/>
                <w:bCs/>
                <w:iCs/>
                <w:sz w:val="22"/>
                <w:szCs w:val="22"/>
              </w:rPr>
              <w:t>a</w:t>
            </w:r>
            <w:r w:rsidRPr="00A12068">
              <w:rPr>
                <w:rFonts w:ascii="Times New Roman" w:hAnsi="Times New Roman"/>
                <w:b/>
                <w:bCs/>
                <w:iCs/>
                <w:spacing w:val="1"/>
                <w:sz w:val="22"/>
                <w:szCs w:val="22"/>
              </w:rPr>
              <w:t>n</w:t>
            </w:r>
            <w:r w:rsidRPr="00A12068">
              <w:rPr>
                <w:rFonts w:ascii="Times New Roman" w:hAnsi="Times New Roman"/>
                <w:b/>
                <w:bCs/>
                <w:iCs/>
                <w:spacing w:val="3"/>
                <w:sz w:val="22"/>
                <w:szCs w:val="22"/>
              </w:rPr>
              <w:t>i</w:t>
            </w:r>
            <w:r w:rsidRPr="00A12068">
              <w:rPr>
                <w:rFonts w:ascii="Times New Roman" w:hAnsi="Times New Roman"/>
                <w:b/>
                <w:bCs/>
                <w:iCs/>
                <w:sz w:val="22"/>
                <w:szCs w:val="22"/>
              </w:rPr>
              <w:t>va</w:t>
            </w:r>
          </w:p>
        </w:tc>
        <w:tc>
          <w:tcPr>
            <w:tcW w:w="1693" w:type="dxa"/>
          </w:tcPr>
          <w:p w:rsidR="00BA26DB" w:rsidRPr="00A12068" w:rsidRDefault="00BA26DB" w:rsidP="00E12DE9">
            <w:pPr>
              <w:rPr>
                <w:rFonts w:ascii="Times New Roman" w:hAnsi="Times New Roman"/>
                <w:sz w:val="22"/>
                <w:szCs w:val="22"/>
              </w:rPr>
            </w:pPr>
          </w:p>
        </w:tc>
        <w:tc>
          <w:tcPr>
            <w:tcW w:w="1772" w:type="dxa"/>
          </w:tcPr>
          <w:p w:rsidR="00BA26DB" w:rsidRPr="00A12068" w:rsidRDefault="00BA26DB" w:rsidP="00E12DE9">
            <w:pPr>
              <w:rPr>
                <w:rFonts w:ascii="Times New Roman" w:hAnsi="Times New Roman"/>
                <w:sz w:val="22"/>
                <w:szCs w:val="22"/>
              </w:rPr>
            </w:pPr>
          </w:p>
        </w:tc>
        <w:tc>
          <w:tcPr>
            <w:tcW w:w="1878" w:type="dxa"/>
          </w:tcPr>
          <w:p w:rsidR="00BA26DB" w:rsidRPr="00A12068" w:rsidRDefault="00BA26DB" w:rsidP="002A14EB">
            <w:pPr>
              <w:rPr>
                <w:rFonts w:ascii="Times New Roman" w:hAnsi="Times New Roman"/>
                <w:sz w:val="22"/>
                <w:szCs w:val="22"/>
              </w:rPr>
            </w:pPr>
            <w:r w:rsidRPr="00A12068">
              <w:rPr>
                <w:rFonts w:ascii="Times New Roman" w:hAnsi="Times New Roman"/>
                <w:sz w:val="22"/>
                <w:szCs w:val="22"/>
              </w:rPr>
              <w:t>Artralgia</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Muskuloskeletálna stuhnutosť</w:t>
            </w:r>
          </w:p>
          <w:p w:rsidR="00BA26DB" w:rsidRPr="00A12068" w:rsidRDefault="00BA26DB" w:rsidP="00E12DE9">
            <w:pPr>
              <w:rPr>
                <w:rFonts w:ascii="Times New Roman" w:hAnsi="Times New Roman"/>
                <w:sz w:val="22"/>
                <w:szCs w:val="22"/>
              </w:rPr>
            </w:pPr>
            <w:r w:rsidRPr="00A12068">
              <w:rPr>
                <w:rFonts w:ascii="Times New Roman" w:hAnsi="Times New Roman"/>
                <w:sz w:val="22"/>
                <w:szCs w:val="22"/>
              </w:rPr>
              <w:t>Stuhnutosť kĺbov</w:t>
            </w:r>
          </w:p>
        </w:tc>
        <w:tc>
          <w:tcPr>
            <w:tcW w:w="1820" w:type="dxa"/>
          </w:tcPr>
          <w:p w:rsidR="00BA26DB" w:rsidRPr="00722EBC" w:rsidRDefault="00BA26DB" w:rsidP="00E12DE9">
            <w:pPr>
              <w:rPr>
                <w:rFonts w:ascii="Times New Roman" w:hAnsi="Times New Roman"/>
                <w:sz w:val="22"/>
                <w:szCs w:val="22"/>
              </w:rPr>
            </w:pPr>
          </w:p>
        </w:tc>
      </w:tr>
      <w:tr w:rsidR="00BA26DB" w:rsidRPr="00A12068" w:rsidTr="00BA26DB">
        <w:tc>
          <w:tcPr>
            <w:tcW w:w="2123" w:type="dxa"/>
          </w:tcPr>
          <w:p w:rsidR="00BA26DB" w:rsidRPr="00A12068" w:rsidRDefault="00BA26DB" w:rsidP="00E12DE9">
            <w:pPr>
              <w:rPr>
                <w:rFonts w:ascii="Times New Roman" w:hAnsi="Times New Roman"/>
                <w:b/>
                <w:sz w:val="22"/>
                <w:szCs w:val="22"/>
              </w:rPr>
            </w:pPr>
            <w:r w:rsidRPr="00A12068">
              <w:rPr>
                <w:rFonts w:ascii="Times New Roman" w:hAnsi="Times New Roman"/>
                <w:b/>
                <w:sz w:val="22"/>
                <w:szCs w:val="22"/>
              </w:rPr>
              <w:t xml:space="preserve">Poruchy reprodukčného systému a prsníkov </w:t>
            </w:r>
          </w:p>
        </w:tc>
        <w:tc>
          <w:tcPr>
            <w:tcW w:w="1693" w:type="dxa"/>
          </w:tcPr>
          <w:p w:rsidR="00BA26DB" w:rsidRPr="00A12068" w:rsidRDefault="00BA26DB" w:rsidP="00E12DE9">
            <w:pPr>
              <w:rPr>
                <w:rFonts w:ascii="Times New Roman" w:hAnsi="Times New Roman"/>
                <w:sz w:val="22"/>
                <w:szCs w:val="22"/>
              </w:rPr>
            </w:pPr>
          </w:p>
        </w:tc>
        <w:tc>
          <w:tcPr>
            <w:tcW w:w="1772" w:type="dxa"/>
          </w:tcPr>
          <w:p w:rsidR="00BA26DB" w:rsidRPr="00A12068" w:rsidRDefault="00BA26DB" w:rsidP="00E12DE9">
            <w:pPr>
              <w:rPr>
                <w:rFonts w:ascii="Times New Roman" w:hAnsi="Times New Roman"/>
                <w:sz w:val="22"/>
                <w:szCs w:val="22"/>
              </w:rPr>
            </w:pPr>
          </w:p>
        </w:tc>
        <w:tc>
          <w:tcPr>
            <w:tcW w:w="1878" w:type="dxa"/>
          </w:tcPr>
          <w:p w:rsidR="00BA26DB" w:rsidRPr="00A12068" w:rsidRDefault="00BA26DB" w:rsidP="00E12DE9">
            <w:pPr>
              <w:rPr>
                <w:rFonts w:ascii="Times New Roman" w:hAnsi="Times New Roman"/>
                <w:sz w:val="22"/>
                <w:szCs w:val="22"/>
              </w:rPr>
            </w:pPr>
            <w:r w:rsidRPr="00A12068">
              <w:rPr>
                <w:rFonts w:ascii="Times New Roman" w:hAnsi="Times New Roman"/>
                <w:sz w:val="22"/>
                <w:szCs w:val="22"/>
              </w:rPr>
              <w:t>Erektilná dysfunkcia</w:t>
            </w:r>
          </w:p>
        </w:tc>
        <w:tc>
          <w:tcPr>
            <w:tcW w:w="1820" w:type="dxa"/>
          </w:tcPr>
          <w:p w:rsidR="00BA26DB" w:rsidRPr="00722EBC" w:rsidRDefault="00BA26DB" w:rsidP="00E12DE9">
            <w:pPr>
              <w:rPr>
                <w:rFonts w:ascii="Times New Roman" w:hAnsi="Times New Roman"/>
                <w:sz w:val="22"/>
                <w:szCs w:val="22"/>
              </w:rPr>
            </w:pPr>
          </w:p>
        </w:tc>
      </w:tr>
      <w:tr w:rsidR="00BA26DB" w:rsidRPr="00A12068" w:rsidTr="00BA26DB">
        <w:tc>
          <w:tcPr>
            <w:tcW w:w="2123" w:type="dxa"/>
          </w:tcPr>
          <w:p w:rsidR="00BA26DB" w:rsidRPr="00A12068" w:rsidRDefault="00BA26DB" w:rsidP="00E12DE9">
            <w:pPr>
              <w:rPr>
                <w:rFonts w:ascii="Times New Roman" w:hAnsi="Times New Roman"/>
                <w:b/>
                <w:sz w:val="22"/>
                <w:szCs w:val="22"/>
              </w:rPr>
            </w:pPr>
            <w:r w:rsidRPr="00A12068">
              <w:rPr>
                <w:rFonts w:ascii="Times New Roman" w:hAnsi="Times New Roman"/>
                <w:b/>
                <w:bCs/>
                <w:iCs/>
                <w:sz w:val="22"/>
                <w:szCs w:val="22"/>
              </w:rPr>
              <w:t>Celk</w:t>
            </w:r>
            <w:r w:rsidRPr="00A12068">
              <w:rPr>
                <w:rFonts w:ascii="Times New Roman" w:hAnsi="Times New Roman"/>
                <w:b/>
                <w:bCs/>
                <w:iCs/>
                <w:spacing w:val="1"/>
                <w:sz w:val="22"/>
                <w:szCs w:val="22"/>
              </w:rPr>
              <w:t>o</w:t>
            </w:r>
            <w:r w:rsidRPr="00A12068">
              <w:rPr>
                <w:rFonts w:ascii="Times New Roman" w:hAnsi="Times New Roman"/>
                <w:b/>
                <w:bCs/>
                <w:iCs/>
                <w:sz w:val="22"/>
                <w:szCs w:val="22"/>
              </w:rPr>
              <w:t>vé</w:t>
            </w:r>
            <w:r w:rsidRPr="00A12068">
              <w:rPr>
                <w:rFonts w:ascii="Times New Roman" w:hAnsi="Times New Roman"/>
                <w:b/>
                <w:bCs/>
                <w:iCs/>
                <w:spacing w:val="-7"/>
                <w:sz w:val="22"/>
                <w:szCs w:val="22"/>
              </w:rPr>
              <w:t xml:space="preserve"> </w:t>
            </w:r>
            <w:r w:rsidRPr="00A12068">
              <w:rPr>
                <w:rFonts w:ascii="Times New Roman" w:hAnsi="Times New Roman"/>
                <w:b/>
                <w:bCs/>
                <w:iCs/>
                <w:sz w:val="22"/>
                <w:szCs w:val="22"/>
              </w:rPr>
              <w:t>p</w:t>
            </w:r>
            <w:r w:rsidRPr="00A12068">
              <w:rPr>
                <w:rFonts w:ascii="Times New Roman" w:hAnsi="Times New Roman"/>
                <w:b/>
                <w:bCs/>
                <w:iCs/>
                <w:spacing w:val="1"/>
                <w:sz w:val="22"/>
                <w:szCs w:val="22"/>
              </w:rPr>
              <w:t>o</w:t>
            </w:r>
            <w:r w:rsidRPr="00A12068">
              <w:rPr>
                <w:rFonts w:ascii="Times New Roman" w:hAnsi="Times New Roman"/>
                <w:b/>
                <w:bCs/>
                <w:iCs/>
                <w:sz w:val="22"/>
                <w:szCs w:val="22"/>
              </w:rPr>
              <w:t>ruchy</w:t>
            </w:r>
            <w:r w:rsidRPr="00A12068">
              <w:rPr>
                <w:rFonts w:ascii="Times New Roman" w:hAnsi="Times New Roman"/>
                <w:b/>
                <w:bCs/>
                <w:iCs/>
                <w:spacing w:val="-7"/>
                <w:sz w:val="22"/>
                <w:szCs w:val="22"/>
              </w:rPr>
              <w:t xml:space="preserve"> </w:t>
            </w:r>
            <w:r w:rsidRPr="00A12068">
              <w:rPr>
                <w:rFonts w:ascii="Times New Roman" w:hAnsi="Times New Roman"/>
                <w:b/>
                <w:bCs/>
                <w:iCs/>
                <w:sz w:val="22"/>
                <w:szCs w:val="22"/>
              </w:rPr>
              <w:t>a</w:t>
            </w:r>
            <w:r w:rsidR="0063385F" w:rsidRPr="00A12068">
              <w:rPr>
                <w:rFonts w:ascii="Times New Roman" w:hAnsi="Times New Roman"/>
                <w:b/>
                <w:bCs/>
                <w:iCs/>
                <w:spacing w:val="-1"/>
                <w:sz w:val="22"/>
                <w:szCs w:val="22"/>
              </w:rPr>
              <w:t> </w:t>
            </w:r>
            <w:r w:rsidRPr="00A12068">
              <w:rPr>
                <w:rFonts w:ascii="Times New Roman" w:hAnsi="Times New Roman"/>
                <w:b/>
                <w:bCs/>
                <w:iCs/>
                <w:sz w:val="22"/>
                <w:szCs w:val="22"/>
              </w:rPr>
              <w:t>rea</w:t>
            </w:r>
            <w:r w:rsidRPr="00A12068">
              <w:rPr>
                <w:rFonts w:ascii="Times New Roman" w:hAnsi="Times New Roman"/>
                <w:b/>
                <w:bCs/>
                <w:iCs/>
                <w:spacing w:val="1"/>
                <w:sz w:val="22"/>
                <w:szCs w:val="22"/>
              </w:rPr>
              <w:t>k</w:t>
            </w:r>
            <w:r w:rsidRPr="00A12068">
              <w:rPr>
                <w:rFonts w:ascii="Times New Roman" w:hAnsi="Times New Roman"/>
                <w:b/>
                <w:bCs/>
                <w:iCs/>
                <w:sz w:val="22"/>
                <w:szCs w:val="22"/>
              </w:rPr>
              <w:t>cie</w:t>
            </w:r>
            <w:r w:rsidRPr="00A12068">
              <w:rPr>
                <w:rFonts w:ascii="Times New Roman" w:hAnsi="Times New Roman"/>
                <w:b/>
                <w:bCs/>
                <w:iCs/>
                <w:spacing w:val="-7"/>
                <w:sz w:val="22"/>
                <w:szCs w:val="22"/>
              </w:rPr>
              <w:t xml:space="preserve"> </w:t>
            </w:r>
            <w:r w:rsidRPr="00A12068">
              <w:rPr>
                <w:rFonts w:ascii="Times New Roman" w:hAnsi="Times New Roman"/>
                <w:b/>
                <w:bCs/>
                <w:iCs/>
                <w:sz w:val="22"/>
                <w:szCs w:val="22"/>
              </w:rPr>
              <w:t>v</w:t>
            </w:r>
            <w:r w:rsidRPr="00A12068">
              <w:rPr>
                <w:rFonts w:ascii="Times New Roman" w:hAnsi="Times New Roman"/>
                <w:b/>
                <w:bCs/>
                <w:iCs/>
                <w:spacing w:val="-1"/>
                <w:sz w:val="22"/>
                <w:szCs w:val="22"/>
              </w:rPr>
              <w:t xml:space="preserve"> </w:t>
            </w:r>
            <w:r w:rsidRPr="00A12068">
              <w:rPr>
                <w:rFonts w:ascii="Times New Roman" w:hAnsi="Times New Roman"/>
                <w:b/>
                <w:bCs/>
                <w:iCs/>
                <w:sz w:val="22"/>
                <w:szCs w:val="22"/>
              </w:rPr>
              <w:t>mies</w:t>
            </w:r>
            <w:r w:rsidRPr="00A12068">
              <w:rPr>
                <w:rFonts w:ascii="Times New Roman" w:hAnsi="Times New Roman"/>
                <w:b/>
                <w:bCs/>
                <w:iCs/>
                <w:spacing w:val="1"/>
                <w:sz w:val="22"/>
                <w:szCs w:val="22"/>
              </w:rPr>
              <w:t>t</w:t>
            </w:r>
            <w:r w:rsidRPr="00A12068">
              <w:rPr>
                <w:rFonts w:ascii="Times New Roman" w:hAnsi="Times New Roman"/>
                <w:b/>
                <w:bCs/>
                <w:iCs/>
                <w:sz w:val="22"/>
                <w:szCs w:val="22"/>
              </w:rPr>
              <w:t>e</w:t>
            </w:r>
            <w:r w:rsidRPr="00A12068">
              <w:rPr>
                <w:rFonts w:ascii="Times New Roman" w:hAnsi="Times New Roman"/>
                <w:b/>
                <w:bCs/>
                <w:iCs/>
                <w:spacing w:val="-6"/>
                <w:sz w:val="22"/>
                <w:szCs w:val="22"/>
              </w:rPr>
              <w:t xml:space="preserve"> </w:t>
            </w:r>
            <w:r w:rsidRPr="00A12068">
              <w:rPr>
                <w:rFonts w:ascii="Times New Roman" w:hAnsi="Times New Roman"/>
                <w:b/>
                <w:bCs/>
                <w:iCs/>
                <w:sz w:val="22"/>
                <w:szCs w:val="22"/>
              </w:rPr>
              <w:t>p</w:t>
            </w:r>
            <w:r w:rsidRPr="00A12068">
              <w:rPr>
                <w:rFonts w:ascii="Times New Roman" w:hAnsi="Times New Roman"/>
                <w:b/>
                <w:bCs/>
                <w:iCs/>
                <w:spacing w:val="1"/>
                <w:sz w:val="22"/>
                <w:szCs w:val="22"/>
              </w:rPr>
              <w:t>o</w:t>
            </w:r>
            <w:r w:rsidRPr="00A12068">
              <w:rPr>
                <w:rFonts w:ascii="Times New Roman" w:hAnsi="Times New Roman"/>
                <w:b/>
                <w:bCs/>
                <w:iCs/>
                <w:sz w:val="22"/>
                <w:szCs w:val="22"/>
              </w:rPr>
              <w:t>dania</w:t>
            </w:r>
          </w:p>
        </w:tc>
        <w:tc>
          <w:tcPr>
            <w:tcW w:w="1693" w:type="dxa"/>
          </w:tcPr>
          <w:p w:rsidR="00BA26DB" w:rsidRPr="00A12068" w:rsidRDefault="00BA26DB" w:rsidP="00E12DE9">
            <w:pPr>
              <w:rPr>
                <w:rFonts w:ascii="Times New Roman" w:hAnsi="Times New Roman"/>
                <w:sz w:val="22"/>
                <w:szCs w:val="22"/>
              </w:rPr>
            </w:pPr>
          </w:p>
        </w:tc>
        <w:tc>
          <w:tcPr>
            <w:tcW w:w="1772" w:type="dxa"/>
          </w:tcPr>
          <w:p w:rsidR="00BA26DB" w:rsidRPr="00A12068" w:rsidRDefault="00BA26DB" w:rsidP="00E12DE9">
            <w:pPr>
              <w:rPr>
                <w:rFonts w:ascii="Times New Roman" w:hAnsi="Times New Roman"/>
                <w:sz w:val="22"/>
                <w:szCs w:val="22"/>
              </w:rPr>
            </w:pPr>
            <w:r w:rsidRPr="00A12068">
              <w:rPr>
                <w:rFonts w:ascii="Times New Roman" w:hAnsi="Times New Roman"/>
                <w:sz w:val="22"/>
                <w:szCs w:val="22"/>
              </w:rPr>
              <w:t>Únava</w:t>
            </w:r>
          </w:p>
        </w:tc>
        <w:tc>
          <w:tcPr>
            <w:tcW w:w="1878" w:type="dxa"/>
          </w:tcPr>
          <w:p w:rsidR="00BA26DB" w:rsidRPr="00A12068" w:rsidRDefault="00BA26DB" w:rsidP="002A14EB">
            <w:pPr>
              <w:rPr>
                <w:rFonts w:ascii="Times New Roman" w:hAnsi="Times New Roman"/>
                <w:sz w:val="22"/>
                <w:szCs w:val="22"/>
              </w:rPr>
            </w:pPr>
            <w:r w:rsidRPr="00A12068">
              <w:rPr>
                <w:rFonts w:ascii="Times New Roman" w:hAnsi="Times New Roman"/>
                <w:sz w:val="22"/>
                <w:szCs w:val="22"/>
              </w:rPr>
              <w:t xml:space="preserve">*Abstinenčný syndróm </w:t>
            </w:r>
          </w:p>
          <w:p w:rsidR="00BA26DB" w:rsidRPr="00A12068" w:rsidRDefault="00BA26DB" w:rsidP="002A14EB">
            <w:pPr>
              <w:rPr>
                <w:rFonts w:ascii="Times New Roman" w:hAnsi="Times New Roman"/>
                <w:sz w:val="22"/>
                <w:szCs w:val="22"/>
              </w:rPr>
            </w:pPr>
            <w:r w:rsidRPr="00A12068">
              <w:rPr>
                <w:rFonts w:ascii="Times New Roman" w:hAnsi="Times New Roman"/>
                <w:sz w:val="22"/>
                <w:szCs w:val="22"/>
              </w:rPr>
              <w:t>Asténia</w:t>
            </w:r>
          </w:p>
          <w:p w:rsidR="00BA26DB" w:rsidRPr="00A12068" w:rsidRDefault="00BA26DB" w:rsidP="00E12DE9">
            <w:pPr>
              <w:rPr>
                <w:rFonts w:ascii="Times New Roman" w:hAnsi="Times New Roman"/>
                <w:sz w:val="22"/>
                <w:szCs w:val="22"/>
              </w:rPr>
            </w:pPr>
            <w:r w:rsidRPr="00A12068">
              <w:rPr>
                <w:rFonts w:ascii="Times New Roman" w:hAnsi="Times New Roman"/>
                <w:sz w:val="22"/>
                <w:szCs w:val="22"/>
              </w:rPr>
              <w:t>Nevoľnosť</w:t>
            </w:r>
          </w:p>
        </w:tc>
        <w:tc>
          <w:tcPr>
            <w:tcW w:w="1820" w:type="dxa"/>
          </w:tcPr>
          <w:p w:rsidR="00BA26DB" w:rsidRPr="00722EBC" w:rsidRDefault="00BA26DB" w:rsidP="002A14EB">
            <w:pPr>
              <w:rPr>
                <w:rFonts w:ascii="Times New Roman" w:hAnsi="Times New Roman"/>
                <w:sz w:val="22"/>
                <w:szCs w:val="22"/>
              </w:rPr>
            </w:pPr>
            <w:r w:rsidRPr="00722EBC">
              <w:rPr>
                <w:rFonts w:ascii="Times New Roman" w:hAnsi="Times New Roman"/>
                <w:sz w:val="22"/>
                <w:szCs w:val="22"/>
              </w:rPr>
              <w:t>Sčervenanie pokožky a návaly horúčavy</w:t>
            </w:r>
          </w:p>
          <w:p w:rsidR="00BA26DB" w:rsidRPr="00722EBC" w:rsidRDefault="00BA26DB" w:rsidP="002A14EB">
            <w:pPr>
              <w:rPr>
                <w:rFonts w:ascii="Times New Roman" w:hAnsi="Times New Roman"/>
                <w:sz w:val="22"/>
                <w:szCs w:val="22"/>
              </w:rPr>
            </w:pPr>
            <w:r w:rsidRPr="00722EBC">
              <w:rPr>
                <w:rFonts w:ascii="Times New Roman" w:hAnsi="Times New Roman"/>
                <w:sz w:val="22"/>
                <w:szCs w:val="22"/>
              </w:rPr>
              <w:t>Periférny edém</w:t>
            </w:r>
          </w:p>
          <w:p w:rsidR="00BA26DB" w:rsidRPr="00722EBC" w:rsidRDefault="00BA26DB" w:rsidP="002A14EB">
            <w:pPr>
              <w:rPr>
                <w:rFonts w:ascii="Times New Roman" w:hAnsi="Times New Roman"/>
                <w:sz w:val="22"/>
                <w:szCs w:val="22"/>
              </w:rPr>
            </w:pPr>
            <w:r w:rsidRPr="00722EBC">
              <w:rPr>
                <w:rFonts w:ascii="Times New Roman" w:hAnsi="Times New Roman"/>
                <w:sz w:val="22"/>
                <w:szCs w:val="22"/>
              </w:rPr>
              <w:t>Pyrexia</w:t>
            </w:r>
          </w:p>
          <w:p w:rsidR="00BA26DB" w:rsidRPr="00722EBC" w:rsidRDefault="009C68DC" w:rsidP="00E12DE9">
            <w:pPr>
              <w:rPr>
                <w:rFonts w:ascii="Times New Roman" w:hAnsi="Times New Roman"/>
                <w:sz w:val="22"/>
                <w:szCs w:val="22"/>
              </w:rPr>
            </w:pPr>
            <w:r w:rsidRPr="00722EBC">
              <w:rPr>
                <w:rFonts w:ascii="Times New Roman" w:hAnsi="Times New Roman"/>
                <w:sz w:val="22"/>
                <w:szCs w:val="22"/>
              </w:rPr>
              <w:t>Abstinenčný syndróm u novorodencov</w:t>
            </w:r>
          </w:p>
        </w:tc>
      </w:tr>
      <w:tr w:rsidR="00BA26DB" w:rsidRPr="00A12068" w:rsidTr="00BA26DB">
        <w:tc>
          <w:tcPr>
            <w:tcW w:w="2123" w:type="dxa"/>
          </w:tcPr>
          <w:p w:rsidR="00BA26DB" w:rsidRPr="00A12068" w:rsidRDefault="00BA26DB" w:rsidP="00E12DE9">
            <w:pPr>
              <w:rPr>
                <w:rFonts w:ascii="Times New Roman" w:hAnsi="Times New Roman"/>
                <w:b/>
                <w:sz w:val="22"/>
                <w:szCs w:val="22"/>
              </w:rPr>
            </w:pPr>
            <w:r w:rsidRPr="00A12068">
              <w:rPr>
                <w:rFonts w:ascii="Times New Roman" w:hAnsi="Times New Roman"/>
                <w:b/>
                <w:sz w:val="22"/>
                <w:szCs w:val="22"/>
              </w:rPr>
              <w:t>Úrazy, otravy a</w:t>
            </w:r>
            <w:r w:rsidR="0063385F" w:rsidRPr="00A12068">
              <w:rPr>
                <w:rFonts w:ascii="Times New Roman" w:hAnsi="Times New Roman"/>
                <w:b/>
                <w:sz w:val="22"/>
                <w:szCs w:val="22"/>
              </w:rPr>
              <w:t> </w:t>
            </w:r>
            <w:r w:rsidRPr="00A12068">
              <w:rPr>
                <w:rFonts w:ascii="Times New Roman" w:hAnsi="Times New Roman"/>
                <w:b/>
                <w:sz w:val="22"/>
                <w:szCs w:val="22"/>
              </w:rPr>
              <w:t xml:space="preserve">komplikácie </w:t>
            </w:r>
            <w:r w:rsidRPr="00A12068">
              <w:rPr>
                <w:rFonts w:ascii="Times New Roman" w:hAnsi="Times New Roman"/>
                <w:b/>
                <w:sz w:val="22"/>
                <w:szCs w:val="22"/>
              </w:rPr>
              <w:lastRenderedPageBreak/>
              <w:t>liečebného postupu</w:t>
            </w:r>
          </w:p>
        </w:tc>
        <w:tc>
          <w:tcPr>
            <w:tcW w:w="1693" w:type="dxa"/>
          </w:tcPr>
          <w:p w:rsidR="00BA26DB" w:rsidRPr="00A12068" w:rsidRDefault="00BA26DB" w:rsidP="00E12DE9">
            <w:pPr>
              <w:rPr>
                <w:rFonts w:ascii="Times New Roman" w:hAnsi="Times New Roman"/>
                <w:sz w:val="22"/>
                <w:szCs w:val="22"/>
              </w:rPr>
            </w:pPr>
          </w:p>
        </w:tc>
        <w:tc>
          <w:tcPr>
            <w:tcW w:w="1772" w:type="dxa"/>
          </w:tcPr>
          <w:p w:rsidR="00BA26DB" w:rsidRPr="00A12068" w:rsidRDefault="00BA26DB" w:rsidP="00E12DE9">
            <w:pPr>
              <w:rPr>
                <w:rFonts w:ascii="Times New Roman" w:hAnsi="Times New Roman"/>
                <w:sz w:val="22"/>
                <w:szCs w:val="22"/>
              </w:rPr>
            </w:pPr>
          </w:p>
        </w:tc>
        <w:tc>
          <w:tcPr>
            <w:tcW w:w="1878" w:type="dxa"/>
          </w:tcPr>
          <w:p w:rsidR="00BA26DB" w:rsidRPr="00A12068" w:rsidRDefault="00BA26DB" w:rsidP="00E12DE9">
            <w:pPr>
              <w:rPr>
                <w:rFonts w:ascii="Times New Roman" w:hAnsi="Times New Roman"/>
                <w:sz w:val="22"/>
                <w:szCs w:val="22"/>
              </w:rPr>
            </w:pPr>
            <w:r w:rsidRPr="00A12068">
              <w:rPr>
                <w:rFonts w:ascii="Times New Roman" w:hAnsi="Times New Roman"/>
                <w:sz w:val="22"/>
                <w:szCs w:val="22"/>
              </w:rPr>
              <w:t>Náhodné predávkovanie</w:t>
            </w:r>
          </w:p>
        </w:tc>
        <w:tc>
          <w:tcPr>
            <w:tcW w:w="1820" w:type="dxa"/>
          </w:tcPr>
          <w:p w:rsidR="00BA26DB" w:rsidRPr="00A12068" w:rsidRDefault="00BA26DB" w:rsidP="00E12DE9">
            <w:pPr>
              <w:rPr>
                <w:rFonts w:ascii="Times New Roman" w:hAnsi="Times New Roman"/>
                <w:sz w:val="22"/>
                <w:szCs w:val="22"/>
              </w:rPr>
            </w:pPr>
            <w:r w:rsidRPr="00A12068">
              <w:rPr>
                <w:rFonts w:ascii="Times New Roman" w:hAnsi="Times New Roman"/>
                <w:sz w:val="22"/>
                <w:szCs w:val="22"/>
              </w:rPr>
              <w:t>Pád</w:t>
            </w:r>
          </w:p>
        </w:tc>
      </w:tr>
    </w:tbl>
    <w:p w:rsidR="005A613E" w:rsidRPr="00A12068" w:rsidRDefault="005A613E" w:rsidP="00E12DE9">
      <w:pPr>
        <w:rPr>
          <w:rFonts w:ascii="Times New Roman" w:hAnsi="Times New Roman"/>
          <w:sz w:val="22"/>
          <w:szCs w:val="22"/>
        </w:rPr>
      </w:pPr>
    </w:p>
    <w:p w:rsidR="00CC09C2" w:rsidRPr="00A12068" w:rsidRDefault="00CC09C2" w:rsidP="00E12DE9">
      <w:pPr>
        <w:spacing w:line="220" w:lineRule="atLeast"/>
        <w:rPr>
          <w:rFonts w:ascii="Times New Roman" w:hAnsi="Times New Roman"/>
          <w:sz w:val="22"/>
          <w:szCs w:val="22"/>
        </w:rPr>
      </w:pPr>
      <w:r w:rsidRPr="00A12068">
        <w:rPr>
          <w:rFonts w:ascii="Times New Roman" w:hAnsi="Times New Roman"/>
          <w:sz w:val="22"/>
          <w:szCs w:val="22"/>
        </w:rPr>
        <w:t>*</w:t>
      </w:r>
      <w:r w:rsidR="00E02ABC" w:rsidRPr="00A12068">
        <w:rPr>
          <w:rFonts w:ascii="Times New Roman" w:hAnsi="Times New Roman"/>
          <w:sz w:val="22"/>
          <w:szCs w:val="22"/>
        </w:rPr>
        <w:t xml:space="preserve"> </w:t>
      </w:r>
      <w:r w:rsidRPr="00A12068">
        <w:rPr>
          <w:rFonts w:ascii="Times New Roman" w:hAnsi="Times New Roman"/>
          <w:i/>
          <w:sz w:val="22"/>
          <w:szCs w:val="22"/>
        </w:rPr>
        <w:t>pri podávaní fentanylu cez sliznicu sa pozorovali opiátové abstinenčné príznaky, ako je nauzea, vracanie, hnačka, úzkosť, zimnica, tremor a potenie</w:t>
      </w:r>
    </w:p>
    <w:p w:rsidR="00CA79D9" w:rsidRPr="00A12068" w:rsidRDefault="00CA79D9" w:rsidP="00E12DE9">
      <w:pPr>
        <w:rPr>
          <w:rFonts w:ascii="Times New Roman" w:hAnsi="Times New Roman"/>
          <w:sz w:val="22"/>
          <w:szCs w:val="22"/>
        </w:rPr>
      </w:pPr>
    </w:p>
    <w:p w:rsidR="00CA79D9" w:rsidRPr="00A12068" w:rsidRDefault="00CA79D9" w:rsidP="00E12DE9">
      <w:pPr>
        <w:suppressLineNumbers/>
        <w:autoSpaceDE w:val="0"/>
        <w:autoSpaceDN w:val="0"/>
        <w:adjustRightInd w:val="0"/>
        <w:rPr>
          <w:rFonts w:ascii="Times New Roman" w:hAnsi="Times New Roman"/>
          <w:sz w:val="22"/>
          <w:szCs w:val="22"/>
          <w:u w:val="single"/>
        </w:rPr>
      </w:pPr>
      <w:r w:rsidRPr="00A12068">
        <w:rPr>
          <w:rFonts w:ascii="Times New Roman" w:hAnsi="Times New Roman"/>
          <w:sz w:val="22"/>
          <w:szCs w:val="22"/>
          <w:u w:val="single"/>
        </w:rPr>
        <w:t>Hlásenie podozrení na nežiaduce reakcie</w:t>
      </w:r>
    </w:p>
    <w:p w:rsidR="00CA79D9" w:rsidRPr="00A12068" w:rsidRDefault="00CA79D9" w:rsidP="00E12DE9">
      <w:pPr>
        <w:suppressLineNumbers/>
        <w:autoSpaceDE w:val="0"/>
        <w:autoSpaceDN w:val="0"/>
        <w:adjustRightInd w:val="0"/>
        <w:rPr>
          <w:rFonts w:ascii="Times New Roman" w:hAnsi="Times New Roman"/>
          <w:sz w:val="22"/>
          <w:szCs w:val="22"/>
        </w:rPr>
      </w:pPr>
      <w:r w:rsidRPr="00A12068">
        <w:rPr>
          <w:rFonts w:ascii="Times New Roman" w:hAnsi="Times New Roman"/>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D146BB" w:rsidRPr="00A12068">
        <w:rPr>
          <w:rFonts w:ascii="Times New Roman" w:hAnsi="Times New Roman"/>
          <w:sz w:val="22"/>
          <w:szCs w:val="22"/>
        </w:rPr>
        <w:t xml:space="preserve">na </w:t>
      </w:r>
      <w:r w:rsidRPr="00A12068">
        <w:rPr>
          <w:rFonts w:ascii="Times New Roman" w:hAnsi="Times New Roman"/>
          <w:sz w:val="22"/>
          <w:szCs w:val="22"/>
          <w:highlight w:val="lightGray"/>
        </w:rPr>
        <w:t>národné</w:t>
      </w:r>
      <w:r w:rsidR="00D146BB" w:rsidRPr="00A12068">
        <w:rPr>
          <w:rFonts w:ascii="Times New Roman" w:hAnsi="Times New Roman"/>
          <w:sz w:val="22"/>
          <w:szCs w:val="22"/>
          <w:highlight w:val="lightGray"/>
        </w:rPr>
        <w:t xml:space="preserve"> centrum</w:t>
      </w:r>
      <w:r w:rsidRPr="00A12068">
        <w:rPr>
          <w:rFonts w:ascii="Times New Roman" w:hAnsi="Times New Roman"/>
          <w:sz w:val="22"/>
          <w:szCs w:val="22"/>
          <w:highlight w:val="lightGray"/>
        </w:rPr>
        <w:t xml:space="preserve"> hlásenia uvedené v </w:t>
      </w:r>
      <w:hyperlink r:id="rId12" w:history="1">
        <w:r w:rsidRPr="00A12068">
          <w:rPr>
            <w:rStyle w:val="Hypertextovprepojenie"/>
            <w:rFonts w:ascii="Times New Roman" w:hAnsi="Times New Roman"/>
            <w:sz w:val="22"/>
            <w:szCs w:val="22"/>
            <w:highlight w:val="lightGray"/>
          </w:rPr>
          <w:t>Prílohe V</w:t>
        </w:r>
      </w:hyperlink>
      <w:r w:rsidRPr="00A12068">
        <w:rPr>
          <w:rFonts w:ascii="Times New Roman" w:hAnsi="Times New Roman"/>
          <w:sz w:val="22"/>
          <w:szCs w:val="22"/>
        </w:rPr>
        <w:t>.</w:t>
      </w:r>
    </w:p>
    <w:p w:rsidR="00CA79D9" w:rsidRPr="00A12068" w:rsidRDefault="00CA79D9" w:rsidP="00E12DE9">
      <w:pPr>
        <w:ind w:left="567"/>
        <w:rPr>
          <w:rFonts w:ascii="Times New Roman" w:hAnsi="Times New Roman"/>
          <w:sz w:val="22"/>
          <w:szCs w:val="22"/>
        </w:rPr>
      </w:pPr>
    </w:p>
    <w:p w:rsidR="000D6F3D" w:rsidRPr="00A12068" w:rsidRDefault="000D6F3D" w:rsidP="00E12DE9">
      <w:pPr>
        <w:pStyle w:val="SPC2"/>
        <w:rPr>
          <w:szCs w:val="22"/>
        </w:rPr>
      </w:pPr>
      <w:r w:rsidRPr="00A12068">
        <w:rPr>
          <w:szCs w:val="22"/>
        </w:rPr>
        <w:t>4.9</w:t>
      </w:r>
      <w:r w:rsidRPr="00A12068">
        <w:rPr>
          <w:szCs w:val="22"/>
        </w:rPr>
        <w:tab/>
        <w:t>Predávkovanie</w:t>
      </w:r>
    </w:p>
    <w:p w:rsidR="000D6F3D" w:rsidRPr="00A12068" w:rsidRDefault="000D6F3D" w:rsidP="00E12DE9">
      <w:pPr>
        <w:pStyle w:val="SPCNormal"/>
        <w:rPr>
          <w:szCs w:val="22"/>
        </w:rPr>
      </w:pPr>
    </w:p>
    <w:p w:rsidR="000D6F3D" w:rsidRPr="00722EBC" w:rsidRDefault="000D6F3D" w:rsidP="00E12DE9">
      <w:pPr>
        <w:pStyle w:val="SPCNormal"/>
        <w:rPr>
          <w:szCs w:val="22"/>
        </w:rPr>
      </w:pPr>
      <w:r w:rsidRPr="00A12068">
        <w:rPr>
          <w:szCs w:val="22"/>
        </w:rPr>
        <w:t xml:space="preserve">Symptómy predávkovania fentanylom sú zvýraznením jeho farmakologických účinkov, pričom </w:t>
      </w:r>
      <w:r w:rsidR="00C338EA" w:rsidRPr="00D67A45">
        <w:rPr>
          <w:szCs w:val="22"/>
        </w:rPr>
        <w:t>najzávažnejší</w:t>
      </w:r>
      <w:r w:rsidRPr="00D67A45">
        <w:rPr>
          <w:szCs w:val="22"/>
        </w:rPr>
        <w:t xml:space="preserve"> z nich je respiračná depresia, ktorá môže viesť až k z</w:t>
      </w:r>
      <w:r w:rsidR="004C37B3" w:rsidRPr="00A12068">
        <w:rPr>
          <w:szCs w:val="22"/>
        </w:rPr>
        <w:t>astaveniu</w:t>
      </w:r>
      <w:r w:rsidRPr="00A12068">
        <w:rPr>
          <w:szCs w:val="22"/>
        </w:rPr>
        <w:t xml:space="preserve"> </w:t>
      </w:r>
      <w:r w:rsidRPr="00722EBC">
        <w:rPr>
          <w:szCs w:val="22"/>
        </w:rPr>
        <w:t>dýchania.</w:t>
      </w:r>
      <w:r w:rsidR="008B476C" w:rsidRPr="00722EBC">
        <w:rPr>
          <w:szCs w:val="22"/>
        </w:rPr>
        <w:t xml:space="preserve"> Je tiež známe, že sa môže vyskytnúť kóma.</w:t>
      </w:r>
    </w:p>
    <w:p w:rsidR="000D6F3D" w:rsidRPr="00722EBC" w:rsidRDefault="000D6F3D" w:rsidP="00E12DE9">
      <w:pPr>
        <w:pStyle w:val="SPCNormal"/>
        <w:rPr>
          <w:szCs w:val="22"/>
        </w:rPr>
      </w:pPr>
    </w:p>
    <w:p w:rsidR="000D6F3D" w:rsidRPr="00A12068" w:rsidRDefault="000D6F3D" w:rsidP="00E12DE9">
      <w:pPr>
        <w:pStyle w:val="SPCNormal"/>
        <w:rPr>
          <w:szCs w:val="22"/>
        </w:rPr>
      </w:pPr>
      <w:r w:rsidRPr="00722EBC">
        <w:rPr>
          <w:szCs w:val="22"/>
        </w:rPr>
        <w:t>Okamžité riešenie predávkovania opiátmi zah</w:t>
      </w:r>
      <w:r w:rsidR="006E3548" w:rsidRPr="00722EBC">
        <w:rPr>
          <w:szCs w:val="22"/>
        </w:rPr>
        <w:t>ŕ</w:t>
      </w:r>
      <w:r w:rsidRPr="00722EBC">
        <w:rPr>
          <w:szCs w:val="22"/>
        </w:rPr>
        <w:t>ň</w:t>
      </w:r>
      <w:r w:rsidR="006E3548" w:rsidRPr="00722EBC">
        <w:rPr>
          <w:szCs w:val="22"/>
        </w:rPr>
        <w:t>a</w:t>
      </w:r>
      <w:r w:rsidRPr="00722EBC">
        <w:rPr>
          <w:szCs w:val="22"/>
        </w:rPr>
        <w:t xml:space="preserve"> vybratie zvyšku sublingválnej tablety z úst, fyzi</w:t>
      </w:r>
      <w:r w:rsidR="006E3548" w:rsidRPr="00722EBC">
        <w:rPr>
          <w:szCs w:val="22"/>
        </w:rPr>
        <w:t>ckú</w:t>
      </w:r>
      <w:r w:rsidRPr="00722EBC">
        <w:rPr>
          <w:szCs w:val="22"/>
        </w:rPr>
        <w:t xml:space="preserve"> a</w:t>
      </w:r>
      <w:r w:rsidR="00E02ABC" w:rsidRPr="00722EBC">
        <w:rPr>
          <w:szCs w:val="22"/>
        </w:rPr>
        <w:t> </w:t>
      </w:r>
      <w:r w:rsidRPr="00722EBC">
        <w:rPr>
          <w:szCs w:val="22"/>
        </w:rPr>
        <w:t xml:space="preserve">verbálnu stimuláciu pacienta a zhodnotenie úrovne vedomia. U pacienta treba </w:t>
      </w:r>
      <w:r w:rsidR="00B4426F" w:rsidRPr="00722EBC">
        <w:rPr>
          <w:szCs w:val="22"/>
        </w:rPr>
        <w:t xml:space="preserve">stanoviť a </w:t>
      </w:r>
      <w:r w:rsidRPr="00722EBC">
        <w:rPr>
          <w:szCs w:val="22"/>
        </w:rPr>
        <w:t>udržiavať</w:t>
      </w:r>
      <w:r w:rsidRPr="00A12068">
        <w:rPr>
          <w:szCs w:val="22"/>
        </w:rPr>
        <w:t xml:space="preserve"> priechodnosť dýchacích ciest. V prípade potreby treba zasunúť orofaryng</w:t>
      </w:r>
      <w:r w:rsidR="007E02A2">
        <w:rPr>
          <w:szCs w:val="22"/>
        </w:rPr>
        <w:t>e</w:t>
      </w:r>
      <w:r w:rsidRPr="00A12068">
        <w:rPr>
          <w:szCs w:val="22"/>
        </w:rPr>
        <w:t>álnu alebo endotracheálnu dýchaciu trubicu, podávať kyslík a spustiť mechanickú podpo</w:t>
      </w:r>
      <w:r w:rsidRPr="00D67A45">
        <w:rPr>
          <w:szCs w:val="22"/>
        </w:rPr>
        <w:t xml:space="preserve">ru dýchania. Okrem toho treba udržiavať </w:t>
      </w:r>
      <w:r w:rsidR="00B4426F" w:rsidRPr="00A12068">
        <w:rPr>
          <w:szCs w:val="22"/>
        </w:rPr>
        <w:t xml:space="preserve">adekvátnu </w:t>
      </w:r>
      <w:r w:rsidRPr="00A12068">
        <w:rPr>
          <w:szCs w:val="22"/>
        </w:rPr>
        <w:t>telesnú teplotu a</w:t>
      </w:r>
      <w:r w:rsidR="00B4426F" w:rsidRPr="00A12068">
        <w:rPr>
          <w:szCs w:val="22"/>
        </w:rPr>
        <w:t xml:space="preserve"> zaistiť parenterálny </w:t>
      </w:r>
      <w:r w:rsidRPr="00A12068">
        <w:rPr>
          <w:szCs w:val="22"/>
        </w:rPr>
        <w:t>prívod tekut</w:t>
      </w:r>
      <w:r w:rsidR="00B4426F" w:rsidRPr="00A12068">
        <w:rPr>
          <w:szCs w:val="22"/>
        </w:rPr>
        <w:t>í</w:t>
      </w:r>
      <w:r w:rsidRPr="00A12068">
        <w:rPr>
          <w:szCs w:val="22"/>
        </w:rPr>
        <w:t>n.</w:t>
      </w:r>
    </w:p>
    <w:p w:rsidR="000D6F3D" w:rsidRPr="00A12068" w:rsidRDefault="000D6F3D" w:rsidP="00E12DE9">
      <w:pPr>
        <w:pStyle w:val="SPCNormal"/>
        <w:rPr>
          <w:szCs w:val="22"/>
        </w:rPr>
      </w:pPr>
    </w:p>
    <w:p w:rsidR="000D6F3D" w:rsidRPr="00A12068" w:rsidRDefault="00B4426F" w:rsidP="00E12DE9">
      <w:pPr>
        <w:pStyle w:val="SPCNormal"/>
        <w:rPr>
          <w:szCs w:val="22"/>
        </w:rPr>
      </w:pPr>
      <w:r w:rsidRPr="00A12068">
        <w:rPr>
          <w:szCs w:val="22"/>
        </w:rPr>
        <w:t>Na liečbu</w:t>
      </w:r>
      <w:r w:rsidR="000D6F3D" w:rsidRPr="00A12068">
        <w:rPr>
          <w:szCs w:val="22"/>
        </w:rPr>
        <w:t xml:space="preserve"> náhodného predávkovania u osôb predtým nevystavených opiátom </w:t>
      </w:r>
      <w:r w:rsidR="005046E2" w:rsidRPr="00A12068">
        <w:rPr>
          <w:szCs w:val="22"/>
        </w:rPr>
        <w:t xml:space="preserve">sa má </w:t>
      </w:r>
      <w:r w:rsidR="000D6F3D" w:rsidRPr="00A12068">
        <w:rPr>
          <w:szCs w:val="22"/>
        </w:rPr>
        <w:t>použi</w:t>
      </w:r>
      <w:r w:rsidR="005046E2" w:rsidRPr="00A12068">
        <w:rPr>
          <w:szCs w:val="22"/>
        </w:rPr>
        <w:t>ť</w:t>
      </w:r>
      <w:r w:rsidR="000D6F3D" w:rsidRPr="00A12068">
        <w:rPr>
          <w:szCs w:val="22"/>
        </w:rPr>
        <w:t xml:space="preserve"> naloxón alebo in</w:t>
      </w:r>
      <w:r w:rsidR="005046E2" w:rsidRPr="00A12068">
        <w:rPr>
          <w:szCs w:val="22"/>
        </w:rPr>
        <w:t>ý</w:t>
      </w:r>
      <w:r w:rsidR="000D6F3D" w:rsidRPr="00A12068">
        <w:rPr>
          <w:szCs w:val="22"/>
        </w:rPr>
        <w:t xml:space="preserve"> antagonist</w:t>
      </w:r>
      <w:r w:rsidR="005046E2" w:rsidRPr="00A12068">
        <w:rPr>
          <w:szCs w:val="22"/>
        </w:rPr>
        <w:t>a</w:t>
      </w:r>
      <w:r w:rsidR="000D6F3D" w:rsidRPr="00A12068">
        <w:rPr>
          <w:szCs w:val="22"/>
        </w:rPr>
        <w:t xml:space="preserve"> opiátov podľa klinickej indikácie a v súlade s ich </w:t>
      </w:r>
      <w:r w:rsidR="00B56C19" w:rsidRPr="00A12068">
        <w:rPr>
          <w:szCs w:val="22"/>
        </w:rPr>
        <w:t xml:space="preserve">súhrnom </w:t>
      </w:r>
      <w:r w:rsidR="000D6F3D" w:rsidRPr="00A12068">
        <w:rPr>
          <w:szCs w:val="22"/>
        </w:rPr>
        <w:t xml:space="preserve">charakteristických vlastností lieku. </w:t>
      </w:r>
      <w:r w:rsidR="005046E2" w:rsidRPr="00A12068">
        <w:rPr>
          <w:szCs w:val="22"/>
        </w:rPr>
        <w:t>Ak sa trvanie respiračnej depresie predĺži, môže byť potrebné o</w:t>
      </w:r>
      <w:r w:rsidR="000D6F3D" w:rsidRPr="00A12068">
        <w:rPr>
          <w:szCs w:val="22"/>
        </w:rPr>
        <w:t xml:space="preserve">pakované podanie antagonistu opiátov,. </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Pri </w:t>
      </w:r>
      <w:r w:rsidR="005046E2" w:rsidRPr="00A12068">
        <w:rPr>
          <w:szCs w:val="22"/>
        </w:rPr>
        <w:t>liečbe</w:t>
      </w:r>
      <w:r w:rsidRPr="00A12068">
        <w:rPr>
          <w:szCs w:val="22"/>
        </w:rPr>
        <w:t xml:space="preserve"> predávkovania naloxónom alebo iným antagonistom opiátov u pacientov </w:t>
      </w:r>
      <w:r w:rsidR="00DD0937" w:rsidRPr="00A12068">
        <w:rPr>
          <w:szCs w:val="22"/>
        </w:rPr>
        <w:t>dlhodobo liečených</w:t>
      </w:r>
      <w:r w:rsidRPr="00A12068">
        <w:rPr>
          <w:szCs w:val="22"/>
        </w:rPr>
        <w:t xml:space="preserve"> opiát</w:t>
      </w:r>
      <w:r w:rsidR="00DD0937" w:rsidRPr="00A12068">
        <w:rPr>
          <w:szCs w:val="22"/>
        </w:rPr>
        <w:t>mi</w:t>
      </w:r>
      <w:r w:rsidRPr="00A12068">
        <w:rPr>
          <w:szCs w:val="22"/>
        </w:rPr>
        <w:t xml:space="preserve"> treba postupovať opatrne, aby sa nespustil akútny </w:t>
      </w:r>
      <w:r w:rsidR="004C37B3" w:rsidRPr="00A12068">
        <w:rPr>
          <w:szCs w:val="22"/>
        </w:rPr>
        <w:t>abstinenčný</w:t>
      </w:r>
      <w:r w:rsidRPr="00A12068">
        <w:rPr>
          <w:szCs w:val="22"/>
        </w:rPr>
        <w:t xml:space="preserve"> syndróm.</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Ak dôjde k významnej alebo pretrvávajúcej hypotenzii</w:t>
      </w:r>
      <w:r w:rsidR="004C37B3" w:rsidRPr="00A12068">
        <w:rPr>
          <w:szCs w:val="22"/>
        </w:rPr>
        <w:t>,</w:t>
      </w:r>
      <w:r w:rsidRPr="00A12068">
        <w:rPr>
          <w:szCs w:val="22"/>
        </w:rPr>
        <w:t xml:space="preserve"> treba uvažovať o hypovolémii a situáciu treba riešiť prívodom vhodnej parenterálnej tekutiny.</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Svalová stuhnutosť brániaca respirácii bola pozorovaná </w:t>
      </w:r>
      <w:r w:rsidR="004C37B3" w:rsidRPr="00A12068">
        <w:rPr>
          <w:szCs w:val="22"/>
        </w:rPr>
        <w:t>pri</w:t>
      </w:r>
      <w:r w:rsidRPr="00A12068">
        <w:rPr>
          <w:szCs w:val="22"/>
        </w:rPr>
        <w:t xml:space="preserve"> fentanyl</w:t>
      </w:r>
      <w:r w:rsidR="004C37B3" w:rsidRPr="00A12068">
        <w:rPr>
          <w:szCs w:val="22"/>
        </w:rPr>
        <w:t>e</w:t>
      </w:r>
      <w:r w:rsidRPr="00A12068">
        <w:rPr>
          <w:szCs w:val="22"/>
        </w:rPr>
        <w:t xml:space="preserve"> a iných opiátoch. V takejto situácii môže byť potrebná endotracheálna intubácia, podpora dýchania a podávanie antagonistov opiátov ako aj svalových relaxantov. </w:t>
      </w:r>
    </w:p>
    <w:p w:rsidR="000D6F3D" w:rsidRPr="00A12068" w:rsidRDefault="000D6F3D" w:rsidP="00E12DE9">
      <w:pPr>
        <w:pStyle w:val="SPCNormal"/>
        <w:rPr>
          <w:szCs w:val="22"/>
        </w:rPr>
      </w:pPr>
    </w:p>
    <w:p w:rsidR="000D6F3D" w:rsidRPr="00A12068" w:rsidRDefault="000D6F3D" w:rsidP="00E12DE9">
      <w:pPr>
        <w:pStyle w:val="SPCNormal"/>
        <w:rPr>
          <w:szCs w:val="22"/>
        </w:rPr>
      </w:pPr>
    </w:p>
    <w:p w:rsidR="000D6F3D" w:rsidRPr="00A12068" w:rsidRDefault="000D6F3D" w:rsidP="00E12DE9">
      <w:pPr>
        <w:pStyle w:val="SPC1"/>
        <w:spacing w:before="0"/>
        <w:rPr>
          <w:szCs w:val="22"/>
        </w:rPr>
      </w:pPr>
      <w:r w:rsidRPr="00A12068">
        <w:rPr>
          <w:szCs w:val="22"/>
        </w:rPr>
        <w:t>5.</w:t>
      </w:r>
      <w:r w:rsidRPr="00A12068">
        <w:rPr>
          <w:szCs w:val="22"/>
        </w:rPr>
        <w:tab/>
        <w:t>farmakologické vlastnosti</w:t>
      </w:r>
    </w:p>
    <w:p w:rsidR="000D6F3D" w:rsidRPr="00A12068" w:rsidRDefault="000D6F3D" w:rsidP="00E12DE9">
      <w:pPr>
        <w:pStyle w:val="SPCNormal"/>
        <w:rPr>
          <w:szCs w:val="22"/>
        </w:rPr>
      </w:pPr>
    </w:p>
    <w:p w:rsidR="000D6F3D" w:rsidRPr="00A12068" w:rsidRDefault="000D6F3D" w:rsidP="00E12DE9">
      <w:pPr>
        <w:pStyle w:val="SPC2"/>
        <w:rPr>
          <w:szCs w:val="22"/>
        </w:rPr>
      </w:pPr>
      <w:r w:rsidRPr="00A12068">
        <w:rPr>
          <w:szCs w:val="22"/>
        </w:rPr>
        <w:t xml:space="preserve">5.1 </w:t>
      </w:r>
      <w:r w:rsidRPr="00A12068">
        <w:rPr>
          <w:szCs w:val="22"/>
        </w:rPr>
        <w:tab/>
        <w:t>Farmakodynamické vlastnosti</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Farmakoterapeutická skupina: </w:t>
      </w:r>
      <w:r w:rsidR="009204AC" w:rsidRPr="00A12068">
        <w:rPr>
          <w:szCs w:val="22"/>
        </w:rPr>
        <w:t xml:space="preserve">Analgetiká; Opiáty; </w:t>
      </w:r>
      <w:r w:rsidRPr="00A12068">
        <w:rPr>
          <w:szCs w:val="22"/>
        </w:rPr>
        <w:t>Deriváty fenylpiperidínu</w:t>
      </w:r>
      <w:r w:rsidR="00E03599" w:rsidRPr="00A12068">
        <w:rPr>
          <w:szCs w:val="22"/>
        </w:rPr>
        <w:t xml:space="preserve">, </w:t>
      </w:r>
      <w:r w:rsidRPr="00A12068">
        <w:rPr>
          <w:szCs w:val="22"/>
        </w:rPr>
        <w:t>ATC kód: N02AB03</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Fentanyl je </w:t>
      </w:r>
      <w:r w:rsidR="00E207D7" w:rsidRPr="00A12068">
        <w:rPr>
          <w:szCs w:val="22"/>
        </w:rPr>
        <w:t>úči</w:t>
      </w:r>
      <w:r w:rsidRPr="00A12068">
        <w:rPr>
          <w:szCs w:val="22"/>
        </w:rPr>
        <w:t xml:space="preserve">nné analgetikum typu µ-opiátu s rýchlym nástupom </w:t>
      </w:r>
      <w:r w:rsidR="00E207D7" w:rsidRPr="00A12068">
        <w:rPr>
          <w:szCs w:val="22"/>
        </w:rPr>
        <w:t>analgézie</w:t>
      </w:r>
      <w:r w:rsidRPr="00A12068">
        <w:rPr>
          <w:szCs w:val="22"/>
        </w:rPr>
        <w:t xml:space="preserve"> a krátkym pretrvaním účinku. Fentanyl je asi 100-krát </w:t>
      </w:r>
      <w:r w:rsidR="0095080F" w:rsidRPr="00A12068">
        <w:rPr>
          <w:szCs w:val="22"/>
        </w:rPr>
        <w:t>úči</w:t>
      </w:r>
      <w:r w:rsidRPr="00A12068">
        <w:rPr>
          <w:szCs w:val="22"/>
        </w:rPr>
        <w:t xml:space="preserve">nnejšie analgetikum ako morfín. Sekundárne účinky fentanylu na CNS, respiračné a gastrointestinálne funkcie sú typické pre ópiové analgetiká a sú považované za </w:t>
      </w:r>
      <w:r w:rsidR="003E1FEC" w:rsidRPr="00A12068">
        <w:rPr>
          <w:szCs w:val="22"/>
        </w:rPr>
        <w:t xml:space="preserve">charakteristické </w:t>
      </w:r>
      <w:r w:rsidRPr="00A12068">
        <w:rPr>
          <w:szCs w:val="22"/>
        </w:rPr>
        <w:t>pre danú triedu preparátov.</w:t>
      </w:r>
      <w:r w:rsidR="000C0797" w:rsidRPr="00A12068">
        <w:rPr>
          <w:szCs w:val="22"/>
        </w:rPr>
        <w:t xml:space="preserve"> Tieto môžu zahŕňať útlm dýchania, bradykardiu, hypotermiu, zápchu, miózu, fyzickú závislosť a eufóriu.</w:t>
      </w:r>
    </w:p>
    <w:p w:rsidR="000D6F3D" w:rsidRDefault="000D6F3D" w:rsidP="00E12DE9">
      <w:pPr>
        <w:pStyle w:val="SPCNormal"/>
        <w:rPr>
          <w:szCs w:val="22"/>
        </w:rPr>
      </w:pPr>
    </w:p>
    <w:p w:rsidR="009C68DC" w:rsidRDefault="009C68DC" w:rsidP="00E12DE9">
      <w:pPr>
        <w:pStyle w:val="SPCNormal"/>
        <w:rPr>
          <w:szCs w:val="22"/>
        </w:rPr>
      </w:pPr>
      <w:r w:rsidRPr="00722EBC">
        <w:rPr>
          <w:szCs w:val="22"/>
        </w:rPr>
        <w:t>Opioidy môžu ovplyvňovať os</w:t>
      </w:r>
      <w:r w:rsidR="003D4962" w:rsidRPr="00722EBC">
        <w:rPr>
          <w:szCs w:val="22"/>
        </w:rPr>
        <w:t>i</w:t>
      </w:r>
      <w:r w:rsidRPr="00722EBC">
        <w:rPr>
          <w:szCs w:val="22"/>
        </w:rPr>
        <w:t xml:space="preserve"> hypotalamus-hypofýza-nadobličky alebo </w:t>
      </w:r>
      <w:r w:rsidR="003D4962" w:rsidRPr="00722EBC">
        <w:rPr>
          <w:bCs/>
          <w:szCs w:val="22"/>
        </w:rPr>
        <w:t>hypotalamus-hypofýza-gonády</w:t>
      </w:r>
      <w:r w:rsidRPr="00722EBC">
        <w:rPr>
          <w:szCs w:val="22"/>
        </w:rPr>
        <w:t>. Niektoré zmeny, ktoré môžu byť pozorované, zahŕňajú zvýšenie hladin</w:t>
      </w:r>
      <w:r w:rsidR="003D4962" w:rsidRPr="00722EBC">
        <w:rPr>
          <w:szCs w:val="22"/>
        </w:rPr>
        <w:t>y</w:t>
      </w:r>
      <w:r w:rsidRPr="00722EBC">
        <w:rPr>
          <w:szCs w:val="22"/>
        </w:rPr>
        <w:t xml:space="preserve"> prolaktínu v sére a zníženie hladín kortizolu a testosterónu v plazme. </w:t>
      </w:r>
      <w:r w:rsidR="00CA5DD3" w:rsidRPr="00722EBC">
        <w:rPr>
          <w:szCs w:val="22"/>
        </w:rPr>
        <w:t xml:space="preserve">V dôsledku týchto </w:t>
      </w:r>
      <w:r w:rsidRPr="00722EBC">
        <w:rPr>
          <w:szCs w:val="22"/>
        </w:rPr>
        <w:t>hormonáln</w:t>
      </w:r>
      <w:r w:rsidR="00CA5DD3" w:rsidRPr="00722EBC">
        <w:rPr>
          <w:szCs w:val="22"/>
        </w:rPr>
        <w:t>ych</w:t>
      </w:r>
      <w:r w:rsidRPr="00722EBC">
        <w:rPr>
          <w:szCs w:val="22"/>
        </w:rPr>
        <w:t xml:space="preserve"> zm</w:t>
      </w:r>
      <w:r w:rsidR="00CA5DD3" w:rsidRPr="00722EBC">
        <w:rPr>
          <w:szCs w:val="22"/>
        </w:rPr>
        <w:t>i</w:t>
      </w:r>
      <w:r w:rsidRPr="00722EBC">
        <w:rPr>
          <w:szCs w:val="22"/>
        </w:rPr>
        <w:t>en</w:t>
      </w:r>
      <w:r w:rsidR="00CA5DD3" w:rsidRPr="00722EBC">
        <w:rPr>
          <w:szCs w:val="22"/>
        </w:rPr>
        <w:t xml:space="preserve"> sa</w:t>
      </w:r>
      <w:r w:rsidRPr="00722EBC">
        <w:rPr>
          <w:szCs w:val="22"/>
        </w:rPr>
        <w:t xml:space="preserve"> môžu </w:t>
      </w:r>
      <w:r w:rsidR="00CA5DD3" w:rsidRPr="00722EBC">
        <w:rPr>
          <w:szCs w:val="22"/>
        </w:rPr>
        <w:t>prejavi</w:t>
      </w:r>
      <w:r w:rsidRPr="00722EBC">
        <w:rPr>
          <w:szCs w:val="22"/>
        </w:rPr>
        <w:t>ť klinické prejavy a príznaky.</w:t>
      </w:r>
      <w:bookmarkStart w:id="0" w:name="_GoBack"/>
      <w:bookmarkEnd w:id="0"/>
    </w:p>
    <w:p w:rsidR="009C68DC" w:rsidRPr="00A12068" w:rsidRDefault="009C68DC" w:rsidP="00E12DE9">
      <w:pPr>
        <w:pStyle w:val="SPCNormal"/>
        <w:rPr>
          <w:szCs w:val="22"/>
        </w:rPr>
      </w:pPr>
    </w:p>
    <w:p w:rsidR="000D6F3D" w:rsidRPr="00A12068" w:rsidRDefault="000D6F3D" w:rsidP="00E12DE9">
      <w:pPr>
        <w:pStyle w:val="SPCNormal"/>
        <w:rPr>
          <w:szCs w:val="22"/>
        </w:rPr>
      </w:pPr>
      <w:r w:rsidRPr="00A12068">
        <w:rPr>
          <w:szCs w:val="22"/>
        </w:rPr>
        <w:lastRenderedPageBreak/>
        <w:t xml:space="preserve">Analgetické účinky fentanylu závisia od hladiny </w:t>
      </w:r>
      <w:r w:rsidR="001D433A" w:rsidRPr="00A12068">
        <w:rPr>
          <w:szCs w:val="22"/>
        </w:rPr>
        <w:t>účin</w:t>
      </w:r>
      <w:r w:rsidRPr="00A12068">
        <w:rPr>
          <w:szCs w:val="22"/>
        </w:rPr>
        <w:t>nej látky v krvi; u pacientov predtým neliečených opiátmi sa minimálne účinné koncentrácie analgetika v sére pohybujú v rozsahu 0,3</w:t>
      </w:r>
      <w:r w:rsidR="00D146BB" w:rsidRPr="00A12068">
        <w:rPr>
          <w:szCs w:val="22"/>
        </w:rPr>
        <w:t> – </w:t>
      </w:r>
      <w:r w:rsidRPr="00A12068">
        <w:rPr>
          <w:szCs w:val="22"/>
        </w:rPr>
        <w:t>1,2</w:t>
      </w:r>
      <w:r w:rsidR="00747245" w:rsidRPr="00A12068">
        <w:rPr>
          <w:szCs w:val="22"/>
        </w:rPr>
        <w:t> </w:t>
      </w:r>
      <w:r w:rsidRPr="00A12068">
        <w:rPr>
          <w:szCs w:val="22"/>
        </w:rPr>
        <w:t>ng/ml, pričom hladina 10</w:t>
      </w:r>
      <w:r w:rsidR="00D146BB" w:rsidRPr="00A12068">
        <w:rPr>
          <w:szCs w:val="22"/>
        </w:rPr>
        <w:t> – </w:t>
      </w:r>
      <w:r w:rsidRPr="00A12068">
        <w:rPr>
          <w:szCs w:val="22"/>
        </w:rPr>
        <w:t>20 ng/ml v krvi spôsobuje chirurgickú anestéziu a výraznú respiračnú depresiu.</w:t>
      </w:r>
    </w:p>
    <w:p w:rsidR="000D6F3D" w:rsidRPr="00A12068" w:rsidRDefault="000D6F3D" w:rsidP="00E12DE9">
      <w:pPr>
        <w:pStyle w:val="SPCNormal"/>
        <w:rPr>
          <w:szCs w:val="22"/>
        </w:rPr>
      </w:pPr>
    </w:p>
    <w:p w:rsidR="00A36846" w:rsidRPr="00A12068" w:rsidRDefault="00A36846" w:rsidP="00E12DE9">
      <w:pPr>
        <w:pStyle w:val="SPCNormal"/>
        <w:rPr>
          <w:szCs w:val="22"/>
        </w:rPr>
      </w:pPr>
      <w:r w:rsidRPr="00A12068">
        <w:rPr>
          <w:szCs w:val="22"/>
        </w:rPr>
        <w:t xml:space="preserve">U pacientov trpiacich chronickou </w:t>
      </w:r>
      <w:r w:rsidR="00747245" w:rsidRPr="00A12068">
        <w:rPr>
          <w:szCs w:val="22"/>
        </w:rPr>
        <w:t>nádorovou</w:t>
      </w:r>
      <w:r w:rsidRPr="00A12068">
        <w:rPr>
          <w:szCs w:val="22"/>
        </w:rPr>
        <w:t xml:space="preserve"> bolesťou a udržiavaných na stabilných dávkach opiátov </w:t>
      </w:r>
      <w:r w:rsidR="008F33B7" w:rsidRPr="00A12068">
        <w:rPr>
          <w:szCs w:val="22"/>
        </w:rPr>
        <w:t>bolo pozorované, že</w:t>
      </w:r>
      <w:r w:rsidRPr="00A12068">
        <w:rPr>
          <w:szCs w:val="22"/>
        </w:rPr>
        <w:t xml:space="preserve"> </w:t>
      </w:r>
      <w:r w:rsidR="00747245" w:rsidRPr="00A12068">
        <w:rPr>
          <w:szCs w:val="22"/>
        </w:rPr>
        <w:t xml:space="preserve">Lunaldin </w:t>
      </w:r>
      <w:r w:rsidRPr="00A12068">
        <w:rPr>
          <w:szCs w:val="22"/>
        </w:rPr>
        <w:t xml:space="preserve">oproti placebu </w:t>
      </w:r>
      <w:r w:rsidR="008F33B7" w:rsidRPr="00A12068">
        <w:rPr>
          <w:szCs w:val="22"/>
        </w:rPr>
        <w:t xml:space="preserve">štatisticky </w:t>
      </w:r>
      <w:r w:rsidRPr="00A12068">
        <w:rPr>
          <w:szCs w:val="22"/>
        </w:rPr>
        <w:t>význ</w:t>
      </w:r>
      <w:r w:rsidR="008F33B7" w:rsidRPr="00A12068">
        <w:rPr>
          <w:szCs w:val="22"/>
        </w:rPr>
        <w:t>amne</w:t>
      </w:r>
      <w:r w:rsidRPr="00A12068">
        <w:rPr>
          <w:szCs w:val="22"/>
        </w:rPr>
        <w:t xml:space="preserve"> </w:t>
      </w:r>
      <w:r w:rsidR="008F33B7" w:rsidRPr="00A12068">
        <w:rPr>
          <w:szCs w:val="22"/>
        </w:rPr>
        <w:t xml:space="preserve">zlepšuje </w:t>
      </w:r>
      <w:r w:rsidR="001A5F84" w:rsidRPr="00A12068">
        <w:rPr>
          <w:szCs w:val="22"/>
        </w:rPr>
        <w:t>odchýlku</w:t>
      </w:r>
      <w:r w:rsidR="008F33B7" w:rsidRPr="00A12068">
        <w:rPr>
          <w:szCs w:val="22"/>
        </w:rPr>
        <w:t xml:space="preserve"> intenzity</w:t>
      </w:r>
      <w:r w:rsidRPr="00A12068">
        <w:rPr>
          <w:szCs w:val="22"/>
        </w:rPr>
        <w:t xml:space="preserve"> bolesti po 10 minútach od podania (pozri obrázok</w:t>
      </w:r>
      <w:r w:rsidR="008F33B7" w:rsidRPr="00A12068">
        <w:rPr>
          <w:szCs w:val="22"/>
        </w:rPr>
        <w:t xml:space="preserve"> </w:t>
      </w:r>
      <w:r w:rsidRPr="00A12068">
        <w:rPr>
          <w:szCs w:val="22"/>
        </w:rPr>
        <w:t xml:space="preserve">1 nižšie) </w:t>
      </w:r>
      <w:r w:rsidR="008F33B7" w:rsidRPr="00A12068">
        <w:rPr>
          <w:szCs w:val="22"/>
        </w:rPr>
        <w:t>s</w:t>
      </w:r>
      <w:r w:rsidRPr="00A12068">
        <w:rPr>
          <w:szCs w:val="22"/>
        </w:rPr>
        <w:t xml:space="preserve"> významne nižš</w:t>
      </w:r>
      <w:r w:rsidR="008F33B7" w:rsidRPr="00A12068">
        <w:rPr>
          <w:szCs w:val="22"/>
        </w:rPr>
        <w:t>o</w:t>
      </w:r>
      <w:r w:rsidRPr="00A12068">
        <w:rPr>
          <w:szCs w:val="22"/>
        </w:rPr>
        <w:t>u potreb</w:t>
      </w:r>
      <w:r w:rsidR="004C37B3" w:rsidRPr="00A12068">
        <w:rPr>
          <w:szCs w:val="22"/>
        </w:rPr>
        <w:t>u</w:t>
      </w:r>
      <w:r w:rsidRPr="00A12068">
        <w:rPr>
          <w:szCs w:val="22"/>
        </w:rPr>
        <w:t xml:space="preserve"> pre záchrannú analgetickú terapiu. </w:t>
      </w:r>
    </w:p>
    <w:p w:rsidR="00A36846" w:rsidRPr="00A12068" w:rsidRDefault="00A36846" w:rsidP="00E12DE9">
      <w:pPr>
        <w:pStyle w:val="SPCNormal"/>
        <w:rPr>
          <w:szCs w:val="22"/>
        </w:rPr>
      </w:pPr>
    </w:p>
    <w:p w:rsidR="00A36846" w:rsidRPr="00A12068" w:rsidRDefault="00A36846" w:rsidP="00E12DE9">
      <w:pPr>
        <w:pStyle w:val="SPCNormal"/>
        <w:rPr>
          <w:szCs w:val="22"/>
        </w:rPr>
      </w:pPr>
    </w:p>
    <w:p w:rsidR="00A36846" w:rsidRPr="00A12068" w:rsidRDefault="00A36846" w:rsidP="00E12DE9">
      <w:pPr>
        <w:pStyle w:val="Popis"/>
        <w:widowControl w:val="0"/>
        <w:rPr>
          <w:b w:val="0"/>
          <w:bCs w:val="0"/>
          <w:i/>
          <w:kern w:val="0"/>
          <w:sz w:val="22"/>
          <w:szCs w:val="22"/>
          <w:u w:val="single"/>
          <w:lang w:val="sk-SK" w:eastAsia="en-US"/>
        </w:rPr>
      </w:pPr>
      <w:r w:rsidRPr="00A12068">
        <w:rPr>
          <w:b w:val="0"/>
          <w:bCs w:val="0"/>
          <w:i/>
          <w:kern w:val="0"/>
          <w:sz w:val="22"/>
          <w:szCs w:val="22"/>
          <w:u w:val="single"/>
          <w:lang w:val="sk-SK" w:eastAsia="en-US"/>
        </w:rPr>
        <w:t>Obrázok 1</w:t>
      </w:r>
      <w:r w:rsidR="00597E8C" w:rsidRPr="00A12068">
        <w:rPr>
          <w:b w:val="0"/>
          <w:bCs w:val="0"/>
          <w:i/>
          <w:kern w:val="0"/>
          <w:sz w:val="22"/>
          <w:szCs w:val="22"/>
          <w:u w:val="single"/>
          <w:lang w:val="sk-SK" w:eastAsia="en-US"/>
        </w:rPr>
        <w:t xml:space="preserve"> </w:t>
      </w:r>
      <w:r w:rsidRPr="00A12068">
        <w:rPr>
          <w:b w:val="0"/>
          <w:bCs w:val="0"/>
          <w:i/>
          <w:kern w:val="0"/>
          <w:sz w:val="22"/>
          <w:szCs w:val="22"/>
          <w:u w:val="single"/>
          <w:lang w:val="sk-SK" w:eastAsia="en-US"/>
        </w:rPr>
        <w:t>Stredná odchýlka intenzity bolesti od základnej línie (± SE) pre Lunaldin v porovnaní s</w:t>
      </w:r>
      <w:r w:rsidR="00F76A40" w:rsidRPr="00A12068">
        <w:rPr>
          <w:b w:val="0"/>
          <w:bCs w:val="0"/>
          <w:i/>
          <w:kern w:val="0"/>
          <w:sz w:val="22"/>
          <w:szCs w:val="22"/>
          <w:u w:val="single"/>
          <w:lang w:val="sk-SK" w:eastAsia="en-US"/>
        </w:rPr>
        <w:t> </w:t>
      </w:r>
      <w:r w:rsidRPr="00A12068">
        <w:rPr>
          <w:b w:val="0"/>
          <w:bCs w:val="0"/>
          <w:i/>
          <w:kern w:val="0"/>
          <w:sz w:val="22"/>
          <w:szCs w:val="22"/>
          <w:u w:val="single"/>
          <w:lang w:val="sk-SK" w:eastAsia="en-US"/>
        </w:rPr>
        <w:t>placebom (merané 0</w:t>
      </w:r>
      <w:r w:rsidR="00D146BB" w:rsidRPr="00A12068">
        <w:rPr>
          <w:b w:val="0"/>
          <w:bCs w:val="0"/>
          <w:i/>
          <w:kern w:val="0"/>
          <w:sz w:val="22"/>
          <w:szCs w:val="22"/>
          <w:u w:val="single"/>
          <w:lang w:val="sk-SK" w:eastAsia="en-US"/>
        </w:rPr>
        <w:t> – </w:t>
      </w:r>
      <w:r w:rsidRPr="00A12068">
        <w:rPr>
          <w:b w:val="0"/>
          <w:bCs w:val="0"/>
          <w:i/>
          <w:kern w:val="0"/>
          <w:sz w:val="22"/>
          <w:szCs w:val="22"/>
          <w:u w:val="single"/>
          <w:lang w:val="sk-SK" w:eastAsia="en-US"/>
        </w:rPr>
        <w:t>10 Lickertovou škálou)</w:t>
      </w:r>
    </w:p>
    <w:p w:rsidR="00A36846" w:rsidRPr="00A12068" w:rsidRDefault="00A36846" w:rsidP="00E12DE9">
      <w:pPr>
        <w:pStyle w:val="SPCNormal"/>
        <w:rPr>
          <w:szCs w:val="22"/>
        </w:rPr>
      </w:pPr>
    </w:p>
    <w:p w:rsidR="00A36846" w:rsidRPr="00A12068" w:rsidRDefault="00A36846" w:rsidP="00E12DE9">
      <w:pPr>
        <w:pStyle w:val="SPCNormal"/>
        <w:rPr>
          <w:szCs w:val="22"/>
        </w:rPr>
      </w:pPr>
    </w:p>
    <w:p w:rsidR="00A36846" w:rsidRPr="00A12068" w:rsidRDefault="00722EBC" w:rsidP="00E12DE9">
      <w:pPr>
        <w:pStyle w:val="SPCNormal"/>
        <w:rPr>
          <w:szCs w:val="22"/>
        </w:rPr>
      </w:pPr>
      <w:r>
        <w:rPr>
          <w:szCs w:val="22"/>
        </w:rPr>
      </w:r>
      <w:r>
        <w:rPr>
          <w:szCs w:val="22"/>
        </w:rPr>
        <w:pict>
          <v:group id="_x0000_s1116" editas="canvas" style="width:383.7pt;height:252pt;mso-position-horizontal-relative:char;mso-position-vertical-relative:line" coordorigin="-180,-1" coordsize="7674,50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7" type="#_x0000_t75" style="position:absolute;left:-180;top:-1;width:7674;height:5040" o:preferrelative="f">
              <v:fill o:detectmouseclick="t"/>
              <v:path o:extrusionok="t" o:connecttype="none"/>
              <o:lock v:ext="edit" text="t"/>
            </v:shape>
            <v:rect id="_x0000_s1118" style="position:absolute;top:-1;width:46;height:243;mso-wrap-style:none" filled="f" stroked="f">
              <v:textbox style="mso-fit-shape-to-text:t" inset="0,0,0,0">
                <w:txbxContent>
                  <w:p w:rsidR="003D4962" w:rsidRDefault="003D4962" w:rsidP="0016139F">
                    <w:r>
                      <w:rPr>
                        <w:rFonts w:ascii="Calibri" w:hAnsi="Calibri" w:cs="Calibri"/>
                        <w:color w:val="000000"/>
                      </w:rPr>
                      <w:t xml:space="preserve"> </w:t>
                    </w:r>
                  </w:p>
                </w:txbxContent>
              </v:textbox>
            </v:rect>
            <v:rect id="_x0000_s1119" style="position:absolute;left:681;top:572;width:15;height:3353" fillcolor="black" strokeweight="0">
              <v:stroke joinstyle="bevel"/>
            </v:rect>
            <v:shape id="_x0000_s1120" style="position:absolute;left:629;top:565;width:60;height:3366" coordsize="60,3366" path="m,3353r60,l60,3366r-60,l,3353xm,2515r60,l60,2528r-60,l,2515xm,1677r60,l60,1690r-60,l,1677xm,839r60,l60,852,,852,,839xm,l60,r,14l,14,,xe" fillcolor="black" strokeweight="0">
              <v:stroke joinstyle="bevel"/>
              <v:path arrowok="t"/>
              <o:lock v:ext="edit" verticies="t"/>
            </v:shape>
            <v:rect id="_x0000_s1121" style="position:absolute;left:689;top:3918;width:6497;height:13" fillcolor="black" strokeweight="0">
              <v:stroke joinstyle="bevel"/>
            </v:rect>
            <v:shape id="_x0000_s1122" style="position:absolute;left:681;top:3925;width:6513;height:53" coordsize="6513,53" path="m15,r,53l,53,,,15,xm1093,r,53l1078,53r,-53l1093,xm2186,r,53l2171,53r,-53l2186,xm3264,r,53l3249,53r,-53l3264,xm4342,r,53l4327,53r,-53l4342,xm5435,r,53l5420,53r,-53l5435,xm6513,r,53l6498,53r,-53l6513,xe" fillcolor="black" strokeweight="0">
              <v:stroke joinstyle="bevel"/>
              <v:path arrowok="t"/>
              <o:lock v:ext="edit" verticies="t"/>
            </v:shape>
            <v:shape id="_x0000_s1123" style="position:absolute;left:1737;top:3087;width:89;height:212" coordsize="89,212" path="m45,212r,-106l45,r,212xm,212r89,l,212xm,l89,,,xe" fillcolor="black" stroked="f">
              <v:path arrowok="t"/>
              <o:lock v:ext="edit" verticies="t"/>
            </v:shape>
            <v:shape id="_x0000_s1124" style="position:absolute;left:1737;top:3080;width:89;height:226" coordsize="89,226" path="m37,219r,-106l37,7r15,l52,113r,106l37,219xm,213r89,l89,226,,226,,213xm,l89,r,13l,13,,xe" fillcolor="black" strokeweight="0">
              <v:path arrowok="t"/>
              <o:lock v:ext="edit" verticies="t"/>
            </v:shape>
            <v:shape id="_x0000_s1125" style="position:absolute;left:2276;top:2608;width:89;height:306" coordsize="89,306" path="m45,306r,-153l45,r,306xm,306r89,l,306xm,l89,,,xe" fillcolor="black" stroked="f">
              <v:path arrowok="t"/>
              <o:lock v:ext="edit" verticies="t"/>
            </v:shape>
            <v:shape id="_x0000_s1126" style="position:absolute;left:2276;top:2601;width:89;height:319" coordsize="89,319" path="m37,313r,-153l37,7r15,l52,160r,153l37,313xm,306r89,l89,319,,319,,306xm,l89,r,13l,13,,xe" fillcolor="black" strokeweight="0">
              <v:path arrowok="t"/>
              <o:lock v:ext="edit" verticies="t"/>
            </v:shape>
            <v:shape id="_x0000_s1127" style="position:absolute;left:3892;top:2075;width:90;height:400" coordsize="90,400" path="m45,400r,-200l45,r,400xm,400r90,l,400xm,l90,,,xe" fillcolor="black" stroked="f">
              <v:path arrowok="t"/>
              <o:lock v:ext="edit" verticies="t"/>
            </v:shape>
            <v:shape id="_x0000_s1128" style="position:absolute;left:3892;top:2069;width:90;height:412" coordsize="90,412" path="m38,406r,-200l38,6r15,l53,206r,200l38,406xm,399r90,l90,412,,412,,399xm,l90,r,13l,13,,xe" fillcolor="black" strokeweight="0">
              <v:path arrowok="t"/>
              <o:lock v:ext="edit" verticies="t"/>
            </v:shape>
            <v:shape id="_x0000_s1129" style="position:absolute;left:7141;top:1703;width:90;height:452" coordsize="90,452" path="m45,452r,-226l45,r,452xm,452r90,l,452xm,l90,,,xe" fillcolor="black" stroked="f">
              <v:path arrowok="t"/>
              <o:lock v:ext="edit" verticies="t"/>
            </v:shape>
            <v:shape id="_x0000_s1130" style="position:absolute;left:7141;top:1696;width:90;height:466" coordsize="90,466" path="m38,459r,-226l38,7r15,l53,233r,226l38,459xm,453r90,l90,466,,466,,453xm,l90,r,14l,14,,xe" fillcolor="black" strokeweight="0">
              <v:path arrowok="t"/>
              <o:lock v:ext="edit" verticies="t"/>
            </v:shape>
            <v:shape id="_x0000_s1131" style="position:absolute;left:1737;top:2847;width:89;height:213" coordsize="89,213" path="m45,213r,-106l45,r,213xm,213r89,l,213xm,l89,,,xe" fillcolor="black" stroked="f">
              <v:path arrowok="t"/>
              <o:lock v:ext="edit" verticies="t"/>
            </v:shape>
            <v:shape id="_x0000_s1132" style="position:absolute;left:1737;top:2840;width:89;height:227" coordsize="89,227" path="m37,220r,-106l37,7r15,l52,114r,106l37,220xm,213r89,l89,227,,227,,213xm,l89,r,14l,14,,xe" fillcolor="black" strokeweight="3e-5mm">
              <v:path arrowok="t"/>
              <o:lock v:ext="edit" verticies="t"/>
            </v:shape>
            <v:shape id="_x0000_s1133" style="position:absolute;left:2276;top:2155;width:89;height:293" coordsize="89,293" path="m45,293r,-146l45,r,293xm,293r89,l,293xm,l89,,,xe" fillcolor="black" stroked="f">
              <v:path arrowok="t"/>
              <o:lock v:ext="edit" verticies="t"/>
            </v:shape>
            <v:shape id="_x0000_s1134" style="position:absolute;left:2276;top:2149;width:89;height:306" coordsize="89,306" path="m37,299r,-146l37,6r15,l52,153r,146l37,299xm,292r89,l89,306,,306,,292xm,l89,r,13l,13,,xe" fillcolor="black" strokeweight="3e-5mm">
              <v:path arrowok="t"/>
              <o:lock v:ext="edit" verticies="t"/>
            </v:shape>
            <v:shape id="_x0000_s1135" style="position:absolute;left:3892;top:1357;width:90;height:399" coordsize="90,399" path="m45,399r,-199l45,r,399xm,399r90,l,399xm,l90,,,xe" fillcolor="black" stroked="f">
              <v:path arrowok="t"/>
              <o:lock v:ext="edit" verticies="t"/>
            </v:shape>
            <v:shape id="_x0000_s1136" style="position:absolute;left:3892;top:1350;width:90;height:413" coordsize="90,413" path="m38,406r,-199l38,7r15,l53,207r,199l38,406xm,400r90,l90,413,,413,,400xm,l90,r,14l,14,,xe" fillcolor="black" strokeweight="0">
              <v:path arrowok="t"/>
              <o:lock v:ext="edit" verticies="t"/>
            </v:shape>
            <v:shape id="_x0000_s1137" style="position:absolute;left:7141;top:878;width:90;height:452" coordsize="90,452" path="m45,452r,-226l45,r,452xm,452r90,l,452xm,l90,,,xe" fillcolor="black" stroked="f">
              <v:path arrowok="t"/>
              <o:lock v:ext="edit" verticies="t"/>
            </v:shape>
            <v:shape id="_x0000_s1138" style="position:absolute;left:7141;top:871;width:90;height:466" coordsize="90,466" path="m38,459r,-226l38,7r15,l53,233r,226l38,459xm,453r90,l90,466,,466,,453xm,l90,r,14l,14,,xe" fillcolor="black" strokeweight="0">
              <v:path arrowok="t"/>
              <o:lock v:ext="edit" verticies="t"/>
            </v:shape>
            <v:shape id="_x0000_s1139" style="position:absolute;left:679;top:1909;width:6516;height:2025" coordsize="6963,2435" path="m9,2404l187,2268hdc194,2262,204,2264,209,2271v6,7,4,17,-3,22hal28,2429hdc21,2435,11,2433,6,2426v-6,-7,-4,-17,3,-22haxm288,2190l466,2054hdc474,2049,484,2050,489,2057v5,7,4,17,-3,23hal308,2216hdc301,2221,291,2220,285,2213v-5,-8,-4,-18,3,-23haxm568,1976l746,1840hdc753,1835,763,1836,769,1843v5,7,4,17,-3,23hal588,2002hdc581,2007,571,2006,565,1999v-5,-7,-4,-17,3,-23haxm848,1763r178,-136hdc1033,1621,1043,1623,1048,1630v6,7,4,17,-3,22hal867,1788hdc860,1794,850,1792,845,1785v-5,-7,-4,-17,3,-22haxm1128,1549r33,-25l1296,1403hdc1303,1397,1313,1398,1319,1405v6,6,5,16,-2,22hal1180,1549r-33,25hdc1140,1580,1130,1578,1125,1571v-6,-7,-4,-17,3,-22haxm1392,1318r167,-148hdc1566,1164,1576,1164,1582,1171v6,6,5,17,-2,22hal1413,1342hdc1406,1348,1396,1348,1390,1341v-5,-7,-5,-17,2,-23haxm1655,1084r81,-71hdc1737,1011,1739,1010,1741,1009hal1851,972hdc1859,969,1868,974,1871,982v3,9,-1,18,-10,20hal1752,1040r5,-4l1676,1108hdc1670,1114,1659,1114,1654,1107v-6,-7,-6,-17,1,-23haxm1972,931r212,-72hdc2193,856,2202,861,2204,869v3,8,-1,17,-10,20hal1982,961hdc1974,964,1965,960,1962,951v-3,-8,2,-17,10,-20haxm2305,818r213,-72hdc2526,743,2535,747,2538,756v3,8,-2,17,-10,20hal2316,848hdc2307,851,2298,847,2295,838v-2,-8,2,-17,10,-20haxm2639,705r212,-72hdc2859,630,2868,634,2871,643v3,8,-2,17,-10,20hal2649,735hdc2641,738,2632,733,2629,725v-3,-8,1,-17,10,-20haxm2972,592r212,-72hdc3193,517,3202,521,3204,530v3,8,-1,17,-10,20hal2982,622hdc2974,625,2965,620,2962,612v-3,-9,2,-18,10,-20haxm3305,478r180,-61hdc3486,417,3487,417,3489,417hal3522,413hdc3531,411,3539,418,3540,426v1,9,-5,17,-14,18hal3492,448r4,l3316,509hdc3307,512,3298,507,3295,499v-2,-9,2,-18,10,-21haxm3649,397r223,-27hdc3881,369,3888,376,3890,384v1,9,-6,17,-14,18hal3653,429hdc3644,430,3636,424,3635,415v-1,-9,6,-17,14,-18haxm3999,355r222,-27hdc4230,327,4238,334,4239,342v1,9,-5,17,-14,18hal4003,387hdc3994,388,3986,382,3985,373v-1,-9,5,-17,14,-18haxm4348,313r223,-27hdc4579,285,4587,292,4588,300v2,9,-5,17,-13,18hal4352,345hdc4343,346,4335,340,4334,331v-1,-9,6,-17,14,-18haxm4698,271r222,-27hdc4929,243,4937,249,4938,258v1,9,-5,17,-14,18hal4702,303hdc4693,304,4685,298,4684,289v-1,-9,5,-17,14,-18haxm5047,229r223,-27hdc5278,201,5286,207,5287,216v1,9,-5,17,-14,18hal5051,261hdc5042,262,5034,256,5033,247v-1,-9,5,-17,14,-18haxm5397,187r222,-27hdc5628,159,5636,165,5637,174v1,9,-5,17,-14,18hal5401,219hdc5392,220,5384,213,5383,205v-1,-9,5,-17,14,-18haxm5746,145r223,-27hdc5977,117,5985,123,5986,132v1,9,-5,17,-14,18hal5750,177hdc5741,178,5733,171,5732,163v-1,-9,5,-17,14,-18haxm6096,103l6318,76hdc6327,75,6335,81,6336,90v1,9,-5,17,-14,18hal6100,135hdc6091,136,6083,129,6082,121v-1,-9,5,-17,14,-18haxm6445,61l6668,34hdc6676,33,6684,39,6685,48v1,9,-5,17,-14,18hal6449,92hdc6440,94,6432,87,6431,78v-1,-8,5,-16,14,-17haxm6795,19l6945,1hdc6953,,6961,6,6962,15v1,8,-5,16,-14,17hal6798,50hdc6790,51,6782,45,6781,36v-1,-8,5,-16,14,-17haxe" fillcolor="black" strokeweight="0">
              <v:stroke joinstyle="bevel"/>
              <v:path arrowok="t"/>
              <o:lock v:ext="edit" verticies="t"/>
            </v:shape>
            <v:shape id="_x0000_s1140" style="position:absolute;left:614;top:3850;width:160;height:141" coordsize="160,141" path="m80,141l,71,80,r80,71l80,141xe" fillcolor="black" stroked="f">
              <v:path arrowok="t"/>
            </v:shape>
            <v:shape id="_x0000_s1141" style="position:absolute;left:606;top:3842;width:176;height:157" coordsize="188,188" path="m99,185hdc96,188,91,188,88,185hal3,100hdc,97,,92,3,88hal88,3hdc91,,96,,99,3hal185,88hdc188,92,188,97,185,100hal99,185hdxm174,88hal174,100,88,14r11,l14,100r,-12l99,174r-11,l174,88hdxe" fillcolor="black" strokeweight="42e-5mm">
              <v:stroke joinstyle="bevel"/>
              <v:path arrowok="t"/>
              <o:lock v:ext="edit" verticies="t"/>
            </v:shape>
            <v:shape id="_x0000_s1142" style="position:absolute;left:1695;top:3113;width:160;height:142" coordsize="160,142" path="m80,142l,71,80,r80,71l80,142xe" fillcolor="black" stroked="f">
              <v:path arrowok="t"/>
            </v:shape>
            <v:shape id="_x0000_s1143" style="position:absolute;left:1687;top:3106;width:177;height:157" coordsize="189,189" path="m100,186hdc97,189,92,189,89,186hal3,100hdc,97,,92,3,89hal89,3hdc92,,97,,100,3hal185,89hdc189,92,189,97,185,100hal100,186hdxm174,89hal174,100,89,15r11,l15,100r,-11l100,174r-11,l174,89hdxe" fillcolor="black" strokeweight="0">
              <v:stroke joinstyle="bevel"/>
              <v:path arrowok="t"/>
              <o:lock v:ext="edit" verticies="t"/>
            </v:shape>
            <v:shape id="_x0000_s1144" style="position:absolute;left:2236;top:2687;width:159;height:142" coordsize="159,142" path="m80,142l,70,80,r79,70l80,142xe" fillcolor="black" stroked="f">
              <v:path arrowok="t"/>
            </v:shape>
            <v:shape id="_x0000_s1145" style="position:absolute;left:2228;top:2679;width:176;height:156" coordsize="188,188" path="m100,185hdc97,188,92,188,88,185hal3,100hdc,97,,92,3,89hal88,3hdc92,,97,,100,3hal185,89hdc188,92,188,97,185,100hal100,185hdxm174,89hal174,100,88,14r12,l14,100r,-11l100,174r-12,l174,89hdxe" fillcolor="black" strokeweight="42e-5mm">
              <v:stroke joinstyle="bevel"/>
              <v:path arrowok="t"/>
              <o:lock v:ext="edit" verticies="t"/>
            </v:shape>
            <v:shape id="_x0000_s1146" style="position:absolute;left:3858;top:2201;width:160;height:142" coordsize="160,142" path="m79,142l,72,79,r81,72l79,142xe" fillcolor="black" stroked="f">
              <v:path arrowok="t"/>
            </v:shape>
            <v:shape id="_x0000_s1147" style="position:absolute;left:3849;top:2194;width:177;height:157" coordsize="189,189" path="m100,186hdc97,189,92,189,89,186hal3,100hdc,97,,92,3,89hal89,3hdc92,,97,,100,3hal185,89hdc189,92,189,97,185,100hal100,186hdxm174,89hal174,100,89,15r11,l15,100r,-11l100,174r-11,l174,89hdxe" fillcolor="black" strokeweight="0">
              <v:stroke joinstyle="bevel"/>
              <v:path arrowok="t"/>
              <o:lock v:ext="edit" verticies="t"/>
            </v:shape>
            <v:shape id="_x0000_s1148" style="position:absolute;left:7102;top:1849;width:159;height:142" coordsize="159,142" path="m79,142l,72,79,r80,72l79,142xe" fillcolor="black" stroked="f">
              <v:path arrowok="t"/>
            </v:shape>
            <v:shape id="_x0000_s1149" style="position:absolute;left:7093;top:1843;width:176;height:156" coordsize="188,188" path="m100,185hdc97,188,92,188,88,185hal3,100hdc,96,,91,3,88hal88,3hdc92,,97,,100,3hal185,88hdc188,91,188,96,185,100hal100,185hdxm174,88hal174,100,88,14r12,l14,100r,-12l100,174r-12,l174,88hdxe" fillcolor="black" strokeweight="0">
              <v:stroke joinstyle="bevel"/>
              <v:path arrowok="t"/>
              <o:lock v:ext="edit" verticies="t"/>
            </v:shape>
            <v:shape id="_x0000_s1150" style="position:absolute;left:680;top:1083;width:6515;height:2850" coordsize="6963,3427" path="m6,3398l1158,2230r-1,2l1733,1448hdc1734,1446,1736,1444,1738,1443hal3482,531hdc3484,530,3485,530,3487,530hal6943,2hdc6952,,6960,6,6961,15v2,9,-4,17,-13,18hal3492,561r5,-1l1753,1472r5,-5l1182,2251hdc1182,2252,1181,2252,1181,2253hal29,3421hdc23,3427,13,3427,6,3421v-6,-6,-6,-16,,-23haxe" fillcolor="black" strokeweight="0">
              <v:stroke joinstyle="bevel"/>
              <v:path arrowok="t"/>
            </v:shape>
            <v:rect id="_x0000_s1151" style="position:absolute;left:629;top:3872;width:120;height:106" fillcolor="black" stroked="f"/>
            <v:shape id="_x0000_s1152" style="position:absolute;left:621;top:3865;width:135;height:120" coordsize="144,144" path="m,8hdc,4,4,,8,hal136,hdc141,,144,4,144,8hal144,136hdc144,141,141,144,136,144hal8,144hdc4,144,,141,,136hal,8hdxm16,136hal8,128r128,l128,136,128,8r8,8l8,16,16,8r,128hdxe" fillcolor="black" strokeweight="0">
              <v:stroke joinstyle="bevel"/>
              <v:path arrowok="t"/>
              <o:lock v:ext="edit" verticies="t"/>
            </v:shape>
            <v:rect id="_x0000_s1153" style="position:absolute;left:1707;top:2900;width:119;height:107" fillcolor="black" stroked="f"/>
            <v:shape id="_x0000_s1154" style="position:absolute;left:1699;top:2894;width:135;height:119" coordsize="144,144" path="m,8hdc,4,4,,8,hal136,hdc141,,144,4,144,8hal144,136hdc144,141,141,144,136,144hal8,144hdc4,144,,141,,136hal,8hdxm16,136hal8,128r128,l128,136,128,8r8,8l8,16,16,8r,128hdxe" fillcolor="black" strokeweight="0">
              <v:stroke joinstyle="bevel"/>
              <v:path arrowok="t"/>
              <o:lock v:ext="edit" verticies="t"/>
            </v:shape>
            <v:rect id="_x0000_s1155" style="position:absolute;left:2246;top:2248;width:134;height:107" fillcolor="black" stroked="f"/>
            <v:shape id="_x0000_s1156" style="position:absolute;left:2238;top:2242;width:150;height:120" coordsize="160,144" path="m,8hdc,4,4,,8,hal152,hdc157,,160,4,160,8hal160,136hdc160,141,157,144,152,144hal8,144hdc4,144,,141,,136hal,8hdxm16,136hal8,128r144,l144,136,144,8r8,8l8,16,16,8r,128hdxe" fillcolor="black" strokeweight="0">
              <v:stroke joinstyle="bevel"/>
              <v:path arrowok="t"/>
              <o:lock v:ext="edit" verticies="t"/>
            </v:shape>
            <v:rect id="_x0000_s1157" style="position:absolute;left:3877;top:1490;width:120;height:107" fillcolor="black" stroked="f"/>
            <v:shape id="_x0000_s1158" style="position:absolute;left:3870;top:1483;width:135;height:120" coordsize="144,144" path="m,8hdc,4,4,,8,hal136,hdc141,,144,4,144,8hal144,136hdc144,141,141,144,136,144hal8,144hdc4,144,,141,,136hal,8hdxm16,136hal8,128r128,l128,136,128,8r8,8l8,16,16,8r,128hdxe" fillcolor="black" strokeweight="0">
              <v:stroke joinstyle="bevel"/>
              <v:path arrowok="t"/>
              <o:lock v:ext="edit" verticies="t"/>
            </v:shape>
            <v:rect id="_x0000_s1159" style="position:absolute;left:7126;top:1051;width:120;height:106" fillcolor="black" stroked="f"/>
            <v:shape id="_x0000_s1160" style="position:absolute;left:7119;top:1044;width:134;height:120" coordsize="144,144" path="m,8hdc,4,4,,8,hal136,hdc141,,144,4,144,8hal144,136hdc144,141,141,144,136,144hal8,144hdc4,144,,141,,136hal,8hdxm16,136hal8,128r128,l128,136,128,8r8,8l8,16,16,8r,128hdxe" fillcolor="black" strokeweight="0">
              <v:stroke joinstyle="bevel"/>
              <v:path arrowok="t"/>
              <o:lock v:ext="edit" verticies="t"/>
            </v:shape>
            <v:rect id="_x0000_s1161" style="position:absolute;left:412;top:3820;width:115;height:219;mso-wrap-style:none" filled="f" stroked="f">
              <v:textbox style="mso-fit-shape-to-text:t" inset="0,0,0,0">
                <w:txbxContent>
                  <w:p w:rsidR="003D4962" w:rsidRPr="00182D14" w:rsidRDefault="003D4962" w:rsidP="0016139F">
                    <w:r w:rsidRPr="00182D14">
                      <w:rPr>
                        <w:sz w:val="18"/>
                        <w:szCs w:val="18"/>
                      </w:rPr>
                      <w:t>0</w:t>
                    </w:r>
                  </w:p>
                </w:txbxContent>
              </v:textbox>
            </v:rect>
            <v:rect id="_x0000_s1162" style="position:absolute;left:412;top:2984;width:115;height:219;mso-wrap-style:none" filled="f" stroked="f">
              <v:textbox style="mso-fit-shape-to-text:t" inset="0,0,0,0">
                <w:txbxContent>
                  <w:p w:rsidR="003D4962" w:rsidRPr="00182D14" w:rsidRDefault="003D4962" w:rsidP="0016139F">
                    <w:r w:rsidRPr="00182D14">
                      <w:rPr>
                        <w:sz w:val="18"/>
                        <w:szCs w:val="18"/>
                      </w:rPr>
                      <w:t>1</w:t>
                    </w:r>
                  </w:p>
                </w:txbxContent>
              </v:textbox>
            </v:rect>
            <v:rect id="_x0000_s1163" style="position:absolute;left:412;top:2148;width:115;height:219;mso-wrap-style:none" filled="f" stroked="f">
              <v:textbox style="mso-fit-shape-to-text:t" inset="0,0,0,0">
                <w:txbxContent>
                  <w:p w:rsidR="003D4962" w:rsidRPr="00182D14" w:rsidRDefault="003D4962" w:rsidP="0016139F">
                    <w:r w:rsidRPr="00182D14">
                      <w:rPr>
                        <w:sz w:val="18"/>
                        <w:szCs w:val="18"/>
                      </w:rPr>
                      <w:t>2</w:t>
                    </w:r>
                  </w:p>
                </w:txbxContent>
              </v:textbox>
            </v:rect>
            <v:rect id="_x0000_s1164" style="position:absolute;left:412;top:1312;width:115;height:219;mso-wrap-style:none" filled="f" stroked="f">
              <v:textbox style="mso-fit-shape-to-text:t" inset="0,0,0,0">
                <w:txbxContent>
                  <w:p w:rsidR="003D4962" w:rsidRPr="00182D14" w:rsidRDefault="003D4962" w:rsidP="0016139F">
                    <w:r w:rsidRPr="00182D14">
                      <w:rPr>
                        <w:sz w:val="18"/>
                        <w:szCs w:val="18"/>
                      </w:rPr>
                      <w:t>3</w:t>
                    </w:r>
                  </w:p>
                </w:txbxContent>
              </v:textbox>
            </v:rect>
            <v:rect id="_x0000_s1165" style="position:absolute;left:412;top:476;width:115;height:219;mso-wrap-style:none" filled="f" stroked="f">
              <v:textbox style="mso-fit-shape-to-text:t" inset="0,0,0,0">
                <w:txbxContent>
                  <w:p w:rsidR="003D4962" w:rsidRPr="00182D14" w:rsidRDefault="003D4962" w:rsidP="0016139F">
                    <w:r w:rsidRPr="00182D14">
                      <w:rPr>
                        <w:sz w:val="18"/>
                        <w:szCs w:val="18"/>
                      </w:rPr>
                      <w:t>4</w:t>
                    </w:r>
                  </w:p>
                </w:txbxContent>
              </v:textbox>
            </v:rect>
            <v:rect id="_x0000_s1166" style="position:absolute;left:641;top:4086;width:115;height:219;mso-wrap-style:none" filled="f" stroked="f">
              <v:textbox style="mso-fit-shape-to-text:t" inset="0,0,0,0">
                <w:txbxContent>
                  <w:p w:rsidR="003D4962" w:rsidRPr="00182D14" w:rsidRDefault="003D4962" w:rsidP="0016139F">
                    <w:r w:rsidRPr="00182D14">
                      <w:rPr>
                        <w:sz w:val="18"/>
                        <w:szCs w:val="18"/>
                      </w:rPr>
                      <w:t>0</w:t>
                    </w:r>
                  </w:p>
                </w:txbxContent>
              </v:textbox>
            </v:rect>
            <v:rect id="_x0000_s1167" style="position:absolute;left:1677;top:4086;width:229;height:219;mso-wrap-style:none" filled="f" stroked="f">
              <v:textbox style="mso-fit-shape-to-text:t" inset="0,0,0,0">
                <w:txbxContent>
                  <w:p w:rsidR="003D4962" w:rsidRPr="00182D14" w:rsidRDefault="003D4962" w:rsidP="0016139F">
                    <w:r w:rsidRPr="00182D14">
                      <w:rPr>
                        <w:sz w:val="18"/>
                        <w:szCs w:val="18"/>
                      </w:rPr>
                      <w:t>10</w:t>
                    </w:r>
                  </w:p>
                </w:txbxContent>
              </v:textbox>
            </v:rect>
            <v:rect id="_x0000_s1168" style="position:absolute;left:2758;top:4086;width:229;height:219;mso-wrap-style:none" filled="f" stroked="f">
              <v:textbox style="mso-fit-shape-to-text:t" inset="0,0,0,0">
                <w:txbxContent>
                  <w:p w:rsidR="003D4962" w:rsidRPr="00182D14" w:rsidRDefault="003D4962" w:rsidP="0016139F">
                    <w:r w:rsidRPr="00182D14">
                      <w:rPr>
                        <w:sz w:val="18"/>
                        <w:szCs w:val="18"/>
                      </w:rPr>
                      <w:t>20</w:t>
                    </w:r>
                  </w:p>
                </w:txbxContent>
              </v:textbox>
            </v:rect>
            <v:rect id="_x0000_s1169" style="position:absolute;left:3839;top:4086;width:229;height:219;mso-wrap-style:none" filled="f" stroked="f">
              <v:textbox style="mso-fit-shape-to-text:t" inset="0,0,0,0">
                <w:txbxContent>
                  <w:p w:rsidR="003D4962" w:rsidRPr="00182D14" w:rsidRDefault="003D4962" w:rsidP="0016139F">
                    <w:r w:rsidRPr="00182D14">
                      <w:rPr>
                        <w:sz w:val="18"/>
                        <w:szCs w:val="18"/>
                      </w:rPr>
                      <w:t>30</w:t>
                    </w:r>
                  </w:p>
                </w:txbxContent>
              </v:textbox>
            </v:rect>
            <v:rect id="_x0000_s1170" style="position:absolute;left:4920;top:4086;width:229;height:219;mso-wrap-style:none" filled="f" stroked="f">
              <v:textbox style="mso-fit-shape-to-text:t" inset="0,0,0,0">
                <w:txbxContent>
                  <w:p w:rsidR="003D4962" w:rsidRPr="00182D14" w:rsidRDefault="003D4962" w:rsidP="0016139F">
                    <w:r w:rsidRPr="00182D14">
                      <w:rPr>
                        <w:sz w:val="18"/>
                        <w:szCs w:val="18"/>
                      </w:rPr>
                      <w:t>40</w:t>
                    </w:r>
                  </w:p>
                </w:txbxContent>
              </v:textbox>
            </v:rect>
            <v:rect id="_x0000_s1171" style="position:absolute;left:6001;top:4086;width:229;height:219;mso-wrap-style:none" filled="f" stroked="f">
              <v:textbox style="mso-fit-shape-to-text:t" inset="0,0,0,0">
                <w:txbxContent>
                  <w:p w:rsidR="003D4962" w:rsidRPr="00182D14" w:rsidRDefault="003D4962" w:rsidP="0016139F">
                    <w:r w:rsidRPr="00182D14">
                      <w:rPr>
                        <w:sz w:val="18"/>
                        <w:szCs w:val="18"/>
                      </w:rPr>
                      <w:t>50</w:t>
                    </w:r>
                  </w:p>
                </w:txbxContent>
              </v:textbox>
            </v:rect>
            <v:rect id="_x0000_s1172" style="position:absolute;left:7082;top:4086;width:229;height:219;mso-wrap-style:none" filled="f" stroked="f">
              <v:textbox style="mso-fit-shape-to-text:t" inset="0,0,0,0">
                <w:txbxContent>
                  <w:p w:rsidR="003D4962" w:rsidRPr="00182D14" w:rsidRDefault="003D4962" w:rsidP="0016139F">
                    <w:r w:rsidRPr="00182D14">
                      <w:rPr>
                        <w:sz w:val="18"/>
                        <w:szCs w:val="18"/>
                      </w:rPr>
                      <w:t>60</w:t>
                    </w:r>
                  </w:p>
                </w:txbxContent>
              </v:textbox>
            </v:rect>
            <v:rect id="_x0000_s1173" style="position:absolute;left:340;top:3294;width:349;height:24;mso-wrap-style:none" filled="f" stroked="f">
              <v:textbox style="mso-fit-shape-to-text:t" inset="0,0,0,0">
                <w:txbxContent>
                  <w:p w:rsidR="003D4962" w:rsidRDefault="003D4962" w:rsidP="0016139F">
                    <w:r>
                      <w:rPr>
                        <w:b/>
                        <w:bCs/>
                        <w:color w:val="000000"/>
                        <w:sz w:val="2"/>
                        <w:szCs w:val="2"/>
                      </w:rPr>
                      <w:t>Mean Pain Intensity Difference</w:t>
                    </w:r>
                  </w:p>
                </w:txbxContent>
              </v:textbox>
            </v:rect>
            <v:rect id="_x0000_s1174" style="position:absolute;left:3493;top:4351;width:995;height:219;mso-wrap-style:none" filled="f" stroked="f">
              <v:textbox style="mso-fit-shape-to-text:t" inset="0,0,0,0">
                <w:txbxContent>
                  <w:p w:rsidR="003D4962" w:rsidRPr="00182D14" w:rsidRDefault="003D4962" w:rsidP="0016139F">
                    <w:r w:rsidRPr="00487F86">
                      <w:rPr>
                        <w:b/>
                        <w:bCs/>
                        <w:sz w:val="18"/>
                        <w:szCs w:val="18"/>
                      </w:rPr>
                      <w:t>Čas</w:t>
                    </w:r>
                    <w:r w:rsidRPr="00182D14">
                      <w:rPr>
                        <w:b/>
                        <w:bCs/>
                        <w:sz w:val="18"/>
                        <w:szCs w:val="18"/>
                      </w:rPr>
                      <w:t xml:space="preserve"> (min)</w:t>
                    </w:r>
                  </w:p>
                </w:txbxContent>
              </v:textbox>
            </v:rect>
            <v:rect id="_x0000_s1175" style="position:absolute;left:4005;top:3053;width:3054;height:293" stroked="f"/>
            <v:shape id="_x0000_s1176" style="position:absolute;left:4229;top:3200;width:449;height:13" coordsize="480,16" path="m8,l120,hdc125,,128,4,128,8v,5,-3,8,-8,8hal8,16hdc4,16,,13,,8,,4,4,,8,haxm184,l296,hdc301,,304,4,304,8v,5,-3,8,-8,8hal184,16hdc180,16,176,13,176,8v,-4,4,-8,8,-8haxm360,l472,hdc477,,480,4,480,8v,5,-3,8,-8,8hal360,16hdc356,16,352,13,352,8v,-4,4,-8,8,-8haxe" fillcolor="#f79646" strokeweight="0">
              <v:stroke joinstyle="bevel"/>
              <v:path arrowok="t"/>
              <o:lock v:ext="edit" verticies="t"/>
            </v:shape>
            <v:shape id="_x0000_s1177" style="position:absolute;left:4446;top:3166;width:75;height:67" coordsize="75,67" path="m38,67l,34,38,,75,34,38,67xe" fillcolor="black" stroked="f">
              <v:path arrowok="t"/>
            </v:shape>
            <v:shape id="_x0000_s1178" style="position:absolute;left:4439;top:3160;width:91;height:80" coordsize="97,97" path="m54,94hdc51,97,46,97,43,94hal3,54hdc,51,,46,3,43hal43,3hdc46,,51,,54,3hal94,43hdc97,46,97,51,94,54hal54,94hdxm83,43hal83,54,43,14r11,l14,54r,-11l54,83r-11,l83,43hdxe" fillcolor="black" strokeweight="0">
              <v:stroke joinstyle="bevel"/>
              <v:path arrowok="t"/>
              <o:lock v:ext="edit" verticies="t"/>
            </v:shape>
            <v:rect id="_x0000_s1179" style="position:absolute;left:4800;top:3122;width:506;height:161;mso-wrap-style:none" filled="f" stroked="f">
              <v:textbox style="mso-fit-shape-to-text:t" inset="0,0,0,0">
                <w:txbxContent>
                  <w:p w:rsidR="003D4962" w:rsidRPr="00182D14" w:rsidRDefault="003D4962" w:rsidP="0016139F">
                    <w:r w:rsidRPr="00182D14">
                      <w:rPr>
                        <w:rFonts w:ascii="Arial" w:hAnsi="Arial" w:cs="Arial"/>
                        <w:sz w:val="14"/>
                        <w:szCs w:val="14"/>
                      </w:rPr>
                      <w:t>Placebo</w:t>
                    </w:r>
                  </w:p>
                </w:txbxContent>
              </v:textbox>
            </v:rect>
            <v:shape id="_x0000_s1180" style="position:absolute;left:5607;top:3200;width:509;height:13" coordsize="544,16" path="m8,l536,hdc541,,544,4,544,8v,5,-3,8,-8,8hal8,16hdc4,16,,13,,8,,4,4,,8,haxe" fillcolor="black" strokeweight="0">
              <v:stroke joinstyle="bevel"/>
              <v:path arrowok="t"/>
            </v:shape>
            <v:rect id="_x0000_s1181" style="position:absolute;left:5824;top:3166;width:75;height:67" fillcolor="black" stroked="f"/>
            <v:shape id="_x0000_s1182" style="position:absolute;left:5816;top:3160;width:90;height:80" coordsize="96,96" path="m,8hdc,4,4,,8,hal88,hdc93,,96,4,96,8hal96,88hdc96,93,93,96,88,96hal8,96hdc4,96,,93,,88hal,8hdxm16,88hal8,80r80,l80,88,80,8r8,8l8,16,16,8r,80hdxe" fillcolor="black" strokeweight="0">
              <v:stroke joinstyle="bevel"/>
              <v:path arrowok="t"/>
              <o:lock v:ext="edit" verticies="t"/>
            </v:shape>
            <v:rect id="_x0000_s1183" style="position:absolute;left:6173;top:3113;width:606;height:170;mso-wrap-style:none" filled="f" stroked="f">
              <v:textbox inset="0,0,0,0">
                <w:txbxContent>
                  <w:p w:rsidR="003D4962" w:rsidRPr="00487F86" w:rsidRDefault="003D4962" w:rsidP="0016139F">
                    <w:pPr>
                      <w:rPr>
                        <w:rFonts w:ascii="Arial" w:hAnsi="Arial" w:cs="Arial"/>
                        <w:sz w:val="16"/>
                        <w:szCs w:val="16"/>
                        <w:lang w:val="hu-HU"/>
                      </w:rPr>
                    </w:pPr>
                    <w:r w:rsidRPr="00487F86">
                      <w:rPr>
                        <w:rFonts w:ascii="Arial" w:hAnsi="Arial" w:cs="Arial"/>
                        <w:sz w:val="16"/>
                        <w:szCs w:val="16"/>
                        <w:lang w:val="hu-HU"/>
                      </w:rPr>
                      <w:t>Lunaldin</w:t>
                    </w:r>
                  </w:p>
                </w:txbxContent>
              </v:textbox>
            </v:rect>
            <v:rect id="_x0000_s1184" style="position:absolute;left:6407;top:433;width:894;height:219;mso-wrap-style:none" filled="f" stroked="f">
              <v:textbox style="mso-fit-shape-to-text:t" inset="0,0,0,0">
                <w:txbxContent>
                  <w:p w:rsidR="003D4962" w:rsidRPr="00182D14" w:rsidRDefault="003D4962" w:rsidP="0016139F">
                    <w:r w:rsidRPr="00182D14">
                      <w:rPr>
                        <w:sz w:val="18"/>
                        <w:szCs w:val="18"/>
                      </w:rPr>
                      <w:t>P=0.0004</w:t>
                    </w:r>
                  </w:p>
                </w:txbxContent>
              </v:textbox>
            </v:rect>
            <v:rect id="_x0000_s1185" style="position:absolute;left:3476;top:939;width:894;height:219;mso-wrap-style:none" filled="f" stroked="f">
              <v:textbox style="mso-fit-shape-to-text:t" inset="0,0,0,0">
                <w:txbxContent>
                  <w:p w:rsidR="003D4962" w:rsidRPr="00182D14" w:rsidRDefault="003D4962" w:rsidP="0016139F">
                    <w:r w:rsidRPr="00182D14">
                      <w:rPr>
                        <w:sz w:val="18"/>
                        <w:szCs w:val="18"/>
                      </w:rPr>
                      <w:t>P=0.0002</w:t>
                    </w:r>
                  </w:p>
                </w:txbxContent>
              </v:textbox>
            </v:rect>
            <v:rect id="_x0000_s1186" style="position:absolute;left:1816;top:1745;width:894;height:219;mso-wrap-style:none" filled="f" stroked="f">
              <v:textbox style="mso-fit-shape-to-text:t" inset="0,0,0,0">
                <w:txbxContent>
                  <w:p w:rsidR="003D4962" w:rsidRPr="00182D14" w:rsidRDefault="003D4962" w:rsidP="0016139F">
                    <w:r w:rsidRPr="00182D14">
                      <w:rPr>
                        <w:sz w:val="18"/>
                        <w:szCs w:val="18"/>
                      </w:rPr>
                      <w:t>P=0.0011</w:t>
                    </w:r>
                  </w:p>
                </w:txbxContent>
              </v:textbox>
            </v:rect>
            <v:rect id="_x0000_s1187" style="position:absolute;left:1022;top:2479;width:894;height:219;mso-wrap-style:none" filled="f" stroked="f">
              <v:textbox style="mso-fit-shape-to-text:t" inset="0,0,0,0">
                <w:txbxContent>
                  <w:p w:rsidR="003D4962" w:rsidRPr="00182D14" w:rsidRDefault="003D4962" w:rsidP="0016139F">
                    <w:r w:rsidRPr="00182D14">
                      <w:rPr>
                        <w:sz w:val="18"/>
                        <w:szCs w:val="18"/>
                      </w:rPr>
                      <w:t>P=0.0055</w:t>
                    </w:r>
                  </w:p>
                </w:txbxContent>
              </v:textbox>
            </v:rect>
            <v:rect id="_x0000_s1188" style="position:absolute;top:179;width:180;height:3707;rotation:360;flip:y" filled="f" stroked="f">
              <v:textbox style="layout-flow:vertical;mso-layout-flow-alt:bottom-to-top;mso-next-textbox:#_x0000_s1188" inset="0,0,0,0">
                <w:txbxContent>
                  <w:p w:rsidR="003D4962" w:rsidRPr="0016139F" w:rsidRDefault="003D4962" w:rsidP="0016139F">
                    <w:r w:rsidRPr="0016139F">
                      <w:rPr>
                        <w:b/>
                        <w:bCs/>
                        <w:sz w:val="18"/>
                        <w:szCs w:val="18"/>
                      </w:rPr>
                      <w:t>Stredná odchýlka intenzity bolesti</w:t>
                    </w:r>
                  </w:p>
                  <w:p w:rsidR="003D4962" w:rsidRPr="00155161" w:rsidRDefault="003D4962" w:rsidP="0016139F">
                    <w:pPr>
                      <w:rPr>
                        <w:color w:val="F79646"/>
                      </w:rPr>
                    </w:pPr>
                    <w:r>
                      <w:rPr>
                        <w:b/>
                        <w:bCs/>
                        <w:color w:val="F79646"/>
                        <w:sz w:val="18"/>
                        <w:szCs w:val="18"/>
                      </w:rPr>
                      <w:t>Intensity Difference</w:t>
                    </w:r>
                  </w:p>
                </w:txbxContent>
              </v:textbox>
            </v:rect>
            <w10:wrap type="none"/>
            <w10:anchorlock/>
          </v:group>
        </w:pict>
      </w:r>
    </w:p>
    <w:p w:rsidR="00740E93" w:rsidRPr="00A12068" w:rsidRDefault="00740E93" w:rsidP="00E12DE9">
      <w:pPr>
        <w:pStyle w:val="SPCNormal"/>
        <w:rPr>
          <w:szCs w:val="22"/>
        </w:rPr>
      </w:pPr>
    </w:p>
    <w:p w:rsidR="00955004" w:rsidRPr="00A12068" w:rsidRDefault="00955004" w:rsidP="00E12DE9">
      <w:pPr>
        <w:pStyle w:val="SPCNormal"/>
        <w:rPr>
          <w:szCs w:val="22"/>
        </w:rPr>
      </w:pPr>
    </w:p>
    <w:p w:rsidR="00955004" w:rsidRPr="00A12068" w:rsidRDefault="00955004" w:rsidP="00E12DE9">
      <w:pPr>
        <w:pStyle w:val="SPCNormal"/>
        <w:rPr>
          <w:szCs w:val="22"/>
        </w:rPr>
      </w:pPr>
    </w:p>
    <w:p w:rsidR="000D6F3D" w:rsidRPr="00A12068" w:rsidRDefault="000D6F3D" w:rsidP="00E12DE9">
      <w:pPr>
        <w:pStyle w:val="SPCNormal"/>
        <w:rPr>
          <w:szCs w:val="22"/>
        </w:rPr>
      </w:pPr>
      <w:r w:rsidRPr="00A12068">
        <w:rPr>
          <w:szCs w:val="22"/>
        </w:rPr>
        <w:t xml:space="preserve">Bezpečnosť a účinnosť Lunaldinu bola hodnotená u pacientov, ktorí ho </w:t>
      </w:r>
      <w:r w:rsidR="00CE45E3" w:rsidRPr="00A12068">
        <w:rPr>
          <w:szCs w:val="22"/>
        </w:rPr>
        <w:t>užívali</w:t>
      </w:r>
      <w:r w:rsidRPr="00A12068">
        <w:rPr>
          <w:szCs w:val="22"/>
        </w:rPr>
        <w:t xml:space="preserve"> pri ná</w:t>
      </w:r>
      <w:r w:rsidR="003E1FEC" w:rsidRPr="00A12068">
        <w:rPr>
          <w:szCs w:val="22"/>
        </w:rPr>
        <w:t>stup</w:t>
      </w:r>
      <w:r w:rsidR="00101BD7" w:rsidRPr="00A12068">
        <w:rPr>
          <w:szCs w:val="22"/>
        </w:rPr>
        <w:t>e</w:t>
      </w:r>
      <w:r w:rsidRPr="00A12068">
        <w:rPr>
          <w:szCs w:val="22"/>
        </w:rPr>
        <w:t xml:space="preserve"> epizódy </w:t>
      </w:r>
      <w:r w:rsidR="005E21F0" w:rsidRPr="00A12068">
        <w:rPr>
          <w:szCs w:val="22"/>
        </w:rPr>
        <w:t xml:space="preserve">prelomovej </w:t>
      </w:r>
      <w:r w:rsidRPr="00A12068">
        <w:rPr>
          <w:szCs w:val="22"/>
        </w:rPr>
        <w:t xml:space="preserve">bolesti. Preventívne použitie Lunaldinu pre predvídateľné epizódy </w:t>
      </w:r>
      <w:r w:rsidR="005E21F0" w:rsidRPr="00A12068">
        <w:rPr>
          <w:szCs w:val="22"/>
        </w:rPr>
        <w:t xml:space="preserve">prelomovej </w:t>
      </w:r>
      <w:r w:rsidRPr="00A12068">
        <w:rPr>
          <w:szCs w:val="22"/>
        </w:rPr>
        <w:t>bolesti nebolo v klinických skúškach skúmané.</w:t>
      </w:r>
    </w:p>
    <w:p w:rsidR="000D6F3D" w:rsidRPr="00A12068" w:rsidRDefault="000D6F3D" w:rsidP="00E12DE9">
      <w:pPr>
        <w:pStyle w:val="SPCNormal"/>
        <w:rPr>
          <w:szCs w:val="22"/>
        </w:rPr>
      </w:pPr>
      <w:r w:rsidRPr="00A12068">
        <w:rPr>
          <w:szCs w:val="22"/>
        </w:rPr>
        <w:t>Fentanyl, podobne ako in</w:t>
      </w:r>
      <w:r w:rsidR="00955004" w:rsidRPr="00A12068">
        <w:rPr>
          <w:szCs w:val="22"/>
        </w:rPr>
        <w:t>é</w:t>
      </w:r>
      <w:r w:rsidRPr="00A12068">
        <w:rPr>
          <w:szCs w:val="22"/>
        </w:rPr>
        <w:t xml:space="preserve"> agonist</w:t>
      </w:r>
      <w:r w:rsidR="00955004" w:rsidRPr="00A12068">
        <w:rPr>
          <w:szCs w:val="22"/>
        </w:rPr>
        <w:t>y</w:t>
      </w:r>
      <w:r w:rsidRPr="00A12068">
        <w:rPr>
          <w:szCs w:val="22"/>
        </w:rPr>
        <w:t xml:space="preserve"> µ-ópiového receptora spôsobujú od dávky závislú respiračnú depresiu. Toto riziko je vyššie u pacientov neliečených opiátmi ako u pacientov so silnými bolesťami, alebo pacientov na </w:t>
      </w:r>
      <w:r w:rsidR="00955004" w:rsidRPr="00A12068">
        <w:rPr>
          <w:szCs w:val="22"/>
        </w:rPr>
        <w:t>dlhodob</w:t>
      </w:r>
      <w:r w:rsidRPr="00A12068">
        <w:rPr>
          <w:szCs w:val="22"/>
        </w:rPr>
        <w:t xml:space="preserve">ej terapii opiátmi. Dlhodobá liečba opiátmi vedie k vzniku tolerancie ich sekundárnych účinkov. </w:t>
      </w:r>
    </w:p>
    <w:p w:rsidR="000D6F3D" w:rsidRPr="00A12068" w:rsidRDefault="000D6F3D" w:rsidP="00E12DE9">
      <w:pPr>
        <w:pStyle w:val="SPCNormal"/>
        <w:rPr>
          <w:szCs w:val="22"/>
        </w:rPr>
      </w:pPr>
      <w:r w:rsidRPr="00A12068">
        <w:rPr>
          <w:szCs w:val="22"/>
        </w:rPr>
        <w:t xml:space="preserve"> </w:t>
      </w:r>
    </w:p>
    <w:p w:rsidR="000D6F3D" w:rsidRPr="00A12068" w:rsidRDefault="000D6F3D" w:rsidP="00E12DE9">
      <w:pPr>
        <w:pStyle w:val="SPCNormal"/>
        <w:rPr>
          <w:szCs w:val="22"/>
        </w:rPr>
      </w:pPr>
      <w:r w:rsidRPr="00A12068">
        <w:rPr>
          <w:szCs w:val="22"/>
        </w:rPr>
        <w:t xml:space="preserve">Aj keď opiáty </w:t>
      </w:r>
      <w:r w:rsidR="001D433A" w:rsidRPr="00A12068">
        <w:rPr>
          <w:szCs w:val="22"/>
        </w:rPr>
        <w:t>vše</w:t>
      </w:r>
      <w:r w:rsidRPr="00A12068">
        <w:rPr>
          <w:szCs w:val="22"/>
        </w:rPr>
        <w:t>obecne zvyšujú tonus hladkých svalov močových ciest, výsledný efekt je variabilný, spôsobujúci v niektorých prípadoch nutkanie na močenie, v iných ťažkosti s močením.</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Opiáty zvyšujú tonus a znižujú hnacie kontrakcie hladkého svalstva gastrointestinálneho traktu, čo zvyšuje čas prechodu zažívacím traktom a môže byť príčinou zápchy spôsobenej fentanylom.</w:t>
      </w:r>
    </w:p>
    <w:p w:rsidR="000D6F3D" w:rsidRPr="00A12068" w:rsidRDefault="000D6F3D" w:rsidP="00E12DE9">
      <w:pPr>
        <w:pStyle w:val="SPCNormal"/>
        <w:rPr>
          <w:szCs w:val="22"/>
        </w:rPr>
      </w:pPr>
    </w:p>
    <w:p w:rsidR="000D6F3D" w:rsidRPr="00A12068" w:rsidRDefault="000D6F3D" w:rsidP="00E12DE9">
      <w:pPr>
        <w:pStyle w:val="SPC2"/>
        <w:rPr>
          <w:szCs w:val="22"/>
        </w:rPr>
      </w:pPr>
      <w:r w:rsidRPr="00A12068">
        <w:rPr>
          <w:szCs w:val="22"/>
        </w:rPr>
        <w:t>5.2</w:t>
      </w:r>
      <w:r w:rsidRPr="00A12068">
        <w:rPr>
          <w:szCs w:val="22"/>
        </w:rPr>
        <w:tab/>
        <w:t>Farmakokinetické vlastnosti</w:t>
      </w:r>
    </w:p>
    <w:p w:rsidR="000D6F3D" w:rsidRPr="00A12068" w:rsidRDefault="000D6F3D" w:rsidP="00E12DE9">
      <w:pPr>
        <w:pStyle w:val="SPCNormal"/>
        <w:rPr>
          <w:szCs w:val="22"/>
        </w:rPr>
      </w:pPr>
    </w:p>
    <w:p w:rsidR="000D6F3D" w:rsidRPr="00A12068" w:rsidRDefault="000D6F3D" w:rsidP="00E12DE9">
      <w:pPr>
        <w:pStyle w:val="SPCNormal"/>
        <w:rPr>
          <w:dstrike/>
          <w:szCs w:val="22"/>
        </w:rPr>
      </w:pPr>
      <w:r w:rsidRPr="00A12068">
        <w:rPr>
          <w:szCs w:val="22"/>
        </w:rPr>
        <w:t>Fentanyl je výrazne lipofiln</w:t>
      </w:r>
      <w:r w:rsidR="001D433A" w:rsidRPr="00A12068">
        <w:rPr>
          <w:szCs w:val="22"/>
        </w:rPr>
        <w:t>é</w:t>
      </w:r>
      <w:r w:rsidRPr="00A12068">
        <w:rPr>
          <w:szCs w:val="22"/>
        </w:rPr>
        <w:t xml:space="preserve"> </w:t>
      </w:r>
      <w:r w:rsidR="001D433A" w:rsidRPr="00A12068">
        <w:rPr>
          <w:szCs w:val="22"/>
        </w:rPr>
        <w:t>liečivo</w:t>
      </w:r>
      <w:r w:rsidRPr="00A12068">
        <w:rPr>
          <w:szCs w:val="22"/>
        </w:rPr>
        <w:t xml:space="preserve">, </w:t>
      </w:r>
      <w:r w:rsidR="001D433A" w:rsidRPr="00A12068">
        <w:rPr>
          <w:szCs w:val="22"/>
        </w:rPr>
        <w:t xml:space="preserve">veľmi </w:t>
      </w:r>
      <w:r w:rsidRPr="00A12068">
        <w:rPr>
          <w:szCs w:val="22"/>
        </w:rPr>
        <w:t>rýchlo sa absorbujúc</w:t>
      </w:r>
      <w:r w:rsidR="001D433A" w:rsidRPr="00A12068">
        <w:rPr>
          <w:szCs w:val="22"/>
        </w:rPr>
        <w:t>e</w:t>
      </w:r>
      <w:r w:rsidRPr="00A12068">
        <w:rPr>
          <w:szCs w:val="22"/>
        </w:rPr>
        <w:t xml:space="preserve"> cez sliznicu úst a pomalšie cez gastrointestinálny trakt. Orálne podaný fentanyl pod</w:t>
      </w:r>
      <w:r w:rsidR="00E0432B" w:rsidRPr="00A12068">
        <w:rPr>
          <w:szCs w:val="22"/>
        </w:rPr>
        <w:t>lieha</w:t>
      </w:r>
      <w:r w:rsidRPr="00A12068">
        <w:rPr>
          <w:szCs w:val="22"/>
        </w:rPr>
        <w:t xml:space="preserve"> </w:t>
      </w:r>
      <w:r w:rsidR="00E0432B" w:rsidRPr="00A12068">
        <w:rPr>
          <w:szCs w:val="22"/>
        </w:rPr>
        <w:t>výraznému</w:t>
      </w:r>
      <w:r w:rsidRPr="00A12068">
        <w:rPr>
          <w:szCs w:val="22"/>
        </w:rPr>
        <w:t xml:space="preserve"> </w:t>
      </w:r>
      <w:r w:rsidR="00E0432B" w:rsidRPr="00A12068">
        <w:rPr>
          <w:szCs w:val="22"/>
        </w:rPr>
        <w:t xml:space="preserve">hepatálnemu a intestinálnemu </w:t>
      </w:r>
      <w:r w:rsidR="00E0432B" w:rsidRPr="00A12068">
        <w:rPr>
          <w:i/>
          <w:szCs w:val="22"/>
        </w:rPr>
        <w:t xml:space="preserve">first pass </w:t>
      </w:r>
      <w:r w:rsidR="00E0432B" w:rsidRPr="00A12068">
        <w:rPr>
          <w:szCs w:val="22"/>
        </w:rPr>
        <w:t xml:space="preserve">efektu (účinok </w:t>
      </w:r>
      <w:r w:rsidRPr="00A12068">
        <w:rPr>
          <w:szCs w:val="22"/>
        </w:rPr>
        <w:t>prv</w:t>
      </w:r>
      <w:r w:rsidR="00E0432B" w:rsidRPr="00A12068">
        <w:rPr>
          <w:szCs w:val="22"/>
        </w:rPr>
        <w:t>ého</w:t>
      </w:r>
      <w:r w:rsidRPr="00A12068">
        <w:rPr>
          <w:szCs w:val="22"/>
        </w:rPr>
        <w:t xml:space="preserve"> prechod</w:t>
      </w:r>
      <w:r w:rsidR="00E0432B" w:rsidRPr="00A12068">
        <w:rPr>
          <w:szCs w:val="22"/>
        </w:rPr>
        <w:t>u)</w:t>
      </w:r>
      <w:r w:rsidRPr="00A12068">
        <w:rPr>
          <w:szCs w:val="22"/>
        </w:rPr>
        <w:t xml:space="preserve">. </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Lunaldin predstavuje rýchlorozpustnú formu sublingválnej tablety. Rýchla absorpcia fentanylu prebehne počas približne 30 minút od podania Lunaldinu. </w:t>
      </w:r>
      <w:r w:rsidR="009204AC" w:rsidRPr="00A12068">
        <w:rPr>
          <w:szCs w:val="22"/>
        </w:rPr>
        <w:t>Celková bio</w:t>
      </w:r>
      <w:r w:rsidR="00864071" w:rsidRPr="00A12068">
        <w:rPr>
          <w:szCs w:val="22"/>
        </w:rPr>
        <w:t xml:space="preserve">logická </w:t>
      </w:r>
      <w:r w:rsidR="009204AC" w:rsidRPr="00A12068">
        <w:rPr>
          <w:szCs w:val="22"/>
        </w:rPr>
        <w:t xml:space="preserve">dostupnosť </w:t>
      </w:r>
      <w:r w:rsidRPr="00A12068">
        <w:rPr>
          <w:szCs w:val="22"/>
        </w:rPr>
        <w:t xml:space="preserve">Lunaldinu </w:t>
      </w:r>
      <w:r w:rsidR="009204AC" w:rsidRPr="00A12068">
        <w:rPr>
          <w:szCs w:val="22"/>
        </w:rPr>
        <w:t xml:space="preserve">bola vypočítaná </w:t>
      </w:r>
      <w:r w:rsidRPr="00A12068">
        <w:rPr>
          <w:szCs w:val="22"/>
        </w:rPr>
        <w:t xml:space="preserve">na </w:t>
      </w:r>
      <w:r w:rsidR="009204AC" w:rsidRPr="00A12068">
        <w:rPr>
          <w:szCs w:val="22"/>
        </w:rPr>
        <w:t>54</w:t>
      </w:r>
      <w:r w:rsidR="00864071" w:rsidRPr="00A12068">
        <w:rPr>
          <w:szCs w:val="22"/>
        </w:rPr>
        <w:t xml:space="preserve"> </w:t>
      </w:r>
      <w:r w:rsidRPr="00A12068">
        <w:rPr>
          <w:szCs w:val="22"/>
        </w:rPr>
        <w:t>%. Maximálna stredná koncentrácia fentanylu v plazme sa pohybuje v rozsahu od 0,2 do 1,3 ng/m</w:t>
      </w:r>
      <w:r w:rsidRPr="00A12068">
        <w:rPr>
          <w:szCs w:val="22"/>
          <w:u w:val="single"/>
        </w:rPr>
        <w:t>l</w:t>
      </w:r>
      <w:r w:rsidRPr="00A12068">
        <w:rPr>
          <w:szCs w:val="22"/>
        </w:rPr>
        <w:t xml:space="preserve"> (po podaní 100 až 800 µg Lunaldinu) a dosiahne sa v priebehu 22,5 až 240 minút.</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Asi 80</w:t>
      </w:r>
      <w:r w:rsidR="00D146BB" w:rsidRPr="00A12068">
        <w:rPr>
          <w:szCs w:val="22"/>
        </w:rPr>
        <w:t> – </w:t>
      </w:r>
      <w:r w:rsidRPr="00A12068">
        <w:rPr>
          <w:szCs w:val="22"/>
        </w:rPr>
        <w:t>85</w:t>
      </w:r>
      <w:r w:rsidR="005F711B" w:rsidRPr="00A12068">
        <w:rPr>
          <w:szCs w:val="22"/>
        </w:rPr>
        <w:t> </w:t>
      </w:r>
      <w:r w:rsidRPr="00A12068">
        <w:rPr>
          <w:szCs w:val="22"/>
        </w:rPr>
        <w:t>% fentanylu sa viaže na plazm</w:t>
      </w:r>
      <w:r w:rsidR="005F711B" w:rsidRPr="00A12068">
        <w:rPr>
          <w:szCs w:val="22"/>
        </w:rPr>
        <w:t>atick</w:t>
      </w:r>
      <w:r w:rsidRPr="00A12068">
        <w:rPr>
          <w:szCs w:val="22"/>
        </w:rPr>
        <w:t xml:space="preserve">é proteíny, predovšetkým na </w:t>
      </w:r>
      <w:r w:rsidRPr="00A12068">
        <w:rPr>
          <w:szCs w:val="22"/>
        </w:rPr>
        <w:sym w:font="Symbol" w:char="F061"/>
      </w:r>
      <w:r w:rsidRPr="00A12068">
        <w:rPr>
          <w:szCs w:val="22"/>
        </w:rPr>
        <w:t xml:space="preserve">1-glykoproteín a do menšej miery na albumín a lipoproteín. </w:t>
      </w:r>
      <w:r w:rsidR="005F711B" w:rsidRPr="00A12068">
        <w:rPr>
          <w:szCs w:val="22"/>
        </w:rPr>
        <w:t>Distribučný o</w:t>
      </w:r>
      <w:r w:rsidRPr="00A12068">
        <w:rPr>
          <w:szCs w:val="22"/>
        </w:rPr>
        <w:t>bjem fentanylu v stabilizovanom stave je približne 3</w:t>
      </w:r>
      <w:r w:rsidR="00D146BB" w:rsidRPr="00A12068">
        <w:rPr>
          <w:szCs w:val="22"/>
        </w:rPr>
        <w:t> – </w:t>
      </w:r>
      <w:r w:rsidRPr="00A12068">
        <w:rPr>
          <w:szCs w:val="22"/>
        </w:rPr>
        <w:t>6 l/kg.</w:t>
      </w:r>
    </w:p>
    <w:p w:rsidR="000D6F3D" w:rsidRPr="00A12068" w:rsidRDefault="000D6F3D" w:rsidP="00E12DE9">
      <w:pPr>
        <w:pStyle w:val="SPCNormal"/>
        <w:rPr>
          <w:szCs w:val="22"/>
        </w:rPr>
      </w:pPr>
    </w:p>
    <w:p w:rsidR="009204AC" w:rsidRPr="00A12068" w:rsidRDefault="000D6F3D" w:rsidP="00E12DE9">
      <w:pPr>
        <w:pStyle w:val="SPCNormal"/>
        <w:rPr>
          <w:szCs w:val="22"/>
        </w:rPr>
      </w:pPr>
      <w:r w:rsidRPr="00A12068">
        <w:rPr>
          <w:szCs w:val="22"/>
        </w:rPr>
        <w:t>Fentanyl sa metabolizuje hlavne účinkom CYP3A4 na niekoľko farmakologicky inaktívnych metabolitov, ku ktorým patrí aj norfentanyl. V priebehu 72 hodín od intravenózneho podania fentanylu je približne 75</w:t>
      </w:r>
      <w:r w:rsidR="005F711B" w:rsidRPr="00A12068">
        <w:rPr>
          <w:szCs w:val="22"/>
        </w:rPr>
        <w:t> </w:t>
      </w:r>
      <w:r w:rsidRPr="00A12068">
        <w:rPr>
          <w:szCs w:val="22"/>
        </w:rPr>
        <w:t xml:space="preserve">% dávky vylúčenej do moču, hlavne vo forme metabolitov, pričom nezmenenej </w:t>
      </w:r>
      <w:r w:rsidR="005F711B" w:rsidRPr="00A12068">
        <w:rPr>
          <w:szCs w:val="22"/>
        </w:rPr>
        <w:t>účin</w:t>
      </w:r>
      <w:r w:rsidRPr="00A12068">
        <w:rPr>
          <w:szCs w:val="22"/>
        </w:rPr>
        <w:t>nej látky je menej ako 10</w:t>
      </w:r>
      <w:r w:rsidR="005F711B" w:rsidRPr="00A12068">
        <w:rPr>
          <w:szCs w:val="22"/>
        </w:rPr>
        <w:t> </w:t>
      </w:r>
      <w:r w:rsidRPr="00A12068">
        <w:rPr>
          <w:szCs w:val="22"/>
        </w:rPr>
        <w:t>%. Asi 9</w:t>
      </w:r>
      <w:r w:rsidR="005F711B" w:rsidRPr="00A12068">
        <w:rPr>
          <w:szCs w:val="22"/>
        </w:rPr>
        <w:t> </w:t>
      </w:r>
      <w:r w:rsidRPr="00A12068">
        <w:rPr>
          <w:szCs w:val="22"/>
        </w:rPr>
        <w:t>% dávky sa vylúči stolicou, hlavne vo forme metabolitov. Celkov</w:t>
      </w:r>
      <w:r w:rsidR="00134D64" w:rsidRPr="00A12068">
        <w:rPr>
          <w:szCs w:val="22"/>
        </w:rPr>
        <w:t>ý</w:t>
      </w:r>
      <w:r w:rsidRPr="00A12068">
        <w:rPr>
          <w:szCs w:val="22"/>
        </w:rPr>
        <w:t xml:space="preserve"> </w:t>
      </w:r>
      <w:r w:rsidR="00134D64" w:rsidRPr="00A12068">
        <w:rPr>
          <w:szCs w:val="22"/>
        </w:rPr>
        <w:t>klírens</w:t>
      </w:r>
      <w:r w:rsidRPr="00A12068">
        <w:rPr>
          <w:szCs w:val="22"/>
        </w:rPr>
        <w:t xml:space="preserve"> fentanylu z plazmy je asi 0,5 l/h/kg. </w:t>
      </w:r>
    </w:p>
    <w:p w:rsidR="009204AC" w:rsidRPr="00A12068" w:rsidRDefault="009204AC" w:rsidP="00E12DE9">
      <w:pPr>
        <w:pStyle w:val="SPCNormal"/>
        <w:rPr>
          <w:szCs w:val="22"/>
        </w:rPr>
      </w:pPr>
    </w:p>
    <w:p w:rsidR="000D6F3D" w:rsidRPr="00A12068" w:rsidRDefault="000D6F3D" w:rsidP="00E12DE9">
      <w:pPr>
        <w:pStyle w:val="SPCNormal"/>
        <w:rPr>
          <w:szCs w:val="22"/>
        </w:rPr>
      </w:pPr>
      <w:r w:rsidRPr="00A12068">
        <w:rPr>
          <w:szCs w:val="22"/>
        </w:rPr>
        <w:t xml:space="preserve">Po podaní Lunaldinu je hlavný </w:t>
      </w:r>
      <w:r w:rsidR="00134D64" w:rsidRPr="00A12068">
        <w:rPr>
          <w:szCs w:val="22"/>
        </w:rPr>
        <w:t xml:space="preserve">eliminačný </w:t>
      </w:r>
      <w:r w:rsidRPr="00A12068">
        <w:rPr>
          <w:szCs w:val="22"/>
        </w:rPr>
        <w:t>polčas fentanylu asi 7 hodín (rozpätie 3</w:t>
      </w:r>
      <w:r w:rsidR="00D146BB" w:rsidRPr="00A12068">
        <w:rPr>
          <w:szCs w:val="22"/>
        </w:rPr>
        <w:t> – </w:t>
      </w:r>
      <w:r w:rsidRPr="00A12068">
        <w:rPr>
          <w:szCs w:val="22"/>
        </w:rPr>
        <w:t>12,5 hodín) a</w:t>
      </w:r>
      <w:r w:rsidR="00E03599" w:rsidRPr="00A12068">
        <w:rPr>
          <w:szCs w:val="22"/>
        </w:rPr>
        <w:t> </w:t>
      </w:r>
      <w:r w:rsidRPr="00A12068">
        <w:rPr>
          <w:szCs w:val="22"/>
        </w:rPr>
        <w:t>konečný polčas je asi 20 hodín (</w:t>
      </w:r>
      <w:r w:rsidR="00134D64" w:rsidRPr="00A12068">
        <w:rPr>
          <w:szCs w:val="22"/>
        </w:rPr>
        <w:t xml:space="preserve">rozpätie </w:t>
      </w:r>
      <w:r w:rsidRPr="00A12068">
        <w:rPr>
          <w:szCs w:val="22"/>
        </w:rPr>
        <w:t>11,5</w:t>
      </w:r>
      <w:r w:rsidR="00D146BB" w:rsidRPr="00A12068">
        <w:rPr>
          <w:szCs w:val="22"/>
        </w:rPr>
        <w:t> – </w:t>
      </w:r>
      <w:r w:rsidRPr="00A12068">
        <w:rPr>
          <w:szCs w:val="22"/>
        </w:rPr>
        <w:t>25 hodín).</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 xml:space="preserve">Ukázalo sa, že farmakokinetika Lunaldinu je </w:t>
      </w:r>
      <w:r w:rsidR="002B3B79" w:rsidRPr="00A12068">
        <w:rPr>
          <w:szCs w:val="22"/>
        </w:rPr>
        <w:t xml:space="preserve">úmerne </w:t>
      </w:r>
      <w:r w:rsidRPr="00A12068">
        <w:rPr>
          <w:szCs w:val="22"/>
        </w:rPr>
        <w:t xml:space="preserve">závislá od dávky v rozsahu dávok 100 až 800 µg. </w:t>
      </w:r>
      <w:r w:rsidR="00394B4A" w:rsidRPr="00A12068">
        <w:rPr>
          <w:szCs w:val="22"/>
        </w:rPr>
        <w:t>Z farmakokinetických štúdi</w:t>
      </w:r>
      <w:r w:rsidR="0064462C" w:rsidRPr="00A12068">
        <w:rPr>
          <w:szCs w:val="22"/>
        </w:rPr>
        <w:t>í</w:t>
      </w:r>
      <w:r w:rsidR="00394B4A" w:rsidRPr="00A12068">
        <w:rPr>
          <w:szCs w:val="22"/>
        </w:rPr>
        <w:t xml:space="preserve"> vyplýva, že </w:t>
      </w:r>
      <w:r w:rsidR="00864071" w:rsidRPr="00A12068">
        <w:rPr>
          <w:szCs w:val="22"/>
        </w:rPr>
        <w:t>pri rovnocennej dávke je podanie viacerých tabliet biologicky rovnocenné s podávaním jednotlivých tabliet</w:t>
      </w:r>
      <w:r w:rsidR="00394B4A" w:rsidRPr="00A12068">
        <w:rPr>
          <w:szCs w:val="22"/>
        </w:rPr>
        <w:t xml:space="preserve">. </w:t>
      </w:r>
    </w:p>
    <w:p w:rsidR="000D6F3D" w:rsidRPr="00A12068" w:rsidRDefault="000D6F3D" w:rsidP="00E12DE9">
      <w:pPr>
        <w:pStyle w:val="SPCNormal"/>
        <w:rPr>
          <w:szCs w:val="22"/>
        </w:rPr>
      </w:pPr>
    </w:p>
    <w:p w:rsidR="0019001E" w:rsidRPr="00A12068" w:rsidRDefault="0019001E" w:rsidP="00E12DE9">
      <w:pPr>
        <w:rPr>
          <w:rFonts w:ascii="Times New Roman" w:hAnsi="Times New Roman"/>
          <w:sz w:val="22"/>
          <w:szCs w:val="22"/>
          <w:u w:val="single"/>
        </w:rPr>
      </w:pPr>
      <w:r w:rsidRPr="00A12068">
        <w:rPr>
          <w:rFonts w:ascii="Times New Roman" w:hAnsi="Times New Roman"/>
          <w:sz w:val="22"/>
          <w:szCs w:val="22"/>
          <w:u w:val="single"/>
        </w:rPr>
        <w:t>Po</w:t>
      </w:r>
      <w:r w:rsidR="007076FB" w:rsidRPr="00A12068">
        <w:rPr>
          <w:rFonts w:ascii="Times New Roman" w:hAnsi="Times New Roman"/>
          <w:sz w:val="22"/>
          <w:szCs w:val="22"/>
          <w:u w:val="single"/>
        </w:rPr>
        <w:t>rucha funkcie</w:t>
      </w:r>
      <w:r w:rsidRPr="00A12068">
        <w:rPr>
          <w:rFonts w:ascii="Times New Roman" w:hAnsi="Times New Roman"/>
          <w:sz w:val="22"/>
          <w:szCs w:val="22"/>
          <w:u w:val="single"/>
        </w:rPr>
        <w:t xml:space="preserve"> obličiek/pečene</w:t>
      </w:r>
    </w:p>
    <w:p w:rsidR="000D6F3D" w:rsidRPr="00A12068" w:rsidRDefault="000D6F3D" w:rsidP="00E12DE9">
      <w:pPr>
        <w:rPr>
          <w:rFonts w:ascii="Times New Roman" w:hAnsi="Times New Roman"/>
          <w:sz w:val="22"/>
          <w:szCs w:val="22"/>
        </w:rPr>
      </w:pPr>
      <w:r w:rsidRPr="00A12068">
        <w:rPr>
          <w:rFonts w:ascii="Times New Roman" w:hAnsi="Times New Roman"/>
          <w:sz w:val="22"/>
          <w:szCs w:val="22"/>
        </w:rPr>
        <w:t xml:space="preserve">K zvýšeným koncentráciám v sére môže dôjsť v prípade funkčnej poruchy pečene či </w:t>
      </w:r>
      <w:r w:rsidR="0000727F" w:rsidRPr="00A12068">
        <w:rPr>
          <w:rFonts w:ascii="Times New Roman" w:hAnsi="Times New Roman"/>
          <w:sz w:val="22"/>
          <w:szCs w:val="22"/>
        </w:rPr>
        <w:t>obličiek</w:t>
      </w:r>
      <w:r w:rsidRPr="00A12068">
        <w:rPr>
          <w:rFonts w:ascii="Times New Roman" w:hAnsi="Times New Roman"/>
          <w:sz w:val="22"/>
          <w:szCs w:val="22"/>
        </w:rPr>
        <w:t xml:space="preserve">. Starší, </w:t>
      </w:r>
      <w:r w:rsidR="007076FB" w:rsidRPr="00A12068">
        <w:rPr>
          <w:rFonts w:ascii="Times New Roman" w:hAnsi="Times New Roman"/>
          <w:sz w:val="22"/>
          <w:szCs w:val="22"/>
        </w:rPr>
        <w:t>kachektickí</w:t>
      </w:r>
      <w:r w:rsidRPr="00A12068">
        <w:rPr>
          <w:rFonts w:ascii="Times New Roman" w:hAnsi="Times New Roman"/>
          <w:sz w:val="22"/>
          <w:szCs w:val="22"/>
        </w:rPr>
        <w:t xml:space="preserve"> a</w:t>
      </w:r>
      <w:r w:rsidR="007076FB" w:rsidRPr="00A12068">
        <w:rPr>
          <w:rFonts w:ascii="Times New Roman" w:hAnsi="Times New Roman"/>
          <w:sz w:val="22"/>
          <w:szCs w:val="22"/>
        </w:rPr>
        <w:t>lebo</w:t>
      </w:r>
      <w:r w:rsidRPr="00A12068">
        <w:rPr>
          <w:rFonts w:ascii="Times New Roman" w:hAnsi="Times New Roman"/>
          <w:sz w:val="22"/>
          <w:szCs w:val="22"/>
        </w:rPr>
        <w:t xml:space="preserve"> pacienti v</w:t>
      </w:r>
      <w:r w:rsidR="007076FB" w:rsidRPr="00A12068">
        <w:rPr>
          <w:rFonts w:ascii="Times New Roman" w:hAnsi="Times New Roman"/>
          <w:sz w:val="22"/>
          <w:szCs w:val="22"/>
        </w:rPr>
        <w:t xml:space="preserve"> celkovo </w:t>
      </w:r>
      <w:r w:rsidRPr="00A12068">
        <w:rPr>
          <w:rFonts w:ascii="Times New Roman" w:hAnsi="Times New Roman"/>
          <w:sz w:val="22"/>
          <w:szCs w:val="22"/>
        </w:rPr>
        <w:t xml:space="preserve">zhoršenom stave </w:t>
      </w:r>
      <w:r w:rsidR="007076FB" w:rsidRPr="00A12068">
        <w:rPr>
          <w:rFonts w:ascii="Times New Roman" w:hAnsi="Times New Roman"/>
          <w:sz w:val="22"/>
          <w:szCs w:val="22"/>
        </w:rPr>
        <w:t>môžu mať nižší klírens</w:t>
      </w:r>
      <w:r w:rsidRPr="00A12068">
        <w:rPr>
          <w:rFonts w:ascii="Times New Roman" w:hAnsi="Times New Roman"/>
          <w:sz w:val="22"/>
          <w:szCs w:val="22"/>
        </w:rPr>
        <w:t xml:space="preserve"> fentanyl</w:t>
      </w:r>
      <w:r w:rsidR="007076FB" w:rsidRPr="00A12068">
        <w:rPr>
          <w:rFonts w:ascii="Times New Roman" w:hAnsi="Times New Roman"/>
          <w:sz w:val="22"/>
          <w:szCs w:val="22"/>
        </w:rPr>
        <w:t>u</w:t>
      </w:r>
      <w:r w:rsidRPr="00A12068">
        <w:rPr>
          <w:rFonts w:ascii="Times New Roman" w:hAnsi="Times New Roman"/>
          <w:sz w:val="22"/>
          <w:szCs w:val="22"/>
        </w:rPr>
        <w:t xml:space="preserve">, čo </w:t>
      </w:r>
      <w:r w:rsidR="007076FB" w:rsidRPr="00A12068">
        <w:rPr>
          <w:rFonts w:ascii="Times New Roman" w:hAnsi="Times New Roman"/>
          <w:sz w:val="22"/>
          <w:szCs w:val="22"/>
        </w:rPr>
        <w:t xml:space="preserve">môže </w:t>
      </w:r>
      <w:r w:rsidRPr="00A12068">
        <w:rPr>
          <w:rFonts w:ascii="Times New Roman" w:hAnsi="Times New Roman"/>
          <w:sz w:val="22"/>
          <w:szCs w:val="22"/>
        </w:rPr>
        <w:t>spôsob</w:t>
      </w:r>
      <w:r w:rsidR="007076FB" w:rsidRPr="00A12068">
        <w:rPr>
          <w:rFonts w:ascii="Times New Roman" w:hAnsi="Times New Roman"/>
          <w:sz w:val="22"/>
          <w:szCs w:val="22"/>
        </w:rPr>
        <w:t>iť</w:t>
      </w:r>
      <w:r w:rsidRPr="00A12068">
        <w:rPr>
          <w:rFonts w:ascii="Times New Roman" w:hAnsi="Times New Roman"/>
          <w:sz w:val="22"/>
          <w:szCs w:val="22"/>
        </w:rPr>
        <w:t xml:space="preserve"> dlhší konečný polčas </w:t>
      </w:r>
      <w:r w:rsidR="007076FB" w:rsidRPr="00A12068">
        <w:rPr>
          <w:rFonts w:ascii="Times New Roman" w:hAnsi="Times New Roman"/>
          <w:sz w:val="22"/>
          <w:szCs w:val="22"/>
        </w:rPr>
        <w:t>zlúčeniny</w:t>
      </w:r>
      <w:r w:rsidRPr="00A12068">
        <w:rPr>
          <w:rFonts w:ascii="Times New Roman" w:hAnsi="Times New Roman"/>
          <w:sz w:val="22"/>
          <w:szCs w:val="22"/>
        </w:rPr>
        <w:t xml:space="preserve"> (pozri časti </w:t>
      </w:r>
      <w:smartTag w:uri="urn:schemas-microsoft-com:office:smarttags" w:element="metricconverter">
        <w:smartTagPr>
          <w:attr w:name="ProductID" w:val="4.2 a"/>
        </w:smartTagPr>
        <w:r w:rsidRPr="00A12068">
          <w:rPr>
            <w:rFonts w:ascii="Times New Roman" w:hAnsi="Times New Roman"/>
            <w:sz w:val="22"/>
            <w:szCs w:val="22"/>
          </w:rPr>
          <w:t>4.2 a</w:t>
        </w:r>
      </w:smartTag>
      <w:r w:rsidRPr="00A12068">
        <w:rPr>
          <w:rFonts w:ascii="Times New Roman" w:hAnsi="Times New Roman"/>
          <w:sz w:val="22"/>
          <w:szCs w:val="22"/>
        </w:rPr>
        <w:t xml:space="preserve"> 4.4).</w:t>
      </w:r>
    </w:p>
    <w:p w:rsidR="000D6F3D" w:rsidRPr="00A12068" w:rsidRDefault="000D6F3D" w:rsidP="00E12DE9">
      <w:pPr>
        <w:pStyle w:val="SPCNormal"/>
        <w:rPr>
          <w:szCs w:val="22"/>
        </w:rPr>
      </w:pPr>
    </w:p>
    <w:p w:rsidR="000D6F3D" w:rsidRPr="00A12068" w:rsidRDefault="000D6F3D" w:rsidP="00E12DE9">
      <w:pPr>
        <w:pStyle w:val="SPC2"/>
        <w:rPr>
          <w:szCs w:val="22"/>
        </w:rPr>
      </w:pPr>
      <w:r w:rsidRPr="00A12068">
        <w:rPr>
          <w:szCs w:val="22"/>
        </w:rPr>
        <w:t>5.3</w:t>
      </w:r>
      <w:r w:rsidRPr="00A12068">
        <w:rPr>
          <w:szCs w:val="22"/>
        </w:rPr>
        <w:tab/>
        <w:t>Predklinické údaje o bezpečnosti</w:t>
      </w:r>
    </w:p>
    <w:p w:rsidR="000D6F3D" w:rsidRPr="00A12068" w:rsidRDefault="000D6F3D" w:rsidP="00E12DE9">
      <w:pPr>
        <w:pStyle w:val="SPCNormal"/>
        <w:rPr>
          <w:szCs w:val="22"/>
        </w:rPr>
      </w:pPr>
    </w:p>
    <w:p w:rsidR="000D6F3D" w:rsidRPr="00A12068" w:rsidRDefault="000D6F3D" w:rsidP="00E12DE9">
      <w:pPr>
        <w:rPr>
          <w:rFonts w:ascii="Times New Roman" w:hAnsi="Times New Roman"/>
          <w:sz w:val="22"/>
          <w:szCs w:val="22"/>
        </w:rPr>
      </w:pPr>
      <w:r w:rsidRPr="00A12068">
        <w:rPr>
          <w:rFonts w:ascii="Times New Roman" w:hAnsi="Times New Roman"/>
          <w:sz w:val="22"/>
          <w:szCs w:val="22"/>
        </w:rPr>
        <w:t>Bezpečnostná farmakológia a údaje toxicity pr</w:t>
      </w:r>
      <w:r w:rsidR="0000727F" w:rsidRPr="00A12068">
        <w:rPr>
          <w:rFonts w:ascii="Times New Roman" w:hAnsi="Times New Roman"/>
          <w:sz w:val="22"/>
          <w:szCs w:val="22"/>
        </w:rPr>
        <w:t>i</w:t>
      </w:r>
      <w:r w:rsidRPr="00A12068">
        <w:rPr>
          <w:rFonts w:ascii="Times New Roman" w:hAnsi="Times New Roman"/>
          <w:sz w:val="22"/>
          <w:szCs w:val="22"/>
        </w:rPr>
        <w:t xml:space="preserve"> opakovaných dávkach nesignalizujú žiadne riziká, ktoré by už neboli pokryté inými časťami tohto Súhrnu charakteristických vlastností lieku. Štúdie na zvieratách ukázali zníženie plodnosti a zvýšenú úmrtnosť potkaních plodov. Teratogénne účinky však objavené neboli.</w:t>
      </w:r>
    </w:p>
    <w:p w:rsidR="000D6F3D" w:rsidRPr="00A12068" w:rsidRDefault="000D6F3D" w:rsidP="00E12DE9">
      <w:pPr>
        <w:rPr>
          <w:rFonts w:ascii="Times New Roman" w:hAnsi="Times New Roman"/>
          <w:sz w:val="22"/>
          <w:szCs w:val="22"/>
        </w:rPr>
      </w:pPr>
    </w:p>
    <w:p w:rsidR="000D6F3D" w:rsidRPr="00A12068" w:rsidRDefault="000D6F3D" w:rsidP="00E12DE9">
      <w:pPr>
        <w:rPr>
          <w:rFonts w:ascii="Times New Roman" w:hAnsi="Times New Roman"/>
          <w:sz w:val="22"/>
          <w:szCs w:val="22"/>
        </w:rPr>
      </w:pPr>
      <w:r w:rsidRPr="00A12068">
        <w:rPr>
          <w:rFonts w:ascii="Times New Roman" w:hAnsi="Times New Roman"/>
          <w:sz w:val="22"/>
          <w:szCs w:val="22"/>
        </w:rPr>
        <w:t>Testovanie mutagenity na baktériách a hlodavcoch poskytl</w:t>
      </w:r>
      <w:r w:rsidR="005102E2" w:rsidRPr="00A12068">
        <w:rPr>
          <w:rFonts w:ascii="Times New Roman" w:hAnsi="Times New Roman"/>
          <w:sz w:val="22"/>
          <w:szCs w:val="22"/>
        </w:rPr>
        <w:t>o</w:t>
      </w:r>
      <w:r w:rsidRPr="00A12068">
        <w:rPr>
          <w:rFonts w:ascii="Times New Roman" w:hAnsi="Times New Roman"/>
          <w:sz w:val="22"/>
          <w:szCs w:val="22"/>
        </w:rPr>
        <w:t xml:space="preserve"> negatívne výsledky. Podobne ako iné opiáty</w:t>
      </w:r>
      <w:r w:rsidR="0000727F" w:rsidRPr="00A12068">
        <w:rPr>
          <w:rFonts w:ascii="Times New Roman" w:hAnsi="Times New Roman"/>
          <w:sz w:val="22"/>
          <w:szCs w:val="22"/>
        </w:rPr>
        <w:t>,</w:t>
      </w:r>
      <w:r w:rsidRPr="00A12068">
        <w:rPr>
          <w:rFonts w:ascii="Times New Roman" w:hAnsi="Times New Roman"/>
          <w:sz w:val="22"/>
          <w:szCs w:val="22"/>
        </w:rPr>
        <w:t xml:space="preserve"> fentanyl spôsobuje </w:t>
      </w:r>
      <w:r w:rsidRPr="00A12068">
        <w:rPr>
          <w:rFonts w:ascii="Times New Roman" w:hAnsi="Times New Roman"/>
          <w:i/>
          <w:sz w:val="22"/>
          <w:szCs w:val="22"/>
        </w:rPr>
        <w:t>in vitro</w:t>
      </w:r>
      <w:r w:rsidRPr="00A12068">
        <w:rPr>
          <w:rFonts w:ascii="Times New Roman" w:hAnsi="Times New Roman"/>
          <w:sz w:val="22"/>
          <w:szCs w:val="22"/>
        </w:rPr>
        <w:t xml:space="preserve"> mutag</w:t>
      </w:r>
      <w:r w:rsidR="005102E2" w:rsidRPr="00A12068">
        <w:rPr>
          <w:rFonts w:ascii="Times New Roman" w:hAnsi="Times New Roman"/>
          <w:sz w:val="22"/>
          <w:szCs w:val="22"/>
        </w:rPr>
        <w:t>énne účinky v</w:t>
      </w:r>
      <w:r w:rsidRPr="00A12068">
        <w:rPr>
          <w:rFonts w:ascii="Times New Roman" w:hAnsi="Times New Roman"/>
          <w:sz w:val="22"/>
          <w:szCs w:val="22"/>
        </w:rPr>
        <w:t xml:space="preserve"> cicavčích bunk</w:t>
      </w:r>
      <w:r w:rsidR="005102E2" w:rsidRPr="00A12068">
        <w:rPr>
          <w:rFonts w:ascii="Times New Roman" w:hAnsi="Times New Roman"/>
          <w:sz w:val="22"/>
          <w:szCs w:val="22"/>
        </w:rPr>
        <w:t>ách</w:t>
      </w:r>
      <w:r w:rsidRPr="00A12068">
        <w:rPr>
          <w:rFonts w:ascii="Times New Roman" w:hAnsi="Times New Roman"/>
          <w:sz w:val="22"/>
          <w:szCs w:val="22"/>
        </w:rPr>
        <w:t xml:space="preserve">. Riziko mutagenity </w:t>
      </w:r>
      <w:r w:rsidR="005102E2" w:rsidRPr="00A12068">
        <w:rPr>
          <w:rFonts w:ascii="Times New Roman" w:hAnsi="Times New Roman"/>
          <w:sz w:val="22"/>
          <w:szCs w:val="22"/>
        </w:rPr>
        <w:t xml:space="preserve">sa </w:t>
      </w:r>
      <w:r w:rsidRPr="00A12068">
        <w:rPr>
          <w:rFonts w:ascii="Times New Roman" w:hAnsi="Times New Roman"/>
          <w:sz w:val="22"/>
          <w:szCs w:val="22"/>
        </w:rPr>
        <w:t xml:space="preserve">však </w:t>
      </w:r>
      <w:r w:rsidR="005102E2" w:rsidRPr="00A12068">
        <w:rPr>
          <w:rFonts w:ascii="Times New Roman" w:hAnsi="Times New Roman"/>
          <w:sz w:val="22"/>
          <w:szCs w:val="22"/>
        </w:rPr>
        <w:t>pri</w:t>
      </w:r>
      <w:r w:rsidRPr="00A12068">
        <w:rPr>
          <w:rFonts w:ascii="Times New Roman" w:hAnsi="Times New Roman"/>
          <w:sz w:val="22"/>
          <w:szCs w:val="22"/>
        </w:rPr>
        <w:t xml:space="preserve"> </w:t>
      </w:r>
      <w:r w:rsidR="005102E2" w:rsidRPr="00A12068">
        <w:rPr>
          <w:rFonts w:ascii="Times New Roman" w:hAnsi="Times New Roman"/>
          <w:sz w:val="22"/>
          <w:szCs w:val="22"/>
        </w:rPr>
        <w:t>terapeut</w:t>
      </w:r>
      <w:r w:rsidRPr="00A12068">
        <w:rPr>
          <w:rFonts w:ascii="Times New Roman" w:hAnsi="Times New Roman"/>
          <w:sz w:val="22"/>
          <w:szCs w:val="22"/>
        </w:rPr>
        <w:t xml:space="preserve">ickom použití </w:t>
      </w:r>
      <w:r w:rsidR="005102E2" w:rsidRPr="00A12068">
        <w:rPr>
          <w:rFonts w:ascii="Times New Roman" w:hAnsi="Times New Roman"/>
          <w:sz w:val="22"/>
          <w:szCs w:val="22"/>
        </w:rPr>
        <w:t>zdá</w:t>
      </w:r>
      <w:r w:rsidRPr="00A12068">
        <w:rPr>
          <w:rFonts w:ascii="Times New Roman" w:hAnsi="Times New Roman"/>
          <w:sz w:val="22"/>
          <w:szCs w:val="22"/>
        </w:rPr>
        <w:t xml:space="preserve"> nepravdepodobn</w:t>
      </w:r>
      <w:r w:rsidR="005102E2" w:rsidRPr="00A12068">
        <w:rPr>
          <w:rFonts w:ascii="Times New Roman" w:hAnsi="Times New Roman"/>
          <w:sz w:val="22"/>
          <w:szCs w:val="22"/>
        </w:rPr>
        <w:t>é</w:t>
      </w:r>
      <w:r w:rsidRPr="00A12068">
        <w:rPr>
          <w:rFonts w:ascii="Times New Roman" w:hAnsi="Times New Roman"/>
          <w:sz w:val="22"/>
          <w:szCs w:val="22"/>
        </w:rPr>
        <w:t xml:space="preserve">, pretože účinky sa prejavujú </w:t>
      </w:r>
      <w:r w:rsidR="005102E2" w:rsidRPr="00A12068">
        <w:rPr>
          <w:rFonts w:ascii="Times New Roman" w:hAnsi="Times New Roman"/>
          <w:sz w:val="22"/>
          <w:szCs w:val="22"/>
        </w:rPr>
        <w:t>iba</w:t>
      </w:r>
      <w:r w:rsidRPr="00A12068">
        <w:rPr>
          <w:rFonts w:ascii="Times New Roman" w:hAnsi="Times New Roman"/>
          <w:sz w:val="22"/>
          <w:szCs w:val="22"/>
        </w:rPr>
        <w:t xml:space="preserve"> pri veľmi vysokých koncentráciách.</w:t>
      </w:r>
    </w:p>
    <w:p w:rsidR="000D6F3D" w:rsidRPr="00A12068" w:rsidRDefault="000D6F3D" w:rsidP="00E12DE9">
      <w:pPr>
        <w:rPr>
          <w:rFonts w:ascii="Times New Roman" w:hAnsi="Times New Roman"/>
          <w:sz w:val="22"/>
          <w:szCs w:val="22"/>
        </w:rPr>
      </w:pPr>
    </w:p>
    <w:p w:rsidR="002742CE" w:rsidRPr="00A12068" w:rsidRDefault="002742CE" w:rsidP="00E12DE9">
      <w:pPr>
        <w:autoSpaceDE w:val="0"/>
        <w:autoSpaceDN w:val="0"/>
        <w:adjustRightInd w:val="0"/>
        <w:rPr>
          <w:rFonts w:ascii="Times New Roman" w:hAnsi="Times New Roman"/>
          <w:sz w:val="22"/>
          <w:szCs w:val="22"/>
        </w:rPr>
      </w:pPr>
      <w:r w:rsidRPr="00A12068">
        <w:rPr>
          <w:rFonts w:ascii="Times New Roman" w:hAnsi="Times New Roman"/>
          <w:sz w:val="22"/>
          <w:szCs w:val="22"/>
        </w:rPr>
        <w:t>Štúdie karcinogenity (26-týždňový dermálny alternatívny biotest s Tg.AC transgénnymi myšami; dvojročná štúdia subkutánnej karcinogenity u potkanov) s fentanylom nepreukázali nálezy naznačujúce onkogénny potenciál. Vyhodnotenie vzoriek rezov mozgu zo štúdie karcinogenity vykonávanej na potkanoch odhalilo lézie na mozgu zvierat, ktorým sa podávali vysoké dávky fentanyl citrátu. Význam týchto nálezov pre ľudí je neznámy.</w:t>
      </w:r>
    </w:p>
    <w:p w:rsidR="000D6F3D" w:rsidRPr="00A12068" w:rsidRDefault="000D6F3D" w:rsidP="00E12DE9">
      <w:pPr>
        <w:rPr>
          <w:rFonts w:ascii="Times New Roman" w:hAnsi="Times New Roman"/>
          <w:sz w:val="22"/>
          <w:szCs w:val="22"/>
        </w:rPr>
      </w:pPr>
    </w:p>
    <w:p w:rsidR="000D6F3D" w:rsidRPr="00A12068" w:rsidRDefault="000D6F3D" w:rsidP="00E12DE9">
      <w:pPr>
        <w:rPr>
          <w:rFonts w:ascii="Times New Roman" w:hAnsi="Times New Roman"/>
          <w:sz w:val="22"/>
          <w:szCs w:val="22"/>
        </w:rPr>
      </w:pPr>
    </w:p>
    <w:p w:rsidR="000D6F3D" w:rsidRPr="00A12068" w:rsidRDefault="000D6F3D" w:rsidP="00E12DE9">
      <w:pPr>
        <w:pStyle w:val="SPC1"/>
        <w:keepLines/>
        <w:spacing w:before="0"/>
        <w:rPr>
          <w:szCs w:val="22"/>
        </w:rPr>
      </w:pPr>
      <w:r w:rsidRPr="00A12068">
        <w:rPr>
          <w:szCs w:val="22"/>
        </w:rPr>
        <w:t>6.</w:t>
      </w:r>
      <w:r w:rsidRPr="00A12068">
        <w:rPr>
          <w:szCs w:val="22"/>
        </w:rPr>
        <w:tab/>
        <w:t>Farmaceutické informácie</w:t>
      </w:r>
    </w:p>
    <w:p w:rsidR="000D6F3D" w:rsidRPr="00A12068" w:rsidRDefault="000D6F3D" w:rsidP="00E12DE9">
      <w:pPr>
        <w:rPr>
          <w:rFonts w:ascii="Times New Roman" w:hAnsi="Times New Roman"/>
          <w:sz w:val="22"/>
          <w:szCs w:val="22"/>
        </w:rPr>
      </w:pPr>
    </w:p>
    <w:p w:rsidR="000D6F3D" w:rsidRPr="00A12068" w:rsidRDefault="000D6F3D" w:rsidP="00E12DE9">
      <w:pPr>
        <w:pStyle w:val="SPC2"/>
        <w:keepLines/>
        <w:rPr>
          <w:szCs w:val="22"/>
        </w:rPr>
      </w:pPr>
      <w:r w:rsidRPr="00A12068">
        <w:rPr>
          <w:szCs w:val="22"/>
        </w:rPr>
        <w:t>6.1</w:t>
      </w:r>
      <w:r w:rsidRPr="00A12068">
        <w:rPr>
          <w:szCs w:val="22"/>
        </w:rPr>
        <w:tab/>
        <w:t>Zoznam pomocných látok</w:t>
      </w:r>
    </w:p>
    <w:p w:rsidR="000D6F3D" w:rsidRPr="00A12068" w:rsidRDefault="000D6F3D" w:rsidP="00E12DE9">
      <w:pPr>
        <w:rPr>
          <w:rFonts w:ascii="Times New Roman" w:hAnsi="Times New Roman"/>
          <w:sz w:val="22"/>
          <w:szCs w:val="22"/>
        </w:rPr>
      </w:pPr>
    </w:p>
    <w:p w:rsidR="000D6F3D" w:rsidRPr="00A12068" w:rsidRDefault="00C15C48" w:rsidP="00E12DE9">
      <w:pPr>
        <w:pStyle w:val="SPCNormal"/>
        <w:keepNext/>
        <w:keepLines/>
        <w:rPr>
          <w:rFonts w:eastAsia="Arial Unicode MS"/>
          <w:szCs w:val="22"/>
        </w:rPr>
      </w:pPr>
      <w:r>
        <w:rPr>
          <w:szCs w:val="22"/>
        </w:rPr>
        <w:t>m</w:t>
      </w:r>
      <w:r w:rsidR="000D6F3D" w:rsidRPr="00A12068">
        <w:rPr>
          <w:szCs w:val="22"/>
        </w:rPr>
        <w:t>anitol (E421)</w:t>
      </w:r>
    </w:p>
    <w:p w:rsidR="000D6F3D" w:rsidRPr="00A12068" w:rsidRDefault="00C15C48" w:rsidP="00E12DE9">
      <w:pPr>
        <w:pStyle w:val="SPCNormal"/>
        <w:rPr>
          <w:szCs w:val="22"/>
        </w:rPr>
      </w:pPr>
      <w:r>
        <w:rPr>
          <w:szCs w:val="22"/>
        </w:rPr>
        <w:t>s</w:t>
      </w:r>
      <w:r w:rsidR="005C5F92" w:rsidRPr="00A12068">
        <w:rPr>
          <w:szCs w:val="22"/>
        </w:rPr>
        <w:t>ilicifikov</w:t>
      </w:r>
      <w:r w:rsidR="000D6F3D" w:rsidRPr="00A12068">
        <w:rPr>
          <w:szCs w:val="22"/>
        </w:rPr>
        <w:t>aná mikrokryštalická celulóza</w:t>
      </w:r>
    </w:p>
    <w:p w:rsidR="000D6F3D" w:rsidRPr="00A12068" w:rsidRDefault="00C15C48" w:rsidP="00E12DE9">
      <w:pPr>
        <w:pStyle w:val="SPCNormal"/>
        <w:rPr>
          <w:szCs w:val="22"/>
        </w:rPr>
      </w:pPr>
      <w:r>
        <w:rPr>
          <w:szCs w:val="22"/>
        </w:rPr>
        <w:t>s</w:t>
      </w:r>
      <w:r w:rsidR="000D6F3D" w:rsidRPr="00A12068">
        <w:rPr>
          <w:szCs w:val="22"/>
        </w:rPr>
        <w:t xml:space="preserve">odná soľ kroskarmelózy </w:t>
      </w:r>
    </w:p>
    <w:p w:rsidR="000D6F3D" w:rsidRPr="00A12068" w:rsidRDefault="004D5175" w:rsidP="00E12DE9">
      <w:pPr>
        <w:pStyle w:val="SPCNormal"/>
        <w:rPr>
          <w:szCs w:val="22"/>
        </w:rPr>
      </w:pPr>
      <w:r>
        <w:rPr>
          <w:szCs w:val="22"/>
        </w:rPr>
        <w:t xml:space="preserve">stearát </w:t>
      </w:r>
      <w:r w:rsidR="00C15C48">
        <w:rPr>
          <w:szCs w:val="22"/>
        </w:rPr>
        <w:t>horečnatý</w:t>
      </w:r>
    </w:p>
    <w:p w:rsidR="000D6F3D" w:rsidRPr="00D67A45" w:rsidRDefault="000D6F3D" w:rsidP="00E12DE9">
      <w:pPr>
        <w:pStyle w:val="SPCNormal"/>
        <w:rPr>
          <w:szCs w:val="22"/>
        </w:rPr>
      </w:pPr>
    </w:p>
    <w:p w:rsidR="000D6F3D" w:rsidRPr="00A12068" w:rsidRDefault="000D6F3D" w:rsidP="00E12DE9">
      <w:pPr>
        <w:pStyle w:val="SPC2"/>
        <w:rPr>
          <w:szCs w:val="22"/>
        </w:rPr>
      </w:pPr>
      <w:r w:rsidRPr="00A12068">
        <w:rPr>
          <w:szCs w:val="22"/>
        </w:rPr>
        <w:lastRenderedPageBreak/>
        <w:t>6.2</w:t>
      </w:r>
      <w:r w:rsidRPr="00A12068">
        <w:rPr>
          <w:szCs w:val="22"/>
        </w:rPr>
        <w:tab/>
        <w:t>Inkompatibility</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Neaplikovateľné.</w:t>
      </w:r>
    </w:p>
    <w:p w:rsidR="000D6F3D" w:rsidRPr="00A12068" w:rsidRDefault="000D6F3D" w:rsidP="00E12DE9">
      <w:pPr>
        <w:pStyle w:val="SPCNormal"/>
        <w:rPr>
          <w:szCs w:val="22"/>
        </w:rPr>
      </w:pPr>
    </w:p>
    <w:p w:rsidR="000D6F3D" w:rsidRPr="00A12068" w:rsidRDefault="000D6F3D" w:rsidP="00E12DE9">
      <w:pPr>
        <w:pStyle w:val="SPC2"/>
        <w:rPr>
          <w:szCs w:val="22"/>
        </w:rPr>
      </w:pPr>
      <w:r w:rsidRPr="00A12068">
        <w:rPr>
          <w:szCs w:val="22"/>
        </w:rPr>
        <w:t>6.3</w:t>
      </w:r>
      <w:r w:rsidRPr="00A12068">
        <w:rPr>
          <w:szCs w:val="22"/>
        </w:rPr>
        <w:tab/>
        <w:t>Čas použiteľnosti</w:t>
      </w:r>
    </w:p>
    <w:p w:rsidR="000D6F3D" w:rsidRPr="00A12068" w:rsidRDefault="000D6F3D" w:rsidP="00E12DE9">
      <w:pPr>
        <w:rPr>
          <w:rFonts w:ascii="Times New Roman" w:hAnsi="Times New Roman"/>
          <w:sz w:val="22"/>
          <w:szCs w:val="22"/>
        </w:rPr>
      </w:pPr>
    </w:p>
    <w:p w:rsidR="000D6F3D" w:rsidRPr="00A12068" w:rsidRDefault="00300441" w:rsidP="00E12DE9">
      <w:pPr>
        <w:pStyle w:val="SPCNormal"/>
        <w:rPr>
          <w:szCs w:val="22"/>
        </w:rPr>
      </w:pPr>
      <w:r w:rsidRPr="00A12068">
        <w:rPr>
          <w:szCs w:val="22"/>
        </w:rPr>
        <w:t>2</w:t>
      </w:r>
      <w:r w:rsidR="000D6F3D" w:rsidRPr="00A12068">
        <w:rPr>
          <w:szCs w:val="22"/>
        </w:rPr>
        <w:t xml:space="preserve"> roky</w:t>
      </w:r>
    </w:p>
    <w:p w:rsidR="000D6F3D" w:rsidRPr="00A12068" w:rsidRDefault="000D6F3D" w:rsidP="00E12DE9">
      <w:pPr>
        <w:pStyle w:val="SPCNormal"/>
        <w:rPr>
          <w:szCs w:val="22"/>
        </w:rPr>
      </w:pPr>
    </w:p>
    <w:p w:rsidR="000D6F3D" w:rsidRPr="00A12068" w:rsidRDefault="000D6F3D" w:rsidP="00E12DE9">
      <w:pPr>
        <w:pStyle w:val="SPC2"/>
        <w:rPr>
          <w:szCs w:val="22"/>
        </w:rPr>
      </w:pPr>
      <w:r w:rsidRPr="00A12068">
        <w:rPr>
          <w:szCs w:val="22"/>
        </w:rPr>
        <w:t>6.4</w:t>
      </w:r>
      <w:r w:rsidRPr="00A12068">
        <w:rPr>
          <w:szCs w:val="22"/>
        </w:rPr>
        <w:tab/>
        <w:t>Špeciálne upozornenia na uchovávanie</w:t>
      </w:r>
    </w:p>
    <w:p w:rsidR="000D6F3D" w:rsidRPr="00A12068" w:rsidRDefault="000D6F3D" w:rsidP="00E12DE9">
      <w:pPr>
        <w:pStyle w:val="SPCNormal"/>
        <w:rPr>
          <w:szCs w:val="22"/>
        </w:rPr>
      </w:pPr>
    </w:p>
    <w:p w:rsidR="000D6F3D" w:rsidRPr="00A12068" w:rsidRDefault="000D6F3D" w:rsidP="00E12DE9">
      <w:pPr>
        <w:rPr>
          <w:rFonts w:ascii="Times New Roman" w:hAnsi="Times New Roman"/>
          <w:sz w:val="22"/>
          <w:szCs w:val="22"/>
        </w:rPr>
      </w:pPr>
      <w:r w:rsidRPr="00A12068">
        <w:rPr>
          <w:rFonts w:ascii="Times New Roman" w:hAnsi="Times New Roman"/>
          <w:sz w:val="22"/>
          <w:szCs w:val="22"/>
        </w:rPr>
        <w:t xml:space="preserve">Uchovávajte pri teplote neprevyšujúcej </w:t>
      </w:r>
      <w:smartTag w:uri="urn:schemas-microsoft-com:office:smarttags" w:element="metricconverter">
        <w:smartTagPr>
          <w:attr w:name="ProductID" w:val="25ﾠﾰC"/>
        </w:smartTagPr>
        <w:r w:rsidRPr="00A12068">
          <w:rPr>
            <w:rFonts w:ascii="Times New Roman" w:hAnsi="Times New Roman"/>
            <w:sz w:val="22"/>
            <w:szCs w:val="22"/>
          </w:rPr>
          <w:t>25</w:t>
        </w:r>
        <w:r w:rsidR="00850374" w:rsidRPr="00A12068">
          <w:rPr>
            <w:rFonts w:ascii="Times New Roman" w:hAnsi="Times New Roman"/>
            <w:sz w:val="22"/>
            <w:szCs w:val="22"/>
          </w:rPr>
          <w:t> </w:t>
        </w:r>
        <w:r w:rsidRPr="00A12068">
          <w:rPr>
            <w:rFonts w:ascii="Times New Roman" w:hAnsi="Times New Roman"/>
            <w:sz w:val="22"/>
            <w:szCs w:val="22"/>
          </w:rPr>
          <w:t>°C</w:t>
        </w:r>
      </w:smartTag>
      <w:r w:rsidRPr="00A12068">
        <w:rPr>
          <w:rFonts w:ascii="Times New Roman" w:hAnsi="Times New Roman"/>
          <w:sz w:val="22"/>
          <w:szCs w:val="22"/>
        </w:rPr>
        <w:t xml:space="preserve">. </w:t>
      </w:r>
    </w:p>
    <w:p w:rsidR="000D6F3D" w:rsidRPr="00A12068" w:rsidRDefault="000D6F3D" w:rsidP="00E12DE9">
      <w:pPr>
        <w:rPr>
          <w:rFonts w:ascii="Times New Roman" w:hAnsi="Times New Roman"/>
          <w:sz w:val="22"/>
          <w:szCs w:val="22"/>
        </w:rPr>
      </w:pPr>
      <w:r w:rsidRPr="00A12068">
        <w:rPr>
          <w:rFonts w:ascii="Times New Roman" w:hAnsi="Times New Roman"/>
          <w:sz w:val="22"/>
          <w:szCs w:val="22"/>
        </w:rPr>
        <w:t>Uchovávajte v pôvodnom obale blistra na ochranu pred vlhkosťou.</w:t>
      </w:r>
    </w:p>
    <w:p w:rsidR="000D6F3D" w:rsidRPr="00A12068" w:rsidRDefault="000D6F3D" w:rsidP="00E12DE9">
      <w:pPr>
        <w:rPr>
          <w:rFonts w:ascii="Times New Roman" w:hAnsi="Times New Roman"/>
          <w:sz w:val="22"/>
          <w:szCs w:val="22"/>
        </w:rPr>
      </w:pPr>
    </w:p>
    <w:p w:rsidR="000D6F3D" w:rsidRPr="00A12068" w:rsidRDefault="000D6F3D" w:rsidP="00E12DE9">
      <w:pPr>
        <w:pStyle w:val="SPC2"/>
        <w:rPr>
          <w:szCs w:val="22"/>
        </w:rPr>
      </w:pPr>
      <w:r w:rsidRPr="00A12068">
        <w:rPr>
          <w:szCs w:val="22"/>
        </w:rPr>
        <w:t>6.5</w:t>
      </w:r>
      <w:r w:rsidRPr="00A12068">
        <w:rPr>
          <w:szCs w:val="22"/>
        </w:rPr>
        <w:tab/>
        <w:t>Druh obalu a obsah balenia</w:t>
      </w:r>
    </w:p>
    <w:p w:rsidR="000D6F3D" w:rsidRPr="00A12068" w:rsidRDefault="000D6F3D" w:rsidP="00E12DE9">
      <w:pPr>
        <w:pStyle w:val="SPCNormal"/>
        <w:rPr>
          <w:szCs w:val="22"/>
        </w:rPr>
      </w:pPr>
    </w:p>
    <w:p w:rsidR="000D6F3D" w:rsidRPr="00A12068" w:rsidRDefault="000D6F3D" w:rsidP="00E12DE9">
      <w:pPr>
        <w:rPr>
          <w:rFonts w:ascii="Times New Roman" w:hAnsi="Times New Roman"/>
          <w:sz w:val="22"/>
          <w:szCs w:val="22"/>
        </w:rPr>
      </w:pPr>
      <w:r w:rsidRPr="00A12068">
        <w:rPr>
          <w:rFonts w:ascii="Times New Roman" w:hAnsi="Times New Roman"/>
          <w:sz w:val="22"/>
          <w:szCs w:val="22"/>
        </w:rPr>
        <w:t xml:space="preserve">Sublingválne tablety Lunaldin sú balené </w:t>
      </w:r>
      <w:r w:rsidR="00B75249" w:rsidRPr="00A12068">
        <w:rPr>
          <w:rFonts w:ascii="Times New Roman" w:hAnsi="Times New Roman"/>
          <w:sz w:val="22"/>
          <w:szCs w:val="22"/>
        </w:rPr>
        <w:t>v blistroch OPA/alumínium/PVC s fóliou papier/polyester/alum</w:t>
      </w:r>
      <w:r w:rsidR="00A970FC" w:rsidRPr="00A12068">
        <w:rPr>
          <w:rFonts w:ascii="Times New Roman" w:hAnsi="Times New Roman"/>
          <w:sz w:val="22"/>
          <w:szCs w:val="22"/>
        </w:rPr>
        <w:t>í</w:t>
      </w:r>
      <w:r w:rsidR="00B75249" w:rsidRPr="00A12068">
        <w:rPr>
          <w:rFonts w:ascii="Times New Roman" w:hAnsi="Times New Roman"/>
          <w:sz w:val="22"/>
          <w:szCs w:val="22"/>
        </w:rPr>
        <w:t xml:space="preserve">nium </w:t>
      </w:r>
      <w:r w:rsidR="00BA5DA7" w:rsidRPr="00A12068">
        <w:rPr>
          <w:rFonts w:ascii="Times New Roman" w:hAnsi="Times New Roman"/>
          <w:sz w:val="22"/>
          <w:szCs w:val="22"/>
        </w:rPr>
        <w:t xml:space="preserve">zabezpečených pred deťmi </w:t>
      </w:r>
      <w:r w:rsidRPr="00A12068">
        <w:rPr>
          <w:rFonts w:ascii="Times New Roman" w:hAnsi="Times New Roman"/>
          <w:sz w:val="22"/>
          <w:szCs w:val="22"/>
        </w:rPr>
        <w:t xml:space="preserve">uložených v </w:t>
      </w:r>
      <w:r w:rsidR="005702B1" w:rsidRPr="00A12068">
        <w:rPr>
          <w:rFonts w:ascii="Times New Roman" w:hAnsi="Times New Roman"/>
          <w:sz w:val="22"/>
          <w:szCs w:val="22"/>
        </w:rPr>
        <w:t>papiero</w:t>
      </w:r>
      <w:r w:rsidRPr="00A12068">
        <w:rPr>
          <w:rFonts w:ascii="Times New Roman" w:hAnsi="Times New Roman"/>
          <w:sz w:val="22"/>
          <w:szCs w:val="22"/>
        </w:rPr>
        <w:t xml:space="preserve">vej škatuľke. </w:t>
      </w:r>
      <w:r w:rsidR="005702B1" w:rsidRPr="00A12068">
        <w:rPr>
          <w:rFonts w:ascii="Times New Roman" w:hAnsi="Times New Roman"/>
          <w:sz w:val="22"/>
          <w:szCs w:val="22"/>
        </w:rPr>
        <w:t>B</w:t>
      </w:r>
      <w:r w:rsidRPr="00A12068">
        <w:rPr>
          <w:rFonts w:ascii="Times New Roman" w:hAnsi="Times New Roman"/>
          <w:sz w:val="22"/>
          <w:szCs w:val="22"/>
        </w:rPr>
        <w:t xml:space="preserve">alenie </w:t>
      </w:r>
      <w:r w:rsidR="005702B1" w:rsidRPr="00A12068">
        <w:rPr>
          <w:rFonts w:ascii="Times New Roman" w:hAnsi="Times New Roman"/>
          <w:sz w:val="22"/>
          <w:szCs w:val="22"/>
        </w:rPr>
        <w:t>je</w:t>
      </w:r>
      <w:r w:rsidRPr="00A12068">
        <w:rPr>
          <w:rFonts w:ascii="Times New Roman" w:hAnsi="Times New Roman"/>
          <w:sz w:val="22"/>
          <w:szCs w:val="22"/>
        </w:rPr>
        <w:t xml:space="preserve"> farebne kódovan</w:t>
      </w:r>
      <w:r w:rsidR="005702B1" w:rsidRPr="00A12068">
        <w:rPr>
          <w:rFonts w:ascii="Times New Roman" w:hAnsi="Times New Roman"/>
          <w:sz w:val="22"/>
          <w:szCs w:val="22"/>
        </w:rPr>
        <w:t>é</w:t>
      </w:r>
      <w:r w:rsidRPr="00A12068">
        <w:rPr>
          <w:rFonts w:ascii="Times New Roman" w:hAnsi="Times New Roman"/>
          <w:sz w:val="22"/>
          <w:szCs w:val="22"/>
        </w:rPr>
        <w:t xml:space="preserve"> </w:t>
      </w:r>
      <w:r w:rsidR="005702B1" w:rsidRPr="00A12068">
        <w:rPr>
          <w:rFonts w:ascii="Times New Roman" w:hAnsi="Times New Roman"/>
          <w:sz w:val="22"/>
          <w:szCs w:val="22"/>
        </w:rPr>
        <w:t>pre každú silu Lunaldinu</w:t>
      </w:r>
      <w:r w:rsidRPr="00A12068">
        <w:rPr>
          <w:rFonts w:ascii="Times New Roman" w:hAnsi="Times New Roman"/>
          <w:sz w:val="22"/>
          <w:szCs w:val="22"/>
        </w:rPr>
        <w:t xml:space="preserve"> sublingválnych tabliet. </w:t>
      </w:r>
    </w:p>
    <w:p w:rsidR="000D6F3D" w:rsidRPr="00A12068" w:rsidRDefault="000D6F3D" w:rsidP="00E12DE9">
      <w:pPr>
        <w:pStyle w:val="SPCNormal"/>
        <w:rPr>
          <w:szCs w:val="22"/>
        </w:rPr>
      </w:pPr>
    </w:p>
    <w:p w:rsidR="00C15C48" w:rsidRDefault="000D6F3D" w:rsidP="00E12DE9">
      <w:pPr>
        <w:pStyle w:val="SPCNormal"/>
        <w:rPr>
          <w:szCs w:val="22"/>
        </w:rPr>
      </w:pPr>
      <w:r w:rsidRPr="00A12068">
        <w:rPr>
          <w:szCs w:val="22"/>
        </w:rPr>
        <w:t xml:space="preserve">Veľkosť balenia: </w:t>
      </w:r>
      <w:r w:rsidR="00DD0937" w:rsidRPr="00A12068">
        <w:rPr>
          <w:szCs w:val="22"/>
        </w:rPr>
        <w:t>b</w:t>
      </w:r>
      <w:r w:rsidRPr="00A12068">
        <w:rPr>
          <w:szCs w:val="22"/>
        </w:rPr>
        <w:t>alenie 10 a</w:t>
      </w:r>
      <w:r w:rsidR="00DD0937" w:rsidRPr="00A12068">
        <w:rPr>
          <w:szCs w:val="22"/>
        </w:rPr>
        <w:t>lebo</w:t>
      </w:r>
      <w:r w:rsidRPr="00A12068">
        <w:rPr>
          <w:szCs w:val="22"/>
        </w:rPr>
        <w:t xml:space="preserve"> 30 sublingválnych tabliet.</w:t>
      </w:r>
    </w:p>
    <w:p w:rsidR="000D6F3D" w:rsidRPr="00A12068" w:rsidRDefault="00F12EEE" w:rsidP="00E12DE9">
      <w:pPr>
        <w:pStyle w:val="SPCNormal"/>
        <w:rPr>
          <w:szCs w:val="22"/>
        </w:rPr>
      </w:pPr>
      <w:r w:rsidRPr="00A12068">
        <w:rPr>
          <w:szCs w:val="22"/>
        </w:rPr>
        <w:t>Na trh nemusia byť uvedené všetky veľkosti balenia</w:t>
      </w:r>
      <w:r w:rsidR="000D6F3D" w:rsidRPr="00A12068">
        <w:rPr>
          <w:szCs w:val="22"/>
        </w:rPr>
        <w:t>.</w:t>
      </w:r>
    </w:p>
    <w:p w:rsidR="000D6F3D" w:rsidRPr="00D67A45" w:rsidRDefault="000D6F3D" w:rsidP="00E12DE9">
      <w:pPr>
        <w:pStyle w:val="SPCNormal"/>
        <w:rPr>
          <w:szCs w:val="22"/>
        </w:rPr>
      </w:pPr>
    </w:p>
    <w:p w:rsidR="000D6F3D" w:rsidRPr="00A12068" w:rsidRDefault="000D6F3D" w:rsidP="00E12DE9">
      <w:pPr>
        <w:pStyle w:val="SPC2"/>
        <w:rPr>
          <w:szCs w:val="22"/>
        </w:rPr>
      </w:pPr>
      <w:r w:rsidRPr="00A12068">
        <w:rPr>
          <w:szCs w:val="22"/>
        </w:rPr>
        <w:t>6.6</w:t>
      </w:r>
      <w:r w:rsidRPr="00A12068">
        <w:rPr>
          <w:szCs w:val="22"/>
        </w:rPr>
        <w:tab/>
        <w:t>Špeciálne opatrenia na likvidáciu</w:t>
      </w:r>
    </w:p>
    <w:p w:rsidR="00F76525" w:rsidRPr="00A12068" w:rsidRDefault="00F76525" w:rsidP="00E12DE9">
      <w:pPr>
        <w:pStyle w:val="SPCNormal"/>
        <w:rPr>
          <w:szCs w:val="22"/>
        </w:rPr>
      </w:pPr>
    </w:p>
    <w:p w:rsidR="000D6F3D" w:rsidRPr="00A12068" w:rsidRDefault="000D6F3D" w:rsidP="00E12DE9">
      <w:pPr>
        <w:pStyle w:val="SPCNormal"/>
        <w:rPr>
          <w:szCs w:val="22"/>
        </w:rPr>
      </w:pPr>
      <w:r w:rsidRPr="00A12068">
        <w:rPr>
          <w:szCs w:val="22"/>
        </w:rPr>
        <w:t>Odpad je potrebné bezpečne zlikvidovať. Pacientov/ošetrujúce osoby treba viesť k tomu, aby nepoužité lieky vrátili do lekárne, kde budú zlikvidované v súlade s národnými a miestnymi predpismi.</w:t>
      </w:r>
    </w:p>
    <w:p w:rsidR="000D6F3D" w:rsidRPr="00A12068" w:rsidRDefault="000D6F3D" w:rsidP="00E12DE9">
      <w:pPr>
        <w:rPr>
          <w:rFonts w:ascii="Times New Roman" w:hAnsi="Times New Roman"/>
          <w:sz w:val="22"/>
          <w:szCs w:val="22"/>
        </w:rPr>
      </w:pPr>
    </w:p>
    <w:p w:rsidR="000D6F3D" w:rsidRPr="00A12068" w:rsidRDefault="000D6F3D" w:rsidP="00E12DE9">
      <w:pPr>
        <w:rPr>
          <w:rFonts w:ascii="Times New Roman" w:hAnsi="Times New Roman"/>
          <w:sz w:val="22"/>
          <w:szCs w:val="22"/>
        </w:rPr>
      </w:pPr>
    </w:p>
    <w:p w:rsidR="000D6F3D" w:rsidRPr="00A12068" w:rsidRDefault="000D6F3D" w:rsidP="00E12DE9">
      <w:pPr>
        <w:pStyle w:val="SPC1"/>
        <w:spacing w:before="0"/>
        <w:rPr>
          <w:szCs w:val="22"/>
        </w:rPr>
      </w:pPr>
      <w:r w:rsidRPr="00A12068">
        <w:rPr>
          <w:szCs w:val="22"/>
        </w:rPr>
        <w:t>7.</w:t>
      </w:r>
      <w:r w:rsidRPr="00A12068">
        <w:rPr>
          <w:szCs w:val="22"/>
        </w:rPr>
        <w:tab/>
        <w:t>Držiteľ rozhodnutia o registrácii</w:t>
      </w:r>
    </w:p>
    <w:p w:rsidR="000D6F3D" w:rsidRPr="00A12068" w:rsidRDefault="000D6F3D" w:rsidP="00E12DE9">
      <w:pPr>
        <w:rPr>
          <w:rFonts w:ascii="Times New Roman" w:hAnsi="Times New Roman"/>
          <w:sz w:val="22"/>
          <w:szCs w:val="22"/>
        </w:rPr>
      </w:pPr>
    </w:p>
    <w:p w:rsidR="005B483A" w:rsidRPr="00A12068" w:rsidRDefault="005B483A" w:rsidP="00E12DE9">
      <w:pPr>
        <w:rPr>
          <w:rFonts w:ascii="Times New Roman" w:hAnsi="Times New Roman"/>
          <w:sz w:val="22"/>
          <w:szCs w:val="22"/>
        </w:rPr>
      </w:pPr>
      <w:smartTag w:uri="urn:schemas-microsoft-com:office:smarttags" w:element="PersonName">
        <w:smartTagPr>
          <w:attr w:name="ProductID" w:val="Gedeon Richter"/>
        </w:smartTagPr>
        <w:r w:rsidRPr="00A12068">
          <w:rPr>
            <w:rFonts w:ascii="Times New Roman" w:hAnsi="Times New Roman"/>
            <w:sz w:val="22"/>
            <w:szCs w:val="22"/>
          </w:rPr>
          <w:t>Gedeon Richter</w:t>
        </w:r>
      </w:smartTag>
      <w:r w:rsidRPr="00A12068">
        <w:rPr>
          <w:rFonts w:ascii="Times New Roman" w:hAnsi="Times New Roman"/>
          <w:sz w:val="22"/>
          <w:szCs w:val="22"/>
        </w:rPr>
        <w:t xml:space="preserve"> Plc.</w:t>
      </w:r>
    </w:p>
    <w:p w:rsidR="00BF09BE" w:rsidRPr="00A12068" w:rsidRDefault="00BF09BE" w:rsidP="00E12DE9">
      <w:pPr>
        <w:rPr>
          <w:rFonts w:ascii="Times New Roman" w:hAnsi="Times New Roman"/>
          <w:sz w:val="22"/>
          <w:szCs w:val="22"/>
        </w:rPr>
      </w:pPr>
      <w:r w:rsidRPr="00A12068">
        <w:rPr>
          <w:rFonts w:ascii="Times New Roman" w:hAnsi="Times New Roman"/>
          <w:sz w:val="22"/>
          <w:szCs w:val="22"/>
        </w:rPr>
        <w:t>Gyömrői út 19-21</w:t>
      </w:r>
    </w:p>
    <w:p w:rsidR="005B483A" w:rsidRPr="00A12068" w:rsidRDefault="005B483A" w:rsidP="00E12DE9">
      <w:pPr>
        <w:rPr>
          <w:rFonts w:ascii="Times New Roman" w:hAnsi="Times New Roman"/>
          <w:sz w:val="22"/>
          <w:szCs w:val="22"/>
        </w:rPr>
      </w:pPr>
      <w:r w:rsidRPr="00A12068">
        <w:rPr>
          <w:rFonts w:ascii="Times New Roman" w:hAnsi="Times New Roman"/>
          <w:sz w:val="22"/>
          <w:szCs w:val="22"/>
        </w:rPr>
        <w:t>1103 Budapešť</w:t>
      </w:r>
    </w:p>
    <w:p w:rsidR="005B483A" w:rsidRPr="00A12068" w:rsidRDefault="005B483A" w:rsidP="00E12DE9">
      <w:pPr>
        <w:rPr>
          <w:rFonts w:ascii="Times New Roman" w:hAnsi="Times New Roman"/>
          <w:sz w:val="22"/>
          <w:szCs w:val="22"/>
        </w:rPr>
      </w:pPr>
      <w:r w:rsidRPr="00A12068">
        <w:rPr>
          <w:rFonts w:ascii="Times New Roman" w:hAnsi="Times New Roman"/>
          <w:sz w:val="22"/>
          <w:szCs w:val="22"/>
        </w:rPr>
        <w:t xml:space="preserve">Maďarsko </w:t>
      </w:r>
    </w:p>
    <w:p w:rsidR="000D6F3D" w:rsidRPr="00A12068" w:rsidRDefault="000D6F3D" w:rsidP="00E12DE9">
      <w:pPr>
        <w:rPr>
          <w:rFonts w:ascii="Times New Roman" w:hAnsi="Times New Roman"/>
          <w:sz w:val="22"/>
          <w:szCs w:val="22"/>
        </w:rPr>
      </w:pPr>
    </w:p>
    <w:p w:rsidR="000D6F3D" w:rsidRPr="00A12068" w:rsidRDefault="000D6F3D" w:rsidP="00E12DE9">
      <w:pPr>
        <w:rPr>
          <w:rFonts w:ascii="Times New Roman" w:hAnsi="Times New Roman"/>
          <w:sz w:val="22"/>
          <w:szCs w:val="22"/>
        </w:rPr>
      </w:pPr>
    </w:p>
    <w:p w:rsidR="000D6F3D" w:rsidRPr="00A12068" w:rsidRDefault="000D6F3D" w:rsidP="00E12DE9">
      <w:pPr>
        <w:pStyle w:val="SPC1"/>
        <w:spacing w:before="0"/>
        <w:rPr>
          <w:szCs w:val="22"/>
        </w:rPr>
      </w:pPr>
      <w:r w:rsidRPr="00A12068">
        <w:rPr>
          <w:szCs w:val="22"/>
        </w:rPr>
        <w:t>8.</w:t>
      </w:r>
      <w:r w:rsidRPr="00A12068">
        <w:rPr>
          <w:szCs w:val="22"/>
        </w:rPr>
        <w:tab/>
        <w:t>REGISTRAČNÉ ČÍSLA</w:t>
      </w:r>
    </w:p>
    <w:p w:rsidR="000D6F3D" w:rsidRPr="00A12068" w:rsidRDefault="000D6F3D" w:rsidP="00E12DE9">
      <w:pPr>
        <w:pStyle w:val="SPCNormal"/>
        <w:rPr>
          <w:szCs w:val="22"/>
        </w:rPr>
      </w:pPr>
    </w:p>
    <w:p w:rsidR="000D6F3D" w:rsidRPr="00A12068" w:rsidRDefault="000D6F3D" w:rsidP="00E12DE9">
      <w:pPr>
        <w:pStyle w:val="SPCNormal"/>
        <w:rPr>
          <w:szCs w:val="22"/>
        </w:rPr>
      </w:pPr>
      <w:r w:rsidRPr="00A12068">
        <w:rPr>
          <w:szCs w:val="22"/>
        </w:rPr>
        <w:t>Lunaldin 100 mikrogramov sublingválne tablety: 65/0130/09-S</w:t>
      </w:r>
    </w:p>
    <w:p w:rsidR="000D6F3D" w:rsidRPr="00A12068" w:rsidRDefault="000D6F3D" w:rsidP="00E12DE9">
      <w:pPr>
        <w:pStyle w:val="SPCNormal"/>
        <w:rPr>
          <w:szCs w:val="22"/>
          <w:highlight w:val="lightGray"/>
        </w:rPr>
      </w:pPr>
      <w:r w:rsidRPr="00A12068">
        <w:rPr>
          <w:szCs w:val="22"/>
          <w:highlight w:val="lightGray"/>
        </w:rPr>
        <w:t>Lunaldin 200 mikrogramov sublingválne tablety: 65/0131/09-S</w:t>
      </w:r>
    </w:p>
    <w:p w:rsidR="000D6F3D" w:rsidRPr="00A12068" w:rsidRDefault="000D6F3D" w:rsidP="00E12DE9">
      <w:pPr>
        <w:pStyle w:val="SPCNormal"/>
        <w:rPr>
          <w:szCs w:val="22"/>
          <w:highlight w:val="lightGray"/>
        </w:rPr>
      </w:pPr>
      <w:r w:rsidRPr="00A12068">
        <w:rPr>
          <w:szCs w:val="22"/>
          <w:highlight w:val="lightGray"/>
        </w:rPr>
        <w:t>Lunaldin 300 mikrogramov sublingválne tablety: 65/0132/09-S</w:t>
      </w:r>
    </w:p>
    <w:p w:rsidR="000D6F3D" w:rsidRPr="00A12068" w:rsidRDefault="000D6F3D" w:rsidP="00E12DE9">
      <w:pPr>
        <w:pStyle w:val="SPCNormal"/>
        <w:rPr>
          <w:szCs w:val="22"/>
          <w:highlight w:val="lightGray"/>
        </w:rPr>
      </w:pPr>
      <w:r w:rsidRPr="00A12068">
        <w:rPr>
          <w:szCs w:val="22"/>
          <w:highlight w:val="lightGray"/>
        </w:rPr>
        <w:t>Lunaldin 400 mikrogramov sublingválne tablety: 65/0133/09-S</w:t>
      </w:r>
    </w:p>
    <w:p w:rsidR="000D6F3D" w:rsidRPr="00A12068" w:rsidRDefault="000D6F3D" w:rsidP="00E12DE9">
      <w:pPr>
        <w:pStyle w:val="SPCNormal"/>
        <w:rPr>
          <w:szCs w:val="22"/>
          <w:highlight w:val="lightGray"/>
        </w:rPr>
      </w:pPr>
      <w:r w:rsidRPr="00A12068">
        <w:rPr>
          <w:szCs w:val="22"/>
          <w:highlight w:val="lightGray"/>
        </w:rPr>
        <w:t>Lunaldin 600 mikrogramov sublingválne tablety: 65/0134/09-S</w:t>
      </w:r>
    </w:p>
    <w:p w:rsidR="000D6F3D" w:rsidRPr="00A12068" w:rsidRDefault="000D6F3D" w:rsidP="00E12DE9">
      <w:pPr>
        <w:pStyle w:val="SPCNormal"/>
        <w:rPr>
          <w:szCs w:val="22"/>
        </w:rPr>
      </w:pPr>
      <w:r w:rsidRPr="00A12068">
        <w:rPr>
          <w:szCs w:val="22"/>
          <w:highlight w:val="lightGray"/>
        </w:rPr>
        <w:t>Lunaldin 800 mikrogramov sublingválne tablety: 65/0135/09-S</w:t>
      </w:r>
    </w:p>
    <w:p w:rsidR="000D6F3D" w:rsidRPr="00A12068" w:rsidRDefault="000D6F3D" w:rsidP="00E12DE9">
      <w:pPr>
        <w:pStyle w:val="SPCNormal"/>
        <w:rPr>
          <w:szCs w:val="22"/>
        </w:rPr>
      </w:pPr>
    </w:p>
    <w:p w:rsidR="000D6F3D" w:rsidRPr="00A12068" w:rsidRDefault="000D6F3D" w:rsidP="00E12DE9">
      <w:pPr>
        <w:rPr>
          <w:rFonts w:ascii="Times New Roman" w:hAnsi="Times New Roman"/>
          <w:sz w:val="22"/>
          <w:szCs w:val="22"/>
        </w:rPr>
      </w:pPr>
    </w:p>
    <w:p w:rsidR="000D6F3D" w:rsidRPr="00A12068" w:rsidRDefault="000D6F3D" w:rsidP="00E12DE9">
      <w:pPr>
        <w:pStyle w:val="SPC1"/>
        <w:spacing w:before="0"/>
        <w:rPr>
          <w:szCs w:val="22"/>
        </w:rPr>
      </w:pPr>
      <w:r w:rsidRPr="00A12068">
        <w:rPr>
          <w:szCs w:val="22"/>
        </w:rPr>
        <w:t>9.</w:t>
      </w:r>
      <w:r w:rsidRPr="00A12068">
        <w:rPr>
          <w:szCs w:val="22"/>
        </w:rPr>
        <w:tab/>
        <w:t>DÁTUM PRVEJ REGISTRÁCIE/PREDĹŽENIA REGISTRÁCIE</w:t>
      </w:r>
    </w:p>
    <w:p w:rsidR="000D6F3D" w:rsidRPr="00A12068" w:rsidRDefault="000D6F3D" w:rsidP="00E12DE9">
      <w:pPr>
        <w:pStyle w:val="SPCNormal"/>
        <w:rPr>
          <w:szCs w:val="22"/>
        </w:rPr>
      </w:pPr>
    </w:p>
    <w:p w:rsidR="00377422" w:rsidRPr="00A12068" w:rsidRDefault="00377422" w:rsidP="00E12DE9">
      <w:pPr>
        <w:rPr>
          <w:rFonts w:ascii="Times New Roman" w:hAnsi="Times New Roman"/>
          <w:sz w:val="22"/>
          <w:szCs w:val="22"/>
        </w:rPr>
      </w:pPr>
      <w:r w:rsidRPr="00A12068">
        <w:rPr>
          <w:rFonts w:ascii="Times New Roman" w:hAnsi="Times New Roman"/>
          <w:sz w:val="22"/>
          <w:szCs w:val="22"/>
        </w:rPr>
        <w:t>Dátum prvej registrácie: 28.</w:t>
      </w:r>
      <w:r w:rsidR="00850374" w:rsidRPr="00A12068">
        <w:rPr>
          <w:rFonts w:ascii="Times New Roman" w:hAnsi="Times New Roman"/>
          <w:sz w:val="22"/>
          <w:szCs w:val="22"/>
        </w:rPr>
        <w:t xml:space="preserve"> máj</w:t>
      </w:r>
      <w:r w:rsidR="00D146BB" w:rsidRPr="00A12068">
        <w:rPr>
          <w:rFonts w:ascii="Times New Roman" w:hAnsi="Times New Roman"/>
          <w:sz w:val="22"/>
          <w:szCs w:val="22"/>
        </w:rPr>
        <w:t>a</w:t>
      </w:r>
      <w:r w:rsidR="00850374" w:rsidRPr="00A12068">
        <w:rPr>
          <w:rFonts w:ascii="Times New Roman" w:hAnsi="Times New Roman"/>
          <w:sz w:val="22"/>
          <w:szCs w:val="22"/>
        </w:rPr>
        <w:t xml:space="preserve"> </w:t>
      </w:r>
      <w:r w:rsidRPr="00A12068">
        <w:rPr>
          <w:rFonts w:ascii="Times New Roman" w:hAnsi="Times New Roman"/>
          <w:sz w:val="22"/>
          <w:szCs w:val="22"/>
        </w:rPr>
        <w:t>2009</w:t>
      </w:r>
    </w:p>
    <w:p w:rsidR="00377422" w:rsidRPr="00A12068" w:rsidRDefault="00377422" w:rsidP="00E12DE9">
      <w:pPr>
        <w:rPr>
          <w:rFonts w:ascii="Times New Roman" w:hAnsi="Times New Roman"/>
          <w:sz w:val="22"/>
          <w:szCs w:val="22"/>
        </w:rPr>
      </w:pPr>
      <w:r w:rsidRPr="00A12068">
        <w:rPr>
          <w:rFonts w:ascii="Times New Roman" w:hAnsi="Times New Roman"/>
          <w:sz w:val="22"/>
          <w:szCs w:val="22"/>
        </w:rPr>
        <w:t xml:space="preserve">Dátum posledného predĺženia </w:t>
      </w:r>
      <w:r w:rsidR="00855151" w:rsidRPr="00A12068">
        <w:rPr>
          <w:rFonts w:ascii="Times New Roman" w:hAnsi="Times New Roman"/>
          <w:sz w:val="22"/>
          <w:szCs w:val="22"/>
        </w:rPr>
        <w:t>registrácie</w:t>
      </w:r>
      <w:r w:rsidRPr="00A12068">
        <w:rPr>
          <w:rFonts w:ascii="Times New Roman" w:hAnsi="Times New Roman"/>
          <w:sz w:val="22"/>
          <w:szCs w:val="22"/>
        </w:rPr>
        <w:t xml:space="preserve">: </w:t>
      </w:r>
      <w:r w:rsidR="00850374" w:rsidRPr="00A12068">
        <w:rPr>
          <w:rFonts w:ascii="Times New Roman" w:hAnsi="Times New Roman"/>
          <w:sz w:val="22"/>
          <w:szCs w:val="22"/>
        </w:rPr>
        <w:t>29. októbr</w:t>
      </w:r>
      <w:r w:rsidR="00D146BB" w:rsidRPr="00A12068">
        <w:rPr>
          <w:rFonts w:ascii="Times New Roman" w:hAnsi="Times New Roman"/>
          <w:sz w:val="22"/>
          <w:szCs w:val="22"/>
        </w:rPr>
        <w:t>a</w:t>
      </w:r>
      <w:r w:rsidR="00850374" w:rsidRPr="00A12068">
        <w:rPr>
          <w:rFonts w:ascii="Times New Roman" w:hAnsi="Times New Roman"/>
          <w:sz w:val="22"/>
          <w:szCs w:val="22"/>
        </w:rPr>
        <w:t xml:space="preserve"> 2014</w:t>
      </w:r>
    </w:p>
    <w:p w:rsidR="000D6F3D" w:rsidRPr="00A12068" w:rsidRDefault="000D6F3D" w:rsidP="00E12DE9">
      <w:pPr>
        <w:rPr>
          <w:rFonts w:ascii="Times New Roman" w:hAnsi="Times New Roman"/>
          <w:sz w:val="22"/>
          <w:szCs w:val="22"/>
        </w:rPr>
      </w:pPr>
    </w:p>
    <w:p w:rsidR="000D6F3D" w:rsidRPr="00A12068" w:rsidRDefault="000D6F3D" w:rsidP="00E12DE9">
      <w:pPr>
        <w:rPr>
          <w:rFonts w:ascii="Times New Roman" w:hAnsi="Times New Roman"/>
          <w:sz w:val="22"/>
          <w:szCs w:val="22"/>
        </w:rPr>
      </w:pPr>
    </w:p>
    <w:p w:rsidR="000D6F3D" w:rsidRPr="00A12068" w:rsidRDefault="000D6F3D" w:rsidP="00E12DE9">
      <w:pPr>
        <w:pStyle w:val="SPC1"/>
        <w:spacing w:before="0"/>
        <w:rPr>
          <w:szCs w:val="22"/>
        </w:rPr>
      </w:pPr>
      <w:r w:rsidRPr="00A12068">
        <w:rPr>
          <w:szCs w:val="22"/>
        </w:rPr>
        <w:t>10.</w:t>
      </w:r>
      <w:r w:rsidRPr="00A12068">
        <w:rPr>
          <w:szCs w:val="22"/>
        </w:rPr>
        <w:tab/>
        <w:t>dátum revízie textu</w:t>
      </w:r>
      <w:r w:rsidR="00715045" w:rsidRPr="00A12068">
        <w:rPr>
          <w:szCs w:val="22"/>
        </w:rPr>
        <w:t xml:space="preserve"> </w:t>
      </w:r>
    </w:p>
    <w:p w:rsidR="00353E69" w:rsidRPr="00A12068" w:rsidRDefault="00353E69" w:rsidP="00E12DE9">
      <w:pPr>
        <w:pStyle w:val="SPCNormal"/>
        <w:rPr>
          <w:szCs w:val="22"/>
        </w:rPr>
      </w:pPr>
    </w:p>
    <w:p w:rsidR="000D6F3D" w:rsidRPr="00A12068" w:rsidRDefault="00CA5DD3" w:rsidP="00E12DE9">
      <w:pPr>
        <w:rPr>
          <w:rFonts w:ascii="Times New Roman" w:hAnsi="Times New Roman"/>
          <w:sz w:val="22"/>
          <w:szCs w:val="22"/>
        </w:rPr>
      </w:pPr>
      <w:r>
        <w:rPr>
          <w:rFonts w:ascii="Times New Roman" w:hAnsi="Times New Roman"/>
          <w:sz w:val="22"/>
          <w:szCs w:val="22"/>
        </w:rPr>
        <w:t>02/2020</w:t>
      </w:r>
    </w:p>
    <w:sectPr w:rsidR="000D6F3D" w:rsidRPr="00A12068" w:rsidSect="00A12068">
      <w:headerReference w:type="default" r:id="rId13"/>
      <w:footerReference w:type="even" r:id="rId14"/>
      <w:footerReference w:type="default" r:id="rId15"/>
      <w:footerReference w:type="firs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962" w:rsidRDefault="003D4962">
      <w:r>
        <w:separator/>
      </w:r>
    </w:p>
  </w:endnote>
  <w:endnote w:type="continuationSeparator" w:id="0">
    <w:p w:rsidR="003D4962" w:rsidRDefault="003D4962">
      <w:r>
        <w:continuationSeparator/>
      </w:r>
    </w:p>
  </w:endnote>
  <w:endnote w:type="continuationNotice" w:id="1">
    <w:p w:rsidR="003D4962" w:rsidRDefault="003D4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62" w:rsidRDefault="003D4962" w:rsidP="0034670E">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3D4962" w:rsidRDefault="003D496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62" w:rsidRPr="00E12DE9" w:rsidRDefault="003D4962" w:rsidP="0034670E">
    <w:pPr>
      <w:pStyle w:val="Pta"/>
      <w:framePr w:wrap="around" w:vAnchor="text" w:hAnchor="margin" w:xAlign="center" w:y="1"/>
      <w:rPr>
        <w:rStyle w:val="slostrany"/>
        <w:rFonts w:ascii="Times New Roman" w:hAnsi="Times New Roman"/>
        <w:sz w:val="18"/>
        <w:szCs w:val="18"/>
      </w:rPr>
    </w:pPr>
    <w:r w:rsidRPr="00E12DE9">
      <w:rPr>
        <w:rStyle w:val="slostrany"/>
        <w:rFonts w:ascii="Times New Roman" w:hAnsi="Times New Roman"/>
        <w:sz w:val="18"/>
        <w:szCs w:val="18"/>
      </w:rPr>
      <w:fldChar w:fldCharType="begin"/>
    </w:r>
    <w:r w:rsidRPr="00E12DE9">
      <w:rPr>
        <w:rStyle w:val="slostrany"/>
        <w:rFonts w:ascii="Times New Roman" w:hAnsi="Times New Roman"/>
        <w:sz w:val="18"/>
        <w:szCs w:val="18"/>
      </w:rPr>
      <w:instrText xml:space="preserve">PAGE  </w:instrText>
    </w:r>
    <w:r w:rsidRPr="00E12DE9">
      <w:rPr>
        <w:rStyle w:val="slostrany"/>
        <w:rFonts w:ascii="Times New Roman" w:hAnsi="Times New Roman"/>
        <w:sz w:val="18"/>
        <w:szCs w:val="18"/>
      </w:rPr>
      <w:fldChar w:fldCharType="separate"/>
    </w:r>
    <w:r w:rsidR="00722EBC">
      <w:rPr>
        <w:rStyle w:val="slostrany"/>
        <w:rFonts w:ascii="Times New Roman" w:hAnsi="Times New Roman"/>
        <w:noProof/>
        <w:sz w:val="18"/>
        <w:szCs w:val="18"/>
      </w:rPr>
      <w:t>12</w:t>
    </w:r>
    <w:r w:rsidRPr="00E12DE9">
      <w:rPr>
        <w:rStyle w:val="slostrany"/>
        <w:rFonts w:ascii="Times New Roman" w:hAnsi="Times New Roman"/>
        <w:sz w:val="18"/>
        <w:szCs w:val="18"/>
      </w:rPr>
      <w:fldChar w:fldCharType="end"/>
    </w:r>
  </w:p>
  <w:p w:rsidR="003D4962" w:rsidRDefault="003D4962">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62" w:rsidRPr="004940CF" w:rsidRDefault="003D4962" w:rsidP="00C62F35">
    <w:pPr>
      <w:pStyle w:val="Pta"/>
      <w:jc w:val="center"/>
      <w:rPr>
        <w:rFonts w:ascii="Times New Roman" w:hAnsi="Times New Roman"/>
        <w:sz w:val="18"/>
        <w:szCs w:val="18"/>
      </w:rPr>
    </w:pPr>
    <w:r w:rsidRPr="004940CF">
      <w:rPr>
        <w:rFonts w:ascii="Times New Roman" w:hAnsi="Times New Roman"/>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962" w:rsidRDefault="003D4962">
      <w:r>
        <w:separator/>
      </w:r>
    </w:p>
  </w:footnote>
  <w:footnote w:type="continuationSeparator" w:id="0">
    <w:p w:rsidR="003D4962" w:rsidRDefault="003D4962">
      <w:r>
        <w:continuationSeparator/>
      </w:r>
    </w:p>
  </w:footnote>
  <w:footnote w:type="continuationNotice" w:id="1">
    <w:p w:rsidR="003D4962" w:rsidRDefault="003D49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62" w:rsidRPr="00036B1E" w:rsidRDefault="003D4962">
    <w:pPr>
      <w:pStyle w:val="Hlavika"/>
    </w:pPr>
    <w:r w:rsidRPr="00722EBC">
      <w:rPr>
        <w:rFonts w:ascii="Times New Roman" w:hAnsi="Times New Roman"/>
        <w:sz w:val="18"/>
        <w:szCs w:val="18"/>
      </w:rPr>
      <w:t>Príloha č. 1 k notifikácii o zmene, ev. č.: 2018/03469-Z1A</w:t>
    </w:r>
    <w:r w:rsidR="003A00A3" w:rsidRPr="00722EBC">
      <w:rPr>
        <w:rFonts w:ascii="Times New Roman" w:hAnsi="Times New Roman"/>
        <w:sz w:val="18"/>
        <w:szCs w:val="18"/>
      </w:rPr>
      <w:t>, 2019/00424-Z1B, 2019/02978-Z1A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B859E2"/>
    <w:lvl w:ilvl="0">
      <w:start w:val="1"/>
      <w:numFmt w:val="decimal"/>
      <w:lvlText w:val="%1."/>
      <w:lvlJc w:val="left"/>
      <w:pPr>
        <w:tabs>
          <w:tab w:val="num" w:pos="1492"/>
        </w:tabs>
        <w:ind w:left="1492" w:hanging="360"/>
      </w:pPr>
    </w:lvl>
  </w:abstractNum>
  <w:abstractNum w:abstractNumId="1">
    <w:nsid w:val="FFFFFF7D"/>
    <w:multiLevelType w:val="singleLevel"/>
    <w:tmpl w:val="0AE69E90"/>
    <w:lvl w:ilvl="0">
      <w:start w:val="1"/>
      <w:numFmt w:val="decimal"/>
      <w:lvlText w:val="%1."/>
      <w:lvlJc w:val="left"/>
      <w:pPr>
        <w:tabs>
          <w:tab w:val="num" w:pos="1209"/>
        </w:tabs>
        <w:ind w:left="1209" w:hanging="360"/>
      </w:pPr>
    </w:lvl>
  </w:abstractNum>
  <w:abstractNum w:abstractNumId="2">
    <w:nsid w:val="FFFFFF7E"/>
    <w:multiLevelType w:val="singleLevel"/>
    <w:tmpl w:val="8346889C"/>
    <w:lvl w:ilvl="0">
      <w:start w:val="1"/>
      <w:numFmt w:val="decimal"/>
      <w:lvlText w:val="%1."/>
      <w:lvlJc w:val="left"/>
      <w:pPr>
        <w:tabs>
          <w:tab w:val="num" w:pos="926"/>
        </w:tabs>
        <w:ind w:left="926" w:hanging="360"/>
      </w:pPr>
    </w:lvl>
  </w:abstractNum>
  <w:abstractNum w:abstractNumId="3">
    <w:nsid w:val="FFFFFF7F"/>
    <w:multiLevelType w:val="singleLevel"/>
    <w:tmpl w:val="FDAAF030"/>
    <w:lvl w:ilvl="0">
      <w:start w:val="1"/>
      <w:numFmt w:val="decimal"/>
      <w:lvlText w:val="%1."/>
      <w:lvlJc w:val="left"/>
      <w:pPr>
        <w:tabs>
          <w:tab w:val="num" w:pos="643"/>
        </w:tabs>
        <w:ind w:left="643" w:hanging="360"/>
      </w:pPr>
    </w:lvl>
  </w:abstractNum>
  <w:abstractNum w:abstractNumId="4">
    <w:nsid w:val="FFFFFF80"/>
    <w:multiLevelType w:val="singleLevel"/>
    <w:tmpl w:val="04FCA6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30B9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9C4C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B6F6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9D2F93C"/>
    <w:lvl w:ilvl="0">
      <w:start w:val="1"/>
      <w:numFmt w:val="decimal"/>
      <w:lvlText w:val="%1."/>
      <w:lvlJc w:val="left"/>
      <w:pPr>
        <w:tabs>
          <w:tab w:val="num" w:pos="360"/>
        </w:tabs>
        <w:ind w:left="360" w:hanging="360"/>
      </w:pPr>
    </w:lvl>
  </w:abstractNum>
  <w:abstractNum w:abstractNumId="9">
    <w:nsid w:val="FFFFFF89"/>
    <w:multiLevelType w:val="singleLevel"/>
    <w:tmpl w:val="9D728FD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7716E7"/>
    <w:multiLevelType w:val="hybridMultilevel"/>
    <w:tmpl w:val="AE5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FF289B"/>
    <w:multiLevelType w:val="hybridMultilevel"/>
    <w:tmpl w:val="4A1EF83C"/>
    <w:lvl w:ilvl="0" w:tplc="36666BFE">
      <w:start w:val="1"/>
      <w:numFmt w:val="bullet"/>
      <w:lvlText w:val="-"/>
      <w:lvlJc w:val="left"/>
      <w:pPr>
        <w:ind w:left="405" w:hanging="360"/>
      </w:pPr>
      <w:rPr>
        <w:rFonts w:ascii="Times New Roman" w:eastAsia="SymbolMT" w:hAnsi="Times New Roman"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3">
    <w:nsid w:val="157974DB"/>
    <w:multiLevelType w:val="hybridMultilevel"/>
    <w:tmpl w:val="7EE23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5C069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C1A5AD8"/>
    <w:multiLevelType w:val="hybridMultilevel"/>
    <w:tmpl w:val="CC3259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22DD22ED"/>
    <w:multiLevelType w:val="hybridMultilevel"/>
    <w:tmpl w:val="1C762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6A35AB7"/>
    <w:multiLevelType w:val="hybridMultilevel"/>
    <w:tmpl w:val="F07EAF98"/>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nsid w:val="3F931984"/>
    <w:multiLevelType w:val="hybridMultilevel"/>
    <w:tmpl w:val="835A9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C47A73"/>
    <w:multiLevelType w:val="hybridMultilevel"/>
    <w:tmpl w:val="A732BD96"/>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1">
    <w:nsid w:val="5380192C"/>
    <w:multiLevelType w:val="hybridMultilevel"/>
    <w:tmpl w:val="A5460ED2"/>
    <w:lvl w:ilvl="0" w:tplc="5F34D5C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A971886"/>
    <w:multiLevelType w:val="hybridMultilevel"/>
    <w:tmpl w:val="1A709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0F2B14"/>
    <w:multiLevelType w:val="hybridMultilevel"/>
    <w:tmpl w:val="B3E8620C"/>
    <w:lvl w:ilvl="0" w:tplc="25F0ED0E">
      <w:start w:val="1"/>
      <w:numFmt w:val="bullet"/>
      <w:lvlText w:val=""/>
      <w:lvlJc w:val="left"/>
      <w:pPr>
        <w:tabs>
          <w:tab w:val="num" w:pos="1080"/>
        </w:tabs>
        <w:ind w:left="1060" w:hanging="340"/>
      </w:pPr>
      <w:rPr>
        <w:rFonts w:ascii="Symbol" w:hAnsi="Symbol" w:hint="default"/>
      </w:rPr>
    </w:lvl>
    <w:lvl w:ilvl="1" w:tplc="04090003">
      <w:start w:val="1"/>
      <w:numFmt w:val="bullet"/>
      <w:lvlText w:val="o"/>
      <w:lvlJc w:val="left"/>
      <w:pPr>
        <w:tabs>
          <w:tab w:val="num" w:pos="1026"/>
        </w:tabs>
        <w:ind w:left="1026" w:hanging="360"/>
      </w:pPr>
      <w:rPr>
        <w:rFonts w:ascii="Courier New" w:hAnsi="Courier New" w:hint="default"/>
      </w:rPr>
    </w:lvl>
    <w:lvl w:ilvl="2" w:tplc="04090005" w:tentative="1">
      <w:start w:val="1"/>
      <w:numFmt w:val="bullet"/>
      <w:lvlText w:val=""/>
      <w:lvlJc w:val="left"/>
      <w:pPr>
        <w:tabs>
          <w:tab w:val="num" w:pos="1746"/>
        </w:tabs>
        <w:ind w:left="1746" w:hanging="360"/>
      </w:pPr>
      <w:rPr>
        <w:rFonts w:ascii="Wingdings" w:hAnsi="Wingdings" w:hint="default"/>
      </w:rPr>
    </w:lvl>
    <w:lvl w:ilvl="3" w:tplc="04090001" w:tentative="1">
      <w:start w:val="1"/>
      <w:numFmt w:val="bullet"/>
      <w:lvlText w:val=""/>
      <w:lvlJc w:val="left"/>
      <w:pPr>
        <w:tabs>
          <w:tab w:val="num" w:pos="2466"/>
        </w:tabs>
        <w:ind w:left="2466" w:hanging="360"/>
      </w:pPr>
      <w:rPr>
        <w:rFonts w:ascii="Symbol" w:hAnsi="Symbol" w:hint="default"/>
      </w:rPr>
    </w:lvl>
    <w:lvl w:ilvl="4" w:tplc="04090003" w:tentative="1">
      <w:start w:val="1"/>
      <w:numFmt w:val="bullet"/>
      <w:lvlText w:val="o"/>
      <w:lvlJc w:val="left"/>
      <w:pPr>
        <w:tabs>
          <w:tab w:val="num" w:pos="3186"/>
        </w:tabs>
        <w:ind w:left="3186" w:hanging="360"/>
      </w:pPr>
      <w:rPr>
        <w:rFonts w:ascii="Courier New" w:hAnsi="Courier New" w:hint="default"/>
      </w:rPr>
    </w:lvl>
    <w:lvl w:ilvl="5" w:tplc="04090005" w:tentative="1">
      <w:start w:val="1"/>
      <w:numFmt w:val="bullet"/>
      <w:lvlText w:val=""/>
      <w:lvlJc w:val="left"/>
      <w:pPr>
        <w:tabs>
          <w:tab w:val="num" w:pos="3906"/>
        </w:tabs>
        <w:ind w:left="3906" w:hanging="360"/>
      </w:pPr>
      <w:rPr>
        <w:rFonts w:ascii="Wingdings" w:hAnsi="Wingdings" w:hint="default"/>
      </w:rPr>
    </w:lvl>
    <w:lvl w:ilvl="6" w:tplc="04090001" w:tentative="1">
      <w:start w:val="1"/>
      <w:numFmt w:val="bullet"/>
      <w:lvlText w:val=""/>
      <w:lvlJc w:val="left"/>
      <w:pPr>
        <w:tabs>
          <w:tab w:val="num" w:pos="4626"/>
        </w:tabs>
        <w:ind w:left="4626" w:hanging="360"/>
      </w:pPr>
      <w:rPr>
        <w:rFonts w:ascii="Symbol" w:hAnsi="Symbol" w:hint="default"/>
      </w:rPr>
    </w:lvl>
    <w:lvl w:ilvl="7" w:tplc="04090003" w:tentative="1">
      <w:start w:val="1"/>
      <w:numFmt w:val="bullet"/>
      <w:lvlText w:val="o"/>
      <w:lvlJc w:val="left"/>
      <w:pPr>
        <w:tabs>
          <w:tab w:val="num" w:pos="5346"/>
        </w:tabs>
        <w:ind w:left="5346" w:hanging="360"/>
      </w:pPr>
      <w:rPr>
        <w:rFonts w:ascii="Courier New" w:hAnsi="Courier New" w:hint="default"/>
      </w:rPr>
    </w:lvl>
    <w:lvl w:ilvl="8" w:tplc="04090005" w:tentative="1">
      <w:start w:val="1"/>
      <w:numFmt w:val="bullet"/>
      <w:lvlText w:val=""/>
      <w:lvlJc w:val="left"/>
      <w:pPr>
        <w:tabs>
          <w:tab w:val="num" w:pos="6066"/>
        </w:tabs>
        <w:ind w:left="6066" w:hanging="360"/>
      </w:pPr>
      <w:rPr>
        <w:rFonts w:ascii="Wingdings" w:hAnsi="Wingdings" w:hint="default"/>
      </w:rPr>
    </w:lvl>
  </w:abstractNum>
  <w:abstractNum w:abstractNumId="25">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nsid w:val="69DD0975"/>
    <w:multiLevelType w:val="hybridMultilevel"/>
    <w:tmpl w:val="E2B24606"/>
    <w:lvl w:ilvl="0" w:tplc="5F34D5C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8A769C"/>
    <w:multiLevelType w:val="hybridMultilevel"/>
    <w:tmpl w:val="36D86348"/>
    <w:lvl w:ilvl="0" w:tplc="FFFFFFFF">
      <w:start w:val="21"/>
      <w:numFmt w:val="bullet"/>
      <w:lvlText w:val="-"/>
      <w:lvlJc w:val="left"/>
      <w:pPr>
        <w:tabs>
          <w:tab w:val="num" w:pos="417"/>
        </w:tabs>
        <w:ind w:left="417" w:hanging="360"/>
      </w:pPr>
      <w:rPr>
        <w:rFonts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360"/>
        <w:lvlJc w:val="left"/>
        <w:pPr>
          <w:ind w:left="360" w:hanging="360"/>
        </w:pPr>
      </w:lvl>
    </w:lvlOverride>
  </w:num>
  <w:num w:numId="12">
    <w:abstractNumId w:val="25"/>
  </w:num>
  <w:num w:numId="13">
    <w:abstractNumId w:val="22"/>
  </w:num>
  <w:num w:numId="14">
    <w:abstractNumId w:val="17"/>
  </w:num>
  <w:num w:numId="15">
    <w:abstractNumId w:val="19"/>
  </w:num>
  <w:num w:numId="16">
    <w:abstractNumId w:val="13"/>
  </w:num>
  <w:num w:numId="17">
    <w:abstractNumId w:val="11"/>
  </w:num>
  <w:num w:numId="18">
    <w:abstractNumId w:val="15"/>
  </w:num>
  <w:num w:numId="19">
    <w:abstractNumId w:val="16"/>
  </w:num>
  <w:num w:numId="20">
    <w:abstractNumId w:val="18"/>
  </w:num>
  <w:num w:numId="21">
    <w:abstractNumId w:val="20"/>
  </w:num>
  <w:num w:numId="22">
    <w:abstractNumId w:val="23"/>
  </w:num>
  <w:num w:numId="23">
    <w:abstractNumId w:val="26"/>
  </w:num>
  <w:num w:numId="24">
    <w:abstractNumId w:val="21"/>
  </w:num>
  <w:num w:numId="25">
    <w:abstractNumId w:val="10"/>
    <w:lvlOverride w:ilvl="0">
      <w:lvl w:ilvl="0">
        <w:start w:val="1"/>
        <w:numFmt w:val="bullet"/>
        <w:lvlText w:val="-"/>
        <w:lvlJc w:val="left"/>
        <w:pPr>
          <w:ind w:left="360" w:hanging="360"/>
        </w:pPr>
      </w:lvl>
    </w:lvlOverride>
  </w:num>
  <w:num w:numId="26">
    <w:abstractNumId w:val="10"/>
    <w:lvlOverride w:ilvl="0">
      <w:lvl w:ilvl="0">
        <w:start w:val="1"/>
        <w:numFmt w:val="bullet"/>
        <w:lvlText w:val="-"/>
        <w:lvlJc w:val="left"/>
        <w:pPr>
          <w:ind w:left="360" w:hanging="360"/>
        </w:pPr>
      </w:lvl>
    </w:lvlOverride>
  </w:num>
  <w:num w:numId="27">
    <w:abstractNumId w:val="24"/>
  </w:num>
  <w:num w:numId="28">
    <w:abstractNumId w:val="10"/>
    <w:lvlOverride w:ilvl="0">
      <w:lvl w:ilvl="0">
        <w:start w:val="1"/>
        <w:numFmt w:val="bullet"/>
        <w:lvlText w:val="-"/>
        <w:lvlJc w:val="left"/>
        <w:pPr>
          <w:ind w:left="360" w:hanging="360"/>
        </w:pPr>
      </w:lvl>
    </w:lvlOverride>
  </w:num>
  <w:num w:numId="29">
    <w:abstractNumId w:val="10"/>
    <w:lvlOverride w:ilvl="0">
      <w:lvl w:ilvl="0">
        <w:start w:val="1"/>
        <w:numFmt w:val="bullet"/>
        <w:lvlText w:val="-"/>
        <w:legacy w:legacy="1" w:legacySpace="0" w:legacyIndent="360"/>
        <w:lvlJc w:val="left"/>
        <w:pPr>
          <w:ind w:left="360" w:hanging="360"/>
        </w:pPr>
      </w:lvl>
    </w:lvlOverride>
  </w:num>
  <w:num w:numId="30">
    <w:abstractNumId w:val="2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rawingGridHorizontalSpacing w:val="10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0305"/>
    <w:rsid w:val="000010E3"/>
    <w:rsid w:val="00003ECE"/>
    <w:rsid w:val="00005989"/>
    <w:rsid w:val="0000727F"/>
    <w:rsid w:val="0001632F"/>
    <w:rsid w:val="00033D3D"/>
    <w:rsid w:val="00036B1E"/>
    <w:rsid w:val="00055541"/>
    <w:rsid w:val="000629EB"/>
    <w:rsid w:val="00070236"/>
    <w:rsid w:val="00076C04"/>
    <w:rsid w:val="0007705C"/>
    <w:rsid w:val="00092414"/>
    <w:rsid w:val="000A4DBA"/>
    <w:rsid w:val="000C0797"/>
    <w:rsid w:val="000C43E1"/>
    <w:rsid w:val="000C5C0A"/>
    <w:rsid w:val="000D28BF"/>
    <w:rsid w:val="000D6F3D"/>
    <w:rsid w:val="00101BD7"/>
    <w:rsid w:val="0011058D"/>
    <w:rsid w:val="00111E62"/>
    <w:rsid w:val="00124BEA"/>
    <w:rsid w:val="001301EF"/>
    <w:rsid w:val="00134D64"/>
    <w:rsid w:val="00140B90"/>
    <w:rsid w:val="00147837"/>
    <w:rsid w:val="0015543B"/>
    <w:rsid w:val="0016138B"/>
    <w:rsid w:val="0016139F"/>
    <w:rsid w:val="00161F9E"/>
    <w:rsid w:val="00180A5D"/>
    <w:rsid w:val="0019001E"/>
    <w:rsid w:val="001A5F84"/>
    <w:rsid w:val="001B3F4B"/>
    <w:rsid w:val="001B7FC7"/>
    <w:rsid w:val="001C5868"/>
    <w:rsid w:val="001D0305"/>
    <w:rsid w:val="001D1098"/>
    <w:rsid w:val="001D433A"/>
    <w:rsid w:val="001F31BF"/>
    <w:rsid w:val="002021F2"/>
    <w:rsid w:val="00205AB0"/>
    <w:rsid w:val="002134DE"/>
    <w:rsid w:val="0021655A"/>
    <w:rsid w:val="00217503"/>
    <w:rsid w:val="00232572"/>
    <w:rsid w:val="00233B82"/>
    <w:rsid w:val="00236169"/>
    <w:rsid w:val="00256368"/>
    <w:rsid w:val="002742CE"/>
    <w:rsid w:val="0027620D"/>
    <w:rsid w:val="00280D0A"/>
    <w:rsid w:val="00283C4D"/>
    <w:rsid w:val="00284445"/>
    <w:rsid w:val="00286E67"/>
    <w:rsid w:val="002A14EB"/>
    <w:rsid w:val="002A7EBC"/>
    <w:rsid w:val="002B1CB6"/>
    <w:rsid w:val="002B3B79"/>
    <w:rsid w:val="002C7E1E"/>
    <w:rsid w:val="002D0F86"/>
    <w:rsid w:val="002D5081"/>
    <w:rsid w:val="00300441"/>
    <w:rsid w:val="003055E7"/>
    <w:rsid w:val="0032493D"/>
    <w:rsid w:val="00330919"/>
    <w:rsid w:val="00330EB4"/>
    <w:rsid w:val="00346253"/>
    <w:rsid w:val="0034670E"/>
    <w:rsid w:val="00347179"/>
    <w:rsid w:val="00353B1A"/>
    <w:rsid w:val="00353E69"/>
    <w:rsid w:val="00360ADA"/>
    <w:rsid w:val="00370B76"/>
    <w:rsid w:val="00375EDA"/>
    <w:rsid w:val="00377422"/>
    <w:rsid w:val="003866FF"/>
    <w:rsid w:val="00394B4A"/>
    <w:rsid w:val="003A00A3"/>
    <w:rsid w:val="003A342C"/>
    <w:rsid w:val="003A4C09"/>
    <w:rsid w:val="003A7CCF"/>
    <w:rsid w:val="003B2EC0"/>
    <w:rsid w:val="003D0AD9"/>
    <w:rsid w:val="003D4962"/>
    <w:rsid w:val="003E035A"/>
    <w:rsid w:val="003E1FEC"/>
    <w:rsid w:val="003F27D3"/>
    <w:rsid w:val="003F4709"/>
    <w:rsid w:val="003F4B62"/>
    <w:rsid w:val="00404A3C"/>
    <w:rsid w:val="004137E4"/>
    <w:rsid w:val="0042567B"/>
    <w:rsid w:val="0047148A"/>
    <w:rsid w:val="00484964"/>
    <w:rsid w:val="004849AB"/>
    <w:rsid w:val="00493F9C"/>
    <w:rsid w:val="0049408C"/>
    <w:rsid w:val="004940CF"/>
    <w:rsid w:val="004C37B3"/>
    <w:rsid w:val="004D36B7"/>
    <w:rsid w:val="004D5175"/>
    <w:rsid w:val="004E27FD"/>
    <w:rsid w:val="005046E2"/>
    <w:rsid w:val="00506628"/>
    <w:rsid w:val="005102E2"/>
    <w:rsid w:val="00514D0F"/>
    <w:rsid w:val="00514DA9"/>
    <w:rsid w:val="005170C3"/>
    <w:rsid w:val="0051712B"/>
    <w:rsid w:val="00520A7F"/>
    <w:rsid w:val="005336A8"/>
    <w:rsid w:val="00533931"/>
    <w:rsid w:val="00536D41"/>
    <w:rsid w:val="00547739"/>
    <w:rsid w:val="005702B1"/>
    <w:rsid w:val="0057426A"/>
    <w:rsid w:val="00580A18"/>
    <w:rsid w:val="00597E8C"/>
    <w:rsid w:val="005A613E"/>
    <w:rsid w:val="005A76F8"/>
    <w:rsid w:val="005B2DC0"/>
    <w:rsid w:val="005B483A"/>
    <w:rsid w:val="005C5F92"/>
    <w:rsid w:val="005C792B"/>
    <w:rsid w:val="005D1AFF"/>
    <w:rsid w:val="005E21F0"/>
    <w:rsid w:val="005E4EC8"/>
    <w:rsid w:val="005F48C4"/>
    <w:rsid w:val="005F5273"/>
    <w:rsid w:val="005F711B"/>
    <w:rsid w:val="005F71F4"/>
    <w:rsid w:val="00601F39"/>
    <w:rsid w:val="00610AC7"/>
    <w:rsid w:val="00620C4C"/>
    <w:rsid w:val="0063385F"/>
    <w:rsid w:val="0064462C"/>
    <w:rsid w:val="006466F9"/>
    <w:rsid w:val="006573D2"/>
    <w:rsid w:val="00662466"/>
    <w:rsid w:val="00685233"/>
    <w:rsid w:val="00690CE4"/>
    <w:rsid w:val="006964AC"/>
    <w:rsid w:val="006A1D0D"/>
    <w:rsid w:val="006B7A74"/>
    <w:rsid w:val="006C372A"/>
    <w:rsid w:val="006E17EE"/>
    <w:rsid w:val="006E3548"/>
    <w:rsid w:val="006F609F"/>
    <w:rsid w:val="00703AC1"/>
    <w:rsid w:val="00705C28"/>
    <w:rsid w:val="007076FB"/>
    <w:rsid w:val="00715045"/>
    <w:rsid w:val="00715594"/>
    <w:rsid w:val="00722EBC"/>
    <w:rsid w:val="007314B4"/>
    <w:rsid w:val="00740BBA"/>
    <w:rsid w:val="00740E93"/>
    <w:rsid w:val="00747245"/>
    <w:rsid w:val="00750C24"/>
    <w:rsid w:val="00770AEA"/>
    <w:rsid w:val="00775C0A"/>
    <w:rsid w:val="007765D9"/>
    <w:rsid w:val="00796B28"/>
    <w:rsid w:val="0079764B"/>
    <w:rsid w:val="007A12A6"/>
    <w:rsid w:val="007A49EB"/>
    <w:rsid w:val="007A7EE2"/>
    <w:rsid w:val="007B0675"/>
    <w:rsid w:val="007B4CB8"/>
    <w:rsid w:val="007C1709"/>
    <w:rsid w:val="007E02A2"/>
    <w:rsid w:val="007F217D"/>
    <w:rsid w:val="007F5383"/>
    <w:rsid w:val="007F586B"/>
    <w:rsid w:val="00800F42"/>
    <w:rsid w:val="00814737"/>
    <w:rsid w:val="00842D46"/>
    <w:rsid w:val="00850374"/>
    <w:rsid w:val="00855151"/>
    <w:rsid w:val="00864071"/>
    <w:rsid w:val="008665D1"/>
    <w:rsid w:val="00876F41"/>
    <w:rsid w:val="00893CDF"/>
    <w:rsid w:val="008B476C"/>
    <w:rsid w:val="008F33B7"/>
    <w:rsid w:val="008F4A62"/>
    <w:rsid w:val="009204AC"/>
    <w:rsid w:val="00937146"/>
    <w:rsid w:val="00941C1B"/>
    <w:rsid w:val="009460C6"/>
    <w:rsid w:val="00947B98"/>
    <w:rsid w:val="00950586"/>
    <w:rsid w:val="0095063A"/>
    <w:rsid w:val="0095080F"/>
    <w:rsid w:val="009540B2"/>
    <w:rsid w:val="00955004"/>
    <w:rsid w:val="0096484F"/>
    <w:rsid w:val="009700E4"/>
    <w:rsid w:val="0099536E"/>
    <w:rsid w:val="009961A8"/>
    <w:rsid w:val="009A11A7"/>
    <w:rsid w:val="009A4BC7"/>
    <w:rsid w:val="009C62DA"/>
    <w:rsid w:val="009C68DC"/>
    <w:rsid w:val="009D7401"/>
    <w:rsid w:val="009E5192"/>
    <w:rsid w:val="009F7457"/>
    <w:rsid w:val="00A0799A"/>
    <w:rsid w:val="00A12068"/>
    <w:rsid w:val="00A20C09"/>
    <w:rsid w:val="00A36846"/>
    <w:rsid w:val="00A61F26"/>
    <w:rsid w:val="00A64402"/>
    <w:rsid w:val="00A71AA4"/>
    <w:rsid w:val="00A83D96"/>
    <w:rsid w:val="00A90EC1"/>
    <w:rsid w:val="00A94015"/>
    <w:rsid w:val="00A970FC"/>
    <w:rsid w:val="00AA29A4"/>
    <w:rsid w:val="00AC6F67"/>
    <w:rsid w:val="00AD5D92"/>
    <w:rsid w:val="00AD7A27"/>
    <w:rsid w:val="00AE541F"/>
    <w:rsid w:val="00AE7720"/>
    <w:rsid w:val="00B12B31"/>
    <w:rsid w:val="00B157D1"/>
    <w:rsid w:val="00B279BE"/>
    <w:rsid w:val="00B349C6"/>
    <w:rsid w:val="00B4426F"/>
    <w:rsid w:val="00B46627"/>
    <w:rsid w:val="00B56615"/>
    <w:rsid w:val="00B56C19"/>
    <w:rsid w:val="00B676BD"/>
    <w:rsid w:val="00B75249"/>
    <w:rsid w:val="00B82A69"/>
    <w:rsid w:val="00B83D79"/>
    <w:rsid w:val="00BA26DB"/>
    <w:rsid w:val="00BA5DA7"/>
    <w:rsid w:val="00BD0E9C"/>
    <w:rsid w:val="00BF09BE"/>
    <w:rsid w:val="00BF34A8"/>
    <w:rsid w:val="00BF5138"/>
    <w:rsid w:val="00BF7D6F"/>
    <w:rsid w:val="00C05730"/>
    <w:rsid w:val="00C100E7"/>
    <w:rsid w:val="00C15C48"/>
    <w:rsid w:val="00C20189"/>
    <w:rsid w:val="00C22810"/>
    <w:rsid w:val="00C338EA"/>
    <w:rsid w:val="00C41A8B"/>
    <w:rsid w:val="00C42CB6"/>
    <w:rsid w:val="00C53D7B"/>
    <w:rsid w:val="00C57577"/>
    <w:rsid w:val="00C62A60"/>
    <w:rsid w:val="00C62F35"/>
    <w:rsid w:val="00C83F04"/>
    <w:rsid w:val="00C863ED"/>
    <w:rsid w:val="00C91C41"/>
    <w:rsid w:val="00CA5DD3"/>
    <w:rsid w:val="00CA79D9"/>
    <w:rsid w:val="00CB1C96"/>
    <w:rsid w:val="00CB71C6"/>
    <w:rsid w:val="00CC09C2"/>
    <w:rsid w:val="00CE45E3"/>
    <w:rsid w:val="00CF1E2D"/>
    <w:rsid w:val="00D02204"/>
    <w:rsid w:val="00D06B8D"/>
    <w:rsid w:val="00D146BB"/>
    <w:rsid w:val="00D2653D"/>
    <w:rsid w:val="00D3201D"/>
    <w:rsid w:val="00D345F0"/>
    <w:rsid w:val="00D363BF"/>
    <w:rsid w:val="00D37819"/>
    <w:rsid w:val="00D646E9"/>
    <w:rsid w:val="00D67A45"/>
    <w:rsid w:val="00D71563"/>
    <w:rsid w:val="00D723D0"/>
    <w:rsid w:val="00D7441B"/>
    <w:rsid w:val="00D953C4"/>
    <w:rsid w:val="00DD0937"/>
    <w:rsid w:val="00DD296C"/>
    <w:rsid w:val="00DE56E5"/>
    <w:rsid w:val="00DE5EDD"/>
    <w:rsid w:val="00E00671"/>
    <w:rsid w:val="00E024BC"/>
    <w:rsid w:val="00E02ABC"/>
    <w:rsid w:val="00E03599"/>
    <w:rsid w:val="00E0432B"/>
    <w:rsid w:val="00E12DE9"/>
    <w:rsid w:val="00E16B4F"/>
    <w:rsid w:val="00E207D7"/>
    <w:rsid w:val="00E20E1A"/>
    <w:rsid w:val="00E218D9"/>
    <w:rsid w:val="00E23475"/>
    <w:rsid w:val="00E253DF"/>
    <w:rsid w:val="00E4265C"/>
    <w:rsid w:val="00E55B5B"/>
    <w:rsid w:val="00E6456B"/>
    <w:rsid w:val="00E76BFB"/>
    <w:rsid w:val="00E80B1B"/>
    <w:rsid w:val="00E82AC9"/>
    <w:rsid w:val="00E84944"/>
    <w:rsid w:val="00E8624D"/>
    <w:rsid w:val="00EB70DB"/>
    <w:rsid w:val="00EC2F0A"/>
    <w:rsid w:val="00ED4D3F"/>
    <w:rsid w:val="00ED72B7"/>
    <w:rsid w:val="00EE295C"/>
    <w:rsid w:val="00EF5625"/>
    <w:rsid w:val="00F113E5"/>
    <w:rsid w:val="00F12EEE"/>
    <w:rsid w:val="00F51922"/>
    <w:rsid w:val="00F65C68"/>
    <w:rsid w:val="00F76525"/>
    <w:rsid w:val="00F76A40"/>
    <w:rsid w:val="00F77AB1"/>
    <w:rsid w:val="00F82C45"/>
    <w:rsid w:val="00F87B37"/>
    <w:rsid w:val="00F93758"/>
    <w:rsid w:val="00F9449F"/>
    <w:rsid w:val="00FA4BF2"/>
    <w:rsid w:val="00FB090C"/>
    <w:rsid w:val="00FB248C"/>
    <w:rsid w:val="00FB3284"/>
    <w:rsid w:val="00FB6501"/>
    <w:rsid w:val="00FC59A8"/>
    <w:rsid w:val="00FC6F69"/>
    <w:rsid w:val="00FE0842"/>
    <w:rsid w:val="00FE1BFB"/>
    <w:rsid w:val="00FF2A20"/>
    <w:rsid w:val="00FF3696"/>
    <w:rsid w:val="00FF5E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145"/>
    <o:shapelayout v:ext="edit">
      <o:idmap v:ext="edit" data="1"/>
      <o:rules v:ext="edit">
        <o:r id="V:Rule8" type="connector" idref="#_x0000_s1040">
          <o:proxy start="" idref="#_x0000_s1032" connectloc="3"/>
          <o:proxy end="" idref="#_x0000_s1028" connectloc="3"/>
        </o:r>
        <o:r id="V:Rule9" type="connector" idref="#_x0000_s1037">
          <o:proxy start="" idref="#_x0000_s1029" connectloc="2"/>
          <o:proxy end="" idref="#_x0000_s1033" connectloc="0"/>
        </o:r>
        <o:r id="V:Rule10" type="connector" idref="#_x0000_s1035">
          <o:proxy start="" idref="#_x0000_s1028" connectloc="2"/>
          <o:proxy end="" idref="#_x0000_s1029" connectloc="0"/>
        </o:r>
        <o:r id="V:Rule11" type="connector" idref="#_x0000_s1034">
          <o:proxy start="" idref="#_x0000_s1027" connectloc="2"/>
          <o:proxy end="" idref="#_x0000_s1028" connectloc="0"/>
        </o:r>
        <o:r id="V:Rule12" type="connector" idref="#_x0000_s1036">
          <o:proxy start="" idref="#_x0000_s1028" connectloc="2"/>
          <o:proxy end="" idref="#_x0000_s1030" connectloc="0"/>
        </o:r>
        <o:r id="V:Rule13" type="connector" idref="#_x0000_s1038">
          <o:proxy start="" idref="#_x0000_s1030" connectloc="2"/>
          <o:proxy end="" idref="#_x0000_s1031" connectloc="0"/>
        </o:r>
        <o:r id="V:Rule14" type="connector" idref="#_x0000_s1039">
          <o:proxy start="" idref="#_x0000_s1031" connectloc="2"/>
          <o:proxy end="" idref="#_x0000_s1032"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6139F"/>
    <w:rPr>
      <w:rFonts w:ascii="Verdana" w:hAnsi="Verdana"/>
      <w:szCs w:val="24"/>
      <w:lang w:eastAsia="en-US"/>
    </w:rPr>
  </w:style>
  <w:style w:type="paragraph" w:styleId="Nadpis1">
    <w:name w:val="heading 1"/>
    <w:basedOn w:val="Normlny"/>
    <w:next w:val="Normlny"/>
    <w:qFormat/>
    <w:pPr>
      <w:keepNext/>
      <w:outlineLvl w:val="0"/>
    </w:pPr>
    <w:rPr>
      <w:rFonts w:ascii="Times New Roman" w:hAnsi="Times New Roman"/>
      <w:b/>
      <w:bCs/>
      <w:sz w:val="22"/>
      <w:szCs w:val="22"/>
      <w:lang w:val="it-IT"/>
    </w:rPr>
  </w:style>
  <w:style w:type="paragraph" w:styleId="Nadpis2">
    <w:name w:val="heading 2"/>
    <w:basedOn w:val="Normlny"/>
    <w:next w:val="Normlny"/>
    <w:qFormat/>
    <w:pPr>
      <w:keepNext/>
      <w:pBdr>
        <w:top w:val="single" w:sz="4" w:space="1" w:color="auto"/>
        <w:left w:val="single" w:sz="4" w:space="4" w:color="auto"/>
        <w:bottom w:val="single" w:sz="4" w:space="1" w:color="auto"/>
        <w:right w:val="single" w:sz="4" w:space="4" w:color="auto"/>
      </w:pBdr>
      <w:outlineLvl w:val="1"/>
    </w:pPr>
    <w:rPr>
      <w:rFonts w:ascii="Times New Roman" w:hAnsi="Times New Roman"/>
      <w:b/>
      <w:sz w:val="22"/>
      <w:szCs w:val="22"/>
      <w:lang w:val="ro-RO"/>
    </w:rPr>
  </w:style>
  <w:style w:type="paragraph" w:styleId="Nadpis3">
    <w:name w:val="heading 3"/>
    <w:basedOn w:val="Normlny"/>
    <w:next w:val="Normlny"/>
    <w:qFormat/>
    <w:pPr>
      <w:keepNext/>
      <w:outlineLvl w:val="2"/>
    </w:pPr>
    <w:rPr>
      <w:rFonts w:ascii="Times New Roman" w:hAnsi="Times New Roman"/>
      <w:b/>
      <w:bCs/>
      <w:sz w:val="18"/>
    </w:rPr>
  </w:style>
  <w:style w:type="paragraph" w:styleId="Nadpis4">
    <w:name w:val="heading 4"/>
    <w:basedOn w:val="Normlny"/>
    <w:next w:val="Normlny"/>
    <w:qFormat/>
    <w:pPr>
      <w:keepNext/>
      <w:autoSpaceDE w:val="0"/>
      <w:autoSpaceDN w:val="0"/>
      <w:adjustRightInd w:val="0"/>
      <w:jc w:val="center"/>
      <w:outlineLvl w:val="3"/>
    </w:pPr>
    <w:rPr>
      <w:rFonts w:ascii="Times New Roman" w:hAnsi="Times New Roman"/>
      <w:b/>
      <w:bCs/>
      <w:sz w:val="22"/>
      <w:szCs w:val="22"/>
      <w:lang w:val="en-US"/>
    </w:rPr>
  </w:style>
  <w:style w:type="paragraph" w:styleId="Nadpis6">
    <w:name w:val="heading 6"/>
    <w:basedOn w:val="Normlny"/>
    <w:next w:val="Normlny"/>
    <w:qFormat/>
    <w:pPr>
      <w:keepNext/>
      <w:jc w:val="both"/>
      <w:outlineLvl w:val="5"/>
    </w:pPr>
    <w:rPr>
      <w:rFonts w:ascii="Times New Roman" w:hAnsi="Times New Roman"/>
      <w:b/>
      <w:bCs/>
      <w:sz w:val="24"/>
      <w:szCs w:val="22"/>
    </w:rPr>
  </w:style>
  <w:style w:type="paragraph" w:styleId="Nadpis7">
    <w:name w:val="heading 7"/>
    <w:basedOn w:val="Normlny"/>
    <w:next w:val="Normlny"/>
    <w:qFormat/>
    <w:pPr>
      <w:spacing w:before="240" w:after="60"/>
      <w:jc w:val="both"/>
      <w:outlineLvl w:val="6"/>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pPr>
  </w:style>
  <w:style w:type="paragraph" w:styleId="Pta">
    <w:name w:val="footer"/>
    <w:basedOn w:val="Normlny"/>
    <w:pPr>
      <w:tabs>
        <w:tab w:val="center" w:pos="4153"/>
        <w:tab w:val="right" w:pos="8306"/>
      </w:tabs>
    </w:pPr>
  </w:style>
  <w:style w:type="paragraph" w:styleId="Nzov">
    <w:name w:val="Title"/>
    <w:basedOn w:val="Normlny"/>
    <w:qFormat/>
    <w:pPr>
      <w:jc w:val="center"/>
      <w:outlineLvl w:val="0"/>
    </w:pPr>
    <w:rPr>
      <w:rFonts w:ascii="Times New Roman" w:hAnsi="Times New Roman"/>
      <w:b/>
      <w:noProof/>
      <w:sz w:val="22"/>
      <w:szCs w:val="22"/>
      <w:lang w:eastAsia="en-GB"/>
    </w:rPr>
  </w:style>
  <w:style w:type="paragraph" w:customStyle="1" w:styleId="SPCNormal">
    <w:name w:val="SPC Normal"/>
    <w:basedOn w:val="Normlny"/>
    <w:pPr>
      <w:tabs>
        <w:tab w:val="left" w:pos="562"/>
      </w:tabs>
    </w:pPr>
    <w:rPr>
      <w:rFonts w:ascii="Times New Roman" w:hAnsi="Times New Roman"/>
      <w:sz w:val="22"/>
      <w:szCs w:val="20"/>
    </w:rPr>
  </w:style>
  <w:style w:type="paragraph" w:customStyle="1" w:styleId="SPC1">
    <w:name w:val="SPC1"/>
    <w:basedOn w:val="SPCNormal"/>
    <w:next w:val="SPCNormal"/>
    <w:pPr>
      <w:keepNext/>
      <w:tabs>
        <w:tab w:val="clear" w:pos="562"/>
      </w:tabs>
      <w:spacing w:before="480"/>
      <w:ind w:left="562" w:hanging="562"/>
    </w:pPr>
    <w:rPr>
      <w:b/>
      <w:caps/>
    </w:rPr>
  </w:style>
  <w:style w:type="paragraph" w:customStyle="1" w:styleId="SPC2">
    <w:name w:val="SPC2"/>
    <w:basedOn w:val="SPCNormal"/>
    <w:next w:val="SPCNormal"/>
    <w:pPr>
      <w:keepNext/>
      <w:tabs>
        <w:tab w:val="clear" w:pos="562"/>
      </w:tabs>
      <w:ind w:left="562" w:hanging="562"/>
    </w:pPr>
    <w:rPr>
      <w:b/>
    </w:rPr>
  </w:style>
  <w:style w:type="paragraph" w:styleId="Zkladntext">
    <w:name w:val="Body Text"/>
    <w:aliases w:val="Body Text Char Char Char,Body Text Char"/>
    <w:basedOn w:val="Normlny"/>
    <w:pPr>
      <w:spacing w:before="120" w:after="120"/>
    </w:pPr>
    <w:rPr>
      <w:rFonts w:ascii="Times New Roman" w:hAnsi="Times New Roman"/>
      <w:sz w:val="22"/>
      <w:szCs w:val="20"/>
      <w:lang w:eastAsia="en-GB"/>
    </w:rPr>
  </w:style>
  <w:style w:type="paragraph" w:styleId="Zkladntext3">
    <w:name w:val="Body Text 3"/>
    <w:basedOn w:val="Normlny"/>
    <w:pPr>
      <w:tabs>
        <w:tab w:val="left" w:pos="720"/>
      </w:tabs>
    </w:pPr>
    <w:rPr>
      <w:rFonts w:ascii="Times New Roman" w:hAnsi="Times New Roman"/>
      <w:b/>
      <w:bCs/>
      <w:i/>
      <w:iCs/>
      <w:sz w:val="24"/>
    </w:rPr>
  </w:style>
  <w:style w:type="paragraph" w:styleId="Textkomentra">
    <w:name w:val="annotation text"/>
    <w:basedOn w:val="Normlny"/>
    <w:semiHidden/>
    <w:rPr>
      <w:rFonts w:ascii="Times New Roman" w:hAnsi="Times New Roman"/>
      <w:szCs w:val="20"/>
      <w:lang w:eastAsia="it-IT"/>
    </w:rPr>
  </w:style>
  <w:style w:type="character" w:styleId="Siln">
    <w:name w:val="Strong"/>
    <w:qFormat/>
    <w:rPr>
      <w:b/>
      <w:bCs/>
    </w:rPr>
  </w:style>
  <w:style w:type="character" w:customStyle="1" w:styleId="black">
    <w:name w:val="black"/>
    <w:rPr>
      <w:rFonts w:cs="Times New Roman"/>
    </w:rPr>
  </w:style>
  <w:style w:type="character" w:customStyle="1" w:styleId="hw">
    <w:name w:val="hw"/>
    <w:rPr>
      <w:rFonts w:cs="Times New Roman"/>
    </w:rPr>
  </w:style>
  <w:style w:type="character" w:customStyle="1" w:styleId="green">
    <w:name w:val="green"/>
    <w:rPr>
      <w:rFonts w:cs="Times New Roman"/>
    </w:rPr>
  </w:style>
  <w:style w:type="paragraph" w:styleId="Textbubliny">
    <w:name w:val="Balloon Text"/>
    <w:basedOn w:val="Normlny"/>
    <w:semiHidden/>
    <w:rPr>
      <w:rFonts w:ascii="Tahoma" w:hAnsi="Tahoma" w:cs="Tahoma"/>
      <w:sz w:val="16"/>
      <w:szCs w:val="16"/>
    </w:rPr>
  </w:style>
  <w:style w:type="paragraph" w:styleId="Zkladntext2">
    <w:name w:val="Body Text 2"/>
    <w:basedOn w:val="Normlny"/>
    <w:pPr>
      <w:autoSpaceDE w:val="0"/>
      <w:autoSpaceDN w:val="0"/>
      <w:adjustRightInd w:val="0"/>
      <w:jc w:val="center"/>
    </w:pPr>
    <w:rPr>
      <w:rFonts w:ascii="Times New Roman" w:hAnsi="Times New Roman"/>
      <w:sz w:val="22"/>
      <w:szCs w:val="22"/>
    </w:rPr>
  </w:style>
  <w:style w:type="paragraph" w:styleId="Popis">
    <w:name w:val="caption"/>
    <w:basedOn w:val="Normlny"/>
    <w:next w:val="Normlny"/>
    <w:qFormat/>
    <w:rsid w:val="00A36846"/>
    <w:pPr>
      <w:keepNext/>
      <w:spacing w:before="240" w:after="120"/>
      <w:ind w:left="2160" w:hanging="2160"/>
    </w:pPr>
    <w:rPr>
      <w:rFonts w:ascii="Times New Roman" w:hAnsi="Times New Roman"/>
      <w:b/>
      <w:bCs/>
      <w:kern w:val="24"/>
      <w:sz w:val="24"/>
      <w:szCs w:val="20"/>
      <w:lang w:val="en-US" w:eastAsia="ja-JP"/>
    </w:rPr>
  </w:style>
  <w:style w:type="character" w:customStyle="1" w:styleId="hps">
    <w:name w:val="hps"/>
    <w:basedOn w:val="Predvolenpsmoodseku"/>
    <w:rsid w:val="00B12B31"/>
  </w:style>
  <w:style w:type="table" w:styleId="Mriekatabuky">
    <w:name w:val="Table Grid"/>
    <w:basedOn w:val="Normlnatabuka"/>
    <w:rsid w:val="00111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uiPriority w:val="99"/>
    <w:semiHidden/>
    <w:rsid w:val="00A64402"/>
    <w:rPr>
      <w:rFonts w:ascii="Verdana" w:hAnsi="Verdana"/>
      <w:szCs w:val="24"/>
      <w:lang w:val="en-GB" w:eastAsia="en-US"/>
    </w:rPr>
  </w:style>
  <w:style w:type="character" w:styleId="Hypertextovprepojenie">
    <w:name w:val="Hyperlink"/>
    <w:rsid w:val="00CA79D9"/>
    <w:rPr>
      <w:color w:val="0000FF"/>
      <w:u w:val="single"/>
    </w:rPr>
  </w:style>
  <w:style w:type="paragraph" w:styleId="Textpoznmkypodiarou">
    <w:name w:val="footnote text"/>
    <w:basedOn w:val="Normlny"/>
    <w:link w:val="TextpoznmkypodiarouChar"/>
    <w:rsid w:val="00BD0E9C"/>
    <w:rPr>
      <w:szCs w:val="20"/>
      <w:lang w:val="en-GB"/>
    </w:rPr>
  </w:style>
  <w:style w:type="character" w:customStyle="1" w:styleId="TextpoznmkypodiarouChar">
    <w:name w:val="Text poznámky pod čiarou Char"/>
    <w:link w:val="Textpoznmkypodiarou"/>
    <w:rsid w:val="00BD0E9C"/>
    <w:rPr>
      <w:rFonts w:ascii="Verdana" w:hAnsi="Verdana"/>
      <w:lang w:val="en-GB" w:eastAsia="en-US"/>
    </w:rPr>
  </w:style>
  <w:style w:type="character" w:styleId="Odkaznapoznmkupodiarou">
    <w:name w:val="footnote reference"/>
    <w:rsid w:val="00BD0E9C"/>
    <w:rPr>
      <w:vertAlign w:val="superscript"/>
    </w:rPr>
  </w:style>
  <w:style w:type="character" w:styleId="Odkaznakomentr">
    <w:name w:val="annotation reference"/>
    <w:semiHidden/>
    <w:rsid w:val="000A4DBA"/>
    <w:rPr>
      <w:sz w:val="16"/>
      <w:szCs w:val="16"/>
    </w:rPr>
  </w:style>
  <w:style w:type="paragraph" w:styleId="Predmetkomentra">
    <w:name w:val="annotation subject"/>
    <w:basedOn w:val="Textkomentra"/>
    <w:next w:val="Textkomentra"/>
    <w:semiHidden/>
    <w:rsid w:val="000A4DBA"/>
    <w:rPr>
      <w:rFonts w:ascii="Verdana" w:hAnsi="Verdana"/>
      <w:b/>
      <w:bCs/>
      <w:lang w:eastAsia="en-US"/>
    </w:rPr>
  </w:style>
  <w:style w:type="character" w:styleId="slostrany">
    <w:name w:val="page number"/>
    <w:basedOn w:val="Predvolenpsmoodseku"/>
    <w:rsid w:val="00070236"/>
  </w:style>
  <w:style w:type="paragraph" w:customStyle="1" w:styleId="BodytextAgency">
    <w:name w:val="Body text (Agency)"/>
    <w:basedOn w:val="Normlny"/>
    <w:link w:val="BodytextAgencyChar"/>
    <w:rsid w:val="00CC09C2"/>
    <w:pPr>
      <w:spacing w:after="140" w:line="280" w:lineRule="atLeast"/>
    </w:pPr>
    <w:rPr>
      <w:sz w:val="18"/>
      <w:szCs w:val="20"/>
      <w:lang w:val="x-none" w:eastAsia="x-none"/>
    </w:rPr>
  </w:style>
  <w:style w:type="character" w:customStyle="1" w:styleId="BodytextAgencyChar">
    <w:name w:val="Body text (Agency) Char"/>
    <w:link w:val="BodytextAgency"/>
    <w:locked/>
    <w:rsid w:val="00CC09C2"/>
    <w:rPr>
      <w:rFonts w:ascii="Verdana" w:hAnsi="Verdana"/>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6139F"/>
    <w:rPr>
      <w:rFonts w:ascii="Verdana" w:hAnsi="Verdana"/>
      <w:szCs w:val="24"/>
      <w:lang w:eastAsia="en-US"/>
    </w:rPr>
  </w:style>
  <w:style w:type="paragraph" w:styleId="Nadpis1">
    <w:name w:val="heading 1"/>
    <w:basedOn w:val="Normlny"/>
    <w:next w:val="Normlny"/>
    <w:qFormat/>
    <w:pPr>
      <w:keepNext/>
      <w:outlineLvl w:val="0"/>
    </w:pPr>
    <w:rPr>
      <w:rFonts w:ascii="Times New Roman" w:hAnsi="Times New Roman"/>
      <w:b/>
      <w:bCs/>
      <w:sz w:val="22"/>
      <w:szCs w:val="22"/>
      <w:lang w:val="it-IT"/>
    </w:rPr>
  </w:style>
  <w:style w:type="paragraph" w:styleId="Nadpis2">
    <w:name w:val="heading 2"/>
    <w:basedOn w:val="Normlny"/>
    <w:next w:val="Normlny"/>
    <w:qFormat/>
    <w:pPr>
      <w:keepNext/>
      <w:pBdr>
        <w:top w:val="single" w:sz="4" w:space="1" w:color="auto"/>
        <w:left w:val="single" w:sz="4" w:space="4" w:color="auto"/>
        <w:bottom w:val="single" w:sz="4" w:space="1" w:color="auto"/>
        <w:right w:val="single" w:sz="4" w:space="4" w:color="auto"/>
      </w:pBdr>
      <w:outlineLvl w:val="1"/>
    </w:pPr>
    <w:rPr>
      <w:rFonts w:ascii="Times New Roman" w:hAnsi="Times New Roman"/>
      <w:b/>
      <w:sz w:val="22"/>
      <w:szCs w:val="22"/>
      <w:lang w:val="ro-RO"/>
    </w:rPr>
  </w:style>
  <w:style w:type="paragraph" w:styleId="Nadpis3">
    <w:name w:val="heading 3"/>
    <w:basedOn w:val="Normlny"/>
    <w:next w:val="Normlny"/>
    <w:qFormat/>
    <w:pPr>
      <w:keepNext/>
      <w:outlineLvl w:val="2"/>
    </w:pPr>
    <w:rPr>
      <w:rFonts w:ascii="Times New Roman" w:hAnsi="Times New Roman"/>
      <w:b/>
      <w:bCs/>
      <w:sz w:val="18"/>
    </w:rPr>
  </w:style>
  <w:style w:type="paragraph" w:styleId="Nadpis4">
    <w:name w:val="heading 4"/>
    <w:basedOn w:val="Normlny"/>
    <w:next w:val="Normlny"/>
    <w:qFormat/>
    <w:pPr>
      <w:keepNext/>
      <w:autoSpaceDE w:val="0"/>
      <w:autoSpaceDN w:val="0"/>
      <w:adjustRightInd w:val="0"/>
      <w:jc w:val="center"/>
      <w:outlineLvl w:val="3"/>
    </w:pPr>
    <w:rPr>
      <w:rFonts w:ascii="Times New Roman" w:hAnsi="Times New Roman"/>
      <w:b/>
      <w:bCs/>
      <w:sz w:val="22"/>
      <w:szCs w:val="22"/>
      <w:lang w:val="en-US"/>
    </w:rPr>
  </w:style>
  <w:style w:type="paragraph" w:styleId="Nadpis6">
    <w:name w:val="heading 6"/>
    <w:basedOn w:val="Normlny"/>
    <w:next w:val="Normlny"/>
    <w:qFormat/>
    <w:pPr>
      <w:keepNext/>
      <w:jc w:val="both"/>
      <w:outlineLvl w:val="5"/>
    </w:pPr>
    <w:rPr>
      <w:rFonts w:ascii="Times New Roman" w:hAnsi="Times New Roman"/>
      <w:b/>
      <w:bCs/>
      <w:sz w:val="24"/>
      <w:szCs w:val="22"/>
    </w:rPr>
  </w:style>
  <w:style w:type="paragraph" w:styleId="Nadpis7">
    <w:name w:val="heading 7"/>
    <w:basedOn w:val="Normlny"/>
    <w:next w:val="Normlny"/>
    <w:qFormat/>
    <w:pPr>
      <w:spacing w:before="240" w:after="60"/>
      <w:jc w:val="both"/>
      <w:outlineLvl w:val="6"/>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pPr>
  </w:style>
  <w:style w:type="paragraph" w:styleId="Pta">
    <w:name w:val="footer"/>
    <w:basedOn w:val="Normlny"/>
    <w:pPr>
      <w:tabs>
        <w:tab w:val="center" w:pos="4153"/>
        <w:tab w:val="right" w:pos="8306"/>
      </w:tabs>
    </w:pPr>
  </w:style>
  <w:style w:type="paragraph" w:styleId="Nzov">
    <w:name w:val="Title"/>
    <w:basedOn w:val="Normlny"/>
    <w:qFormat/>
    <w:pPr>
      <w:jc w:val="center"/>
      <w:outlineLvl w:val="0"/>
    </w:pPr>
    <w:rPr>
      <w:rFonts w:ascii="Times New Roman" w:hAnsi="Times New Roman"/>
      <w:b/>
      <w:noProof/>
      <w:sz w:val="22"/>
      <w:szCs w:val="22"/>
      <w:lang w:eastAsia="en-GB"/>
    </w:rPr>
  </w:style>
  <w:style w:type="paragraph" w:customStyle="1" w:styleId="SPCNormal">
    <w:name w:val="SPC Normal"/>
    <w:basedOn w:val="Normlny"/>
    <w:pPr>
      <w:tabs>
        <w:tab w:val="left" w:pos="562"/>
      </w:tabs>
    </w:pPr>
    <w:rPr>
      <w:rFonts w:ascii="Times New Roman" w:hAnsi="Times New Roman"/>
      <w:sz w:val="22"/>
      <w:szCs w:val="20"/>
    </w:rPr>
  </w:style>
  <w:style w:type="paragraph" w:customStyle="1" w:styleId="SPC1">
    <w:name w:val="SPC1"/>
    <w:basedOn w:val="SPCNormal"/>
    <w:next w:val="SPCNormal"/>
    <w:pPr>
      <w:keepNext/>
      <w:tabs>
        <w:tab w:val="clear" w:pos="562"/>
      </w:tabs>
      <w:spacing w:before="480"/>
      <w:ind w:left="562" w:hanging="562"/>
    </w:pPr>
    <w:rPr>
      <w:b/>
      <w:caps/>
    </w:rPr>
  </w:style>
  <w:style w:type="paragraph" w:customStyle="1" w:styleId="SPC2">
    <w:name w:val="SPC2"/>
    <w:basedOn w:val="SPCNormal"/>
    <w:next w:val="SPCNormal"/>
    <w:pPr>
      <w:keepNext/>
      <w:tabs>
        <w:tab w:val="clear" w:pos="562"/>
      </w:tabs>
      <w:ind w:left="562" w:hanging="562"/>
    </w:pPr>
    <w:rPr>
      <w:b/>
    </w:rPr>
  </w:style>
  <w:style w:type="paragraph" w:styleId="Zkladntext">
    <w:name w:val="Body Text"/>
    <w:aliases w:val="Body Text Char Char Char,Body Text Char"/>
    <w:basedOn w:val="Normlny"/>
    <w:pPr>
      <w:spacing w:before="120" w:after="120"/>
    </w:pPr>
    <w:rPr>
      <w:rFonts w:ascii="Times New Roman" w:hAnsi="Times New Roman"/>
      <w:sz w:val="22"/>
      <w:szCs w:val="20"/>
      <w:lang w:eastAsia="en-GB"/>
    </w:rPr>
  </w:style>
  <w:style w:type="paragraph" w:styleId="Zkladntext3">
    <w:name w:val="Body Text 3"/>
    <w:basedOn w:val="Normlny"/>
    <w:pPr>
      <w:tabs>
        <w:tab w:val="left" w:pos="720"/>
      </w:tabs>
    </w:pPr>
    <w:rPr>
      <w:rFonts w:ascii="Times New Roman" w:hAnsi="Times New Roman"/>
      <w:b/>
      <w:bCs/>
      <w:i/>
      <w:iCs/>
      <w:sz w:val="24"/>
    </w:rPr>
  </w:style>
  <w:style w:type="paragraph" w:styleId="Textkomentra">
    <w:name w:val="annotation text"/>
    <w:basedOn w:val="Normlny"/>
    <w:semiHidden/>
    <w:rPr>
      <w:rFonts w:ascii="Times New Roman" w:hAnsi="Times New Roman"/>
      <w:szCs w:val="20"/>
      <w:lang w:eastAsia="it-IT"/>
    </w:rPr>
  </w:style>
  <w:style w:type="character" w:styleId="Siln">
    <w:name w:val="Strong"/>
    <w:qFormat/>
    <w:rPr>
      <w:b/>
      <w:bCs/>
    </w:rPr>
  </w:style>
  <w:style w:type="character" w:customStyle="1" w:styleId="black">
    <w:name w:val="black"/>
    <w:rPr>
      <w:rFonts w:cs="Times New Roman"/>
    </w:rPr>
  </w:style>
  <w:style w:type="character" w:customStyle="1" w:styleId="hw">
    <w:name w:val="hw"/>
    <w:rPr>
      <w:rFonts w:cs="Times New Roman"/>
    </w:rPr>
  </w:style>
  <w:style w:type="character" w:customStyle="1" w:styleId="green">
    <w:name w:val="green"/>
    <w:rPr>
      <w:rFonts w:cs="Times New Roman"/>
    </w:rPr>
  </w:style>
  <w:style w:type="paragraph" w:styleId="Textbubliny">
    <w:name w:val="Balloon Text"/>
    <w:basedOn w:val="Normlny"/>
    <w:semiHidden/>
    <w:rPr>
      <w:rFonts w:ascii="Tahoma" w:hAnsi="Tahoma" w:cs="Tahoma"/>
      <w:sz w:val="16"/>
      <w:szCs w:val="16"/>
    </w:rPr>
  </w:style>
  <w:style w:type="paragraph" w:styleId="Zkladntext2">
    <w:name w:val="Body Text 2"/>
    <w:basedOn w:val="Normlny"/>
    <w:pPr>
      <w:autoSpaceDE w:val="0"/>
      <w:autoSpaceDN w:val="0"/>
      <w:adjustRightInd w:val="0"/>
      <w:jc w:val="center"/>
    </w:pPr>
    <w:rPr>
      <w:rFonts w:ascii="Times New Roman" w:hAnsi="Times New Roman"/>
      <w:sz w:val="22"/>
      <w:szCs w:val="22"/>
    </w:rPr>
  </w:style>
  <w:style w:type="paragraph" w:styleId="Popis">
    <w:name w:val="caption"/>
    <w:basedOn w:val="Normlny"/>
    <w:next w:val="Normlny"/>
    <w:qFormat/>
    <w:rsid w:val="00A36846"/>
    <w:pPr>
      <w:keepNext/>
      <w:spacing w:before="240" w:after="120"/>
      <w:ind w:left="2160" w:hanging="2160"/>
    </w:pPr>
    <w:rPr>
      <w:rFonts w:ascii="Times New Roman" w:hAnsi="Times New Roman"/>
      <w:b/>
      <w:bCs/>
      <w:kern w:val="24"/>
      <w:sz w:val="24"/>
      <w:szCs w:val="20"/>
      <w:lang w:val="en-US" w:eastAsia="ja-JP"/>
    </w:rPr>
  </w:style>
  <w:style w:type="character" w:customStyle="1" w:styleId="hps">
    <w:name w:val="hps"/>
    <w:basedOn w:val="Predvolenpsmoodseku"/>
    <w:rsid w:val="00B12B31"/>
  </w:style>
  <w:style w:type="table" w:styleId="Mriekatabuky">
    <w:name w:val="Table Grid"/>
    <w:basedOn w:val="Normlnatabuka"/>
    <w:rsid w:val="00111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uiPriority w:val="99"/>
    <w:semiHidden/>
    <w:rsid w:val="00A64402"/>
    <w:rPr>
      <w:rFonts w:ascii="Verdana" w:hAnsi="Verdana"/>
      <w:szCs w:val="24"/>
      <w:lang w:val="en-GB" w:eastAsia="en-US"/>
    </w:rPr>
  </w:style>
  <w:style w:type="character" w:styleId="Hypertextovprepojenie">
    <w:name w:val="Hyperlink"/>
    <w:rsid w:val="00CA79D9"/>
    <w:rPr>
      <w:color w:val="0000FF"/>
      <w:u w:val="single"/>
    </w:rPr>
  </w:style>
  <w:style w:type="paragraph" w:styleId="Textpoznmkypodiarou">
    <w:name w:val="footnote text"/>
    <w:basedOn w:val="Normlny"/>
    <w:link w:val="TextpoznmkypodiarouChar"/>
    <w:rsid w:val="00BD0E9C"/>
    <w:rPr>
      <w:szCs w:val="20"/>
      <w:lang w:val="en-GB"/>
    </w:rPr>
  </w:style>
  <w:style w:type="character" w:customStyle="1" w:styleId="TextpoznmkypodiarouChar">
    <w:name w:val="Text poznámky pod čiarou Char"/>
    <w:link w:val="Textpoznmkypodiarou"/>
    <w:rsid w:val="00BD0E9C"/>
    <w:rPr>
      <w:rFonts w:ascii="Verdana" w:hAnsi="Verdana"/>
      <w:lang w:val="en-GB" w:eastAsia="en-US"/>
    </w:rPr>
  </w:style>
  <w:style w:type="character" w:styleId="Odkaznapoznmkupodiarou">
    <w:name w:val="footnote reference"/>
    <w:rsid w:val="00BD0E9C"/>
    <w:rPr>
      <w:vertAlign w:val="superscript"/>
    </w:rPr>
  </w:style>
  <w:style w:type="character" w:styleId="Odkaznakomentr">
    <w:name w:val="annotation reference"/>
    <w:semiHidden/>
    <w:rsid w:val="000A4DBA"/>
    <w:rPr>
      <w:sz w:val="16"/>
      <w:szCs w:val="16"/>
    </w:rPr>
  </w:style>
  <w:style w:type="paragraph" w:styleId="Predmetkomentra">
    <w:name w:val="annotation subject"/>
    <w:basedOn w:val="Textkomentra"/>
    <w:next w:val="Textkomentra"/>
    <w:semiHidden/>
    <w:rsid w:val="000A4DBA"/>
    <w:rPr>
      <w:rFonts w:ascii="Verdana" w:hAnsi="Verdana"/>
      <w:b/>
      <w:bCs/>
      <w:lang w:eastAsia="en-US"/>
    </w:rPr>
  </w:style>
  <w:style w:type="character" w:styleId="slostrany">
    <w:name w:val="page number"/>
    <w:basedOn w:val="Predvolenpsmoodseku"/>
    <w:rsid w:val="00070236"/>
  </w:style>
  <w:style w:type="paragraph" w:customStyle="1" w:styleId="BodytextAgency">
    <w:name w:val="Body text (Agency)"/>
    <w:basedOn w:val="Normlny"/>
    <w:link w:val="BodytextAgencyChar"/>
    <w:rsid w:val="00CC09C2"/>
    <w:pPr>
      <w:spacing w:after="140" w:line="280" w:lineRule="atLeast"/>
    </w:pPr>
    <w:rPr>
      <w:sz w:val="18"/>
      <w:szCs w:val="20"/>
      <w:lang w:val="x-none" w:eastAsia="x-none"/>
    </w:rPr>
  </w:style>
  <w:style w:type="character" w:customStyle="1" w:styleId="BodytextAgencyChar">
    <w:name w:val="Body text (Agency) Char"/>
    <w:link w:val="BodytextAgency"/>
    <w:locked/>
    <w:rsid w:val="00CC09C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28687">
      <w:bodyDiv w:val="1"/>
      <w:marLeft w:val="0"/>
      <w:marRight w:val="0"/>
      <w:marTop w:val="0"/>
      <w:marBottom w:val="0"/>
      <w:divBdr>
        <w:top w:val="none" w:sz="0" w:space="0" w:color="auto"/>
        <w:left w:val="none" w:sz="0" w:space="0" w:color="auto"/>
        <w:bottom w:val="none" w:sz="0" w:space="0" w:color="auto"/>
        <w:right w:val="none" w:sz="0" w:space="0" w:color="auto"/>
      </w:divBdr>
      <w:divsChild>
        <w:div w:id="2058583307">
          <w:marLeft w:val="0"/>
          <w:marRight w:val="0"/>
          <w:marTop w:val="0"/>
          <w:marBottom w:val="0"/>
          <w:divBdr>
            <w:top w:val="none" w:sz="0" w:space="0" w:color="auto"/>
            <w:left w:val="none" w:sz="0" w:space="0" w:color="auto"/>
            <w:bottom w:val="none" w:sz="0" w:space="0" w:color="auto"/>
            <w:right w:val="none" w:sz="0" w:space="0" w:color="auto"/>
          </w:divBdr>
          <w:divsChild>
            <w:div w:id="968320063">
              <w:marLeft w:val="0"/>
              <w:marRight w:val="0"/>
              <w:marTop w:val="0"/>
              <w:marBottom w:val="0"/>
              <w:divBdr>
                <w:top w:val="none" w:sz="0" w:space="0" w:color="auto"/>
                <w:left w:val="none" w:sz="0" w:space="0" w:color="auto"/>
                <w:bottom w:val="none" w:sz="0" w:space="0" w:color="auto"/>
                <w:right w:val="none" w:sz="0" w:space="0" w:color="auto"/>
              </w:divBdr>
              <w:divsChild>
                <w:div w:id="1895240276">
                  <w:marLeft w:val="0"/>
                  <w:marRight w:val="0"/>
                  <w:marTop w:val="0"/>
                  <w:marBottom w:val="0"/>
                  <w:divBdr>
                    <w:top w:val="none" w:sz="0" w:space="0" w:color="auto"/>
                    <w:left w:val="none" w:sz="0" w:space="0" w:color="auto"/>
                    <w:bottom w:val="none" w:sz="0" w:space="0" w:color="auto"/>
                    <w:right w:val="none" w:sz="0" w:space="0" w:color="auto"/>
                  </w:divBdr>
                  <w:divsChild>
                    <w:div w:id="1168406379">
                      <w:marLeft w:val="0"/>
                      <w:marRight w:val="0"/>
                      <w:marTop w:val="0"/>
                      <w:marBottom w:val="0"/>
                      <w:divBdr>
                        <w:top w:val="none" w:sz="0" w:space="0" w:color="auto"/>
                        <w:left w:val="none" w:sz="0" w:space="0" w:color="auto"/>
                        <w:bottom w:val="none" w:sz="0" w:space="0" w:color="auto"/>
                        <w:right w:val="none" w:sz="0" w:space="0" w:color="auto"/>
                      </w:divBdr>
                      <w:divsChild>
                        <w:div w:id="1739937119">
                          <w:marLeft w:val="0"/>
                          <w:marRight w:val="0"/>
                          <w:marTop w:val="0"/>
                          <w:marBottom w:val="0"/>
                          <w:divBdr>
                            <w:top w:val="none" w:sz="0" w:space="0" w:color="auto"/>
                            <w:left w:val="none" w:sz="0" w:space="0" w:color="auto"/>
                            <w:bottom w:val="none" w:sz="0" w:space="0" w:color="auto"/>
                            <w:right w:val="none" w:sz="0" w:space="0" w:color="auto"/>
                          </w:divBdr>
                          <w:divsChild>
                            <w:div w:id="1647389521">
                              <w:marLeft w:val="0"/>
                              <w:marRight w:val="0"/>
                              <w:marTop w:val="0"/>
                              <w:marBottom w:val="0"/>
                              <w:divBdr>
                                <w:top w:val="none" w:sz="0" w:space="0" w:color="auto"/>
                                <w:left w:val="none" w:sz="0" w:space="0" w:color="auto"/>
                                <w:bottom w:val="none" w:sz="0" w:space="0" w:color="auto"/>
                                <w:right w:val="none" w:sz="0" w:space="0" w:color="auto"/>
                              </w:divBdr>
                              <w:divsChild>
                                <w:div w:id="969626779">
                                  <w:marLeft w:val="0"/>
                                  <w:marRight w:val="0"/>
                                  <w:marTop w:val="0"/>
                                  <w:marBottom w:val="0"/>
                                  <w:divBdr>
                                    <w:top w:val="none" w:sz="0" w:space="0" w:color="auto"/>
                                    <w:left w:val="none" w:sz="0" w:space="0" w:color="auto"/>
                                    <w:bottom w:val="none" w:sz="0" w:space="0" w:color="auto"/>
                                    <w:right w:val="none" w:sz="0" w:space="0" w:color="auto"/>
                                  </w:divBdr>
                                  <w:divsChild>
                                    <w:div w:id="2041859019">
                                      <w:marLeft w:val="0"/>
                                      <w:marRight w:val="0"/>
                                      <w:marTop w:val="0"/>
                                      <w:marBottom w:val="0"/>
                                      <w:divBdr>
                                        <w:top w:val="single" w:sz="6" w:space="0" w:color="F5F5F5"/>
                                        <w:left w:val="single" w:sz="6" w:space="0" w:color="F5F5F5"/>
                                        <w:bottom w:val="single" w:sz="6" w:space="0" w:color="F5F5F5"/>
                                        <w:right w:val="single" w:sz="6" w:space="0" w:color="F5F5F5"/>
                                      </w:divBdr>
                                      <w:divsChild>
                                        <w:div w:id="946153638">
                                          <w:marLeft w:val="0"/>
                                          <w:marRight w:val="0"/>
                                          <w:marTop w:val="0"/>
                                          <w:marBottom w:val="0"/>
                                          <w:divBdr>
                                            <w:top w:val="none" w:sz="0" w:space="0" w:color="auto"/>
                                            <w:left w:val="none" w:sz="0" w:space="0" w:color="auto"/>
                                            <w:bottom w:val="none" w:sz="0" w:space="0" w:color="auto"/>
                                            <w:right w:val="none" w:sz="0" w:space="0" w:color="auto"/>
                                          </w:divBdr>
                                          <w:divsChild>
                                            <w:div w:id="2417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0148444">
      <w:bodyDiv w:val="1"/>
      <w:marLeft w:val="0"/>
      <w:marRight w:val="0"/>
      <w:marTop w:val="0"/>
      <w:marBottom w:val="0"/>
      <w:divBdr>
        <w:top w:val="none" w:sz="0" w:space="0" w:color="auto"/>
        <w:left w:val="none" w:sz="0" w:space="0" w:color="auto"/>
        <w:bottom w:val="none" w:sz="0" w:space="0" w:color="auto"/>
        <w:right w:val="none" w:sz="0" w:space="0" w:color="auto"/>
      </w:divBdr>
      <w:divsChild>
        <w:div w:id="694310026">
          <w:marLeft w:val="0"/>
          <w:marRight w:val="0"/>
          <w:marTop w:val="0"/>
          <w:marBottom w:val="0"/>
          <w:divBdr>
            <w:top w:val="none" w:sz="0" w:space="0" w:color="auto"/>
            <w:left w:val="none" w:sz="0" w:space="0" w:color="auto"/>
            <w:bottom w:val="none" w:sz="0" w:space="0" w:color="auto"/>
            <w:right w:val="none" w:sz="0" w:space="0" w:color="auto"/>
          </w:divBdr>
          <w:divsChild>
            <w:div w:id="1398550389">
              <w:marLeft w:val="0"/>
              <w:marRight w:val="0"/>
              <w:marTop w:val="0"/>
              <w:marBottom w:val="0"/>
              <w:divBdr>
                <w:top w:val="none" w:sz="0" w:space="0" w:color="auto"/>
                <w:left w:val="none" w:sz="0" w:space="0" w:color="auto"/>
                <w:bottom w:val="none" w:sz="0" w:space="0" w:color="auto"/>
                <w:right w:val="none" w:sz="0" w:space="0" w:color="auto"/>
              </w:divBdr>
              <w:divsChild>
                <w:div w:id="108472265">
                  <w:marLeft w:val="0"/>
                  <w:marRight w:val="0"/>
                  <w:marTop w:val="0"/>
                  <w:marBottom w:val="0"/>
                  <w:divBdr>
                    <w:top w:val="none" w:sz="0" w:space="0" w:color="auto"/>
                    <w:left w:val="none" w:sz="0" w:space="0" w:color="auto"/>
                    <w:bottom w:val="none" w:sz="0" w:space="0" w:color="auto"/>
                    <w:right w:val="none" w:sz="0" w:space="0" w:color="auto"/>
                  </w:divBdr>
                  <w:divsChild>
                    <w:div w:id="1311515277">
                      <w:marLeft w:val="0"/>
                      <w:marRight w:val="0"/>
                      <w:marTop w:val="0"/>
                      <w:marBottom w:val="0"/>
                      <w:divBdr>
                        <w:top w:val="none" w:sz="0" w:space="0" w:color="auto"/>
                        <w:left w:val="none" w:sz="0" w:space="0" w:color="auto"/>
                        <w:bottom w:val="none" w:sz="0" w:space="0" w:color="auto"/>
                        <w:right w:val="none" w:sz="0" w:space="0" w:color="auto"/>
                      </w:divBdr>
                      <w:divsChild>
                        <w:div w:id="1758092009">
                          <w:marLeft w:val="0"/>
                          <w:marRight w:val="0"/>
                          <w:marTop w:val="0"/>
                          <w:marBottom w:val="0"/>
                          <w:divBdr>
                            <w:top w:val="none" w:sz="0" w:space="0" w:color="auto"/>
                            <w:left w:val="none" w:sz="0" w:space="0" w:color="auto"/>
                            <w:bottom w:val="none" w:sz="0" w:space="0" w:color="auto"/>
                            <w:right w:val="none" w:sz="0" w:space="0" w:color="auto"/>
                          </w:divBdr>
                          <w:divsChild>
                            <w:div w:id="839198885">
                              <w:marLeft w:val="0"/>
                              <w:marRight w:val="0"/>
                              <w:marTop w:val="0"/>
                              <w:marBottom w:val="0"/>
                              <w:divBdr>
                                <w:top w:val="none" w:sz="0" w:space="0" w:color="auto"/>
                                <w:left w:val="none" w:sz="0" w:space="0" w:color="auto"/>
                                <w:bottom w:val="none" w:sz="0" w:space="0" w:color="auto"/>
                                <w:right w:val="none" w:sz="0" w:space="0" w:color="auto"/>
                              </w:divBdr>
                              <w:divsChild>
                                <w:div w:id="2082747924">
                                  <w:marLeft w:val="0"/>
                                  <w:marRight w:val="0"/>
                                  <w:marTop w:val="0"/>
                                  <w:marBottom w:val="0"/>
                                  <w:divBdr>
                                    <w:top w:val="none" w:sz="0" w:space="0" w:color="auto"/>
                                    <w:left w:val="none" w:sz="0" w:space="0" w:color="auto"/>
                                    <w:bottom w:val="none" w:sz="0" w:space="0" w:color="auto"/>
                                    <w:right w:val="none" w:sz="0" w:space="0" w:color="auto"/>
                                  </w:divBdr>
                                  <w:divsChild>
                                    <w:div w:id="1371296143">
                                      <w:marLeft w:val="0"/>
                                      <w:marRight w:val="0"/>
                                      <w:marTop w:val="0"/>
                                      <w:marBottom w:val="0"/>
                                      <w:divBdr>
                                        <w:top w:val="single" w:sz="6" w:space="0" w:color="F5F5F5"/>
                                        <w:left w:val="single" w:sz="6" w:space="0" w:color="F5F5F5"/>
                                        <w:bottom w:val="single" w:sz="6" w:space="0" w:color="F5F5F5"/>
                                        <w:right w:val="single" w:sz="6" w:space="0" w:color="F5F5F5"/>
                                      </w:divBdr>
                                      <w:divsChild>
                                        <w:div w:id="334579976">
                                          <w:marLeft w:val="0"/>
                                          <w:marRight w:val="0"/>
                                          <w:marTop w:val="0"/>
                                          <w:marBottom w:val="0"/>
                                          <w:divBdr>
                                            <w:top w:val="none" w:sz="0" w:space="0" w:color="auto"/>
                                            <w:left w:val="none" w:sz="0" w:space="0" w:color="auto"/>
                                            <w:bottom w:val="none" w:sz="0" w:space="0" w:color="auto"/>
                                            <w:right w:val="none" w:sz="0" w:space="0" w:color="auto"/>
                                          </w:divBdr>
                                          <w:divsChild>
                                            <w:div w:id="4102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513225">
      <w:bodyDiv w:val="1"/>
      <w:marLeft w:val="0"/>
      <w:marRight w:val="0"/>
      <w:marTop w:val="0"/>
      <w:marBottom w:val="0"/>
      <w:divBdr>
        <w:top w:val="none" w:sz="0" w:space="0" w:color="auto"/>
        <w:left w:val="none" w:sz="0" w:space="0" w:color="auto"/>
        <w:bottom w:val="none" w:sz="0" w:space="0" w:color="auto"/>
        <w:right w:val="none" w:sz="0" w:space="0" w:color="auto"/>
      </w:divBdr>
      <w:divsChild>
        <w:div w:id="1593393980">
          <w:marLeft w:val="0"/>
          <w:marRight w:val="0"/>
          <w:marTop w:val="0"/>
          <w:marBottom w:val="0"/>
          <w:divBdr>
            <w:top w:val="none" w:sz="0" w:space="0" w:color="auto"/>
            <w:left w:val="none" w:sz="0" w:space="0" w:color="auto"/>
            <w:bottom w:val="none" w:sz="0" w:space="0" w:color="auto"/>
            <w:right w:val="none" w:sz="0" w:space="0" w:color="auto"/>
          </w:divBdr>
          <w:divsChild>
            <w:div w:id="938486452">
              <w:marLeft w:val="0"/>
              <w:marRight w:val="0"/>
              <w:marTop w:val="0"/>
              <w:marBottom w:val="0"/>
              <w:divBdr>
                <w:top w:val="none" w:sz="0" w:space="0" w:color="auto"/>
                <w:left w:val="none" w:sz="0" w:space="0" w:color="auto"/>
                <w:bottom w:val="none" w:sz="0" w:space="0" w:color="auto"/>
                <w:right w:val="none" w:sz="0" w:space="0" w:color="auto"/>
              </w:divBdr>
              <w:divsChild>
                <w:div w:id="1590967161">
                  <w:marLeft w:val="0"/>
                  <w:marRight w:val="0"/>
                  <w:marTop w:val="0"/>
                  <w:marBottom w:val="0"/>
                  <w:divBdr>
                    <w:top w:val="none" w:sz="0" w:space="0" w:color="auto"/>
                    <w:left w:val="none" w:sz="0" w:space="0" w:color="auto"/>
                    <w:bottom w:val="none" w:sz="0" w:space="0" w:color="auto"/>
                    <w:right w:val="none" w:sz="0" w:space="0" w:color="auto"/>
                  </w:divBdr>
                  <w:divsChild>
                    <w:div w:id="1439596305">
                      <w:marLeft w:val="0"/>
                      <w:marRight w:val="0"/>
                      <w:marTop w:val="0"/>
                      <w:marBottom w:val="0"/>
                      <w:divBdr>
                        <w:top w:val="none" w:sz="0" w:space="0" w:color="auto"/>
                        <w:left w:val="none" w:sz="0" w:space="0" w:color="auto"/>
                        <w:bottom w:val="none" w:sz="0" w:space="0" w:color="auto"/>
                        <w:right w:val="none" w:sz="0" w:space="0" w:color="auto"/>
                      </w:divBdr>
                      <w:divsChild>
                        <w:div w:id="671028024">
                          <w:marLeft w:val="0"/>
                          <w:marRight w:val="0"/>
                          <w:marTop w:val="0"/>
                          <w:marBottom w:val="0"/>
                          <w:divBdr>
                            <w:top w:val="none" w:sz="0" w:space="0" w:color="auto"/>
                            <w:left w:val="none" w:sz="0" w:space="0" w:color="auto"/>
                            <w:bottom w:val="none" w:sz="0" w:space="0" w:color="auto"/>
                            <w:right w:val="none" w:sz="0" w:space="0" w:color="auto"/>
                          </w:divBdr>
                          <w:divsChild>
                            <w:div w:id="2076269589">
                              <w:marLeft w:val="0"/>
                              <w:marRight w:val="0"/>
                              <w:marTop w:val="0"/>
                              <w:marBottom w:val="0"/>
                              <w:divBdr>
                                <w:top w:val="none" w:sz="0" w:space="0" w:color="auto"/>
                                <w:left w:val="none" w:sz="0" w:space="0" w:color="auto"/>
                                <w:bottom w:val="none" w:sz="0" w:space="0" w:color="auto"/>
                                <w:right w:val="none" w:sz="0" w:space="0" w:color="auto"/>
                              </w:divBdr>
                              <w:divsChild>
                                <w:div w:id="1678917833">
                                  <w:marLeft w:val="0"/>
                                  <w:marRight w:val="0"/>
                                  <w:marTop w:val="0"/>
                                  <w:marBottom w:val="0"/>
                                  <w:divBdr>
                                    <w:top w:val="none" w:sz="0" w:space="0" w:color="auto"/>
                                    <w:left w:val="none" w:sz="0" w:space="0" w:color="auto"/>
                                    <w:bottom w:val="none" w:sz="0" w:space="0" w:color="auto"/>
                                    <w:right w:val="none" w:sz="0" w:space="0" w:color="auto"/>
                                  </w:divBdr>
                                  <w:divsChild>
                                    <w:div w:id="1349869457">
                                      <w:marLeft w:val="0"/>
                                      <w:marRight w:val="0"/>
                                      <w:marTop w:val="0"/>
                                      <w:marBottom w:val="0"/>
                                      <w:divBdr>
                                        <w:top w:val="single" w:sz="6" w:space="0" w:color="F5F5F5"/>
                                        <w:left w:val="single" w:sz="6" w:space="0" w:color="F5F5F5"/>
                                        <w:bottom w:val="single" w:sz="6" w:space="0" w:color="F5F5F5"/>
                                        <w:right w:val="single" w:sz="6" w:space="0" w:color="F5F5F5"/>
                                      </w:divBdr>
                                      <w:divsChild>
                                        <w:div w:id="200674750">
                                          <w:marLeft w:val="0"/>
                                          <w:marRight w:val="0"/>
                                          <w:marTop w:val="0"/>
                                          <w:marBottom w:val="0"/>
                                          <w:divBdr>
                                            <w:top w:val="none" w:sz="0" w:space="0" w:color="auto"/>
                                            <w:left w:val="none" w:sz="0" w:space="0" w:color="auto"/>
                                            <w:bottom w:val="none" w:sz="0" w:space="0" w:color="auto"/>
                                            <w:right w:val="none" w:sz="0" w:space="0" w:color="auto"/>
                                          </w:divBdr>
                                          <w:divsChild>
                                            <w:div w:id="10163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E7010-D05D-4617-B00F-A7EE6065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10C555-7266-48B4-842B-EB1EC04DB6E0}">
  <ds:schemaRefs>
    <ds:schemaRef ds:uri="http://schemas.microsoft.com/sharepoint/v3/contenttype/forms"/>
  </ds:schemaRefs>
</ds:datastoreItem>
</file>

<file path=customXml/itemProps3.xml><?xml version="1.0" encoding="utf-8"?>
<ds:datastoreItem xmlns:ds="http://schemas.openxmlformats.org/officeDocument/2006/customXml" ds:itemID="{7F85A91E-B51D-4C76-B371-F98DBB728A6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71191C4-8D9C-4A67-8AF3-6A6999A4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3730</Words>
  <Characters>24929</Characters>
  <Application>Microsoft Office Word</Application>
  <DocSecurity>0</DocSecurity>
  <Lines>207</Lines>
  <Paragraphs>57</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SÚHRN CHARAKTERISTICKÝCH VLASTNOSTÍ LIEKU</vt:lpstr>
      <vt:lpstr>SÚHRN CHARAKTERISTICKÝCH VLASTNOSTÍ LIEKU</vt:lpstr>
      <vt:lpstr>SÚHRN CHARAKTERISTICKÝCH VLASTNOSTÍ LIEKU</vt:lpstr>
    </vt:vector>
  </TitlesOfParts>
  <Company>Strakan Group</Company>
  <LinksUpToDate>false</LinksUpToDate>
  <CharactersWithSpaces>28602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Gillian Ford</dc:creator>
  <cp:lastModifiedBy>Uhnáková Milota</cp:lastModifiedBy>
  <cp:revision>2</cp:revision>
  <cp:lastPrinted>2016-08-23T17:12:00Z</cp:lastPrinted>
  <dcterms:created xsi:type="dcterms:W3CDTF">2020-02-20T06:56:00Z</dcterms:created>
  <dcterms:modified xsi:type="dcterms:W3CDTF">2020-02-20T06:56:00Z</dcterms:modified>
</cp:coreProperties>
</file>