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2204" w14:textId="77777777" w:rsidR="00BB5A67" w:rsidRPr="005B07E1" w:rsidRDefault="00BB5A67" w:rsidP="00BB5A67">
      <w:pPr>
        <w:jc w:val="center"/>
        <w:rPr>
          <w:b/>
          <w:szCs w:val="22"/>
        </w:rPr>
      </w:pPr>
      <w:r w:rsidRPr="005B07E1">
        <w:rPr>
          <w:b/>
          <w:szCs w:val="22"/>
        </w:rPr>
        <w:t>SÚHRN CHARAKTERISTICKÝCH VLAST</w:t>
      </w:r>
      <w:smartTag w:uri="urn:schemas-microsoft-com:office:smarttags" w:element="PersonName">
        <w:r w:rsidRPr="005B07E1">
          <w:rPr>
            <w:b/>
            <w:szCs w:val="22"/>
          </w:rPr>
          <w:t>NO</w:t>
        </w:r>
      </w:smartTag>
      <w:r w:rsidRPr="005B07E1">
        <w:rPr>
          <w:b/>
          <w:szCs w:val="22"/>
        </w:rPr>
        <w:t>STÍ LIEKU</w:t>
      </w:r>
    </w:p>
    <w:p w14:paraId="100FB984" w14:textId="77777777" w:rsidR="00033D26" w:rsidRPr="00891D76" w:rsidRDefault="00033D26" w:rsidP="00085939">
      <w:pPr>
        <w:spacing w:line="240" w:lineRule="auto"/>
      </w:pPr>
    </w:p>
    <w:p w14:paraId="464CAA0F" w14:textId="77777777" w:rsidR="00033D26" w:rsidRPr="0082445A" w:rsidRDefault="00033D26" w:rsidP="00085939">
      <w:pPr>
        <w:spacing w:line="240" w:lineRule="auto"/>
      </w:pPr>
    </w:p>
    <w:p w14:paraId="0624E8A1" w14:textId="77777777" w:rsidR="00812D16" w:rsidRPr="00BF5AB0" w:rsidRDefault="005C0CBF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50FD2089" w14:textId="77777777" w:rsidR="00812D16" w:rsidRPr="00BF5AB0" w:rsidRDefault="00812D16" w:rsidP="00085939">
      <w:pPr>
        <w:keepNext/>
        <w:spacing w:line="240" w:lineRule="auto"/>
      </w:pPr>
    </w:p>
    <w:p w14:paraId="19D5FC84" w14:textId="77777777" w:rsidR="00BB5A67" w:rsidRDefault="00BB5A67" w:rsidP="00BB5A67">
      <w:pPr>
        <w:rPr>
          <w:szCs w:val="22"/>
        </w:rPr>
      </w:pPr>
      <w:proofErr w:type="spellStart"/>
      <w:r w:rsidRPr="005B07E1">
        <w:rPr>
          <w:szCs w:val="22"/>
        </w:rPr>
        <w:t>Anidulafungin</w:t>
      </w:r>
      <w:proofErr w:type="spellEnd"/>
      <w:r w:rsidRPr="005B07E1"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Pr="005B07E1">
        <w:rPr>
          <w:szCs w:val="22"/>
        </w:rPr>
        <w:t xml:space="preserve"> 100 mg</w:t>
      </w:r>
    </w:p>
    <w:p w14:paraId="41451823" w14:textId="77777777" w:rsidR="00BB5A67" w:rsidRPr="005B07E1" w:rsidRDefault="00BB5A67" w:rsidP="00BB5A67">
      <w:pPr>
        <w:rPr>
          <w:szCs w:val="22"/>
        </w:rPr>
      </w:pPr>
      <w:r w:rsidRPr="005B07E1">
        <w:rPr>
          <w:szCs w:val="22"/>
        </w:rPr>
        <w:t>prášok na infúzny koncentrát</w:t>
      </w:r>
    </w:p>
    <w:p w14:paraId="12BBDBCC" w14:textId="77777777" w:rsidR="00812D16" w:rsidRPr="00A72672" w:rsidRDefault="00812D16" w:rsidP="00204AAB">
      <w:pPr>
        <w:spacing w:line="240" w:lineRule="auto"/>
      </w:pPr>
    </w:p>
    <w:p w14:paraId="4BEBD5DC" w14:textId="77777777" w:rsidR="00812D16" w:rsidRPr="00A72672" w:rsidRDefault="00812D16" w:rsidP="00204AAB">
      <w:pPr>
        <w:spacing w:line="240" w:lineRule="auto"/>
      </w:pPr>
    </w:p>
    <w:p w14:paraId="31782DF7" w14:textId="77777777" w:rsidR="00812D16" w:rsidRPr="00BF5AB0" w:rsidRDefault="005C0CBF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KVALITATÍVNE A</w:t>
      </w:r>
      <w:r w:rsidR="0082445A"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6A883CC9" w14:textId="77777777" w:rsidR="00812D16" w:rsidRPr="00BF5AB0" w:rsidRDefault="00812D16" w:rsidP="00085939">
      <w:pPr>
        <w:keepNext/>
        <w:spacing w:line="240" w:lineRule="auto"/>
      </w:pPr>
    </w:p>
    <w:p w14:paraId="0790E5FB" w14:textId="77777777" w:rsidR="00BB5A67" w:rsidRPr="005B07E1" w:rsidRDefault="00BB5A67" w:rsidP="00BB5A67">
      <w:pPr>
        <w:pStyle w:val="Zkladntext"/>
        <w:rPr>
          <w:szCs w:val="22"/>
        </w:rPr>
      </w:pPr>
      <w:r>
        <w:rPr>
          <w:szCs w:val="22"/>
        </w:rPr>
        <w:t>Jedna</w:t>
      </w:r>
      <w:r w:rsidRPr="005B07E1">
        <w:rPr>
          <w:szCs w:val="22"/>
        </w:rPr>
        <w:t xml:space="preserve"> injekčná liekovka obsahuje 100 mg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>.</w:t>
      </w:r>
    </w:p>
    <w:p w14:paraId="5CD3846E" w14:textId="5CB159BB" w:rsidR="00BB5A67" w:rsidRPr="005B07E1" w:rsidRDefault="00BB5A67" w:rsidP="00BB5A67">
      <w:pPr>
        <w:autoSpaceDE w:val="0"/>
        <w:autoSpaceDN w:val="0"/>
        <w:adjustRightInd w:val="0"/>
        <w:rPr>
          <w:i/>
          <w:iCs/>
          <w:szCs w:val="22"/>
          <w:lang w:eastAsia="en-US"/>
        </w:rPr>
      </w:pPr>
      <w:r w:rsidRPr="005B07E1">
        <w:rPr>
          <w:szCs w:val="22"/>
        </w:rPr>
        <w:t xml:space="preserve">Rekonštituovaný </w:t>
      </w:r>
      <w:r w:rsidR="00BD5B25">
        <w:rPr>
          <w:szCs w:val="22"/>
        </w:rPr>
        <w:t>roztok</w:t>
      </w:r>
      <w:r w:rsidRPr="005B07E1">
        <w:rPr>
          <w:szCs w:val="22"/>
        </w:rPr>
        <w:t xml:space="preserve"> obsahuje 3,33 mg/ml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a zriedený roztok obsahuje 0,77 mg/ml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>.</w:t>
      </w:r>
    </w:p>
    <w:p w14:paraId="398C5D48" w14:textId="77777777" w:rsidR="00812D16" w:rsidRPr="00BF5AB0" w:rsidRDefault="00812D16" w:rsidP="00BB5A67">
      <w:pPr>
        <w:spacing w:line="240" w:lineRule="auto"/>
      </w:pPr>
    </w:p>
    <w:p w14:paraId="58E36D85" w14:textId="77777777" w:rsidR="00812D16" w:rsidRPr="0087673D" w:rsidRDefault="005C0CBF" w:rsidP="00204AAB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BF5AB0">
        <w:rPr>
          <w:u w:val="single"/>
        </w:rPr>
        <w:t>Pomocná látka so známym účinkom</w:t>
      </w:r>
      <w:r w:rsidR="00BB5A67">
        <w:t>:</w:t>
      </w:r>
    </w:p>
    <w:p w14:paraId="27ED6368" w14:textId="77777777" w:rsidR="00BB5A67" w:rsidRPr="005B07E1" w:rsidRDefault="00BB5A67" w:rsidP="00BB5A67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102,5 mg fruktózy v jednej</w:t>
      </w:r>
      <w:r w:rsidRPr="005B07E1">
        <w:rPr>
          <w:rFonts w:eastAsia="TimesNewRoman"/>
          <w:szCs w:val="22"/>
          <w:lang w:eastAsia="en-US"/>
        </w:rPr>
        <w:t xml:space="preserve"> injekčnej liekovke.</w:t>
      </w:r>
    </w:p>
    <w:p w14:paraId="590B4952" w14:textId="77777777" w:rsidR="00BB5A67" w:rsidRDefault="00BB5A67" w:rsidP="00204AAB">
      <w:pPr>
        <w:spacing w:line="240" w:lineRule="auto"/>
        <w:outlineLvl w:val="0"/>
      </w:pPr>
    </w:p>
    <w:p w14:paraId="2108C601" w14:textId="77777777" w:rsidR="00812D16" w:rsidRPr="00BF5AB0" w:rsidRDefault="005C0CBF" w:rsidP="00204AAB">
      <w:pPr>
        <w:spacing w:line="240" w:lineRule="auto"/>
        <w:outlineLvl w:val="0"/>
      </w:pPr>
      <w:r w:rsidRPr="00BF5AB0">
        <w:t xml:space="preserve">Úplný zoznam pomocných látok, pozri časť </w:t>
      </w:r>
      <w:r w:rsidR="00BB5A67">
        <w:t>6.1.</w:t>
      </w:r>
    </w:p>
    <w:p w14:paraId="68A0C776" w14:textId="77777777" w:rsidR="00812D16" w:rsidRPr="00891D76" w:rsidRDefault="00812D16" w:rsidP="00204AAB">
      <w:pPr>
        <w:spacing w:line="240" w:lineRule="auto"/>
      </w:pPr>
    </w:p>
    <w:p w14:paraId="7B10F56C" w14:textId="77777777" w:rsidR="00812D16" w:rsidRPr="0082445A" w:rsidRDefault="00812D16" w:rsidP="00204AAB">
      <w:pPr>
        <w:spacing w:line="240" w:lineRule="auto"/>
      </w:pPr>
    </w:p>
    <w:p w14:paraId="54A41E3A" w14:textId="77777777" w:rsidR="00812D16" w:rsidRPr="00BF5AB0" w:rsidRDefault="005C0CBF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372889C9" w14:textId="77777777" w:rsidR="00812D16" w:rsidRPr="00BF5AB0" w:rsidRDefault="00812D16" w:rsidP="00085939">
      <w:pPr>
        <w:keepNext/>
        <w:spacing w:line="240" w:lineRule="auto"/>
      </w:pPr>
    </w:p>
    <w:p w14:paraId="293AC162" w14:textId="77777777" w:rsidR="00BB5A67" w:rsidRPr="005B07E1" w:rsidRDefault="00BB5A67" w:rsidP="00BB5A67">
      <w:pPr>
        <w:rPr>
          <w:szCs w:val="22"/>
        </w:rPr>
      </w:pPr>
      <w:r w:rsidRPr="005B07E1">
        <w:rPr>
          <w:szCs w:val="22"/>
        </w:rPr>
        <w:t>Prášok na infúzny koncentrát.</w:t>
      </w:r>
    </w:p>
    <w:p w14:paraId="4E198C84" w14:textId="77777777" w:rsidR="00BB5A67" w:rsidRPr="005B07E1" w:rsidRDefault="00BB5A67" w:rsidP="00BB5A67">
      <w:pPr>
        <w:pStyle w:val="Zkladntext"/>
        <w:ind w:right="3262"/>
        <w:rPr>
          <w:szCs w:val="22"/>
        </w:rPr>
      </w:pPr>
      <w:r w:rsidRPr="005B07E1">
        <w:rPr>
          <w:szCs w:val="22"/>
        </w:rPr>
        <w:t>Biely až sivobiely prášok.</w:t>
      </w:r>
    </w:p>
    <w:p w14:paraId="45307B78" w14:textId="77777777" w:rsidR="00BB5A67" w:rsidRPr="005B07E1" w:rsidRDefault="00BB5A67" w:rsidP="00BB5A67">
      <w:pPr>
        <w:pStyle w:val="Zkladntext"/>
        <w:rPr>
          <w:szCs w:val="22"/>
        </w:rPr>
      </w:pPr>
    </w:p>
    <w:p w14:paraId="6FFD8A6D" w14:textId="77777777" w:rsidR="00BB5A67" w:rsidRPr="005B07E1" w:rsidRDefault="00BB5A67" w:rsidP="00BB5A67">
      <w:pPr>
        <w:pStyle w:val="Zkladntext"/>
        <w:rPr>
          <w:szCs w:val="22"/>
        </w:rPr>
      </w:pPr>
      <w:r w:rsidRPr="005B07E1">
        <w:rPr>
          <w:szCs w:val="22"/>
        </w:rPr>
        <w:t>Rekonštituovaný roztok má pH od 3,5 do 5,5.</w:t>
      </w:r>
    </w:p>
    <w:p w14:paraId="6CB45DA6" w14:textId="77777777" w:rsidR="00812D16" w:rsidRPr="00891D76" w:rsidRDefault="00812D16" w:rsidP="00085939">
      <w:pPr>
        <w:spacing w:line="240" w:lineRule="auto"/>
      </w:pPr>
    </w:p>
    <w:p w14:paraId="5E79926D" w14:textId="77777777" w:rsidR="00812D16" w:rsidRPr="0082445A" w:rsidRDefault="00812D16" w:rsidP="00204AAB">
      <w:pPr>
        <w:spacing w:line="240" w:lineRule="auto"/>
      </w:pPr>
    </w:p>
    <w:p w14:paraId="78F359CD" w14:textId="77777777" w:rsidR="00812D16" w:rsidRPr="00BF5AB0" w:rsidRDefault="005C0CBF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2AC9177E" w14:textId="77777777" w:rsidR="00812D16" w:rsidRPr="00BF5AB0" w:rsidRDefault="00812D16" w:rsidP="00085939">
      <w:pPr>
        <w:keepNext/>
        <w:spacing w:line="240" w:lineRule="auto"/>
      </w:pPr>
    </w:p>
    <w:p w14:paraId="7F9706B9" w14:textId="77777777" w:rsidR="00812D16" w:rsidRPr="00BF5AB0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5FE9F21F" w14:textId="77777777" w:rsidR="00812D16" w:rsidRPr="00BF5AB0" w:rsidRDefault="00812D16" w:rsidP="00085939">
      <w:pPr>
        <w:keepNext/>
        <w:spacing w:line="240" w:lineRule="auto"/>
      </w:pPr>
    </w:p>
    <w:p w14:paraId="2CFA8679" w14:textId="77777777" w:rsidR="00BB5A67" w:rsidRPr="005B07E1" w:rsidRDefault="00BB5A67" w:rsidP="00BB5A67">
      <w:pPr>
        <w:pStyle w:val="Zkladntext"/>
        <w:ind w:left="118" w:hanging="118"/>
        <w:rPr>
          <w:szCs w:val="22"/>
        </w:rPr>
      </w:pPr>
      <w:r w:rsidRPr="005B07E1">
        <w:rPr>
          <w:szCs w:val="22"/>
        </w:rPr>
        <w:t xml:space="preserve">Liečba invazívnej </w:t>
      </w:r>
      <w:proofErr w:type="spellStart"/>
      <w:r w:rsidRPr="005B07E1">
        <w:rPr>
          <w:szCs w:val="22"/>
        </w:rPr>
        <w:t>kandidózy</w:t>
      </w:r>
      <w:proofErr w:type="spellEnd"/>
      <w:r w:rsidRPr="005B07E1">
        <w:rPr>
          <w:szCs w:val="22"/>
        </w:rPr>
        <w:t xml:space="preserve"> u dospelých pacientov (pozri časti 4.4 a 5.1).</w:t>
      </w:r>
    </w:p>
    <w:p w14:paraId="2205A96C" w14:textId="77777777" w:rsidR="00812D16" w:rsidRPr="00A72672" w:rsidRDefault="00812D16" w:rsidP="00204AAB">
      <w:pPr>
        <w:spacing w:line="240" w:lineRule="auto"/>
      </w:pPr>
    </w:p>
    <w:p w14:paraId="4E41696D" w14:textId="77777777" w:rsidR="00812D16" w:rsidRPr="00BF5AB0" w:rsidRDefault="005C0CBF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3E766898" w14:textId="77777777" w:rsidR="00812D16" w:rsidRDefault="00812D16" w:rsidP="00085939">
      <w:pPr>
        <w:keepNext/>
        <w:spacing w:line="240" w:lineRule="auto"/>
      </w:pPr>
    </w:p>
    <w:p w14:paraId="5F975B92" w14:textId="28DD4CE9" w:rsidR="00BB5A67" w:rsidRPr="005B07E1" w:rsidRDefault="00BB5A67" w:rsidP="00BB5A67">
      <w:pPr>
        <w:pStyle w:val="Zkladntext"/>
        <w:ind w:right="2"/>
        <w:rPr>
          <w:szCs w:val="22"/>
        </w:rPr>
      </w:pPr>
      <w:r w:rsidRPr="005B07E1">
        <w:rPr>
          <w:szCs w:val="22"/>
        </w:rPr>
        <w:t xml:space="preserve">Liečbu </w:t>
      </w:r>
      <w:proofErr w:type="spellStart"/>
      <w:r w:rsidR="00BD5B25">
        <w:rPr>
          <w:szCs w:val="22"/>
        </w:rPr>
        <w:t>anidulafungínom</w:t>
      </w:r>
      <w:proofErr w:type="spellEnd"/>
      <w:r w:rsidRPr="005B07E1">
        <w:rPr>
          <w:szCs w:val="22"/>
        </w:rPr>
        <w:t xml:space="preserve"> má začať lekár, ktorý má skúsenosti s liečbou invazívnych </w:t>
      </w:r>
      <w:proofErr w:type="spellStart"/>
      <w:r w:rsidRPr="005B07E1">
        <w:rPr>
          <w:szCs w:val="22"/>
        </w:rPr>
        <w:t>mykotických</w:t>
      </w:r>
      <w:proofErr w:type="spellEnd"/>
      <w:r w:rsidRPr="005B07E1">
        <w:rPr>
          <w:szCs w:val="22"/>
        </w:rPr>
        <w:t xml:space="preserve"> infekcií.</w:t>
      </w:r>
    </w:p>
    <w:p w14:paraId="4CA0CD66" w14:textId="77777777" w:rsidR="00BB5A67" w:rsidRPr="00BF5AB0" w:rsidRDefault="00BB5A67" w:rsidP="00BB5A67">
      <w:pPr>
        <w:spacing w:line="240" w:lineRule="auto"/>
      </w:pPr>
    </w:p>
    <w:p w14:paraId="4FF4A855" w14:textId="77777777" w:rsidR="00812D16" w:rsidRPr="0082445A" w:rsidRDefault="005C0CBF" w:rsidP="00085939">
      <w:pPr>
        <w:keepNext/>
        <w:spacing w:line="240" w:lineRule="auto"/>
        <w:rPr>
          <w:u w:val="single"/>
        </w:rPr>
      </w:pPr>
      <w:r w:rsidRPr="009A34B3">
        <w:rPr>
          <w:u w:val="single"/>
        </w:rPr>
        <w:t>Dávkovanie</w:t>
      </w:r>
    </w:p>
    <w:p w14:paraId="77EA9C64" w14:textId="77777777" w:rsidR="00812D16" w:rsidRPr="0082445A" w:rsidRDefault="00812D16" w:rsidP="00085939">
      <w:pPr>
        <w:keepNext/>
        <w:spacing w:line="240" w:lineRule="auto"/>
      </w:pPr>
    </w:p>
    <w:p w14:paraId="7E7EAE85" w14:textId="77777777" w:rsidR="00BB5A67" w:rsidRPr="005B07E1" w:rsidRDefault="00BB5A67" w:rsidP="00BB5A67">
      <w:pPr>
        <w:pStyle w:val="Zkladntext"/>
        <w:ind w:right="-2"/>
        <w:rPr>
          <w:szCs w:val="22"/>
        </w:rPr>
      </w:pPr>
      <w:r w:rsidRPr="005B07E1">
        <w:rPr>
          <w:szCs w:val="22"/>
        </w:rPr>
        <w:t>Pred začatím liečby sa majú odobrať vzorky na kultiváciu mykóz. Liečba môže začať skôr, ako sú známe výsledky kultivačného vyšetrenia, pričom ju možno primerane upraviť, akonáhle sú výsledky k dispozícii.</w:t>
      </w:r>
    </w:p>
    <w:p w14:paraId="5CFA30CE" w14:textId="77777777" w:rsidR="00BB5A67" w:rsidRPr="005B07E1" w:rsidRDefault="00BB5A67" w:rsidP="00BB5A67">
      <w:pPr>
        <w:pStyle w:val="Zkladntext"/>
        <w:ind w:right="620"/>
        <w:rPr>
          <w:szCs w:val="22"/>
        </w:rPr>
      </w:pPr>
    </w:p>
    <w:p w14:paraId="052F3EDC" w14:textId="77777777" w:rsidR="00BB5A67" w:rsidRPr="005B07E1" w:rsidRDefault="00BB5A67" w:rsidP="00BB5A67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V 1. deň liečby sa má podať jednorazovo </w:t>
      </w:r>
      <w:proofErr w:type="spellStart"/>
      <w:r w:rsidRPr="005B07E1">
        <w:rPr>
          <w:szCs w:val="22"/>
        </w:rPr>
        <w:t>nasycovacia</w:t>
      </w:r>
      <w:proofErr w:type="spellEnd"/>
      <w:r w:rsidRPr="005B07E1">
        <w:rPr>
          <w:szCs w:val="22"/>
        </w:rPr>
        <w:t xml:space="preserve"> dávka 200 mg a ďalej pokračovať dávkou 100 mg denne. Dĺžka liečby závisí od klinickej odpovede pacienta.</w:t>
      </w:r>
    </w:p>
    <w:p w14:paraId="008B203E" w14:textId="77777777" w:rsidR="00BB5A67" w:rsidRPr="005B07E1" w:rsidRDefault="00BB5A67" w:rsidP="00BB5A67">
      <w:pPr>
        <w:pStyle w:val="Zkladntext"/>
        <w:ind w:right="620"/>
        <w:rPr>
          <w:szCs w:val="22"/>
        </w:rPr>
      </w:pPr>
    </w:p>
    <w:p w14:paraId="7460A557" w14:textId="77777777" w:rsidR="00BB5A67" w:rsidRPr="00BB5A67" w:rsidRDefault="00BB5A67" w:rsidP="00BB5A67">
      <w:pPr>
        <w:pStyle w:val="Zkladntext"/>
        <w:keepNext/>
        <w:ind w:right="620"/>
        <w:rPr>
          <w:szCs w:val="22"/>
        </w:rPr>
      </w:pPr>
      <w:r w:rsidRPr="00BB5A67">
        <w:rPr>
          <w:szCs w:val="22"/>
        </w:rPr>
        <w:t>Dĺžka liečby</w:t>
      </w:r>
    </w:p>
    <w:p w14:paraId="3AB3EB00" w14:textId="77777777" w:rsidR="00BB5A67" w:rsidRPr="005B07E1" w:rsidRDefault="00BB5A67" w:rsidP="00BB5A67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Vo všeobecnosti má </w:t>
      </w:r>
      <w:proofErr w:type="spellStart"/>
      <w:r w:rsidRPr="005B07E1">
        <w:rPr>
          <w:szCs w:val="22"/>
        </w:rPr>
        <w:t>antimykotická</w:t>
      </w:r>
      <w:proofErr w:type="spellEnd"/>
      <w:r w:rsidRPr="005B07E1">
        <w:rPr>
          <w:szCs w:val="22"/>
        </w:rPr>
        <w:t xml:space="preserve"> liečba pokračovať </w:t>
      </w:r>
      <w:r w:rsidR="00B87986">
        <w:rPr>
          <w:szCs w:val="22"/>
        </w:rPr>
        <w:t>aspoň 14 </w:t>
      </w:r>
      <w:r w:rsidRPr="005B07E1">
        <w:rPr>
          <w:szCs w:val="22"/>
        </w:rPr>
        <w:t xml:space="preserve">dní po poslednej pozitívnej kultivácii. </w:t>
      </w:r>
      <w:r w:rsidR="00B87986">
        <w:rPr>
          <w:szCs w:val="22"/>
        </w:rPr>
        <w:t>Na podporu liečby dlhšej ako 35 </w:t>
      </w:r>
      <w:r w:rsidRPr="005B07E1">
        <w:rPr>
          <w:szCs w:val="22"/>
        </w:rPr>
        <w:t>dní dávkou 100 mg nie sú k dispozícii dostatočné údaje.</w:t>
      </w:r>
    </w:p>
    <w:p w14:paraId="234B2FB3" w14:textId="77777777" w:rsidR="00BB5A67" w:rsidRPr="005B07E1" w:rsidRDefault="00BB5A67" w:rsidP="00BB5A67">
      <w:pPr>
        <w:rPr>
          <w:i/>
          <w:szCs w:val="22"/>
        </w:rPr>
      </w:pPr>
    </w:p>
    <w:p w14:paraId="1671B18F" w14:textId="77777777" w:rsidR="00BB5A67" w:rsidRPr="00BB5A67" w:rsidRDefault="00BB5A67" w:rsidP="00BB5A67">
      <w:pPr>
        <w:keepNext/>
        <w:rPr>
          <w:szCs w:val="22"/>
        </w:rPr>
      </w:pPr>
      <w:r w:rsidRPr="00BB5A67">
        <w:rPr>
          <w:szCs w:val="22"/>
        </w:rPr>
        <w:t>Pacienti s poruchou funkcie obličiek a pečene</w:t>
      </w:r>
    </w:p>
    <w:p w14:paraId="22B57206" w14:textId="3C4913E9" w:rsidR="00BB5A67" w:rsidRPr="005B07E1" w:rsidRDefault="00BB5A67" w:rsidP="0011213C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U pacientov s miernou, stredne závažnou alebo závažnou poruchou funkcie pečene sa nevyžadujú žiadne úpravy dávkovania. Úpravy dávkovania sa nevyžadujú u pacientov s akýmkoľvek stupňom </w:t>
      </w:r>
      <w:proofErr w:type="spellStart"/>
      <w:r w:rsidRPr="005B07E1">
        <w:rPr>
          <w:szCs w:val="22"/>
        </w:rPr>
        <w:lastRenderedPageBreak/>
        <w:t>renálnej</w:t>
      </w:r>
      <w:proofErr w:type="spellEnd"/>
      <w:r w:rsidRPr="005B07E1">
        <w:rPr>
          <w:szCs w:val="22"/>
        </w:rPr>
        <w:t xml:space="preserve"> </w:t>
      </w:r>
      <w:proofErr w:type="spellStart"/>
      <w:r w:rsidRPr="005B07E1">
        <w:rPr>
          <w:szCs w:val="22"/>
        </w:rPr>
        <w:t>insuficiencie</w:t>
      </w:r>
      <w:proofErr w:type="spellEnd"/>
      <w:r w:rsidRPr="005B07E1">
        <w:rPr>
          <w:szCs w:val="22"/>
        </w:rPr>
        <w:t xml:space="preserve"> vrátane dialyzovaných pacient</w:t>
      </w:r>
      <w:r w:rsidR="0011213C">
        <w:rPr>
          <w:szCs w:val="22"/>
        </w:rPr>
        <w:t xml:space="preserve">ov. </w:t>
      </w:r>
      <w:proofErr w:type="spellStart"/>
      <w:r w:rsidR="0011213C">
        <w:rPr>
          <w:szCs w:val="22"/>
        </w:rPr>
        <w:t>Anidulafung</w:t>
      </w:r>
      <w:r w:rsidR="00185523">
        <w:rPr>
          <w:szCs w:val="22"/>
        </w:rPr>
        <w:t>ín</w:t>
      </w:r>
      <w:proofErr w:type="spellEnd"/>
      <w:r w:rsidRPr="005B07E1">
        <w:rPr>
          <w:szCs w:val="22"/>
        </w:rPr>
        <w:t xml:space="preserve"> sa môže podávať nezávisle od načasovania hemodialýzy (pozri časť 5.2).</w:t>
      </w:r>
    </w:p>
    <w:p w14:paraId="25E41710" w14:textId="77777777" w:rsidR="00BB5A67" w:rsidRPr="005B07E1" w:rsidRDefault="00BB5A67" w:rsidP="00BB5A67">
      <w:pPr>
        <w:pStyle w:val="Zkladntext"/>
        <w:rPr>
          <w:szCs w:val="22"/>
        </w:rPr>
      </w:pPr>
    </w:p>
    <w:p w14:paraId="3A559435" w14:textId="5A8DA962" w:rsidR="00BB5A67" w:rsidRPr="00B87986" w:rsidRDefault="00397503" w:rsidP="00BB5A67">
      <w:pPr>
        <w:keepNext/>
        <w:rPr>
          <w:szCs w:val="22"/>
        </w:rPr>
      </w:pPr>
      <w:r>
        <w:rPr>
          <w:szCs w:val="22"/>
        </w:rPr>
        <w:t>O</w:t>
      </w:r>
      <w:r w:rsidR="00BB5A67" w:rsidRPr="00B87986">
        <w:rPr>
          <w:szCs w:val="22"/>
        </w:rPr>
        <w:t>sobitné skupiny pacientov</w:t>
      </w:r>
    </w:p>
    <w:p w14:paraId="00239577" w14:textId="77777777" w:rsidR="00BB5A67" w:rsidRPr="005B07E1" w:rsidRDefault="00BB5A67" w:rsidP="00BB5A67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U dospelých </w:t>
      </w:r>
      <w:r w:rsidR="00397503">
        <w:rPr>
          <w:szCs w:val="22"/>
        </w:rPr>
        <w:t xml:space="preserve">pacientov </w:t>
      </w:r>
      <w:r w:rsidRPr="005B07E1">
        <w:rPr>
          <w:szCs w:val="22"/>
        </w:rPr>
        <w:t xml:space="preserve">nie je potrebná úprava dávkovania v závislosti od pohlavia, hmotnosti, etnickej príslušnosti, HIV </w:t>
      </w:r>
      <w:proofErr w:type="spellStart"/>
      <w:r w:rsidRPr="005B07E1">
        <w:rPr>
          <w:szCs w:val="22"/>
        </w:rPr>
        <w:t>pozitivity</w:t>
      </w:r>
      <w:proofErr w:type="spellEnd"/>
      <w:r w:rsidRPr="005B07E1">
        <w:rPr>
          <w:szCs w:val="22"/>
        </w:rPr>
        <w:t xml:space="preserve"> alebo vyššieho veku (pozri časť 5.2).</w:t>
      </w:r>
    </w:p>
    <w:p w14:paraId="7029B265" w14:textId="77777777" w:rsidR="00BB5A67" w:rsidRPr="005B07E1" w:rsidRDefault="00BB5A67" w:rsidP="00BB5A67">
      <w:pPr>
        <w:rPr>
          <w:i/>
          <w:szCs w:val="22"/>
        </w:rPr>
      </w:pPr>
    </w:p>
    <w:p w14:paraId="0AADC76E" w14:textId="77777777" w:rsidR="00BB5A67" w:rsidRPr="00B87986" w:rsidRDefault="00BB5A67" w:rsidP="00BB5A67">
      <w:pPr>
        <w:keepNext/>
        <w:rPr>
          <w:i/>
          <w:szCs w:val="22"/>
        </w:rPr>
      </w:pPr>
      <w:r w:rsidRPr="00B87986">
        <w:rPr>
          <w:i/>
          <w:szCs w:val="22"/>
        </w:rPr>
        <w:t>Pediatrická populácia</w:t>
      </w:r>
    </w:p>
    <w:p w14:paraId="47C876B1" w14:textId="547B284B" w:rsidR="00BB5A67" w:rsidRPr="005B07E1" w:rsidRDefault="00BB5A67" w:rsidP="00B87986">
      <w:pPr>
        <w:pStyle w:val="Zkladntext"/>
        <w:ind w:right="335"/>
        <w:rPr>
          <w:szCs w:val="22"/>
        </w:rPr>
      </w:pPr>
      <w:r w:rsidRPr="005B07E1">
        <w:rPr>
          <w:szCs w:val="22"/>
        </w:rPr>
        <w:t xml:space="preserve">Bezpečnosť a účinnosť </w:t>
      </w:r>
      <w:proofErr w:type="spellStart"/>
      <w:r w:rsidR="00397503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u detí a dosp</w:t>
      </w:r>
      <w:r w:rsidR="00B87986">
        <w:rPr>
          <w:szCs w:val="22"/>
        </w:rPr>
        <w:t xml:space="preserve">ievajúcich vo veku menej ako </w:t>
      </w:r>
      <w:r w:rsidR="00B87986" w:rsidRPr="00B87986">
        <w:t>18</w:t>
      </w:r>
      <w:r w:rsidR="00B87986">
        <w:t> </w:t>
      </w:r>
      <w:r w:rsidRPr="00B87986">
        <w:t>rokov</w:t>
      </w:r>
      <w:r w:rsidRPr="005B07E1">
        <w:rPr>
          <w:szCs w:val="22"/>
        </w:rPr>
        <w:t xml:space="preserve"> neboli doteraz stanovené. V súčasnosti dostupné údaje sú opísané v časti 5.2, ale neumožňujú uviesť odporúčania na dávkovanie.</w:t>
      </w:r>
    </w:p>
    <w:p w14:paraId="707E32D3" w14:textId="77777777" w:rsidR="00BB5A67" w:rsidRPr="005B07E1" w:rsidRDefault="00BB5A67" w:rsidP="00BB5A67">
      <w:pPr>
        <w:pStyle w:val="Zkladntext"/>
        <w:rPr>
          <w:szCs w:val="22"/>
        </w:rPr>
      </w:pPr>
    </w:p>
    <w:p w14:paraId="3470B047" w14:textId="77777777" w:rsidR="00BB5A67" w:rsidRPr="005B07E1" w:rsidRDefault="00BB5A67" w:rsidP="00BB5A67">
      <w:pPr>
        <w:pStyle w:val="Zkladntext"/>
        <w:keepNext/>
        <w:rPr>
          <w:szCs w:val="22"/>
          <w:u w:val="single"/>
        </w:rPr>
      </w:pPr>
      <w:r w:rsidRPr="005B07E1">
        <w:rPr>
          <w:szCs w:val="22"/>
          <w:u w:val="single"/>
        </w:rPr>
        <w:t>Spôsob podávania</w:t>
      </w:r>
    </w:p>
    <w:p w14:paraId="622775B9" w14:textId="77777777" w:rsidR="00BB5A67" w:rsidRPr="005B07E1" w:rsidRDefault="00BB5A67" w:rsidP="00BB5A67">
      <w:pPr>
        <w:pStyle w:val="Zkladntext"/>
        <w:keepNext/>
        <w:rPr>
          <w:szCs w:val="22"/>
        </w:rPr>
      </w:pPr>
    </w:p>
    <w:p w14:paraId="1EDC238F" w14:textId="77777777" w:rsidR="00BB5A67" w:rsidRPr="005B07E1" w:rsidRDefault="00B87986" w:rsidP="00BB5A67">
      <w:pPr>
        <w:pStyle w:val="Zkladntext"/>
        <w:rPr>
          <w:szCs w:val="22"/>
        </w:rPr>
      </w:pPr>
      <w:r>
        <w:rPr>
          <w:szCs w:val="22"/>
        </w:rPr>
        <w:t>I</w:t>
      </w:r>
      <w:r w:rsidR="00BB5A67" w:rsidRPr="005B07E1">
        <w:rPr>
          <w:szCs w:val="22"/>
        </w:rPr>
        <w:t>ntravenózne použitie.</w:t>
      </w:r>
      <w:r>
        <w:rPr>
          <w:szCs w:val="22"/>
        </w:rPr>
        <w:t xml:space="preserve"> Iba na jednorazové použitie.</w:t>
      </w:r>
    </w:p>
    <w:p w14:paraId="7E4CE742" w14:textId="77777777" w:rsidR="00BB5A67" w:rsidRPr="005B07E1" w:rsidRDefault="00BB5A67" w:rsidP="00BB5A67">
      <w:pPr>
        <w:pStyle w:val="Zkladntext"/>
        <w:rPr>
          <w:szCs w:val="22"/>
        </w:rPr>
      </w:pPr>
    </w:p>
    <w:p w14:paraId="6750C5A9" w14:textId="77777777" w:rsidR="00BB5A67" w:rsidRPr="005B07E1" w:rsidRDefault="00BB5A67" w:rsidP="00BB5A67">
      <w:pPr>
        <w:pStyle w:val="Zkladntext"/>
        <w:ind w:right="-2"/>
        <w:rPr>
          <w:szCs w:val="22"/>
        </w:rPr>
      </w:pPr>
      <w:proofErr w:type="spellStart"/>
      <w:r w:rsidRPr="005B07E1">
        <w:rPr>
          <w:szCs w:val="22"/>
        </w:rPr>
        <w:t>Anidul</w:t>
      </w:r>
      <w:r w:rsidR="00B87986">
        <w:rPr>
          <w:szCs w:val="22"/>
        </w:rPr>
        <w:t>afungin</w:t>
      </w:r>
      <w:proofErr w:type="spellEnd"/>
      <w:r w:rsidR="00B87986">
        <w:rPr>
          <w:szCs w:val="22"/>
        </w:rPr>
        <w:t xml:space="preserve"> </w:t>
      </w:r>
      <w:proofErr w:type="spellStart"/>
      <w:r w:rsidR="00B87986">
        <w:rPr>
          <w:szCs w:val="22"/>
        </w:rPr>
        <w:t>Mylan</w:t>
      </w:r>
      <w:proofErr w:type="spellEnd"/>
      <w:r w:rsidRPr="005B07E1">
        <w:rPr>
          <w:szCs w:val="22"/>
        </w:rPr>
        <w:t xml:space="preserve"> sa má rekonštituovať s vodou na injekcie na koncentráciu 3,33 mg/ml a následne zriediť na koncentráciu 0,77 mg/ml. </w:t>
      </w:r>
      <w:r w:rsidR="00B87986" w:rsidRPr="005B07E1">
        <w:rPr>
          <w:szCs w:val="22"/>
        </w:rPr>
        <w:t>Rekonštituovaný roztok je číry, bezfarebný až bledožltý.</w:t>
      </w:r>
      <w:r w:rsidR="00B87986">
        <w:rPr>
          <w:szCs w:val="22"/>
        </w:rPr>
        <w:t xml:space="preserve"> </w:t>
      </w:r>
      <w:r w:rsidRPr="005B07E1">
        <w:rPr>
          <w:szCs w:val="22"/>
        </w:rPr>
        <w:t>Pokyny na rekonštitúciu lieku</w:t>
      </w:r>
      <w:r w:rsidR="00B87986">
        <w:rPr>
          <w:szCs w:val="22"/>
        </w:rPr>
        <w:t xml:space="preserve"> pred podaním (pozri časť 6.6).</w:t>
      </w:r>
    </w:p>
    <w:p w14:paraId="20BBD9CF" w14:textId="77777777" w:rsidR="00BB5A67" w:rsidRPr="005B07E1" w:rsidRDefault="00BB5A67" w:rsidP="00BB5A67">
      <w:pPr>
        <w:pStyle w:val="Zkladntext"/>
        <w:rPr>
          <w:szCs w:val="22"/>
        </w:rPr>
      </w:pPr>
    </w:p>
    <w:p w14:paraId="619FA5E0" w14:textId="77777777" w:rsidR="00BB5A67" w:rsidRPr="005B07E1" w:rsidRDefault="00B87986" w:rsidP="00BB5A67">
      <w:pPr>
        <w:pStyle w:val="Zkladntext"/>
        <w:rPr>
          <w:szCs w:val="22"/>
        </w:rPr>
      </w:pPr>
      <w:proofErr w:type="spellStart"/>
      <w:r>
        <w:rPr>
          <w:szCs w:val="22"/>
        </w:rPr>
        <w:t>Anidulafungin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BB5A67" w:rsidRPr="005B07E1">
        <w:rPr>
          <w:szCs w:val="22"/>
        </w:rPr>
        <w:t xml:space="preserve"> sa odporúča podávať pri rýchlosti infúzie nepresahujúcej 1,1 mg/min (čo zodpovedá 1,4 ml/min, keď sa rekonštituuje a riedi podľa pokynov). Reakcie spojené s podávaním infúzie nie sú časté, ak rýchlosť podávania infúzie s obsahom </w:t>
      </w:r>
      <w:proofErr w:type="spellStart"/>
      <w:r w:rsidR="00BB5A67" w:rsidRPr="005B07E1">
        <w:rPr>
          <w:szCs w:val="22"/>
        </w:rPr>
        <w:t>anidulafungínu</w:t>
      </w:r>
      <w:proofErr w:type="spellEnd"/>
      <w:r w:rsidR="00BB5A67" w:rsidRPr="005B07E1">
        <w:rPr>
          <w:szCs w:val="22"/>
        </w:rPr>
        <w:t xml:space="preserve"> nepresiahne 1,1 mg/min (pozri časť 4.4).</w:t>
      </w:r>
    </w:p>
    <w:p w14:paraId="44AB6DBF" w14:textId="77777777" w:rsidR="00BB5A67" w:rsidRPr="005B07E1" w:rsidRDefault="00BB5A67" w:rsidP="00BB5A67">
      <w:pPr>
        <w:pStyle w:val="Zkladntext"/>
        <w:rPr>
          <w:szCs w:val="22"/>
        </w:rPr>
      </w:pPr>
    </w:p>
    <w:p w14:paraId="7F9E1D63" w14:textId="77777777" w:rsidR="00BB5A67" w:rsidRPr="005B07E1" w:rsidRDefault="00B87986" w:rsidP="00BB5A67">
      <w:pPr>
        <w:autoSpaceDE w:val="0"/>
        <w:autoSpaceDN w:val="0"/>
        <w:adjustRightInd w:val="0"/>
        <w:rPr>
          <w:rFonts w:eastAsia="TimesNewRomanPSMT"/>
          <w:szCs w:val="22"/>
          <w:lang w:eastAsia="en-US"/>
        </w:rPr>
      </w:pPr>
      <w:proofErr w:type="spellStart"/>
      <w:r>
        <w:rPr>
          <w:szCs w:val="22"/>
        </w:rPr>
        <w:t>Anidulafungin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BB5A67" w:rsidRPr="005B07E1">
        <w:rPr>
          <w:szCs w:val="22"/>
        </w:rPr>
        <w:t xml:space="preserve"> sa nesmie podávať vo forme </w:t>
      </w:r>
      <w:proofErr w:type="spellStart"/>
      <w:r w:rsidR="00BB5A67" w:rsidRPr="005B07E1">
        <w:rPr>
          <w:szCs w:val="22"/>
        </w:rPr>
        <w:t>bolusovej</w:t>
      </w:r>
      <w:proofErr w:type="spellEnd"/>
      <w:r w:rsidR="00BB5A67" w:rsidRPr="005B07E1">
        <w:rPr>
          <w:szCs w:val="22"/>
        </w:rPr>
        <w:t xml:space="preserve"> injekcie.</w:t>
      </w:r>
    </w:p>
    <w:p w14:paraId="6FDA5978" w14:textId="77777777" w:rsidR="00812D16" w:rsidRPr="00A72672" w:rsidRDefault="00812D16" w:rsidP="00204AAB">
      <w:pPr>
        <w:spacing w:line="240" w:lineRule="auto"/>
      </w:pPr>
    </w:p>
    <w:p w14:paraId="26A75033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Kontraindikácie</w:t>
      </w:r>
    </w:p>
    <w:p w14:paraId="7BBC74E3" w14:textId="77777777" w:rsidR="00812D16" w:rsidRPr="0082445A" w:rsidRDefault="00812D16" w:rsidP="00085939">
      <w:pPr>
        <w:keepNext/>
        <w:spacing w:line="240" w:lineRule="auto"/>
      </w:pPr>
    </w:p>
    <w:p w14:paraId="07DD29CB" w14:textId="14FCE542" w:rsidR="00544918" w:rsidRPr="005B07E1" w:rsidRDefault="00544918" w:rsidP="00544918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 w:rsidRPr="005B07E1">
        <w:rPr>
          <w:szCs w:val="22"/>
        </w:rPr>
        <w:t>Precitlivenosť na liečivo</w:t>
      </w:r>
      <w:r w:rsidR="00353130">
        <w:rPr>
          <w:szCs w:val="22"/>
        </w:rPr>
        <w:t xml:space="preserve">, iné </w:t>
      </w:r>
      <w:proofErr w:type="spellStart"/>
      <w:r w:rsidR="00353130">
        <w:rPr>
          <w:szCs w:val="22"/>
        </w:rPr>
        <w:t>ech</w:t>
      </w:r>
      <w:r w:rsidR="007966DF">
        <w:rPr>
          <w:szCs w:val="22"/>
        </w:rPr>
        <w:t>in</w:t>
      </w:r>
      <w:r w:rsidR="00353130">
        <w:rPr>
          <w:szCs w:val="22"/>
        </w:rPr>
        <w:t>okandíny</w:t>
      </w:r>
      <w:proofErr w:type="spellEnd"/>
      <w:r w:rsidRPr="005B07E1">
        <w:rPr>
          <w:szCs w:val="22"/>
        </w:rPr>
        <w:t xml:space="preserve"> alebo na ktorúkoľvek z pomocných látok uvedených v časti 6.1.</w:t>
      </w:r>
    </w:p>
    <w:p w14:paraId="4A991801" w14:textId="77777777" w:rsidR="00812D16" w:rsidRPr="0082445A" w:rsidRDefault="00812D16" w:rsidP="00204AAB">
      <w:pPr>
        <w:spacing w:line="240" w:lineRule="auto"/>
      </w:pPr>
    </w:p>
    <w:p w14:paraId="6E3AAE3C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5C3B25C3" w14:textId="77777777" w:rsidR="00812D16" w:rsidRPr="0079480E" w:rsidRDefault="00812D16" w:rsidP="00085939">
      <w:pPr>
        <w:keepNext/>
        <w:spacing w:line="240" w:lineRule="auto"/>
        <w:ind w:left="567" w:hanging="567"/>
      </w:pPr>
    </w:p>
    <w:p w14:paraId="64248E51" w14:textId="77777777" w:rsidR="00544918" w:rsidRPr="005B07E1" w:rsidRDefault="00544918" w:rsidP="00544918">
      <w:pPr>
        <w:pStyle w:val="Zkladntext"/>
        <w:ind w:right="-2"/>
        <w:rPr>
          <w:szCs w:val="22"/>
        </w:rPr>
      </w:pPr>
      <w:proofErr w:type="spellStart"/>
      <w:r w:rsidRPr="005B07E1">
        <w:rPr>
          <w:szCs w:val="22"/>
        </w:rPr>
        <w:t>Anidulafung</w:t>
      </w:r>
      <w:r>
        <w:rPr>
          <w:szCs w:val="22"/>
        </w:rPr>
        <w:t>í</w:t>
      </w:r>
      <w:r w:rsidRPr="005B07E1">
        <w:rPr>
          <w:szCs w:val="22"/>
        </w:rPr>
        <w:t>n</w:t>
      </w:r>
      <w:proofErr w:type="spellEnd"/>
      <w:r w:rsidRPr="005B07E1">
        <w:rPr>
          <w:szCs w:val="22"/>
        </w:rPr>
        <w:t xml:space="preserve"> sa neskúmal u pacientov s </w:t>
      </w:r>
      <w:proofErr w:type="spellStart"/>
      <w:r w:rsidRPr="005B07E1">
        <w:rPr>
          <w:szCs w:val="22"/>
        </w:rPr>
        <w:t>endokarditídou</w:t>
      </w:r>
      <w:proofErr w:type="spellEnd"/>
      <w:r w:rsidRPr="005B07E1">
        <w:rPr>
          <w:szCs w:val="22"/>
        </w:rPr>
        <w:t xml:space="preserve"> spôsobenou kvasinkou z rodu </w:t>
      </w:r>
      <w:proofErr w:type="spellStart"/>
      <w:r w:rsidRPr="005B07E1">
        <w:rPr>
          <w:i/>
          <w:szCs w:val="22"/>
        </w:rPr>
        <w:t>Candida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osteomyelitídou</w:t>
      </w:r>
      <w:proofErr w:type="spellEnd"/>
      <w:r w:rsidRPr="005B07E1">
        <w:rPr>
          <w:szCs w:val="22"/>
        </w:rPr>
        <w:t xml:space="preserve"> alebo </w:t>
      </w:r>
      <w:proofErr w:type="spellStart"/>
      <w:r w:rsidRPr="005B07E1">
        <w:rPr>
          <w:szCs w:val="22"/>
        </w:rPr>
        <w:t>meningitídou</w:t>
      </w:r>
      <w:proofErr w:type="spellEnd"/>
      <w:r w:rsidRPr="005B07E1">
        <w:rPr>
          <w:szCs w:val="22"/>
        </w:rPr>
        <w:t>.</w:t>
      </w:r>
    </w:p>
    <w:p w14:paraId="6974A984" w14:textId="77777777" w:rsidR="00544918" w:rsidRPr="005B07E1" w:rsidRDefault="00544918" w:rsidP="00544918">
      <w:pPr>
        <w:pStyle w:val="Zkladntext"/>
        <w:ind w:right="2"/>
        <w:rPr>
          <w:szCs w:val="22"/>
        </w:rPr>
      </w:pPr>
      <w:r w:rsidRPr="005B07E1">
        <w:rPr>
          <w:szCs w:val="22"/>
        </w:rPr>
        <w:t xml:space="preserve">Účinnosť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bola hodnotená len u obmedzeného počtu pacientov s </w:t>
      </w:r>
      <w:proofErr w:type="spellStart"/>
      <w:r w:rsidRPr="005B07E1">
        <w:rPr>
          <w:szCs w:val="22"/>
        </w:rPr>
        <w:t>neutropéniou</w:t>
      </w:r>
      <w:proofErr w:type="spellEnd"/>
      <w:r w:rsidRPr="005B07E1">
        <w:rPr>
          <w:szCs w:val="22"/>
        </w:rPr>
        <w:t xml:space="preserve"> (pozri časť</w:t>
      </w:r>
      <w:r w:rsidR="00BE7CF1">
        <w:rPr>
          <w:szCs w:val="22"/>
        </w:rPr>
        <w:t> </w:t>
      </w:r>
      <w:r w:rsidRPr="005B07E1">
        <w:rPr>
          <w:szCs w:val="22"/>
        </w:rPr>
        <w:t>5.1).</w:t>
      </w:r>
    </w:p>
    <w:p w14:paraId="3B9822F7" w14:textId="77777777" w:rsidR="00544918" w:rsidRPr="005B07E1" w:rsidRDefault="00544918" w:rsidP="00544918">
      <w:pPr>
        <w:pStyle w:val="Zkladntext"/>
        <w:rPr>
          <w:szCs w:val="22"/>
        </w:rPr>
      </w:pPr>
    </w:p>
    <w:p w14:paraId="56823ACA" w14:textId="77777777" w:rsidR="00544918" w:rsidRPr="005B07E1" w:rsidRDefault="00544918" w:rsidP="00544918">
      <w:pPr>
        <w:pStyle w:val="Zkladntext"/>
        <w:keepNext/>
        <w:rPr>
          <w:szCs w:val="22"/>
        </w:rPr>
      </w:pPr>
      <w:r w:rsidRPr="005B07E1">
        <w:rPr>
          <w:szCs w:val="22"/>
          <w:u w:val="single"/>
        </w:rPr>
        <w:t>Účinky na pečeň</w:t>
      </w:r>
    </w:p>
    <w:p w14:paraId="5D164826" w14:textId="77777777" w:rsidR="00544918" w:rsidRPr="005B07E1" w:rsidRDefault="00544918" w:rsidP="00544918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U zdravých osôb a pacientov liečených </w:t>
      </w:r>
      <w:proofErr w:type="spellStart"/>
      <w:r w:rsidRPr="005B07E1">
        <w:rPr>
          <w:szCs w:val="22"/>
        </w:rPr>
        <w:t>anidulafungínom</w:t>
      </w:r>
      <w:proofErr w:type="spellEnd"/>
      <w:r w:rsidRPr="005B07E1">
        <w:rPr>
          <w:szCs w:val="22"/>
        </w:rPr>
        <w:t xml:space="preserve"> sa pozorovali zvýšené hladiny pečeňových enzýmov. U niektorých pacientov so závažným základným ochorením, ktorí dostávali súbežne s </w:t>
      </w:r>
      <w:proofErr w:type="spellStart"/>
      <w:r w:rsidRPr="005B07E1">
        <w:rPr>
          <w:szCs w:val="22"/>
        </w:rPr>
        <w:t>anidulafungínom</w:t>
      </w:r>
      <w:proofErr w:type="spellEnd"/>
      <w:r w:rsidRPr="005B07E1">
        <w:rPr>
          <w:szCs w:val="22"/>
        </w:rPr>
        <w:t xml:space="preserve"> viaceré lieky, sa vyskytli klinicky významné odchýlky pečeňových funkcií. Prípady významnej </w:t>
      </w:r>
      <w:proofErr w:type="spellStart"/>
      <w:r w:rsidRPr="005B07E1">
        <w:rPr>
          <w:szCs w:val="22"/>
        </w:rPr>
        <w:t>hepatálnej</w:t>
      </w:r>
      <w:proofErr w:type="spellEnd"/>
      <w:r w:rsidRPr="005B07E1">
        <w:rPr>
          <w:szCs w:val="22"/>
        </w:rPr>
        <w:t xml:space="preserve"> dysfunkcie, hepatitídy a zlyhania pečene boli v klinických skúšaniach menej časté. Pacienti so zvýšenými hladinami pečeňových enzýmov majú byť počas liečby </w:t>
      </w:r>
      <w:proofErr w:type="spellStart"/>
      <w:r w:rsidRPr="005B07E1">
        <w:rPr>
          <w:szCs w:val="22"/>
        </w:rPr>
        <w:t>anidulafungínom</w:t>
      </w:r>
      <w:proofErr w:type="spellEnd"/>
      <w:r w:rsidRPr="005B07E1">
        <w:rPr>
          <w:szCs w:val="22"/>
        </w:rPr>
        <w:t xml:space="preserve"> monitorovaní kvôli možnému zhoršeniu funkcie pečene a zhodnoteniu pomeru prínosu a rizika pri pokračovaní liečby </w:t>
      </w:r>
      <w:proofErr w:type="spellStart"/>
      <w:r w:rsidRPr="005B07E1">
        <w:rPr>
          <w:szCs w:val="22"/>
        </w:rPr>
        <w:t>anidulafungínom</w:t>
      </w:r>
      <w:proofErr w:type="spellEnd"/>
      <w:r w:rsidRPr="005B07E1">
        <w:rPr>
          <w:szCs w:val="22"/>
        </w:rPr>
        <w:t>.</w:t>
      </w:r>
    </w:p>
    <w:p w14:paraId="3ADAC1CE" w14:textId="77777777" w:rsidR="00544918" w:rsidRPr="005B07E1" w:rsidRDefault="00544918" w:rsidP="00544918">
      <w:pPr>
        <w:pStyle w:val="Zkladntext"/>
        <w:rPr>
          <w:szCs w:val="22"/>
        </w:rPr>
      </w:pPr>
    </w:p>
    <w:p w14:paraId="7549DA2B" w14:textId="77777777" w:rsidR="00544918" w:rsidRPr="005B07E1" w:rsidRDefault="00544918" w:rsidP="00544918">
      <w:pPr>
        <w:pStyle w:val="Zkladntext"/>
        <w:keepNext/>
        <w:rPr>
          <w:szCs w:val="22"/>
        </w:rPr>
      </w:pPr>
      <w:proofErr w:type="spellStart"/>
      <w:r w:rsidRPr="005B07E1">
        <w:rPr>
          <w:szCs w:val="22"/>
          <w:u w:val="single"/>
        </w:rPr>
        <w:t>Anafylaktické</w:t>
      </w:r>
      <w:proofErr w:type="spellEnd"/>
      <w:r w:rsidRPr="005B07E1">
        <w:rPr>
          <w:szCs w:val="22"/>
          <w:u w:val="single"/>
        </w:rPr>
        <w:t xml:space="preserve"> reakcie</w:t>
      </w:r>
    </w:p>
    <w:p w14:paraId="2D4397C3" w14:textId="77777777" w:rsidR="00544918" w:rsidRPr="005B07E1" w:rsidRDefault="00544918" w:rsidP="00544918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Pri použití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boli hlásené </w:t>
      </w:r>
      <w:proofErr w:type="spellStart"/>
      <w:r w:rsidRPr="005B07E1">
        <w:rPr>
          <w:szCs w:val="22"/>
        </w:rPr>
        <w:t>anafylaktické</w:t>
      </w:r>
      <w:proofErr w:type="spellEnd"/>
      <w:r w:rsidRPr="005B07E1">
        <w:rPr>
          <w:szCs w:val="22"/>
        </w:rPr>
        <w:t xml:space="preserve"> reakcie vrátane šoku. Ak sa tieto reakcie objavia, musí sa podávanie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ukončiť a podať príslušná liečba.</w:t>
      </w:r>
    </w:p>
    <w:p w14:paraId="1521DC4C" w14:textId="77777777" w:rsidR="00544918" w:rsidRPr="005B07E1" w:rsidRDefault="00544918" w:rsidP="00544918">
      <w:pPr>
        <w:pStyle w:val="Zkladntext"/>
        <w:rPr>
          <w:szCs w:val="22"/>
        </w:rPr>
      </w:pPr>
    </w:p>
    <w:p w14:paraId="4F0D1BE3" w14:textId="77777777" w:rsidR="00544918" w:rsidRPr="005B07E1" w:rsidRDefault="00544918" w:rsidP="00544918">
      <w:pPr>
        <w:pStyle w:val="Zkladntext"/>
        <w:keepNext/>
        <w:rPr>
          <w:szCs w:val="22"/>
        </w:rPr>
      </w:pPr>
      <w:r w:rsidRPr="005B07E1">
        <w:rPr>
          <w:szCs w:val="22"/>
          <w:u w:val="single"/>
        </w:rPr>
        <w:t>Reakcie spojené s podávaním infúzie</w:t>
      </w:r>
    </w:p>
    <w:p w14:paraId="44F3A9DB" w14:textId="77777777" w:rsidR="00544918" w:rsidRDefault="00544918" w:rsidP="00544918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Boli hlásené nežiaduce udalosti spojené s podávaním infúzie s obsahom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vrátane vyrážky, </w:t>
      </w:r>
      <w:proofErr w:type="spellStart"/>
      <w:r w:rsidRPr="005B07E1">
        <w:rPr>
          <w:szCs w:val="22"/>
        </w:rPr>
        <w:t>urtikárie</w:t>
      </w:r>
      <w:proofErr w:type="spellEnd"/>
      <w:r w:rsidRPr="005B07E1">
        <w:rPr>
          <w:szCs w:val="22"/>
        </w:rPr>
        <w:t xml:space="preserve">, sčervenania, </w:t>
      </w:r>
      <w:proofErr w:type="spellStart"/>
      <w:r w:rsidRPr="005B07E1">
        <w:rPr>
          <w:szCs w:val="22"/>
        </w:rPr>
        <w:t>pruritu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dyspnoe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bronchospazmu</w:t>
      </w:r>
      <w:proofErr w:type="spellEnd"/>
      <w:r w:rsidRPr="005B07E1">
        <w:rPr>
          <w:szCs w:val="22"/>
        </w:rPr>
        <w:t xml:space="preserve"> a hypotenzie. Nežiaduce udalosti spojené s podávaním infúzie nie sú časté, ak rýchlosť podávania infúzie s obsahom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neprekročí 1,1 mg/min (pozri časť</w:t>
      </w:r>
      <w:r w:rsidR="00BE7CF1">
        <w:rPr>
          <w:szCs w:val="22"/>
        </w:rPr>
        <w:t> </w:t>
      </w:r>
      <w:r w:rsidRPr="005B07E1">
        <w:rPr>
          <w:szCs w:val="22"/>
        </w:rPr>
        <w:t>4.8).</w:t>
      </w:r>
    </w:p>
    <w:p w14:paraId="52C820F5" w14:textId="77777777" w:rsidR="00544918" w:rsidRPr="005B07E1" w:rsidRDefault="00544918" w:rsidP="00544918">
      <w:pPr>
        <w:pStyle w:val="Zkladntext"/>
        <w:ind w:right="-2"/>
        <w:rPr>
          <w:szCs w:val="22"/>
        </w:rPr>
      </w:pPr>
      <w:r w:rsidRPr="005B07E1">
        <w:rPr>
          <w:szCs w:val="22"/>
        </w:rPr>
        <w:lastRenderedPageBreak/>
        <w:t xml:space="preserve">V predklinickej štúdii (na potkanoch) sa pozorovala pri súbežnom podávaní anestetík </w:t>
      </w:r>
      <w:proofErr w:type="spellStart"/>
      <w:r w:rsidRPr="005B07E1">
        <w:rPr>
          <w:szCs w:val="22"/>
        </w:rPr>
        <w:t>exacerbácia</w:t>
      </w:r>
      <w:proofErr w:type="spellEnd"/>
      <w:r w:rsidRPr="005B07E1">
        <w:rPr>
          <w:szCs w:val="22"/>
        </w:rPr>
        <w:t xml:space="preserve"> reakcií spojených s podávaním infúzie (pozri časť</w:t>
      </w:r>
      <w:r w:rsidR="00BE7CF1">
        <w:rPr>
          <w:szCs w:val="22"/>
        </w:rPr>
        <w:t> </w:t>
      </w:r>
      <w:r w:rsidRPr="005B07E1">
        <w:rPr>
          <w:szCs w:val="22"/>
        </w:rPr>
        <w:t xml:space="preserve">5.3). Klinický význam tohto prejavu nie je známy. Napriek tomu je pri súbežnom podávaní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a anestetík potrebná opatrnosť.</w:t>
      </w:r>
    </w:p>
    <w:p w14:paraId="62A52E25" w14:textId="77777777" w:rsidR="00544918" w:rsidRPr="005B07E1" w:rsidRDefault="00544918" w:rsidP="00544918">
      <w:pPr>
        <w:pStyle w:val="Zkladntext"/>
        <w:ind w:right="457"/>
        <w:rPr>
          <w:szCs w:val="22"/>
        </w:rPr>
      </w:pPr>
    </w:p>
    <w:p w14:paraId="75E824CB" w14:textId="77777777" w:rsidR="00544918" w:rsidRPr="005B07E1" w:rsidRDefault="00544918" w:rsidP="00544918">
      <w:pPr>
        <w:pStyle w:val="Zkladntext"/>
        <w:keepNext/>
        <w:ind w:right="457"/>
        <w:rPr>
          <w:szCs w:val="22"/>
        </w:rPr>
      </w:pPr>
      <w:r w:rsidRPr="00DD34D1">
        <w:rPr>
          <w:szCs w:val="22"/>
          <w:u w:val="single"/>
        </w:rPr>
        <w:t>Obsah fruktózy</w:t>
      </w:r>
    </w:p>
    <w:p w14:paraId="65D87A67" w14:textId="77777777" w:rsidR="00544918" w:rsidRPr="005B07E1" w:rsidRDefault="00544918" w:rsidP="00544918">
      <w:pPr>
        <w:pStyle w:val="Zkladntext"/>
        <w:rPr>
          <w:szCs w:val="22"/>
        </w:rPr>
      </w:pPr>
      <w:r w:rsidRPr="005B07E1">
        <w:rPr>
          <w:szCs w:val="22"/>
        </w:rPr>
        <w:t>Pacientom s</w:t>
      </w:r>
      <w:r>
        <w:rPr>
          <w:szCs w:val="22"/>
        </w:rPr>
        <w:t xml:space="preserve"> </w:t>
      </w:r>
      <w:r w:rsidRPr="005B07E1">
        <w:rPr>
          <w:szCs w:val="22"/>
        </w:rPr>
        <w:t xml:space="preserve">hereditárnou intoleranciou fruktózy (HFI) </w:t>
      </w:r>
      <w:r>
        <w:rPr>
          <w:szCs w:val="22"/>
        </w:rPr>
        <w:t>sa nesmie podať</w:t>
      </w:r>
      <w:r w:rsidRPr="005B07E1">
        <w:rPr>
          <w:szCs w:val="22"/>
        </w:rPr>
        <w:t xml:space="preserve"> tento liek, ak to nie je striktne nevyhnutné.</w:t>
      </w:r>
    </w:p>
    <w:p w14:paraId="3CDCA898" w14:textId="77777777" w:rsidR="00544918" w:rsidRDefault="004E57DC" w:rsidP="00544918">
      <w:pPr>
        <w:autoSpaceDE w:val="0"/>
        <w:autoSpaceDN w:val="0"/>
        <w:adjustRightInd w:val="0"/>
        <w:rPr>
          <w:rFonts w:eastAsia="TimesNewRomanPSMT"/>
          <w:szCs w:val="22"/>
          <w:lang w:eastAsia="en-US"/>
        </w:rPr>
      </w:pPr>
      <w:r>
        <w:rPr>
          <w:rFonts w:eastAsia="TimesNewRomanPSMT"/>
          <w:szCs w:val="22"/>
          <w:lang w:eastAsia="en-US"/>
        </w:rPr>
        <w:t>Tento liek obsahuje 102,5 mg fruktózy v jednej injekčnej liekovke.</w:t>
      </w:r>
    </w:p>
    <w:p w14:paraId="783CADA0" w14:textId="77777777" w:rsidR="004E57DC" w:rsidRPr="004E57DC" w:rsidRDefault="004E57DC" w:rsidP="004E57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eastAsia="en-US"/>
        </w:rPr>
      </w:pPr>
      <w:r w:rsidRPr="004E57DC">
        <w:rPr>
          <w:rFonts w:eastAsia="TimesNewRomanPSMT"/>
          <w:szCs w:val="22"/>
          <w:lang w:eastAsia="en-US"/>
        </w:rPr>
        <w:t>Musí sa zvážiť prídavný účinok súbežne</w:t>
      </w:r>
      <w:r>
        <w:rPr>
          <w:rFonts w:eastAsia="TimesNewRomanPSMT"/>
          <w:szCs w:val="22"/>
          <w:lang w:eastAsia="en-US"/>
        </w:rPr>
        <w:t xml:space="preserve"> </w:t>
      </w:r>
      <w:r w:rsidRPr="004E57DC">
        <w:rPr>
          <w:rFonts w:eastAsia="TimesNewRomanPSMT"/>
          <w:szCs w:val="22"/>
          <w:lang w:eastAsia="en-US"/>
        </w:rPr>
        <w:t>podávaných liekov obsahujúcich fruktózu (alebo</w:t>
      </w:r>
      <w:r>
        <w:rPr>
          <w:rFonts w:eastAsia="TimesNewRomanPSMT"/>
          <w:szCs w:val="22"/>
          <w:lang w:eastAsia="en-US"/>
        </w:rPr>
        <w:t xml:space="preserve"> </w:t>
      </w:r>
      <w:proofErr w:type="spellStart"/>
      <w:r>
        <w:rPr>
          <w:rFonts w:eastAsia="TimesNewRomanPSMT"/>
          <w:szCs w:val="22"/>
          <w:lang w:eastAsia="en-US"/>
        </w:rPr>
        <w:t>sorbitol</w:t>
      </w:r>
      <w:proofErr w:type="spellEnd"/>
      <w:r>
        <w:rPr>
          <w:rFonts w:eastAsia="TimesNewRomanPSMT"/>
          <w:szCs w:val="22"/>
          <w:lang w:eastAsia="en-US"/>
        </w:rPr>
        <w:t>) a </w:t>
      </w:r>
      <w:r w:rsidRPr="004E57DC">
        <w:rPr>
          <w:rFonts w:eastAsia="TimesNewRomanPSMT"/>
          <w:szCs w:val="22"/>
          <w:lang w:eastAsia="en-US"/>
        </w:rPr>
        <w:t xml:space="preserve">príjem fruktózy (alebo </w:t>
      </w:r>
      <w:proofErr w:type="spellStart"/>
      <w:r w:rsidRPr="004E57DC">
        <w:rPr>
          <w:rFonts w:eastAsia="TimesNewRomanPSMT"/>
          <w:szCs w:val="22"/>
          <w:lang w:eastAsia="en-US"/>
        </w:rPr>
        <w:t>sorbitolu</w:t>
      </w:r>
      <w:proofErr w:type="spellEnd"/>
      <w:r w:rsidRPr="004E57DC">
        <w:rPr>
          <w:rFonts w:eastAsia="TimesNewRomanPSMT"/>
          <w:szCs w:val="22"/>
          <w:lang w:eastAsia="en-US"/>
        </w:rPr>
        <w:t>) v</w:t>
      </w:r>
      <w:r>
        <w:rPr>
          <w:rFonts w:eastAsia="TimesNewRomanPSMT"/>
          <w:szCs w:val="22"/>
          <w:lang w:eastAsia="en-US"/>
        </w:rPr>
        <w:t> </w:t>
      </w:r>
      <w:r w:rsidRPr="004E57DC">
        <w:rPr>
          <w:rFonts w:eastAsia="TimesNewRomanPSMT"/>
          <w:szCs w:val="22"/>
          <w:lang w:eastAsia="en-US"/>
        </w:rPr>
        <w:t>strave.</w:t>
      </w:r>
    </w:p>
    <w:p w14:paraId="4ADDCE3B" w14:textId="77777777" w:rsidR="004E57DC" w:rsidRDefault="004E57DC" w:rsidP="004E57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eastAsia="en-US"/>
        </w:rPr>
      </w:pPr>
      <w:r w:rsidRPr="004E57DC">
        <w:rPr>
          <w:rFonts w:eastAsia="TimesNewRomanPSMT"/>
          <w:szCs w:val="22"/>
          <w:lang w:eastAsia="en-US"/>
        </w:rPr>
        <w:t>Musí sa vykonať detailná anamnéza každého</w:t>
      </w:r>
      <w:r>
        <w:rPr>
          <w:rFonts w:eastAsia="TimesNewRomanPSMT"/>
          <w:szCs w:val="22"/>
          <w:lang w:eastAsia="en-US"/>
        </w:rPr>
        <w:t xml:space="preserve"> pacienta s </w:t>
      </w:r>
      <w:r w:rsidRPr="004E57DC">
        <w:rPr>
          <w:rFonts w:eastAsia="TimesNewRomanPSMT"/>
          <w:szCs w:val="22"/>
          <w:lang w:eastAsia="en-US"/>
        </w:rPr>
        <w:t>ohľadom na symptómy HFI pred</w:t>
      </w:r>
      <w:r>
        <w:rPr>
          <w:rFonts w:eastAsia="TimesNewRomanPSMT"/>
          <w:szCs w:val="22"/>
          <w:lang w:eastAsia="en-US"/>
        </w:rPr>
        <w:t xml:space="preserve"> </w:t>
      </w:r>
      <w:r w:rsidRPr="004E57DC">
        <w:rPr>
          <w:rFonts w:eastAsia="TimesNewRomanPSMT"/>
          <w:szCs w:val="22"/>
          <w:lang w:eastAsia="en-US"/>
        </w:rPr>
        <w:t>podaním tohto lieku.</w:t>
      </w:r>
    </w:p>
    <w:p w14:paraId="3A3D980F" w14:textId="77777777" w:rsidR="004E57DC" w:rsidRPr="004E57DC" w:rsidRDefault="004E57DC" w:rsidP="004E57D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eastAsia="en-US"/>
        </w:rPr>
      </w:pPr>
    </w:p>
    <w:p w14:paraId="67FF3D21" w14:textId="77777777" w:rsidR="00544918" w:rsidRPr="005B07E1" w:rsidRDefault="00544918" w:rsidP="00544918">
      <w:pPr>
        <w:keepNext/>
        <w:autoSpaceDE w:val="0"/>
        <w:autoSpaceDN w:val="0"/>
        <w:adjustRightInd w:val="0"/>
        <w:rPr>
          <w:rFonts w:eastAsia="TimesNewRomanPSMT"/>
          <w:szCs w:val="22"/>
          <w:u w:val="single"/>
          <w:lang w:eastAsia="en-US"/>
        </w:rPr>
      </w:pPr>
      <w:r w:rsidRPr="005B07E1">
        <w:rPr>
          <w:rFonts w:eastAsia="TimesNewRomanPSMT"/>
          <w:szCs w:val="22"/>
          <w:u w:val="single"/>
          <w:lang w:eastAsia="en-US"/>
        </w:rPr>
        <w:t>Obsah sodíka</w:t>
      </w:r>
    </w:p>
    <w:p w14:paraId="45D91858" w14:textId="77777777" w:rsidR="00544918" w:rsidRPr="005B07E1" w:rsidRDefault="00544918" w:rsidP="00544918">
      <w:pPr>
        <w:autoSpaceDE w:val="0"/>
        <w:autoSpaceDN w:val="0"/>
        <w:adjustRightInd w:val="0"/>
        <w:rPr>
          <w:szCs w:val="22"/>
        </w:rPr>
      </w:pPr>
      <w:r w:rsidRPr="005B07E1">
        <w:rPr>
          <w:szCs w:val="22"/>
        </w:rPr>
        <w:t xml:space="preserve">Tento liek obsahuje menej ako 1 mmol sodíka (23 mg) v každej injekčnej liekovke, </w:t>
      </w:r>
      <w:proofErr w:type="spellStart"/>
      <w:r w:rsidRPr="005B07E1">
        <w:rPr>
          <w:szCs w:val="22"/>
        </w:rPr>
        <w:t>t.j</w:t>
      </w:r>
      <w:proofErr w:type="spellEnd"/>
      <w:r w:rsidRPr="005B07E1">
        <w:rPr>
          <w:szCs w:val="22"/>
        </w:rPr>
        <w:t>. v podstate zanedbateľné množstvo sodíka.</w:t>
      </w:r>
    </w:p>
    <w:p w14:paraId="3487BD63" w14:textId="77777777" w:rsidR="00812D16" w:rsidRPr="00BF5AB0" w:rsidRDefault="00812D16" w:rsidP="00204AAB">
      <w:pPr>
        <w:spacing w:line="240" w:lineRule="auto"/>
        <w:outlineLvl w:val="0"/>
      </w:pPr>
    </w:p>
    <w:p w14:paraId="56795B80" w14:textId="77777777" w:rsidR="00812D16" w:rsidRPr="006D597C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D775D9">
        <w:rPr>
          <w:b/>
        </w:rPr>
        <w:t>Liekové a iné interakcie</w:t>
      </w:r>
    </w:p>
    <w:p w14:paraId="08B823DB" w14:textId="77777777" w:rsidR="00812D16" w:rsidRPr="0082445A" w:rsidRDefault="00812D16" w:rsidP="00085939">
      <w:pPr>
        <w:keepNext/>
        <w:spacing w:line="240" w:lineRule="auto"/>
      </w:pPr>
    </w:p>
    <w:p w14:paraId="1B4440AF" w14:textId="77777777" w:rsidR="004E57DC" w:rsidRPr="005B07E1" w:rsidRDefault="004E57DC" w:rsidP="004E57DC">
      <w:pPr>
        <w:pStyle w:val="Zkladntext"/>
        <w:ind w:right="-2"/>
        <w:rPr>
          <w:szCs w:val="22"/>
        </w:rPr>
      </w:pPr>
      <w:proofErr w:type="spellStart"/>
      <w:r w:rsidRPr="005B07E1">
        <w:rPr>
          <w:szCs w:val="22"/>
        </w:rPr>
        <w:t>Anidulafungín</w:t>
      </w:r>
      <w:proofErr w:type="spellEnd"/>
      <w:r w:rsidRPr="005B07E1">
        <w:rPr>
          <w:szCs w:val="22"/>
        </w:rPr>
        <w:t xml:space="preserve"> nie je klinicky významným substrátom, induktorom alebo inhibítorom </w:t>
      </w:r>
      <w:proofErr w:type="spellStart"/>
      <w:r w:rsidRPr="005B07E1">
        <w:rPr>
          <w:szCs w:val="22"/>
        </w:rPr>
        <w:t>izoenzýmov</w:t>
      </w:r>
      <w:proofErr w:type="spellEnd"/>
      <w:r w:rsidRPr="005B07E1">
        <w:rPr>
          <w:szCs w:val="22"/>
        </w:rPr>
        <w:t xml:space="preserve"> </w:t>
      </w:r>
      <w:proofErr w:type="spellStart"/>
      <w:r w:rsidRPr="005B07E1">
        <w:rPr>
          <w:szCs w:val="22"/>
        </w:rPr>
        <w:t>cytochrómu</w:t>
      </w:r>
      <w:proofErr w:type="spellEnd"/>
      <w:r w:rsidRPr="005B07E1">
        <w:rPr>
          <w:szCs w:val="22"/>
        </w:rPr>
        <w:t xml:space="preserve"> P450 (1A2, 2B6, 2C8, 2C9, 2C19, 2D6, 3A). Je dôležité poznamenať, že </w:t>
      </w:r>
      <w:r w:rsidRPr="005B07E1">
        <w:rPr>
          <w:i/>
          <w:szCs w:val="22"/>
        </w:rPr>
        <w:t xml:space="preserve">in vitro </w:t>
      </w:r>
      <w:r w:rsidRPr="005B07E1">
        <w:rPr>
          <w:szCs w:val="22"/>
        </w:rPr>
        <w:t xml:space="preserve">štúdie úplne nevylučujú možné interakcie </w:t>
      </w:r>
      <w:r w:rsidRPr="005B07E1">
        <w:rPr>
          <w:i/>
          <w:szCs w:val="22"/>
        </w:rPr>
        <w:t xml:space="preserve">in </w:t>
      </w:r>
      <w:proofErr w:type="spellStart"/>
      <w:r w:rsidRPr="005B07E1">
        <w:rPr>
          <w:i/>
          <w:szCs w:val="22"/>
        </w:rPr>
        <w:t>vivo</w:t>
      </w:r>
      <w:proofErr w:type="spellEnd"/>
      <w:r w:rsidRPr="005B07E1">
        <w:rPr>
          <w:szCs w:val="22"/>
        </w:rPr>
        <w:t>.</w:t>
      </w:r>
    </w:p>
    <w:p w14:paraId="24722EED" w14:textId="77777777" w:rsidR="004E57DC" w:rsidRPr="005B07E1" w:rsidRDefault="004E57DC" w:rsidP="004E57DC">
      <w:pPr>
        <w:pStyle w:val="Zkladntext"/>
        <w:ind w:right="-2"/>
        <w:rPr>
          <w:szCs w:val="22"/>
        </w:rPr>
      </w:pPr>
    </w:p>
    <w:p w14:paraId="4B7EFA29" w14:textId="77777777" w:rsidR="004E57DC" w:rsidRPr="005B07E1" w:rsidRDefault="004E57DC" w:rsidP="004E57DC">
      <w:pPr>
        <w:pStyle w:val="Zkladntext"/>
        <w:ind w:right="-2"/>
        <w:rPr>
          <w:szCs w:val="22"/>
        </w:rPr>
      </w:pPr>
      <w:r w:rsidRPr="005B07E1">
        <w:rPr>
          <w:szCs w:val="22"/>
        </w:rPr>
        <w:t>Uskutočnili sa liekové interakčné štúdie s </w:t>
      </w:r>
      <w:proofErr w:type="spellStart"/>
      <w:r w:rsidRPr="005B07E1">
        <w:rPr>
          <w:szCs w:val="22"/>
        </w:rPr>
        <w:t>anidulafungínom</w:t>
      </w:r>
      <w:proofErr w:type="spellEnd"/>
      <w:r w:rsidRPr="005B07E1">
        <w:rPr>
          <w:szCs w:val="22"/>
        </w:rPr>
        <w:t xml:space="preserve"> a inými liekmi, pri ktorých je pravdepodobné, že sa môžu súbežne podávať. Pri žiadnom z liekov sa neodporúča úprava dávky, ak sa </w:t>
      </w:r>
      <w:proofErr w:type="spellStart"/>
      <w:r w:rsidRPr="005B07E1">
        <w:rPr>
          <w:szCs w:val="22"/>
        </w:rPr>
        <w:t>anidulafungín</w:t>
      </w:r>
      <w:proofErr w:type="spellEnd"/>
      <w:r w:rsidRPr="005B07E1">
        <w:rPr>
          <w:szCs w:val="22"/>
        </w:rPr>
        <w:t xml:space="preserve"> podáva súbežne s </w:t>
      </w:r>
      <w:proofErr w:type="spellStart"/>
      <w:r w:rsidRPr="005B07E1">
        <w:rPr>
          <w:szCs w:val="22"/>
        </w:rPr>
        <w:t>cyklosporínom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vorikonazolom</w:t>
      </w:r>
      <w:proofErr w:type="spellEnd"/>
      <w:r w:rsidRPr="005B07E1">
        <w:rPr>
          <w:szCs w:val="22"/>
        </w:rPr>
        <w:t xml:space="preserve"> alebo </w:t>
      </w:r>
      <w:proofErr w:type="spellStart"/>
      <w:r w:rsidRPr="005B07E1">
        <w:rPr>
          <w:szCs w:val="22"/>
        </w:rPr>
        <w:t>takrolimom</w:t>
      </w:r>
      <w:proofErr w:type="spellEnd"/>
      <w:r w:rsidRPr="005B07E1">
        <w:rPr>
          <w:szCs w:val="22"/>
        </w:rPr>
        <w:t xml:space="preserve">, a neodporúča sa ani úprava dávky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>, ak sa súbežne podáva s </w:t>
      </w:r>
      <w:proofErr w:type="spellStart"/>
      <w:r w:rsidRPr="005B07E1">
        <w:rPr>
          <w:szCs w:val="22"/>
        </w:rPr>
        <w:t>amfotericínom</w:t>
      </w:r>
      <w:proofErr w:type="spellEnd"/>
      <w:r w:rsidRPr="005B07E1">
        <w:rPr>
          <w:szCs w:val="22"/>
        </w:rPr>
        <w:t xml:space="preserve"> B alebo </w:t>
      </w:r>
      <w:proofErr w:type="spellStart"/>
      <w:r w:rsidRPr="005B07E1">
        <w:rPr>
          <w:szCs w:val="22"/>
        </w:rPr>
        <w:t>rifampicínom</w:t>
      </w:r>
      <w:proofErr w:type="spellEnd"/>
      <w:r w:rsidRPr="005B07E1">
        <w:rPr>
          <w:szCs w:val="22"/>
        </w:rPr>
        <w:t>.</w:t>
      </w:r>
    </w:p>
    <w:p w14:paraId="614FDC59" w14:textId="77777777" w:rsidR="004E57DC" w:rsidRPr="005B07E1" w:rsidRDefault="004E57DC" w:rsidP="004E57DC">
      <w:pPr>
        <w:pStyle w:val="Zkladntext"/>
        <w:ind w:right="-2"/>
        <w:rPr>
          <w:szCs w:val="22"/>
        </w:rPr>
      </w:pPr>
    </w:p>
    <w:p w14:paraId="4FC519EC" w14:textId="77777777" w:rsidR="004E57DC" w:rsidRPr="005B07E1" w:rsidRDefault="004E57DC" w:rsidP="004E57DC">
      <w:pPr>
        <w:pStyle w:val="Zkladntext"/>
        <w:keepNext/>
        <w:ind w:right="-2"/>
        <w:rPr>
          <w:szCs w:val="22"/>
        </w:rPr>
      </w:pPr>
      <w:r w:rsidRPr="005B07E1">
        <w:rPr>
          <w:szCs w:val="22"/>
          <w:u w:val="single"/>
        </w:rPr>
        <w:t>Pediatrická populácia</w:t>
      </w:r>
    </w:p>
    <w:p w14:paraId="57805989" w14:textId="77777777" w:rsidR="004E57DC" w:rsidRPr="005B07E1" w:rsidRDefault="004E57DC" w:rsidP="004E57DC">
      <w:pPr>
        <w:pStyle w:val="Zkladntext"/>
        <w:ind w:right="-2"/>
        <w:rPr>
          <w:szCs w:val="22"/>
        </w:rPr>
      </w:pPr>
      <w:r w:rsidRPr="005B07E1">
        <w:rPr>
          <w:szCs w:val="22"/>
        </w:rPr>
        <w:t>Interakčné štúdie sa uskutočnili len u dospelých.</w:t>
      </w:r>
    </w:p>
    <w:p w14:paraId="71F7BEB3" w14:textId="77777777" w:rsidR="00812D16" w:rsidRPr="0082445A" w:rsidRDefault="00812D16" w:rsidP="00204AAB">
      <w:pPr>
        <w:spacing w:line="240" w:lineRule="auto"/>
      </w:pPr>
    </w:p>
    <w:p w14:paraId="485BC260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proofErr w:type="spellStart"/>
      <w:r w:rsidRPr="00BF5AB0">
        <w:rPr>
          <w:b/>
        </w:rPr>
        <w:t>Fertilita</w:t>
      </w:r>
      <w:proofErr w:type="spellEnd"/>
      <w:r w:rsidRPr="00BF5AB0">
        <w:rPr>
          <w:b/>
        </w:rPr>
        <w:t>, gravidita a laktácia</w:t>
      </w:r>
    </w:p>
    <w:p w14:paraId="033CC5B4" w14:textId="77777777" w:rsidR="00812D16" w:rsidRPr="0082445A" w:rsidRDefault="00812D16" w:rsidP="00085939">
      <w:pPr>
        <w:keepNext/>
        <w:spacing w:line="240" w:lineRule="auto"/>
      </w:pPr>
    </w:p>
    <w:p w14:paraId="4D794249" w14:textId="77777777" w:rsidR="00A071D6" w:rsidRPr="005B07E1" w:rsidRDefault="00A071D6" w:rsidP="00A071D6">
      <w:pPr>
        <w:pStyle w:val="Zkladntext"/>
        <w:keepNext/>
        <w:ind w:right="-2"/>
        <w:rPr>
          <w:szCs w:val="22"/>
        </w:rPr>
      </w:pPr>
      <w:r w:rsidRPr="005B07E1">
        <w:rPr>
          <w:szCs w:val="22"/>
          <w:u w:val="single"/>
        </w:rPr>
        <w:t>Gravidita</w:t>
      </w:r>
    </w:p>
    <w:p w14:paraId="3FF0D7B1" w14:textId="77777777" w:rsidR="00A071D6" w:rsidRPr="005B07E1" w:rsidRDefault="00A071D6" w:rsidP="00A071D6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Nie sú k dispozícii žiadne údaje o použití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u gravidných žien. Štúdie na zvieratách preukázali reprodukčnú toxicitu (pozri časť 5.3).</w:t>
      </w:r>
    </w:p>
    <w:p w14:paraId="158F84BC" w14:textId="77777777" w:rsidR="00A071D6" w:rsidRPr="005B07E1" w:rsidRDefault="00A071D6" w:rsidP="00A071D6">
      <w:pPr>
        <w:pStyle w:val="Zkladntext"/>
        <w:ind w:right="-2"/>
        <w:rPr>
          <w:szCs w:val="22"/>
        </w:rPr>
      </w:pPr>
    </w:p>
    <w:p w14:paraId="3DE3D532" w14:textId="77777777" w:rsidR="00A071D6" w:rsidRPr="005B07E1" w:rsidRDefault="00A071D6" w:rsidP="00A071D6">
      <w:pPr>
        <w:pStyle w:val="Zkladntext"/>
        <w:ind w:right="-2"/>
        <w:rPr>
          <w:szCs w:val="22"/>
        </w:rPr>
      </w:pPr>
      <w:proofErr w:type="spellStart"/>
      <w:r w:rsidRPr="005B07E1">
        <w:rPr>
          <w:szCs w:val="22"/>
        </w:rPr>
        <w:t>Anidulafung</w:t>
      </w:r>
      <w:r>
        <w:rPr>
          <w:szCs w:val="22"/>
        </w:rPr>
        <w:t>í</w:t>
      </w:r>
      <w:r w:rsidRPr="005B07E1">
        <w:rPr>
          <w:szCs w:val="22"/>
        </w:rPr>
        <w:t>n</w:t>
      </w:r>
      <w:proofErr w:type="spellEnd"/>
      <w:r w:rsidRPr="005B07E1">
        <w:rPr>
          <w:szCs w:val="22"/>
        </w:rPr>
        <w:t xml:space="preserve"> sa neodporúča používať počas gravidity, pokiaľ prínos pre matku jasne nepreváži potenciálne riziko pre plod.</w:t>
      </w:r>
    </w:p>
    <w:p w14:paraId="6876C224" w14:textId="77777777" w:rsidR="00A071D6" w:rsidRPr="005B07E1" w:rsidRDefault="00A071D6" w:rsidP="00A071D6">
      <w:pPr>
        <w:pStyle w:val="Zkladntext"/>
        <w:ind w:right="-2"/>
        <w:rPr>
          <w:szCs w:val="22"/>
        </w:rPr>
      </w:pPr>
    </w:p>
    <w:p w14:paraId="2F02DD42" w14:textId="77777777" w:rsidR="00A071D6" w:rsidRPr="005B07E1" w:rsidRDefault="00A071D6" w:rsidP="00A071D6">
      <w:pPr>
        <w:pStyle w:val="Zkladntext"/>
        <w:keepNext/>
        <w:ind w:right="-2"/>
        <w:rPr>
          <w:szCs w:val="22"/>
        </w:rPr>
      </w:pPr>
      <w:r w:rsidRPr="005B07E1">
        <w:rPr>
          <w:szCs w:val="22"/>
          <w:u w:val="single"/>
        </w:rPr>
        <w:t>Dojčenie</w:t>
      </w:r>
    </w:p>
    <w:p w14:paraId="1BEF0253" w14:textId="77777777" w:rsidR="00A071D6" w:rsidRPr="005B07E1" w:rsidRDefault="00A071D6" w:rsidP="00A071D6">
      <w:pPr>
        <w:autoSpaceDE w:val="0"/>
        <w:autoSpaceDN w:val="0"/>
        <w:adjustRightInd w:val="0"/>
        <w:ind w:right="-2"/>
        <w:rPr>
          <w:szCs w:val="22"/>
        </w:rPr>
      </w:pPr>
      <w:r w:rsidRPr="005B07E1">
        <w:rPr>
          <w:szCs w:val="22"/>
        </w:rPr>
        <w:t xml:space="preserve">Nie je známe, či sa </w:t>
      </w:r>
      <w:proofErr w:type="spellStart"/>
      <w:r w:rsidRPr="005B07E1">
        <w:rPr>
          <w:szCs w:val="22"/>
        </w:rPr>
        <w:t>anidulafungín</w:t>
      </w:r>
      <w:proofErr w:type="spellEnd"/>
      <w:r w:rsidRPr="005B07E1">
        <w:rPr>
          <w:szCs w:val="22"/>
        </w:rPr>
        <w:t xml:space="preserve"> vylučuje do ľudského mlieka. Dostupné </w:t>
      </w:r>
      <w:proofErr w:type="spellStart"/>
      <w:r w:rsidRPr="005B07E1">
        <w:rPr>
          <w:szCs w:val="22"/>
        </w:rPr>
        <w:t>farmakodynamické</w:t>
      </w:r>
      <w:proofErr w:type="spellEnd"/>
      <w:r w:rsidRPr="005B07E1">
        <w:rPr>
          <w:szCs w:val="22"/>
        </w:rPr>
        <w:t xml:space="preserve">/toxikologické údaje u zvierat preukázali vylučovanie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do mlieka.</w:t>
      </w:r>
    </w:p>
    <w:p w14:paraId="3B38D95C" w14:textId="77777777" w:rsidR="00A071D6" w:rsidRPr="005B07E1" w:rsidRDefault="00A071D6" w:rsidP="00A071D6">
      <w:pPr>
        <w:autoSpaceDE w:val="0"/>
        <w:autoSpaceDN w:val="0"/>
        <w:adjustRightInd w:val="0"/>
        <w:ind w:right="-2"/>
        <w:rPr>
          <w:szCs w:val="22"/>
        </w:rPr>
      </w:pPr>
    </w:p>
    <w:p w14:paraId="0EF76289" w14:textId="13C5AF59" w:rsidR="00A071D6" w:rsidRPr="005B07E1" w:rsidRDefault="00A071D6" w:rsidP="00A071D6">
      <w:pPr>
        <w:autoSpaceDE w:val="0"/>
        <w:autoSpaceDN w:val="0"/>
        <w:adjustRightInd w:val="0"/>
        <w:ind w:right="-2"/>
        <w:rPr>
          <w:szCs w:val="22"/>
        </w:rPr>
      </w:pPr>
      <w:r w:rsidRPr="005B07E1">
        <w:rPr>
          <w:rFonts w:eastAsia="SimSun"/>
          <w:szCs w:val="22"/>
          <w:lang w:eastAsia="zh-CN"/>
        </w:rPr>
        <w:t>Riziko u dojčeného dieťaťa nemôže byť vylúčené.</w:t>
      </w:r>
      <w:r w:rsidRPr="005B07E1">
        <w:rPr>
          <w:szCs w:val="22"/>
        </w:rPr>
        <w:t xml:space="preserve"> </w:t>
      </w:r>
      <w:r w:rsidRPr="005B07E1">
        <w:rPr>
          <w:rFonts w:eastAsia="SimSun"/>
          <w:szCs w:val="22"/>
          <w:lang w:eastAsia="zh-CN"/>
        </w:rPr>
        <w:t xml:space="preserve">Rozhodnutie, či ukončiť dojčenie alebo ukončiť/prerušiť liečbu </w:t>
      </w:r>
      <w:r w:rsidR="006D597C">
        <w:rPr>
          <w:rFonts w:eastAsia="SimSun"/>
          <w:szCs w:val="22"/>
          <w:lang w:eastAsia="zh-CN"/>
        </w:rPr>
        <w:t xml:space="preserve">liekom </w:t>
      </w:r>
      <w:proofErr w:type="spellStart"/>
      <w:r w:rsidR="006D597C">
        <w:rPr>
          <w:rFonts w:eastAsia="SimSun"/>
          <w:szCs w:val="22"/>
          <w:lang w:eastAsia="zh-CN"/>
        </w:rPr>
        <w:t>Anidulafungin</w:t>
      </w:r>
      <w:proofErr w:type="spellEnd"/>
      <w:r w:rsidR="006D597C">
        <w:rPr>
          <w:rFonts w:eastAsia="SimSun"/>
          <w:szCs w:val="22"/>
          <w:lang w:eastAsia="zh-CN"/>
        </w:rPr>
        <w:t xml:space="preserve"> </w:t>
      </w:r>
      <w:proofErr w:type="spellStart"/>
      <w:r w:rsidR="006D597C">
        <w:rPr>
          <w:rFonts w:eastAsia="SimSun"/>
          <w:szCs w:val="22"/>
          <w:lang w:eastAsia="zh-CN"/>
        </w:rPr>
        <w:t>Mylan</w:t>
      </w:r>
      <w:proofErr w:type="spellEnd"/>
      <w:r w:rsidRPr="005B07E1">
        <w:rPr>
          <w:rFonts w:eastAsia="SimSun"/>
          <w:szCs w:val="22"/>
          <w:lang w:eastAsia="zh-CN"/>
        </w:rPr>
        <w:t xml:space="preserve"> sa má urobiť po zvážení prínosu dojčenia pre dieťa a prínosu liečby pre ženu.</w:t>
      </w:r>
    </w:p>
    <w:p w14:paraId="438BD984" w14:textId="77777777" w:rsidR="00A071D6" w:rsidRPr="005B07E1" w:rsidRDefault="00A071D6" w:rsidP="00A071D6">
      <w:pPr>
        <w:pStyle w:val="Zkladntext"/>
        <w:ind w:right="-2"/>
        <w:rPr>
          <w:szCs w:val="22"/>
        </w:rPr>
      </w:pPr>
    </w:p>
    <w:p w14:paraId="67247C2F" w14:textId="77777777" w:rsidR="00A071D6" w:rsidRPr="005B07E1" w:rsidRDefault="00A071D6" w:rsidP="00A071D6">
      <w:pPr>
        <w:pStyle w:val="Zkladntext"/>
        <w:keepNext/>
        <w:ind w:right="-2"/>
        <w:rPr>
          <w:szCs w:val="22"/>
        </w:rPr>
      </w:pPr>
      <w:proofErr w:type="spellStart"/>
      <w:r w:rsidRPr="005B07E1">
        <w:rPr>
          <w:szCs w:val="22"/>
          <w:u w:val="single"/>
        </w:rPr>
        <w:t>Fertilita</w:t>
      </w:r>
      <w:proofErr w:type="spellEnd"/>
    </w:p>
    <w:p w14:paraId="7DBD121A" w14:textId="77777777" w:rsidR="00A071D6" w:rsidRPr="005B07E1" w:rsidRDefault="00A071D6" w:rsidP="00A071D6">
      <w:pPr>
        <w:pStyle w:val="Zkladntext"/>
        <w:ind w:right="-2"/>
        <w:rPr>
          <w:szCs w:val="22"/>
        </w:rPr>
      </w:pPr>
      <w:r w:rsidRPr="005B07E1">
        <w:rPr>
          <w:szCs w:val="22"/>
        </w:rPr>
        <w:t xml:space="preserve">V štúdiách vykonaných na samcoch a samiciach potkanov sa nepozorovali žiadne účinky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na </w:t>
      </w:r>
      <w:proofErr w:type="spellStart"/>
      <w:r w:rsidRPr="005B07E1">
        <w:rPr>
          <w:szCs w:val="22"/>
        </w:rPr>
        <w:t>fertilitu</w:t>
      </w:r>
      <w:proofErr w:type="spellEnd"/>
      <w:r w:rsidRPr="005B07E1">
        <w:rPr>
          <w:szCs w:val="22"/>
        </w:rPr>
        <w:t xml:space="preserve"> (pozri časť</w:t>
      </w:r>
      <w:r w:rsidR="00BE7CF1">
        <w:rPr>
          <w:szCs w:val="22"/>
        </w:rPr>
        <w:t> </w:t>
      </w:r>
      <w:r w:rsidRPr="005B07E1">
        <w:rPr>
          <w:szCs w:val="22"/>
        </w:rPr>
        <w:t>5.3).</w:t>
      </w:r>
    </w:p>
    <w:p w14:paraId="596C7963" w14:textId="77777777" w:rsidR="00812D16" w:rsidRPr="00A071D6" w:rsidRDefault="00812D16" w:rsidP="00204AAB">
      <w:pPr>
        <w:spacing w:line="240" w:lineRule="auto"/>
      </w:pPr>
    </w:p>
    <w:p w14:paraId="3179B43E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250469DE" w14:textId="77777777" w:rsidR="00B64B2F" w:rsidRPr="00891D76" w:rsidRDefault="00B64B2F" w:rsidP="00A071D6">
      <w:pPr>
        <w:keepNext/>
        <w:spacing w:line="240" w:lineRule="auto"/>
      </w:pPr>
    </w:p>
    <w:p w14:paraId="355E3E18" w14:textId="77777777" w:rsidR="00812D16" w:rsidRPr="0082445A" w:rsidRDefault="00A071D6" w:rsidP="00204AAB">
      <w:pPr>
        <w:spacing w:line="240" w:lineRule="auto"/>
      </w:pPr>
      <w:r>
        <w:t>Netýka sa.</w:t>
      </w:r>
    </w:p>
    <w:p w14:paraId="7B80ED64" w14:textId="77777777" w:rsidR="00812D16" w:rsidRPr="00A72672" w:rsidRDefault="00812D16" w:rsidP="00204AAB">
      <w:pPr>
        <w:spacing w:line="240" w:lineRule="auto"/>
      </w:pPr>
    </w:p>
    <w:p w14:paraId="1C200AE5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lastRenderedPageBreak/>
        <w:t>Nežiaduce účinky</w:t>
      </w:r>
    </w:p>
    <w:p w14:paraId="144EA685" w14:textId="77777777" w:rsidR="00812D16" w:rsidRPr="0082445A" w:rsidRDefault="00812D16" w:rsidP="00085939">
      <w:pPr>
        <w:keepNext/>
        <w:autoSpaceDE w:val="0"/>
        <w:autoSpaceDN w:val="0"/>
        <w:adjustRightInd w:val="0"/>
        <w:spacing w:line="240" w:lineRule="auto"/>
        <w:jc w:val="both"/>
      </w:pPr>
    </w:p>
    <w:p w14:paraId="2857000E" w14:textId="77777777" w:rsidR="00A071D6" w:rsidRPr="005B07E1" w:rsidRDefault="00A071D6" w:rsidP="00A071D6">
      <w:pPr>
        <w:pStyle w:val="Zkladntext"/>
        <w:keepNext/>
        <w:rPr>
          <w:szCs w:val="22"/>
        </w:rPr>
      </w:pPr>
      <w:r w:rsidRPr="005B07E1">
        <w:rPr>
          <w:szCs w:val="22"/>
          <w:u w:val="single"/>
        </w:rPr>
        <w:t>Súhrn bezpečnostného profilu</w:t>
      </w:r>
    </w:p>
    <w:p w14:paraId="2CA9D45B" w14:textId="77777777" w:rsidR="00A071D6" w:rsidRPr="005B07E1" w:rsidRDefault="00A071D6" w:rsidP="00A071D6">
      <w:pPr>
        <w:autoSpaceDE w:val="0"/>
        <w:autoSpaceDN w:val="0"/>
        <w:adjustRightInd w:val="0"/>
        <w:rPr>
          <w:szCs w:val="22"/>
        </w:rPr>
      </w:pPr>
      <w:r w:rsidRPr="005B07E1">
        <w:rPr>
          <w:szCs w:val="22"/>
        </w:rPr>
        <w:t xml:space="preserve">V klinických štúdiách boli hlásené nežiaduce reakcie spojené s podávaním infúzie s obsahom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, vrátane vyrážky, </w:t>
      </w:r>
      <w:proofErr w:type="spellStart"/>
      <w:r w:rsidRPr="005B07E1">
        <w:rPr>
          <w:szCs w:val="22"/>
        </w:rPr>
        <w:t>pruritu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dyspnoe</w:t>
      </w:r>
      <w:proofErr w:type="spellEnd"/>
      <w:r w:rsidRPr="005B07E1">
        <w:rPr>
          <w:szCs w:val="22"/>
        </w:rPr>
        <w:t xml:space="preserve">, </w:t>
      </w:r>
      <w:proofErr w:type="spellStart"/>
      <w:r w:rsidRPr="005B07E1">
        <w:rPr>
          <w:szCs w:val="22"/>
        </w:rPr>
        <w:t>bronchospazmu</w:t>
      </w:r>
      <w:proofErr w:type="spellEnd"/>
      <w:r w:rsidRPr="005B07E1">
        <w:rPr>
          <w:szCs w:val="22"/>
        </w:rPr>
        <w:t>, hypotenzie (časté udalosti), sčervenania, návalov tepla a </w:t>
      </w:r>
      <w:proofErr w:type="spellStart"/>
      <w:r w:rsidRPr="005B07E1">
        <w:rPr>
          <w:szCs w:val="22"/>
        </w:rPr>
        <w:t>urtikárie</w:t>
      </w:r>
      <w:proofErr w:type="spellEnd"/>
      <w:r w:rsidRPr="005B07E1">
        <w:rPr>
          <w:szCs w:val="22"/>
        </w:rPr>
        <w:t xml:space="preserve"> (menej časté udalosti)</w:t>
      </w:r>
      <w:r>
        <w:rPr>
          <w:szCs w:val="22"/>
        </w:rPr>
        <w:t>,</w:t>
      </w:r>
      <w:r w:rsidRPr="005B07E1">
        <w:rPr>
          <w:szCs w:val="22"/>
        </w:rPr>
        <w:t xml:space="preserve"> sú zhrnuté v tabuľke 1 (pozri časť 4.4).</w:t>
      </w:r>
    </w:p>
    <w:p w14:paraId="0A44748A" w14:textId="77777777" w:rsidR="00A071D6" w:rsidRPr="005B07E1" w:rsidRDefault="00A071D6" w:rsidP="00A071D6">
      <w:pPr>
        <w:pStyle w:val="Zkladntext"/>
        <w:rPr>
          <w:szCs w:val="22"/>
        </w:rPr>
      </w:pPr>
    </w:p>
    <w:p w14:paraId="7F377E90" w14:textId="77777777" w:rsidR="00A071D6" w:rsidRPr="005B07E1" w:rsidRDefault="00A071D6" w:rsidP="00A071D6">
      <w:pPr>
        <w:pStyle w:val="Zkladntext"/>
        <w:keepNext/>
        <w:rPr>
          <w:szCs w:val="22"/>
        </w:rPr>
      </w:pPr>
      <w:r w:rsidRPr="005B07E1">
        <w:rPr>
          <w:szCs w:val="22"/>
          <w:u w:val="single"/>
        </w:rPr>
        <w:t>Tabuľkový zoznam nežiaducich reakcií</w:t>
      </w:r>
    </w:p>
    <w:p w14:paraId="0EFF4F81" w14:textId="77777777" w:rsidR="00A071D6" w:rsidRPr="005B07E1" w:rsidRDefault="00A071D6" w:rsidP="00A071D6">
      <w:pPr>
        <w:pStyle w:val="Zkladntext"/>
        <w:rPr>
          <w:szCs w:val="22"/>
        </w:rPr>
      </w:pPr>
      <w:r w:rsidRPr="005B07E1">
        <w:rPr>
          <w:szCs w:val="22"/>
        </w:rPr>
        <w:t xml:space="preserve">Nasledujúca tabuľka zahŕňa nežiaduce reakcie vzniknuté z akejkoľvek príčiny (terminológia podľa </w:t>
      </w:r>
      <w:proofErr w:type="spellStart"/>
      <w:r w:rsidRPr="005B07E1">
        <w:rPr>
          <w:szCs w:val="22"/>
        </w:rPr>
        <w:t>MedDRA</w:t>
      </w:r>
      <w:proofErr w:type="spellEnd"/>
      <w:r w:rsidRPr="005B07E1">
        <w:rPr>
          <w:szCs w:val="22"/>
        </w:rPr>
        <w:t xml:space="preserve">) </w:t>
      </w:r>
      <w:r>
        <w:rPr>
          <w:szCs w:val="22"/>
        </w:rPr>
        <w:t>u 840 </w:t>
      </w:r>
      <w:r w:rsidRPr="005B07E1">
        <w:rPr>
          <w:szCs w:val="22"/>
        </w:rPr>
        <w:t xml:space="preserve">osôb, ktoré dostávali 100 mg </w:t>
      </w:r>
      <w:proofErr w:type="spellStart"/>
      <w:r w:rsidRPr="005B07E1">
        <w:rPr>
          <w:szCs w:val="22"/>
        </w:rPr>
        <w:t>anidulafungínu</w:t>
      </w:r>
      <w:proofErr w:type="spellEnd"/>
      <w:r w:rsidRPr="005B07E1">
        <w:rPr>
          <w:szCs w:val="22"/>
        </w:rPr>
        <w:t xml:space="preserve"> s frekvenciou zodpovedajúcou konvencii veľmi časté (≥ 1/10), časté (≥ 1/100 až &lt; 1/10), menej časté (≥ 1/1 000 až &lt; 1/100), zriedkavé (≥ 1/10 000 až &lt; 1/1 000), veľmi zriedkavé (&lt; 1/10 000) a zo spontánnych hlásení s neznámou frekvenciou (nedá sa odhadnúť z dostupných údajov). V rámci jednotlivých skupín frekvencií sú nežiaduce účinky usporiadané v poradí klesajúcej závažnosti.</w:t>
      </w:r>
    </w:p>
    <w:p w14:paraId="7399BEA2" w14:textId="77777777" w:rsidR="00A071D6" w:rsidRPr="005B07E1" w:rsidRDefault="00A071D6" w:rsidP="00A071D6">
      <w:pPr>
        <w:pStyle w:val="Zkladntext"/>
        <w:ind w:right="430"/>
        <w:rPr>
          <w:szCs w:val="22"/>
        </w:rPr>
      </w:pPr>
    </w:p>
    <w:p w14:paraId="6C334496" w14:textId="77777777" w:rsidR="00A071D6" w:rsidRPr="005B07E1" w:rsidRDefault="00A071D6" w:rsidP="00A071D6">
      <w:pPr>
        <w:pStyle w:val="Zkladntext"/>
        <w:keepNext/>
        <w:rPr>
          <w:b/>
          <w:szCs w:val="22"/>
        </w:rPr>
      </w:pPr>
      <w:r w:rsidRPr="005B07E1">
        <w:rPr>
          <w:b/>
          <w:szCs w:val="22"/>
        </w:rPr>
        <w:t>Tabuľka 1. Tabuľka nežiaducich reakcií</w:t>
      </w:r>
    </w:p>
    <w:tbl>
      <w:tblPr>
        <w:tblW w:w="51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400"/>
        <w:gridCol w:w="1421"/>
        <w:gridCol w:w="1273"/>
        <w:gridCol w:w="1275"/>
        <w:gridCol w:w="1135"/>
        <w:gridCol w:w="1275"/>
      </w:tblGrid>
      <w:tr w:rsidR="00A071D6" w:rsidRPr="005B07E1" w14:paraId="0F62B514" w14:textId="77777777" w:rsidTr="00387835">
        <w:trPr>
          <w:trHeight w:hRule="exact" w:val="260"/>
        </w:trPr>
        <w:tc>
          <w:tcPr>
            <w:tcW w:w="839" w:type="pct"/>
            <w:tcBorders>
              <w:bottom w:val="nil"/>
            </w:tcBorders>
          </w:tcPr>
          <w:p w14:paraId="05DB1286" w14:textId="77777777" w:rsidR="00A071D6" w:rsidRPr="005B07E1" w:rsidRDefault="00A071D6" w:rsidP="006C6667">
            <w:pPr>
              <w:pStyle w:val="TableParagraph"/>
              <w:keepNext/>
              <w:ind w:left="130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Trieda</w:t>
            </w:r>
          </w:p>
        </w:tc>
        <w:tc>
          <w:tcPr>
            <w:tcW w:w="749" w:type="pct"/>
            <w:tcBorders>
              <w:bottom w:val="nil"/>
            </w:tcBorders>
          </w:tcPr>
          <w:p w14:paraId="4062650A" w14:textId="77777777" w:rsidR="00A071D6" w:rsidRPr="005B07E1" w:rsidRDefault="00A071D6" w:rsidP="007B2646">
            <w:pPr>
              <w:pStyle w:val="TableParagraph"/>
              <w:keepNext/>
              <w:ind w:left="85" w:right="85"/>
              <w:jc w:val="center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Veľmi časté</w:t>
            </w:r>
          </w:p>
        </w:tc>
        <w:tc>
          <w:tcPr>
            <w:tcW w:w="760" w:type="pct"/>
            <w:tcBorders>
              <w:bottom w:val="nil"/>
            </w:tcBorders>
          </w:tcPr>
          <w:p w14:paraId="19CAF99E" w14:textId="77777777" w:rsidR="00A071D6" w:rsidRPr="005B07E1" w:rsidRDefault="00A071D6" w:rsidP="007B2646">
            <w:pPr>
              <w:pStyle w:val="TableParagraph"/>
              <w:keepNext/>
              <w:ind w:left="72" w:right="130"/>
              <w:jc w:val="center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681" w:type="pct"/>
            <w:tcBorders>
              <w:bottom w:val="nil"/>
            </w:tcBorders>
          </w:tcPr>
          <w:p w14:paraId="1AD6D2BB" w14:textId="77777777" w:rsidR="00A071D6" w:rsidRPr="005B07E1" w:rsidRDefault="00A071D6" w:rsidP="007B2646">
            <w:pPr>
              <w:pStyle w:val="TableParagraph"/>
              <w:keepNext/>
              <w:jc w:val="center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Menej časté</w:t>
            </w:r>
          </w:p>
        </w:tc>
        <w:tc>
          <w:tcPr>
            <w:tcW w:w="682" w:type="pct"/>
            <w:tcBorders>
              <w:bottom w:val="nil"/>
            </w:tcBorders>
          </w:tcPr>
          <w:p w14:paraId="3E5F097B" w14:textId="77777777" w:rsidR="00A071D6" w:rsidRPr="005B07E1" w:rsidRDefault="00A071D6" w:rsidP="007B2646">
            <w:pPr>
              <w:pStyle w:val="TableParagraph"/>
              <w:keepNext/>
              <w:ind w:left="160"/>
              <w:jc w:val="center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607" w:type="pct"/>
            <w:tcBorders>
              <w:bottom w:val="nil"/>
            </w:tcBorders>
          </w:tcPr>
          <w:p w14:paraId="5EFB7A57" w14:textId="77777777" w:rsidR="00A071D6" w:rsidRPr="005B07E1" w:rsidRDefault="00A071D6" w:rsidP="007B2646">
            <w:pPr>
              <w:pStyle w:val="TableParagraph"/>
              <w:keepNext/>
              <w:ind w:left="225" w:hanging="184"/>
              <w:jc w:val="center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Veľmi</w:t>
            </w:r>
          </w:p>
        </w:tc>
        <w:tc>
          <w:tcPr>
            <w:tcW w:w="682" w:type="pct"/>
            <w:tcBorders>
              <w:bottom w:val="nil"/>
            </w:tcBorders>
          </w:tcPr>
          <w:p w14:paraId="70914075" w14:textId="77777777" w:rsidR="00A071D6" w:rsidRPr="005B07E1" w:rsidRDefault="00A071D6" w:rsidP="007B2646">
            <w:pPr>
              <w:pStyle w:val="TableParagraph"/>
              <w:keepNext/>
              <w:ind w:left="145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Neznáme</w:t>
            </w:r>
          </w:p>
        </w:tc>
      </w:tr>
      <w:tr w:rsidR="00A071D6" w:rsidRPr="003E5F46" w14:paraId="2966AB66" w14:textId="77777777" w:rsidTr="00387835">
        <w:trPr>
          <w:trHeight w:hRule="exact" w:val="581"/>
        </w:trPr>
        <w:tc>
          <w:tcPr>
            <w:tcW w:w="839" w:type="pct"/>
            <w:tcBorders>
              <w:top w:val="nil"/>
            </w:tcBorders>
          </w:tcPr>
          <w:p w14:paraId="58C97B62" w14:textId="77777777" w:rsidR="00A071D6" w:rsidRPr="005B07E1" w:rsidRDefault="00A071D6" w:rsidP="006C6667">
            <w:pPr>
              <w:pStyle w:val="TableParagraph"/>
              <w:ind w:left="130" w:right="404"/>
              <w:rPr>
                <w:b/>
                <w:sz w:val="20"/>
                <w:szCs w:val="20"/>
                <w:lang w:val="sk-SK"/>
              </w:rPr>
            </w:pPr>
            <w:r w:rsidRPr="005B07E1">
              <w:rPr>
                <w:b/>
                <w:sz w:val="20"/>
                <w:szCs w:val="20"/>
                <w:lang w:val="sk-SK"/>
              </w:rPr>
              <w:t>orgánových systémov</w:t>
            </w:r>
          </w:p>
        </w:tc>
        <w:tc>
          <w:tcPr>
            <w:tcW w:w="749" w:type="pct"/>
            <w:tcBorders>
              <w:top w:val="nil"/>
            </w:tcBorders>
          </w:tcPr>
          <w:p w14:paraId="448F4481" w14:textId="77777777" w:rsidR="00A071D6" w:rsidRPr="003E5F46" w:rsidRDefault="00A071D6" w:rsidP="007B2646">
            <w:pPr>
              <w:pStyle w:val="TableParagraph"/>
              <w:ind w:left="85" w:right="85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≥ </w:t>
            </w:r>
            <w:r w:rsidRPr="003E5F46">
              <w:rPr>
                <w:b/>
                <w:sz w:val="20"/>
                <w:szCs w:val="20"/>
                <w:lang w:val="sk-SK"/>
              </w:rPr>
              <w:t>1/10</w:t>
            </w:r>
          </w:p>
        </w:tc>
        <w:tc>
          <w:tcPr>
            <w:tcW w:w="760" w:type="pct"/>
            <w:tcBorders>
              <w:top w:val="nil"/>
            </w:tcBorders>
          </w:tcPr>
          <w:p w14:paraId="4743E3E7" w14:textId="77777777" w:rsidR="00A071D6" w:rsidRPr="003E5F46" w:rsidRDefault="00A071D6" w:rsidP="007B2646">
            <w:pPr>
              <w:pStyle w:val="TableParagraph"/>
              <w:tabs>
                <w:tab w:val="left" w:pos="939"/>
              </w:tabs>
              <w:ind w:left="72" w:right="130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≥ </w:t>
            </w:r>
            <w:r w:rsidRPr="003E5F46">
              <w:rPr>
                <w:b/>
                <w:sz w:val="20"/>
                <w:szCs w:val="20"/>
                <w:lang w:val="sk-SK"/>
              </w:rPr>
              <w:t>1/100 až&lt;</w:t>
            </w:r>
            <w:r w:rsidRPr="003E5F46">
              <w:rPr>
                <w:sz w:val="20"/>
                <w:szCs w:val="20"/>
                <w:lang w:val="sk-SK"/>
              </w:rPr>
              <w:t> </w:t>
            </w:r>
            <w:r w:rsidRPr="003E5F46">
              <w:rPr>
                <w:b/>
                <w:sz w:val="20"/>
                <w:szCs w:val="20"/>
                <w:lang w:val="sk-SK"/>
              </w:rPr>
              <w:t>1/10</w:t>
            </w:r>
          </w:p>
        </w:tc>
        <w:tc>
          <w:tcPr>
            <w:tcW w:w="681" w:type="pct"/>
            <w:tcBorders>
              <w:top w:val="nil"/>
            </w:tcBorders>
          </w:tcPr>
          <w:p w14:paraId="128AE2FF" w14:textId="77777777" w:rsidR="00A071D6" w:rsidRPr="003E5F46" w:rsidRDefault="00A071D6" w:rsidP="007B2646">
            <w:pPr>
              <w:pStyle w:val="TableParagraph"/>
              <w:ind w:right="140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≥ </w:t>
            </w:r>
            <w:r w:rsidRPr="003E5F46">
              <w:rPr>
                <w:b/>
                <w:sz w:val="20"/>
                <w:szCs w:val="20"/>
                <w:lang w:val="sk-SK"/>
              </w:rPr>
              <w:t>1/1 000</w:t>
            </w:r>
          </w:p>
          <w:p w14:paraId="75330E73" w14:textId="77777777" w:rsidR="00A071D6" w:rsidRPr="003E5F46" w:rsidRDefault="00A071D6" w:rsidP="007B2646">
            <w:pPr>
              <w:pStyle w:val="TableParagraph"/>
              <w:ind w:right="140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b/>
                <w:sz w:val="20"/>
                <w:szCs w:val="20"/>
                <w:lang w:val="sk-SK"/>
              </w:rPr>
              <w:t>až&lt; 1/100</w:t>
            </w:r>
          </w:p>
        </w:tc>
        <w:tc>
          <w:tcPr>
            <w:tcW w:w="682" w:type="pct"/>
            <w:tcBorders>
              <w:top w:val="nil"/>
            </w:tcBorders>
          </w:tcPr>
          <w:p w14:paraId="42BE4C5C" w14:textId="77777777" w:rsidR="00A071D6" w:rsidRPr="003E5F46" w:rsidRDefault="00A071D6" w:rsidP="007B2646">
            <w:pPr>
              <w:pStyle w:val="TableParagraph"/>
              <w:ind w:left="82" w:right="82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≥ </w:t>
            </w:r>
            <w:r w:rsidRPr="003E5F46">
              <w:rPr>
                <w:b/>
                <w:sz w:val="20"/>
                <w:szCs w:val="20"/>
                <w:lang w:val="sk-SK"/>
              </w:rPr>
              <w:t>1/10</w:t>
            </w:r>
            <w:r w:rsidRPr="003E5F46">
              <w:rPr>
                <w:sz w:val="20"/>
                <w:szCs w:val="20"/>
                <w:lang w:val="sk-SK"/>
              </w:rPr>
              <w:t> </w:t>
            </w:r>
            <w:r w:rsidRPr="003E5F46">
              <w:rPr>
                <w:b/>
                <w:sz w:val="20"/>
                <w:szCs w:val="20"/>
                <w:lang w:val="sk-SK"/>
              </w:rPr>
              <w:t>000</w:t>
            </w:r>
          </w:p>
          <w:p w14:paraId="1984458F" w14:textId="77777777" w:rsidR="00A071D6" w:rsidRPr="003E5F46" w:rsidRDefault="00A071D6" w:rsidP="007B2646">
            <w:pPr>
              <w:pStyle w:val="TableParagraph"/>
              <w:ind w:left="82" w:right="82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b/>
                <w:sz w:val="20"/>
                <w:szCs w:val="20"/>
                <w:lang w:val="sk-SK"/>
              </w:rPr>
              <w:t>až &lt; 1/1 000</w:t>
            </w:r>
          </w:p>
        </w:tc>
        <w:tc>
          <w:tcPr>
            <w:tcW w:w="607" w:type="pct"/>
            <w:tcBorders>
              <w:top w:val="nil"/>
            </w:tcBorders>
          </w:tcPr>
          <w:p w14:paraId="026D3427" w14:textId="77777777" w:rsidR="00A071D6" w:rsidRPr="003E5F46" w:rsidRDefault="00A071D6" w:rsidP="007B2646">
            <w:pPr>
              <w:pStyle w:val="TableParagraph"/>
              <w:ind w:left="183" w:right="125" w:hanging="142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b/>
                <w:sz w:val="20"/>
                <w:szCs w:val="20"/>
                <w:lang w:val="sk-SK"/>
              </w:rPr>
              <w:t>zriedkavé</w:t>
            </w:r>
          </w:p>
          <w:p w14:paraId="32766E4C" w14:textId="77777777" w:rsidR="00A071D6" w:rsidRPr="003E5F46" w:rsidRDefault="00A071D6" w:rsidP="007B2646">
            <w:pPr>
              <w:pStyle w:val="TableParagraph"/>
              <w:ind w:left="103" w:right="128" w:hanging="103"/>
              <w:jc w:val="center"/>
              <w:rPr>
                <w:b/>
                <w:sz w:val="20"/>
                <w:szCs w:val="20"/>
                <w:lang w:val="sk-SK"/>
              </w:rPr>
            </w:pPr>
            <w:r w:rsidRPr="003E5F46">
              <w:rPr>
                <w:b/>
                <w:sz w:val="20"/>
                <w:szCs w:val="20"/>
                <w:lang w:val="sk-SK"/>
              </w:rPr>
              <w:t>&lt;</w:t>
            </w:r>
            <w:r w:rsidRPr="003E5F46">
              <w:rPr>
                <w:sz w:val="20"/>
                <w:szCs w:val="20"/>
                <w:lang w:val="sk-SK"/>
              </w:rPr>
              <w:t> </w:t>
            </w:r>
            <w:r w:rsidRPr="003E5F46">
              <w:rPr>
                <w:b/>
                <w:sz w:val="20"/>
                <w:szCs w:val="20"/>
                <w:lang w:val="sk-SK"/>
              </w:rPr>
              <w:t>1/10</w:t>
            </w:r>
            <w:r w:rsidRPr="003E5F46">
              <w:rPr>
                <w:sz w:val="20"/>
                <w:szCs w:val="20"/>
                <w:lang w:val="sk-SK"/>
              </w:rPr>
              <w:t> </w:t>
            </w:r>
            <w:r w:rsidRPr="003E5F46">
              <w:rPr>
                <w:b/>
                <w:sz w:val="20"/>
                <w:szCs w:val="20"/>
                <w:lang w:val="sk-SK"/>
              </w:rPr>
              <w:t>000</w:t>
            </w:r>
          </w:p>
        </w:tc>
        <w:tc>
          <w:tcPr>
            <w:tcW w:w="682" w:type="pct"/>
            <w:tcBorders>
              <w:top w:val="nil"/>
            </w:tcBorders>
          </w:tcPr>
          <w:p w14:paraId="047220F3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A071D6" w:rsidRPr="003E5F46" w14:paraId="27302D45" w14:textId="77777777" w:rsidTr="00387835">
        <w:trPr>
          <w:trHeight w:hRule="exact" w:val="775"/>
        </w:trPr>
        <w:tc>
          <w:tcPr>
            <w:tcW w:w="839" w:type="pct"/>
          </w:tcPr>
          <w:p w14:paraId="62CA2678" w14:textId="77777777" w:rsidR="00A071D6" w:rsidRPr="003E5F46" w:rsidRDefault="00A071D6" w:rsidP="006C6667">
            <w:pPr>
              <w:pStyle w:val="TableParagraph"/>
              <w:ind w:left="130" w:right="209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krvi a lymfatického systému</w:t>
            </w:r>
          </w:p>
        </w:tc>
        <w:tc>
          <w:tcPr>
            <w:tcW w:w="749" w:type="pct"/>
          </w:tcPr>
          <w:p w14:paraId="0032AF33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760" w:type="pct"/>
          </w:tcPr>
          <w:p w14:paraId="3377F6B1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1" w:type="pct"/>
          </w:tcPr>
          <w:p w14:paraId="1C3FC2DD" w14:textId="77777777" w:rsidR="00A071D6" w:rsidRPr="003E5F46" w:rsidRDefault="00A071D6" w:rsidP="007B2646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proofErr w:type="spellStart"/>
            <w:r w:rsidRPr="003E5F46">
              <w:rPr>
                <w:sz w:val="20"/>
                <w:szCs w:val="20"/>
                <w:lang w:val="sk-SK"/>
              </w:rPr>
              <w:t>koagulopatia</w:t>
            </w:r>
            <w:proofErr w:type="spellEnd"/>
          </w:p>
        </w:tc>
        <w:tc>
          <w:tcPr>
            <w:tcW w:w="682" w:type="pct"/>
          </w:tcPr>
          <w:p w14:paraId="552362FD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4999616C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1C3B3A16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6C6667" w:rsidRPr="003E5F46" w14:paraId="11F4A84C" w14:textId="77777777" w:rsidTr="00387835">
        <w:trPr>
          <w:trHeight w:val="1012"/>
        </w:trPr>
        <w:tc>
          <w:tcPr>
            <w:tcW w:w="839" w:type="pct"/>
          </w:tcPr>
          <w:p w14:paraId="7E456A48" w14:textId="77777777" w:rsidR="006C6667" w:rsidRPr="003E5F46" w:rsidRDefault="006C6667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3E5F46">
              <w:rPr>
                <w:sz w:val="20"/>
                <w:szCs w:val="20"/>
                <w:lang w:val="sk-SK"/>
              </w:rPr>
              <w:t>imunitného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3E5F46">
              <w:rPr>
                <w:sz w:val="20"/>
                <w:szCs w:val="20"/>
                <w:lang w:val="sk-SK"/>
              </w:rPr>
              <w:t>systému</w:t>
            </w:r>
          </w:p>
        </w:tc>
        <w:tc>
          <w:tcPr>
            <w:tcW w:w="749" w:type="pct"/>
          </w:tcPr>
          <w:p w14:paraId="480B5187" w14:textId="77777777" w:rsidR="006C6667" w:rsidRPr="003E5F46" w:rsidRDefault="006C6667" w:rsidP="007B2646">
            <w:pPr>
              <w:rPr>
                <w:sz w:val="20"/>
              </w:rPr>
            </w:pPr>
          </w:p>
        </w:tc>
        <w:tc>
          <w:tcPr>
            <w:tcW w:w="760" w:type="pct"/>
          </w:tcPr>
          <w:p w14:paraId="75438E2B" w14:textId="77777777" w:rsidR="006C6667" w:rsidRPr="003E5F46" w:rsidRDefault="006C6667" w:rsidP="007B2646">
            <w:pPr>
              <w:rPr>
                <w:sz w:val="20"/>
              </w:rPr>
            </w:pPr>
          </w:p>
        </w:tc>
        <w:tc>
          <w:tcPr>
            <w:tcW w:w="681" w:type="pct"/>
          </w:tcPr>
          <w:p w14:paraId="3BB1F791" w14:textId="77777777" w:rsidR="006C6667" w:rsidRPr="003E5F46" w:rsidRDefault="006C6667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3573378A" w14:textId="77777777" w:rsidR="006C6667" w:rsidRPr="003E5F46" w:rsidRDefault="006C6667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20267603" w14:textId="77777777" w:rsidR="006C6667" w:rsidRPr="003E5F46" w:rsidRDefault="006C6667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7E8A1280" w14:textId="77777777" w:rsidR="006C6667" w:rsidRPr="003E5F46" w:rsidRDefault="006C6667" w:rsidP="006C6667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proofErr w:type="spellStart"/>
            <w:r>
              <w:rPr>
                <w:sz w:val="20"/>
                <w:szCs w:val="20"/>
                <w:lang w:val="sk-SK"/>
              </w:rPr>
              <w:t>a</w:t>
            </w:r>
            <w:r w:rsidRPr="003E5F46">
              <w:rPr>
                <w:sz w:val="20"/>
                <w:szCs w:val="20"/>
                <w:lang w:val="sk-SK"/>
              </w:rPr>
              <w:t>nafylaktický</w:t>
            </w:r>
            <w:proofErr w:type="spellEnd"/>
            <w:r>
              <w:rPr>
                <w:sz w:val="20"/>
                <w:szCs w:val="20"/>
                <w:lang w:val="sk-SK"/>
              </w:rPr>
              <w:t xml:space="preserve"> </w:t>
            </w:r>
            <w:r w:rsidRPr="003E5F46">
              <w:rPr>
                <w:sz w:val="20"/>
                <w:szCs w:val="20"/>
                <w:lang w:val="sk-SK"/>
              </w:rPr>
              <w:t>šok,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anafylaktická</w:t>
            </w:r>
            <w:proofErr w:type="spellEnd"/>
            <w:r>
              <w:rPr>
                <w:sz w:val="20"/>
                <w:szCs w:val="20"/>
                <w:lang w:val="sk-SK"/>
              </w:rPr>
              <w:t xml:space="preserve"> </w:t>
            </w:r>
            <w:r w:rsidRPr="003E5F46">
              <w:rPr>
                <w:sz w:val="20"/>
                <w:szCs w:val="20"/>
                <w:lang w:val="sk-SK"/>
              </w:rPr>
              <w:t>reakcia*</w:t>
            </w:r>
          </w:p>
        </w:tc>
      </w:tr>
      <w:tr w:rsidR="00A071D6" w:rsidRPr="003E5F46" w14:paraId="70B2BDB7" w14:textId="77777777" w:rsidTr="00387835">
        <w:trPr>
          <w:trHeight w:hRule="exact" w:val="773"/>
        </w:trPr>
        <w:tc>
          <w:tcPr>
            <w:tcW w:w="839" w:type="pct"/>
          </w:tcPr>
          <w:p w14:paraId="71E91F62" w14:textId="77777777" w:rsidR="00A071D6" w:rsidRPr="003E5F46" w:rsidRDefault="00A071D6" w:rsidP="006C6667">
            <w:pPr>
              <w:pStyle w:val="TableParagraph"/>
              <w:ind w:left="130" w:right="356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metabolizmu a výživy</w:t>
            </w:r>
          </w:p>
        </w:tc>
        <w:tc>
          <w:tcPr>
            <w:tcW w:w="749" w:type="pct"/>
          </w:tcPr>
          <w:p w14:paraId="1765E026" w14:textId="77777777" w:rsidR="00A071D6" w:rsidRPr="003E5F46" w:rsidRDefault="00A071D6" w:rsidP="007B2646">
            <w:pPr>
              <w:pStyle w:val="TableParagraph"/>
              <w:ind w:left="98" w:right="58"/>
              <w:rPr>
                <w:sz w:val="20"/>
                <w:szCs w:val="20"/>
                <w:lang w:val="sk-SK"/>
              </w:rPr>
            </w:pPr>
            <w:proofErr w:type="spellStart"/>
            <w:r w:rsidRPr="003E5F46">
              <w:rPr>
                <w:sz w:val="20"/>
                <w:szCs w:val="20"/>
                <w:lang w:val="sk-SK"/>
              </w:rPr>
              <w:t>hypokal</w:t>
            </w:r>
            <w:r>
              <w:rPr>
                <w:sz w:val="20"/>
                <w:szCs w:val="20"/>
                <w:lang w:val="sk-SK"/>
              </w:rPr>
              <w:t>i</w:t>
            </w:r>
            <w:r w:rsidRPr="003E5F46">
              <w:rPr>
                <w:sz w:val="20"/>
                <w:szCs w:val="20"/>
                <w:lang w:val="sk-SK"/>
              </w:rPr>
              <w:t>émia</w:t>
            </w:r>
            <w:proofErr w:type="spellEnd"/>
          </w:p>
        </w:tc>
        <w:tc>
          <w:tcPr>
            <w:tcW w:w="760" w:type="pct"/>
          </w:tcPr>
          <w:p w14:paraId="3A54DADC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hyperglykémia</w:t>
            </w:r>
          </w:p>
        </w:tc>
        <w:tc>
          <w:tcPr>
            <w:tcW w:w="681" w:type="pct"/>
          </w:tcPr>
          <w:p w14:paraId="645D0795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5FF8BAEA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64279067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5CDBA0C0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A071D6" w:rsidRPr="003E5F46" w14:paraId="1BC3A856" w14:textId="77777777" w:rsidTr="00387835">
        <w:trPr>
          <w:trHeight w:hRule="exact" w:val="773"/>
        </w:trPr>
        <w:tc>
          <w:tcPr>
            <w:tcW w:w="839" w:type="pct"/>
          </w:tcPr>
          <w:p w14:paraId="1424F8C3" w14:textId="77777777" w:rsidR="00A071D6" w:rsidRPr="003E5F46" w:rsidRDefault="00A071D6" w:rsidP="006C6667">
            <w:pPr>
              <w:pStyle w:val="TableParagraph"/>
              <w:ind w:left="130" w:right="576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nervového systému</w:t>
            </w:r>
          </w:p>
        </w:tc>
        <w:tc>
          <w:tcPr>
            <w:tcW w:w="749" w:type="pct"/>
          </w:tcPr>
          <w:p w14:paraId="69681E3D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760" w:type="pct"/>
          </w:tcPr>
          <w:p w14:paraId="5A5CFC59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kŕče,</w:t>
            </w:r>
            <w:r w:rsidR="00BE7CF1">
              <w:rPr>
                <w:sz w:val="20"/>
                <w:szCs w:val="20"/>
                <w:lang w:val="sk-SK"/>
              </w:rPr>
              <w:t xml:space="preserve"> </w:t>
            </w:r>
          </w:p>
          <w:p w14:paraId="3C49DBA4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bolesť hlavy</w:t>
            </w:r>
          </w:p>
        </w:tc>
        <w:tc>
          <w:tcPr>
            <w:tcW w:w="681" w:type="pct"/>
          </w:tcPr>
          <w:p w14:paraId="787BFF56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47FF8180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3017DDB3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1EA0D979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A071D6" w:rsidRPr="003E5F46" w14:paraId="035479E6" w14:textId="77777777" w:rsidTr="00387835">
        <w:trPr>
          <w:trHeight w:hRule="exact" w:val="684"/>
        </w:trPr>
        <w:tc>
          <w:tcPr>
            <w:tcW w:w="839" w:type="pct"/>
          </w:tcPr>
          <w:p w14:paraId="3C1DB99E" w14:textId="77777777" w:rsidR="00A071D6" w:rsidRPr="003E5F46" w:rsidRDefault="00A071D6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ciev</w:t>
            </w:r>
          </w:p>
        </w:tc>
        <w:tc>
          <w:tcPr>
            <w:tcW w:w="749" w:type="pct"/>
          </w:tcPr>
          <w:p w14:paraId="5B66BC16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760" w:type="pct"/>
          </w:tcPr>
          <w:p w14:paraId="0F4A8218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hypotenzia, hypertenzia</w:t>
            </w:r>
          </w:p>
        </w:tc>
        <w:tc>
          <w:tcPr>
            <w:tcW w:w="681" w:type="pct"/>
          </w:tcPr>
          <w:p w14:paraId="386D8DFD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s</w:t>
            </w:r>
            <w:r w:rsidR="005F5239">
              <w:rPr>
                <w:sz w:val="20"/>
                <w:szCs w:val="20"/>
                <w:lang w:val="sk-SK"/>
              </w:rPr>
              <w:t>červenanie</w:t>
            </w:r>
            <w:r w:rsidRPr="003E5F46">
              <w:rPr>
                <w:sz w:val="20"/>
                <w:szCs w:val="20"/>
                <w:lang w:val="sk-SK"/>
              </w:rPr>
              <w:t>,</w:t>
            </w:r>
            <w:r w:rsidR="005F5239" w:rsidRPr="003E5F46">
              <w:rPr>
                <w:sz w:val="20"/>
                <w:szCs w:val="20"/>
                <w:lang w:val="sk-SK"/>
              </w:rPr>
              <w:t xml:space="preserve"> </w:t>
            </w:r>
            <w:r w:rsidRPr="003E5F46">
              <w:rPr>
                <w:sz w:val="20"/>
                <w:szCs w:val="20"/>
                <w:lang w:val="sk-SK"/>
              </w:rPr>
              <w:t>návaly tepla</w:t>
            </w:r>
          </w:p>
        </w:tc>
        <w:tc>
          <w:tcPr>
            <w:tcW w:w="682" w:type="pct"/>
          </w:tcPr>
          <w:p w14:paraId="5DECF062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65CED8C2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4B5E7FAA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6675AB" w:rsidRPr="003E5F46" w14:paraId="089B3BC0" w14:textId="77777777" w:rsidTr="00387835">
        <w:trPr>
          <w:trHeight w:hRule="exact" w:val="1063"/>
        </w:trPr>
        <w:tc>
          <w:tcPr>
            <w:tcW w:w="839" w:type="pct"/>
          </w:tcPr>
          <w:p w14:paraId="5AD51790" w14:textId="77777777" w:rsidR="00A24FFF" w:rsidRDefault="006675AB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Poruchy dýchacej sústavy, hrudníka a </w:t>
            </w:r>
            <w:proofErr w:type="spellStart"/>
            <w:r w:rsidR="00A24FFF">
              <w:rPr>
                <w:sz w:val="20"/>
                <w:szCs w:val="20"/>
                <w:lang w:val="sk-SK"/>
              </w:rPr>
              <w:t>mediastína</w:t>
            </w:r>
            <w:proofErr w:type="spellEnd"/>
          </w:p>
          <w:p w14:paraId="3BF5D332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60B3F483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72B82D23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1EA898F8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4501224F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578DFDB9" w14:textId="77777777" w:rsidR="00A24FFF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</w:p>
          <w:p w14:paraId="7D4B97EA" w14:textId="77777777" w:rsidR="006675AB" w:rsidRPr="003E5F46" w:rsidRDefault="00A24FFF" w:rsidP="006C6667">
            <w:pPr>
              <w:pStyle w:val="TableParagraph"/>
              <w:ind w:left="130"/>
              <w:rPr>
                <w:sz w:val="20"/>
                <w:szCs w:val="20"/>
                <w:lang w:val="sk-SK"/>
              </w:rPr>
            </w:pPr>
            <w:proofErr w:type="spellStart"/>
            <w:r>
              <w:rPr>
                <w:sz w:val="20"/>
                <w:szCs w:val="20"/>
                <w:lang w:val="sk-SK"/>
              </w:rPr>
              <w:t>mediastína</w:t>
            </w:r>
            <w:r w:rsidR="006675AB">
              <w:rPr>
                <w:sz w:val="20"/>
                <w:szCs w:val="20"/>
                <w:lang w:val="sk-SK"/>
              </w:rPr>
              <w:t>mediastína</w:t>
            </w:r>
            <w:proofErr w:type="spellEnd"/>
          </w:p>
        </w:tc>
        <w:tc>
          <w:tcPr>
            <w:tcW w:w="749" w:type="pct"/>
          </w:tcPr>
          <w:p w14:paraId="580FF9EC" w14:textId="77777777" w:rsidR="006675AB" w:rsidRPr="003E5F46" w:rsidRDefault="006675AB" w:rsidP="007B2646">
            <w:pPr>
              <w:rPr>
                <w:sz w:val="20"/>
              </w:rPr>
            </w:pPr>
          </w:p>
        </w:tc>
        <w:tc>
          <w:tcPr>
            <w:tcW w:w="760" w:type="pct"/>
          </w:tcPr>
          <w:p w14:paraId="77F3ADC5" w14:textId="21E4A49A" w:rsidR="006675AB" w:rsidRPr="003E5F46" w:rsidRDefault="00EC2E50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proofErr w:type="spellStart"/>
            <w:r>
              <w:rPr>
                <w:sz w:val="20"/>
                <w:szCs w:val="20"/>
                <w:lang w:val="sk-SK"/>
              </w:rPr>
              <w:t>b</w:t>
            </w:r>
            <w:r w:rsidR="006C6667" w:rsidRPr="003E5F46">
              <w:rPr>
                <w:sz w:val="20"/>
                <w:szCs w:val="20"/>
                <w:lang w:val="sk-SK"/>
              </w:rPr>
              <w:t>ronchospa</w:t>
            </w:r>
            <w:r>
              <w:rPr>
                <w:sz w:val="20"/>
                <w:szCs w:val="20"/>
                <w:lang w:val="sk-SK"/>
              </w:rPr>
              <w:t>-</w:t>
            </w:r>
            <w:r w:rsidR="006C6667" w:rsidRPr="003E5F46">
              <w:rPr>
                <w:sz w:val="20"/>
                <w:szCs w:val="20"/>
                <w:lang w:val="sk-SK"/>
              </w:rPr>
              <w:t>zmus</w:t>
            </w:r>
            <w:proofErr w:type="spellEnd"/>
            <w:r w:rsidR="006C6667" w:rsidRPr="003E5F46">
              <w:rPr>
                <w:sz w:val="20"/>
                <w:szCs w:val="20"/>
                <w:lang w:val="sk-SK"/>
              </w:rPr>
              <w:t>,</w:t>
            </w:r>
            <w:r w:rsidR="006C6667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="006C6667">
              <w:rPr>
                <w:sz w:val="20"/>
                <w:szCs w:val="20"/>
                <w:lang w:val="sk-SK"/>
              </w:rPr>
              <w:t>dyspnoe</w:t>
            </w:r>
            <w:proofErr w:type="spellEnd"/>
          </w:p>
        </w:tc>
        <w:tc>
          <w:tcPr>
            <w:tcW w:w="681" w:type="pct"/>
          </w:tcPr>
          <w:p w14:paraId="5A5E5301" w14:textId="77777777" w:rsidR="006675AB" w:rsidRPr="003E5F46" w:rsidRDefault="006675AB" w:rsidP="005F5239">
            <w:pPr>
              <w:pStyle w:val="TableParagraph"/>
              <w:ind w:right="-7"/>
              <w:rPr>
                <w:sz w:val="20"/>
                <w:szCs w:val="20"/>
                <w:lang w:val="sk-SK"/>
              </w:rPr>
            </w:pPr>
          </w:p>
        </w:tc>
        <w:tc>
          <w:tcPr>
            <w:tcW w:w="682" w:type="pct"/>
          </w:tcPr>
          <w:p w14:paraId="6FA331B1" w14:textId="77777777" w:rsidR="006675AB" w:rsidRPr="003E5F46" w:rsidRDefault="006675AB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62B63574" w14:textId="77777777" w:rsidR="006675AB" w:rsidRPr="003E5F46" w:rsidRDefault="006675AB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032DA18C" w14:textId="77777777" w:rsidR="006675AB" w:rsidRPr="003E5F46" w:rsidRDefault="006675AB" w:rsidP="007B2646">
            <w:pPr>
              <w:rPr>
                <w:sz w:val="20"/>
              </w:rPr>
            </w:pPr>
          </w:p>
        </w:tc>
      </w:tr>
      <w:tr w:rsidR="00A071D6" w:rsidRPr="003E5F46" w14:paraId="3E2D8E52" w14:textId="77777777" w:rsidTr="00387835">
        <w:trPr>
          <w:trHeight w:hRule="exact" w:val="775"/>
        </w:trPr>
        <w:tc>
          <w:tcPr>
            <w:tcW w:w="839" w:type="pct"/>
          </w:tcPr>
          <w:p w14:paraId="464FD798" w14:textId="77777777" w:rsidR="00A071D6" w:rsidRPr="003E5F46" w:rsidRDefault="00A071D6" w:rsidP="006C6667">
            <w:pPr>
              <w:pStyle w:val="TableParagraph"/>
              <w:ind w:left="130" w:right="16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 xml:space="preserve">Poruchy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gastrointesti-nálneho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 xml:space="preserve"> traktu</w:t>
            </w:r>
          </w:p>
        </w:tc>
        <w:tc>
          <w:tcPr>
            <w:tcW w:w="749" w:type="pct"/>
          </w:tcPr>
          <w:p w14:paraId="000EBE73" w14:textId="77777777" w:rsidR="00A071D6" w:rsidRPr="003E5F46" w:rsidRDefault="00A071D6" w:rsidP="007B2646">
            <w:pPr>
              <w:pStyle w:val="TableParagraph"/>
              <w:ind w:left="98" w:right="299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hnačka, nevoľnosť</w:t>
            </w:r>
          </w:p>
        </w:tc>
        <w:tc>
          <w:tcPr>
            <w:tcW w:w="760" w:type="pct"/>
          </w:tcPr>
          <w:p w14:paraId="50ACFCF8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vracanie</w:t>
            </w:r>
          </w:p>
        </w:tc>
        <w:tc>
          <w:tcPr>
            <w:tcW w:w="681" w:type="pct"/>
          </w:tcPr>
          <w:p w14:paraId="1771A2F8" w14:textId="77777777" w:rsidR="00A071D6" w:rsidRPr="003E5F46" w:rsidRDefault="00A071D6" w:rsidP="007B2646">
            <w:pPr>
              <w:pStyle w:val="TableParagraph"/>
              <w:ind w:left="98" w:right="187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bolesť v hornej časti brucha</w:t>
            </w:r>
          </w:p>
        </w:tc>
        <w:tc>
          <w:tcPr>
            <w:tcW w:w="682" w:type="pct"/>
          </w:tcPr>
          <w:p w14:paraId="7D85C248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0F7B3B38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059B9EF3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A071D6" w:rsidRPr="003E5F46" w14:paraId="39D66142" w14:textId="77777777" w:rsidTr="00387835">
        <w:trPr>
          <w:trHeight w:hRule="exact" w:val="2351"/>
        </w:trPr>
        <w:tc>
          <w:tcPr>
            <w:tcW w:w="839" w:type="pct"/>
          </w:tcPr>
          <w:p w14:paraId="74B9A28C" w14:textId="77777777" w:rsidR="00A071D6" w:rsidRPr="003E5F46" w:rsidRDefault="00A071D6" w:rsidP="006C6667">
            <w:pPr>
              <w:pStyle w:val="TableParagraph"/>
              <w:ind w:left="130" w:right="16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pečene a žlčových ciest</w:t>
            </w:r>
          </w:p>
        </w:tc>
        <w:tc>
          <w:tcPr>
            <w:tcW w:w="749" w:type="pct"/>
          </w:tcPr>
          <w:p w14:paraId="109DCEFF" w14:textId="77777777" w:rsidR="00A071D6" w:rsidRPr="003E5F46" w:rsidRDefault="00A071D6" w:rsidP="007B2646">
            <w:pPr>
              <w:pStyle w:val="TableParagraph"/>
              <w:ind w:left="98" w:right="299"/>
              <w:rPr>
                <w:sz w:val="20"/>
                <w:szCs w:val="20"/>
                <w:lang w:val="sk-SK"/>
              </w:rPr>
            </w:pPr>
          </w:p>
        </w:tc>
        <w:tc>
          <w:tcPr>
            <w:tcW w:w="760" w:type="pct"/>
          </w:tcPr>
          <w:p w14:paraId="111AC31D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 xml:space="preserve">zvýšené hladiny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alanínamino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>-</w:t>
            </w:r>
          </w:p>
          <w:p w14:paraId="4ABBE509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proofErr w:type="spellStart"/>
            <w:r w:rsidRPr="003E5F46">
              <w:rPr>
                <w:sz w:val="20"/>
                <w:szCs w:val="20"/>
                <w:lang w:val="sk-SK"/>
              </w:rPr>
              <w:t>transferázy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 xml:space="preserve">, alkalickej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fosfatázy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 xml:space="preserve"> v krvi,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aspartátamino-transferázy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bilirubínu</w:t>
            </w:r>
            <w:proofErr w:type="spellEnd"/>
            <w:r w:rsidRPr="003E5F46">
              <w:rPr>
                <w:sz w:val="20"/>
                <w:szCs w:val="20"/>
                <w:lang w:val="sk-SK"/>
              </w:rPr>
              <w:t xml:space="preserve"> v krvi,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cholestáza</w:t>
            </w:r>
            <w:proofErr w:type="spellEnd"/>
          </w:p>
        </w:tc>
        <w:tc>
          <w:tcPr>
            <w:tcW w:w="681" w:type="pct"/>
          </w:tcPr>
          <w:p w14:paraId="254E5846" w14:textId="77777777" w:rsidR="00A071D6" w:rsidRPr="003E5F46" w:rsidRDefault="00A071D6" w:rsidP="007B2646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 xml:space="preserve">zvýšené hladiny </w:t>
            </w:r>
            <w:proofErr w:type="spellStart"/>
            <w:r w:rsidRPr="003E5F46">
              <w:rPr>
                <w:sz w:val="20"/>
                <w:szCs w:val="20"/>
                <w:lang w:val="sk-SK"/>
              </w:rPr>
              <w:t>gamaglutamyl-transferázy</w:t>
            </w:r>
            <w:proofErr w:type="spellEnd"/>
          </w:p>
        </w:tc>
        <w:tc>
          <w:tcPr>
            <w:tcW w:w="682" w:type="pct"/>
          </w:tcPr>
          <w:p w14:paraId="499D2C47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2DB87823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18E5901D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A071D6" w:rsidRPr="003E5F46" w14:paraId="1CFAB394" w14:textId="77777777" w:rsidTr="00387835">
        <w:trPr>
          <w:trHeight w:hRule="exact" w:val="704"/>
        </w:trPr>
        <w:tc>
          <w:tcPr>
            <w:tcW w:w="839" w:type="pct"/>
          </w:tcPr>
          <w:p w14:paraId="705DE7B5" w14:textId="77777777" w:rsidR="00A071D6" w:rsidRPr="003E5F46" w:rsidRDefault="00A071D6" w:rsidP="006C6667">
            <w:pPr>
              <w:pStyle w:val="TableParagraph"/>
              <w:ind w:left="130" w:right="16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Poruchy kože a podkožného tkaniva</w:t>
            </w:r>
          </w:p>
        </w:tc>
        <w:tc>
          <w:tcPr>
            <w:tcW w:w="749" w:type="pct"/>
          </w:tcPr>
          <w:p w14:paraId="5D8EF693" w14:textId="77777777" w:rsidR="00A071D6" w:rsidRPr="003E5F46" w:rsidRDefault="00A071D6" w:rsidP="007B2646">
            <w:pPr>
              <w:pStyle w:val="TableParagraph"/>
              <w:ind w:left="98" w:right="299"/>
              <w:rPr>
                <w:sz w:val="20"/>
                <w:szCs w:val="20"/>
                <w:lang w:val="sk-SK"/>
              </w:rPr>
            </w:pPr>
          </w:p>
        </w:tc>
        <w:tc>
          <w:tcPr>
            <w:tcW w:w="760" w:type="pct"/>
          </w:tcPr>
          <w:p w14:paraId="50964DED" w14:textId="77777777" w:rsidR="00B856D1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 xml:space="preserve">vyrážka, </w:t>
            </w:r>
          </w:p>
          <w:p w14:paraId="313865D9" w14:textId="77777777" w:rsidR="00A071D6" w:rsidRPr="003E5F46" w:rsidRDefault="00A071D6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svrbenie</w:t>
            </w:r>
          </w:p>
        </w:tc>
        <w:tc>
          <w:tcPr>
            <w:tcW w:w="681" w:type="pct"/>
          </w:tcPr>
          <w:p w14:paraId="5BA80D1F" w14:textId="77777777" w:rsidR="00A071D6" w:rsidRPr="003E5F46" w:rsidRDefault="00A071D6" w:rsidP="007B2646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proofErr w:type="spellStart"/>
            <w:r w:rsidRPr="003E5F46">
              <w:rPr>
                <w:sz w:val="20"/>
                <w:szCs w:val="20"/>
                <w:lang w:val="sk-SK"/>
              </w:rPr>
              <w:t>urtikária</w:t>
            </w:r>
            <w:proofErr w:type="spellEnd"/>
          </w:p>
        </w:tc>
        <w:tc>
          <w:tcPr>
            <w:tcW w:w="682" w:type="pct"/>
          </w:tcPr>
          <w:p w14:paraId="590C4F8D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4854C6A3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77554310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  <w:tr w:rsidR="00EC2E50" w:rsidRPr="003E5F46" w14:paraId="1D48F42C" w14:textId="77777777" w:rsidTr="00387835">
        <w:trPr>
          <w:trHeight w:hRule="exact" w:val="1079"/>
        </w:trPr>
        <w:tc>
          <w:tcPr>
            <w:tcW w:w="839" w:type="pct"/>
          </w:tcPr>
          <w:p w14:paraId="706D91BA" w14:textId="77777777" w:rsidR="00EC2E50" w:rsidRPr="003E5F46" w:rsidRDefault="00EC2E50" w:rsidP="006C6667">
            <w:pPr>
              <w:pStyle w:val="TableParagraph"/>
              <w:ind w:left="130" w:right="16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lastRenderedPageBreak/>
              <w:t>Poruchy obličiek a</w:t>
            </w:r>
            <w:r>
              <w:rPr>
                <w:sz w:val="20"/>
                <w:szCs w:val="20"/>
                <w:lang w:val="sk-SK"/>
              </w:rPr>
              <w:t> </w:t>
            </w:r>
            <w:r w:rsidRPr="003E5F46">
              <w:rPr>
                <w:sz w:val="20"/>
                <w:szCs w:val="20"/>
                <w:lang w:val="sk-SK"/>
              </w:rPr>
              <w:t>močových</w:t>
            </w:r>
            <w:r>
              <w:rPr>
                <w:sz w:val="20"/>
                <w:szCs w:val="20"/>
                <w:lang w:val="sk-SK"/>
              </w:rPr>
              <w:t xml:space="preserve"> ciest</w:t>
            </w:r>
          </w:p>
        </w:tc>
        <w:tc>
          <w:tcPr>
            <w:tcW w:w="749" w:type="pct"/>
          </w:tcPr>
          <w:p w14:paraId="367C728C" w14:textId="77777777" w:rsidR="00EC2E50" w:rsidRPr="003E5F46" w:rsidRDefault="00EC2E50" w:rsidP="007B2646">
            <w:pPr>
              <w:pStyle w:val="TableParagraph"/>
              <w:ind w:left="98" w:right="299"/>
              <w:rPr>
                <w:sz w:val="20"/>
                <w:szCs w:val="20"/>
                <w:lang w:val="sk-SK"/>
              </w:rPr>
            </w:pPr>
          </w:p>
        </w:tc>
        <w:tc>
          <w:tcPr>
            <w:tcW w:w="760" w:type="pct"/>
          </w:tcPr>
          <w:p w14:paraId="5F4346F0" w14:textId="77777777" w:rsidR="00EC2E50" w:rsidRPr="003E5F46" w:rsidRDefault="00691FAC" w:rsidP="00BE7CF1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zvýšené hladiny </w:t>
            </w:r>
            <w:proofErr w:type="spellStart"/>
            <w:r>
              <w:rPr>
                <w:sz w:val="20"/>
                <w:szCs w:val="20"/>
                <w:lang w:val="sk-SK"/>
              </w:rPr>
              <w:t>kreatinínu</w:t>
            </w:r>
            <w:proofErr w:type="spellEnd"/>
            <w:r>
              <w:rPr>
                <w:sz w:val="20"/>
                <w:szCs w:val="20"/>
                <w:lang w:val="sk-SK"/>
              </w:rPr>
              <w:t xml:space="preserve"> v krvi </w:t>
            </w:r>
          </w:p>
        </w:tc>
        <w:tc>
          <w:tcPr>
            <w:tcW w:w="681" w:type="pct"/>
          </w:tcPr>
          <w:p w14:paraId="33055C79" w14:textId="77777777" w:rsidR="00EC2E50" w:rsidRPr="003E5F46" w:rsidRDefault="00EC2E50" w:rsidP="007B2646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</w:p>
        </w:tc>
        <w:tc>
          <w:tcPr>
            <w:tcW w:w="682" w:type="pct"/>
          </w:tcPr>
          <w:p w14:paraId="6FB96E63" w14:textId="77777777" w:rsidR="00EC2E50" w:rsidRPr="003E5F46" w:rsidRDefault="00EC2E50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37CCC367" w14:textId="77777777" w:rsidR="00EC2E50" w:rsidRPr="003E5F46" w:rsidRDefault="00EC2E50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45710E93" w14:textId="77777777" w:rsidR="00EC2E50" w:rsidRPr="003E5F46" w:rsidRDefault="00EC2E50" w:rsidP="007B2646">
            <w:pPr>
              <w:rPr>
                <w:sz w:val="20"/>
              </w:rPr>
            </w:pPr>
          </w:p>
        </w:tc>
      </w:tr>
      <w:tr w:rsidR="00A071D6" w:rsidRPr="003E5F46" w14:paraId="7937C4C7" w14:textId="77777777" w:rsidTr="00387835">
        <w:trPr>
          <w:trHeight w:hRule="exact" w:val="1273"/>
        </w:trPr>
        <w:tc>
          <w:tcPr>
            <w:tcW w:w="839" w:type="pct"/>
          </w:tcPr>
          <w:p w14:paraId="12CBFC80" w14:textId="77777777" w:rsidR="00A071D6" w:rsidRPr="003E5F46" w:rsidRDefault="00A071D6" w:rsidP="006C6667">
            <w:pPr>
              <w:pStyle w:val="TableParagraph"/>
              <w:ind w:left="130" w:right="160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Celkové poruchy a reakcie v mieste podania</w:t>
            </w:r>
          </w:p>
        </w:tc>
        <w:tc>
          <w:tcPr>
            <w:tcW w:w="749" w:type="pct"/>
          </w:tcPr>
          <w:p w14:paraId="36A27D0A" w14:textId="77777777" w:rsidR="00A071D6" w:rsidRPr="003E5F46" w:rsidRDefault="00A071D6" w:rsidP="007B2646">
            <w:pPr>
              <w:pStyle w:val="TableParagraph"/>
              <w:ind w:left="98" w:right="299"/>
              <w:rPr>
                <w:sz w:val="20"/>
                <w:szCs w:val="20"/>
                <w:lang w:val="sk-SK"/>
              </w:rPr>
            </w:pPr>
          </w:p>
        </w:tc>
        <w:tc>
          <w:tcPr>
            <w:tcW w:w="760" w:type="pct"/>
          </w:tcPr>
          <w:p w14:paraId="12A3A780" w14:textId="77777777" w:rsidR="00A071D6" w:rsidRPr="003E5F46" w:rsidRDefault="00A071D6" w:rsidP="007B2646">
            <w:pPr>
              <w:pStyle w:val="TableParagraph"/>
              <w:rPr>
                <w:sz w:val="20"/>
                <w:szCs w:val="20"/>
                <w:lang w:val="sk-SK"/>
              </w:rPr>
            </w:pPr>
          </w:p>
        </w:tc>
        <w:tc>
          <w:tcPr>
            <w:tcW w:w="681" w:type="pct"/>
          </w:tcPr>
          <w:p w14:paraId="2B5D9C30" w14:textId="77777777" w:rsidR="00A071D6" w:rsidRPr="003E5F46" w:rsidRDefault="00A071D6" w:rsidP="007B2646">
            <w:pPr>
              <w:pStyle w:val="TableParagraph"/>
              <w:ind w:left="98"/>
              <w:rPr>
                <w:sz w:val="20"/>
                <w:szCs w:val="20"/>
                <w:lang w:val="sk-SK"/>
              </w:rPr>
            </w:pPr>
            <w:r w:rsidRPr="003E5F46">
              <w:rPr>
                <w:sz w:val="20"/>
                <w:szCs w:val="20"/>
                <w:lang w:val="sk-SK"/>
              </w:rPr>
              <w:t>bolesť v mieste podania infúzie</w:t>
            </w:r>
          </w:p>
        </w:tc>
        <w:tc>
          <w:tcPr>
            <w:tcW w:w="682" w:type="pct"/>
          </w:tcPr>
          <w:p w14:paraId="413DAA3D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07" w:type="pct"/>
          </w:tcPr>
          <w:p w14:paraId="75B8C6F7" w14:textId="77777777" w:rsidR="00A071D6" w:rsidRPr="003E5F46" w:rsidRDefault="00A071D6" w:rsidP="007B2646">
            <w:pPr>
              <w:rPr>
                <w:sz w:val="20"/>
              </w:rPr>
            </w:pPr>
          </w:p>
        </w:tc>
        <w:tc>
          <w:tcPr>
            <w:tcW w:w="682" w:type="pct"/>
          </w:tcPr>
          <w:p w14:paraId="4CB5E5A5" w14:textId="77777777" w:rsidR="00A071D6" w:rsidRPr="003E5F46" w:rsidRDefault="00A071D6" w:rsidP="007B2646">
            <w:pPr>
              <w:rPr>
                <w:sz w:val="20"/>
              </w:rPr>
            </w:pPr>
          </w:p>
        </w:tc>
      </w:tr>
    </w:tbl>
    <w:p w14:paraId="6B84FE53" w14:textId="77777777" w:rsidR="00A071D6" w:rsidRPr="003E5F46" w:rsidRDefault="00A071D6" w:rsidP="00A071D6">
      <w:pPr>
        <w:pStyle w:val="Zkladntext"/>
        <w:rPr>
          <w:szCs w:val="22"/>
        </w:rPr>
      </w:pPr>
      <w:r w:rsidRPr="003E5F46">
        <w:rPr>
          <w:szCs w:val="22"/>
        </w:rPr>
        <w:t>*Pozri časť</w:t>
      </w:r>
      <w:r w:rsidRPr="003E5F46">
        <w:rPr>
          <w:spacing w:val="4"/>
          <w:szCs w:val="22"/>
        </w:rPr>
        <w:t xml:space="preserve"> </w:t>
      </w:r>
      <w:r w:rsidRPr="003E5F46">
        <w:rPr>
          <w:szCs w:val="22"/>
        </w:rPr>
        <w:t>4.4</w:t>
      </w:r>
    </w:p>
    <w:p w14:paraId="681DB60E" w14:textId="77777777" w:rsidR="00033D26" w:rsidRPr="001960DE" w:rsidRDefault="00033D26" w:rsidP="00085939">
      <w:pPr>
        <w:autoSpaceDE w:val="0"/>
        <w:autoSpaceDN w:val="0"/>
        <w:adjustRightInd w:val="0"/>
        <w:spacing w:line="240" w:lineRule="auto"/>
        <w:jc w:val="both"/>
      </w:pPr>
    </w:p>
    <w:p w14:paraId="56DE1352" w14:textId="77777777" w:rsidR="00B12D42" w:rsidRPr="00853C5F" w:rsidRDefault="005C0CBF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209821A2" w14:textId="77777777" w:rsidR="00B12D42" w:rsidRPr="00853C5F" w:rsidRDefault="005C0CBF" w:rsidP="00B12D42">
      <w:pPr>
        <w:autoSpaceDE w:val="0"/>
        <w:autoSpaceDN w:val="0"/>
        <w:adjustRightInd w:val="0"/>
        <w:spacing w:line="240" w:lineRule="auto"/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8" w:history="1">
        <w:r w:rsidRPr="00085939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074F0C76" w14:textId="77777777" w:rsidR="008D35AD" w:rsidRPr="00891D76" w:rsidRDefault="008D35AD" w:rsidP="00204AAB">
      <w:pPr>
        <w:spacing w:line="240" w:lineRule="auto"/>
      </w:pPr>
    </w:p>
    <w:p w14:paraId="7E9DBEB7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04AA66FF" w14:textId="77777777" w:rsidR="00812D16" w:rsidRPr="0082445A" w:rsidRDefault="00812D16" w:rsidP="00B856D1">
      <w:pPr>
        <w:keepNext/>
        <w:spacing w:line="240" w:lineRule="auto"/>
      </w:pPr>
    </w:p>
    <w:p w14:paraId="183E0980" w14:textId="77777777" w:rsidR="00B856D1" w:rsidRPr="003E5F46" w:rsidRDefault="00B856D1" w:rsidP="00B856D1">
      <w:pPr>
        <w:pStyle w:val="Zkladntext"/>
        <w:ind w:right="-2"/>
        <w:rPr>
          <w:szCs w:val="22"/>
        </w:rPr>
      </w:pPr>
      <w:r w:rsidRPr="003E5F46">
        <w:rPr>
          <w:szCs w:val="22"/>
        </w:rPr>
        <w:t>Tak ako pri akomkoľvek predávkovaní sa majú v prípade potreby použiť všeobecné podporné opatrenia. V prípade predávkovania sa môžu vyskytnúť nežiaduce reakcie, uvedené v časti 4.8.</w:t>
      </w:r>
    </w:p>
    <w:p w14:paraId="1EFF2435" w14:textId="77777777" w:rsidR="00B856D1" w:rsidRPr="003E5F46" w:rsidRDefault="00B856D1" w:rsidP="00B856D1">
      <w:pPr>
        <w:pStyle w:val="Zkladntext"/>
        <w:rPr>
          <w:szCs w:val="22"/>
        </w:rPr>
      </w:pPr>
    </w:p>
    <w:p w14:paraId="3D1CBB47" w14:textId="10248309" w:rsidR="00B856D1" w:rsidRPr="003E5F46" w:rsidRDefault="00B856D1" w:rsidP="00B856D1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Počas klinických skúšaní bola neúmyselne podaná </w:t>
      </w:r>
      <w:r w:rsidR="004E7F74">
        <w:rPr>
          <w:szCs w:val="22"/>
        </w:rPr>
        <w:t>jednorazová</w:t>
      </w:r>
      <w:r w:rsidR="009E7BA2">
        <w:rPr>
          <w:szCs w:val="22"/>
        </w:rPr>
        <w:t xml:space="preserve">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400 mg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. Neboli hlásené žiadne klinické nežiaduce reakcie. V štúdii s 10 zdravými osobami, ktorým bola podaná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260 mg a po nej 130 mg denne, sa nepozorovala dávku limitujúca toxicita; u 3 z 10 osôb sa zaznamenalo prechodné </w:t>
      </w:r>
      <w:proofErr w:type="spellStart"/>
      <w:r w:rsidRPr="003E5F46">
        <w:rPr>
          <w:szCs w:val="22"/>
        </w:rPr>
        <w:t>asymptomatické</w:t>
      </w:r>
      <w:proofErr w:type="spellEnd"/>
      <w:r w:rsidRPr="003E5F46">
        <w:rPr>
          <w:szCs w:val="22"/>
        </w:rPr>
        <w:t xml:space="preserve"> zvýšenie </w:t>
      </w:r>
      <w:proofErr w:type="spellStart"/>
      <w:r w:rsidRPr="003E5F46">
        <w:rPr>
          <w:szCs w:val="22"/>
        </w:rPr>
        <w:t>transamináz</w:t>
      </w:r>
      <w:proofErr w:type="spellEnd"/>
      <w:r w:rsidRPr="003E5F46">
        <w:rPr>
          <w:szCs w:val="22"/>
        </w:rPr>
        <w:t xml:space="preserve"> (≤ 3-násobok hornej hranice normálu (</w:t>
      </w:r>
      <w:proofErr w:type="spellStart"/>
      <w:r w:rsidRPr="003E5F46">
        <w:rPr>
          <w:spacing w:val="-1"/>
          <w:szCs w:val="22"/>
        </w:rPr>
        <w:t>Upper</w:t>
      </w:r>
      <w:proofErr w:type="spellEnd"/>
      <w:r w:rsidRPr="003E5F46">
        <w:rPr>
          <w:spacing w:val="1"/>
          <w:szCs w:val="22"/>
        </w:rPr>
        <w:t xml:space="preserve"> </w:t>
      </w:r>
      <w:r w:rsidRPr="003E5F46">
        <w:rPr>
          <w:spacing w:val="-2"/>
          <w:szCs w:val="22"/>
        </w:rPr>
        <w:t>Limit</w:t>
      </w:r>
      <w:r w:rsidRPr="003E5F46">
        <w:rPr>
          <w:spacing w:val="1"/>
          <w:szCs w:val="22"/>
        </w:rPr>
        <w:t xml:space="preserve"> </w:t>
      </w:r>
      <w:r w:rsidRPr="003E5F46">
        <w:rPr>
          <w:szCs w:val="22"/>
        </w:rPr>
        <w:t xml:space="preserve">of </w:t>
      </w:r>
      <w:proofErr w:type="spellStart"/>
      <w:r w:rsidRPr="003E5F46">
        <w:rPr>
          <w:spacing w:val="-2"/>
          <w:szCs w:val="22"/>
        </w:rPr>
        <w:t>Normal</w:t>
      </w:r>
      <w:proofErr w:type="spellEnd"/>
      <w:r w:rsidRPr="003E5F46">
        <w:rPr>
          <w:spacing w:val="-2"/>
          <w:szCs w:val="22"/>
        </w:rPr>
        <w:t>,</w:t>
      </w:r>
      <w:r w:rsidRPr="003E5F46">
        <w:rPr>
          <w:szCs w:val="22"/>
        </w:rPr>
        <w:t xml:space="preserve"> ULN)).</w:t>
      </w:r>
    </w:p>
    <w:p w14:paraId="12496B36" w14:textId="77777777" w:rsidR="00B856D1" w:rsidRPr="003E5F46" w:rsidRDefault="00B856D1" w:rsidP="00B856D1">
      <w:pPr>
        <w:pStyle w:val="Zkladntext"/>
        <w:rPr>
          <w:szCs w:val="22"/>
        </w:rPr>
      </w:pPr>
    </w:p>
    <w:p w14:paraId="25A2B6FC" w14:textId="77777777" w:rsidR="00B856D1" w:rsidRPr="003E5F46" w:rsidRDefault="00B856D1" w:rsidP="00B856D1">
      <w:pPr>
        <w:pStyle w:val="Zkladntext"/>
        <w:rPr>
          <w:szCs w:val="22"/>
        </w:rPr>
      </w:pPr>
      <w:proofErr w:type="spellStart"/>
      <w:r w:rsidRPr="003E5F46">
        <w:rPr>
          <w:szCs w:val="22"/>
        </w:rPr>
        <w:t>Anidulafung</w:t>
      </w:r>
      <w:r w:rsidR="006675AB">
        <w:rPr>
          <w:szCs w:val="22"/>
        </w:rPr>
        <w:t>í</w:t>
      </w:r>
      <w:r w:rsidRPr="003E5F46">
        <w:rPr>
          <w:szCs w:val="22"/>
        </w:rPr>
        <w:t>n</w:t>
      </w:r>
      <w:proofErr w:type="spellEnd"/>
      <w:r w:rsidRPr="003E5F46">
        <w:rPr>
          <w:szCs w:val="22"/>
        </w:rPr>
        <w:t xml:space="preserve"> sa nedá odstrániť dialýzou.</w:t>
      </w:r>
    </w:p>
    <w:p w14:paraId="6E529625" w14:textId="77777777" w:rsidR="00812D16" w:rsidRPr="00A72672" w:rsidRDefault="00812D16" w:rsidP="00204AAB">
      <w:pPr>
        <w:spacing w:line="240" w:lineRule="auto"/>
      </w:pPr>
    </w:p>
    <w:p w14:paraId="7156F6E9" w14:textId="77777777" w:rsidR="007E4269" w:rsidRDefault="007E4269" w:rsidP="00204AAB">
      <w:pPr>
        <w:spacing w:line="240" w:lineRule="auto"/>
      </w:pPr>
    </w:p>
    <w:p w14:paraId="304B3105" w14:textId="77777777" w:rsidR="00812D16" w:rsidRPr="0082445A" w:rsidRDefault="005C0CBF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FA467B4" w14:textId="77777777" w:rsidR="00812D16" w:rsidRPr="0082445A" w:rsidRDefault="00812D16" w:rsidP="00085939">
      <w:pPr>
        <w:keepNext/>
        <w:spacing w:line="240" w:lineRule="auto"/>
      </w:pPr>
    </w:p>
    <w:p w14:paraId="712B4AE4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proofErr w:type="spellStart"/>
      <w:r w:rsidRPr="00BF5AB0">
        <w:rPr>
          <w:b/>
        </w:rPr>
        <w:t>Farmakodynamické</w:t>
      </w:r>
      <w:proofErr w:type="spellEnd"/>
      <w:r w:rsidRPr="00BF5AB0">
        <w:rPr>
          <w:b/>
        </w:rPr>
        <w:t xml:space="preserve"> vlastnosti</w:t>
      </w:r>
    </w:p>
    <w:p w14:paraId="24E4F940" w14:textId="77777777" w:rsidR="00812D16" w:rsidRPr="0082445A" w:rsidRDefault="00812D16" w:rsidP="00085939">
      <w:pPr>
        <w:keepNext/>
        <w:spacing w:line="240" w:lineRule="auto"/>
      </w:pPr>
    </w:p>
    <w:p w14:paraId="7F3ADFCB" w14:textId="77777777" w:rsidR="004B4653" w:rsidRPr="003E5F46" w:rsidRDefault="004B4653" w:rsidP="004B4653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proofErr w:type="spellStart"/>
      <w:r w:rsidRPr="003E5F46">
        <w:rPr>
          <w:rFonts w:eastAsia="TimesNewRoman"/>
          <w:szCs w:val="22"/>
          <w:lang w:eastAsia="en-US"/>
        </w:rPr>
        <w:t>Farmakoterapeutická</w:t>
      </w:r>
      <w:proofErr w:type="spellEnd"/>
      <w:r w:rsidRPr="003E5F46">
        <w:rPr>
          <w:rFonts w:eastAsia="TimesNewRoman"/>
          <w:szCs w:val="22"/>
          <w:lang w:eastAsia="en-US"/>
        </w:rPr>
        <w:t xml:space="preserve"> skupina: </w:t>
      </w:r>
      <w:r w:rsidRPr="003E5F46">
        <w:rPr>
          <w:szCs w:val="22"/>
        </w:rPr>
        <w:t>Antimykotiká na systémové použitie, iné antimykotiká na systémové použitie, ATC kód: J02</w:t>
      </w:r>
      <w:r w:rsidR="00042847">
        <w:rPr>
          <w:szCs w:val="22"/>
        </w:rPr>
        <w:t>A</w:t>
      </w:r>
      <w:r w:rsidR="006675AB">
        <w:rPr>
          <w:szCs w:val="22"/>
        </w:rPr>
        <w:t>X</w:t>
      </w:r>
      <w:r w:rsidRPr="003E5F46">
        <w:rPr>
          <w:szCs w:val="22"/>
        </w:rPr>
        <w:t>06</w:t>
      </w:r>
    </w:p>
    <w:p w14:paraId="10A85CE5" w14:textId="77777777" w:rsidR="004B4653" w:rsidRPr="003E5F46" w:rsidRDefault="004B4653" w:rsidP="004B4653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26007145" w14:textId="77777777" w:rsidR="004B4653" w:rsidRPr="003E5F46" w:rsidRDefault="004B4653" w:rsidP="004B4653">
      <w:pPr>
        <w:keepNext/>
        <w:autoSpaceDE w:val="0"/>
        <w:autoSpaceDN w:val="0"/>
        <w:adjustRightInd w:val="0"/>
        <w:rPr>
          <w:rFonts w:eastAsia="TimesNewRoman"/>
          <w:szCs w:val="22"/>
          <w:u w:val="single"/>
          <w:lang w:eastAsia="en-US"/>
        </w:rPr>
      </w:pPr>
      <w:r w:rsidRPr="003E5F46">
        <w:rPr>
          <w:rFonts w:eastAsia="TimesNewRoman"/>
          <w:szCs w:val="22"/>
          <w:u w:val="single"/>
          <w:lang w:eastAsia="en-US"/>
        </w:rPr>
        <w:t>Mechanizmus účinku</w:t>
      </w:r>
    </w:p>
    <w:p w14:paraId="7A0620C1" w14:textId="77777777" w:rsidR="004B4653" w:rsidRPr="003E5F46" w:rsidRDefault="004B4653" w:rsidP="004B4653">
      <w:pPr>
        <w:pStyle w:val="Zkladntext"/>
        <w:rPr>
          <w:i/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je </w:t>
      </w:r>
      <w:proofErr w:type="spellStart"/>
      <w:r w:rsidRPr="003E5F46">
        <w:rPr>
          <w:szCs w:val="22"/>
        </w:rPr>
        <w:t>pol</w:t>
      </w:r>
      <w:r>
        <w:rPr>
          <w:szCs w:val="22"/>
        </w:rPr>
        <w:t>o</w:t>
      </w:r>
      <w:r w:rsidRPr="003E5F46">
        <w:rPr>
          <w:szCs w:val="22"/>
        </w:rPr>
        <w:t>syntetický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echinokandín</w:t>
      </w:r>
      <w:proofErr w:type="spellEnd"/>
      <w:r w:rsidRPr="003E5F46">
        <w:rPr>
          <w:szCs w:val="22"/>
        </w:rPr>
        <w:t xml:space="preserve">, </w:t>
      </w:r>
      <w:proofErr w:type="spellStart"/>
      <w:r w:rsidRPr="003E5F46">
        <w:rPr>
          <w:szCs w:val="22"/>
        </w:rPr>
        <w:t>lipopeptid</w:t>
      </w:r>
      <w:proofErr w:type="spellEnd"/>
      <w:r w:rsidRPr="003E5F46">
        <w:rPr>
          <w:szCs w:val="22"/>
        </w:rPr>
        <w:t xml:space="preserve"> syntetizovaný z fermentačného produktu </w:t>
      </w:r>
      <w:proofErr w:type="spellStart"/>
      <w:r w:rsidRPr="003E5F46">
        <w:rPr>
          <w:i/>
          <w:szCs w:val="22"/>
        </w:rPr>
        <w:t>Aspergillus</w:t>
      </w:r>
      <w:proofErr w:type="spellEnd"/>
      <w:r w:rsidRPr="003E5F46">
        <w:rPr>
          <w:i/>
          <w:szCs w:val="22"/>
        </w:rPr>
        <w:t xml:space="preserve"> </w:t>
      </w:r>
      <w:proofErr w:type="spellStart"/>
      <w:r w:rsidRPr="003E5F46">
        <w:rPr>
          <w:i/>
          <w:szCs w:val="22"/>
        </w:rPr>
        <w:t>nidulans</w:t>
      </w:r>
      <w:proofErr w:type="spellEnd"/>
      <w:r w:rsidRPr="003E5F46">
        <w:rPr>
          <w:i/>
          <w:szCs w:val="22"/>
        </w:rPr>
        <w:t>.</w:t>
      </w:r>
    </w:p>
    <w:p w14:paraId="58239142" w14:textId="77777777" w:rsidR="004B4653" w:rsidRPr="003E5F46" w:rsidRDefault="004B4653" w:rsidP="004B4653">
      <w:pPr>
        <w:pStyle w:val="Zkladntext"/>
        <w:rPr>
          <w:i/>
          <w:szCs w:val="22"/>
        </w:rPr>
      </w:pPr>
    </w:p>
    <w:p w14:paraId="678888A3" w14:textId="77777777" w:rsidR="004B4653" w:rsidRPr="003E5F46" w:rsidRDefault="004B4653" w:rsidP="004B4653">
      <w:pPr>
        <w:pStyle w:val="Zkladntext"/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selektívne </w:t>
      </w:r>
      <w:proofErr w:type="spellStart"/>
      <w:r w:rsidRPr="003E5F46">
        <w:rPr>
          <w:szCs w:val="22"/>
        </w:rPr>
        <w:t>inhibuje</w:t>
      </w:r>
      <w:proofErr w:type="spellEnd"/>
      <w:r w:rsidRPr="003E5F46">
        <w:rPr>
          <w:szCs w:val="22"/>
        </w:rPr>
        <w:t xml:space="preserve"> 1,3-β-D-</w:t>
      </w:r>
      <w:proofErr w:type="spellStart"/>
      <w:r w:rsidRPr="003E5F46">
        <w:rPr>
          <w:szCs w:val="22"/>
        </w:rPr>
        <w:t>glukán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syntázu</w:t>
      </w:r>
      <w:proofErr w:type="spellEnd"/>
      <w:r w:rsidRPr="003E5F46">
        <w:rPr>
          <w:szCs w:val="22"/>
        </w:rPr>
        <w:t>, enzým prítomný v bunkách húb, nie však v bunkách cicavcov. Výsledkom je potlačenie tvorby 1,3-β-D-</w:t>
      </w:r>
      <w:proofErr w:type="spellStart"/>
      <w:r w:rsidRPr="003E5F46">
        <w:rPr>
          <w:szCs w:val="22"/>
        </w:rPr>
        <w:t>glukánu</w:t>
      </w:r>
      <w:proofErr w:type="spellEnd"/>
      <w:r w:rsidRPr="003E5F46">
        <w:rPr>
          <w:szCs w:val="22"/>
        </w:rPr>
        <w:t xml:space="preserve">, základnej zložky bunkovej steny húb.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vykazoval </w:t>
      </w:r>
      <w:proofErr w:type="spellStart"/>
      <w:r w:rsidRPr="003E5F46">
        <w:rPr>
          <w:szCs w:val="22"/>
        </w:rPr>
        <w:t>fungicídny</w:t>
      </w:r>
      <w:proofErr w:type="spellEnd"/>
      <w:r w:rsidRPr="003E5F46">
        <w:rPr>
          <w:szCs w:val="22"/>
        </w:rPr>
        <w:t xml:space="preserve"> účinok na druhy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a pôsobil tiež v oblastiach s aktívnym bunkovým rastom </w:t>
      </w:r>
      <w:proofErr w:type="spellStart"/>
      <w:r w:rsidRPr="003E5F46">
        <w:rPr>
          <w:szCs w:val="22"/>
        </w:rPr>
        <w:t>hýf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i/>
          <w:szCs w:val="22"/>
        </w:rPr>
        <w:t>Aspergillus</w:t>
      </w:r>
      <w:proofErr w:type="spellEnd"/>
      <w:r w:rsidRPr="003E5F46">
        <w:rPr>
          <w:i/>
          <w:szCs w:val="22"/>
        </w:rPr>
        <w:t xml:space="preserve"> </w:t>
      </w:r>
      <w:proofErr w:type="spellStart"/>
      <w:r w:rsidRPr="003E5F46">
        <w:rPr>
          <w:i/>
          <w:szCs w:val="22"/>
        </w:rPr>
        <w:t>fumigatus</w:t>
      </w:r>
      <w:proofErr w:type="spellEnd"/>
      <w:r w:rsidRPr="003E5F46">
        <w:rPr>
          <w:szCs w:val="22"/>
        </w:rPr>
        <w:t>.</w:t>
      </w:r>
    </w:p>
    <w:p w14:paraId="7BEEB21F" w14:textId="77777777" w:rsidR="004B4653" w:rsidRPr="003E5F46" w:rsidRDefault="004B4653" w:rsidP="004B4653">
      <w:pPr>
        <w:pStyle w:val="Zkladntext"/>
        <w:rPr>
          <w:szCs w:val="22"/>
        </w:rPr>
      </w:pPr>
    </w:p>
    <w:p w14:paraId="0F345875" w14:textId="77777777" w:rsidR="004B4653" w:rsidRPr="003E5F46" w:rsidRDefault="004B4653" w:rsidP="004B4653">
      <w:pPr>
        <w:keepNext/>
        <w:rPr>
          <w:i/>
          <w:szCs w:val="22"/>
        </w:rPr>
      </w:pPr>
      <w:r w:rsidRPr="003E5F46">
        <w:rPr>
          <w:szCs w:val="22"/>
          <w:u w:val="single"/>
        </w:rPr>
        <w:t xml:space="preserve">Účinok </w:t>
      </w:r>
      <w:r w:rsidRPr="003E5F46">
        <w:rPr>
          <w:i/>
          <w:szCs w:val="22"/>
          <w:u w:val="single"/>
        </w:rPr>
        <w:t>in vitro</w:t>
      </w:r>
    </w:p>
    <w:p w14:paraId="66324A75" w14:textId="77777777" w:rsidR="004B4653" w:rsidRPr="003E5F46" w:rsidRDefault="004B4653" w:rsidP="004B4653">
      <w:pPr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preukázal </w:t>
      </w:r>
      <w:r w:rsidRPr="003E5F46">
        <w:rPr>
          <w:i/>
          <w:szCs w:val="22"/>
        </w:rPr>
        <w:t xml:space="preserve">in vitro </w:t>
      </w:r>
      <w:r w:rsidRPr="003E5F46">
        <w:rPr>
          <w:szCs w:val="22"/>
        </w:rPr>
        <w:t xml:space="preserve">účinok na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, 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, C. </w:t>
      </w:r>
      <w:proofErr w:type="spellStart"/>
      <w:r w:rsidRPr="003E5F46">
        <w:rPr>
          <w:i/>
          <w:szCs w:val="22"/>
        </w:rPr>
        <w:t>parapsilosis</w:t>
      </w:r>
      <w:proofErr w:type="spellEnd"/>
      <w:r w:rsidRPr="003E5F46">
        <w:rPr>
          <w:i/>
          <w:szCs w:val="22"/>
        </w:rPr>
        <w:t xml:space="preserve">, 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. </w:t>
      </w:r>
      <w:r w:rsidRPr="003E5F46">
        <w:rPr>
          <w:szCs w:val="22"/>
        </w:rPr>
        <w:t>Klinický význam týchto zistení je uvedený v časti „Klinická účinnosť a bezpečnosť“.</w:t>
      </w:r>
    </w:p>
    <w:p w14:paraId="325F4F0F" w14:textId="77777777" w:rsidR="004B4653" w:rsidRPr="003E5F46" w:rsidRDefault="004B4653" w:rsidP="004B4653">
      <w:pPr>
        <w:pStyle w:val="Zkladntext"/>
        <w:rPr>
          <w:szCs w:val="22"/>
        </w:rPr>
      </w:pPr>
    </w:p>
    <w:p w14:paraId="0D68C327" w14:textId="77777777" w:rsidR="004B4653" w:rsidRPr="003E5F46" w:rsidRDefault="004B4653" w:rsidP="004B4653">
      <w:pPr>
        <w:pStyle w:val="Zkladntext"/>
        <w:rPr>
          <w:szCs w:val="22"/>
        </w:rPr>
      </w:pPr>
      <w:proofErr w:type="spellStart"/>
      <w:r w:rsidRPr="003E5F46">
        <w:rPr>
          <w:szCs w:val="22"/>
        </w:rPr>
        <w:t>Izoláty</w:t>
      </w:r>
      <w:proofErr w:type="spellEnd"/>
      <w:r w:rsidRPr="003E5F46">
        <w:rPr>
          <w:szCs w:val="22"/>
        </w:rPr>
        <w:t xml:space="preserve"> s mutáciami v aktívnych oblastiach cieľového génu boli spojené s klinickým zlyhaním liečby alebo prielomovými infekciami. Väčšina klinických prípadov zahŕňala liečbu </w:t>
      </w:r>
      <w:proofErr w:type="spellStart"/>
      <w:r w:rsidRPr="003E5F46">
        <w:rPr>
          <w:szCs w:val="22"/>
        </w:rPr>
        <w:t>kaspofungínom</w:t>
      </w:r>
      <w:proofErr w:type="spellEnd"/>
      <w:r w:rsidRPr="003E5F46">
        <w:rPr>
          <w:szCs w:val="22"/>
        </w:rPr>
        <w:t xml:space="preserve">. V experimentoch na zvieratách však tieto mutácie preukazujú skríženú rezistenciu na všetky tri </w:t>
      </w:r>
      <w:proofErr w:type="spellStart"/>
      <w:r w:rsidRPr="003E5F46">
        <w:rPr>
          <w:szCs w:val="22"/>
        </w:rPr>
        <w:t>echinokandíny</w:t>
      </w:r>
      <w:proofErr w:type="spellEnd"/>
      <w:r w:rsidRPr="003E5F46">
        <w:rPr>
          <w:szCs w:val="22"/>
        </w:rPr>
        <w:t xml:space="preserve">, a preto sú takéto </w:t>
      </w:r>
      <w:proofErr w:type="spellStart"/>
      <w:r w:rsidRPr="003E5F46">
        <w:rPr>
          <w:szCs w:val="22"/>
        </w:rPr>
        <w:t>izoláty</w:t>
      </w:r>
      <w:proofErr w:type="spellEnd"/>
      <w:r w:rsidRPr="003E5F46">
        <w:rPr>
          <w:szCs w:val="22"/>
        </w:rPr>
        <w:t xml:space="preserve"> klasifikované ako odolné voči </w:t>
      </w:r>
      <w:proofErr w:type="spellStart"/>
      <w:r w:rsidRPr="003E5F46">
        <w:rPr>
          <w:szCs w:val="22"/>
        </w:rPr>
        <w:t>echinokandínom</w:t>
      </w:r>
      <w:proofErr w:type="spellEnd"/>
      <w:r w:rsidRPr="003E5F46">
        <w:rPr>
          <w:szCs w:val="22"/>
        </w:rPr>
        <w:t>, až kým sa nezískajú ďalšie klinické skúsenosti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>.</w:t>
      </w:r>
    </w:p>
    <w:p w14:paraId="07135456" w14:textId="77777777" w:rsidR="004B4653" w:rsidRPr="003E5F46" w:rsidRDefault="004B4653" w:rsidP="004B4653">
      <w:pPr>
        <w:pStyle w:val="Zkladntext"/>
        <w:rPr>
          <w:szCs w:val="22"/>
        </w:rPr>
      </w:pPr>
    </w:p>
    <w:p w14:paraId="0B971E51" w14:textId="77777777" w:rsidR="004B4653" w:rsidRPr="003E5F46" w:rsidRDefault="004B4653" w:rsidP="004B4653">
      <w:pPr>
        <w:rPr>
          <w:szCs w:val="22"/>
        </w:rPr>
      </w:pPr>
      <w:r w:rsidRPr="003E5F46">
        <w:rPr>
          <w:i/>
          <w:szCs w:val="22"/>
        </w:rPr>
        <w:lastRenderedPageBreak/>
        <w:t xml:space="preserve">In vitro </w:t>
      </w:r>
      <w:r w:rsidRPr="003E5F46">
        <w:rPr>
          <w:szCs w:val="22"/>
        </w:rPr>
        <w:t xml:space="preserve">aktivita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proti druhom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nie je jednotná. Zvlášť pre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parapsilosis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sú minimálne inhibičné koncentrácie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vyššie ako pri ostatných druhoch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szCs w:val="22"/>
        </w:rPr>
        <w:t xml:space="preserve">. </w:t>
      </w:r>
      <w:r w:rsidRPr="003E5F46">
        <w:rPr>
          <w:caps/>
          <w:szCs w:val="22"/>
        </w:rPr>
        <w:t>š</w:t>
      </w:r>
      <w:r w:rsidRPr="003E5F46">
        <w:rPr>
          <w:szCs w:val="22"/>
        </w:rPr>
        <w:t xml:space="preserve">tandardizovaný postup na testovanie citlivosti druhov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na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ako aj príslušné hraničné hodnoty na interpretáciu boli stanovené Európskym výborom pre testovanie </w:t>
      </w:r>
      <w:proofErr w:type="spellStart"/>
      <w:r w:rsidRPr="003E5F46">
        <w:rPr>
          <w:szCs w:val="22"/>
        </w:rPr>
        <w:t>antimikrobiálnej</w:t>
      </w:r>
      <w:proofErr w:type="spellEnd"/>
      <w:r w:rsidRPr="003E5F46">
        <w:rPr>
          <w:szCs w:val="22"/>
        </w:rPr>
        <w:t xml:space="preserve"> citlivosti (</w:t>
      </w:r>
      <w:proofErr w:type="spellStart"/>
      <w:r w:rsidRPr="003E5F46">
        <w:rPr>
          <w:szCs w:val="22"/>
        </w:rPr>
        <w:t>European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Committee</w:t>
      </w:r>
      <w:proofErr w:type="spellEnd"/>
      <w:r w:rsidRPr="003E5F46">
        <w:rPr>
          <w:szCs w:val="22"/>
        </w:rPr>
        <w:t xml:space="preserve"> on </w:t>
      </w:r>
      <w:proofErr w:type="spellStart"/>
      <w:r w:rsidRPr="003E5F46">
        <w:rPr>
          <w:szCs w:val="22"/>
        </w:rPr>
        <w:t>Antimicrobial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Susceptibility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Testing</w:t>
      </w:r>
      <w:proofErr w:type="spellEnd"/>
      <w:r w:rsidRPr="003E5F46">
        <w:rPr>
          <w:szCs w:val="22"/>
        </w:rPr>
        <w:t>, EUCAST).</w:t>
      </w:r>
    </w:p>
    <w:p w14:paraId="3F72D04F" w14:textId="77777777" w:rsidR="004B4653" w:rsidRPr="003E5F46" w:rsidRDefault="004B4653" w:rsidP="004B4653">
      <w:pPr>
        <w:pStyle w:val="Zkladntext"/>
        <w:rPr>
          <w:szCs w:val="22"/>
        </w:rPr>
      </w:pPr>
    </w:p>
    <w:p w14:paraId="32AE3A18" w14:textId="77777777" w:rsidR="004B4653" w:rsidRPr="003E5F46" w:rsidRDefault="004B4653" w:rsidP="00D23A0A">
      <w:pPr>
        <w:pStyle w:val="Nadpis1"/>
        <w:keepNext/>
        <w:rPr>
          <w:sz w:val="22"/>
          <w:szCs w:val="22"/>
          <w:lang w:val="sk-SK"/>
        </w:rPr>
      </w:pPr>
      <w:r w:rsidRPr="003E5F46">
        <w:rPr>
          <w:sz w:val="22"/>
          <w:szCs w:val="22"/>
          <w:u w:val="thick"/>
          <w:lang w:val="sk-SK"/>
        </w:rPr>
        <w:t>Tabuľka 2. Hraničné hodnoty podľa EUCAST</w:t>
      </w:r>
    </w:p>
    <w:p w14:paraId="60F78AED" w14:textId="77777777" w:rsidR="004B4653" w:rsidRPr="003E5F46" w:rsidRDefault="004B4653" w:rsidP="00D23A0A">
      <w:pPr>
        <w:pStyle w:val="Zkladntext"/>
        <w:keepNext/>
        <w:rPr>
          <w:b/>
          <w:szCs w:val="2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1786"/>
        <w:gridCol w:w="1770"/>
      </w:tblGrid>
      <w:tr w:rsidR="004B4653" w:rsidRPr="003E5F46" w14:paraId="28C62BA1" w14:textId="77777777" w:rsidTr="007B2646">
        <w:trPr>
          <w:trHeight w:hRule="exact" w:val="516"/>
        </w:trPr>
        <w:tc>
          <w:tcPr>
            <w:tcW w:w="3432" w:type="dxa"/>
            <w:vMerge w:val="restart"/>
          </w:tcPr>
          <w:p w14:paraId="139988A2" w14:textId="77777777" w:rsidR="004B4653" w:rsidRPr="003E5F46" w:rsidRDefault="004B4653" w:rsidP="007B2646">
            <w:pPr>
              <w:pStyle w:val="TableParagraph"/>
              <w:ind w:left="103"/>
              <w:rPr>
                <w:b/>
                <w:i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 xml:space="preserve">Druhy </w:t>
            </w:r>
            <w:proofErr w:type="spellStart"/>
            <w:r w:rsidRPr="003E5F46">
              <w:rPr>
                <w:b/>
                <w:i/>
                <w:sz w:val="22"/>
                <w:szCs w:val="22"/>
                <w:lang w:val="sk-SK"/>
              </w:rPr>
              <w:t>Candida</w:t>
            </w:r>
            <w:proofErr w:type="spellEnd"/>
          </w:p>
        </w:tc>
        <w:tc>
          <w:tcPr>
            <w:tcW w:w="3556" w:type="dxa"/>
            <w:gridSpan w:val="2"/>
          </w:tcPr>
          <w:p w14:paraId="041B5CDD" w14:textId="77777777" w:rsidR="004B4653" w:rsidRPr="003E5F46" w:rsidRDefault="004B4653" w:rsidP="007B2646">
            <w:pPr>
              <w:pStyle w:val="TableParagraph"/>
              <w:ind w:left="278" w:right="249" w:hanging="12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Hraničná hodnota minimálnej inhibičnej koncentrácie (mg/l)</w:t>
            </w:r>
          </w:p>
        </w:tc>
      </w:tr>
      <w:tr w:rsidR="004B4653" w:rsidRPr="003E5F46" w14:paraId="4ADA989A" w14:textId="77777777" w:rsidTr="007B2646">
        <w:trPr>
          <w:trHeight w:hRule="exact" w:val="516"/>
        </w:trPr>
        <w:tc>
          <w:tcPr>
            <w:tcW w:w="3432" w:type="dxa"/>
            <w:vMerge/>
          </w:tcPr>
          <w:p w14:paraId="558492CF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786" w:type="dxa"/>
          </w:tcPr>
          <w:p w14:paraId="5A00E870" w14:textId="77777777" w:rsidR="004B4653" w:rsidRPr="003E5F46" w:rsidRDefault="004B4653" w:rsidP="007B2646">
            <w:pPr>
              <w:pStyle w:val="TableParagraph"/>
              <w:ind w:right="569"/>
              <w:jc w:val="right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≤ C (citlivé)</w:t>
            </w:r>
          </w:p>
        </w:tc>
        <w:tc>
          <w:tcPr>
            <w:tcW w:w="1770" w:type="dxa"/>
          </w:tcPr>
          <w:p w14:paraId="6FE1F756" w14:textId="77777777" w:rsidR="004B4653" w:rsidRPr="003E5F46" w:rsidRDefault="004B4653" w:rsidP="007B2646">
            <w:pPr>
              <w:pStyle w:val="TableParagraph"/>
              <w:ind w:left="103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&gt; R (rezistentné)</w:t>
            </w:r>
          </w:p>
        </w:tc>
      </w:tr>
      <w:tr w:rsidR="004B4653" w:rsidRPr="003E5F46" w14:paraId="681A3930" w14:textId="77777777" w:rsidTr="007B2646">
        <w:trPr>
          <w:trHeight w:hRule="exact" w:val="264"/>
        </w:trPr>
        <w:tc>
          <w:tcPr>
            <w:tcW w:w="3432" w:type="dxa"/>
          </w:tcPr>
          <w:p w14:paraId="3F1D1740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albicans</w:t>
            </w:r>
            <w:proofErr w:type="spellEnd"/>
          </w:p>
        </w:tc>
        <w:tc>
          <w:tcPr>
            <w:tcW w:w="1786" w:type="dxa"/>
          </w:tcPr>
          <w:p w14:paraId="5A11BAC8" w14:textId="77777777" w:rsidR="004B4653" w:rsidRPr="003E5F46" w:rsidRDefault="004B4653" w:rsidP="007B2646">
            <w:pPr>
              <w:pStyle w:val="TableParagraph"/>
              <w:ind w:left="676" w:right="674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0,03</w:t>
            </w:r>
          </w:p>
        </w:tc>
        <w:tc>
          <w:tcPr>
            <w:tcW w:w="1770" w:type="dxa"/>
          </w:tcPr>
          <w:p w14:paraId="75375DE6" w14:textId="77777777" w:rsidR="004B4653" w:rsidRPr="003E5F46" w:rsidRDefault="004B4653" w:rsidP="007B2646">
            <w:pPr>
              <w:pStyle w:val="TableParagraph"/>
              <w:ind w:left="587" w:right="58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0,03</w:t>
            </w:r>
          </w:p>
        </w:tc>
      </w:tr>
      <w:tr w:rsidR="004B4653" w:rsidRPr="003E5F46" w14:paraId="4034E338" w14:textId="77777777" w:rsidTr="007B2646">
        <w:trPr>
          <w:trHeight w:hRule="exact" w:val="264"/>
        </w:trPr>
        <w:tc>
          <w:tcPr>
            <w:tcW w:w="3432" w:type="dxa"/>
          </w:tcPr>
          <w:p w14:paraId="5110D15C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glabrata</w:t>
            </w:r>
            <w:proofErr w:type="spellEnd"/>
          </w:p>
        </w:tc>
        <w:tc>
          <w:tcPr>
            <w:tcW w:w="1786" w:type="dxa"/>
          </w:tcPr>
          <w:p w14:paraId="0D3C97FB" w14:textId="77777777" w:rsidR="004B4653" w:rsidRPr="003E5F46" w:rsidRDefault="004B4653" w:rsidP="007B2646">
            <w:pPr>
              <w:pStyle w:val="TableParagraph"/>
              <w:ind w:left="676" w:right="674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  <w:tc>
          <w:tcPr>
            <w:tcW w:w="1770" w:type="dxa"/>
          </w:tcPr>
          <w:p w14:paraId="689F3EB0" w14:textId="77777777" w:rsidR="004B4653" w:rsidRPr="003E5F46" w:rsidRDefault="004B4653" w:rsidP="007B2646">
            <w:pPr>
              <w:pStyle w:val="TableParagraph"/>
              <w:ind w:left="587" w:right="58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</w:tr>
      <w:tr w:rsidR="004B4653" w:rsidRPr="003E5F46" w14:paraId="081BDEB4" w14:textId="77777777" w:rsidTr="007B2646">
        <w:trPr>
          <w:trHeight w:hRule="exact" w:val="262"/>
        </w:trPr>
        <w:tc>
          <w:tcPr>
            <w:tcW w:w="3432" w:type="dxa"/>
          </w:tcPr>
          <w:p w14:paraId="47FDA9CB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tropicalis</w:t>
            </w:r>
            <w:proofErr w:type="spellEnd"/>
          </w:p>
        </w:tc>
        <w:tc>
          <w:tcPr>
            <w:tcW w:w="1786" w:type="dxa"/>
          </w:tcPr>
          <w:p w14:paraId="6967B167" w14:textId="77777777" w:rsidR="004B4653" w:rsidRPr="003E5F46" w:rsidRDefault="004B4653" w:rsidP="007B2646">
            <w:pPr>
              <w:pStyle w:val="TableParagraph"/>
              <w:ind w:left="676" w:right="674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  <w:tc>
          <w:tcPr>
            <w:tcW w:w="1770" w:type="dxa"/>
          </w:tcPr>
          <w:p w14:paraId="4A0DA265" w14:textId="77777777" w:rsidR="004B4653" w:rsidRPr="003E5F46" w:rsidRDefault="004B4653" w:rsidP="007B2646">
            <w:pPr>
              <w:pStyle w:val="TableParagraph"/>
              <w:ind w:left="587" w:right="58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</w:tr>
      <w:tr w:rsidR="004B4653" w:rsidRPr="003E5F46" w14:paraId="19DADF07" w14:textId="77777777" w:rsidTr="007B2646">
        <w:trPr>
          <w:trHeight w:hRule="exact" w:val="264"/>
        </w:trPr>
        <w:tc>
          <w:tcPr>
            <w:tcW w:w="3432" w:type="dxa"/>
          </w:tcPr>
          <w:p w14:paraId="303B42FC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krusei</w:t>
            </w:r>
            <w:proofErr w:type="spellEnd"/>
          </w:p>
        </w:tc>
        <w:tc>
          <w:tcPr>
            <w:tcW w:w="1786" w:type="dxa"/>
          </w:tcPr>
          <w:p w14:paraId="6C857BBC" w14:textId="77777777" w:rsidR="004B4653" w:rsidRPr="003E5F46" w:rsidRDefault="004B4653" w:rsidP="007B2646">
            <w:pPr>
              <w:pStyle w:val="TableParagraph"/>
              <w:ind w:left="676" w:right="674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  <w:tc>
          <w:tcPr>
            <w:tcW w:w="1770" w:type="dxa"/>
          </w:tcPr>
          <w:p w14:paraId="57E8D25B" w14:textId="77777777" w:rsidR="004B4653" w:rsidRPr="003E5F46" w:rsidRDefault="004B4653" w:rsidP="007B2646">
            <w:pPr>
              <w:pStyle w:val="TableParagraph"/>
              <w:ind w:left="587" w:right="58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0,06</w:t>
            </w:r>
          </w:p>
        </w:tc>
      </w:tr>
      <w:tr w:rsidR="004B4653" w:rsidRPr="003E5F46" w14:paraId="7808FF28" w14:textId="77777777" w:rsidTr="007B2646">
        <w:trPr>
          <w:trHeight w:hRule="exact" w:val="357"/>
        </w:trPr>
        <w:tc>
          <w:tcPr>
            <w:tcW w:w="3432" w:type="dxa"/>
          </w:tcPr>
          <w:p w14:paraId="7CAACD95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parapsilosis</w:t>
            </w:r>
            <w:r w:rsidRPr="003E5F46">
              <w:rPr>
                <w:i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786" w:type="dxa"/>
          </w:tcPr>
          <w:p w14:paraId="3F9DB641" w14:textId="77777777" w:rsidR="004B4653" w:rsidRPr="003E5F46" w:rsidRDefault="004B4653" w:rsidP="007B2646">
            <w:pPr>
              <w:pStyle w:val="TableParagraph"/>
              <w:ind w:right="636"/>
              <w:jc w:val="right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0,002</w:t>
            </w:r>
          </w:p>
        </w:tc>
        <w:tc>
          <w:tcPr>
            <w:tcW w:w="1770" w:type="dxa"/>
          </w:tcPr>
          <w:p w14:paraId="2065AF76" w14:textId="77777777" w:rsidR="004B4653" w:rsidRPr="003E5F46" w:rsidRDefault="004B4653" w:rsidP="007B2646">
            <w:pPr>
              <w:pStyle w:val="TableParagraph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4</w:t>
            </w:r>
          </w:p>
        </w:tc>
      </w:tr>
      <w:tr w:rsidR="004B4653" w:rsidRPr="003E5F46" w14:paraId="359EB0C1" w14:textId="77777777" w:rsidTr="007B2646">
        <w:trPr>
          <w:trHeight w:hRule="exact" w:val="264"/>
        </w:trPr>
        <w:tc>
          <w:tcPr>
            <w:tcW w:w="3432" w:type="dxa"/>
          </w:tcPr>
          <w:p w14:paraId="0C3191B4" w14:textId="77777777" w:rsidR="004B4653" w:rsidRPr="003E5F46" w:rsidRDefault="004B4653" w:rsidP="007B2646">
            <w:pPr>
              <w:pStyle w:val="TableParagraph"/>
              <w:ind w:left="103"/>
              <w:rPr>
                <w:i/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Iné druhy </w:t>
            </w:r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r w:rsidRPr="003E5F46">
              <w:rPr>
                <w:i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3556" w:type="dxa"/>
            <w:gridSpan w:val="2"/>
          </w:tcPr>
          <w:p w14:paraId="64AF56B8" w14:textId="77777777" w:rsidR="004B4653" w:rsidRPr="003E5F46" w:rsidRDefault="004B4653" w:rsidP="007B2646">
            <w:pPr>
              <w:pStyle w:val="TableParagraph"/>
              <w:ind w:left="155"/>
              <w:jc w:val="both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Nedostatok dôkazov</w:t>
            </w:r>
          </w:p>
        </w:tc>
      </w:tr>
      <w:tr w:rsidR="004B4653" w:rsidRPr="003E5F46" w14:paraId="4501A971" w14:textId="77777777" w:rsidTr="007B2646">
        <w:trPr>
          <w:trHeight w:hRule="exact" w:val="2098"/>
        </w:trPr>
        <w:tc>
          <w:tcPr>
            <w:tcW w:w="6988" w:type="dxa"/>
            <w:gridSpan w:val="3"/>
          </w:tcPr>
          <w:p w14:paraId="23EFA2C6" w14:textId="77777777" w:rsidR="004B4653" w:rsidRPr="003E5F46" w:rsidRDefault="004B4653" w:rsidP="007B2646">
            <w:pPr>
              <w:pStyle w:val="TableParagraph"/>
              <w:ind w:left="103" w:right="211"/>
              <w:rPr>
                <w:sz w:val="22"/>
                <w:szCs w:val="22"/>
                <w:lang w:val="sk-SK"/>
              </w:rPr>
            </w:pPr>
            <w:r w:rsidRPr="003E5F46">
              <w:rPr>
                <w:i/>
                <w:sz w:val="22"/>
                <w:szCs w:val="22"/>
                <w:vertAlign w:val="superscript"/>
                <w:lang w:val="sk-SK"/>
              </w:rPr>
              <w:t>1</w:t>
            </w:r>
            <w:r w:rsidRPr="003E5F46">
              <w:rPr>
                <w:i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parapsilosis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 xml:space="preserve">prechováva vnútornú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alteráciu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v cieľovom géne, ktorá je pravdepodobným mechanizmom pre vyššie minimálne inhibičné koncentrácie ako pre iné druhy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Candida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. V klinických skúšaniach sa výsledky pri </w:t>
            </w:r>
            <w:r w:rsidRPr="003E5F46">
              <w:rPr>
                <w:i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parapsilosis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 xml:space="preserve">pre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anidulafungín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štatisticky neodlišovali od ostatných druhov, avšak použitie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echinokandínov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pri</w:t>
            </w:r>
            <w:r w:rsidRPr="003E5F46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kandidémi</w:t>
            </w:r>
            <w:r>
              <w:rPr>
                <w:sz w:val="22"/>
                <w:szCs w:val="22"/>
                <w:lang w:val="sk-SK"/>
              </w:rPr>
              <w:t>i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vyvolanej </w:t>
            </w:r>
            <w:r w:rsidRPr="003E5F46">
              <w:rPr>
                <w:i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parapsilosis</w:t>
            </w:r>
            <w:proofErr w:type="spellEnd"/>
            <w:r w:rsidRPr="003E5F46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>nemôže byť odporúčané ako terapia prvej voľby.</w:t>
            </w:r>
          </w:p>
          <w:p w14:paraId="3B44446C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3E5F46">
              <w:rPr>
                <w:sz w:val="22"/>
                <w:szCs w:val="22"/>
                <w:lang w:val="sk-SK"/>
              </w:rPr>
              <w:t xml:space="preserve">Výbor EUCAST nestanovil pre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anidulafungín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druhovo nešpecifické hraničné hodnoty.</w:t>
            </w:r>
          </w:p>
        </w:tc>
      </w:tr>
    </w:tbl>
    <w:p w14:paraId="6BCE3575" w14:textId="77777777" w:rsidR="004B4653" w:rsidRPr="003E5F46" w:rsidRDefault="004B4653" w:rsidP="004B4653">
      <w:pPr>
        <w:pStyle w:val="Zkladntext"/>
        <w:rPr>
          <w:b/>
          <w:szCs w:val="22"/>
        </w:rPr>
      </w:pPr>
    </w:p>
    <w:p w14:paraId="60E5A870" w14:textId="77777777" w:rsidR="004B4653" w:rsidRPr="003E5F46" w:rsidRDefault="004B4653" w:rsidP="004B4653">
      <w:pPr>
        <w:keepNext/>
        <w:rPr>
          <w:i/>
          <w:szCs w:val="22"/>
        </w:rPr>
      </w:pPr>
      <w:r w:rsidRPr="003E5F46">
        <w:rPr>
          <w:szCs w:val="22"/>
          <w:u w:val="single"/>
        </w:rPr>
        <w:t xml:space="preserve">Účinok </w:t>
      </w:r>
      <w:r w:rsidRPr="003E5F46">
        <w:rPr>
          <w:i/>
          <w:szCs w:val="22"/>
          <w:u w:val="single"/>
        </w:rPr>
        <w:t xml:space="preserve">in </w:t>
      </w:r>
      <w:proofErr w:type="spellStart"/>
      <w:r w:rsidRPr="003E5F46">
        <w:rPr>
          <w:i/>
          <w:szCs w:val="22"/>
          <w:u w:val="single"/>
        </w:rPr>
        <w:t>vivo</w:t>
      </w:r>
      <w:proofErr w:type="spellEnd"/>
    </w:p>
    <w:p w14:paraId="657BAFEB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Parenterálne</w:t>
      </w:r>
      <w:proofErr w:type="spellEnd"/>
      <w:r w:rsidRPr="003E5F46">
        <w:rPr>
          <w:szCs w:val="22"/>
        </w:rPr>
        <w:t xml:space="preserve"> podávaný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bol účinný proti druhom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pri </w:t>
      </w:r>
      <w:proofErr w:type="spellStart"/>
      <w:r w:rsidRPr="003E5F46">
        <w:rPr>
          <w:szCs w:val="22"/>
        </w:rPr>
        <w:t>imunokompetentných</w:t>
      </w:r>
      <w:proofErr w:type="spellEnd"/>
      <w:r w:rsidRPr="003E5F46">
        <w:rPr>
          <w:szCs w:val="22"/>
        </w:rPr>
        <w:t xml:space="preserve"> aj </w:t>
      </w:r>
      <w:proofErr w:type="spellStart"/>
      <w:r w:rsidRPr="003E5F46">
        <w:rPr>
          <w:szCs w:val="22"/>
        </w:rPr>
        <w:t>imunokompromitovaných</w:t>
      </w:r>
      <w:proofErr w:type="spellEnd"/>
      <w:r w:rsidRPr="003E5F46">
        <w:rPr>
          <w:szCs w:val="22"/>
        </w:rPr>
        <w:t xml:space="preserve"> modeloch myší a králikov. Liečba 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 xml:space="preserve"> predlžovala prežívanie a tiež znižovala orgánovú záťaž druhmi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 xml:space="preserve">, </w:t>
      </w:r>
      <w:r w:rsidRPr="003E5F46">
        <w:rPr>
          <w:szCs w:val="22"/>
        </w:rPr>
        <w:t>keď sa hodnotila v </w:t>
      </w:r>
      <w:r w:rsidR="00841F9C">
        <w:rPr>
          <w:szCs w:val="22"/>
        </w:rPr>
        <w:t>intervale 24 až 96 </w:t>
      </w:r>
      <w:r w:rsidRPr="003E5F46">
        <w:rPr>
          <w:szCs w:val="22"/>
        </w:rPr>
        <w:t>hodín od poslednej liečby.</w:t>
      </w:r>
    </w:p>
    <w:p w14:paraId="5518C567" w14:textId="77777777" w:rsidR="004B4653" w:rsidRPr="003E5F46" w:rsidRDefault="004B4653" w:rsidP="004B4653">
      <w:pPr>
        <w:pStyle w:val="Zkladntext"/>
        <w:rPr>
          <w:szCs w:val="22"/>
        </w:rPr>
      </w:pPr>
    </w:p>
    <w:p w14:paraId="3259E400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Experimentálne infekcie zahŕňali </w:t>
      </w:r>
      <w:proofErr w:type="spellStart"/>
      <w:r w:rsidRPr="003E5F46">
        <w:rPr>
          <w:szCs w:val="22"/>
        </w:rPr>
        <w:t>diseminovanú</w:t>
      </w:r>
      <w:proofErr w:type="spellEnd"/>
      <w:r w:rsidRPr="003E5F46">
        <w:rPr>
          <w:szCs w:val="22"/>
        </w:rPr>
        <w:t xml:space="preserve"> infekciu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u </w:t>
      </w:r>
      <w:proofErr w:type="spellStart"/>
      <w:r w:rsidRPr="003E5F46">
        <w:rPr>
          <w:szCs w:val="22"/>
        </w:rPr>
        <w:t>neutropenických</w:t>
      </w:r>
      <w:proofErr w:type="spellEnd"/>
      <w:r w:rsidRPr="003E5F46">
        <w:rPr>
          <w:szCs w:val="22"/>
        </w:rPr>
        <w:t xml:space="preserve"> králikov, </w:t>
      </w:r>
      <w:proofErr w:type="spellStart"/>
      <w:r w:rsidRPr="003E5F46">
        <w:rPr>
          <w:szCs w:val="22"/>
        </w:rPr>
        <w:t>ezofágovú</w:t>
      </w:r>
      <w:proofErr w:type="spellEnd"/>
      <w:r w:rsidRPr="003E5F46">
        <w:rPr>
          <w:szCs w:val="22"/>
        </w:rPr>
        <w:t>/</w:t>
      </w:r>
      <w:proofErr w:type="spellStart"/>
      <w:r w:rsidRPr="003E5F46">
        <w:rPr>
          <w:szCs w:val="22"/>
        </w:rPr>
        <w:t>orofaryngeálnu</w:t>
      </w:r>
      <w:proofErr w:type="spellEnd"/>
      <w:r w:rsidRPr="003E5F46">
        <w:rPr>
          <w:szCs w:val="22"/>
        </w:rPr>
        <w:t xml:space="preserve"> infekciu u </w:t>
      </w:r>
      <w:proofErr w:type="spellStart"/>
      <w:r w:rsidRPr="003E5F46">
        <w:rPr>
          <w:szCs w:val="22"/>
        </w:rPr>
        <w:t>neutropenických</w:t>
      </w:r>
      <w:proofErr w:type="spellEnd"/>
      <w:r w:rsidRPr="003E5F46">
        <w:rPr>
          <w:szCs w:val="22"/>
        </w:rPr>
        <w:t xml:space="preserve"> králikov s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rezistentnou na </w:t>
      </w:r>
      <w:proofErr w:type="spellStart"/>
      <w:r w:rsidRPr="003E5F46">
        <w:rPr>
          <w:szCs w:val="22"/>
        </w:rPr>
        <w:t>flukonazol</w:t>
      </w:r>
      <w:proofErr w:type="spellEnd"/>
      <w:r w:rsidRPr="003E5F46">
        <w:rPr>
          <w:szCs w:val="22"/>
        </w:rPr>
        <w:t xml:space="preserve"> a </w:t>
      </w:r>
      <w:proofErr w:type="spellStart"/>
      <w:r w:rsidRPr="003E5F46">
        <w:rPr>
          <w:szCs w:val="22"/>
        </w:rPr>
        <w:t>diseminovanú</w:t>
      </w:r>
      <w:proofErr w:type="spellEnd"/>
      <w:r w:rsidRPr="003E5F46">
        <w:rPr>
          <w:szCs w:val="22"/>
        </w:rPr>
        <w:t xml:space="preserve"> infekciu s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rezistentnou na </w:t>
      </w:r>
      <w:proofErr w:type="spellStart"/>
      <w:r w:rsidRPr="003E5F46">
        <w:rPr>
          <w:szCs w:val="22"/>
        </w:rPr>
        <w:t>flukonazol</w:t>
      </w:r>
      <w:proofErr w:type="spellEnd"/>
      <w:r w:rsidRPr="003E5F46">
        <w:rPr>
          <w:szCs w:val="22"/>
        </w:rPr>
        <w:t xml:space="preserve"> u </w:t>
      </w:r>
      <w:proofErr w:type="spellStart"/>
      <w:r w:rsidRPr="003E5F46">
        <w:rPr>
          <w:szCs w:val="22"/>
        </w:rPr>
        <w:t>neutropenických</w:t>
      </w:r>
      <w:proofErr w:type="spellEnd"/>
      <w:r w:rsidRPr="003E5F46">
        <w:rPr>
          <w:szCs w:val="22"/>
        </w:rPr>
        <w:t xml:space="preserve"> myší.</w:t>
      </w:r>
    </w:p>
    <w:p w14:paraId="3D8C96D6" w14:textId="77777777" w:rsidR="004B4653" w:rsidRPr="003E5F46" w:rsidRDefault="004B4653" w:rsidP="004B4653">
      <w:pPr>
        <w:pStyle w:val="Zkladntext"/>
        <w:ind w:right="-2"/>
        <w:rPr>
          <w:szCs w:val="22"/>
        </w:rPr>
      </w:pPr>
    </w:p>
    <w:p w14:paraId="55836A7B" w14:textId="77777777" w:rsidR="004B4653" w:rsidRPr="003E5F46" w:rsidRDefault="004B4653" w:rsidP="004B4653">
      <w:pPr>
        <w:pStyle w:val="Zkladntext"/>
        <w:keepNext/>
        <w:ind w:right="-2"/>
        <w:rPr>
          <w:szCs w:val="22"/>
        </w:rPr>
      </w:pPr>
      <w:r w:rsidRPr="0044314D">
        <w:rPr>
          <w:szCs w:val="22"/>
          <w:u w:val="single"/>
        </w:rPr>
        <w:t>Klinická účinnosť a bezpečnosť</w:t>
      </w:r>
    </w:p>
    <w:p w14:paraId="2D98C940" w14:textId="77777777" w:rsidR="004B4653" w:rsidRPr="003E5F46" w:rsidRDefault="004B4653" w:rsidP="004B4653">
      <w:pPr>
        <w:pStyle w:val="Zkladntext"/>
        <w:keepNext/>
        <w:ind w:right="-2"/>
        <w:rPr>
          <w:szCs w:val="22"/>
        </w:rPr>
      </w:pPr>
    </w:p>
    <w:p w14:paraId="596D6A8D" w14:textId="77777777" w:rsidR="004B4653" w:rsidRPr="003E5F46" w:rsidRDefault="004B4653" w:rsidP="004B4653">
      <w:pPr>
        <w:keepNext/>
        <w:ind w:right="-2"/>
        <w:rPr>
          <w:i/>
          <w:szCs w:val="22"/>
        </w:rPr>
      </w:pPr>
      <w:proofErr w:type="spellStart"/>
      <w:r w:rsidRPr="003E5F46">
        <w:rPr>
          <w:i/>
          <w:szCs w:val="22"/>
        </w:rPr>
        <w:t>Kandidémia</w:t>
      </w:r>
      <w:proofErr w:type="spellEnd"/>
      <w:r w:rsidRPr="003E5F46">
        <w:rPr>
          <w:i/>
          <w:szCs w:val="22"/>
        </w:rPr>
        <w:t xml:space="preserve"> a iné formy invazívnej </w:t>
      </w:r>
      <w:proofErr w:type="spellStart"/>
      <w:r w:rsidRPr="003E5F46">
        <w:rPr>
          <w:i/>
          <w:szCs w:val="22"/>
        </w:rPr>
        <w:t>kandidózy</w:t>
      </w:r>
      <w:proofErr w:type="spellEnd"/>
    </w:p>
    <w:p w14:paraId="559D75F1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Bezpečnosť a účinnosť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sa hodnotili v hlavnej, </w:t>
      </w:r>
      <w:proofErr w:type="spellStart"/>
      <w:r w:rsidRPr="003E5F46">
        <w:rPr>
          <w:szCs w:val="22"/>
        </w:rPr>
        <w:t>randomizovanej</w:t>
      </w:r>
      <w:proofErr w:type="spellEnd"/>
      <w:r w:rsidRPr="003E5F46">
        <w:rPr>
          <w:szCs w:val="22"/>
        </w:rPr>
        <w:t xml:space="preserve">, dvojito zaslepenej, </w:t>
      </w:r>
      <w:proofErr w:type="spellStart"/>
      <w:r w:rsidRPr="003E5F46">
        <w:rPr>
          <w:szCs w:val="22"/>
        </w:rPr>
        <w:t>multicentrickej</w:t>
      </w:r>
      <w:proofErr w:type="spellEnd"/>
      <w:r w:rsidRPr="003E5F46">
        <w:rPr>
          <w:szCs w:val="22"/>
        </w:rPr>
        <w:t xml:space="preserve">, medzinárodnej štúdii 3. fázy primárne u pacientov bez </w:t>
      </w:r>
      <w:proofErr w:type="spellStart"/>
      <w:r w:rsidRPr="003E5F46">
        <w:rPr>
          <w:szCs w:val="22"/>
        </w:rPr>
        <w:t>neutropénie</w:t>
      </w:r>
      <w:proofErr w:type="spellEnd"/>
      <w:r w:rsidRPr="003E5F46">
        <w:rPr>
          <w:szCs w:val="22"/>
        </w:rPr>
        <w:t xml:space="preserve"> s </w:t>
      </w:r>
      <w:proofErr w:type="spellStart"/>
      <w:r w:rsidRPr="003E5F46">
        <w:rPr>
          <w:szCs w:val="22"/>
        </w:rPr>
        <w:t>kandidémiou</w:t>
      </w:r>
      <w:proofErr w:type="spellEnd"/>
      <w:r w:rsidRPr="003E5F46">
        <w:rPr>
          <w:szCs w:val="22"/>
        </w:rPr>
        <w:t xml:space="preserve"> a u limitovaného počtu pacientov s </w:t>
      </w:r>
      <w:proofErr w:type="spellStart"/>
      <w:r w:rsidRPr="003E5F46">
        <w:rPr>
          <w:szCs w:val="22"/>
        </w:rPr>
        <w:t>kandidovou</w:t>
      </w:r>
      <w:proofErr w:type="spellEnd"/>
      <w:r w:rsidRPr="003E5F46">
        <w:rPr>
          <w:szCs w:val="22"/>
        </w:rPr>
        <w:t xml:space="preserve"> infekciou hlbokých tkanív alebo s ochorením spojeným s tvorbou abscesov.</w:t>
      </w:r>
    </w:p>
    <w:p w14:paraId="14C28CC6" w14:textId="77777777" w:rsidR="004B4653" w:rsidRPr="003E5F46" w:rsidRDefault="004B4653" w:rsidP="004B4653">
      <w:pPr>
        <w:pStyle w:val="Zkladntext"/>
        <w:ind w:right="-2"/>
        <w:rPr>
          <w:i/>
          <w:szCs w:val="22"/>
        </w:rPr>
      </w:pPr>
      <w:r w:rsidRPr="003E5F46">
        <w:rPr>
          <w:szCs w:val="22"/>
        </w:rPr>
        <w:t>Pacienti s </w:t>
      </w:r>
      <w:proofErr w:type="spellStart"/>
      <w:r w:rsidRPr="003E5F46">
        <w:rPr>
          <w:szCs w:val="22"/>
        </w:rPr>
        <w:t>kandidovou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endokarditídou</w:t>
      </w:r>
      <w:proofErr w:type="spellEnd"/>
      <w:r w:rsidRPr="003E5F46">
        <w:rPr>
          <w:szCs w:val="22"/>
        </w:rPr>
        <w:t xml:space="preserve">, </w:t>
      </w:r>
      <w:proofErr w:type="spellStart"/>
      <w:r w:rsidRPr="003E5F46">
        <w:rPr>
          <w:szCs w:val="22"/>
        </w:rPr>
        <w:t>osteomyelitídou</w:t>
      </w:r>
      <w:proofErr w:type="spellEnd"/>
      <w:r w:rsidRPr="003E5F46">
        <w:rPr>
          <w:szCs w:val="22"/>
        </w:rPr>
        <w:t xml:space="preserve"> alebo </w:t>
      </w:r>
      <w:proofErr w:type="spellStart"/>
      <w:r w:rsidRPr="003E5F46">
        <w:rPr>
          <w:szCs w:val="22"/>
        </w:rPr>
        <w:t>meningitídou</w:t>
      </w:r>
      <w:proofErr w:type="spellEnd"/>
      <w:r w:rsidRPr="003E5F46">
        <w:rPr>
          <w:szCs w:val="22"/>
        </w:rPr>
        <w:t xml:space="preserve">, alebo pacienti s infekciou vyvolanou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szCs w:val="22"/>
        </w:rPr>
        <w:t xml:space="preserve">, boli zo štúdie vylúčení. Pacienti po </w:t>
      </w:r>
      <w:proofErr w:type="spellStart"/>
      <w:r w:rsidRPr="003E5F46">
        <w:rPr>
          <w:szCs w:val="22"/>
        </w:rPr>
        <w:t>randomizácii</w:t>
      </w:r>
      <w:proofErr w:type="spellEnd"/>
      <w:r w:rsidRPr="003E5F46">
        <w:rPr>
          <w:szCs w:val="22"/>
        </w:rPr>
        <w:t xml:space="preserve"> dostávali buď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(200 mg intravenóznu </w:t>
      </w:r>
      <w:proofErr w:type="spellStart"/>
      <w:r w:rsidRPr="003E5F46">
        <w:rPr>
          <w:szCs w:val="22"/>
        </w:rPr>
        <w:t>nasycovaciu</w:t>
      </w:r>
      <w:proofErr w:type="spellEnd"/>
      <w:r w:rsidRPr="003E5F46">
        <w:rPr>
          <w:szCs w:val="22"/>
        </w:rPr>
        <w:t xml:space="preserve"> dávku s následnými dávkami 100 mg intravenózne denne) alebo </w:t>
      </w:r>
      <w:proofErr w:type="spellStart"/>
      <w:r w:rsidRPr="003E5F46">
        <w:rPr>
          <w:szCs w:val="22"/>
        </w:rPr>
        <w:t>flukonazol</w:t>
      </w:r>
      <w:proofErr w:type="spellEnd"/>
      <w:r w:rsidRPr="003E5F46">
        <w:rPr>
          <w:szCs w:val="22"/>
        </w:rPr>
        <w:t xml:space="preserve"> (800 mg intravenóznu </w:t>
      </w:r>
      <w:proofErr w:type="spellStart"/>
      <w:r w:rsidRPr="003E5F46">
        <w:rPr>
          <w:szCs w:val="22"/>
        </w:rPr>
        <w:t>nasycovaciu</w:t>
      </w:r>
      <w:proofErr w:type="spellEnd"/>
      <w:r w:rsidRPr="003E5F46">
        <w:rPr>
          <w:szCs w:val="22"/>
        </w:rPr>
        <w:t xml:space="preserve"> dávku s následnými dávkami 400 mg intravenózne denne) a boli stratifikovaní podľa hodnôt skóre APACHE II (≤ 20 a &gt; 20) a podľa prítomnosti alebo neprítomnosti </w:t>
      </w:r>
      <w:proofErr w:type="spellStart"/>
      <w:r w:rsidRPr="003E5F46">
        <w:rPr>
          <w:szCs w:val="22"/>
        </w:rPr>
        <w:t>neutropénie</w:t>
      </w:r>
      <w:proofErr w:type="spellEnd"/>
      <w:r w:rsidRPr="003E5F46">
        <w:rPr>
          <w:szCs w:val="22"/>
        </w:rPr>
        <w:t>. Liečba sa podávala minimálne 14 a </w:t>
      </w:r>
      <w:r w:rsidR="00841F9C">
        <w:rPr>
          <w:szCs w:val="22"/>
        </w:rPr>
        <w:t>nie viac ako 42 dní. Po minimálne 10 </w:t>
      </w:r>
      <w:r w:rsidRPr="003E5F46">
        <w:rPr>
          <w:szCs w:val="22"/>
        </w:rPr>
        <w:t xml:space="preserve">dňoch intravenóznej liečby mali pacienti v oboch skupinách štúdie povolenú zmenu liečby na perorálnu formu </w:t>
      </w:r>
      <w:proofErr w:type="spellStart"/>
      <w:r w:rsidRPr="003E5F46">
        <w:rPr>
          <w:szCs w:val="22"/>
        </w:rPr>
        <w:t>flukonazolu</w:t>
      </w:r>
      <w:proofErr w:type="spellEnd"/>
      <w:r w:rsidRPr="003E5F46">
        <w:rPr>
          <w:szCs w:val="22"/>
        </w:rPr>
        <w:t xml:space="preserve"> pod podmienkou, že boli schopní tolerovať</w:t>
      </w:r>
      <w:r w:rsidR="00841F9C">
        <w:rPr>
          <w:szCs w:val="22"/>
        </w:rPr>
        <w:t xml:space="preserve"> perorálne lieky, boli aspoň 24 </w:t>
      </w:r>
      <w:r w:rsidRPr="003E5F46">
        <w:rPr>
          <w:szCs w:val="22"/>
        </w:rPr>
        <w:t xml:space="preserve">hodín </w:t>
      </w:r>
      <w:proofErr w:type="spellStart"/>
      <w:r w:rsidRPr="003E5F46">
        <w:rPr>
          <w:szCs w:val="22"/>
        </w:rPr>
        <w:t>afebrilní</w:t>
      </w:r>
      <w:proofErr w:type="spellEnd"/>
      <w:r w:rsidRPr="003E5F46">
        <w:rPr>
          <w:szCs w:val="22"/>
        </w:rPr>
        <w:t xml:space="preserve"> a posledné </w:t>
      </w:r>
      <w:proofErr w:type="spellStart"/>
      <w:r w:rsidRPr="003E5F46">
        <w:rPr>
          <w:szCs w:val="22"/>
        </w:rPr>
        <w:t>hemokultúry</w:t>
      </w:r>
      <w:proofErr w:type="spellEnd"/>
      <w:r w:rsidRPr="003E5F46">
        <w:rPr>
          <w:szCs w:val="22"/>
        </w:rPr>
        <w:t xml:space="preserve"> boli negatívne na prítomnosť druhov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i/>
          <w:szCs w:val="22"/>
        </w:rPr>
        <w:t>.</w:t>
      </w:r>
    </w:p>
    <w:p w14:paraId="069F42D4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D64410">
        <w:rPr>
          <w:szCs w:val="22"/>
        </w:rPr>
        <w:t>Pacie</w:t>
      </w:r>
      <w:r w:rsidRPr="003E5F46">
        <w:rPr>
          <w:szCs w:val="22"/>
        </w:rPr>
        <w:t xml:space="preserve">nti, ktorí v štúdii dostali aspoň jednu dávku skúšaného lieku a tí, ktorí pred zaradením do štúdie mali z miesta za normálnych okolností sterilného pozitívnu kultiváciu na druhy </w:t>
      </w:r>
      <w:proofErr w:type="spellStart"/>
      <w:r w:rsidRPr="003E5F46">
        <w:rPr>
          <w:i/>
          <w:szCs w:val="22"/>
        </w:rPr>
        <w:t>Candida</w:t>
      </w:r>
      <w:proofErr w:type="spellEnd"/>
      <w:r w:rsidRPr="003E5F46">
        <w:rPr>
          <w:szCs w:val="22"/>
        </w:rPr>
        <w:t>, tvorili modifikovanú populáciu so zámerom liečby (</w:t>
      </w:r>
      <w:proofErr w:type="spellStart"/>
      <w:r w:rsidRPr="003E5F46">
        <w:rPr>
          <w:szCs w:val="22"/>
        </w:rPr>
        <w:t>modified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intent</w:t>
      </w:r>
      <w:proofErr w:type="spellEnd"/>
      <w:r w:rsidRPr="003E5F46">
        <w:rPr>
          <w:szCs w:val="22"/>
        </w:rPr>
        <w:t>-to-</w:t>
      </w:r>
      <w:proofErr w:type="spellStart"/>
      <w:r w:rsidRPr="003E5F46">
        <w:rPr>
          <w:szCs w:val="22"/>
        </w:rPr>
        <w:t>treat</w:t>
      </w:r>
      <w:proofErr w:type="spellEnd"/>
      <w:r w:rsidRPr="003E5F46">
        <w:rPr>
          <w:szCs w:val="22"/>
        </w:rPr>
        <w:t xml:space="preserve">, MITT). V analýze primárnej </w:t>
      </w:r>
      <w:r w:rsidRPr="003E5F46">
        <w:rPr>
          <w:szCs w:val="22"/>
        </w:rPr>
        <w:lastRenderedPageBreak/>
        <w:t xml:space="preserve">účinnosti celkovej odpovede v populáciách MITT na konci intravenóznej liečby, sa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porovnával s </w:t>
      </w:r>
      <w:proofErr w:type="spellStart"/>
      <w:r w:rsidRPr="003E5F46">
        <w:rPr>
          <w:szCs w:val="22"/>
        </w:rPr>
        <w:t>flukonazolom</w:t>
      </w:r>
      <w:proofErr w:type="spellEnd"/>
      <w:r w:rsidRPr="003E5F46">
        <w:rPr>
          <w:szCs w:val="22"/>
        </w:rPr>
        <w:t xml:space="preserve"> podľa preddefinovaného dvojfázového štatistického porovnania (porovnaním </w:t>
      </w:r>
      <w:proofErr w:type="spellStart"/>
      <w:r w:rsidRPr="003E5F46">
        <w:rPr>
          <w:szCs w:val="22"/>
        </w:rPr>
        <w:t>noninferiority</w:t>
      </w:r>
      <w:proofErr w:type="spellEnd"/>
      <w:r w:rsidRPr="003E5F46">
        <w:rPr>
          <w:szCs w:val="22"/>
        </w:rPr>
        <w:t xml:space="preserve"> a po nej superiority). Úspešná celková odpoveď si vyžadovala klinické zlepšenie a mikrobiologickú </w:t>
      </w:r>
      <w:proofErr w:type="spellStart"/>
      <w:r w:rsidRPr="003E5F46">
        <w:rPr>
          <w:szCs w:val="22"/>
        </w:rPr>
        <w:t>eradikáciu</w:t>
      </w:r>
      <w:proofErr w:type="spellEnd"/>
      <w:r w:rsidRPr="003E5F46">
        <w:rPr>
          <w:szCs w:val="22"/>
        </w:rPr>
        <w:t>. Pacienti boli sledovaní ešte šesť týždňov po ukončení celej liečby.</w:t>
      </w:r>
    </w:p>
    <w:p w14:paraId="26D369A7" w14:textId="77777777" w:rsidR="004B4653" w:rsidRPr="003E5F46" w:rsidRDefault="004B4653" w:rsidP="004B4653">
      <w:pPr>
        <w:pStyle w:val="Zkladntext"/>
        <w:ind w:right="-2"/>
        <w:rPr>
          <w:szCs w:val="22"/>
        </w:rPr>
      </w:pPr>
    </w:p>
    <w:p w14:paraId="1788ECB5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>Dvestopäťdesiatšes</w:t>
      </w:r>
      <w:r w:rsidR="001F5BE6">
        <w:rPr>
          <w:szCs w:val="22"/>
        </w:rPr>
        <w:t>ť pacientov vo veku od 16 do 91 </w:t>
      </w:r>
      <w:r w:rsidRPr="003E5F46">
        <w:rPr>
          <w:szCs w:val="22"/>
        </w:rPr>
        <w:t xml:space="preserve">rokov bolo </w:t>
      </w:r>
      <w:proofErr w:type="spellStart"/>
      <w:r w:rsidRPr="003E5F46">
        <w:rPr>
          <w:szCs w:val="22"/>
        </w:rPr>
        <w:t>randomizovaných</w:t>
      </w:r>
      <w:proofErr w:type="spellEnd"/>
      <w:r w:rsidRPr="003E5F46">
        <w:rPr>
          <w:szCs w:val="22"/>
        </w:rPr>
        <w:t xml:space="preserve"> na liečbu a dostalo aspoň jednu dávku skúšaného lieku. Najčastejšie druhy izolované pri vstupnom vyšetrení boli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(63,8 %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59,3 % </w:t>
      </w:r>
      <w:proofErr w:type="spellStart"/>
      <w:r w:rsidRPr="003E5F46">
        <w:rPr>
          <w:szCs w:val="22"/>
        </w:rPr>
        <w:t>flukonazol</w:t>
      </w:r>
      <w:proofErr w:type="spellEnd"/>
      <w:r w:rsidRPr="003E5F46">
        <w:rPr>
          <w:szCs w:val="22"/>
        </w:rPr>
        <w:t xml:space="preserve">), ďalej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(15,7 %, 25,4 %),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parapsilosis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(10,2 %, 13,6 %) 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(11,8 %, 9,3 %) – pričom z posledných 3 menovaných druhov bolo 20, 13 a 15 </w:t>
      </w:r>
      <w:proofErr w:type="spellStart"/>
      <w:r w:rsidRPr="003E5F46">
        <w:rPr>
          <w:szCs w:val="22"/>
        </w:rPr>
        <w:t>izolátov</w:t>
      </w:r>
      <w:proofErr w:type="spellEnd"/>
      <w:r w:rsidRPr="003E5F46">
        <w:rPr>
          <w:szCs w:val="22"/>
        </w:rPr>
        <w:t xml:space="preserve"> v skupine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 xml:space="preserve">. Väčšina pacientov mala skóre Apache II ≤ 20 a len veľmi málo bolo </w:t>
      </w:r>
      <w:proofErr w:type="spellStart"/>
      <w:r w:rsidRPr="003E5F46">
        <w:rPr>
          <w:szCs w:val="22"/>
        </w:rPr>
        <w:t>neutropenických</w:t>
      </w:r>
      <w:proofErr w:type="spellEnd"/>
      <w:r w:rsidRPr="003E5F46">
        <w:rPr>
          <w:szCs w:val="22"/>
        </w:rPr>
        <w:t>.</w:t>
      </w:r>
    </w:p>
    <w:p w14:paraId="7AEDA8B4" w14:textId="77777777" w:rsidR="004B4653" w:rsidRPr="003E5F46" w:rsidRDefault="004B4653" w:rsidP="004B4653">
      <w:pPr>
        <w:pStyle w:val="Zkladntext"/>
        <w:rPr>
          <w:szCs w:val="22"/>
        </w:rPr>
      </w:pPr>
    </w:p>
    <w:p w14:paraId="0A6DF023" w14:textId="77777777" w:rsidR="004B4653" w:rsidRPr="003E5F46" w:rsidRDefault="004B4653" w:rsidP="004B4653">
      <w:pPr>
        <w:pStyle w:val="Zkladntext"/>
        <w:ind w:right="423"/>
        <w:rPr>
          <w:szCs w:val="22"/>
        </w:rPr>
      </w:pPr>
      <w:r w:rsidRPr="003E5F46">
        <w:rPr>
          <w:szCs w:val="22"/>
        </w:rPr>
        <w:t>Údaje o účinnosti, celkovej aj v rôznych podskupinách, sú uvedené v tabuľke 3.</w:t>
      </w:r>
    </w:p>
    <w:p w14:paraId="36A2342D" w14:textId="77777777" w:rsidR="004B4653" w:rsidRPr="003E5F46" w:rsidRDefault="004B4653" w:rsidP="004B4653">
      <w:pPr>
        <w:pStyle w:val="Zkladntext"/>
        <w:ind w:right="423"/>
        <w:rPr>
          <w:szCs w:val="22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702"/>
        <w:gridCol w:w="1841"/>
        <w:gridCol w:w="1843"/>
      </w:tblGrid>
      <w:tr w:rsidR="004B4653" w:rsidRPr="003E5F46" w14:paraId="47F1D81B" w14:textId="77777777" w:rsidTr="007B2646">
        <w:trPr>
          <w:trHeight w:hRule="exact" w:val="516"/>
        </w:trPr>
        <w:tc>
          <w:tcPr>
            <w:tcW w:w="9356" w:type="dxa"/>
            <w:gridSpan w:val="4"/>
          </w:tcPr>
          <w:p w14:paraId="07B86470" w14:textId="77777777" w:rsidR="004B4653" w:rsidRPr="003E5F46" w:rsidRDefault="004B4653" w:rsidP="00D23A0A">
            <w:pPr>
              <w:pStyle w:val="TableParagraph"/>
              <w:keepNext/>
              <w:ind w:left="1281" w:right="646" w:hanging="1134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Tabuľka 3</w:t>
            </w:r>
            <w:r w:rsidRPr="003E5F46">
              <w:rPr>
                <w:sz w:val="22"/>
                <w:szCs w:val="22"/>
                <w:lang w:val="sk-SK"/>
              </w:rPr>
              <w:t xml:space="preserve">. </w:t>
            </w:r>
            <w:r w:rsidRPr="003E5F46">
              <w:rPr>
                <w:b/>
                <w:sz w:val="22"/>
                <w:szCs w:val="22"/>
                <w:lang w:val="sk-SK"/>
              </w:rPr>
              <w:t>Celková úspešnosť v MITT populácii: primárne a sekundárne koncové ukazovatele</w:t>
            </w:r>
          </w:p>
        </w:tc>
      </w:tr>
      <w:tr w:rsidR="004B4653" w:rsidRPr="003E5F46" w14:paraId="2DFC37F9" w14:textId="77777777" w:rsidTr="007B2646">
        <w:trPr>
          <w:trHeight w:hRule="exact" w:val="770"/>
        </w:trPr>
        <w:tc>
          <w:tcPr>
            <w:tcW w:w="3970" w:type="dxa"/>
          </w:tcPr>
          <w:p w14:paraId="23FC5F39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702" w:type="dxa"/>
          </w:tcPr>
          <w:p w14:paraId="23DDD843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Anidulafungín</w:t>
            </w:r>
            <w:proofErr w:type="spellEnd"/>
          </w:p>
        </w:tc>
        <w:tc>
          <w:tcPr>
            <w:tcW w:w="1841" w:type="dxa"/>
          </w:tcPr>
          <w:p w14:paraId="10BE51EB" w14:textId="77777777" w:rsidR="004B4653" w:rsidRPr="003E5F46" w:rsidRDefault="004B4653" w:rsidP="007B2646">
            <w:pPr>
              <w:pStyle w:val="TableParagraph"/>
              <w:ind w:left="420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Flukonazol</w:t>
            </w:r>
            <w:proofErr w:type="spellEnd"/>
          </w:p>
        </w:tc>
        <w:tc>
          <w:tcPr>
            <w:tcW w:w="1843" w:type="dxa"/>
          </w:tcPr>
          <w:p w14:paraId="70595419" w14:textId="77777777" w:rsidR="004B4653" w:rsidRPr="003E5F46" w:rsidRDefault="004B4653" w:rsidP="007B2646">
            <w:pPr>
              <w:pStyle w:val="TableParagraph"/>
              <w:ind w:left="278" w:right="27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Rozdiel medzi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skupinami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  <w:r w:rsidRPr="003E5F46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>(95% IS)</w:t>
            </w:r>
          </w:p>
        </w:tc>
      </w:tr>
      <w:tr w:rsidR="004B4653" w:rsidRPr="003E5F46" w14:paraId="419C64B7" w14:textId="77777777" w:rsidTr="007B2646">
        <w:trPr>
          <w:trHeight w:hRule="exact" w:val="567"/>
        </w:trPr>
        <w:tc>
          <w:tcPr>
            <w:tcW w:w="3970" w:type="dxa"/>
          </w:tcPr>
          <w:p w14:paraId="3FFC0CB8" w14:textId="77777777" w:rsidR="004B4653" w:rsidRPr="003E5F46" w:rsidRDefault="004B4653" w:rsidP="007B2646">
            <w:pPr>
              <w:pStyle w:val="TableParagraph"/>
              <w:ind w:left="103" w:right="189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Koniec intravenóznej liečby (primárny koncový ukazovateľ)</w:t>
            </w:r>
          </w:p>
        </w:tc>
        <w:tc>
          <w:tcPr>
            <w:tcW w:w="1702" w:type="dxa"/>
          </w:tcPr>
          <w:p w14:paraId="4380D0B3" w14:textId="77777777" w:rsidR="004B4653" w:rsidRPr="003E5F46" w:rsidRDefault="004B4653" w:rsidP="007B2646">
            <w:pPr>
              <w:pStyle w:val="TableParagraph"/>
              <w:ind w:left="88" w:right="91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96/127 (75,6 %)</w:t>
            </w:r>
          </w:p>
        </w:tc>
        <w:tc>
          <w:tcPr>
            <w:tcW w:w="1841" w:type="dxa"/>
          </w:tcPr>
          <w:p w14:paraId="3FD34569" w14:textId="77777777" w:rsidR="004B4653" w:rsidRPr="003E5F46" w:rsidRDefault="004B4653" w:rsidP="007B2646">
            <w:pPr>
              <w:pStyle w:val="TableParagraph"/>
              <w:ind w:left="177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71/118 (60,2 %)</w:t>
            </w:r>
          </w:p>
        </w:tc>
        <w:tc>
          <w:tcPr>
            <w:tcW w:w="1843" w:type="dxa"/>
          </w:tcPr>
          <w:p w14:paraId="271A9394" w14:textId="77777777" w:rsidR="004B4653" w:rsidRPr="003E5F46" w:rsidRDefault="004B4653" w:rsidP="007B2646">
            <w:pPr>
              <w:pStyle w:val="TableParagraph"/>
              <w:ind w:left="182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15,42 (3,9; 27,0)</w:t>
            </w:r>
          </w:p>
        </w:tc>
      </w:tr>
      <w:tr w:rsidR="004B4653" w:rsidRPr="003E5F46" w14:paraId="3007AEDA" w14:textId="77777777" w:rsidTr="007B2646">
        <w:trPr>
          <w:trHeight w:hRule="exact" w:val="284"/>
        </w:trPr>
        <w:tc>
          <w:tcPr>
            <w:tcW w:w="3970" w:type="dxa"/>
          </w:tcPr>
          <w:p w14:paraId="27D0930E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Len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kandidémia</w:t>
            </w:r>
            <w:proofErr w:type="spellEnd"/>
          </w:p>
        </w:tc>
        <w:tc>
          <w:tcPr>
            <w:tcW w:w="1702" w:type="dxa"/>
          </w:tcPr>
          <w:p w14:paraId="07A63A02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88/116 (75,9 %)</w:t>
            </w:r>
          </w:p>
        </w:tc>
        <w:tc>
          <w:tcPr>
            <w:tcW w:w="1841" w:type="dxa"/>
          </w:tcPr>
          <w:p w14:paraId="0F0C21DE" w14:textId="77777777" w:rsidR="004B4653" w:rsidRPr="003E5F46" w:rsidRDefault="004B4653" w:rsidP="007B2646">
            <w:pPr>
              <w:pStyle w:val="TableParagraph"/>
              <w:ind w:left="196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63/103 (61,2 %)</w:t>
            </w:r>
          </w:p>
        </w:tc>
        <w:tc>
          <w:tcPr>
            <w:tcW w:w="1843" w:type="dxa"/>
          </w:tcPr>
          <w:p w14:paraId="5F7BEB88" w14:textId="77777777" w:rsidR="004B4653" w:rsidRPr="003E5F46" w:rsidRDefault="004B4653" w:rsidP="007B2646">
            <w:pPr>
              <w:pStyle w:val="TableParagraph"/>
              <w:ind w:left="237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14,7 (2,5; 26,9)</w:t>
            </w:r>
          </w:p>
        </w:tc>
      </w:tr>
      <w:tr w:rsidR="004B4653" w:rsidRPr="003E5F46" w14:paraId="055AC47A" w14:textId="77777777" w:rsidTr="007B2646">
        <w:trPr>
          <w:trHeight w:hRule="exact" w:val="284"/>
        </w:trPr>
        <w:tc>
          <w:tcPr>
            <w:tcW w:w="3970" w:type="dxa"/>
          </w:tcPr>
          <w:p w14:paraId="31CBB0FF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Iné sterilné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miesta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1702" w:type="dxa"/>
          </w:tcPr>
          <w:p w14:paraId="6E51EB45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8/11 (72,7 %)</w:t>
            </w:r>
          </w:p>
        </w:tc>
        <w:tc>
          <w:tcPr>
            <w:tcW w:w="1841" w:type="dxa"/>
          </w:tcPr>
          <w:p w14:paraId="57BB9E97" w14:textId="77777777" w:rsidR="004B4653" w:rsidRPr="003E5F46" w:rsidRDefault="004B4653" w:rsidP="007B2646">
            <w:pPr>
              <w:pStyle w:val="TableParagraph"/>
              <w:ind w:left="304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8/15 (53,3 %)</w:t>
            </w:r>
          </w:p>
        </w:tc>
        <w:tc>
          <w:tcPr>
            <w:tcW w:w="1843" w:type="dxa"/>
          </w:tcPr>
          <w:p w14:paraId="53BFEFAE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7CD39863" w14:textId="77777777" w:rsidTr="007B2646">
        <w:trPr>
          <w:trHeight w:hRule="exact" w:val="284"/>
        </w:trPr>
        <w:tc>
          <w:tcPr>
            <w:tcW w:w="3970" w:type="dxa"/>
          </w:tcPr>
          <w:p w14:paraId="06301CC5" w14:textId="77777777" w:rsidR="004B4653" w:rsidRPr="003E5F46" w:rsidRDefault="004B4653" w:rsidP="007B2646">
            <w:pPr>
              <w:pStyle w:val="TableParagraph"/>
              <w:ind w:left="147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Peritoneálna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tekutina/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IA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c</w:t>
            </w:r>
            <w:proofErr w:type="spellEnd"/>
            <w:r w:rsidRPr="003E5F46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>absces</w:t>
            </w:r>
          </w:p>
        </w:tc>
        <w:tc>
          <w:tcPr>
            <w:tcW w:w="1702" w:type="dxa"/>
          </w:tcPr>
          <w:p w14:paraId="7ECC57A0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6/8</w:t>
            </w:r>
          </w:p>
        </w:tc>
        <w:tc>
          <w:tcPr>
            <w:tcW w:w="1841" w:type="dxa"/>
          </w:tcPr>
          <w:p w14:paraId="004A9FD2" w14:textId="77777777" w:rsidR="004B4653" w:rsidRPr="003E5F46" w:rsidRDefault="004B4653" w:rsidP="007B2646">
            <w:pPr>
              <w:pStyle w:val="TableParagraph"/>
              <w:ind w:left="754" w:right="75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5/8</w:t>
            </w:r>
          </w:p>
        </w:tc>
        <w:tc>
          <w:tcPr>
            <w:tcW w:w="1843" w:type="dxa"/>
          </w:tcPr>
          <w:p w14:paraId="49E1F728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05B881BD" w14:textId="77777777" w:rsidTr="007B2646">
        <w:trPr>
          <w:trHeight w:hRule="exact" w:val="284"/>
        </w:trPr>
        <w:tc>
          <w:tcPr>
            <w:tcW w:w="3970" w:type="dxa"/>
          </w:tcPr>
          <w:p w14:paraId="5C8A1AE7" w14:textId="77777777" w:rsidR="004B4653" w:rsidRPr="003E5F46" w:rsidRDefault="004B4653" w:rsidP="007B2646">
            <w:pPr>
              <w:pStyle w:val="TableParagraph"/>
              <w:ind w:left="147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Iné</w:t>
            </w:r>
          </w:p>
        </w:tc>
        <w:tc>
          <w:tcPr>
            <w:tcW w:w="1702" w:type="dxa"/>
          </w:tcPr>
          <w:p w14:paraId="39370362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2/3</w:t>
            </w:r>
          </w:p>
        </w:tc>
        <w:tc>
          <w:tcPr>
            <w:tcW w:w="1841" w:type="dxa"/>
          </w:tcPr>
          <w:p w14:paraId="0E899CEC" w14:textId="77777777" w:rsidR="004B4653" w:rsidRPr="003E5F46" w:rsidRDefault="004B4653" w:rsidP="007B2646">
            <w:pPr>
              <w:pStyle w:val="TableParagraph"/>
              <w:ind w:left="754" w:right="75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3/7</w:t>
            </w:r>
          </w:p>
        </w:tc>
        <w:tc>
          <w:tcPr>
            <w:tcW w:w="1843" w:type="dxa"/>
          </w:tcPr>
          <w:p w14:paraId="5055C6CD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0D5C764B" w14:textId="77777777" w:rsidTr="007B2646">
        <w:trPr>
          <w:trHeight w:hRule="exact" w:val="284"/>
        </w:trPr>
        <w:tc>
          <w:tcPr>
            <w:tcW w:w="3970" w:type="dxa"/>
          </w:tcPr>
          <w:p w14:paraId="1255EC48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702" w:type="dxa"/>
          </w:tcPr>
          <w:p w14:paraId="0556379D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1" w:type="dxa"/>
          </w:tcPr>
          <w:p w14:paraId="57A03104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37853C06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1F6B76C5" w14:textId="77777777" w:rsidTr="007B2646">
        <w:trPr>
          <w:trHeight w:hRule="exact" w:val="284"/>
        </w:trPr>
        <w:tc>
          <w:tcPr>
            <w:tcW w:w="3970" w:type="dxa"/>
          </w:tcPr>
          <w:p w14:paraId="2F32D2FE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i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3E5F46">
              <w:rPr>
                <w:i/>
                <w:sz w:val="22"/>
                <w:szCs w:val="22"/>
                <w:lang w:val="sk-SK"/>
              </w:rPr>
              <w:t>albicans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1702" w:type="dxa"/>
          </w:tcPr>
          <w:p w14:paraId="4BD53982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60/74 (81,1 %)</w:t>
            </w:r>
          </w:p>
        </w:tc>
        <w:tc>
          <w:tcPr>
            <w:tcW w:w="1841" w:type="dxa"/>
          </w:tcPr>
          <w:p w14:paraId="4E0C04E5" w14:textId="77777777" w:rsidR="004B4653" w:rsidRPr="003E5F46" w:rsidRDefault="004B4653" w:rsidP="007B2646">
            <w:pPr>
              <w:pStyle w:val="TableParagraph"/>
              <w:ind w:left="249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38/61 (62,3 %)</w:t>
            </w:r>
          </w:p>
        </w:tc>
        <w:tc>
          <w:tcPr>
            <w:tcW w:w="1843" w:type="dxa"/>
          </w:tcPr>
          <w:p w14:paraId="3E24A8C6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5ADB77E3" w14:textId="77777777" w:rsidTr="007B2646">
        <w:trPr>
          <w:trHeight w:hRule="exact" w:val="284"/>
        </w:trPr>
        <w:tc>
          <w:tcPr>
            <w:tcW w:w="3970" w:type="dxa"/>
          </w:tcPr>
          <w:p w14:paraId="78B817F0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Druhy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non-</w:t>
            </w:r>
            <w:r w:rsidRPr="003E5F46">
              <w:rPr>
                <w:i/>
                <w:sz w:val="22"/>
                <w:szCs w:val="22"/>
                <w:lang w:val="sk-SK"/>
              </w:rPr>
              <w:t>albicans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1702" w:type="dxa"/>
          </w:tcPr>
          <w:p w14:paraId="497B511E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32/45 (71,1 %)</w:t>
            </w:r>
          </w:p>
        </w:tc>
        <w:tc>
          <w:tcPr>
            <w:tcW w:w="1841" w:type="dxa"/>
          </w:tcPr>
          <w:p w14:paraId="1AE3BA5A" w14:textId="77777777" w:rsidR="004B4653" w:rsidRPr="003E5F46" w:rsidRDefault="004B4653" w:rsidP="007B2646">
            <w:pPr>
              <w:pStyle w:val="TableParagraph"/>
              <w:ind w:left="249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27/45 (60,0 %)</w:t>
            </w:r>
          </w:p>
        </w:tc>
        <w:tc>
          <w:tcPr>
            <w:tcW w:w="1843" w:type="dxa"/>
          </w:tcPr>
          <w:p w14:paraId="2D70C8FE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6AD60CAC" w14:textId="77777777" w:rsidTr="007B2646">
        <w:trPr>
          <w:trHeight w:hRule="exact" w:val="284"/>
        </w:trPr>
        <w:tc>
          <w:tcPr>
            <w:tcW w:w="3970" w:type="dxa"/>
          </w:tcPr>
          <w:p w14:paraId="30932179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702" w:type="dxa"/>
          </w:tcPr>
          <w:p w14:paraId="1777E8EA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1" w:type="dxa"/>
          </w:tcPr>
          <w:p w14:paraId="6E2F1732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1F99D03A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38CE527D" w14:textId="77777777" w:rsidTr="007B2646">
        <w:trPr>
          <w:trHeight w:hRule="exact" w:val="284"/>
        </w:trPr>
        <w:tc>
          <w:tcPr>
            <w:tcW w:w="3970" w:type="dxa"/>
          </w:tcPr>
          <w:p w14:paraId="30B106E4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Skóre Apache II ≤ 20</w:t>
            </w:r>
          </w:p>
        </w:tc>
        <w:tc>
          <w:tcPr>
            <w:tcW w:w="1702" w:type="dxa"/>
          </w:tcPr>
          <w:p w14:paraId="12621B98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82/101 (81,2 %)</w:t>
            </w:r>
          </w:p>
        </w:tc>
        <w:tc>
          <w:tcPr>
            <w:tcW w:w="1841" w:type="dxa"/>
          </w:tcPr>
          <w:p w14:paraId="58C943A0" w14:textId="77777777" w:rsidR="004B4653" w:rsidRPr="003E5F46" w:rsidRDefault="004B4653" w:rsidP="007B2646">
            <w:pPr>
              <w:pStyle w:val="TableParagraph"/>
              <w:ind w:left="249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60/98 (61,2 %)</w:t>
            </w:r>
          </w:p>
        </w:tc>
        <w:tc>
          <w:tcPr>
            <w:tcW w:w="1843" w:type="dxa"/>
          </w:tcPr>
          <w:p w14:paraId="3C342DD0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5B3B703C" w14:textId="77777777" w:rsidTr="007B2646">
        <w:trPr>
          <w:trHeight w:hRule="exact" w:val="284"/>
        </w:trPr>
        <w:tc>
          <w:tcPr>
            <w:tcW w:w="3970" w:type="dxa"/>
          </w:tcPr>
          <w:p w14:paraId="5E3F5BA7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Skóre Apache II &gt; 20</w:t>
            </w:r>
          </w:p>
        </w:tc>
        <w:tc>
          <w:tcPr>
            <w:tcW w:w="1702" w:type="dxa"/>
          </w:tcPr>
          <w:p w14:paraId="3FABF221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14/26 (53,8 %)</w:t>
            </w:r>
          </w:p>
        </w:tc>
        <w:tc>
          <w:tcPr>
            <w:tcW w:w="1841" w:type="dxa"/>
          </w:tcPr>
          <w:p w14:paraId="4274BB5F" w14:textId="77777777" w:rsidR="004B4653" w:rsidRPr="003E5F46" w:rsidRDefault="004B4653" w:rsidP="007B2646">
            <w:pPr>
              <w:pStyle w:val="TableParagraph"/>
              <w:ind w:left="249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11/20 (55,0 %)</w:t>
            </w:r>
          </w:p>
        </w:tc>
        <w:tc>
          <w:tcPr>
            <w:tcW w:w="1843" w:type="dxa"/>
          </w:tcPr>
          <w:p w14:paraId="13450E1F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6227802E" w14:textId="77777777" w:rsidTr="007B2646">
        <w:trPr>
          <w:trHeight w:hRule="exact" w:val="284"/>
        </w:trPr>
        <w:tc>
          <w:tcPr>
            <w:tcW w:w="3970" w:type="dxa"/>
          </w:tcPr>
          <w:p w14:paraId="124D97C0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702" w:type="dxa"/>
          </w:tcPr>
          <w:p w14:paraId="45C34E15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1" w:type="dxa"/>
          </w:tcPr>
          <w:p w14:paraId="70975158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78189560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6C632BC0" w14:textId="77777777" w:rsidTr="007B2646">
        <w:trPr>
          <w:trHeight w:hRule="exact" w:val="567"/>
        </w:trPr>
        <w:tc>
          <w:tcPr>
            <w:tcW w:w="3970" w:type="dxa"/>
          </w:tcPr>
          <w:p w14:paraId="206D4BBD" w14:textId="77777777" w:rsidR="004B4653" w:rsidRPr="003E5F46" w:rsidRDefault="004B4653" w:rsidP="007B2646">
            <w:pPr>
              <w:pStyle w:val="TableParagraph"/>
              <w:ind w:left="103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Bez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neutropénie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</w:t>
            </w:r>
            <w:r w:rsidRPr="003E5F46">
              <w:rPr>
                <w:b/>
                <w:sz w:val="22"/>
                <w:szCs w:val="22"/>
                <w:lang w:val="sk-SK"/>
              </w:rPr>
              <w:t xml:space="preserve">(absolútny počet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neutrofilov</w:t>
            </w:r>
            <w:proofErr w:type="spellEnd"/>
            <w:r w:rsidRPr="003E5F46">
              <w:rPr>
                <w:b/>
                <w:sz w:val="22"/>
                <w:szCs w:val="22"/>
                <w:lang w:val="sk-SK"/>
              </w:rPr>
              <w:t>, bunky/mm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3</w:t>
            </w:r>
            <w:r w:rsidRPr="003E5F46">
              <w:rPr>
                <w:b/>
                <w:sz w:val="22"/>
                <w:szCs w:val="22"/>
                <w:lang w:val="sk-SK"/>
              </w:rPr>
              <w:t xml:space="preserve"> &gt; 500)</w:t>
            </w:r>
          </w:p>
        </w:tc>
        <w:tc>
          <w:tcPr>
            <w:tcW w:w="1702" w:type="dxa"/>
          </w:tcPr>
          <w:p w14:paraId="1BFF6223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94/124 (75,8 %)</w:t>
            </w:r>
          </w:p>
        </w:tc>
        <w:tc>
          <w:tcPr>
            <w:tcW w:w="1841" w:type="dxa"/>
          </w:tcPr>
          <w:p w14:paraId="2F648F57" w14:textId="77777777" w:rsidR="004B4653" w:rsidRPr="003E5F46" w:rsidRDefault="004B4653" w:rsidP="007B2646">
            <w:pPr>
              <w:pStyle w:val="TableParagraph"/>
              <w:ind w:left="196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69/114 (60,5 %)</w:t>
            </w:r>
          </w:p>
        </w:tc>
        <w:tc>
          <w:tcPr>
            <w:tcW w:w="1843" w:type="dxa"/>
          </w:tcPr>
          <w:p w14:paraId="3FDBC00B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0D1DCB9B" w14:textId="77777777" w:rsidTr="007B2646">
        <w:trPr>
          <w:trHeight w:hRule="exact" w:val="567"/>
        </w:trPr>
        <w:tc>
          <w:tcPr>
            <w:tcW w:w="3970" w:type="dxa"/>
          </w:tcPr>
          <w:p w14:paraId="33926913" w14:textId="77777777" w:rsidR="004B4653" w:rsidRPr="003E5F46" w:rsidRDefault="004B4653" w:rsidP="007B2646">
            <w:pPr>
              <w:pStyle w:val="TableParagraph"/>
              <w:ind w:left="103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S 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neutropéniou</w:t>
            </w:r>
            <w:proofErr w:type="spellEnd"/>
            <w:r w:rsidRPr="003E5F46">
              <w:rPr>
                <w:b/>
                <w:sz w:val="22"/>
                <w:szCs w:val="22"/>
                <w:lang w:val="sk-SK"/>
              </w:rPr>
              <w:t xml:space="preserve"> (absolútny počet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neutrofilov</w:t>
            </w:r>
            <w:proofErr w:type="spellEnd"/>
            <w:r w:rsidRPr="003E5F46">
              <w:rPr>
                <w:b/>
                <w:sz w:val="22"/>
                <w:szCs w:val="22"/>
                <w:lang w:val="sk-SK"/>
              </w:rPr>
              <w:t>, bunky/mm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3</w:t>
            </w:r>
            <w:r w:rsidRPr="003E5F46">
              <w:rPr>
                <w:b/>
                <w:sz w:val="22"/>
                <w:szCs w:val="22"/>
                <w:lang w:val="sk-SK"/>
              </w:rPr>
              <w:t xml:space="preserve"> ≤ 500)</w:t>
            </w:r>
          </w:p>
        </w:tc>
        <w:tc>
          <w:tcPr>
            <w:tcW w:w="1702" w:type="dxa"/>
          </w:tcPr>
          <w:p w14:paraId="12D5CF5A" w14:textId="77777777" w:rsidR="004B4653" w:rsidRPr="003E5F46" w:rsidRDefault="004B4653" w:rsidP="007B2646">
            <w:pPr>
              <w:pStyle w:val="TableParagraph"/>
              <w:ind w:left="88" w:right="8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2/3</w:t>
            </w:r>
          </w:p>
        </w:tc>
        <w:tc>
          <w:tcPr>
            <w:tcW w:w="1841" w:type="dxa"/>
          </w:tcPr>
          <w:p w14:paraId="2F80742E" w14:textId="77777777" w:rsidR="004B4653" w:rsidRPr="003E5F46" w:rsidRDefault="004B4653" w:rsidP="007B2646">
            <w:pPr>
              <w:pStyle w:val="TableParagraph"/>
              <w:ind w:left="754" w:right="75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2/4</w:t>
            </w:r>
          </w:p>
        </w:tc>
        <w:tc>
          <w:tcPr>
            <w:tcW w:w="1843" w:type="dxa"/>
          </w:tcPr>
          <w:p w14:paraId="6DF5E34C" w14:textId="77777777" w:rsidR="004B4653" w:rsidRPr="003E5F46" w:rsidRDefault="004B4653" w:rsidP="007B2646">
            <w:pPr>
              <w:pStyle w:val="TableParagraph"/>
              <w:ind w:right="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-</w:t>
            </w:r>
          </w:p>
        </w:tc>
      </w:tr>
      <w:tr w:rsidR="004B4653" w:rsidRPr="003E5F46" w14:paraId="0EF93990" w14:textId="77777777" w:rsidTr="007B2646">
        <w:trPr>
          <w:trHeight w:hRule="exact" w:val="264"/>
        </w:trPr>
        <w:tc>
          <w:tcPr>
            <w:tcW w:w="3970" w:type="dxa"/>
          </w:tcPr>
          <w:p w14:paraId="4B18A97D" w14:textId="77777777" w:rsidR="004B4653" w:rsidRPr="003E5F46" w:rsidRDefault="004B4653" w:rsidP="007B2646">
            <w:pPr>
              <w:pStyle w:val="TableParagraph"/>
              <w:ind w:left="103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Ostatné koncové ukazovatele</w:t>
            </w:r>
          </w:p>
        </w:tc>
        <w:tc>
          <w:tcPr>
            <w:tcW w:w="1702" w:type="dxa"/>
          </w:tcPr>
          <w:p w14:paraId="0C2AF263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1" w:type="dxa"/>
          </w:tcPr>
          <w:p w14:paraId="66A16880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5932DA9A" w14:textId="77777777" w:rsidR="004B4653" w:rsidRPr="003E5F46" w:rsidRDefault="004B4653" w:rsidP="007B2646">
            <w:pPr>
              <w:rPr>
                <w:szCs w:val="22"/>
              </w:rPr>
            </w:pPr>
          </w:p>
        </w:tc>
      </w:tr>
      <w:tr w:rsidR="004B4653" w:rsidRPr="003E5F46" w14:paraId="1A5DE5E8" w14:textId="77777777" w:rsidTr="007B2646">
        <w:trPr>
          <w:trHeight w:hRule="exact" w:val="284"/>
        </w:trPr>
        <w:tc>
          <w:tcPr>
            <w:tcW w:w="3970" w:type="dxa"/>
          </w:tcPr>
          <w:p w14:paraId="0A220735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Na konci celej liečby</w:t>
            </w:r>
          </w:p>
        </w:tc>
        <w:tc>
          <w:tcPr>
            <w:tcW w:w="1702" w:type="dxa"/>
          </w:tcPr>
          <w:p w14:paraId="567B3114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94/127 (74,0 %)</w:t>
            </w:r>
          </w:p>
        </w:tc>
        <w:tc>
          <w:tcPr>
            <w:tcW w:w="1841" w:type="dxa"/>
          </w:tcPr>
          <w:p w14:paraId="4F16A847" w14:textId="77777777" w:rsidR="004B4653" w:rsidRPr="003E5F46" w:rsidRDefault="004B4653" w:rsidP="007B2646">
            <w:pPr>
              <w:pStyle w:val="TableParagraph"/>
              <w:ind w:left="196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67/118 (56,8 %)</w:t>
            </w:r>
          </w:p>
        </w:tc>
        <w:tc>
          <w:tcPr>
            <w:tcW w:w="1843" w:type="dxa"/>
          </w:tcPr>
          <w:p w14:paraId="334287BB" w14:textId="77777777" w:rsidR="004B4653" w:rsidRPr="003E5F46" w:rsidRDefault="004B4653" w:rsidP="007B2646">
            <w:pPr>
              <w:pStyle w:val="TableParagraph"/>
              <w:ind w:left="148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17,24 (2,9; 31,6)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e</w:t>
            </w:r>
          </w:p>
        </w:tc>
      </w:tr>
      <w:tr w:rsidR="004B4653" w:rsidRPr="003E5F46" w14:paraId="3554B964" w14:textId="77777777" w:rsidTr="007B2646">
        <w:trPr>
          <w:trHeight w:hRule="exact" w:val="284"/>
        </w:trPr>
        <w:tc>
          <w:tcPr>
            <w:tcW w:w="3970" w:type="dxa"/>
          </w:tcPr>
          <w:p w14:paraId="1F49A803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Kontrolné vyšetrenie po 2 týždňoch</w:t>
            </w:r>
          </w:p>
        </w:tc>
        <w:tc>
          <w:tcPr>
            <w:tcW w:w="1702" w:type="dxa"/>
          </w:tcPr>
          <w:p w14:paraId="67BF2D71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82/127 (64,6 %)</w:t>
            </w:r>
          </w:p>
        </w:tc>
        <w:tc>
          <w:tcPr>
            <w:tcW w:w="1841" w:type="dxa"/>
          </w:tcPr>
          <w:p w14:paraId="2C3F244A" w14:textId="77777777" w:rsidR="004B4653" w:rsidRPr="003E5F46" w:rsidRDefault="004B4653" w:rsidP="007B2646">
            <w:pPr>
              <w:pStyle w:val="TableParagraph"/>
              <w:ind w:left="196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58/118 (49,2 %)</w:t>
            </w:r>
          </w:p>
        </w:tc>
        <w:tc>
          <w:tcPr>
            <w:tcW w:w="1843" w:type="dxa"/>
          </w:tcPr>
          <w:p w14:paraId="0D5FF55D" w14:textId="77777777" w:rsidR="004B4653" w:rsidRPr="003E5F46" w:rsidRDefault="004B4653" w:rsidP="007B2646">
            <w:pPr>
              <w:pStyle w:val="TableParagraph"/>
              <w:ind w:left="148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15,41 (0,4; 30,4)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e</w:t>
            </w:r>
          </w:p>
        </w:tc>
      </w:tr>
      <w:tr w:rsidR="004B4653" w:rsidRPr="003E5F46" w14:paraId="4E88EEA6" w14:textId="77777777" w:rsidTr="007B2646">
        <w:trPr>
          <w:trHeight w:hRule="exact" w:val="284"/>
        </w:trPr>
        <w:tc>
          <w:tcPr>
            <w:tcW w:w="3970" w:type="dxa"/>
          </w:tcPr>
          <w:p w14:paraId="0E590B8C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Kontrolné vyšetrenie po 6 týždňoch</w:t>
            </w:r>
          </w:p>
        </w:tc>
        <w:tc>
          <w:tcPr>
            <w:tcW w:w="1702" w:type="dxa"/>
          </w:tcPr>
          <w:p w14:paraId="091CA1A6" w14:textId="77777777" w:rsidR="004B4653" w:rsidRPr="003E5F46" w:rsidRDefault="004B4653" w:rsidP="007B2646">
            <w:pPr>
              <w:pStyle w:val="TableParagraph"/>
              <w:ind w:left="88" w:right="8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71/127 (55,9 %)</w:t>
            </w:r>
          </w:p>
        </w:tc>
        <w:tc>
          <w:tcPr>
            <w:tcW w:w="1841" w:type="dxa"/>
          </w:tcPr>
          <w:p w14:paraId="2A722217" w14:textId="77777777" w:rsidR="004B4653" w:rsidRPr="003E5F46" w:rsidRDefault="004B4653" w:rsidP="007B2646">
            <w:pPr>
              <w:pStyle w:val="TableParagraph"/>
              <w:ind w:left="196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52/118 (44,1 %)</w:t>
            </w:r>
          </w:p>
        </w:tc>
        <w:tc>
          <w:tcPr>
            <w:tcW w:w="1843" w:type="dxa"/>
          </w:tcPr>
          <w:p w14:paraId="77929C73" w14:textId="77777777" w:rsidR="004B4653" w:rsidRPr="003E5F46" w:rsidRDefault="004B4653" w:rsidP="007B2646">
            <w:pPr>
              <w:pStyle w:val="TableParagraph"/>
              <w:ind w:left="112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11,84 (-3,4; 27,0)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e</w:t>
            </w:r>
          </w:p>
        </w:tc>
      </w:tr>
    </w:tbl>
    <w:p w14:paraId="76382E58" w14:textId="77777777" w:rsidR="004B4653" w:rsidRPr="003E5F46" w:rsidRDefault="004B4653" w:rsidP="004B4653">
      <w:pPr>
        <w:pStyle w:val="Zkladntext"/>
        <w:rPr>
          <w:szCs w:val="22"/>
        </w:rPr>
      </w:pPr>
      <w:r w:rsidRPr="003E5F46">
        <w:rPr>
          <w:szCs w:val="22"/>
          <w:vertAlign w:val="superscript"/>
        </w:rPr>
        <w:t xml:space="preserve">a </w:t>
      </w:r>
      <w:r w:rsidRPr="003E5F46">
        <w:rPr>
          <w:szCs w:val="22"/>
        </w:rPr>
        <w:t xml:space="preserve">Vypočítané ako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mínus </w:t>
      </w:r>
      <w:proofErr w:type="spellStart"/>
      <w:r w:rsidRPr="003E5F46">
        <w:rPr>
          <w:szCs w:val="22"/>
        </w:rPr>
        <w:t>flukonazol</w:t>
      </w:r>
      <w:proofErr w:type="spellEnd"/>
    </w:p>
    <w:p w14:paraId="6456D037" w14:textId="77777777" w:rsidR="004B4653" w:rsidRPr="003E5F46" w:rsidRDefault="004B4653" w:rsidP="004B4653">
      <w:pPr>
        <w:pStyle w:val="Zkladntext"/>
        <w:rPr>
          <w:szCs w:val="22"/>
        </w:rPr>
      </w:pPr>
      <w:r w:rsidRPr="003E5F46">
        <w:rPr>
          <w:szCs w:val="22"/>
          <w:vertAlign w:val="superscript"/>
        </w:rPr>
        <w:t xml:space="preserve">b </w:t>
      </w:r>
      <w:r w:rsidRPr="003E5F46">
        <w:rPr>
          <w:szCs w:val="22"/>
        </w:rPr>
        <w:t xml:space="preserve">S alebo bez súbežnej </w:t>
      </w:r>
      <w:proofErr w:type="spellStart"/>
      <w:r w:rsidRPr="003E5F46">
        <w:rPr>
          <w:szCs w:val="22"/>
        </w:rPr>
        <w:t>kandidémie</w:t>
      </w:r>
      <w:proofErr w:type="spellEnd"/>
    </w:p>
    <w:p w14:paraId="717EBDB2" w14:textId="77777777" w:rsidR="004B4653" w:rsidRPr="003E5F46" w:rsidRDefault="004B4653" w:rsidP="004B4653">
      <w:pPr>
        <w:pStyle w:val="Zkladntext"/>
        <w:rPr>
          <w:szCs w:val="22"/>
        </w:rPr>
      </w:pPr>
      <w:r w:rsidRPr="003E5F46">
        <w:rPr>
          <w:szCs w:val="22"/>
          <w:vertAlign w:val="superscript"/>
        </w:rPr>
        <w:t>c</w:t>
      </w:r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Intraabdominálny</w:t>
      </w:r>
      <w:proofErr w:type="spellEnd"/>
    </w:p>
    <w:p w14:paraId="26404F33" w14:textId="77777777" w:rsidR="004B4653" w:rsidRPr="003E5F46" w:rsidRDefault="004B4653" w:rsidP="004B4653">
      <w:pPr>
        <w:pStyle w:val="Zkladntext"/>
        <w:rPr>
          <w:szCs w:val="22"/>
        </w:rPr>
      </w:pPr>
      <w:r w:rsidRPr="003E5F46">
        <w:rPr>
          <w:szCs w:val="22"/>
          <w:vertAlign w:val="superscript"/>
        </w:rPr>
        <w:t xml:space="preserve">d </w:t>
      </w:r>
      <w:r w:rsidRPr="003E5F46">
        <w:rPr>
          <w:szCs w:val="22"/>
        </w:rPr>
        <w:t>Údaje predstavujúce pacientov s jedným patogénom na začiatku.</w:t>
      </w:r>
    </w:p>
    <w:p w14:paraId="0C2B22FC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  <w:vertAlign w:val="superscript"/>
        </w:rPr>
        <w:t>e</w:t>
      </w:r>
      <w:r w:rsidRPr="003E5F46">
        <w:rPr>
          <w:szCs w:val="22"/>
        </w:rPr>
        <w:t xml:space="preserve"> 98,3% intervaly spoľahlivosti, upravené následne pre viacnásobné porovnávania sekundárnych časových parametrov</w:t>
      </w:r>
      <w:r w:rsidRPr="003E5F46">
        <w:rPr>
          <w:i/>
          <w:szCs w:val="22"/>
        </w:rPr>
        <w:t>.</w:t>
      </w:r>
    </w:p>
    <w:p w14:paraId="6DE9CDA6" w14:textId="77777777" w:rsidR="004B4653" w:rsidRPr="003E5F46" w:rsidRDefault="004B4653" w:rsidP="004B4653">
      <w:pPr>
        <w:pStyle w:val="Zkladntext"/>
        <w:ind w:right="423"/>
        <w:rPr>
          <w:szCs w:val="22"/>
        </w:rPr>
      </w:pPr>
    </w:p>
    <w:p w14:paraId="3D834AAC" w14:textId="77777777" w:rsidR="004B4653" w:rsidRPr="003E5F46" w:rsidRDefault="004B4653" w:rsidP="004B4653">
      <w:pPr>
        <w:pStyle w:val="Zkladntext"/>
        <w:rPr>
          <w:szCs w:val="22"/>
        </w:rPr>
      </w:pPr>
      <w:r w:rsidRPr="003E5F46">
        <w:rPr>
          <w:szCs w:val="22"/>
        </w:rPr>
        <w:t>Výskyt mortality v oboch skupinách</w:t>
      </w:r>
      <w:r>
        <w:rPr>
          <w:szCs w:val="22"/>
        </w:rPr>
        <w:t>,</w:t>
      </w:r>
      <w:r w:rsidRPr="003E5F46">
        <w:rPr>
          <w:szCs w:val="22"/>
        </w:rPr>
        <w:t xml:space="preserve">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3E5F46">
        <w:rPr>
          <w:szCs w:val="22"/>
        </w:rPr>
        <w:t>flukonazolom</w:t>
      </w:r>
      <w:proofErr w:type="spellEnd"/>
      <w:r>
        <w:rPr>
          <w:szCs w:val="22"/>
        </w:rPr>
        <w:t>,</w:t>
      </w:r>
      <w:r w:rsidRPr="003E5F46">
        <w:rPr>
          <w:szCs w:val="22"/>
        </w:rPr>
        <w:t xml:space="preserve"> sú uvedené v tabuľke 4:</w:t>
      </w:r>
    </w:p>
    <w:p w14:paraId="70D47B94" w14:textId="77777777" w:rsidR="004B4653" w:rsidRPr="003E5F46" w:rsidRDefault="004B4653" w:rsidP="004B4653">
      <w:pPr>
        <w:pStyle w:val="Zkladntext"/>
        <w:rPr>
          <w:szCs w:val="2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1913"/>
        <w:gridCol w:w="2141"/>
      </w:tblGrid>
      <w:tr w:rsidR="004B4653" w:rsidRPr="003E5F46" w14:paraId="6711ECE1" w14:textId="77777777" w:rsidTr="007B2646">
        <w:trPr>
          <w:trHeight w:hRule="exact" w:val="264"/>
        </w:trPr>
        <w:tc>
          <w:tcPr>
            <w:tcW w:w="8528" w:type="dxa"/>
            <w:gridSpan w:val="3"/>
          </w:tcPr>
          <w:p w14:paraId="2295C777" w14:textId="77777777" w:rsidR="004B4653" w:rsidRPr="003E5F46" w:rsidRDefault="004B4653" w:rsidP="007B2646">
            <w:pPr>
              <w:pStyle w:val="TableParagraph"/>
              <w:keepNext/>
              <w:ind w:left="2851" w:right="2851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Tabuľka 4. Mortalita</w:t>
            </w:r>
          </w:p>
        </w:tc>
      </w:tr>
      <w:tr w:rsidR="004B4653" w:rsidRPr="003E5F46" w14:paraId="6E4AA473" w14:textId="77777777" w:rsidTr="007B2646">
        <w:trPr>
          <w:trHeight w:hRule="exact" w:val="262"/>
        </w:trPr>
        <w:tc>
          <w:tcPr>
            <w:tcW w:w="4474" w:type="dxa"/>
          </w:tcPr>
          <w:p w14:paraId="35B96CF9" w14:textId="77777777" w:rsidR="004B4653" w:rsidRPr="003E5F46" w:rsidRDefault="004B4653" w:rsidP="007B2646">
            <w:pPr>
              <w:keepNext/>
              <w:rPr>
                <w:szCs w:val="22"/>
              </w:rPr>
            </w:pPr>
          </w:p>
        </w:tc>
        <w:tc>
          <w:tcPr>
            <w:tcW w:w="1913" w:type="dxa"/>
          </w:tcPr>
          <w:p w14:paraId="25966240" w14:textId="77777777" w:rsidR="004B4653" w:rsidRPr="003E5F46" w:rsidRDefault="004B4653" w:rsidP="007B2646">
            <w:pPr>
              <w:pStyle w:val="TableParagraph"/>
              <w:keepNext/>
              <w:ind w:left="193" w:right="191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Anidulafungín</w:t>
            </w:r>
            <w:proofErr w:type="spellEnd"/>
          </w:p>
        </w:tc>
        <w:tc>
          <w:tcPr>
            <w:tcW w:w="2141" w:type="dxa"/>
          </w:tcPr>
          <w:p w14:paraId="15440A45" w14:textId="77777777" w:rsidR="004B4653" w:rsidRPr="003E5F46" w:rsidRDefault="004B4653" w:rsidP="007B2646">
            <w:pPr>
              <w:pStyle w:val="TableParagraph"/>
              <w:keepNext/>
              <w:ind w:left="306" w:right="307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Flukonazol</w:t>
            </w:r>
            <w:proofErr w:type="spellEnd"/>
          </w:p>
        </w:tc>
      </w:tr>
      <w:tr w:rsidR="004B4653" w:rsidRPr="003E5F46" w14:paraId="26491143" w14:textId="77777777" w:rsidTr="007B2646">
        <w:trPr>
          <w:trHeight w:hRule="exact" w:val="264"/>
        </w:trPr>
        <w:tc>
          <w:tcPr>
            <w:tcW w:w="4474" w:type="dxa"/>
          </w:tcPr>
          <w:p w14:paraId="4093B023" w14:textId="77777777" w:rsidR="004B4653" w:rsidRPr="003E5F46" w:rsidRDefault="004B4653" w:rsidP="007B2646">
            <w:pPr>
              <w:pStyle w:val="TableParagraph"/>
              <w:ind w:left="103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Celková mortalita počas štúdie</w:t>
            </w:r>
          </w:p>
        </w:tc>
        <w:tc>
          <w:tcPr>
            <w:tcW w:w="1913" w:type="dxa"/>
          </w:tcPr>
          <w:p w14:paraId="7CD8F8F7" w14:textId="77777777" w:rsidR="004B4653" w:rsidRPr="003E5F46" w:rsidRDefault="004B4653" w:rsidP="007B2646">
            <w:pPr>
              <w:pStyle w:val="TableParagraph"/>
              <w:ind w:left="193" w:right="196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29/127 (22,8 %)</w:t>
            </w:r>
          </w:p>
        </w:tc>
        <w:tc>
          <w:tcPr>
            <w:tcW w:w="2141" w:type="dxa"/>
          </w:tcPr>
          <w:p w14:paraId="2AD41C29" w14:textId="77777777" w:rsidR="004B4653" w:rsidRPr="003E5F46" w:rsidRDefault="004B4653" w:rsidP="007B2646">
            <w:pPr>
              <w:pStyle w:val="TableParagraph"/>
              <w:ind w:left="306" w:right="312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37/118 (31,4 %)</w:t>
            </w:r>
          </w:p>
        </w:tc>
      </w:tr>
      <w:tr w:rsidR="004B4653" w:rsidRPr="003E5F46" w14:paraId="5A23CCBA" w14:textId="77777777" w:rsidTr="007B2646">
        <w:trPr>
          <w:trHeight w:hRule="exact" w:val="264"/>
        </w:trPr>
        <w:tc>
          <w:tcPr>
            <w:tcW w:w="4474" w:type="dxa"/>
          </w:tcPr>
          <w:p w14:paraId="5C27EBF0" w14:textId="77777777" w:rsidR="004B4653" w:rsidRPr="003E5F46" w:rsidRDefault="004B4653" w:rsidP="007B2646">
            <w:pPr>
              <w:pStyle w:val="TableParagraph"/>
              <w:ind w:left="1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Mortalita počas skúšanej liečby</w:t>
            </w:r>
          </w:p>
        </w:tc>
        <w:tc>
          <w:tcPr>
            <w:tcW w:w="1913" w:type="dxa"/>
          </w:tcPr>
          <w:p w14:paraId="029343A9" w14:textId="77777777" w:rsidR="004B4653" w:rsidRPr="003E5F46" w:rsidRDefault="004B4653" w:rsidP="007B2646">
            <w:pPr>
              <w:pStyle w:val="TableParagraph"/>
              <w:ind w:left="193" w:right="19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10/127 (7,9 %)</w:t>
            </w:r>
          </w:p>
        </w:tc>
        <w:tc>
          <w:tcPr>
            <w:tcW w:w="2141" w:type="dxa"/>
          </w:tcPr>
          <w:p w14:paraId="66976C54" w14:textId="77777777" w:rsidR="004B4653" w:rsidRPr="003E5F46" w:rsidRDefault="004B4653" w:rsidP="007B2646">
            <w:pPr>
              <w:pStyle w:val="TableParagraph"/>
              <w:ind w:left="306" w:right="30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17/118 (14,4 %)</w:t>
            </w:r>
          </w:p>
        </w:tc>
      </w:tr>
      <w:tr w:rsidR="004B4653" w:rsidRPr="003E5F46" w14:paraId="769C3FB8" w14:textId="77777777" w:rsidTr="007B2646">
        <w:trPr>
          <w:trHeight w:hRule="exact" w:val="340"/>
        </w:trPr>
        <w:tc>
          <w:tcPr>
            <w:tcW w:w="4474" w:type="dxa"/>
          </w:tcPr>
          <w:p w14:paraId="2A71CFDE" w14:textId="77777777" w:rsidR="004B4653" w:rsidRPr="003E5F46" w:rsidRDefault="004B4653" w:rsidP="007B2646">
            <w:pPr>
              <w:pStyle w:val="TableParagraph"/>
              <w:ind w:left="103" w:right="50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lastRenderedPageBreak/>
              <w:t xml:space="preserve">Mortalita prisudzovaná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kandidovej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infekcii</w:t>
            </w:r>
          </w:p>
        </w:tc>
        <w:tc>
          <w:tcPr>
            <w:tcW w:w="1913" w:type="dxa"/>
          </w:tcPr>
          <w:p w14:paraId="6B403862" w14:textId="77777777" w:rsidR="004B4653" w:rsidRPr="003E5F46" w:rsidRDefault="004B4653" w:rsidP="007B2646">
            <w:pPr>
              <w:pStyle w:val="TableParagraph"/>
              <w:ind w:left="193" w:right="191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2/127 (1,6 %)</w:t>
            </w:r>
          </w:p>
        </w:tc>
        <w:tc>
          <w:tcPr>
            <w:tcW w:w="2141" w:type="dxa"/>
          </w:tcPr>
          <w:p w14:paraId="19C00569" w14:textId="77777777" w:rsidR="004B4653" w:rsidRPr="003E5F46" w:rsidRDefault="004B4653" w:rsidP="007B2646">
            <w:pPr>
              <w:pStyle w:val="TableParagraph"/>
              <w:ind w:left="306" w:right="306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5/118 (4,2 %)</w:t>
            </w:r>
          </w:p>
        </w:tc>
      </w:tr>
    </w:tbl>
    <w:p w14:paraId="634566FC" w14:textId="77777777" w:rsidR="004B4653" w:rsidRPr="003E5F46" w:rsidRDefault="004B4653" w:rsidP="004B4653">
      <w:pPr>
        <w:pStyle w:val="Zkladntext"/>
        <w:rPr>
          <w:szCs w:val="22"/>
        </w:rPr>
      </w:pPr>
    </w:p>
    <w:p w14:paraId="788CB62C" w14:textId="77777777" w:rsidR="004B4653" w:rsidRPr="003E5F46" w:rsidRDefault="004B4653" w:rsidP="004B4653">
      <w:pPr>
        <w:pStyle w:val="Nadpis1"/>
        <w:keepNext/>
        <w:rPr>
          <w:sz w:val="22"/>
          <w:szCs w:val="22"/>
          <w:lang w:val="sk-SK"/>
        </w:rPr>
      </w:pPr>
      <w:r w:rsidRPr="003E5F46">
        <w:rPr>
          <w:sz w:val="22"/>
          <w:szCs w:val="22"/>
          <w:lang w:val="sk-SK"/>
        </w:rPr>
        <w:t>Ďalšie údaje u pacientov s </w:t>
      </w:r>
      <w:proofErr w:type="spellStart"/>
      <w:r w:rsidRPr="003E5F46">
        <w:rPr>
          <w:sz w:val="22"/>
          <w:szCs w:val="22"/>
          <w:lang w:val="sk-SK"/>
        </w:rPr>
        <w:t>neutropéniou</w:t>
      </w:r>
      <w:proofErr w:type="spellEnd"/>
    </w:p>
    <w:p w14:paraId="4935B403" w14:textId="77777777" w:rsidR="004B4653" w:rsidRPr="003E5F46" w:rsidRDefault="004B4653" w:rsidP="004B4653">
      <w:pPr>
        <w:pStyle w:val="Zkladntext"/>
        <w:keepNext/>
        <w:ind w:right="574"/>
        <w:rPr>
          <w:szCs w:val="22"/>
        </w:rPr>
      </w:pPr>
    </w:p>
    <w:p w14:paraId="2C47C503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Účinnosť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(200 mg intravenózna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s následnými dávkami 100 mg intravenózne denne) u dospelých pacientov s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 (definovanou ako absolútny počet </w:t>
      </w:r>
      <w:proofErr w:type="spellStart"/>
      <w:r w:rsidRPr="003E5F46">
        <w:rPr>
          <w:szCs w:val="22"/>
        </w:rPr>
        <w:t>neutrofilov</w:t>
      </w:r>
      <w:proofErr w:type="spellEnd"/>
      <w:r w:rsidRPr="003E5F46">
        <w:rPr>
          <w:szCs w:val="22"/>
        </w:rPr>
        <w:t xml:space="preserve"> ≤ 500 buniek/mm</w:t>
      </w:r>
      <w:r w:rsidRPr="003E5F46">
        <w:rPr>
          <w:szCs w:val="22"/>
          <w:vertAlign w:val="superscript"/>
        </w:rPr>
        <w:t>3</w:t>
      </w:r>
      <w:r w:rsidRPr="003E5F46">
        <w:rPr>
          <w:szCs w:val="22"/>
        </w:rPr>
        <w:t>, bielych krviniek ≤ 500 buniek/mm</w:t>
      </w:r>
      <w:r w:rsidRPr="003E5F46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3E5F46">
        <w:rPr>
          <w:szCs w:val="22"/>
        </w:rPr>
        <w:t xml:space="preserve">alebo klasifikovaná hodnotiacim lekárom ako </w:t>
      </w:r>
      <w:proofErr w:type="spellStart"/>
      <w:r w:rsidRPr="003E5F46">
        <w:rPr>
          <w:szCs w:val="22"/>
        </w:rPr>
        <w:t>neutropénia</w:t>
      </w:r>
      <w:proofErr w:type="spellEnd"/>
      <w:r w:rsidRPr="003E5F46">
        <w:rPr>
          <w:szCs w:val="22"/>
        </w:rPr>
        <w:t xml:space="preserve"> pri vstupe do štúdie) s mikrobiologicky potvrdenou invazívnou </w:t>
      </w:r>
      <w:proofErr w:type="spellStart"/>
      <w:r w:rsidRPr="003E5F46">
        <w:rPr>
          <w:szCs w:val="22"/>
        </w:rPr>
        <w:t>kandidózou</w:t>
      </w:r>
      <w:proofErr w:type="spellEnd"/>
      <w:r w:rsidRPr="003E5F46">
        <w:rPr>
          <w:szCs w:val="22"/>
        </w:rPr>
        <w:t xml:space="preserve"> bola hodnotená v analýze súhrnných údajov z 5 </w:t>
      </w:r>
      <w:proofErr w:type="spellStart"/>
      <w:r w:rsidRPr="003E5F46">
        <w:rPr>
          <w:szCs w:val="22"/>
        </w:rPr>
        <w:t>prospektívnych</w:t>
      </w:r>
      <w:proofErr w:type="spellEnd"/>
      <w:r w:rsidRPr="003E5F46">
        <w:rPr>
          <w:szCs w:val="22"/>
        </w:rPr>
        <w:t xml:space="preserve"> štúdií (1 komparatívna s </w:t>
      </w:r>
      <w:proofErr w:type="spellStart"/>
      <w:r w:rsidRPr="003E5F46">
        <w:rPr>
          <w:szCs w:val="22"/>
        </w:rPr>
        <w:t>kaspofungínom</w:t>
      </w:r>
      <w:proofErr w:type="spellEnd"/>
      <w:r w:rsidRPr="003E5F46">
        <w:rPr>
          <w:szCs w:val="22"/>
        </w:rPr>
        <w:t xml:space="preserve"> a 4 otvorené bez porovnávania). Pa</w:t>
      </w:r>
      <w:r w:rsidR="001F5BE6">
        <w:rPr>
          <w:szCs w:val="22"/>
        </w:rPr>
        <w:t>cienti boli liečení najmenej 14 </w:t>
      </w:r>
      <w:r w:rsidRPr="003E5F46">
        <w:rPr>
          <w:szCs w:val="22"/>
        </w:rPr>
        <w:t xml:space="preserve">dní. U klinicky stabilizovaných pacientov bola povolená zmena liečby na perorálne podávané </w:t>
      </w:r>
      <w:proofErr w:type="spellStart"/>
      <w:r w:rsidRPr="003E5F46">
        <w:rPr>
          <w:szCs w:val="22"/>
        </w:rPr>
        <w:t>azo</w:t>
      </w:r>
      <w:r w:rsidR="001F5BE6">
        <w:rPr>
          <w:szCs w:val="22"/>
        </w:rPr>
        <w:t>ly</w:t>
      </w:r>
      <w:proofErr w:type="spellEnd"/>
      <w:r w:rsidR="001F5BE6">
        <w:rPr>
          <w:szCs w:val="22"/>
        </w:rPr>
        <w:t xml:space="preserve"> po uplynutí najmenej 5 až 10 </w:t>
      </w:r>
      <w:r w:rsidRPr="003E5F46">
        <w:rPr>
          <w:szCs w:val="22"/>
        </w:rPr>
        <w:t>dní liečby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>. Do an</w:t>
      </w:r>
      <w:r w:rsidR="001F5BE6">
        <w:rPr>
          <w:szCs w:val="22"/>
        </w:rPr>
        <w:t>alýzy bolo zahrnutých celkom 46 </w:t>
      </w:r>
      <w:r w:rsidRPr="003E5F46">
        <w:rPr>
          <w:szCs w:val="22"/>
        </w:rPr>
        <w:t xml:space="preserve">pacientov. Väčšina pacientov mala iba </w:t>
      </w:r>
      <w:proofErr w:type="spellStart"/>
      <w:r w:rsidRPr="003E5F46">
        <w:rPr>
          <w:szCs w:val="22"/>
        </w:rPr>
        <w:t>kandidémiu</w:t>
      </w:r>
      <w:proofErr w:type="spellEnd"/>
      <w:r w:rsidRPr="003E5F46">
        <w:rPr>
          <w:szCs w:val="22"/>
        </w:rPr>
        <w:t xml:space="preserve"> (84,8 %; 39 zo 46). Najčastejšie patogény izolované na začiatku liečby boli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(34,8 %; 16 zo 46),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(19,6 %; 9 zo 46),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parapsilosis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(17,4 %; 8 zo 46),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(15,2 %; 7 zo 46) 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(15,2 %; 7 zo 46). Miera úspešnej celkovej odpovede na konci intravenóznej liečby (primárny koncový ukazovateľ) bola 26/46 (56,5 %) a pri ukončení celej liečby 24/46 (52,2 %). Úmrtnosť z akýchkoľvek príčin až do skončenia štúdie (kontrolná návšteva po 6 týždňoch) bola 21/46 (45,7 %).</w:t>
      </w:r>
    </w:p>
    <w:p w14:paraId="585DC979" w14:textId="77777777" w:rsidR="004B4653" w:rsidRPr="003E5F46" w:rsidRDefault="004B4653" w:rsidP="004B4653">
      <w:pPr>
        <w:pStyle w:val="Zkladntext"/>
        <w:rPr>
          <w:szCs w:val="22"/>
        </w:rPr>
      </w:pPr>
    </w:p>
    <w:p w14:paraId="21070871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130DD0">
        <w:rPr>
          <w:szCs w:val="22"/>
        </w:rPr>
        <w:t xml:space="preserve">Účinnosť </w:t>
      </w:r>
      <w:proofErr w:type="spellStart"/>
      <w:r w:rsidRPr="00130DD0">
        <w:rPr>
          <w:szCs w:val="22"/>
        </w:rPr>
        <w:t>anidulafungínu</w:t>
      </w:r>
      <w:proofErr w:type="spellEnd"/>
      <w:r w:rsidRPr="00130DD0">
        <w:rPr>
          <w:szCs w:val="22"/>
        </w:rPr>
        <w:t xml:space="preserve"> u dospelých pacientov s </w:t>
      </w:r>
      <w:proofErr w:type="spellStart"/>
      <w:r w:rsidRPr="00130DD0">
        <w:rPr>
          <w:szCs w:val="22"/>
        </w:rPr>
        <w:t>neutropéniou</w:t>
      </w:r>
      <w:proofErr w:type="spellEnd"/>
      <w:r w:rsidRPr="00130DD0">
        <w:rPr>
          <w:szCs w:val="22"/>
        </w:rPr>
        <w:t xml:space="preserve"> (definovanou ako absolútny počet </w:t>
      </w:r>
      <w:proofErr w:type="spellStart"/>
      <w:r w:rsidRPr="00130DD0">
        <w:rPr>
          <w:szCs w:val="22"/>
        </w:rPr>
        <w:t>neutrofilov</w:t>
      </w:r>
      <w:proofErr w:type="spellEnd"/>
      <w:r w:rsidRPr="00130DD0">
        <w:rPr>
          <w:szCs w:val="22"/>
        </w:rPr>
        <w:t xml:space="preserve"> ≤ 500 buniek/mm</w:t>
      </w:r>
      <w:r w:rsidRPr="00130DD0">
        <w:rPr>
          <w:szCs w:val="22"/>
          <w:vertAlign w:val="superscript"/>
        </w:rPr>
        <w:t>3</w:t>
      </w:r>
      <w:r w:rsidRPr="00130DD0">
        <w:rPr>
          <w:position w:val="10"/>
          <w:szCs w:val="22"/>
        </w:rPr>
        <w:t xml:space="preserve"> </w:t>
      </w:r>
      <w:r w:rsidRPr="00130DD0">
        <w:rPr>
          <w:szCs w:val="22"/>
        </w:rPr>
        <w:t xml:space="preserve">na začiatku liečby) s invazívnou </w:t>
      </w:r>
      <w:proofErr w:type="spellStart"/>
      <w:r w:rsidRPr="00130DD0">
        <w:rPr>
          <w:szCs w:val="22"/>
        </w:rPr>
        <w:t>kandidózou</w:t>
      </w:r>
      <w:proofErr w:type="spellEnd"/>
      <w:r w:rsidRPr="00130DD0">
        <w:rPr>
          <w:szCs w:val="22"/>
        </w:rPr>
        <w:t xml:space="preserve"> bola hodnotená v </w:t>
      </w:r>
      <w:proofErr w:type="spellStart"/>
      <w:r w:rsidRPr="00130DD0">
        <w:rPr>
          <w:szCs w:val="22"/>
        </w:rPr>
        <w:t>prospektívnej</w:t>
      </w:r>
      <w:proofErr w:type="spellEnd"/>
      <w:r w:rsidRPr="00130DD0">
        <w:rPr>
          <w:szCs w:val="22"/>
        </w:rPr>
        <w:t>,</w:t>
      </w:r>
      <w:r w:rsidRPr="003E5F46">
        <w:rPr>
          <w:szCs w:val="22"/>
        </w:rPr>
        <w:t xml:space="preserve"> dvojito zaslepenej, </w:t>
      </w:r>
      <w:proofErr w:type="spellStart"/>
      <w:r w:rsidRPr="003E5F46">
        <w:rPr>
          <w:szCs w:val="22"/>
        </w:rPr>
        <w:t>randomizovanej</w:t>
      </w:r>
      <w:proofErr w:type="spellEnd"/>
      <w:r w:rsidRPr="003E5F46">
        <w:rPr>
          <w:szCs w:val="22"/>
        </w:rPr>
        <w:t xml:space="preserve">, kontrolovanej štúdii. Pacienti spĺňajúci podmienky na vstup do štúdie dostávali buď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(200 mg intravenózna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s následnými dávkami 100 mg intravenózne denne) alebo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 xml:space="preserve"> (70 mg intravenózna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s následnými dávkami 50 mg intravenózne denne) (</w:t>
      </w:r>
      <w:proofErr w:type="spellStart"/>
      <w:r w:rsidRPr="003E5F46">
        <w:rPr>
          <w:szCs w:val="22"/>
        </w:rPr>
        <w:t>randomizácia</w:t>
      </w:r>
      <w:proofErr w:type="spellEnd"/>
      <w:r w:rsidRPr="003E5F46">
        <w:rPr>
          <w:szCs w:val="22"/>
        </w:rPr>
        <w:t xml:space="preserve"> 2:1). Pa</w:t>
      </w:r>
      <w:r w:rsidR="002D6830">
        <w:rPr>
          <w:szCs w:val="22"/>
        </w:rPr>
        <w:t>cienti boli liečení najmenej 14 </w:t>
      </w:r>
      <w:r w:rsidRPr="003E5F46">
        <w:rPr>
          <w:szCs w:val="22"/>
        </w:rPr>
        <w:t xml:space="preserve">dní. U klinicky stabilizovaných pacientov bola povolená zmena liečby na perorálne podávané </w:t>
      </w:r>
      <w:proofErr w:type="spellStart"/>
      <w:r w:rsidRPr="003E5F46">
        <w:rPr>
          <w:szCs w:val="22"/>
        </w:rPr>
        <w:t>azoly</w:t>
      </w:r>
      <w:proofErr w:type="spellEnd"/>
      <w:r w:rsidRPr="003E5F46">
        <w:rPr>
          <w:szCs w:val="22"/>
        </w:rPr>
        <w:t xml:space="preserve"> p</w:t>
      </w:r>
      <w:r w:rsidR="002D6830">
        <w:rPr>
          <w:szCs w:val="22"/>
        </w:rPr>
        <w:t>o uplynutí najmenej 10 </w:t>
      </w:r>
      <w:r w:rsidRPr="003E5F46">
        <w:rPr>
          <w:szCs w:val="22"/>
        </w:rPr>
        <w:t>dní liečby v štúdii. Do štúdie bolo zaradených celkom 14 pacientov s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 (11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3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 xml:space="preserve">) s mikrobiologicky potvrdenou invazívnou </w:t>
      </w:r>
      <w:proofErr w:type="spellStart"/>
      <w:r w:rsidRPr="003E5F46">
        <w:rPr>
          <w:szCs w:val="22"/>
        </w:rPr>
        <w:t>kandidózou</w:t>
      </w:r>
      <w:proofErr w:type="spellEnd"/>
      <w:r w:rsidRPr="003E5F46">
        <w:rPr>
          <w:szCs w:val="22"/>
        </w:rPr>
        <w:t xml:space="preserve"> (populácia MITT). Väčšina pacientov mala iba </w:t>
      </w:r>
      <w:proofErr w:type="spellStart"/>
      <w:r w:rsidRPr="003E5F46">
        <w:rPr>
          <w:szCs w:val="22"/>
        </w:rPr>
        <w:t>kandidémiu</w:t>
      </w:r>
      <w:proofErr w:type="spellEnd"/>
      <w:r w:rsidRPr="003E5F46">
        <w:rPr>
          <w:szCs w:val="22"/>
        </w:rPr>
        <w:t xml:space="preserve">. Najčastejšie patogény izolované na začiatku liečby boli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(4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0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 xml:space="preserve">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parapsilosi</w:t>
      </w:r>
      <w:r w:rsidRPr="003E5F46">
        <w:rPr>
          <w:szCs w:val="22"/>
        </w:rPr>
        <w:t>s</w:t>
      </w:r>
      <w:proofErr w:type="spellEnd"/>
      <w:r w:rsidRPr="003E5F46">
        <w:rPr>
          <w:szCs w:val="22"/>
        </w:rPr>
        <w:t xml:space="preserve"> (2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1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 xml:space="preserve">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(2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1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>) 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ciferrii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(2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, 0 </w:t>
      </w:r>
      <w:proofErr w:type="spellStart"/>
      <w:r w:rsidRPr="003E5F46">
        <w:rPr>
          <w:szCs w:val="22"/>
        </w:rPr>
        <w:t>kaspofungín</w:t>
      </w:r>
      <w:proofErr w:type="spellEnd"/>
      <w:r w:rsidRPr="003E5F46">
        <w:rPr>
          <w:szCs w:val="22"/>
        </w:rPr>
        <w:t xml:space="preserve">). Miera úspešnej celkovej odpovede na konci intravenóznej liečby (primárny koncový ukazovateľ) bola 8/11 (72,7 %) pre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a 3/3 (100,0 %)</w:t>
      </w:r>
      <w:r w:rsidR="002D6830">
        <w:rPr>
          <w:szCs w:val="22"/>
        </w:rPr>
        <w:t xml:space="preserve"> pre </w:t>
      </w:r>
      <w:proofErr w:type="spellStart"/>
      <w:r w:rsidR="002D6830">
        <w:rPr>
          <w:szCs w:val="22"/>
        </w:rPr>
        <w:t>kaspofungín</w:t>
      </w:r>
      <w:proofErr w:type="spellEnd"/>
      <w:r w:rsidR="002D6830">
        <w:rPr>
          <w:szCs w:val="22"/>
        </w:rPr>
        <w:t xml:space="preserve"> (rozdiel -27,3;</w:t>
      </w:r>
      <w:r w:rsidRPr="003E5F46">
        <w:rPr>
          <w:szCs w:val="22"/>
        </w:rPr>
        <w:t xml:space="preserve"> 95</w:t>
      </w:r>
      <w:r w:rsidR="002D6830">
        <w:rPr>
          <w:szCs w:val="22"/>
        </w:rPr>
        <w:t> </w:t>
      </w:r>
      <w:r w:rsidRPr="003E5F46">
        <w:rPr>
          <w:szCs w:val="22"/>
        </w:rPr>
        <w:t xml:space="preserve">% IS -80,9; 40,3); miera úspešnej celkovej odpovede pri ukončení celej liečby bola 8/11 (72,7 %) pre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a 3/3 (100,0 %)</w:t>
      </w:r>
      <w:r w:rsidR="002D6830">
        <w:rPr>
          <w:szCs w:val="22"/>
        </w:rPr>
        <w:t xml:space="preserve"> pre </w:t>
      </w:r>
      <w:proofErr w:type="spellStart"/>
      <w:r w:rsidR="002D6830">
        <w:rPr>
          <w:szCs w:val="22"/>
        </w:rPr>
        <w:t>kaspofungín</w:t>
      </w:r>
      <w:proofErr w:type="spellEnd"/>
      <w:r w:rsidR="002D6830">
        <w:rPr>
          <w:szCs w:val="22"/>
        </w:rPr>
        <w:t xml:space="preserve"> (rozdiel -27,3;</w:t>
      </w:r>
      <w:r w:rsidRPr="003E5F46">
        <w:rPr>
          <w:szCs w:val="22"/>
        </w:rPr>
        <w:t xml:space="preserve"> 95</w:t>
      </w:r>
      <w:r w:rsidR="002D6830">
        <w:rPr>
          <w:szCs w:val="22"/>
        </w:rPr>
        <w:t> </w:t>
      </w:r>
      <w:r w:rsidRPr="003E5F46">
        <w:rPr>
          <w:szCs w:val="22"/>
        </w:rPr>
        <w:t xml:space="preserve">% IS -80,9; 40,3). Úmrtnosť z akýchkoľvek príčin až do kontrolnej návštevy v 6. týždni bola pri </w:t>
      </w:r>
      <w:proofErr w:type="spellStart"/>
      <w:r w:rsidRPr="003E5F46">
        <w:rPr>
          <w:szCs w:val="22"/>
        </w:rPr>
        <w:t>anidulafungíne</w:t>
      </w:r>
      <w:proofErr w:type="spellEnd"/>
      <w:r w:rsidRPr="003E5F46">
        <w:rPr>
          <w:szCs w:val="22"/>
        </w:rPr>
        <w:t xml:space="preserve"> (populácia MITT) 4/11 (36,4 %) a </w:t>
      </w:r>
      <w:proofErr w:type="spellStart"/>
      <w:r w:rsidRPr="003E5F46">
        <w:rPr>
          <w:szCs w:val="22"/>
        </w:rPr>
        <w:t>kaspofungíne</w:t>
      </w:r>
      <w:proofErr w:type="spellEnd"/>
      <w:r w:rsidRPr="003E5F46">
        <w:rPr>
          <w:szCs w:val="22"/>
        </w:rPr>
        <w:t xml:space="preserve"> 2/3 (66,7 %).</w:t>
      </w:r>
    </w:p>
    <w:p w14:paraId="25DB9698" w14:textId="77777777" w:rsidR="004B4653" w:rsidRPr="003E5F46" w:rsidRDefault="004B4653" w:rsidP="004B4653">
      <w:pPr>
        <w:pStyle w:val="Zkladntext"/>
        <w:rPr>
          <w:szCs w:val="22"/>
        </w:rPr>
      </w:pPr>
    </w:p>
    <w:p w14:paraId="742CF9E4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Pacienti s mikrobiologicky potvrdenou invazívnou </w:t>
      </w:r>
      <w:proofErr w:type="spellStart"/>
      <w:r w:rsidRPr="003E5F46">
        <w:rPr>
          <w:szCs w:val="22"/>
        </w:rPr>
        <w:t>kandidózou</w:t>
      </w:r>
      <w:proofErr w:type="spellEnd"/>
      <w:r w:rsidRPr="003E5F46">
        <w:rPr>
          <w:szCs w:val="22"/>
        </w:rPr>
        <w:t xml:space="preserve"> (populácia MITT) a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 boli identifikovaní prostredníctvom analýzy súhrnných údajov zo 4 </w:t>
      </w:r>
      <w:proofErr w:type="spellStart"/>
      <w:r w:rsidRPr="003E5F46">
        <w:rPr>
          <w:szCs w:val="22"/>
        </w:rPr>
        <w:t>prospektívnych</w:t>
      </w:r>
      <w:proofErr w:type="spellEnd"/>
      <w:r w:rsidRPr="003E5F46">
        <w:rPr>
          <w:szCs w:val="22"/>
        </w:rPr>
        <w:t xml:space="preserve">, otvorených, neporovnávacích štúdií s podobným dizajnom. Účinnosť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(200 mg intravenózna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s následnými dávkami 100 mg intravenózne denne) bola hodnotená u 35 dospelých pacientov s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 definovanou ako absolútny počet </w:t>
      </w:r>
      <w:proofErr w:type="spellStart"/>
      <w:r w:rsidRPr="003E5F46">
        <w:rPr>
          <w:szCs w:val="22"/>
        </w:rPr>
        <w:t>neutrofilov</w:t>
      </w:r>
      <w:proofErr w:type="spellEnd"/>
      <w:r w:rsidRPr="003E5F46">
        <w:rPr>
          <w:szCs w:val="22"/>
        </w:rPr>
        <w:t xml:space="preserve"> ≤ 500 buniek/mm</w:t>
      </w:r>
      <w:r w:rsidRPr="003E5F46">
        <w:rPr>
          <w:szCs w:val="22"/>
          <w:vertAlign w:val="superscript"/>
        </w:rPr>
        <w:t>3</w:t>
      </w:r>
      <w:r w:rsidRPr="003E5F46">
        <w:rPr>
          <w:position w:val="10"/>
          <w:szCs w:val="22"/>
        </w:rPr>
        <w:t xml:space="preserve"> </w:t>
      </w:r>
      <w:r w:rsidRPr="003E5F46">
        <w:rPr>
          <w:szCs w:val="22"/>
        </w:rPr>
        <w:t>alebo bielych krviniek ≤ 500 buniek/mm</w:t>
      </w:r>
      <w:r w:rsidRPr="003E5F46">
        <w:rPr>
          <w:szCs w:val="22"/>
          <w:vertAlign w:val="superscript"/>
        </w:rPr>
        <w:t>3</w:t>
      </w:r>
      <w:r w:rsidRPr="003E5F46">
        <w:rPr>
          <w:position w:val="10"/>
          <w:szCs w:val="22"/>
        </w:rPr>
        <w:t xml:space="preserve"> </w:t>
      </w:r>
      <w:r w:rsidRPr="003E5F46">
        <w:rPr>
          <w:szCs w:val="22"/>
        </w:rPr>
        <w:t>u 22 pacientov alebo klasifikovanou hodnotiac</w:t>
      </w:r>
      <w:r w:rsidR="00861C25">
        <w:rPr>
          <w:szCs w:val="22"/>
        </w:rPr>
        <w:t xml:space="preserve">im lekárom ako </w:t>
      </w:r>
      <w:proofErr w:type="spellStart"/>
      <w:r w:rsidR="00861C25">
        <w:rPr>
          <w:szCs w:val="22"/>
        </w:rPr>
        <w:t>neutropénia</w:t>
      </w:r>
      <w:proofErr w:type="spellEnd"/>
      <w:r w:rsidR="00861C25">
        <w:rPr>
          <w:szCs w:val="22"/>
        </w:rPr>
        <w:t xml:space="preserve"> u 13 </w:t>
      </w:r>
      <w:r w:rsidRPr="003E5F46">
        <w:rPr>
          <w:szCs w:val="22"/>
        </w:rPr>
        <w:t>pacientov pri vstupe do štúdie. Všetci pa</w:t>
      </w:r>
      <w:r w:rsidR="00861C25">
        <w:rPr>
          <w:szCs w:val="22"/>
        </w:rPr>
        <w:t>cienti boli liečení najmenej 14 </w:t>
      </w:r>
      <w:r w:rsidRPr="003E5F46">
        <w:rPr>
          <w:szCs w:val="22"/>
        </w:rPr>
        <w:t xml:space="preserve">dní. U klinicky stabilizovaných pacientov bola povolená zmena liečby na perorálne podávané </w:t>
      </w:r>
      <w:proofErr w:type="spellStart"/>
      <w:r w:rsidRPr="003E5F46">
        <w:rPr>
          <w:szCs w:val="22"/>
        </w:rPr>
        <w:t>azo</w:t>
      </w:r>
      <w:r w:rsidR="00861C25">
        <w:rPr>
          <w:szCs w:val="22"/>
        </w:rPr>
        <w:t>ly</w:t>
      </w:r>
      <w:proofErr w:type="spellEnd"/>
      <w:r w:rsidR="00861C25">
        <w:rPr>
          <w:szCs w:val="22"/>
        </w:rPr>
        <w:t xml:space="preserve"> po uplynutí najmenej 5 až 10 </w:t>
      </w:r>
      <w:r w:rsidRPr="003E5F46">
        <w:rPr>
          <w:szCs w:val="22"/>
        </w:rPr>
        <w:t>dní liečby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 xml:space="preserve">. Väčšina pacientov (85,7 %) mala iba </w:t>
      </w:r>
      <w:proofErr w:type="spellStart"/>
      <w:r w:rsidRPr="003E5F46">
        <w:rPr>
          <w:szCs w:val="22"/>
        </w:rPr>
        <w:t>kandidémiu</w:t>
      </w:r>
      <w:proofErr w:type="spellEnd"/>
      <w:r w:rsidRPr="003E5F46">
        <w:rPr>
          <w:szCs w:val="22"/>
        </w:rPr>
        <w:t xml:space="preserve">. Najčastejšie patogény izolované na začiatku liečby boli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 </w:t>
      </w:r>
      <w:r w:rsidR="00861C25">
        <w:rPr>
          <w:szCs w:val="22"/>
        </w:rPr>
        <w:t>(12 </w:t>
      </w:r>
      <w:r w:rsidRPr="003E5F46">
        <w:rPr>
          <w:szCs w:val="22"/>
        </w:rPr>
        <w:t xml:space="preserve">pacientov),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="00861C25">
        <w:rPr>
          <w:szCs w:val="22"/>
        </w:rPr>
        <w:t>(7 </w:t>
      </w:r>
      <w:r w:rsidRPr="003E5F46">
        <w:rPr>
          <w:szCs w:val="22"/>
        </w:rPr>
        <w:t xml:space="preserve">pacientov),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 </w:t>
      </w:r>
      <w:r w:rsidR="00861C25">
        <w:rPr>
          <w:szCs w:val="22"/>
        </w:rPr>
        <w:t>(7 </w:t>
      </w:r>
      <w:r w:rsidRPr="003E5F46">
        <w:rPr>
          <w:szCs w:val="22"/>
        </w:rPr>
        <w:t xml:space="preserve">pacientov),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i/>
          <w:szCs w:val="22"/>
        </w:rPr>
        <w:t xml:space="preserve"> </w:t>
      </w:r>
      <w:r w:rsidR="00861C25">
        <w:rPr>
          <w:szCs w:val="22"/>
        </w:rPr>
        <w:t>(7 </w:t>
      </w:r>
      <w:r w:rsidRPr="003E5F46">
        <w:rPr>
          <w:szCs w:val="22"/>
        </w:rPr>
        <w:t>pacientov) 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parapsilosis</w:t>
      </w:r>
      <w:proofErr w:type="spellEnd"/>
      <w:r w:rsidRPr="003E5F46">
        <w:rPr>
          <w:i/>
          <w:szCs w:val="22"/>
        </w:rPr>
        <w:t xml:space="preserve"> </w:t>
      </w:r>
      <w:r w:rsidR="00861C25">
        <w:rPr>
          <w:szCs w:val="22"/>
        </w:rPr>
        <w:t>(6 </w:t>
      </w:r>
      <w:r w:rsidRPr="003E5F46">
        <w:rPr>
          <w:szCs w:val="22"/>
        </w:rPr>
        <w:t>pacientov). Miera úspešnej celkovej odpovede na konci intravenóznej liečby (primárny koncový ukazovateľ) bola 18/35 (51,4 %) a 16/35 (45,7 %) pri ukončení celej liečby. Úmrtnosť z akýchkoľvek príčin do 28. dňa bola 10/35 (28,6 %). Miera úspešnej celkovej odpovede na konci intravenóznej liečby ako aj pri ukončení celej liečby bola 7/13 (53,8 %) u 13 pacientov s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 hodnotenou skúšajúcim lekárom pri vstupe do štúdie.</w:t>
      </w:r>
    </w:p>
    <w:p w14:paraId="7C7B9443" w14:textId="77777777" w:rsidR="004B4653" w:rsidRPr="003E5F46" w:rsidRDefault="004B4653" w:rsidP="004B4653">
      <w:pPr>
        <w:pStyle w:val="Zkladntext"/>
        <w:rPr>
          <w:szCs w:val="22"/>
        </w:rPr>
      </w:pPr>
    </w:p>
    <w:p w14:paraId="2BF3D909" w14:textId="77777777" w:rsidR="004B4653" w:rsidRPr="003E5F46" w:rsidRDefault="004B4653" w:rsidP="004B4653">
      <w:pPr>
        <w:pStyle w:val="Nadpis1"/>
        <w:keepNext/>
        <w:rPr>
          <w:sz w:val="22"/>
          <w:szCs w:val="22"/>
          <w:lang w:val="sk-SK"/>
        </w:rPr>
      </w:pPr>
      <w:r w:rsidRPr="00F917E4">
        <w:rPr>
          <w:sz w:val="22"/>
          <w:szCs w:val="22"/>
          <w:lang w:val="sk-SK"/>
        </w:rPr>
        <w:lastRenderedPageBreak/>
        <w:t>Ďalšie údaje u pacientov s infekciami hlbokých tkanív</w:t>
      </w:r>
    </w:p>
    <w:p w14:paraId="44D9EA23" w14:textId="77777777" w:rsidR="004B4653" w:rsidRPr="003E5F46" w:rsidRDefault="004B4653" w:rsidP="004B4653">
      <w:pPr>
        <w:pStyle w:val="Zkladntext"/>
        <w:keepNext/>
        <w:rPr>
          <w:b/>
          <w:szCs w:val="22"/>
        </w:rPr>
      </w:pPr>
    </w:p>
    <w:p w14:paraId="76F81F92" w14:textId="77777777" w:rsidR="004B4653" w:rsidRPr="003E5F46" w:rsidRDefault="004B4653" w:rsidP="004B4653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Účinnosť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(200 mg intravenózna </w:t>
      </w:r>
      <w:proofErr w:type="spellStart"/>
      <w:r w:rsidRPr="003E5F46">
        <w:rPr>
          <w:szCs w:val="22"/>
        </w:rPr>
        <w:t>nasycovacia</w:t>
      </w:r>
      <w:proofErr w:type="spellEnd"/>
      <w:r w:rsidRPr="003E5F46">
        <w:rPr>
          <w:szCs w:val="22"/>
        </w:rPr>
        <w:t xml:space="preserve"> dávka s následnými dávkami 100 mg intravenózne denne) u dospelých pacientov s mikrobiologicky potvrdenou </w:t>
      </w:r>
      <w:proofErr w:type="spellStart"/>
      <w:r w:rsidRPr="003E5F46">
        <w:rPr>
          <w:szCs w:val="22"/>
        </w:rPr>
        <w:t>kandidózou</w:t>
      </w:r>
      <w:proofErr w:type="spellEnd"/>
      <w:r w:rsidRPr="003E5F46">
        <w:rPr>
          <w:szCs w:val="22"/>
        </w:rPr>
        <w:t xml:space="preserve"> hlbokých tkanív bola hodnotená v analýze súhrnných údajov z 5 </w:t>
      </w:r>
      <w:proofErr w:type="spellStart"/>
      <w:r w:rsidRPr="003E5F46">
        <w:rPr>
          <w:szCs w:val="22"/>
        </w:rPr>
        <w:t>prospektívnych</w:t>
      </w:r>
      <w:proofErr w:type="spellEnd"/>
      <w:r w:rsidRPr="003E5F46">
        <w:rPr>
          <w:szCs w:val="22"/>
        </w:rPr>
        <w:t xml:space="preserve"> štúdií (1 komparatívna a 4 otvorené bez porovnávania). Pa</w:t>
      </w:r>
      <w:r w:rsidR="00861C25">
        <w:rPr>
          <w:szCs w:val="22"/>
        </w:rPr>
        <w:t>cienti boli liečení najmenej 14 </w:t>
      </w:r>
      <w:r w:rsidRPr="003E5F46">
        <w:rPr>
          <w:szCs w:val="22"/>
        </w:rPr>
        <w:t>dní. U klinick</w:t>
      </w:r>
      <w:r w:rsidR="00861C25">
        <w:rPr>
          <w:szCs w:val="22"/>
        </w:rPr>
        <w:t>y stabilizovaných pacientov v 4 </w:t>
      </w:r>
      <w:r w:rsidRPr="003E5F46">
        <w:rPr>
          <w:szCs w:val="22"/>
        </w:rPr>
        <w:t xml:space="preserve">otvorených štúdiách bola povolená zmena liečby na perorálne podávané </w:t>
      </w:r>
      <w:proofErr w:type="spellStart"/>
      <w:r w:rsidRPr="003E5F46">
        <w:rPr>
          <w:szCs w:val="22"/>
        </w:rPr>
        <w:t>azoly</w:t>
      </w:r>
      <w:proofErr w:type="spellEnd"/>
      <w:r w:rsidRPr="003E5F46">
        <w:rPr>
          <w:szCs w:val="22"/>
        </w:rPr>
        <w:t xml:space="preserve"> po uplynutí najmenej 5 až 10 dní liečby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>. Do analýzy bolo zahrnutých celkom 129</w:t>
      </w:r>
      <w:r w:rsidR="00861C25">
        <w:rPr>
          <w:szCs w:val="22"/>
        </w:rPr>
        <w:t> </w:t>
      </w:r>
      <w:r w:rsidRPr="003E5F46">
        <w:rPr>
          <w:szCs w:val="22"/>
        </w:rPr>
        <w:t xml:space="preserve">pacientov. Dvadsaťjeden pacientov (16,3 %) malo súbežne </w:t>
      </w:r>
      <w:proofErr w:type="spellStart"/>
      <w:r w:rsidRPr="003E5F46">
        <w:rPr>
          <w:szCs w:val="22"/>
        </w:rPr>
        <w:t>kandidémiu</w:t>
      </w:r>
      <w:proofErr w:type="spellEnd"/>
      <w:r w:rsidRPr="003E5F46">
        <w:rPr>
          <w:szCs w:val="22"/>
        </w:rPr>
        <w:t>. Priemerné skóre APACHE II bolo 14,9 (rozpätie 2 – 44). Medzi najčastejšie miesta infekcie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patrila</w:t>
      </w:r>
      <w:r w:rsidRPr="003E5F46">
        <w:rPr>
          <w:spacing w:val="-4"/>
          <w:szCs w:val="22"/>
        </w:rPr>
        <w:t xml:space="preserve"> </w:t>
      </w:r>
      <w:proofErr w:type="spellStart"/>
      <w:r w:rsidRPr="003E5F46">
        <w:rPr>
          <w:szCs w:val="22"/>
        </w:rPr>
        <w:t>peritoneálna</w:t>
      </w:r>
      <w:proofErr w:type="spellEnd"/>
      <w:r w:rsidRPr="003E5F46">
        <w:rPr>
          <w:spacing w:val="-3"/>
          <w:szCs w:val="22"/>
        </w:rPr>
        <w:t xml:space="preserve"> </w:t>
      </w:r>
      <w:r w:rsidRPr="003E5F46">
        <w:rPr>
          <w:szCs w:val="22"/>
        </w:rPr>
        <w:t>dutina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(54,3 %;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70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zo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129),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pečeň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a</w:t>
      </w:r>
      <w:r w:rsidRPr="003E5F46">
        <w:rPr>
          <w:spacing w:val="-4"/>
          <w:szCs w:val="22"/>
        </w:rPr>
        <w:t> </w:t>
      </w:r>
      <w:r w:rsidRPr="003E5F46">
        <w:rPr>
          <w:szCs w:val="22"/>
        </w:rPr>
        <w:t>žlčové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cesty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(7,0 %;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9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zo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 xml:space="preserve">129), </w:t>
      </w:r>
      <w:proofErr w:type="spellStart"/>
      <w:r w:rsidRPr="003E5F46">
        <w:rPr>
          <w:szCs w:val="22"/>
        </w:rPr>
        <w:t>pleurálna</w:t>
      </w:r>
      <w:proofErr w:type="spellEnd"/>
      <w:r w:rsidRPr="003E5F46">
        <w:rPr>
          <w:szCs w:val="22"/>
        </w:rPr>
        <w:t xml:space="preserve"> dutina (5,4 %; 7 zo 129) a obličky (3,1 %; 4 zo 129). Najčastejšie patogény izolované z hlbokých tkanív na začiatku liečby boli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albicans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(64,3 %; 83 zo 129),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glabrata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(31,0 %; 40 zo 129), 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tropicalis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(11,6 %; 15 zo 129) a </w:t>
      </w:r>
      <w:r w:rsidRPr="003E5F46">
        <w:rPr>
          <w:i/>
          <w:szCs w:val="22"/>
        </w:rPr>
        <w:t xml:space="preserve">C. </w:t>
      </w:r>
      <w:proofErr w:type="spellStart"/>
      <w:r w:rsidRPr="003E5F46">
        <w:rPr>
          <w:i/>
          <w:szCs w:val="22"/>
        </w:rPr>
        <w:t>krusei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>(5,4 %; 7 zo 129). Mieru úspešnej celkovej odpovede na konci intravenóznej liečby (primárny koncový ukazovateľ) a pri ukončení celej liečby a úmrtnosť z akýchkoľvek príčin až do kontrolnej návštevy v 6. týždni uvádza tabuľka 5.</w:t>
      </w:r>
    </w:p>
    <w:p w14:paraId="27E02298" w14:textId="77777777" w:rsidR="004B4653" w:rsidRPr="003E5F46" w:rsidRDefault="004B4653" w:rsidP="004B4653">
      <w:pPr>
        <w:pStyle w:val="Zkladntext"/>
        <w:rPr>
          <w:szCs w:val="22"/>
        </w:rPr>
      </w:pPr>
    </w:p>
    <w:tbl>
      <w:tblPr>
        <w:tblW w:w="9286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4831"/>
      </w:tblGrid>
      <w:tr w:rsidR="004B4653" w:rsidRPr="003E5F46" w14:paraId="65CA8DD4" w14:textId="77777777" w:rsidTr="007B2646">
        <w:trPr>
          <w:trHeight w:val="551"/>
        </w:trPr>
        <w:tc>
          <w:tcPr>
            <w:tcW w:w="9286" w:type="dxa"/>
            <w:gridSpan w:val="2"/>
          </w:tcPr>
          <w:p w14:paraId="5C9BF31D" w14:textId="77777777" w:rsidR="004B4653" w:rsidRPr="003E5F46" w:rsidRDefault="004B4653" w:rsidP="007B2646">
            <w:pPr>
              <w:pStyle w:val="Nadpis1"/>
              <w:ind w:left="363" w:right="360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 xml:space="preserve">Tabuľka 5. Miera úspešnej celkovej 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odpovede</w:t>
            </w:r>
            <w:r w:rsidRPr="003E5F46">
              <w:rPr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  <w:r w:rsidRPr="003E5F46">
              <w:rPr>
                <w:position w:val="10"/>
                <w:sz w:val="22"/>
                <w:szCs w:val="22"/>
                <w:lang w:val="sk-SK"/>
              </w:rPr>
              <w:t xml:space="preserve"> </w:t>
            </w:r>
            <w:r w:rsidRPr="003E5F46">
              <w:rPr>
                <w:sz w:val="22"/>
                <w:szCs w:val="22"/>
                <w:lang w:val="sk-SK"/>
              </w:rPr>
              <w:t>a úmrtnosť z akýchkoľvek príčin u pacientov s </w:t>
            </w:r>
            <w:proofErr w:type="spellStart"/>
            <w:r w:rsidRPr="003E5F46">
              <w:rPr>
                <w:sz w:val="22"/>
                <w:szCs w:val="22"/>
                <w:lang w:val="sk-SK"/>
              </w:rPr>
              <w:t>kandidózou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hlbokých tkanív - analýza súhrnných údajov</w:t>
            </w:r>
          </w:p>
        </w:tc>
      </w:tr>
      <w:tr w:rsidR="004B4653" w:rsidRPr="003E5F46" w14:paraId="107621D5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65"/>
        </w:trPr>
        <w:tc>
          <w:tcPr>
            <w:tcW w:w="4455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14:paraId="26AFE63E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4831" w:type="dxa"/>
            <w:tcBorders>
              <w:top w:val="single" w:sz="8" w:space="0" w:color="000000"/>
              <w:right w:val="single" w:sz="4" w:space="0" w:color="auto"/>
            </w:tcBorders>
          </w:tcPr>
          <w:p w14:paraId="4520A566" w14:textId="77777777" w:rsidR="004B4653" w:rsidRPr="003E5F46" w:rsidRDefault="004B4653" w:rsidP="007B2646">
            <w:pPr>
              <w:pStyle w:val="TableParagraph"/>
              <w:ind w:left="1941" w:hanging="1422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Populácia MITT n/N (%)</w:t>
            </w:r>
          </w:p>
        </w:tc>
      </w:tr>
      <w:tr w:rsidR="004B4653" w:rsidRPr="003E5F46" w14:paraId="6F37CCC9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"/>
        </w:trPr>
        <w:tc>
          <w:tcPr>
            <w:tcW w:w="4455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14:paraId="1EFCB1D0" w14:textId="77777777" w:rsidR="004B4653" w:rsidRPr="003E5F46" w:rsidRDefault="004B4653" w:rsidP="007B2646">
            <w:pPr>
              <w:rPr>
                <w:szCs w:val="22"/>
              </w:rPr>
            </w:pPr>
          </w:p>
        </w:tc>
        <w:tc>
          <w:tcPr>
            <w:tcW w:w="4831" w:type="dxa"/>
            <w:tcBorders>
              <w:bottom w:val="single" w:sz="8" w:space="0" w:color="000000"/>
              <w:right w:val="single" w:sz="4" w:space="0" w:color="auto"/>
            </w:tcBorders>
          </w:tcPr>
          <w:p w14:paraId="5F3E2C56" w14:textId="77777777" w:rsidR="004B4653" w:rsidRPr="003E5F46" w:rsidRDefault="004B4653" w:rsidP="007B2646">
            <w:pPr>
              <w:pStyle w:val="TableParagraph"/>
              <w:ind w:left="2324" w:right="1702" w:hanging="2513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4B4653" w:rsidRPr="003E5F46" w14:paraId="76948635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4AB82A4A" w14:textId="77777777" w:rsidR="004B4653" w:rsidRPr="003E5F46" w:rsidRDefault="004B4653" w:rsidP="007B2646">
            <w:pPr>
              <w:pStyle w:val="TableParagraph"/>
              <w:ind w:left="108"/>
              <w:rPr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 xml:space="preserve">Úspešná celková odpoveď pri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EOIVT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483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63B28AF" w14:textId="77777777" w:rsidR="004B4653" w:rsidRPr="003E5F46" w:rsidRDefault="004B4653" w:rsidP="007B2646">
            <w:pPr>
              <w:pStyle w:val="TableParagraph"/>
              <w:ind w:left="731"/>
              <w:rPr>
                <w:sz w:val="22"/>
                <w:szCs w:val="22"/>
                <w:lang w:val="sk-SK"/>
              </w:rPr>
            </w:pPr>
          </w:p>
        </w:tc>
      </w:tr>
      <w:tr w:rsidR="004B4653" w:rsidRPr="003E5F46" w14:paraId="2B834B29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7C8" w14:textId="77777777" w:rsidR="004B4653" w:rsidRPr="003E5F46" w:rsidRDefault="004B4653" w:rsidP="007B2646">
            <w:pPr>
              <w:pStyle w:val="TableParagraph"/>
              <w:ind w:left="442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Celkom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61E" w14:textId="77777777" w:rsidR="004B4653" w:rsidRPr="003E5F46" w:rsidRDefault="004B4653" w:rsidP="007B2646">
            <w:pPr>
              <w:pStyle w:val="TableParagraph"/>
              <w:ind w:left="662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102/129 (79,1)</w:t>
            </w:r>
          </w:p>
        </w:tc>
      </w:tr>
      <w:tr w:rsidR="004B4653" w:rsidRPr="003E5F46" w14:paraId="2B5EC142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AB3" w14:textId="77777777" w:rsidR="004B4653" w:rsidRPr="003E5F46" w:rsidRDefault="004B4653" w:rsidP="007B2646">
            <w:pPr>
              <w:pStyle w:val="TableParagraph"/>
              <w:ind w:left="439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Peritoneálna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dutina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7D1" w14:textId="77777777" w:rsidR="004B4653" w:rsidRPr="003E5F46" w:rsidRDefault="004B4653" w:rsidP="007B2646">
            <w:pPr>
              <w:pStyle w:val="TableParagraph"/>
              <w:ind w:left="731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51/70 (72,9)</w:t>
            </w:r>
          </w:p>
        </w:tc>
      </w:tr>
      <w:tr w:rsidR="004B4653" w:rsidRPr="003E5F46" w14:paraId="4F17C9E4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CC4" w14:textId="77777777" w:rsidR="004B4653" w:rsidRPr="003E5F46" w:rsidRDefault="00861C25" w:rsidP="007B2646">
            <w:pPr>
              <w:pStyle w:val="TableParagraph"/>
              <w:ind w:left="439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Pečeň a </w:t>
            </w:r>
            <w:r w:rsidR="004B4653" w:rsidRPr="003E5F46">
              <w:rPr>
                <w:sz w:val="22"/>
                <w:szCs w:val="22"/>
                <w:lang w:val="sk-SK"/>
              </w:rPr>
              <w:t>žlčové cesty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975" w14:textId="77777777" w:rsidR="004B4653" w:rsidRPr="003E5F46" w:rsidRDefault="004B4653" w:rsidP="007B2646">
            <w:pPr>
              <w:pStyle w:val="TableParagraph"/>
              <w:ind w:left="731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7/9 (77,8)</w:t>
            </w:r>
          </w:p>
        </w:tc>
      </w:tr>
      <w:tr w:rsidR="004B4653" w:rsidRPr="003E5F46" w14:paraId="530B8736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83E" w14:textId="77777777" w:rsidR="004B4653" w:rsidRPr="003E5F46" w:rsidRDefault="004B4653" w:rsidP="007B2646">
            <w:pPr>
              <w:pStyle w:val="TableParagraph"/>
              <w:ind w:left="439"/>
              <w:rPr>
                <w:sz w:val="22"/>
                <w:szCs w:val="22"/>
                <w:lang w:val="sk-SK"/>
              </w:rPr>
            </w:pPr>
            <w:proofErr w:type="spellStart"/>
            <w:r w:rsidRPr="003E5F46">
              <w:rPr>
                <w:sz w:val="22"/>
                <w:szCs w:val="22"/>
                <w:lang w:val="sk-SK"/>
              </w:rPr>
              <w:t>Pleurálna</w:t>
            </w:r>
            <w:proofErr w:type="spellEnd"/>
            <w:r w:rsidRPr="003E5F46">
              <w:rPr>
                <w:sz w:val="22"/>
                <w:szCs w:val="22"/>
                <w:lang w:val="sk-SK"/>
              </w:rPr>
              <w:t xml:space="preserve"> dutina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941" w14:textId="77777777" w:rsidR="004B4653" w:rsidRPr="003E5F46" w:rsidRDefault="004B4653" w:rsidP="007B2646">
            <w:pPr>
              <w:pStyle w:val="TableParagraph"/>
              <w:ind w:left="731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6/7 (85,7)</w:t>
            </w:r>
          </w:p>
        </w:tc>
      </w:tr>
      <w:tr w:rsidR="004B4653" w:rsidRPr="003E5F46" w14:paraId="40968517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016" w14:textId="77777777" w:rsidR="004B4653" w:rsidRPr="003E5F46" w:rsidRDefault="004B4653" w:rsidP="007B2646">
            <w:pPr>
              <w:pStyle w:val="TableParagraph"/>
              <w:ind w:left="439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Obličky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44C" w14:textId="77777777" w:rsidR="004B4653" w:rsidRPr="003E5F46" w:rsidRDefault="004B4653" w:rsidP="007B2646">
            <w:pPr>
              <w:pStyle w:val="TableParagraph"/>
              <w:ind w:left="731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3/4 (75,0)</w:t>
            </w:r>
          </w:p>
        </w:tc>
      </w:tr>
      <w:tr w:rsidR="004B4653" w:rsidRPr="003E5F46" w14:paraId="5B37F9FA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702" w14:textId="77777777" w:rsidR="004B4653" w:rsidRPr="003E5F46" w:rsidRDefault="004B4653" w:rsidP="007B2646">
            <w:pPr>
              <w:pStyle w:val="TableParagraph"/>
              <w:ind w:left="108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 xml:space="preserve">Úspešná celková odpoveď pri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EOT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647" w14:textId="77777777" w:rsidR="004B4653" w:rsidRPr="00387835" w:rsidRDefault="004B4653" w:rsidP="007B2646">
            <w:pPr>
              <w:pStyle w:val="TableParagraph"/>
              <w:ind w:left="731"/>
              <w:rPr>
                <w:b/>
                <w:sz w:val="22"/>
                <w:szCs w:val="22"/>
                <w:lang w:val="sk-SK"/>
              </w:rPr>
            </w:pPr>
            <w:r w:rsidRPr="00387835">
              <w:rPr>
                <w:b/>
                <w:sz w:val="22"/>
                <w:szCs w:val="22"/>
                <w:lang w:val="sk-SK"/>
              </w:rPr>
              <w:t>94/129 (72,9)</w:t>
            </w:r>
          </w:p>
        </w:tc>
      </w:tr>
      <w:tr w:rsidR="004B4653" w:rsidRPr="003E5F46" w14:paraId="181BF7E3" w14:textId="77777777" w:rsidTr="007B264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7DD326" w14:textId="77777777" w:rsidR="004B4653" w:rsidRPr="003E5F46" w:rsidRDefault="004B4653" w:rsidP="007B2646">
            <w:pPr>
              <w:pStyle w:val="TableParagraph"/>
              <w:ind w:left="108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Úmrtnosť z akýchkoľvek príčin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1A1ECA" w14:textId="77777777" w:rsidR="004B4653" w:rsidRPr="00387835" w:rsidRDefault="004B4653" w:rsidP="007B2646">
            <w:pPr>
              <w:pStyle w:val="TableParagraph"/>
              <w:ind w:left="731"/>
              <w:rPr>
                <w:b/>
                <w:sz w:val="22"/>
                <w:szCs w:val="22"/>
                <w:lang w:val="sk-SK"/>
              </w:rPr>
            </w:pPr>
            <w:r w:rsidRPr="00387835">
              <w:rPr>
                <w:b/>
                <w:sz w:val="22"/>
                <w:szCs w:val="22"/>
                <w:lang w:val="sk-SK"/>
              </w:rPr>
              <w:t>40/129 (31,0)</w:t>
            </w:r>
          </w:p>
        </w:tc>
      </w:tr>
      <w:tr w:rsidR="004B4653" w:rsidRPr="003E5F46" w14:paraId="61B9199F" w14:textId="77777777" w:rsidTr="007B2646">
        <w:trPr>
          <w:trHeight w:val="777"/>
        </w:trPr>
        <w:tc>
          <w:tcPr>
            <w:tcW w:w="9286" w:type="dxa"/>
            <w:gridSpan w:val="2"/>
            <w:tcBorders>
              <w:left w:val="nil"/>
              <w:right w:val="nil"/>
            </w:tcBorders>
          </w:tcPr>
          <w:p w14:paraId="04018467" w14:textId="77777777" w:rsidR="004B4653" w:rsidRPr="003E5F46" w:rsidRDefault="004B4653" w:rsidP="007B2646">
            <w:pPr>
              <w:pStyle w:val="Zkladntext"/>
              <w:rPr>
                <w:sz w:val="20"/>
                <w:szCs w:val="20"/>
              </w:rPr>
            </w:pPr>
            <w:r w:rsidRPr="003E5F46">
              <w:rPr>
                <w:szCs w:val="22"/>
                <w:vertAlign w:val="superscript"/>
              </w:rPr>
              <w:t>a</w:t>
            </w:r>
            <w:r w:rsidRPr="003E5F46">
              <w:rPr>
                <w:position w:val="10"/>
                <w:sz w:val="20"/>
                <w:szCs w:val="20"/>
              </w:rPr>
              <w:t xml:space="preserve"> </w:t>
            </w:r>
            <w:r w:rsidRPr="003E5F46">
              <w:rPr>
                <w:sz w:val="20"/>
                <w:szCs w:val="20"/>
              </w:rPr>
              <w:t>Úspešná celková odpoveď bola definovaná ako klinicky aj mikrobiologicky úspešná liečba.</w:t>
            </w:r>
          </w:p>
          <w:p w14:paraId="49411B17" w14:textId="77777777" w:rsidR="004B4653" w:rsidRPr="003E5F46" w:rsidRDefault="004B4653" w:rsidP="007B2646">
            <w:pPr>
              <w:pStyle w:val="Zkladntext"/>
            </w:pPr>
            <w:r w:rsidRPr="003E5F46">
              <w:rPr>
                <w:b/>
                <w:szCs w:val="22"/>
                <w:vertAlign w:val="superscript"/>
              </w:rPr>
              <w:t>b</w:t>
            </w:r>
            <w:r w:rsidRPr="003E5F46">
              <w:rPr>
                <w:position w:val="10"/>
                <w:sz w:val="20"/>
                <w:szCs w:val="20"/>
              </w:rPr>
              <w:t xml:space="preserve"> </w:t>
            </w:r>
            <w:r w:rsidRPr="003E5F46">
              <w:rPr>
                <w:sz w:val="20"/>
                <w:szCs w:val="20"/>
              </w:rPr>
              <w:t xml:space="preserve">EOIVT (End of </w:t>
            </w:r>
            <w:proofErr w:type="spellStart"/>
            <w:r w:rsidRPr="003E5F46">
              <w:rPr>
                <w:sz w:val="20"/>
                <w:szCs w:val="20"/>
              </w:rPr>
              <w:t>Intravenous</w:t>
            </w:r>
            <w:proofErr w:type="spellEnd"/>
            <w:r w:rsidRPr="003E5F46">
              <w:rPr>
                <w:sz w:val="20"/>
                <w:szCs w:val="20"/>
              </w:rPr>
              <w:t xml:space="preserve"> </w:t>
            </w:r>
            <w:proofErr w:type="spellStart"/>
            <w:r w:rsidRPr="003E5F46">
              <w:rPr>
                <w:sz w:val="20"/>
                <w:szCs w:val="20"/>
              </w:rPr>
              <w:t>Treatment</w:t>
            </w:r>
            <w:proofErr w:type="spellEnd"/>
            <w:r w:rsidRPr="003E5F46">
              <w:rPr>
                <w:sz w:val="20"/>
                <w:szCs w:val="20"/>
              </w:rPr>
              <w:t xml:space="preserve">), ukončenie intravenóznej liečby; EOT (End of </w:t>
            </w:r>
            <w:proofErr w:type="spellStart"/>
            <w:r w:rsidRPr="003E5F46">
              <w:rPr>
                <w:sz w:val="20"/>
                <w:szCs w:val="20"/>
              </w:rPr>
              <w:t>All</w:t>
            </w:r>
            <w:proofErr w:type="spellEnd"/>
            <w:r w:rsidRPr="003E5F46">
              <w:rPr>
                <w:sz w:val="20"/>
                <w:szCs w:val="20"/>
              </w:rPr>
              <w:t xml:space="preserve"> </w:t>
            </w:r>
            <w:proofErr w:type="spellStart"/>
            <w:r w:rsidRPr="003E5F46">
              <w:rPr>
                <w:sz w:val="20"/>
                <w:szCs w:val="20"/>
              </w:rPr>
              <w:t>Treatment</w:t>
            </w:r>
            <w:proofErr w:type="spellEnd"/>
            <w:r w:rsidRPr="003E5F46">
              <w:rPr>
                <w:sz w:val="20"/>
                <w:szCs w:val="20"/>
              </w:rPr>
              <w:t>), ukončenie celej</w:t>
            </w:r>
            <w:r w:rsidRPr="003E5F46">
              <w:rPr>
                <w:spacing w:val="-21"/>
                <w:sz w:val="20"/>
                <w:szCs w:val="20"/>
              </w:rPr>
              <w:t xml:space="preserve"> </w:t>
            </w:r>
            <w:r w:rsidRPr="003E5F46">
              <w:rPr>
                <w:sz w:val="20"/>
                <w:szCs w:val="20"/>
              </w:rPr>
              <w:t>liečby.</w:t>
            </w:r>
          </w:p>
        </w:tc>
      </w:tr>
    </w:tbl>
    <w:p w14:paraId="1518C18E" w14:textId="77777777" w:rsidR="00812D16" w:rsidRPr="00BF5AB0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71C6216D" w14:textId="77777777" w:rsidR="00812D16" w:rsidRPr="00E00CBB" w:rsidRDefault="005C0CBF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proofErr w:type="spellStart"/>
      <w:r w:rsidRPr="00E00CBB">
        <w:rPr>
          <w:b/>
        </w:rPr>
        <w:t>Farmakokinetické</w:t>
      </w:r>
      <w:proofErr w:type="spellEnd"/>
      <w:r w:rsidRPr="00E00CBB">
        <w:rPr>
          <w:b/>
        </w:rPr>
        <w:t xml:space="preserve"> vlastnosti</w:t>
      </w:r>
    </w:p>
    <w:p w14:paraId="58FD3F51" w14:textId="77777777" w:rsidR="00812D16" w:rsidRPr="001960DE" w:rsidRDefault="00812D16" w:rsidP="00085939">
      <w:pPr>
        <w:keepNext/>
        <w:spacing w:line="240" w:lineRule="auto"/>
        <w:ind w:left="567" w:hanging="567"/>
        <w:outlineLvl w:val="0"/>
      </w:pPr>
    </w:p>
    <w:p w14:paraId="0672F5D9" w14:textId="77777777" w:rsidR="00A84E1E" w:rsidRPr="003E5F46" w:rsidRDefault="00A84E1E" w:rsidP="00A84E1E">
      <w:pPr>
        <w:pStyle w:val="Zkladntext"/>
        <w:keepNext/>
        <w:rPr>
          <w:szCs w:val="22"/>
        </w:rPr>
      </w:pPr>
      <w:r w:rsidRPr="003E5F46">
        <w:rPr>
          <w:szCs w:val="22"/>
          <w:u w:val="single"/>
        </w:rPr>
        <w:t xml:space="preserve">Všeobecné </w:t>
      </w:r>
      <w:proofErr w:type="spellStart"/>
      <w:r w:rsidRPr="003E5F46">
        <w:rPr>
          <w:szCs w:val="22"/>
          <w:u w:val="single"/>
        </w:rPr>
        <w:t>farmakokinetické</w:t>
      </w:r>
      <w:proofErr w:type="spellEnd"/>
      <w:r w:rsidRPr="003E5F46">
        <w:rPr>
          <w:szCs w:val="22"/>
          <w:u w:val="single"/>
        </w:rPr>
        <w:t xml:space="preserve"> vlastnosti</w:t>
      </w:r>
    </w:p>
    <w:p w14:paraId="034E3D22" w14:textId="77777777" w:rsidR="00A84E1E" w:rsidRDefault="00A84E1E" w:rsidP="00A84E1E">
      <w:pPr>
        <w:pStyle w:val="Zkladntext"/>
        <w:keepNext/>
        <w:rPr>
          <w:szCs w:val="22"/>
        </w:rPr>
      </w:pPr>
    </w:p>
    <w:p w14:paraId="6B8BF6C6" w14:textId="63C398BB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bola charakterizovaná u zdravých osôb, v osobitných skupinách a u pacientov. Pri systémovej expozícii sa pozorovala nízka </w:t>
      </w:r>
      <w:proofErr w:type="spellStart"/>
      <w:r w:rsidRPr="003E5F46">
        <w:rPr>
          <w:szCs w:val="22"/>
        </w:rPr>
        <w:t>int</w:t>
      </w:r>
      <w:r w:rsidR="00012310">
        <w:rPr>
          <w:szCs w:val="22"/>
        </w:rPr>
        <w:t>er</w:t>
      </w:r>
      <w:r w:rsidRPr="003E5F46">
        <w:rPr>
          <w:szCs w:val="22"/>
        </w:rPr>
        <w:t>individuálna</w:t>
      </w:r>
      <w:proofErr w:type="spellEnd"/>
      <w:r w:rsidRPr="003E5F46">
        <w:rPr>
          <w:szCs w:val="22"/>
        </w:rPr>
        <w:t xml:space="preserve"> variabilita (koeficient variácie ~25 %). Rovnovážny stav sa dosiahol počas prvého dňa po </w:t>
      </w:r>
      <w:proofErr w:type="spellStart"/>
      <w:r w:rsidRPr="003E5F46">
        <w:rPr>
          <w:szCs w:val="22"/>
        </w:rPr>
        <w:t>nasycovacej</w:t>
      </w:r>
      <w:proofErr w:type="spellEnd"/>
      <w:r w:rsidRPr="003E5F46">
        <w:rPr>
          <w:szCs w:val="22"/>
        </w:rPr>
        <w:t xml:space="preserve"> dávke (dvojnásobok dennej udržiavacej dávky).</w:t>
      </w:r>
    </w:p>
    <w:p w14:paraId="7386F753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1BCB2391" w14:textId="77777777" w:rsidR="00A84E1E" w:rsidRDefault="00A84E1E" w:rsidP="00A84E1E">
      <w:pPr>
        <w:pStyle w:val="Zkladntext"/>
        <w:keepNext/>
        <w:ind w:right="-2"/>
        <w:rPr>
          <w:szCs w:val="22"/>
          <w:u w:val="single"/>
        </w:rPr>
      </w:pPr>
      <w:r w:rsidRPr="003E5F46">
        <w:rPr>
          <w:szCs w:val="22"/>
          <w:u w:val="single"/>
        </w:rPr>
        <w:t>Distribúcia</w:t>
      </w:r>
    </w:p>
    <w:p w14:paraId="5B202141" w14:textId="77777777" w:rsidR="00A84E1E" w:rsidRPr="003E5F46" w:rsidRDefault="00A84E1E" w:rsidP="00A84E1E">
      <w:pPr>
        <w:pStyle w:val="Zkladntext"/>
        <w:keepNext/>
        <w:ind w:right="-2"/>
        <w:rPr>
          <w:szCs w:val="22"/>
        </w:rPr>
      </w:pPr>
    </w:p>
    <w:p w14:paraId="7AA8A190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je charakterizovaná rýchlym</w:t>
      </w:r>
      <w:r>
        <w:rPr>
          <w:szCs w:val="22"/>
        </w:rPr>
        <w:t xml:space="preserve"> distribučným polčasom (0,5 – 1 </w:t>
      </w:r>
      <w:r w:rsidRPr="003E5F46">
        <w:rPr>
          <w:szCs w:val="22"/>
        </w:rPr>
        <w:t>hodina) a distribučným objemom 30 </w:t>
      </w:r>
      <w:r w:rsidRPr="003E5F46">
        <w:rPr>
          <w:szCs w:val="22"/>
        </w:rPr>
        <w:noBreakHyphen/>
        <w:t xml:space="preserve"> 50 l, čo je podobné celkovému telesnému objemu.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sa významne viaže (&gt; 99 %) na ľudské plazmatické bielkoviny. U ľudí sa nevykonali žiadne špecifické štúdie zamerané na distribúciu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v tkanivách. Preto nie sú k dispozícií žiadne informácie o prieniku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do </w:t>
      </w:r>
      <w:proofErr w:type="spellStart"/>
      <w:r w:rsidRPr="003E5F46">
        <w:rPr>
          <w:szCs w:val="22"/>
        </w:rPr>
        <w:t>cerebrospinálnej</w:t>
      </w:r>
      <w:proofErr w:type="spellEnd"/>
      <w:r w:rsidRPr="003E5F46">
        <w:rPr>
          <w:szCs w:val="22"/>
        </w:rPr>
        <w:t xml:space="preserve"> tekutiny a/alebo cez </w:t>
      </w:r>
      <w:proofErr w:type="spellStart"/>
      <w:r w:rsidRPr="003E5F46">
        <w:rPr>
          <w:szCs w:val="22"/>
        </w:rPr>
        <w:t>hematoencefalickú</w:t>
      </w:r>
      <w:proofErr w:type="spellEnd"/>
      <w:r w:rsidRPr="003E5F46">
        <w:rPr>
          <w:szCs w:val="22"/>
        </w:rPr>
        <w:t xml:space="preserve"> bariéru.</w:t>
      </w:r>
    </w:p>
    <w:p w14:paraId="324B012E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027922E6" w14:textId="77777777" w:rsidR="00A84E1E" w:rsidRDefault="00A84E1E" w:rsidP="00A84E1E">
      <w:pPr>
        <w:pStyle w:val="Zkladntext"/>
        <w:keepNext/>
        <w:ind w:right="-2"/>
        <w:rPr>
          <w:szCs w:val="22"/>
          <w:u w:val="single"/>
        </w:rPr>
      </w:pPr>
      <w:proofErr w:type="spellStart"/>
      <w:r w:rsidRPr="003E5F46">
        <w:rPr>
          <w:szCs w:val="22"/>
          <w:u w:val="single"/>
        </w:rPr>
        <w:t>Biotransformácia</w:t>
      </w:r>
      <w:proofErr w:type="spellEnd"/>
    </w:p>
    <w:p w14:paraId="7C3C7538" w14:textId="77777777" w:rsidR="00A84E1E" w:rsidRPr="003E5F46" w:rsidRDefault="00A84E1E" w:rsidP="00A84E1E">
      <w:pPr>
        <w:pStyle w:val="Zkladntext"/>
        <w:keepNext/>
        <w:ind w:right="-2"/>
        <w:rPr>
          <w:szCs w:val="22"/>
        </w:rPr>
      </w:pPr>
    </w:p>
    <w:p w14:paraId="3669D0DE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Metabolizovanie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pečeňou sa nepozorovalo.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nie je klinicky významným substrátom, induktorom alebo inhibítorom </w:t>
      </w:r>
      <w:proofErr w:type="spellStart"/>
      <w:r w:rsidRPr="003E5F46">
        <w:rPr>
          <w:szCs w:val="22"/>
        </w:rPr>
        <w:t>izoenzýmov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cytochrómu</w:t>
      </w:r>
      <w:proofErr w:type="spellEnd"/>
      <w:r w:rsidRPr="003E5F46">
        <w:rPr>
          <w:szCs w:val="22"/>
        </w:rPr>
        <w:t xml:space="preserve"> P450. Klinicky významný vplyv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na metabolizmus liekov metabolizovaných </w:t>
      </w:r>
      <w:proofErr w:type="spellStart"/>
      <w:r w:rsidRPr="003E5F46">
        <w:rPr>
          <w:szCs w:val="22"/>
        </w:rPr>
        <w:t>izoenzýmami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cytochrómu</w:t>
      </w:r>
      <w:proofErr w:type="spellEnd"/>
      <w:r w:rsidRPr="003E5F46">
        <w:rPr>
          <w:szCs w:val="22"/>
        </w:rPr>
        <w:t xml:space="preserve"> P450 je nepravdepodobný.</w:t>
      </w:r>
    </w:p>
    <w:p w14:paraId="147EB83B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5C6E7245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lastRenderedPageBreak/>
        <w:t>Anidulafungín</w:t>
      </w:r>
      <w:proofErr w:type="spellEnd"/>
      <w:r w:rsidRPr="003E5F46">
        <w:rPr>
          <w:szCs w:val="22"/>
        </w:rPr>
        <w:t xml:space="preserve"> podlieha pomalej chemickej degradácii pri fyziologickej teplote a pH na </w:t>
      </w:r>
      <w:proofErr w:type="spellStart"/>
      <w:r w:rsidRPr="003E5F46">
        <w:rPr>
          <w:szCs w:val="22"/>
        </w:rPr>
        <w:t>peptid</w:t>
      </w:r>
      <w:proofErr w:type="spellEnd"/>
      <w:r w:rsidRPr="003E5F46">
        <w:rPr>
          <w:szCs w:val="22"/>
        </w:rPr>
        <w:t xml:space="preserve"> s otvoreným kruhom, ktorá nemá </w:t>
      </w:r>
      <w:proofErr w:type="spellStart"/>
      <w:r w:rsidRPr="003E5F46">
        <w:rPr>
          <w:szCs w:val="22"/>
        </w:rPr>
        <w:t>antimykotické</w:t>
      </w:r>
      <w:proofErr w:type="spellEnd"/>
      <w:r w:rsidRPr="003E5F46">
        <w:rPr>
          <w:szCs w:val="22"/>
        </w:rPr>
        <w:t xml:space="preserve"> účinky. Polčas degradácie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</w:t>
      </w:r>
      <w:r w:rsidRPr="003E5F46">
        <w:rPr>
          <w:i/>
          <w:szCs w:val="22"/>
        </w:rPr>
        <w:t xml:space="preserve">in vitro </w:t>
      </w:r>
      <w:r w:rsidRPr="003E5F46">
        <w:rPr>
          <w:szCs w:val="22"/>
        </w:rPr>
        <w:t>pri fyziologick</w:t>
      </w:r>
      <w:r>
        <w:rPr>
          <w:szCs w:val="22"/>
        </w:rPr>
        <w:t>ých podmienkach je približne 24 </w:t>
      </w:r>
      <w:r w:rsidRPr="003E5F46">
        <w:rPr>
          <w:szCs w:val="22"/>
        </w:rPr>
        <w:t xml:space="preserve">hodín. </w:t>
      </w:r>
      <w:r w:rsidRPr="003E5F46">
        <w:rPr>
          <w:i/>
          <w:szCs w:val="22"/>
        </w:rPr>
        <w:t xml:space="preserve">In </w:t>
      </w:r>
      <w:proofErr w:type="spellStart"/>
      <w:r w:rsidRPr="003E5F46">
        <w:rPr>
          <w:i/>
          <w:szCs w:val="22"/>
        </w:rPr>
        <w:t>vivo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podlieha látka s otvoreným kruhom postupnej premene na štiepne produkty </w:t>
      </w:r>
      <w:proofErr w:type="spellStart"/>
      <w:r w:rsidRPr="003E5F46">
        <w:rPr>
          <w:szCs w:val="22"/>
        </w:rPr>
        <w:t>peptidu</w:t>
      </w:r>
      <w:proofErr w:type="spellEnd"/>
      <w:r w:rsidRPr="003E5F46">
        <w:rPr>
          <w:szCs w:val="22"/>
        </w:rPr>
        <w:t xml:space="preserve"> a je eliminovaná hlavne biliárnou exkréciou.</w:t>
      </w:r>
    </w:p>
    <w:p w14:paraId="14229BCF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0EC00668" w14:textId="77777777" w:rsidR="00A84E1E" w:rsidRDefault="00A84E1E" w:rsidP="00A84E1E">
      <w:pPr>
        <w:pStyle w:val="Zkladntext"/>
        <w:keepNext/>
        <w:ind w:right="-2"/>
        <w:rPr>
          <w:szCs w:val="22"/>
          <w:u w:val="single"/>
        </w:rPr>
      </w:pPr>
      <w:r w:rsidRPr="003E5F46">
        <w:rPr>
          <w:szCs w:val="22"/>
          <w:u w:val="single"/>
        </w:rPr>
        <w:t>Eliminácia</w:t>
      </w:r>
    </w:p>
    <w:p w14:paraId="77C26BB7" w14:textId="77777777" w:rsidR="00A84E1E" w:rsidRPr="003E5F46" w:rsidRDefault="00A84E1E" w:rsidP="00A84E1E">
      <w:pPr>
        <w:pStyle w:val="Zkladntext"/>
        <w:keepNext/>
        <w:ind w:right="-2"/>
        <w:rPr>
          <w:szCs w:val="22"/>
        </w:rPr>
      </w:pPr>
    </w:p>
    <w:p w14:paraId="78AB4490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Klírens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je asi 1 l/h.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má prevládajúci eliminačný polčas približne </w:t>
      </w:r>
      <w:r w:rsidR="003C56FA">
        <w:rPr>
          <w:szCs w:val="22"/>
        </w:rPr>
        <w:t>24 </w:t>
      </w:r>
      <w:r w:rsidRPr="003E5F46">
        <w:rPr>
          <w:szCs w:val="22"/>
        </w:rPr>
        <w:t>hodín, ktorý charakterizuje väčšinu profilu závislosti koncentrácie od času a terminálny polčas 40 </w:t>
      </w:r>
      <w:r w:rsidR="001E6E83">
        <w:rPr>
          <w:szCs w:val="22"/>
        </w:rPr>
        <w:t>–</w:t>
      </w:r>
      <w:r w:rsidRPr="003E5F46">
        <w:rPr>
          <w:szCs w:val="22"/>
        </w:rPr>
        <w:t> </w:t>
      </w:r>
      <w:r w:rsidR="001E6E83">
        <w:rPr>
          <w:szCs w:val="22"/>
        </w:rPr>
        <w:t>50 </w:t>
      </w:r>
      <w:r w:rsidRPr="003E5F46">
        <w:rPr>
          <w:szCs w:val="22"/>
        </w:rPr>
        <w:t>hodín, ktorý charakterizuje terminálnu eliminačnú fázu profilu.</w:t>
      </w:r>
    </w:p>
    <w:p w14:paraId="5D723688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01A2E0BE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>V klinickej štúdii s jednorazovou dávkou bol zdravým osobám podaný rádioaktívne (</w:t>
      </w:r>
      <w:r w:rsidRPr="003E5F46">
        <w:rPr>
          <w:szCs w:val="22"/>
          <w:vertAlign w:val="superscript"/>
        </w:rPr>
        <w:t>14</w:t>
      </w:r>
      <w:r w:rsidRPr="003E5F46">
        <w:rPr>
          <w:szCs w:val="22"/>
        </w:rPr>
        <w:t xml:space="preserve">C) značený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(~88 mg). Približne 30 % z podanej rádioaktívnej dávky sa v </w:t>
      </w:r>
      <w:r w:rsidR="00D0086A">
        <w:rPr>
          <w:szCs w:val="22"/>
        </w:rPr>
        <w:t>priebehu 9 </w:t>
      </w:r>
      <w:r w:rsidRPr="003E5F46">
        <w:rPr>
          <w:szCs w:val="22"/>
        </w:rPr>
        <w:t xml:space="preserve">dní vylúčilo stolicou, z čoho menej ako 10 % bol liek v nezmenenej forme. Menej ako 1 % z podanej rádioaktívnej dávky sa vylúčilo močom, čo svedčí o zanedbateľnom </w:t>
      </w:r>
      <w:proofErr w:type="spellStart"/>
      <w:r w:rsidRPr="003E5F46">
        <w:rPr>
          <w:szCs w:val="22"/>
        </w:rPr>
        <w:t>renálnom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klírense</w:t>
      </w:r>
      <w:proofErr w:type="spellEnd"/>
      <w:r w:rsidRPr="003E5F46">
        <w:rPr>
          <w:szCs w:val="22"/>
        </w:rPr>
        <w:t xml:space="preserve">. Koncentrácie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klesli pod na</w:t>
      </w:r>
      <w:r w:rsidR="001E6E83">
        <w:rPr>
          <w:szCs w:val="22"/>
        </w:rPr>
        <w:t xml:space="preserve">jnižšiu </w:t>
      </w:r>
      <w:proofErr w:type="spellStart"/>
      <w:r w:rsidR="001E6E83">
        <w:rPr>
          <w:szCs w:val="22"/>
        </w:rPr>
        <w:t>detegovateľnú</w:t>
      </w:r>
      <w:proofErr w:type="spellEnd"/>
      <w:r w:rsidR="001E6E83">
        <w:rPr>
          <w:szCs w:val="22"/>
        </w:rPr>
        <w:t xml:space="preserve"> hranicu 6 </w:t>
      </w:r>
      <w:r w:rsidRPr="003E5F46">
        <w:rPr>
          <w:szCs w:val="22"/>
        </w:rPr>
        <w:t>dní po podaní dávky. Zanedbateľné množstvá rádioaktívneho žiarenia pochádzajúceho z podaného lieku sa zistili v krvi, moči a </w:t>
      </w:r>
      <w:r w:rsidR="001E6E83">
        <w:rPr>
          <w:szCs w:val="22"/>
        </w:rPr>
        <w:t>stolici 8 </w:t>
      </w:r>
      <w:r w:rsidRPr="003E5F46">
        <w:rPr>
          <w:szCs w:val="22"/>
        </w:rPr>
        <w:t>týždňov po podaní dávky.</w:t>
      </w:r>
    </w:p>
    <w:p w14:paraId="60948AA0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3D96FF68" w14:textId="77777777" w:rsidR="00A84E1E" w:rsidRDefault="00A84E1E" w:rsidP="00A84E1E">
      <w:pPr>
        <w:pStyle w:val="Zkladntext"/>
        <w:keepNext/>
        <w:ind w:right="-2"/>
        <w:rPr>
          <w:szCs w:val="22"/>
          <w:u w:val="single"/>
        </w:rPr>
      </w:pPr>
      <w:proofErr w:type="spellStart"/>
      <w:r w:rsidRPr="003E5F46">
        <w:rPr>
          <w:szCs w:val="22"/>
          <w:u w:val="single"/>
        </w:rPr>
        <w:t>Linearita</w:t>
      </w:r>
      <w:proofErr w:type="spellEnd"/>
    </w:p>
    <w:p w14:paraId="64D11192" w14:textId="77777777" w:rsidR="00A84E1E" w:rsidRPr="003E5F46" w:rsidRDefault="00A84E1E" w:rsidP="00A84E1E">
      <w:pPr>
        <w:pStyle w:val="Zkladntext"/>
        <w:keepNext/>
        <w:ind w:right="-2"/>
        <w:rPr>
          <w:szCs w:val="22"/>
        </w:rPr>
      </w:pPr>
    </w:p>
    <w:p w14:paraId="439BF13F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sa vyznačuje lineárnou </w:t>
      </w:r>
      <w:proofErr w:type="spellStart"/>
      <w:r w:rsidRPr="003E5F46">
        <w:rPr>
          <w:szCs w:val="22"/>
        </w:rPr>
        <w:t>farmakokinetikou</w:t>
      </w:r>
      <w:proofErr w:type="spellEnd"/>
      <w:r w:rsidRPr="003E5F46">
        <w:rPr>
          <w:szCs w:val="22"/>
        </w:rPr>
        <w:t xml:space="preserve"> v širokom rozmedzí dávky podávanej raz denne (15 – 130 mg).</w:t>
      </w:r>
    </w:p>
    <w:p w14:paraId="5082C43E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43AF6DDE" w14:textId="77777777" w:rsidR="00A84E1E" w:rsidRPr="003E5F46" w:rsidRDefault="00A84E1E" w:rsidP="00A84E1E">
      <w:pPr>
        <w:pStyle w:val="Zkladntext"/>
        <w:keepNext/>
        <w:ind w:right="-2"/>
        <w:rPr>
          <w:szCs w:val="22"/>
          <w:u w:val="single"/>
        </w:rPr>
      </w:pPr>
      <w:r w:rsidRPr="003E5F46">
        <w:rPr>
          <w:szCs w:val="22"/>
          <w:u w:val="single"/>
        </w:rPr>
        <w:t>Osobitné skupiny pacientov</w:t>
      </w:r>
    </w:p>
    <w:p w14:paraId="3C16B457" w14:textId="77777777" w:rsidR="00A84E1E" w:rsidRPr="003E5F46" w:rsidRDefault="00A84E1E" w:rsidP="00A84E1E">
      <w:pPr>
        <w:pStyle w:val="Zkladntext"/>
        <w:keepNext/>
        <w:ind w:right="-2"/>
        <w:rPr>
          <w:szCs w:val="22"/>
        </w:rPr>
      </w:pPr>
    </w:p>
    <w:p w14:paraId="4E114D83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Pacienti s </w:t>
      </w:r>
      <w:proofErr w:type="spellStart"/>
      <w:r w:rsidRPr="003E5F46">
        <w:rPr>
          <w:i/>
          <w:szCs w:val="22"/>
        </w:rPr>
        <w:t>mykotickými</w:t>
      </w:r>
      <w:proofErr w:type="spellEnd"/>
      <w:r w:rsidRPr="003E5F46">
        <w:rPr>
          <w:i/>
          <w:szCs w:val="22"/>
        </w:rPr>
        <w:t xml:space="preserve"> infekciami</w:t>
      </w:r>
    </w:p>
    <w:p w14:paraId="08D7879D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Na základe výsledkov populačných </w:t>
      </w:r>
      <w:proofErr w:type="spellStart"/>
      <w:r w:rsidRPr="003E5F46">
        <w:rPr>
          <w:szCs w:val="22"/>
        </w:rPr>
        <w:t>farmakokinetických</w:t>
      </w:r>
      <w:proofErr w:type="spellEnd"/>
      <w:r w:rsidRPr="003E5F46">
        <w:rPr>
          <w:szCs w:val="22"/>
        </w:rPr>
        <w:t xml:space="preserve"> analýz je </w:t>
      </w: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u pacientov s </w:t>
      </w:r>
      <w:proofErr w:type="spellStart"/>
      <w:r w:rsidRPr="003E5F46">
        <w:rPr>
          <w:szCs w:val="22"/>
        </w:rPr>
        <w:t>mykotickými</w:t>
      </w:r>
      <w:proofErr w:type="spellEnd"/>
      <w:r w:rsidRPr="003E5F46">
        <w:rPr>
          <w:szCs w:val="22"/>
        </w:rPr>
        <w:t xml:space="preserve"> infekciami podobná </w:t>
      </w:r>
      <w:proofErr w:type="spellStart"/>
      <w:r w:rsidRPr="003E5F46">
        <w:rPr>
          <w:szCs w:val="22"/>
        </w:rPr>
        <w:t>farmakokinetike</w:t>
      </w:r>
      <w:proofErr w:type="spellEnd"/>
      <w:r w:rsidRPr="003E5F46">
        <w:rPr>
          <w:szCs w:val="22"/>
        </w:rPr>
        <w:t xml:space="preserve"> pozorovanej u zdravých osôb. Pri režime s dennou dávkou 200 mg/100 mg a pri rýchlosti infúzie 1,1 mg/min môžu C</w:t>
      </w:r>
      <w:r w:rsidRPr="003E5F46">
        <w:rPr>
          <w:position w:val="-2"/>
          <w:szCs w:val="22"/>
          <w:vertAlign w:val="subscript"/>
        </w:rPr>
        <w:t>max</w:t>
      </w:r>
      <w:r w:rsidRPr="003E5F46">
        <w:rPr>
          <w:position w:val="-2"/>
          <w:szCs w:val="22"/>
        </w:rPr>
        <w:t xml:space="preserve"> </w:t>
      </w:r>
      <w:r w:rsidRPr="003E5F46">
        <w:rPr>
          <w:szCs w:val="22"/>
        </w:rPr>
        <w:t>a minimálna koncentrácia („</w:t>
      </w:r>
      <w:proofErr w:type="spellStart"/>
      <w:r w:rsidRPr="003E5F46">
        <w:rPr>
          <w:szCs w:val="22"/>
        </w:rPr>
        <w:t>trough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concentration</w:t>
      </w:r>
      <w:proofErr w:type="spellEnd"/>
      <w:r w:rsidRPr="003E5F46">
        <w:rPr>
          <w:szCs w:val="22"/>
        </w:rPr>
        <w:t>“, C</w:t>
      </w:r>
      <w:r w:rsidRPr="003E5F46">
        <w:rPr>
          <w:position w:val="-2"/>
          <w:szCs w:val="22"/>
          <w:vertAlign w:val="subscript"/>
        </w:rPr>
        <w:t>min</w:t>
      </w:r>
      <w:r w:rsidRPr="003E5F46">
        <w:rPr>
          <w:szCs w:val="22"/>
        </w:rPr>
        <w:t>) dosiahnuť v rovnovážnom stave približne 7 mg/l a 3 mg/l, v uvedenom poradí s</w:t>
      </w:r>
      <w:r w:rsidRPr="003E5F46">
        <w:rPr>
          <w:spacing w:val="-3"/>
          <w:szCs w:val="22"/>
        </w:rPr>
        <w:t> </w:t>
      </w:r>
      <w:r w:rsidRPr="003E5F46">
        <w:rPr>
          <w:szCs w:val="22"/>
        </w:rPr>
        <w:t>priemernou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hodnotou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plochy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pod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krivkou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(AUC)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v</w:t>
      </w:r>
      <w:r w:rsidRPr="003E5F46">
        <w:rPr>
          <w:spacing w:val="-6"/>
          <w:szCs w:val="22"/>
        </w:rPr>
        <w:t> </w:t>
      </w:r>
      <w:r w:rsidRPr="003E5F46">
        <w:rPr>
          <w:szCs w:val="22"/>
        </w:rPr>
        <w:t>rovnovážnom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stave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približne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110 mg</w:t>
      </w:r>
      <w:r w:rsidR="00D0086A">
        <w:rPr>
          <w:szCs w:val="22"/>
        </w:rPr>
        <w:t xml:space="preserve"> </w:t>
      </w:r>
      <w:r w:rsidRPr="003E5F46">
        <w:rPr>
          <w:szCs w:val="22"/>
        </w:rPr>
        <w:t>h/l.</w:t>
      </w:r>
    </w:p>
    <w:p w14:paraId="4F7A5086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22701141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Hmotnosť</w:t>
      </w:r>
    </w:p>
    <w:p w14:paraId="4052A5A8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Hoci v populačnej </w:t>
      </w:r>
      <w:proofErr w:type="spellStart"/>
      <w:r w:rsidRPr="003E5F46">
        <w:rPr>
          <w:szCs w:val="22"/>
        </w:rPr>
        <w:t>farmakokinetickej</w:t>
      </w:r>
      <w:proofErr w:type="spellEnd"/>
      <w:r w:rsidRPr="003E5F46">
        <w:rPr>
          <w:szCs w:val="22"/>
        </w:rPr>
        <w:t xml:space="preserve"> analýze bola hmotnosť identifikovaná ako zdroj variability </w:t>
      </w:r>
      <w:proofErr w:type="spellStart"/>
      <w:r w:rsidRPr="003E5F46">
        <w:rPr>
          <w:szCs w:val="22"/>
        </w:rPr>
        <w:t>klírensu</w:t>
      </w:r>
      <w:proofErr w:type="spellEnd"/>
      <w:r w:rsidRPr="003E5F46">
        <w:rPr>
          <w:szCs w:val="22"/>
        </w:rPr>
        <w:t xml:space="preserve">, má hmotnosť len malý klinický význam pre </w:t>
      </w:r>
      <w:proofErr w:type="spellStart"/>
      <w:r w:rsidRPr="003E5F46">
        <w:rPr>
          <w:szCs w:val="22"/>
        </w:rPr>
        <w:t>farmakokinetiku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>.</w:t>
      </w:r>
    </w:p>
    <w:p w14:paraId="3DA9FCF7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3D5A6EE4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Pohlavie</w:t>
      </w:r>
    </w:p>
    <w:p w14:paraId="515CEE87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Plazmatické koncentrácie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u zdravých mužov a žien boli podobné. V štúdiách, kde sa pacientom podávali viacnásobné dávky, bol </w:t>
      </w:r>
      <w:proofErr w:type="spellStart"/>
      <w:r w:rsidRPr="003E5F46">
        <w:rPr>
          <w:szCs w:val="22"/>
        </w:rPr>
        <w:t>klírens</w:t>
      </w:r>
      <w:proofErr w:type="spellEnd"/>
      <w:r w:rsidRPr="003E5F46">
        <w:rPr>
          <w:szCs w:val="22"/>
        </w:rPr>
        <w:t xml:space="preserve"> lieku u mužov o niečo rýchlejší (približne o 22 %).</w:t>
      </w:r>
    </w:p>
    <w:p w14:paraId="753798BE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70EB99D8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Starší pacienti</w:t>
      </w:r>
    </w:p>
    <w:p w14:paraId="1979F82B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Populačná </w:t>
      </w:r>
      <w:proofErr w:type="spellStart"/>
      <w:r w:rsidRPr="003E5F46">
        <w:rPr>
          <w:szCs w:val="22"/>
        </w:rPr>
        <w:t>farmakokinetická</w:t>
      </w:r>
      <w:proofErr w:type="spellEnd"/>
      <w:r w:rsidRPr="003E5F46">
        <w:rPr>
          <w:szCs w:val="22"/>
        </w:rPr>
        <w:t xml:space="preserve"> analýza ukázala, že stredná hodnota </w:t>
      </w:r>
      <w:proofErr w:type="spellStart"/>
      <w:r w:rsidRPr="003E5F46">
        <w:rPr>
          <w:szCs w:val="22"/>
        </w:rPr>
        <w:t>klírensu</w:t>
      </w:r>
      <w:proofErr w:type="spellEnd"/>
      <w:r w:rsidRPr="003E5F46">
        <w:rPr>
          <w:szCs w:val="22"/>
        </w:rPr>
        <w:t xml:space="preserve"> sa mierne odlišovala medzi skupinou starších pacientov (pacienti ≥ 65, stredná hodnota CL = 1,07 l/h) a skupinou mladších pacientov (pacienti &lt; 65, stredná hodnota CL = 1,22 l/h), avšak rozsah </w:t>
      </w:r>
      <w:proofErr w:type="spellStart"/>
      <w:r w:rsidRPr="003E5F46">
        <w:rPr>
          <w:szCs w:val="22"/>
        </w:rPr>
        <w:t>klírensu</w:t>
      </w:r>
      <w:proofErr w:type="spellEnd"/>
      <w:r w:rsidRPr="003E5F46">
        <w:rPr>
          <w:szCs w:val="22"/>
        </w:rPr>
        <w:t xml:space="preserve"> bol podobný.</w:t>
      </w:r>
    </w:p>
    <w:p w14:paraId="77325778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61528C3B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Etnická príslušnosť</w:t>
      </w:r>
    </w:p>
    <w:p w14:paraId="36DA942B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bola u belochov, černochov, </w:t>
      </w:r>
      <w:proofErr w:type="spellStart"/>
      <w:r w:rsidRPr="003E5F46">
        <w:rPr>
          <w:szCs w:val="22"/>
        </w:rPr>
        <w:t>ázijcov</w:t>
      </w:r>
      <w:proofErr w:type="spellEnd"/>
      <w:r w:rsidRPr="003E5F46">
        <w:rPr>
          <w:szCs w:val="22"/>
        </w:rPr>
        <w:t xml:space="preserve"> a </w:t>
      </w:r>
      <w:proofErr w:type="spellStart"/>
      <w:r w:rsidRPr="003E5F46">
        <w:rPr>
          <w:szCs w:val="22"/>
        </w:rPr>
        <w:t>hispáncov</w:t>
      </w:r>
      <w:proofErr w:type="spellEnd"/>
      <w:r w:rsidRPr="003E5F46">
        <w:rPr>
          <w:szCs w:val="22"/>
        </w:rPr>
        <w:t xml:space="preserve"> podobná.</w:t>
      </w:r>
    </w:p>
    <w:p w14:paraId="7A72FC33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284234C7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0047DC">
        <w:rPr>
          <w:i/>
          <w:szCs w:val="22"/>
        </w:rPr>
        <w:t xml:space="preserve">HIV </w:t>
      </w:r>
      <w:proofErr w:type="spellStart"/>
      <w:r w:rsidRPr="000047DC">
        <w:rPr>
          <w:i/>
          <w:szCs w:val="22"/>
        </w:rPr>
        <w:t>pozitivita</w:t>
      </w:r>
      <w:proofErr w:type="spellEnd"/>
    </w:p>
    <w:p w14:paraId="0EEF80B3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Na základe </w:t>
      </w:r>
      <w:proofErr w:type="spellStart"/>
      <w:r w:rsidRPr="003E5F46">
        <w:rPr>
          <w:szCs w:val="22"/>
        </w:rPr>
        <w:t>pozitivity</w:t>
      </w:r>
      <w:proofErr w:type="spellEnd"/>
      <w:r w:rsidRPr="003E5F46">
        <w:rPr>
          <w:szCs w:val="22"/>
        </w:rPr>
        <w:t xml:space="preserve"> HIV sa nevyžadujú úpravy dávok, bez ohľadu na súbežnú </w:t>
      </w:r>
      <w:proofErr w:type="spellStart"/>
      <w:r w:rsidRPr="003E5F46">
        <w:rPr>
          <w:szCs w:val="22"/>
        </w:rPr>
        <w:t>antiretrovírusovú</w:t>
      </w:r>
      <w:proofErr w:type="spellEnd"/>
      <w:r w:rsidRPr="003E5F46">
        <w:rPr>
          <w:szCs w:val="22"/>
        </w:rPr>
        <w:t xml:space="preserve"> liečbu.</w:t>
      </w:r>
    </w:p>
    <w:p w14:paraId="152914AB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640A9C17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>
        <w:rPr>
          <w:i/>
          <w:szCs w:val="22"/>
        </w:rPr>
        <w:t>Porucha funkcie pečene</w:t>
      </w:r>
    </w:p>
    <w:p w14:paraId="06131280" w14:textId="77777777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nie je metabolizovaný pečeňou. </w:t>
      </w: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sa študovala u osôb s klasifikáciou </w:t>
      </w:r>
      <w:r w:rsidR="00D0086A">
        <w:rPr>
          <w:szCs w:val="22"/>
        </w:rPr>
        <w:t xml:space="preserve">poruchy funkcie pečene </w:t>
      </w:r>
      <w:r w:rsidRPr="003E5F46">
        <w:rPr>
          <w:szCs w:val="22"/>
        </w:rPr>
        <w:t xml:space="preserve">triedy A, B alebo C podľa </w:t>
      </w:r>
      <w:proofErr w:type="spellStart"/>
      <w:r w:rsidRPr="003E5F46">
        <w:rPr>
          <w:szCs w:val="22"/>
        </w:rPr>
        <w:t>Childa-Pugha</w:t>
      </w:r>
      <w:proofErr w:type="spellEnd"/>
      <w:r w:rsidRPr="003E5F46">
        <w:rPr>
          <w:szCs w:val="22"/>
        </w:rPr>
        <w:t xml:space="preserve">. Koncentrácie </w:t>
      </w:r>
      <w:proofErr w:type="spellStart"/>
      <w:r w:rsidRPr="003E5F46">
        <w:rPr>
          <w:szCs w:val="22"/>
        </w:rPr>
        <w:lastRenderedPageBreak/>
        <w:t>anidulafungínu</w:t>
      </w:r>
      <w:proofErr w:type="spellEnd"/>
      <w:r w:rsidRPr="003E5F46">
        <w:rPr>
          <w:szCs w:val="22"/>
        </w:rPr>
        <w:t xml:space="preserve"> sa u osôb s ktorýmkoľvek </w:t>
      </w:r>
      <w:r w:rsidR="00D0086A">
        <w:rPr>
          <w:szCs w:val="22"/>
        </w:rPr>
        <w:t>stupňom poruchy funkcie pečene</w:t>
      </w:r>
      <w:r w:rsidRPr="003E5F46">
        <w:rPr>
          <w:szCs w:val="22"/>
        </w:rPr>
        <w:t xml:space="preserve"> nezvýšili. Hoci sa u pacientov s klasifikáciou </w:t>
      </w:r>
      <w:r w:rsidR="00622605">
        <w:rPr>
          <w:szCs w:val="22"/>
        </w:rPr>
        <w:t xml:space="preserve">poruchy funkcie pečene </w:t>
      </w:r>
      <w:r w:rsidRPr="003E5F46">
        <w:rPr>
          <w:szCs w:val="22"/>
        </w:rPr>
        <w:t xml:space="preserve">triedy C podľa </w:t>
      </w:r>
      <w:proofErr w:type="spellStart"/>
      <w:r w:rsidRPr="003E5F46">
        <w:rPr>
          <w:szCs w:val="22"/>
        </w:rPr>
        <w:t>Childa-Pugha</w:t>
      </w:r>
      <w:proofErr w:type="spellEnd"/>
      <w:r w:rsidRPr="003E5F46">
        <w:rPr>
          <w:szCs w:val="22"/>
        </w:rPr>
        <w:t xml:space="preserve"> pozoroval mierny pokles AUC, tento pokles bol v rámci populačného rozmedzia zodpovedajúceho zdravým osobám.</w:t>
      </w:r>
    </w:p>
    <w:p w14:paraId="24B95A72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75CF85C0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>
        <w:rPr>
          <w:i/>
          <w:szCs w:val="22"/>
        </w:rPr>
        <w:t>Porucha funkcie obličiek</w:t>
      </w:r>
    </w:p>
    <w:p w14:paraId="354B1BC0" w14:textId="61C71B11" w:rsidR="00A84E1E" w:rsidRPr="003E5F46" w:rsidRDefault="00A84E1E" w:rsidP="00A84E1E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má zanedbateľný </w:t>
      </w:r>
      <w:proofErr w:type="spellStart"/>
      <w:r w:rsidRPr="003E5F46">
        <w:rPr>
          <w:szCs w:val="22"/>
        </w:rPr>
        <w:t>renálny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klírens</w:t>
      </w:r>
      <w:proofErr w:type="spellEnd"/>
      <w:r w:rsidRPr="003E5F46">
        <w:rPr>
          <w:szCs w:val="22"/>
        </w:rPr>
        <w:t xml:space="preserve"> (&lt; 1 %). V klinickej štúdii s osobami s miernou, stredne závažnou, závažnou alebo terminálnou (závislou na dialýze)</w:t>
      </w:r>
      <w:r w:rsidR="004A7F0C" w:rsidRPr="003E5F46">
        <w:rPr>
          <w:szCs w:val="22"/>
        </w:rPr>
        <w:t xml:space="preserve"> </w:t>
      </w:r>
      <w:r w:rsidR="004A7F0C">
        <w:rPr>
          <w:szCs w:val="22"/>
        </w:rPr>
        <w:t>poruch</w:t>
      </w:r>
      <w:r w:rsidR="00A54E05">
        <w:rPr>
          <w:szCs w:val="22"/>
        </w:rPr>
        <w:t>ou</w:t>
      </w:r>
      <w:r w:rsidR="004A7F0C">
        <w:rPr>
          <w:szCs w:val="22"/>
        </w:rPr>
        <w:t xml:space="preserve"> funkcie obličiek</w:t>
      </w:r>
      <w:r w:rsidRPr="003E5F46">
        <w:rPr>
          <w:szCs w:val="22"/>
        </w:rPr>
        <w:t xml:space="preserve">, bola </w:t>
      </w: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podobná </w:t>
      </w:r>
      <w:proofErr w:type="spellStart"/>
      <w:r w:rsidRPr="003E5F46">
        <w:rPr>
          <w:szCs w:val="22"/>
        </w:rPr>
        <w:t>farmakokinetike</w:t>
      </w:r>
      <w:proofErr w:type="spellEnd"/>
      <w:r w:rsidRPr="003E5F46">
        <w:rPr>
          <w:szCs w:val="22"/>
        </w:rPr>
        <w:t xml:space="preserve"> pozorovanej u osôb s normálnou funkciou obličiek.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sa nedá odstrániť dialýzou a môže sa podávať bez ohľadu na načasovan</w:t>
      </w:r>
      <w:r>
        <w:rPr>
          <w:szCs w:val="22"/>
        </w:rPr>
        <w:t>i</w:t>
      </w:r>
      <w:r w:rsidRPr="003E5F46">
        <w:rPr>
          <w:szCs w:val="22"/>
        </w:rPr>
        <w:t>e hemodialýzy.</w:t>
      </w:r>
    </w:p>
    <w:p w14:paraId="1D74581D" w14:textId="77777777" w:rsidR="00A84E1E" w:rsidRPr="003E5F46" w:rsidRDefault="00A84E1E" w:rsidP="00A84E1E">
      <w:pPr>
        <w:pStyle w:val="Zkladntext"/>
        <w:ind w:right="-2"/>
        <w:rPr>
          <w:szCs w:val="22"/>
        </w:rPr>
      </w:pPr>
    </w:p>
    <w:p w14:paraId="13650F54" w14:textId="77777777" w:rsidR="00A84E1E" w:rsidRPr="003E5F46" w:rsidRDefault="00A84E1E" w:rsidP="00A84E1E">
      <w:pPr>
        <w:keepNext/>
        <w:ind w:right="-2"/>
        <w:rPr>
          <w:i/>
          <w:szCs w:val="22"/>
        </w:rPr>
      </w:pPr>
      <w:r w:rsidRPr="003E5F46">
        <w:rPr>
          <w:i/>
          <w:szCs w:val="22"/>
        </w:rPr>
        <w:t>Pediatrická populácia</w:t>
      </w:r>
    </w:p>
    <w:p w14:paraId="2709C53C" w14:textId="77777777" w:rsidR="00A84E1E" w:rsidRPr="003762D2" w:rsidRDefault="00A84E1E" w:rsidP="003762D2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Farmakokinetika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po minimálne 5 denných dávkach sa skúmala u</w:t>
      </w:r>
      <w:r w:rsidR="006675AB">
        <w:rPr>
          <w:szCs w:val="22"/>
        </w:rPr>
        <w:t> </w:t>
      </w:r>
      <w:r w:rsidRPr="003E5F46">
        <w:rPr>
          <w:szCs w:val="22"/>
        </w:rPr>
        <w:t>24</w:t>
      </w:r>
      <w:r w:rsidR="006675AB">
        <w:rPr>
          <w:szCs w:val="22"/>
        </w:rPr>
        <w:t> </w:t>
      </w:r>
      <w:proofErr w:type="spellStart"/>
      <w:r w:rsidRPr="003E5F46">
        <w:rPr>
          <w:szCs w:val="22"/>
        </w:rPr>
        <w:t>imunokompromitovaných</w:t>
      </w:r>
      <w:proofErr w:type="spellEnd"/>
      <w:r w:rsidRPr="003E5F46">
        <w:rPr>
          <w:szCs w:val="22"/>
        </w:rPr>
        <w:t xml:space="preserve"> pediatrických (vo veku 2 až 11 rokov) a dospievajúcich (vo veku 12 a</w:t>
      </w:r>
      <w:r w:rsidR="003762D2">
        <w:rPr>
          <w:szCs w:val="22"/>
        </w:rPr>
        <w:t>ž 17 </w:t>
      </w:r>
      <w:r w:rsidRPr="003E5F46">
        <w:rPr>
          <w:szCs w:val="22"/>
        </w:rPr>
        <w:t>rokov) pacientov s </w:t>
      </w:r>
      <w:proofErr w:type="spellStart"/>
      <w:r w:rsidRPr="003E5F46">
        <w:rPr>
          <w:szCs w:val="22"/>
        </w:rPr>
        <w:t>neutropéniou</w:t>
      </w:r>
      <w:proofErr w:type="spellEnd"/>
      <w:r w:rsidRPr="003E5F46">
        <w:rPr>
          <w:szCs w:val="22"/>
        </w:rPr>
        <w:t xml:space="preserve">. Rovnovážny stav sa dosiahol prvý deň po </w:t>
      </w:r>
      <w:proofErr w:type="spellStart"/>
      <w:r w:rsidRPr="003E5F46">
        <w:rPr>
          <w:szCs w:val="22"/>
        </w:rPr>
        <w:t>nasycovacej</w:t>
      </w:r>
      <w:proofErr w:type="spellEnd"/>
      <w:r w:rsidRPr="003E5F46">
        <w:rPr>
          <w:szCs w:val="22"/>
        </w:rPr>
        <w:t xml:space="preserve"> dávke (dvojnásobok udržiavacej dávky) a rovnovážne C</w:t>
      </w:r>
      <w:r w:rsidRPr="003E5F46">
        <w:rPr>
          <w:position w:val="-2"/>
          <w:szCs w:val="22"/>
          <w:vertAlign w:val="subscript"/>
        </w:rPr>
        <w:t>max</w:t>
      </w:r>
      <w:r w:rsidRPr="003E5F46">
        <w:rPr>
          <w:position w:val="-2"/>
          <w:szCs w:val="22"/>
        </w:rPr>
        <w:t xml:space="preserve"> </w:t>
      </w:r>
      <w:r w:rsidRPr="003E5F46">
        <w:rPr>
          <w:szCs w:val="22"/>
        </w:rPr>
        <w:t>a AUC</w:t>
      </w:r>
      <w:proofErr w:type="spellStart"/>
      <w:r w:rsidRPr="003E5F46">
        <w:rPr>
          <w:position w:val="-2"/>
          <w:szCs w:val="22"/>
          <w:vertAlign w:val="subscript"/>
        </w:rPr>
        <w:t>ss</w:t>
      </w:r>
      <w:proofErr w:type="spellEnd"/>
      <w:r w:rsidRPr="003E5F46">
        <w:rPr>
          <w:position w:val="-2"/>
          <w:szCs w:val="22"/>
        </w:rPr>
        <w:t xml:space="preserve"> </w:t>
      </w:r>
      <w:r w:rsidRPr="003E5F46">
        <w:rPr>
          <w:szCs w:val="22"/>
        </w:rPr>
        <w:t>rástli spôsobom priamo úmerným dávke. Systémová expozícia po dennej udržiavacej dávke 0,75 mg/kg/deň a 1,5 mg/kg/deň v tejto populácii, bola porovnateľná s expozíciou pozorovanou u dospelých po podaní 50 mg/deň a 100 mg/deň. Oba režimy títo pacienti dobre tolerovali.</w:t>
      </w:r>
    </w:p>
    <w:p w14:paraId="3CE05FB8" w14:textId="77777777" w:rsidR="00812D16" w:rsidRPr="00BF5AB0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06C4F648" w14:textId="77777777" w:rsidR="00812D16" w:rsidRPr="0010362E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10362E">
        <w:rPr>
          <w:b/>
        </w:rPr>
        <w:t>Predklinické údaje o bezpečnosti</w:t>
      </w:r>
    </w:p>
    <w:p w14:paraId="4D28D2DD" w14:textId="77777777" w:rsidR="00812D16" w:rsidRPr="0082445A" w:rsidRDefault="00812D16" w:rsidP="00085939">
      <w:pPr>
        <w:keepNext/>
        <w:spacing w:line="240" w:lineRule="auto"/>
      </w:pPr>
    </w:p>
    <w:p w14:paraId="322E56A8" w14:textId="77777777" w:rsidR="003762D2" w:rsidRPr="003E5F46" w:rsidRDefault="003762D2" w:rsidP="003762D2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V 3-mesačných štúdiách sa u potkanov a opíc pozorovali pri dávkach 4- až 6-násobne vyšších, ako je predpokladaná klinická terapeutická expozícia, znaky toxicity pečene vrátane zvýšených hladín enzýmov a morfologických zmien. </w:t>
      </w:r>
      <w:r w:rsidRPr="003E5F46">
        <w:rPr>
          <w:i/>
          <w:szCs w:val="22"/>
        </w:rPr>
        <w:t xml:space="preserve">In vitro </w:t>
      </w:r>
      <w:r w:rsidRPr="003E5F46">
        <w:rPr>
          <w:szCs w:val="22"/>
        </w:rPr>
        <w:t>a </w:t>
      </w:r>
      <w:r w:rsidRPr="003E5F46">
        <w:rPr>
          <w:i/>
          <w:szCs w:val="22"/>
        </w:rPr>
        <w:t xml:space="preserve">in </w:t>
      </w:r>
      <w:proofErr w:type="spellStart"/>
      <w:r w:rsidRPr="003E5F46">
        <w:rPr>
          <w:i/>
          <w:szCs w:val="22"/>
        </w:rPr>
        <w:t>vivo</w:t>
      </w:r>
      <w:proofErr w:type="spellEnd"/>
      <w:r w:rsidRPr="003E5F46">
        <w:rPr>
          <w:i/>
          <w:szCs w:val="22"/>
        </w:rPr>
        <w:t xml:space="preserve"> </w:t>
      </w:r>
      <w:r w:rsidRPr="003E5F46">
        <w:rPr>
          <w:szCs w:val="22"/>
        </w:rPr>
        <w:t xml:space="preserve">štúdie </w:t>
      </w:r>
      <w:proofErr w:type="spellStart"/>
      <w:r w:rsidRPr="003E5F46">
        <w:rPr>
          <w:szCs w:val="22"/>
        </w:rPr>
        <w:t>genotoxicity</w:t>
      </w:r>
      <w:proofErr w:type="spellEnd"/>
      <w:r w:rsidRPr="003E5F46">
        <w:rPr>
          <w:szCs w:val="22"/>
        </w:rPr>
        <w:t xml:space="preserve"> s </w:t>
      </w:r>
      <w:proofErr w:type="spellStart"/>
      <w:r w:rsidRPr="003E5F46">
        <w:rPr>
          <w:szCs w:val="22"/>
        </w:rPr>
        <w:t>anidulafungínom</w:t>
      </w:r>
      <w:proofErr w:type="spellEnd"/>
      <w:r w:rsidRPr="003E5F46">
        <w:rPr>
          <w:szCs w:val="22"/>
        </w:rPr>
        <w:t xml:space="preserve"> nepriniesli žiadne dôkazy o </w:t>
      </w:r>
      <w:proofErr w:type="spellStart"/>
      <w:r w:rsidRPr="003E5F46">
        <w:rPr>
          <w:szCs w:val="22"/>
        </w:rPr>
        <w:t>genotoxickom</w:t>
      </w:r>
      <w:proofErr w:type="spellEnd"/>
      <w:r w:rsidRPr="003E5F46">
        <w:rPr>
          <w:szCs w:val="22"/>
        </w:rPr>
        <w:t xml:space="preserve"> potenciáli. Dlhodobé štúdie na zvieratách na vyhodnotenie karcinogénneho potenciálu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sa nevykonali.</w:t>
      </w:r>
    </w:p>
    <w:p w14:paraId="36BF33DD" w14:textId="77777777" w:rsidR="003762D2" w:rsidRPr="003E5F46" w:rsidRDefault="003762D2" w:rsidP="003762D2">
      <w:pPr>
        <w:pStyle w:val="Zkladntext"/>
        <w:ind w:right="-2"/>
        <w:rPr>
          <w:szCs w:val="22"/>
        </w:rPr>
      </w:pPr>
    </w:p>
    <w:p w14:paraId="60356E0A" w14:textId="77777777" w:rsidR="003762D2" w:rsidRPr="003E5F46" w:rsidRDefault="003762D2" w:rsidP="003762D2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Podávanie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potkanom nenaznačilo akékoľvek účinky na reprodukciu vrátane samčej aj samičej </w:t>
      </w:r>
      <w:proofErr w:type="spellStart"/>
      <w:r w:rsidRPr="003E5F46">
        <w:rPr>
          <w:szCs w:val="22"/>
        </w:rPr>
        <w:t>fertility</w:t>
      </w:r>
      <w:proofErr w:type="spellEnd"/>
      <w:r w:rsidRPr="003E5F46">
        <w:rPr>
          <w:szCs w:val="22"/>
        </w:rPr>
        <w:t>.</w:t>
      </w:r>
    </w:p>
    <w:p w14:paraId="7CCB5DC8" w14:textId="77777777" w:rsidR="003762D2" w:rsidRPr="003E5F46" w:rsidRDefault="003762D2" w:rsidP="003762D2">
      <w:pPr>
        <w:pStyle w:val="Zkladntext"/>
        <w:ind w:right="-2"/>
        <w:rPr>
          <w:szCs w:val="22"/>
        </w:rPr>
      </w:pPr>
    </w:p>
    <w:p w14:paraId="20D9ADEE" w14:textId="77777777" w:rsidR="003762D2" w:rsidRPr="003E5F46" w:rsidRDefault="003762D2" w:rsidP="003762D2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prechádzal placentárnou bariérou potkanov a bol detegovaný v plazme plodu.</w:t>
      </w:r>
    </w:p>
    <w:p w14:paraId="59F24911" w14:textId="77777777" w:rsidR="003762D2" w:rsidRPr="003E5F46" w:rsidRDefault="003762D2" w:rsidP="003762D2">
      <w:pPr>
        <w:pStyle w:val="Zkladntext"/>
        <w:ind w:right="-2"/>
        <w:rPr>
          <w:szCs w:val="22"/>
        </w:rPr>
      </w:pPr>
    </w:p>
    <w:p w14:paraId="3EEA0790" w14:textId="77777777" w:rsidR="003762D2" w:rsidRPr="003E5F46" w:rsidRDefault="003762D2" w:rsidP="003762D2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Uskutočnili sa štúdie </w:t>
      </w:r>
      <w:proofErr w:type="spellStart"/>
      <w:r w:rsidRPr="003E5F46">
        <w:rPr>
          <w:szCs w:val="22"/>
        </w:rPr>
        <w:t>embryofetálneho</w:t>
      </w:r>
      <w:proofErr w:type="spellEnd"/>
      <w:r w:rsidRPr="003E5F46">
        <w:rPr>
          <w:szCs w:val="22"/>
        </w:rPr>
        <w:t xml:space="preserve"> vývoja s 0,2- až 2-násobnými dávkami (potkany) a s 1</w:t>
      </w:r>
      <w:r w:rsidRPr="003E5F46">
        <w:rPr>
          <w:szCs w:val="22"/>
        </w:rPr>
        <w:noBreakHyphen/>
        <w:t xml:space="preserve">až 4-násobnými dávkami (králiky), ako je navrhovaná terapeutická udržiavacia dávka 100 mg/deň. U potkanov pri najvyššej skúšanej dávke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neviedol k žiadnej vývojovej toxicite súvisiacej s liekom. Vplyvy na vývoj pozorované u králikov (mierne znížená hmotnosť plodu) sa vyskytli len pri najvyššej skúšanej dávke, a táto dávka zároveň viedla k toxicite u matky.</w:t>
      </w:r>
    </w:p>
    <w:p w14:paraId="3330F8DA" w14:textId="77777777" w:rsidR="003762D2" w:rsidRPr="003E5F46" w:rsidRDefault="003762D2" w:rsidP="003762D2">
      <w:pPr>
        <w:pStyle w:val="Zkladntext"/>
        <w:ind w:right="-2"/>
        <w:rPr>
          <w:szCs w:val="22"/>
        </w:rPr>
      </w:pPr>
    </w:p>
    <w:p w14:paraId="78C79F5B" w14:textId="77777777" w:rsidR="003762D2" w:rsidRPr="003E5F46" w:rsidRDefault="003762D2" w:rsidP="003762D2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Koncentrácia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v mozgu u neinfikovaných dospelých a novorodených potkanov po jednorazovej dávke bola nízka (pomer koncentrácie v mozgu oproti plazme bol približne 0,2). Koncentrácie v mozgu sa však zvýšili u neinfikovaných novorodených potkanov po piatich denných dávkach (pomer v mozgu oproti plazme bol približne 0,7). V štúdiách s viacnásobnými dávkami u králikov s </w:t>
      </w:r>
      <w:proofErr w:type="spellStart"/>
      <w:r w:rsidRPr="003E5F46">
        <w:rPr>
          <w:szCs w:val="22"/>
        </w:rPr>
        <w:t>diseminovanou</w:t>
      </w:r>
      <w:proofErr w:type="spellEnd"/>
      <w:r w:rsidRPr="003E5F46">
        <w:rPr>
          <w:szCs w:val="22"/>
        </w:rPr>
        <w:t xml:space="preserve"> </w:t>
      </w:r>
      <w:proofErr w:type="spellStart"/>
      <w:r w:rsidRPr="003E5F46">
        <w:rPr>
          <w:szCs w:val="22"/>
        </w:rPr>
        <w:t>kandidózou</w:t>
      </w:r>
      <w:proofErr w:type="spellEnd"/>
      <w:r w:rsidRPr="003E5F46">
        <w:rPr>
          <w:szCs w:val="22"/>
        </w:rPr>
        <w:t xml:space="preserve"> a u myší s </w:t>
      </w:r>
      <w:proofErr w:type="spellStart"/>
      <w:r w:rsidRPr="003E5F46">
        <w:rPr>
          <w:szCs w:val="22"/>
        </w:rPr>
        <w:t>kandidovou</w:t>
      </w:r>
      <w:proofErr w:type="spellEnd"/>
      <w:r w:rsidRPr="003E5F46">
        <w:rPr>
          <w:szCs w:val="22"/>
        </w:rPr>
        <w:t xml:space="preserve"> infekciou CNS bolo preukázané, že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znížil </w:t>
      </w:r>
      <w:proofErr w:type="spellStart"/>
      <w:r w:rsidRPr="003E5F46">
        <w:rPr>
          <w:szCs w:val="22"/>
        </w:rPr>
        <w:t>mykotické</w:t>
      </w:r>
      <w:proofErr w:type="spellEnd"/>
      <w:r w:rsidRPr="003E5F46">
        <w:rPr>
          <w:szCs w:val="22"/>
        </w:rPr>
        <w:t xml:space="preserve"> ložisko v mozgu.</w:t>
      </w:r>
    </w:p>
    <w:p w14:paraId="1D394FEF" w14:textId="77777777" w:rsidR="003762D2" w:rsidRPr="003E5F46" w:rsidRDefault="003762D2" w:rsidP="003762D2">
      <w:pPr>
        <w:pStyle w:val="Zkladntext"/>
        <w:ind w:right="-2"/>
        <w:rPr>
          <w:szCs w:val="22"/>
        </w:rPr>
      </w:pPr>
    </w:p>
    <w:p w14:paraId="3ABC50A0" w14:textId="77777777" w:rsidR="003762D2" w:rsidRPr="003E5F46" w:rsidRDefault="003762D2" w:rsidP="003762D2">
      <w:pPr>
        <w:pStyle w:val="Zkladntext"/>
        <w:ind w:right="-2"/>
        <w:rPr>
          <w:rFonts w:eastAsia="TimesNewRomanPSMT"/>
          <w:szCs w:val="22"/>
          <w:lang w:eastAsia="en-US"/>
        </w:rPr>
      </w:pPr>
      <w:r w:rsidRPr="003E5F46">
        <w:rPr>
          <w:szCs w:val="22"/>
        </w:rPr>
        <w:t xml:space="preserve">Potkany dostávali </w:t>
      </w:r>
      <w:proofErr w:type="spellStart"/>
      <w:r w:rsidRPr="003E5F46">
        <w:rPr>
          <w:szCs w:val="22"/>
        </w:rPr>
        <w:t>anidulafungín</w:t>
      </w:r>
      <w:proofErr w:type="spellEnd"/>
      <w:r w:rsidRPr="003E5F46">
        <w:rPr>
          <w:szCs w:val="22"/>
        </w:rPr>
        <w:t xml:space="preserve"> v troch dávkovacích hladinách a anestéziu v rámci jednej hodiny s</w:t>
      </w:r>
      <w:r w:rsidRPr="003E5F46">
        <w:rPr>
          <w:spacing w:val="-3"/>
          <w:szCs w:val="22"/>
        </w:rPr>
        <w:t> </w:t>
      </w:r>
      <w:r w:rsidRPr="003E5F46">
        <w:rPr>
          <w:szCs w:val="22"/>
        </w:rPr>
        <w:t>použitím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kombinácie</w:t>
      </w:r>
      <w:r w:rsidRPr="003E5F46">
        <w:rPr>
          <w:spacing w:val="-4"/>
          <w:szCs w:val="22"/>
        </w:rPr>
        <w:t xml:space="preserve"> </w:t>
      </w:r>
      <w:proofErr w:type="spellStart"/>
      <w:r w:rsidRPr="003E5F46">
        <w:rPr>
          <w:szCs w:val="22"/>
        </w:rPr>
        <w:t>ketamínu</w:t>
      </w:r>
      <w:proofErr w:type="spellEnd"/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a</w:t>
      </w:r>
      <w:r w:rsidRPr="003E5F46">
        <w:rPr>
          <w:spacing w:val="-4"/>
          <w:szCs w:val="22"/>
        </w:rPr>
        <w:t> </w:t>
      </w:r>
      <w:proofErr w:type="spellStart"/>
      <w:r w:rsidRPr="003E5F46">
        <w:rPr>
          <w:szCs w:val="22"/>
        </w:rPr>
        <w:t>xylazínu</w:t>
      </w:r>
      <w:proofErr w:type="spellEnd"/>
      <w:r w:rsidRPr="003E5F46">
        <w:rPr>
          <w:szCs w:val="22"/>
        </w:rPr>
        <w:t>.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U</w:t>
      </w:r>
      <w:r w:rsidRPr="003E5F46">
        <w:rPr>
          <w:spacing w:val="-5"/>
          <w:szCs w:val="22"/>
        </w:rPr>
        <w:t> </w:t>
      </w:r>
      <w:r w:rsidRPr="003E5F46">
        <w:rPr>
          <w:szCs w:val="22"/>
        </w:rPr>
        <w:t>potkanov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v</w:t>
      </w:r>
      <w:r w:rsidRPr="003E5F46">
        <w:rPr>
          <w:spacing w:val="-6"/>
          <w:szCs w:val="22"/>
        </w:rPr>
        <w:t> </w:t>
      </w:r>
      <w:r w:rsidRPr="003E5F46">
        <w:rPr>
          <w:szCs w:val="22"/>
        </w:rPr>
        <w:t>skupine</w:t>
      </w:r>
      <w:r w:rsidRPr="003E5F46">
        <w:rPr>
          <w:spacing w:val="-3"/>
          <w:szCs w:val="22"/>
        </w:rPr>
        <w:t xml:space="preserve"> </w:t>
      </w:r>
      <w:r w:rsidRPr="003E5F46">
        <w:rPr>
          <w:szCs w:val="22"/>
        </w:rPr>
        <w:t>s</w:t>
      </w:r>
      <w:r w:rsidRPr="003E5F46">
        <w:rPr>
          <w:spacing w:val="-3"/>
          <w:szCs w:val="22"/>
        </w:rPr>
        <w:t> </w:t>
      </w:r>
      <w:r w:rsidRPr="003E5F46">
        <w:rPr>
          <w:szCs w:val="22"/>
        </w:rPr>
        <w:t>vysokými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dávkami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sa</w:t>
      </w:r>
      <w:r w:rsidRPr="003E5F46">
        <w:rPr>
          <w:spacing w:val="-4"/>
          <w:szCs w:val="22"/>
        </w:rPr>
        <w:t xml:space="preserve"> </w:t>
      </w:r>
      <w:r w:rsidRPr="003E5F46">
        <w:rPr>
          <w:szCs w:val="22"/>
        </w:rPr>
        <w:t>objavili reakcie spojené s podávaním infúzie zhoršené anestéziou. U niektorých potkanov v skupine so strednou úrovňou dávky sa objavili podobné reakcie, ale len po podaní anestézie. U zvierat s nízkymi dávkami sa nepozorovali žiadne nežiaduce reakcie bez ohľadu na to, či bola alebo nebola anestézia podaná, a tiež sa nepozorovali žiadne reakcie spojené s podaním infúzie v skupine potkanov so strednou úrovňou dávky, ktorým anestézia nebola podaná.</w:t>
      </w:r>
    </w:p>
    <w:p w14:paraId="656DEAEE" w14:textId="77777777" w:rsidR="00812D16" w:rsidRPr="00A72672" w:rsidRDefault="00812D16" w:rsidP="00204AAB">
      <w:pPr>
        <w:spacing w:line="240" w:lineRule="auto"/>
      </w:pPr>
    </w:p>
    <w:p w14:paraId="44DAA060" w14:textId="77777777" w:rsidR="00812D16" w:rsidRPr="00A72672" w:rsidRDefault="00812D16" w:rsidP="00204AAB">
      <w:pPr>
        <w:spacing w:line="240" w:lineRule="auto"/>
      </w:pPr>
    </w:p>
    <w:p w14:paraId="12475CA4" w14:textId="77777777" w:rsidR="00812D16" w:rsidRPr="00C23C53" w:rsidRDefault="005C0CBF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C23C53">
        <w:rPr>
          <w:b/>
        </w:rPr>
        <w:lastRenderedPageBreak/>
        <w:t>FARMACEUTICKÉ INFORMÁCIE</w:t>
      </w:r>
    </w:p>
    <w:p w14:paraId="56B9CA48" w14:textId="77777777" w:rsidR="00812D16" w:rsidRPr="0082445A" w:rsidRDefault="00812D16" w:rsidP="00085939">
      <w:pPr>
        <w:keepNext/>
        <w:spacing w:line="240" w:lineRule="auto"/>
      </w:pPr>
    </w:p>
    <w:p w14:paraId="309209AB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6D89B2F8" w14:textId="77777777" w:rsidR="00812D16" w:rsidRPr="00085939" w:rsidRDefault="00812D16" w:rsidP="00085939">
      <w:pPr>
        <w:keepNext/>
        <w:spacing w:line="240" w:lineRule="auto"/>
        <w:rPr>
          <w:i/>
        </w:rPr>
      </w:pPr>
    </w:p>
    <w:p w14:paraId="56A3C9BB" w14:textId="77777777" w:rsidR="003762D2" w:rsidRPr="003E5F46" w:rsidRDefault="003762D2" w:rsidP="003762D2">
      <w:pPr>
        <w:pStyle w:val="Zkladntext"/>
        <w:ind w:right="7227"/>
        <w:rPr>
          <w:szCs w:val="22"/>
        </w:rPr>
      </w:pPr>
      <w:r w:rsidRPr="003E5F46">
        <w:rPr>
          <w:szCs w:val="22"/>
        </w:rPr>
        <w:t>fruktóza</w:t>
      </w:r>
    </w:p>
    <w:p w14:paraId="647EEBAA" w14:textId="77777777" w:rsidR="003762D2" w:rsidRPr="003E5F46" w:rsidRDefault="003762D2" w:rsidP="003762D2">
      <w:pPr>
        <w:pStyle w:val="Zkladntext"/>
        <w:ind w:right="7227"/>
        <w:rPr>
          <w:szCs w:val="22"/>
        </w:rPr>
      </w:pPr>
      <w:proofErr w:type="spellStart"/>
      <w:r w:rsidRPr="003E5F46">
        <w:rPr>
          <w:szCs w:val="22"/>
        </w:rPr>
        <w:t>manitol</w:t>
      </w:r>
      <w:proofErr w:type="spellEnd"/>
    </w:p>
    <w:p w14:paraId="7423C5B3" w14:textId="77777777" w:rsidR="003762D2" w:rsidRPr="003E5F46" w:rsidRDefault="003762D2" w:rsidP="003762D2">
      <w:pPr>
        <w:pStyle w:val="Zkladntext"/>
        <w:ind w:right="7227"/>
        <w:rPr>
          <w:szCs w:val="22"/>
        </w:rPr>
      </w:pPr>
      <w:proofErr w:type="spellStart"/>
      <w:r w:rsidRPr="003E5F46">
        <w:rPr>
          <w:szCs w:val="22"/>
        </w:rPr>
        <w:t>polysorbát</w:t>
      </w:r>
      <w:proofErr w:type="spellEnd"/>
      <w:r w:rsidRPr="003E5F46">
        <w:rPr>
          <w:szCs w:val="22"/>
        </w:rPr>
        <w:t xml:space="preserve"> 80</w:t>
      </w:r>
    </w:p>
    <w:p w14:paraId="1B646847" w14:textId="77777777" w:rsidR="003762D2" w:rsidRPr="003E5F46" w:rsidRDefault="003762D2" w:rsidP="003762D2">
      <w:pPr>
        <w:pStyle w:val="Zkladntext"/>
        <w:ind w:right="7227"/>
        <w:rPr>
          <w:szCs w:val="22"/>
        </w:rPr>
      </w:pPr>
      <w:r w:rsidRPr="003E5F46">
        <w:rPr>
          <w:szCs w:val="22"/>
        </w:rPr>
        <w:t>kyselina vínna</w:t>
      </w:r>
    </w:p>
    <w:p w14:paraId="76013632" w14:textId="77777777" w:rsidR="003762D2" w:rsidRPr="003E5F46" w:rsidRDefault="003762D2" w:rsidP="003762D2">
      <w:pPr>
        <w:pStyle w:val="Zkladntext"/>
        <w:rPr>
          <w:szCs w:val="22"/>
        </w:rPr>
      </w:pPr>
      <w:r w:rsidRPr="003E5F46">
        <w:rPr>
          <w:szCs w:val="22"/>
        </w:rPr>
        <w:t>hydroxid sodný (na úpravu pH)</w:t>
      </w:r>
    </w:p>
    <w:p w14:paraId="2789042B" w14:textId="77777777" w:rsidR="003762D2" w:rsidRPr="003E5F46" w:rsidRDefault="003762D2" w:rsidP="003762D2">
      <w:pPr>
        <w:pStyle w:val="Zkladntext"/>
        <w:rPr>
          <w:szCs w:val="22"/>
        </w:rPr>
      </w:pPr>
      <w:r w:rsidRPr="003E5F46">
        <w:rPr>
          <w:szCs w:val="22"/>
        </w:rPr>
        <w:t>kyselina chlorovodíková</w:t>
      </w:r>
      <w:r w:rsidR="002F22F7">
        <w:rPr>
          <w:szCs w:val="22"/>
        </w:rPr>
        <w:t>, koncentrovaná</w:t>
      </w:r>
      <w:r w:rsidRPr="003E5F46">
        <w:rPr>
          <w:szCs w:val="22"/>
        </w:rPr>
        <w:t xml:space="preserve"> (na úpravu pH)</w:t>
      </w:r>
    </w:p>
    <w:p w14:paraId="4E719D98" w14:textId="77777777" w:rsidR="00812D16" w:rsidRPr="0082445A" w:rsidRDefault="00812D16" w:rsidP="00204AAB">
      <w:pPr>
        <w:spacing w:line="240" w:lineRule="auto"/>
      </w:pPr>
    </w:p>
    <w:p w14:paraId="77B79DFE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5A3507F1" w14:textId="77777777" w:rsidR="00812D16" w:rsidRPr="0082445A" w:rsidRDefault="00812D16" w:rsidP="00085939">
      <w:pPr>
        <w:keepNext/>
        <w:spacing w:line="240" w:lineRule="auto"/>
      </w:pPr>
    </w:p>
    <w:p w14:paraId="3F7E8D54" w14:textId="77777777" w:rsidR="00812D16" w:rsidRPr="00891D76" w:rsidRDefault="005C0CBF" w:rsidP="00204AAB">
      <w:pPr>
        <w:spacing w:line="240" w:lineRule="auto"/>
      </w:pPr>
      <w:r w:rsidRPr="0082445A">
        <w:t>Tento liek sa nesmie miešať s</w:t>
      </w:r>
      <w:r w:rsidR="00851AE0">
        <w:t> </w:t>
      </w:r>
      <w:r w:rsidRPr="00BF5AB0">
        <w:t xml:space="preserve">inými liekmi </w:t>
      </w:r>
      <w:r w:rsidR="0067559E">
        <w:t xml:space="preserve"> alebo elektrolytmi </w:t>
      </w:r>
      <w:r w:rsidRPr="00BF5AB0">
        <w:t>okrem tých, ktoré sú uvedené v</w:t>
      </w:r>
      <w:r w:rsidR="00851AE0">
        <w:t> </w:t>
      </w:r>
      <w:r w:rsidR="003762D2">
        <w:t>časti 6.6.</w:t>
      </w:r>
    </w:p>
    <w:p w14:paraId="7500B51E" w14:textId="2E6652EA" w:rsidR="00812D16" w:rsidRPr="0082445A" w:rsidRDefault="00812D16" w:rsidP="00204AAB">
      <w:pPr>
        <w:spacing w:line="240" w:lineRule="auto"/>
      </w:pPr>
    </w:p>
    <w:p w14:paraId="3731256D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7375A53B" w14:textId="77777777" w:rsidR="00812D16" w:rsidRPr="0082445A" w:rsidRDefault="00812D16" w:rsidP="00085939">
      <w:pPr>
        <w:keepNext/>
        <w:spacing w:line="240" w:lineRule="auto"/>
      </w:pPr>
    </w:p>
    <w:p w14:paraId="0350B216" w14:textId="77777777" w:rsidR="002F22F7" w:rsidRPr="003E5F46" w:rsidRDefault="002F22F7" w:rsidP="002F22F7">
      <w:pPr>
        <w:pStyle w:val="Zkladntext"/>
        <w:rPr>
          <w:szCs w:val="22"/>
        </w:rPr>
      </w:pPr>
      <w:r>
        <w:rPr>
          <w:szCs w:val="22"/>
        </w:rPr>
        <w:t>2 roky</w:t>
      </w:r>
    </w:p>
    <w:p w14:paraId="49CCADF7" w14:textId="77777777" w:rsidR="002F22F7" w:rsidRPr="003E5F46" w:rsidRDefault="002F22F7" w:rsidP="002F22F7">
      <w:pPr>
        <w:pStyle w:val="Zkladntext"/>
        <w:rPr>
          <w:szCs w:val="22"/>
        </w:rPr>
      </w:pPr>
    </w:p>
    <w:p w14:paraId="4C3AAA82" w14:textId="77777777" w:rsidR="002F22F7" w:rsidRPr="003E5F46" w:rsidRDefault="002F22F7" w:rsidP="002F22F7">
      <w:pPr>
        <w:pStyle w:val="Zkladntext"/>
        <w:keepNext/>
        <w:rPr>
          <w:szCs w:val="22"/>
        </w:rPr>
      </w:pPr>
      <w:r w:rsidRPr="003E5F46">
        <w:rPr>
          <w:szCs w:val="22"/>
          <w:u w:val="single"/>
        </w:rPr>
        <w:t>Rekonštituovaný roztok</w:t>
      </w:r>
    </w:p>
    <w:p w14:paraId="01AC1C8A" w14:textId="77777777" w:rsidR="002F22F7" w:rsidRPr="003E5F46" w:rsidRDefault="002F22F7" w:rsidP="002F22F7">
      <w:pPr>
        <w:pStyle w:val="Zkladntext"/>
        <w:keepNext/>
        <w:rPr>
          <w:szCs w:val="22"/>
        </w:rPr>
      </w:pPr>
    </w:p>
    <w:p w14:paraId="42CF8F68" w14:textId="77777777" w:rsidR="002F22F7" w:rsidRPr="003E5F46" w:rsidRDefault="002F22F7" w:rsidP="002F22F7">
      <w:pPr>
        <w:pStyle w:val="Zkladntext"/>
        <w:ind w:right="504"/>
        <w:rPr>
          <w:szCs w:val="22"/>
        </w:rPr>
      </w:pPr>
      <w:r w:rsidRPr="003E5F46">
        <w:rPr>
          <w:szCs w:val="22"/>
        </w:rPr>
        <w:t>Chemická a fyzikálna stabilita rekonštituovaného roztoku pred použitím je 24 hodín pri 25 °C.</w:t>
      </w:r>
    </w:p>
    <w:p w14:paraId="2FBD683E" w14:textId="77777777" w:rsidR="002F22F7" w:rsidRPr="003E5F46" w:rsidRDefault="002F22F7" w:rsidP="002F22F7">
      <w:pPr>
        <w:pStyle w:val="Zkladntext"/>
        <w:rPr>
          <w:szCs w:val="22"/>
        </w:rPr>
      </w:pPr>
    </w:p>
    <w:p w14:paraId="1054ECBE" w14:textId="77777777" w:rsidR="002F22F7" w:rsidRPr="003E5F46" w:rsidRDefault="002F22F7" w:rsidP="002F22F7">
      <w:pPr>
        <w:pStyle w:val="Zkladntext"/>
        <w:keepNext/>
        <w:rPr>
          <w:szCs w:val="22"/>
        </w:rPr>
      </w:pPr>
      <w:r w:rsidRPr="003E5F46">
        <w:rPr>
          <w:szCs w:val="22"/>
          <w:u w:val="single"/>
        </w:rPr>
        <w:t>Infúzny roztok</w:t>
      </w:r>
    </w:p>
    <w:p w14:paraId="250ADCD0" w14:textId="77777777" w:rsidR="002F22F7" w:rsidRPr="003E5F46" w:rsidRDefault="002F22F7" w:rsidP="002F22F7">
      <w:pPr>
        <w:pStyle w:val="Zkladntext"/>
        <w:keepNext/>
        <w:rPr>
          <w:szCs w:val="22"/>
        </w:rPr>
      </w:pPr>
    </w:p>
    <w:p w14:paraId="2CC5DC59" w14:textId="77777777" w:rsidR="002F22F7" w:rsidRPr="003E5F46" w:rsidRDefault="008B03B5" w:rsidP="002F22F7">
      <w:pPr>
        <w:pStyle w:val="Zkladntext"/>
        <w:ind w:right="-2"/>
        <w:rPr>
          <w:szCs w:val="22"/>
        </w:rPr>
      </w:pPr>
      <w:r>
        <w:rPr>
          <w:szCs w:val="22"/>
        </w:rPr>
        <w:t xml:space="preserve">Infúzny roztok sa môže </w:t>
      </w:r>
      <w:r w:rsidR="00EA1F74">
        <w:rPr>
          <w:szCs w:val="22"/>
        </w:rPr>
        <w:t>uchovávať</w:t>
      </w:r>
      <w:r>
        <w:rPr>
          <w:szCs w:val="22"/>
        </w:rPr>
        <w:t xml:space="preserve"> pri </w:t>
      </w:r>
      <w:r w:rsidRPr="003E5F46">
        <w:rPr>
          <w:szCs w:val="22"/>
        </w:rPr>
        <w:t xml:space="preserve">25 °C </w:t>
      </w:r>
      <w:r>
        <w:rPr>
          <w:szCs w:val="22"/>
        </w:rPr>
        <w:t xml:space="preserve">po dobu 48 hodín. </w:t>
      </w:r>
      <w:r w:rsidR="002F22F7" w:rsidRPr="003E5F46">
        <w:rPr>
          <w:szCs w:val="22"/>
        </w:rPr>
        <w:t>Chemická a fyzikálna stabilita infúzneho roztoku pred použitím je 48 hodín pri 25 °C</w:t>
      </w:r>
      <w:r>
        <w:rPr>
          <w:szCs w:val="22"/>
        </w:rPr>
        <w:t xml:space="preserve"> a zmrazený 72 hodín.</w:t>
      </w:r>
    </w:p>
    <w:p w14:paraId="3DA3126E" w14:textId="77777777" w:rsidR="002F22F7" w:rsidRPr="003E5F46" w:rsidRDefault="002F22F7" w:rsidP="002F22F7">
      <w:pPr>
        <w:pStyle w:val="Zkladntext"/>
        <w:rPr>
          <w:szCs w:val="22"/>
        </w:rPr>
      </w:pPr>
    </w:p>
    <w:p w14:paraId="3406E678" w14:textId="26879887" w:rsidR="002F22F7" w:rsidRPr="003E5F46" w:rsidRDefault="002F22F7" w:rsidP="002F22F7">
      <w:pPr>
        <w:autoSpaceDE w:val="0"/>
        <w:autoSpaceDN w:val="0"/>
        <w:adjustRightInd w:val="0"/>
        <w:rPr>
          <w:szCs w:val="22"/>
        </w:rPr>
      </w:pPr>
      <w:r w:rsidRPr="003E5F46">
        <w:rPr>
          <w:szCs w:val="22"/>
        </w:rPr>
        <w:t>Z mikrobiologického hľadiska sa liek musí použiť ihneď po rekonštitúcii alebo riedení. Ak sa nepoužije ihneď, za čas a podmienky uchovávania pred použitím je zodpovedný používateľ a nemali by obvykle presiahnuť 24 hodín pri 2 °C až 8 °C (v chladničke)</w:t>
      </w:r>
      <w:r w:rsidR="0067559E">
        <w:rPr>
          <w:szCs w:val="22"/>
        </w:rPr>
        <w:t>,</w:t>
      </w:r>
      <w:r w:rsidRPr="003E5F46">
        <w:rPr>
          <w:szCs w:val="22"/>
        </w:rPr>
        <w:t xml:space="preserve"> pokiaľ sa rekonštitúcia a riedenie nevykonávali v kontrolovaných a validovaných aseptických podmienkach.</w:t>
      </w:r>
    </w:p>
    <w:p w14:paraId="07C461A3" w14:textId="77777777" w:rsidR="00812D16" w:rsidRPr="00A72672" w:rsidRDefault="00812D16" w:rsidP="00204AAB">
      <w:pPr>
        <w:spacing w:line="240" w:lineRule="auto"/>
      </w:pPr>
    </w:p>
    <w:p w14:paraId="13E26E1A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70A6A4A6" w14:textId="77777777" w:rsidR="005108A3" w:rsidRPr="0082445A" w:rsidRDefault="005108A3" w:rsidP="00085939">
      <w:pPr>
        <w:keepNext/>
        <w:spacing w:line="240" w:lineRule="auto"/>
        <w:ind w:left="567" w:hanging="567"/>
        <w:outlineLvl w:val="0"/>
      </w:pPr>
    </w:p>
    <w:p w14:paraId="44075FE7" w14:textId="77777777" w:rsidR="00044B94" w:rsidRDefault="008B03B5" w:rsidP="00204AAB">
      <w:pPr>
        <w:spacing w:line="240" w:lineRule="auto"/>
      </w:pPr>
      <w:r w:rsidRPr="008B03B5">
        <w:rPr>
          <w:rFonts w:eastAsia="TimesNewRoman"/>
          <w:szCs w:val="22"/>
          <w:lang w:eastAsia="en-GB" w:bidi="ar-SA"/>
        </w:rPr>
        <w:t>Uchová</w:t>
      </w:r>
      <w:r w:rsidR="00044B94">
        <w:rPr>
          <w:rFonts w:eastAsia="TimesNewRoman"/>
          <w:szCs w:val="22"/>
          <w:lang w:eastAsia="en-GB" w:bidi="ar-SA"/>
        </w:rPr>
        <w:t>vajte v </w:t>
      </w:r>
      <w:r w:rsidRPr="008B03B5">
        <w:rPr>
          <w:rFonts w:eastAsia="TimesNewRoman"/>
          <w:szCs w:val="22"/>
          <w:lang w:eastAsia="en-GB" w:bidi="ar-SA"/>
        </w:rPr>
        <w:t>chladnič</w:t>
      </w:r>
      <w:r>
        <w:rPr>
          <w:rFonts w:eastAsia="TimesNewRoman"/>
          <w:szCs w:val="22"/>
          <w:lang w:eastAsia="en-GB" w:bidi="ar-SA"/>
        </w:rPr>
        <w:t>ke (2 </w:t>
      </w:r>
      <w:r w:rsidRPr="008B03B5">
        <w:rPr>
          <w:rFonts w:eastAsia="TimesNewRoman"/>
          <w:szCs w:val="22"/>
          <w:lang w:eastAsia="en-GB" w:bidi="ar-SA"/>
        </w:rPr>
        <w:t>°</w:t>
      </w:r>
      <w:r>
        <w:rPr>
          <w:rFonts w:eastAsia="TimesNewRoman"/>
          <w:szCs w:val="22"/>
          <w:lang w:eastAsia="en-GB" w:bidi="ar-SA"/>
        </w:rPr>
        <w:t>C </w:t>
      </w:r>
      <w:r w:rsidRPr="008B03B5">
        <w:rPr>
          <w:rFonts w:eastAsia="TimesNewRoman"/>
          <w:szCs w:val="22"/>
          <w:lang w:eastAsia="en-GB" w:bidi="ar-SA"/>
        </w:rPr>
        <w:t>–</w:t>
      </w:r>
      <w:r>
        <w:rPr>
          <w:rFonts w:eastAsia="TimesNewRoman"/>
          <w:szCs w:val="22"/>
          <w:lang w:eastAsia="en-GB" w:bidi="ar-SA"/>
        </w:rPr>
        <w:t> 8 </w:t>
      </w:r>
      <w:r w:rsidRPr="008B03B5">
        <w:rPr>
          <w:rFonts w:eastAsia="TimesNewRoman"/>
          <w:szCs w:val="22"/>
          <w:lang w:eastAsia="en-GB" w:bidi="ar-SA"/>
        </w:rPr>
        <w:t>°C).</w:t>
      </w:r>
    </w:p>
    <w:p w14:paraId="69F6F476" w14:textId="77777777" w:rsidR="00044B94" w:rsidRDefault="00044B94" w:rsidP="00204AAB">
      <w:pPr>
        <w:spacing w:line="240" w:lineRule="auto"/>
      </w:pPr>
    </w:p>
    <w:p w14:paraId="420D4103" w14:textId="77777777" w:rsidR="00044B94" w:rsidRDefault="00044B94" w:rsidP="00044B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r w:rsidRPr="00044B94">
        <w:rPr>
          <w:rFonts w:eastAsia="TimesNewRoman"/>
          <w:szCs w:val="22"/>
          <w:lang w:eastAsia="en-GB" w:bidi="ar-SA"/>
        </w:rPr>
        <w:t>Povolené sú odchýlky až do 25 °C počas 96</w:t>
      </w:r>
      <w:r w:rsidR="00EA1F74">
        <w:rPr>
          <w:rFonts w:eastAsia="TimesNewRoman"/>
          <w:szCs w:val="22"/>
          <w:lang w:eastAsia="en-GB" w:bidi="ar-SA"/>
        </w:rPr>
        <w:t> </w:t>
      </w:r>
      <w:r w:rsidRPr="00044B94">
        <w:rPr>
          <w:rFonts w:eastAsia="TimesNewRoman"/>
          <w:szCs w:val="22"/>
          <w:lang w:eastAsia="en-GB" w:bidi="ar-SA"/>
        </w:rPr>
        <w:t>hodí</w:t>
      </w:r>
      <w:r>
        <w:rPr>
          <w:rFonts w:eastAsia="TimesNewRoman"/>
          <w:szCs w:val="22"/>
          <w:lang w:eastAsia="en-GB" w:bidi="ar-SA"/>
        </w:rPr>
        <w:t>n a </w:t>
      </w:r>
      <w:r w:rsidRPr="00044B94">
        <w:rPr>
          <w:rFonts w:eastAsia="TimesNewRoman"/>
          <w:szCs w:val="22"/>
          <w:lang w:eastAsia="en-GB" w:bidi="ar-SA"/>
        </w:rPr>
        <w:t xml:space="preserve">potom sa prášok môže opäť uchovávať </w:t>
      </w:r>
      <w:r>
        <w:rPr>
          <w:rFonts w:eastAsia="TimesNewRoman"/>
          <w:szCs w:val="22"/>
          <w:lang w:eastAsia="en-GB" w:bidi="ar-SA"/>
        </w:rPr>
        <w:t>v </w:t>
      </w:r>
      <w:r w:rsidRPr="00044B94">
        <w:rPr>
          <w:rFonts w:eastAsia="TimesNewRoman"/>
          <w:szCs w:val="22"/>
          <w:lang w:eastAsia="en-GB" w:bidi="ar-SA"/>
        </w:rPr>
        <w:t>chladničke.</w:t>
      </w:r>
    </w:p>
    <w:p w14:paraId="1183EA62" w14:textId="77777777" w:rsidR="00044B94" w:rsidRPr="00044B94" w:rsidRDefault="00044B94" w:rsidP="00044B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</w:p>
    <w:p w14:paraId="0CC3605C" w14:textId="77777777" w:rsidR="00812D16" w:rsidRPr="00044B94" w:rsidRDefault="008B03B5" w:rsidP="00044B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" w:eastAsia="TimesNewRoman" w:cs="TimesNewRoman"/>
          <w:szCs w:val="22"/>
          <w:lang w:eastAsia="en-GB" w:bidi="ar-SA"/>
        </w:rPr>
      </w:pPr>
      <w:r>
        <w:t xml:space="preserve">Podmienky na uchovávanie po </w:t>
      </w:r>
      <w:r w:rsidR="005C0CBF" w:rsidRPr="00A72672">
        <w:t>r</w:t>
      </w:r>
      <w:r>
        <w:t>ekonštitúcii a riedení lieku, pozri časť</w:t>
      </w:r>
      <w:r w:rsidR="00EA1F74">
        <w:t> </w:t>
      </w:r>
      <w:r>
        <w:t>6.3.</w:t>
      </w:r>
    </w:p>
    <w:p w14:paraId="3E546A16" w14:textId="77777777" w:rsidR="00812D16" w:rsidRPr="00A72672" w:rsidRDefault="00812D16" w:rsidP="00204AAB">
      <w:pPr>
        <w:spacing w:line="240" w:lineRule="auto"/>
      </w:pPr>
    </w:p>
    <w:p w14:paraId="47769E77" w14:textId="77777777" w:rsidR="00812D16" w:rsidRPr="00044B94" w:rsidRDefault="005C0CBF" w:rsidP="00EA1F74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</w:pPr>
      <w:r w:rsidRPr="00044B94">
        <w:rPr>
          <w:b/>
        </w:rPr>
        <w:t>Druh obalu a</w:t>
      </w:r>
      <w:r w:rsidR="00851AE0" w:rsidRPr="00044B94">
        <w:rPr>
          <w:b/>
        </w:rPr>
        <w:t> </w:t>
      </w:r>
      <w:r w:rsidRPr="00044B94">
        <w:rPr>
          <w:b/>
        </w:rPr>
        <w:t>obs</w:t>
      </w:r>
      <w:r w:rsidR="00044B94" w:rsidRPr="00044B94">
        <w:rPr>
          <w:b/>
        </w:rPr>
        <w:t>ah balenia</w:t>
      </w:r>
    </w:p>
    <w:p w14:paraId="2CAA1838" w14:textId="77777777" w:rsidR="00044B94" w:rsidRPr="003F7DA0" w:rsidRDefault="00044B94" w:rsidP="00044B94">
      <w:pPr>
        <w:keepNext/>
        <w:tabs>
          <w:tab w:val="clear" w:pos="567"/>
        </w:tabs>
        <w:spacing w:line="240" w:lineRule="auto"/>
        <w:outlineLvl w:val="0"/>
      </w:pPr>
    </w:p>
    <w:p w14:paraId="146FDFC8" w14:textId="51FDAD61" w:rsidR="00044B94" w:rsidRPr="003E5F46" w:rsidRDefault="00044B94" w:rsidP="00044B94">
      <w:pPr>
        <w:pStyle w:val="Zkladntext"/>
        <w:ind w:right="-2"/>
        <w:rPr>
          <w:szCs w:val="22"/>
        </w:rPr>
      </w:pPr>
      <w:r w:rsidRPr="003E5F46">
        <w:rPr>
          <w:szCs w:val="22"/>
        </w:rPr>
        <w:t>30 ml injekčná liekovka z</w:t>
      </w:r>
      <w:r w:rsidR="00F3379F">
        <w:rPr>
          <w:szCs w:val="22"/>
        </w:rPr>
        <w:t xml:space="preserve"> bezfarebnéh</w:t>
      </w:r>
      <w:r w:rsidRPr="003E5F46">
        <w:rPr>
          <w:szCs w:val="22"/>
        </w:rPr>
        <w:t xml:space="preserve">o skla typu </w:t>
      </w:r>
      <w:r w:rsidR="0068219C">
        <w:rPr>
          <w:szCs w:val="22"/>
        </w:rPr>
        <w:t>I</w:t>
      </w:r>
      <w:r w:rsidRPr="003E5F46">
        <w:rPr>
          <w:szCs w:val="22"/>
        </w:rPr>
        <w:t xml:space="preserve"> s </w:t>
      </w:r>
      <w:proofErr w:type="spellStart"/>
      <w:r w:rsidRPr="003E5F46">
        <w:rPr>
          <w:szCs w:val="22"/>
        </w:rPr>
        <w:t>brómbutylovou</w:t>
      </w:r>
      <w:proofErr w:type="spellEnd"/>
      <w:r w:rsidRPr="003E5F46">
        <w:rPr>
          <w:szCs w:val="22"/>
        </w:rPr>
        <w:t xml:space="preserve"> gumenou zátkou pokrytou </w:t>
      </w:r>
      <w:proofErr w:type="spellStart"/>
      <w:r w:rsidRPr="003E5F46">
        <w:rPr>
          <w:szCs w:val="22"/>
        </w:rPr>
        <w:t>fluórovaným</w:t>
      </w:r>
      <w:proofErr w:type="spellEnd"/>
      <w:r w:rsidRPr="003E5F46">
        <w:rPr>
          <w:szCs w:val="22"/>
        </w:rPr>
        <w:t xml:space="preserve"> polymérom a hliníkovým vyklápacím viečkom.</w:t>
      </w:r>
    </w:p>
    <w:p w14:paraId="22E8C16B" w14:textId="77777777" w:rsidR="00044B94" w:rsidRPr="003E5F46" w:rsidRDefault="00044B94" w:rsidP="00044B94">
      <w:pPr>
        <w:pStyle w:val="Zkladntext"/>
        <w:tabs>
          <w:tab w:val="left" w:pos="3969"/>
        </w:tabs>
        <w:ind w:right="5104"/>
        <w:rPr>
          <w:szCs w:val="22"/>
        </w:rPr>
      </w:pPr>
      <w:r w:rsidRPr="003E5F46">
        <w:rPr>
          <w:szCs w:val="22"/>
        </w:rPr>
        <w:t>Veľkosť balenia: 1 injekčná liekovka.</w:t>
      </w:r>
    </w:p>
    <w:p w14:paraId="5650DD78" w14:textId="77777777" w:rsidR="00812D16" w:rsidRPr="0082445A" w:rsidRDefault="00812D16" w:rsidP="00204AAB">
      <w:pPr>
        <w:spacing w:line="240" w:lineRule="auto"/>
      </w:pPr>
    </w:p>
    <w:p w14:paraId="774D15E3" w14:textId="77777777" w:rsidR="00812D16" w:rsidRPr="00891D76" w:rsidRDefault="005C0CBF" w:rsidP="00572506">
      <w:pPr>
        <w:keepNext/>
        <w:numPr>
          <w:ilvl w:val="1"/>
          <w:numId w:val="6"/>
        </w:numPr>
        <w:spacing w:line="240" w:lineRule="auto"/>
        <w:outlineLvl w:val="0"/>
      </w:pPr>
      <w:bookmarkStart w:id="0" w:name="OLE_LINK1"/>
      <w:r w:rsidRPr="00BF5AB0">
        <w:rPr>
          <w:b/>
        </w:rPr>
        <w:t>Špe</w:t>
      </w:r>
      <w:r w:rsidR="00200F7A">
        <w:rPr>
          <w:b/>
        </w:rPr>
        <w:t xml:space="preserve">ciálne opatrenia na likvidáciu </w:t>
      </w:r>
      <w:r w:rsidRPr="00BF5AB0">
        <w:rPr>
          <w:b/>
        </w:rPr>
        <w:t>a</w:t>
      </w:r>
      <w:r w:rsidR="00851AE0">
        <w:rPr>
          <w:b/>
          <w:noProof/>
        </w:rPr>
        <w:t> </w:t>
      </w:r>
      <w:r w:rsidRPr="00BF5AB0">
        <w:rPr>
          <w:b/>
        </w:rPr>
        <w:t>iné zaobchádzanie s</w:t>
      </w:r>
      <w:r w:rsidR="00851AE0">
        <w:rPr>
          <w:b/>
          <w:noProof/>
        </w:rPr>
        <w:t> </w:t>
      </w:r>
      <w:r w:rsidRPr="00BF5AB0">
        <w:rPr>
          <w:b/>
        </w:rPr>
        <w:t>liekom</w:t>
      </w:r>
    </w:p>
    <w:p w14:paraId="634DA8BD" w14:textId="77777777" w:rsidR="00253A7E" w:rsidRPr="00BD30B7" w:rsidRDefault="00253A7E" w:rsidP="00253A7E">
      <w:pPr>
        <w:keepNext/>
        <w:rPr>
          <w:bCs/>
          <w:szCs w:val="22"/>
        </w:rPr>
      </w:pPr>
    </w:p>
    <w:p w14:paraId="354F3D7E" w14:textId="7849DF31" w:rsidR="00253A7E" w:rsidRPr="003E5F46" w:rsidRDefault="00253A7E" w:rsidP="00BD30B7">
      <w:pPr>
        <w:pStyle w:val="Zkladntext"/>
        <w:ind w:right="-2"/>
        <w:rPr>
          <w:szCs w:val="22"/>
        </w:rPr>
      </w:pPr>
      <w:proofErr w:type="spellStart"/>
      <w:r w:rsidRPr="003E5F46">
        <w:rPr>
          <w:szCs w:val="22"/>
        </w:rPr>
        <w:t>Anidulafungin</w:t>
      </w:r>
      <w:proofErr w:type="spellEnd"/>
      <w:r w:rsidRPr="003E5F46">
        <w:rPr>
          <w:szCs w:val="22"/>
        </w:rPr>
        <w:t xml:space="preserve"> </w:t>
      </w:r>
      <w:proofErr w:type="spellStart"/>
      <w:r w:rsidR="00BD30B7">
        <w:rPr>
          <w:szCs w:val="22"/>
        </w:rPr>
        <w:t>Mylan</w:t>
      </w:r>
      <w:proofErr w:type="spellEnd"/>
      <w:r w:rsidRPr="003E5F46">
        <w:rPr>
          <w:szCs w:val="22"/>
        </w:rPr>
        <w:t xml:space="preserve"> sa musí rekonštituovať s vodou na injekcie a následne riediť LEN infúznym roztokom chloridu sodného 9 mg/ml (0,9 %) alebo infúznym roztokom glukózy 50 mg/ml (5 %). Kompatibilita rekonštituovaného </w:t>
      </w:r>
      <w:r w:rsidR="006A5404">
        <w:rPr>
          <w:szCs w:val="22"/>
        </w:rPr>
        <w:t xml:space="preserve">lieku </w:t>
      </w:r>
      <w:proofErr w:type="spellStart"/>
      <w:r w:rsidRPr="003E5F46">
        <w:rPr>
          <w:szCs w:val="22"/>
        </w:rPr>
        <w:t>Anidulafungin</w:t>
      </w:r>
      <w:proofErr w:type="spellEnd"/>
      <w:r w:rsidRPr="003E5F46">
        <w:rPr>
          <w:szCs w:val="22"/>
        </w:rPr>
        <w:t xml:space="preserve"> </w:t>
      </w:r>
      <w:proofErr w:type="spellStart"/>
      <w:r w:rsidR="00BD30B7">
        <w:rPr>
          <w:szCs w:val="22"/>
        </w:rPr>
        <w:t>Mylan</w:t>
      </w:r>
      <w:proofErr w:type="spellEnd"/>
      <w:r w:rsidRPr="003E5F46">
        <w:rPr>
          <w:szCs w:val="22"/>
        </w:rPr>
        <w:t xml:space="preserve"> s intravenóznymi látkami, </w:t>
      </w:r>
      <w:proofErr w:type="spellStart"/>
      <w:r w:rsidRPr="003E5F46">
        <w:rPr>
          <w:szCs w:val="22"/>
        </w:rPr>
        <w:t>aditívami</w:t>
      </w:r>
      <w:proofErr w:type="spellEnd"/>
      <w:r w:rsidRPr="003E5F46">
        <w:rPr>
          <w:szCs w:val="22"/>
        </w:rPr>
        <w:t xml:space="preserve"> alebo inými liekmi, ako je infúzny roztok chloridu sodného 9 mg/ml (0,9 %) alebo infúzny roztok glukózy 50 mg/ml (5 %), nebola stanovená.</w:t>
      </w:r>
    </w:p>
    <w:p w14:paraId="3BF6D4A7" w14:textId="77777777" w:rsidR="00253A7E" w:rsidRPr="003E5F46" w:rsidRDefault="00253A7E" w:rsidP="00253A7E">
      <w:pPr>
        <w:pStyle w:val="Zkladntext"/>
        <w:keepNext/>
        <w:rPr>
          <w:szCs w:val="22"/>
        </w:rPr>
      </w:pPr>
      <w:r w:rsidRPr="003E5F46">
        <w:rPr>
          <w:szCs w:val="22"/>
          <w:u w:val="single"/>
        </w:rPr>
        <w:lastRenderedPageBreak/>
        <w:t>Rekonštitúcia</w:t>
      </w:r>
    </w:p>
    <w:p w14:paraId="0748E842" w14:textId="45044161" w:rsidR="00253A7E" w:rsidRPr="003E5F46" w:rsidRDefault="00253A7E" w:rsidP="00253A7E">
      <w:pPr>
        <w:pStyle w:val="Zkladntext"/>
        <w:ind w:right="-2"/>
        <w:rPr>
          <w:szCs w:val="22"/>
        </w:rPr>
      </w:pPr>
      <w:r w:rsidRPr="003E5F46">
        <w:rPr>
          <w:szCs w:val="22"/>
        </w:rPr>
        <w:t xml:space="preserve">Asepticky rekonštituujte každú injekčnú liekovku s 30 ml vody na injekcie na dosiahnutie koncentrácie 3,33 mg/ml. Rekonštitúcia môže trvať až </w:t>
      </w:r>
      <w:r>
        <w:rPr>
          <w:szCs w:val="22"/>
        </w:rPr>
        <w:t>do 2</w:t>
      </w:r>
      <w:r w:rsidR="00BD30B7">
        <w:rPr>
          <w:szCs w:val="22"/>
        </w:rPr>
        <w:t> </w:t>
      </w:r>
      <w:r w:rsidRPr="003E5F46">
        <w:rPr>
          <w:szCs w:val="22"/>
        </w:rPr>
        <w:t>minút. Rekonštituovaný roztok je číry, bezfarebný až bledožltý.</w:t>
      </w:r>
      <w:r w:rsidR="007D376C">
        <w:rPr>
          <w:szCs w:val="22"/>
        </w:rPr>
        <w:t xml:space="preserve"> </w:t>
      </w:r>
      <w:r w:rsidR="007D376C" w:rsidRPr="003E5F46">
        <w:rPr>
          <w:szCs w:val="22"/>
        </w:rPr>
        <w:t>Ak sa po ďalšom riedení zistí prítomnosť pevných častíc alebo zmena farby, roztok sa má zlikvidovať.</w:t>
      </w:r>
    </w:p>
    <w:p w14:paraId="1302DA6F" w14:textId="77777777" w:rsidR="00253A7E" w:rsidRPr="003E5F46" w:rsidRDefault="00253A7E" w:rsidP="00253A7E">
      <w:pPr>
        <w:pStyle w:val="Zkladntext"/>
        <w:rPr>
          <w:szCs w:val="22"/>
          <w:u w:val="single"/>
        </w:rPr>
      </w:pPr>
    </w:p>
    <w:p w14:paraId="6F829F7A" w14:textId="77777777" w:rsidR="00253A7E" w:rsidRPr="003E5F46" w:rsidRDefault="00253A7E" w:rsidP="00253A7E">
      <w:pPr>
        <w:pStyle w:val="Zkladntext"/>
        <w:keepNext/>
        <w:rPr>
          <w:szCs w:val="22"/>
          <w:u w:val="single"/>
        </w:rPr>
      </w:pPr>
      <w:r w:rsidRPr="003E5F46">
        <w:rPr>
          <w:szCs w:val="22"/>
          <w:u w:val="single"/>
        </w:rPr>
        <w:t>Riedenie a infúzia</w:t>
      </w:r>
    </w:p>
    <w:p w14:paraId="012CEC48" w14:textId="77777777" w:rsidR="00253A7E" w:rsidRPr="003E5F46" w:rsidRDefault="00253A7E" w:rsidP="00253A7E">
      <w:pPr>
        <w:pStyle w:val="Zkladntext"/>
        <w:rPr>
          <w:szCs w:val="22"/>
        </w:rPr>
      </w:pPr>
      <w:r w:rsidRPr="003E5F46">
        <w:rPr>
          <w:szCs w:val="22"/>
        </w:rPr>
        <w:t>Asepticky preneste obsah rekonštituovanej injekčnej liekovky</w:t>
      </w:r>
      <w:r>
        <w:rPr>
          <w:szCs w:val="22"/>
        </w:rPr>
        <w:t>/liekoviek</w:t>
      </w:r>
      <w:r w:rsidRPr="003E5F46">
        <w:rPr>
          <w:szCs w:val="22"/>
        </w:rPr>
        <w:t xml:space="preserve"> do intravenózneho vaku (alebo fľaše) obsahujúceho buď infúzny roztok chloridu sodného 9 mg/ml (0,9 %) alebo infúzny roztok glukózy 50 mg/ml (5 %) tak, aby sa dosiahla koncentrácia </w:t>
      </w:r>
      <w:proofErr w:type="spellStart"/>
      <w:r w:rsidRPr="003E5F46">
        <w:rPr>
          <w:szCs w:val="22"/>
        </w:rPr>
        <w:t>anidulafungínu</w:t>
      </w:r>
      <w:proofErr w:type="spellEnd"/>
      <w:r w:rsidRPr="003E5F46">
        <w:rPr>
          <w:szCs w:val="22"/>
        </w:rPr>
        <w:t xml:space="preserve"> 0,77 mg/ml. V tabuľke nižšie sú uvedené objemy potrebné na jednotlivú dávku.</w:t>
      </w:r>
    </w:p>
    <w:p w14:paraId="33713B6E" w14:textId="77777777" w:rsidR="00253A7E" w:rsidRPr="003E5F46" w:rsidRDefault="00253A7E" w:rsidP="00253A7E">
      <w:pPr>
        <w:pStyle w:val="Zkladntext"/>
        <w:rPr>
          <w:szCs w:val="22"/>
        </w:rPr>
      </w:pPr>
    </w:p>
    <w:p w14:paraId="1A01CA6C" w14:textId="4F4CF357" w:rsidR="00253A7E" w:rsidRPr="003E5F46" w:rsidRDefault="00253A7E" w:rsidP="00253A7E">
      <w:pPr>
        <w:pStyle w:val="Zkladntext"/>
        <w:keepNext/>
        <w:rPr>
          <w:szCs w:val="22"/>
        </w:rPr>
      </w:pPr>
      <w:r w:rsidRPr="003E5F46">
        <w:rPr>
          <w:szCs w:val="22"/>
          <w:u w:val="single"/>
        </w:rPr>
        <w:t>Požiadavky na riedenie pre pod</w:t>
      </w:r>
      <w:r>
        <w:rPr>
          <w:szCs w:val="22"/>
          <w:u w:val="single"/>
        </w:rPr>
        <w:t>ávanie</w:t>
      </w:r>
      <w:r w:rsidRPr="003E5F46">
        <w:rPr>
          <w:szCs w:val="22"/>
          <w:u w:val="single"/>
        </w:rPr>
        <w:t xml:space="preserve"> </w:t>
      </w:r>
      <w:r w:rsidR="00914C29">
        <w:rPr>
          <w:szCs w:val="22"/>
          <w:u w:val="single"/>
        </w:rPr>
        <w:t xml:space="preserve">lieku </w:t>
      </w:r>
      <w:proofErr w:type="spellStart"/>
      <w:r w:rsidRPr="003E5F46">
        <w:rPr>
          <w:szCs w:val="22"/>
          <w:u w:val="single"/>
        </w:rPr>
        <w:t>Anidulafungin</w:t>
      </w:r>
      <w:proofErr w:type="spellEnd"/>
      <w:r w:rsidRPr="00BD30B7">
        <w:rPr>
          <w:szCs w:val="22"/>
          <w:u w:val="single"/>
        </w:rPr>
        <w:t xml:space="preserve"> </w:t>
      </w:r>
      <w:proofErr w:type="spellStart"/>
      <w:r w:rsidR="00BD30B7" w:rsidRPr="00BD30B7">
        <w:rPr>
          <w:szCs w:val="22"/>
          <w:u w:val="single"/>
        </w:rPr>
        <w:t>Mylan</w:t>
      </w:r>
      <w:proofErr w:type="spellEnd"/>
    </w:p>
    <w:p w14:paraId="51BF5FF2" w14:textId="77777777" w:rsidR="00253A7E" w:rsidRPr="003E5F46" w:rsidRDefault="00253A7E" w:rsidP="00253A7E">
      <w:pPr>
        <w:pStyle w:val="Zkladntext"/>
        <w:keepNext/>
        <w:rPr>
          <w:szCs w:val="22"/>
        </w:rPr>
      </w:pPr>
    </w:p>
    <w:tbl>
      <w:tblPr>
        <w:tblW w:w="896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"/>
        <w:gridCol w:w="1276"/>
        <w:gridCol w:w="1416"/>
        <w:gridCol w:w="1419"/>
        <w:gridCol w:w="1134"/>
        <w:gridCol w:w="1418"/>
        <w:gridCol w:w="1275"/>
      </w:tblGrid>
      <w:tr w:rsidR="00253A7E" w:rsidRPr="003E5F46" w14:paraId="0790D678" w14:textId="77777777" w:rsidTr="00EA1F74">
        <w:trPr>
          <w:trHeight w:hRule="exact" w:val="1180"/>
        </w:trPr>
        <w:tc>
          <w:tcPr>
            <w:tcW w:w="1026" w:type="dxa"/>
          </w:tcPr>
          <w:p w14:paraId="35D0ACC8" w14:textId="77777777" w:rsidR="00253A7E" w:rsidRPr="003E5F46" w:rsidRDefault="00253A7E" w:rsidP="00EA1F74">
            <w:pPr>
              <w:pStyle w:val="TableParagraph"/>
              <w:ind w:left="29" w:right="-7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Dávka</w:t>
            </w:r>
          </w:p>
        </w:tc>
        <w:tc>
          <w:tcPr>
            <w:tcW w:w="1276" w:type="dxa"/>
          </w:tcPr>
          <w:p w14:paraId="218138FE" w14:textId="77777777" w:rsidR="00253A7E" w:rsidRPr="003E5F46" w:rsidRDefault="00253A7E" w:rsidP="00EA1F74">
            <w:pPr>
              <w:pStyle w:val="TableParagraph"/>
              <w:ind w:right="115" w:hanging="1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Počet injekčných liekoviek s práškom</w:t>
            </w:r>
          </w:p>
        </w:tc>
        <w:tc>
          <w:tcPr>
            <w:tcW w:w="1416" w:type="dxa"/>
          </w:tcPr>
          <w:p w14:paraId="757434EC" w14:textId="77777777" w:rsidR="00253A7E" w:rsidRPr="003E5F46" w:rsidRDefault="00253A7E" w:rsidP="00EA1F74">
            <w:pPr>
              <w:pStyle w:val="TableParagraph"/>
              <w:ind w:left="2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Celkový objem po rekonštitúcii</w:t>
            </w:r>
          </w:p>
        </w:tc>
        <w:tc>
          <w:tcPr>
            <w:tcW w:w="1419" w:type="dxa"/>
          </w:tcPr>
          <w:p w14:paraId="061F3AF9" w14:textId="77777777" w:rsidR="00253A7E" w:rsidRPr="003E5F46" w:rsidRDefault="00253A7E" w:rsidP="00EA1F74">
            <w:pPr>
              <w:pStyle w:val="TableParagraph"/>
              <w:ind w:left="138"/>
              <w:jc w:val="center"/>
              <w:rPr>
                <w:b/>
                <w:sz w:val="22"/>
                <w:szCs w:val="22"/>
                <w:vertAlign w:val="superscript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 xml:space="preserve">Objem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rozpúšťadla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134" w:type="dxa"/>
          </w:tcPr>
          <w:p w14:paraId="77261209" w14:textId="77777777" w:rsidR="00253A7E" w:rsidRPr="003E5F46" w:rsidRDefault="00253A7E" w:rsidP="00EA1F74">
            <w:pPr>
              <w:pStyle w:val="TableParagraph"/>
              <w:jc w:val="center"/>
              <w:rPr>
                <w:b/>
                <w:sz w:val="22"/>
                <w:szCs w:val="22"/>
                <w:vertAlign w:val="superscript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 xml:space="preserve">Celkový objem </w:t>
            </w:r>
            <w:proofErr w:type="spellStart"/>
            <w:r w:rsidRPr="003E5F46">
              <w:rPr>
                <w:b/>
                <w:sz w:val="22"/>
                <w:szCs w:val="22"/>
                <w:lang w:val="sk-SK"/>
              </w:rPr>
              <w:t>infúzie</w:t>
            </w:r>
            <w:r w:rsidRPr="003E5F46">
              <w:rPr>
                <w:b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1418" w:type="dxa"/>
          </w:tcPr>
          <w:p w14:paraId="0A8ECA39" w14:textId="77777777" w:rsidR="00253A7E" w:rsidRPr="003E5F46" w:rsidRDefault="00253A7E" w:rsidP="00EA1F74">
            <w:pPr>
              <w:pStyle w:val="TableParagraph"/>
              <w:ind w:left="140" w:right="139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Rýchlosť infúzie</w:t>
            </w:r>
          </w:p>
        </w:tc>
        <w:tc>
          <w:tcPr>
            <w:tcW w:w="1275" w:type="dxa"/>
          </w:tcPr>
          <w:p w14:paraId="22F0B65D" w14:textId="77777777" w:rsidR="00253A7E" w:rsidRPr="003E5F46" w:rsidRDefault="00253A7E" w:rsidP="00EA1F74">
            <w:pPr>
              <w:pStyle w:val="TableParagraph"/>
              <w:ind w:left="145"/>
              <w:jc w:val="center"/>
              <w:rPr>
                <w:b/>
                <w:sz w:val="22"/>
                <w:szCs w:val="22"/>
                <w:lang w:val="sk-SK"/>
              </w:rPr>
            </w:pPr>
            <w:r w:rsidRPr="003E5F46">
              <w:rPr>
                <w:b/>
                <w:sz w:val="22"/>
                <w:szCs w:val="22"/>
                <w:lang w:val="sk-SK"/>
              </w:rPr>
              <w:t>Minimálne trvanie infúzie</w:t>
            </w:r>
          </w:p>
        </w:tc>
      </w:tr>
      <w:tr w:rsidR="00253A7E" w:rsidRPr="003E5F46" w14:paraId="7D684A3C" w14:textId="77777777" w:rsidTr="00EA1F74">
        <w:trPr>
          <w:trHeight w:hRule="exact" w:val="264"/>
        </w:trPr>
        <w:tc>
          <w:tcPr>
            <w:tcW w:w="1026" w:type="dxa"/>
          </w:tcPr>
          <w:p w14:paraId="5A807469" w14:textId="77777777" w:rsidR="00253A7E" w:rsidRPr="003E5F46" w:rsidRDefault="00253A7E" w:rsidP="00EA1F74">
            <w:pPr>
              <w:pStyle w:val="TableParagraph"/>
              <w:ind w:left="29" w:right="-7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100 mg</w:t>
            </w:r>
          </w:p>
        </w:tc>
        <w:tc>
          <w:tcPr>
            <w:tcW w:w="1276" w:type="dxa"/>
          </w:tcPr>
          <w:p w14:paraId="0CFED08A" w14:textId="77777777" w:rsidR="00253A7E" w:rsidRPr="003E5F46" w:rsidRDefault="00253A7E" w:rsidP="00EA1F74">
            <w:pPr>
              <w:pStyle w:val="TableParagraph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416" w:type="dxa"/>
          </w:tcPr>
          <w:p w14:paraId="2693034B" w14:textId="77777777" w:rsidR="00253A7E" w:rsidRPr="003E5F46" w:rsidRDefault="00253A7E" w:rsidP="00EA1F74">
            <w:pPr>
              <w:pStyle w:val="TableParagraph"/>
              <w:ind w:left="135" w:right="13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30 ml</w:t>
            </w:r>
          </w:p>
        </w:tc>
        <w:tc>
          <w:tcPr>
            <w:tcW w:w="1419" w:type="dxa"/>
          </w:tcPr>
          <w:p w14:paraId="70F220D2" w14:textId="77777777" w:rsidR="00253A7E" w:rsidRPr="003E5F46" w:rsidRDefault="00253A7E" w:rsidP="00EA1F74">
            <w:pPr>
              <w:pStyle w:val="TableParagraph"/>
              <w:ind w:left="302" w:right="307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100 ml</w:t>
            </w:r>
          </w:p>
        </w:tc>
        <w:tc>
          <w:tcPr>
            <w:tcW w:w="1134" w:type="dxa"/>
          </w:tcPr>
          <w:p w14:paraId="13E20A8F" w14:textId="77777777" w:rsidR="00253A7E" w:rsidRPr="003E5F46" w:rsidRDefault="00253A7E" w:rsidP="00EA1F74">
            <w:pPr>
              <w:pStyle w:val="TableParagraph"/>
              <w:ind w:left="129" w:right="13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130 ml</w:t>
            </w:r>
          </w:p>
        </w:tc>
        <w:tc>
          <w:tcPr>
            <w:tcW w:w="1418" w:type="dxa"/>
          </w:tcPr>
          <w:p w14:paraId="61BBC393" w14:textId="77777777" w:rsidR="00253A7E" w:rsidRPr="003E5F46" w:rsidRDefault="00253A7E" w:rsidP="00EA1F74">
            <w:pPr>
              <w:pStyle w:val="TableParagraph"/>
              <w:ind w:left="142" w:right="272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1,4 ml/min</w:t>
            </w:r>
          </w:p>
        </w:tc>
        <w:tc>
          <w:tcPr>
            <w:tcW w:w="1275" w:type="dxa"/>
          </w:tcPr>
          <w:p w14:paraId="7B4ABE02" w14:textId="77777777" w:rsidR="00253A7E" w:rsidRPr="003E5F46" w:rsidRDefault="00253A7E" w:rsidP="00EA1F74">
            <w:pPr>
              <w:pStyle w:val="TableParagraph"/>
              <w:ind w:left="393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90 min</w:t>
            </w:r>
          </w:p>
        </w:tc>
      </w:tr>
      <w:tr w:rsidR="00253A7E" w:rsidRPr="003E5F46" w14:paraId="356A08C9" w14:textId="77777777" w:rsidTr="00EA1F74">
        <w:trPr>
          <w:trHeight w:hRule="exact" w:val="262"/>
        </w:trPr>
        <w:tc>
          <w:tcPr>
            <w:tcW w:w="1026" w:type="dxa"/>
          </w:tcPr>
          <w:p w14:paraId="24F4D536" w14:textId="77777777" w:rsidR="00253A7E" w:rsidRPr="003E5F46" w:rsidRDefault="00253A7E" w:rsidP="00EA1F74">
            <w:pPr>
              <w:pStyle w:val="TableParagraph"/>
              <w:ind w:left="29" w:right="-7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200 mg</w:t>
            </w:r>
          </w:p>
        </w:tc>
        <w:tc>
          <w:tcPr>
            <w:tcW w:w="1276" w:type="dxa"/>
          </w:tcPr>
          <w:p w14:paraId="5FA4445E" w14:textId="77777777" w:rsidR="00253A7E" w:rsidRPr="003E5F46" w:rsidRDefault="00253A7E" w:rsidP="00EA1F74">
            <w:pPr>
              <w:pStyle w:val="TableParagraph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416" w:type="dxa"/>
          </w:tcPr>
          <w:p w14:paraId="3BDFBC7D" w14:textId="77777777" w:rsidR="00253A7E" w:rsidRPr="003E5F46" w:rsidRDefault="00253A7E" w:rsidP="00EA1F74">
            <w:pPr>
              <w:pStyle w:val="TableParagraph"/>
              <w:ind w:left="135" w:right="135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60 ml</w:t>
            </w:r>
          </w:p>
        </w:tc>
        <w:tc>
          <w:tcPr>
            <w:tcW w:w="1419" w:type="dxa"/>
          </w:tcPr>
          <w:p w14:paraId="114EE84C" w14:textId="77777777" w:rsidR="00253A7E" w:rsidRPr="003E5F46" w:rsidRDefault="00253A7E" w:rsidP="00EA1F74">
            <w:pPr>
              <w:pStyle w:val="TableParagraph"/>
              <w:ind w:left="302" w:right="307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200 ml</w:t>
            </w:r>
          </w:p>
        </w:tc>
        <w:tc>
          <w:tcPr>
            <w:tcW w:w="1134" w:type="dxa"/>
          </w:tcPr>
          <w:p w14:paraId="1B3259C5" w14:textId="77777777" w:rsidR="00253A7E" w:rsidRPr="003E5F46" w:rsidRDefault="00253A7E" w:rsidP="00EA1F74">
            <w:pPr>
              <w:pStyle w:val="TableParagraph"/>
              <w:ind w:left="129" w:right="138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260 ml</w:t>
            </w:r>
          </w:p>
        </w:tc>
        <w:tc>
          <w:tcPr>
            <w:tcW w:w="1418" w:type="dxa"/>
          </w:tcPr>
          <w:p w14:paraId="75AA89D8" w14:textId="77777777" w:rsidR="00253A7E" w:rsidRPr="003E5F46" w:rsidRDefault="00253A7E" w:rsidP="00EA1F74">
            <w:pPr>
              <w:pStyle w:val="TableParagraph"/>
              <w:ind w:left="142" w:right="272"/>
              <w:jc w:val="center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1,4 ml/min</w:t>
            </w:r>
          </w:p>
        </w:tc>
        <w:tc>
          <w:tcPr>
            <w:tcW w:w="1275" w:type="dxa"/>
          </w:tcPr>
          <w:p w14:paraId="2A7714E9" w14:textId="77777777" w:rsidR="00253A7E" w:rsidRPr="003E5F46" w:rsidRDefault="00253A7E" w:rsidP="00EA1F74">
            <w:pPr>
              <w:pStyle w:val="TableParagraph"/>
              <w:ind w:left="338"/>
              <w:rPr>
                <w:sz w:val="22"/>
                <w:szCs w:val="22"/>
                <w:lang w:val="sk-SK"/>
              </w:rPr>
            </w:pPr>
            <w:r w:rsidRPr="003E5F46">
              <w:rPr>
                <w:sz w:val="22"/>
                <w:szCs w:val="22"/>
                <w:lang w:val="sk-SK"/>
              </w:rPr>
              <w:t>180 min</w:t>
            </w:r>
          </w:p>
        </w:tc>
      </w:tr>
    </w:tbl>
    <w:p w14:paraId="3FDFCE34" w14:textId="77777777" w:rsidR="00253A7E" w:rsidRPr="003E5F46" w:rsidRDefault="00253A7E" w:rsidP="00253A7E">
      <w:pPr>
        <w:pStyle w:val="Zkladntext"/>
        <w:ind w:left="284" w:right="-1" w:hanging="142"/>
        <w:rPr>
          <w:szCs w:val="22"/>
        </w:rPr>
      </w:pPr>
      <w:r w:rsidRPr="003E5F46">
        <w:rPr>
          <w:szCs w:val="22"/>
          <w:vertAlign w:val="superscript"/>
        </w:rPr>
        <w:t>A</w:t>
      </w:r>
      <w:r w:rsidRPr="003E5F46">
        <w:rPr>
          <w:position w:val="10"/>
          <w:szCs w:val="22"/>
        </w:rPr>
        <w:t xml:space="preserve"> </w:t>
      </w:r>
      <w:r w:rsidRPr="003E5F46">
        <w:rPr>
          <w:szCs w:val="22"/>
        </w:rPr>
        <w:t>Buď infúzny roztok chloridu sodného 9 mg/ml (0,9 %) alebo infúzny roztok glukózy 50 mg/ml (5 %).</w:t>
      </w:r>
    </w:p>
    <w:p w14:paraId="07F669CD" w14:textId="77777777" w:rsidR="00253A7E" w:rsidRPr="003E5F46" w:rsidRDefault="00253A7E" w:rsidP="00253A7E">
      <w:pPr>
        <w:pStyle w:val="Zkladntext"/>
        <w:ind w:left="118"/>
        <w:rPr>
          <w:szCs w:val="22"/>
        </w:rPr>
      </w:pPr>
      <w:r w:rsidRPr="003E5F46">
        <w:rPr>
          <w:szCs w:val="22"/>
          <w:vertAlign w:val="superscript"/>
        </w:rPr>
        <w:t xml:space="preserve">B </w:t>
      </w:r>
      <w:r w:rsidRPr="003E5F46">
        <w:rPr>
          <w:szCs w:val="22"/>
        </w:rPr>
        <w:t>Koncentrácia infúzneho roztoku je 0,77 mg/ml.</w:t>
      </w:r>
    </w:p>
    <w:p w14:paraId="134586D6" w14:textId="77777777" w:rsidR="00253A7E" w:rsidRPr="003E5F46" w:rsidRDefault="00253A7E" w:rsidP="00253A7E">
      <w:pPr>
        <w:pStyle w:val="Zkladntext"/>
        <w:rPr>
          <w:szCs w:val="22"/>
        </w:rPr>
      </w:pPr>
    </w:p>
    <w:p w14:paraId="6D527D68" w14:textId="77777777" w:rsidR="00253A7E" w:rsidRPr="003E5F46" w:rsidRDefault="00253A7E" w:rsidP="00253A7E">
      <w:pPr>
        <w:pStyle w:val="Zkladntext"/>
        <w:ind w:right="-2"/>
        <w:rPr>
          <w:szCs w:val="22"/>
        </w:rPr>
      </w:pPr>
      <w:r w:rsidRPr="003E5F46">
        <w:rPr>
          <w:szCs w:val="22"/>
        </w:rPr>
        <w:t>Rýchlosť infúzie nesmie prekročiť 1,1 mg/min (zodpovedá 1,4 ml/min, keď sa rekonštituuje a riedi podľa pokynov) (pozri časti 4.2, 4.4 a 4.8).</w:t>
      </w:r>
    </w:p>
    <w:p w14:paraId="10A1EB6E" w14:textId="77777777" w:rsidR="00253A7E" w:rsidRPr="003E5F46" w:rsidRDefault="00253A7E" w:rsidP="00253A7E">
      <w:pPr>
        <w:pStyle w:val="Zkladntext"/>
        <w:rPr>
          <w:szCs w:val="22"/>
        </w:rPr>
      </w:pPr>
    </w:p>
    <w:p w14:paraId="2ED19D20" w14:textId="562026EC" w:rsidR="00253A7E" w:rsidRPr="003E5F46" w:rsidRDefault="00253A7E" w:rsidP="00253A7E">
      <w:pPr>
        <w:pStyle w:val="Zkladntext"/>
        <w:ind w:right="-2"/>
        <w:rPr>
          <w:szCs w:val="22"/>
        </w:rPr>
      </w:pPr>
      <w:r>
        <w:rPr>
          <w:szCs w:val="22"/>
        </w:rPr>
        <w:t>Roztok</w:t>
      </w:r>
      <w:r w:rsidRPr="003E5F46">
        <w:rPr>
          <w:szCs w:val="22"/>
        </w:rPr>
        <w:t xml:space="preserve"> sa </w:t>
      </w:r>
      <w:r>
        <w:rPr>
          <w:szCs w:val="22"/>
        </w:rPr>
        <w:t>má</w:t>
      </w:r>
      <w:r w:rsidRPr="003E5F46">
        <w:rPr>
          <w:szCs w:val="22"/>
        </w:rPr>
        <w:t xml:space="preserve"> pred podaním vizuálne skontrolovať na prítomnosť pevných častíc a zmenu farby. Ak sa zistí prítomnosť pevných častíc alebo zmena farby, roztok zlikvidujte.</w:t>
      </w:r>
    </w:p>
    <w:p w14:paraId="3A859703" w14:textId="77777777" w:rsidR="00253A7E" w:rsidRPr="003E5F46" w:rsidRDefault="00253A7E" w:rsidP="00253A7E">
      <w:pPr>
        <w:pStyle w:val="Zkladntext"/>
        <w:rPr>
          <w:szCs w:val="22"/>
        </w:rPr>
      </w:pPr>
    </w:p>
    <w:p w14:paraId="31FF2562" w14:textId="77777777" w:rsidR="00812D16" w:rsidRPr="00BF5AB0" w:rsidRDefault="00BD30B7" w:rsidP="00204AAB">
      <w:pPr>
        <w:spacing w:line="240" w:lineRule="auto"/>
      </w:pPr>
      <w:r>
        <w:rPr>
          <w:szCs w:val="22"/>
        </w:rPr>
        <w:t>Iba na jednorazové použitie.</w:t>
      </w:r>
      <w:r w:rsidR="00C71CEC">
        <w:rPr>
          <w:szCs w:val="22"/>
        </w:rPr>
        <w:t xml:space="preserve"> </w:t>
      </w:r>
      <w:r w:rsidR="005C0CBF" w:rsidRPr="00A72672">
        <w:t>Všetok nepoužitý liek alebo odpad vzniknutý z</w:t>
      </w:r>
      <w:r w:rsidR="00851AE0">
        <w:t> </w:t>
      </w:r>
      <w:r w:rsidR="005C0CBF" w:rsidRPr="00BF5AB0">
        <w:t>lieku sa má zlikvidovať v s</w:t>
      </w:r>
      <w:r w:rsidR="00253A7E">
        <w:t>úlade s národnými požiadavkami.</w:t>
      </w:r>
    </w:p>
    <w:bookmarkEnd w:id="0"/>
    <w:p w14:paraId="2449EB88" w14:textId="77777777" w:rsidR="00812D16" w:rsidRPr="00891D76" w:rsidRDefault="00812D16" w:rsidP="00204AAB">
      <w:pPr>
        <w:spacing w:line="240" w:lineRule="auto"/>
      </w:pPr>
    </w:p>
    <w:p w14:paraId="42DD8C75" w14:textId="77777777" w:rsidR="00812D16" w:rsidRPr="0082445A" w:rsidRDefault="00812D16" w:rsidP="00204AAB">
      <w:pPr>
        <w:spacing w:line="240" w:lineRule="auto"/>
      </w:pPr>
    </w:p>
    <w:p w14:paraId="48624C5B" w14:textId="77777777" w:rsidR="00812D16" w:rsidRPr="00891D76" w:rsidRDefault="005C0CBF" w:rsidP="00572506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7E180F74" w14:textId="77777777" w:rsidR="00812D16" w:rsidRPr="0082445A" w:rsidRDefault="00812D16" w:rsidP="00085939">
      <w:pPr>
        <w:keepNext/>
        <w:spacing w:line="240" w:lineRule="auto"/>
      </w:pPr>
    </w:p>
    <w:p w14:paraId="7C15D185" w14:textId="77777777" w:rsidR="00BB5A67" w:rsidRPr="00BB5A67" w:rsidRDefault="00BB5A67" w:rsidP="00BB5A6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Cs/>
          <w:szCs w:val="22"/>
          <w:lang w:eastAsia="en-GB" w:bidi="ar-SA"/>
        </w:rPr>
      </w:pPr>
      <w:proofErr w:type="spellStart"/>
      <w:r w:rsidRPr="00BB5A67">
        <w:rPr>
          <w:rFonts w:eastAsia="SimSun"/>
          <w:bCs/>
          <w:szCs w:val="22"/>
          <w:lang w:eastAsia="en-GB" w:bidi="ar-SA"/>
        </w:rPr>
        <w:t>Mylan</w:t>
      </w:r>
      <w:proofErr w:type="spellEnd"/>
      <w:r w:rsidRPr="00BB5A67">
        <w:rPr>
          <w:rFonts w:eastAsia="SimSun"/>
          <w:bCs/>
          <w:szCs w:val="22"/>
          <w:lang w:eastAsia="en-GB" w:bidi="ar-SA"/>
        </w:rPr>
        <w:t xml:space="preserve"> </w:t>
      </w:r>
      <w:proofErr w:type="spellStart"/>
      <w:r w:rsidRPr="00BB5A67">
        <w:rPr>
          <w:rFonts w:eastAsia="SimSun"/>
          <w:bCs/>
          <w:szCs w:val="22"/>
          <w:lang w:eastAsia="en-GB" w:bidi="ar-SA"/>
        </w:rPr>
        <w:t>Ireland</w:t>
      </w:r>
      <w:proofErr w:type="spellEnd"/>
      <w:r w:rsidRPr="00BB5A67">
        <w:rPr>
          <w:rFonts w:eastAsia="SimSun"/>
          <w:bCs/>
          <w:szCs w:val="22"/>
          <w:lang w:eastAsia="en-GB" w:bidi="ar-SA"/>
        </w:rPr>
        <w:t xml:space="preserve"> </w:t>
      </w:r>
      <w:proofErr w:type="spellStart"/>
      <w:r w:rsidRPr="00BB5A67">
        <w:rPr>
          <w:rFonts w:eastAsia="SimSun"/>
          <w:bCs/>
          <w:szCs w:val="22"/>
          <w:lang w:eastAsia="en-GB" w:bidi="ar-SA"/>
        </w:rPr>
        <w:t>Limited</w:t>
      </w:r>
      <w:proofErr w:type="spellEnd"/>
    </w:p>
    <w:p w14:paraId="6C13C93C" w14:textId="77777777" w:rsidR="00BB5A67" w:rsidRPr="00BB5A67" w:rsidRDefault="00BB5A67" w:rsidP="00BB5A6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proofErr w:type="spellStart"/>
      <w:r w:rsidRPr="00BB5A67">
        <w:rPr>
          <w:rFonts w:eastAsia="TimesNewRoman"/>
          <w:szCs w:val="22"/>
          <w:lang w:eastAsia="en-GB" w:bidi="ar-SA"/>
        </w:rPr>
        <w:t>Unit</w:t>
      </w:r>
      <w:proofErr w:type="spellEnd"/>
      <w:r w:rsidRPr="00BB5A67">
        <w:rPr>
          <w:rFonts w:eastAsia="TimesNewRoman"/>
          <w:szCs w:val="22"/>
          <w:lang w:eastAsia="en-GB" w:bidi="ar-SA"/>
        </w:rPr>
        <w:t xml:space="preserve"> 35/36 </w:t>
      </w:r>
      <w:proofErr w:type="spellStart"/>
      <w:r w:rsidRPr="00BB5A67">
        <w:rPr>
          <w:rFonts w:eastAsia="TimesNewRoman"/>
          <w:szCs w:val="22"/>
          <w:lang w:eastAsia="en-GB" w:bidi="ar-SA"/>
        </w:rPr>
        <w:t>Grange</w:t>
      </w:r>
      <w:proofErr w:type="spellEnd"/>
      <w:r w:rsidRPr="00BB5A67">
        <w:rPr>
          <w:rFonts w:eastAsia="TimesNewRoman"/>
          <w:szCs w:val="22"/>
          <w:lang w:eastAsia="en-GB" w:bidi="ar-SA"/>
        </w:rPr>
        <w:t xml:space="preserve"> </w:t>
      </w:r>
      <w:proofErr w:type="spellStart"/>
      <w:r w:rsidRPr="00BB5A67">
        <w:rPr>
          <w:rFonts w:eastAsia="TimesNewRoman"/>
          <w:szCs w:val="22"/>
          <w:lang w:eastAsia="en-GB" w:bidi="ar-SA"/>
        </w:rPr>
        <w:t>Parade</w:t>
      </w:r>
      <w:proofErr w:type="spellEnd"/>
      <w:r w:rsidRPr="00BB5A67">
        <w:rPr>
          <w:rFonts w:eastAsia="TimesNewRoman"/>
          <w:szCs w:val="22"/>
          <w:lang w:eastAsia="en-GB" w:bidi="ar-SA"/>
        </w:rPr>
        <w:t>,</w:t>
      </w:r>
    </w:p>
    <w:p w14:paraId="4E1BEE9E" w14:textId="77777777" w:rsidR="00BB5A67" w:rsidRPr="00BB5A67" w:rsidRDefault="00BB5A67" w:rsidP="00BB5A6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proofErr w:type="spellStart"/>
      <w:r w:rsidRPr="00BB5A67">
        <w:rPr>
          <w:rFonts w:eastAsia="TimesNewRoman"/>
          <w:szCs w:val="22"/>
          <w:lang w:eastAsia="en-GB" w:bidi="ar-SA"/>
        </w:rPr>
        <w:t>Baldoyle</w:t>
      </w:r>
      <w:proofErr w:type="spellEnd"/>
      <w:r w:rsidRPr="00BB5A67">
        <w:rPr>
          <w:rFonts w:eastAsia="TimesNewRoman"/>
          <w:szCs w:val="22"/>
          <w:lang w:eastAsia="en-GB" w:bidi="ar-SA"/>
        </w:rPr>
        <w:t xml:space="preserve"> Industrial </w:t>
      </w:r>
      <w:proofErr w:type="spellStart"/>
      <w:r w:rsidRPr="00BB5A67">
        <w:rPr>
          <w:rFonts w:eastAsia="TimesNewRoman"/>
          <w:szCs w:val="22"/>
          <w:lang w:eastAsia="en-GB" w:bidi="ar-SA"/>
        </w:rPr>
        <w:t>Estate</w:t>
      </w:r>
      <w:proofErr w:type="spellEnd"/>
    </w:p>
    <w:p w14:paraId="209E0BED" w14:textId="77777777" w:rsidR="00BB5A67" w:rsidRPr="00BB5A67" w:rsidRDefault="00BB5A67" w:rsidP="00BB5A6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en-GB" w:bidi="ar-SA"/>
        </w:rPr>
      </w:pPr>
      <w:r w:rsidRPr="00BB5A67">
        <w:rPr>
          <w:rFonts w:eastAsia="TimesNewRoman"/>
          <w:szCs w:val="22"/>
          <w:lang w:eastAsia="en-GB" w:bidi="ar-SA"/>
        </w:rPr>
        <w:t>Dublin 13</w:t>
      </w:r>
    </w:p>
    <w:p w14:paraId="6A3C457B" w14:textId="77777777" w:rsidR="00812D16" w:rsidRDefault="00BB5A67" w:rsidP="00204AAB">
      <w:pPr>
        <w:spacing w:line="240" w:lineRule="auto"/>
      </w:pPr>
      <w:r>
        <w:rPr>
          <w:rFonts w:eastAsia="TimesNewRoman"/>
          <w:szCs w:val="22"/>
          <w:lang w:eastAsia="en-GB" w:bidi="ar-SA"/>
        </w:rPr>
        <w:t>Írsko</w:t>
      </w:r>
    </w:p>
    <w:p w14:paraId="25427D57" w14:textId="77777777" w:rsidR="00BB5A67" w:rsidRDefault="00BB5A67" w:rsidP="00204AAB">
      <w:pPr>
        <w:spacing w:line="240" w:lineRule="auto"/>
      </w:pPr>
    </w:p>
    <w:p w14:paraId="02CF3D8A" w14:textId="77777777" w:rsidR="0011213C" w:rsidRPr="00A72672" w:rsidRDefault="0011213C" w:rsidP="00204AAB">
      <w:pPr>
        <w:spacing w:line="240" w:lineRule="auto"/>
      </w:pPr>
    </w:p>
    <w:p w14:paraId="63787CD2" w14:textId="77777777" w:rsidR="00812D16" w:rsidRPr="00BF5AB0" w:rsidRDefault="00BB5A67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REGISTRAČNÉ </w:t>
      </w:r>
      <w:r w:rsidR="005C0CBF" w:rsidRPr="00BF5AB0">
        <w:rPr>
          <w:b/>
        </w:rPr>
        <w:t>ČÍSLO</w:t>
      </w:r>
    </w:p>
    <w:p w14:paraId="20596C25" w14:textId="77777777" w:rsidR="00812D16" w:rsidRPr="00891D76" w:rsidRDefault="00812D16" w:rsidP="00085939">
      <w:pPr>
        <w:keepNext/>
        <w:spacing w:line="240" w:lineRule="auto"/>
      </w:pPr>
    </w:p>
    <w:p w14:paraId="2196887B" w14:textId="136332A0" w:rsidR="00812D16" w:rsidRDefault="00165CCC" w:rsidP="00204AAB">
      <w:pPr>
        <w:spacing w:line="240" w:lineRule="auto"/>
      </w:pPr>
      <w:r w:rsidRPr="00165CCC">
        <w:t>26/0040/20-S</w:t>
      </w:r>
    </w:p>
    <w:p w14:paraId="5F99CFE2" w14:textId="77777777" w:rsidR="00165CCC" w:rsidRDefault="00165CCC" w:rsidP="00204AAB">
      <w:pPr>
        <w:spacing w:line="240" w:lineRule="auto"/>
      </w:pPr>
    </w:p>
    <w:p w14:paraId="26FEA3A3" w14:textId="77777777" w:rsidR="0011213C" w:rsidRPr="0082445A" w:rsidRDefault="0011213C" w:rsidP="00204AAB">
      <w:pPr>
        <w:spacing w:line="240" w:lineRule="auto"/>
      </w:pPr>
    </w:p>
    <w:p w14:paraId="11D86C99" w14:textId="77777777" w:rsidR="00812D16" w:rsidRPr="0082445A" w:rsidRDefault="005C0CBF" w:rsidP="00572506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36CAEEE4" w14:textId="77777777" w:rsidR="00812D16" w:rsidRPr="00085939" w:rsidRDefault="00812D16" w:rsidP="00085939">
      <w:pPr>
        <w:keepNext/>
        <w:spacing w:line="240" w:lineRule="auto"/>
        <w:rPr>
          <w:i/>
        </w:rPr>
      </w:pPr>
    </w:p>
    <w:p w14:paraId="223B7B58" w14:textId="77777777" w:rsidR="00812D16" w:rsidRPr="0082445A" w:rsidRDefault="005C0CBF" w:rsidP="003C6D15">
      <w:pPr>
        <w:keepNext/>
        <w:spacing w:line="240" w:lineRule="auto"/>
      </w:pPr>
      <w:r w:rsidRPr="00BF5AB0">
        <w:t xml:space="preserve">Dátum prvej registrácie: </w:t>
      </w:r>
    </w:p>
    <w:p w14:paraId="5EF7A2A1" w14:textId="77777777" w:rsidR="00812D16" w:rsidRPr="00A72672" w:rsidRDefault="00812D16" w:rsidP="00204AAB">
      <w:pPr>
        <w:spacing w:line="240" w:lineRule="auto"/>
      </w:pPr>
    </w:p>
    <w:p w14:paraId="5D26D526" w14:textId="77777777" w:rsidR="00812D16" w:rsidRPr="00A72672" w:rsidRDefault="00812D16" w:rsidP="00204AAB">
      <w:pPr>
        <w:spacing w:line="240" w:lineRule="auto"/>
      </w:pPr>
    </w:p>
    <w:p w14:paraId="35CC0AC4" w14:textId="77777777" w:rsidR="00812D16" w:rsidRPr="00891D76" w:rsidRDefault="003C6D15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DÁTUM REVÍZIE TEX</w:t>
      </w:r>
      <w:r w:rsidR="005C0CBF" w:rsidRPr="00BF5AB0">
        <w:rPr>
          <w:b/>
        </w:rPr>
        <w:t>TU</w:t>
      </w:r>
    </w:p>
    <w:p w14:paraId="6FC5D39F" w14:textId="77777777" w:rsidR="00812D16" w:rsidRPr="0082445A" w:rsidRDefault="00812D16" w:rsidP="00085939">
      <w:pPr>
        <w:keepNext/>
        <w:spacing w:line="240" w:lineRule="auto"/>
      </w:pPr>
    </w:p>
    <w:p w14:paraId="29DEB469" w14:textId="786DA9E4" w:rsidR="0011213C" w:rsidRDefault="003C6D15" w:rsidP="00204AAB">
      <w:pPr>
        <w:numPr>
          <w:ilvl w:val="12"/>
          <w:numId w:val="0"/>
        </w:numPr>
        <w:spacing w:line="240" w:lineRule="auto"/>
        <w:ind w:right="-2"/>
      </w:pPr>
      <w:bookmarkStart w:id="1" w:name="_GoBack"/>
      <w:bookmarkEnd w:id="1"/>
      <w:r>
        <w:t>0</w:t>
      </w:r>
      <w:r w:rsidR="00EA1F74">
        <w:t>2</w:t>
      </w:r>
      <w:r>
        <w:t>/2020</w:t>
      </w:r>
    </w:p>
    <w:sectPr w:rsidR="0011213C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420CD5" w16cid:durableId="21EFDD82"/>
  <w16cid:commentId w16cid:paraId="1D43020B" w16cid:durableId="21EFE0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F0D89" w14:textId="77777777" w:rsidR="0067559E" w:rsidRDefault="0067559E">
      <w:pPr>
        <w:spacing w:line="240" w:lineRule="auto"/>
      </w:pPr>
      <w:r>
        <w:separator/>
      </w:r>
    </w:p>
  </w:endnote>
  <w:endnote w:type="continuationSeparator" w:id="0">
    <w:p w14:paraId="12861355" w14:textId="77777777" w:rsidR="0067559E" w:rsidRDefault="00675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351E" w14:textId="77777777" w:rsidR="0067559E" w:rsidRPr="00A72672" w:rsidRDefault="0067559E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387835">
      <w:rPr>
        <w:rStyle w:val="slostrany1"/>
        <w:rFonts w:ascii="Times New Roman" w:hAnsi="Times New Roman"/>
        <w:sz w:val="18"/>
        <w:szCs w:val="18"/>
      </w:rPr>
      <w:fldChar w:fldCharType="begin"/>
    </w:r>
    <w:r w:rsidRPr="00387835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387835">
      <w:rPr>
        <w:rStyle w:val="slostrany1"/>
        <w:rFonts w:ascii="Times New Roman" w:hAnsi="Times New Roman"/>
        <w:sz w:val="18"/>
        <w:szCs w:val="18"/>
      </w:rPr>
      <w:fldChar w:fldCharType="separate"/>
    </w:r>
    <w:r w:rsidR="00D7567A">
      <w:rPr>
        <w:rStyle w:val="slostrany1"/>
        <w:rFonts w:ascii="Times New Roman" w:hAnsi="Times New Roman"/>
        <w:sz w:val="18"/>
        <w:szCs w:val="18"/>
      </w:rPr>
      <w:t>7</w:t>
    </w:r>
    <w:r w:rsidRPr="00387835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614D" w14:textId="77777777" w:rsidR="0067559E" w:rsidRDefault="0067559E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FE465" w14:textId="77777777" w:rsidR="0067559E" w:rsidRDefault="0067559E">
      <w:pPr>
        <w:spacing w:line="240" w:lineRule="auto"/>
      </w:pPr>
      <w:r>
        <w:separator/>
      </w:r>
    </w:p>
  </w:footnote>
  <w:footnote w:type="continuationSeparator" w:id="0">
    <w:p w14:paraId="3545B083" w14:textId="77777777" w:rsidR="0067559E" w:rsidRDefault="00675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95D7E" w14:textId="666DFA71" w:rsidR="0067559E" w:rsidRPr="00E3301D" w:rsidRDefault="0067559E" w:rsidP="00F27624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E3301D">
      <w:rPr>
        <w:rFonts w:ascii="Times New Roman" w:hAnsi="Times New Roman"/>
        <w:noProof/>
        <w:sz w:val="18"/>
        <w:szCs w:val="18"/>
      </w:rPr>
      <w:t>Schválený text k rozhodnutiu o registrácii, ev. č.:</w:t>
    </w:r>
    <w:r w:rsidR="003C40A8">
      <w:rPr>
        <w:rFonts w:ascii="Times New Roman" w:hAnsi="Times New Roman"/>
        <w:noProof/>
        <w:sz w:val="18"/>
        <w:szCs w:val="18"/>
      </w:rPr>
      <w:t xml:space="preserve"> </w:t>
    </w:r>
    <w:r w:rsidRPr="00F27624">
      <w:rPr>
        <w:rFonts w:ascii="Times New Roman" w:hAnsi="Times New Roman"/>
        <w:noProof/>
        <w:sz w:val="18"/>
        <w:szCs w:val="18"/>
      </w:rPr>
      <w:t>2018/07537-REG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31DAD"/>
    <w:multiLevelType w:val="hybridMultilevel"/>
    <w:tmpl w:val="79F66984"/>
    <w:lvl w:ilvl="0" w:tplc="50BED8D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9D0670A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26601FA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17E86C14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CD1660FA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CC128054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8E9C7CF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D1F09594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CDEC792E"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7BE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F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CC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45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C9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A6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64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CC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A6684E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756E78A" w:tentative="1">
      <w:start w:val="1"/>
      <w:numFmt w:val="lowerLetter"/>
      <w:lvlText w:val="%2."/>
      <w:lvlJc w:val="left"/>
      <w:pPr>
        <w:ind w:left="1440" w:hanging="360"/>
      </w:pPr>
    </w:lvl>
    <w:lvl w:ilvl="2" w:tplc="25E2A8FA" w:tentative="1">
      <w:start w:val="1"/>
      <w:numFmt w:val="lowerRoman"/>
      <w:lvlText w:val="%3."/>
      <w:lvlJc w:val="right"/>
      <w:pPr>
        <w:ind w:left="2160" w:hanging="180"/>
      </w:pPr>
    </w:lvl>
    <w:lvl w:ilvl="3" w:tplc="E83E1EFE" w:tentative="1">
      <w:start w:val="1"/>
      <w:numFmt w:val="decimal"/>
      <w:lvlText w:val="%4."/>
      <w:lvlJc w:val="left"/>
      <w:pPr>
        <w:ind w:left="2880" w:hanging="360"/>
      </w:pPr>
    </w:lvl>
    <w:lvl w:ilvl="4" w:tplc="3E26C124" w:tentative="1">
      <w:start w:val="1"/>
      <w:numFmt w:val="lowerLetter"/>
      <w:lvlText w:val="%5."/>
      <w:lvlJc w:val="left"/>
      <w:pPr>
        <w:ind w:left="3600" w:hanging="360"/>
      </w:pPr>
    </w:lvl>
    <w:lvl w:ilvl="5" w:tplc="1FD45CF6" w:tentative="1">
      <w:start w:val="1"/>
      <w:numFmt w:val="lowerRoman"/>
      <w:lvlText w:val="%6."/>
      <w:lvlJc w:val="right"/>
      <w:pPr>
        <w:ind w:left="4320" w:hanging="180"/>
      </w:pPr>
    </w:lvl>
    <w:lvl w:ilvl="6" w:tplc="D6DAEF46" w:tentative="1">
      <w:start w:val="1"/>
      <w:numFmt w:val="decimal"/>
      <w:lvlText w:val="%7."/>
      <w:lvlJc w:val="left"/>
      <w:pPr>
        <w:ind w:left="5040" w:hanging="360"/>
      </w:pPr>
    </w:lvl>
    <w:lvl w:ilvl="7" w:tplc="EAB84EE4" w:tentative="1">
      <w:start w:val="1"/>
      <w:numFmt w:val="lowerLetter"/>
      <w:lvlText w:val="%8."/>
      <w:lvlJc w:val="left"/>
      <w:pPr>
        <w:ind w:left="5760" w:hanging="360"/>
      </w:pPr>
    </w:lvl>
    <w:lvl w:ilvl="8" w:tplc="02304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4CF"/>
    <w:multiLevelType w:val="hybridMultilevel"/>
    <w:tmpl w:val="6FC0A652"/>
    <w:lvl w:ilvl="0" w:tplc="A3DCDD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7A1CFB46" w:tentative="1">
      <w:start w:val="1"/>
      <w:numFmt w:val="lowerLetter"/>
      <w:lvlText w:val="%2."/>
      <w:lvlJc w:val="left"/>
      <w:pPr>
        <w:ind w:left="1440" w:hanging="360"/>
      </w:pPr>
    </w:lvl>
    <w:lvl w:ilvl="2" w:tplc="5DDAFB6E" w:tentative="1">
      <w:start w:val="1"/>
      <w:numFmt w:val="lowerRoman"/>
      <w:lvlText w:val="%3."/>
      <w:lvlJc w:val="right"/>
      <w:pPr>
        <w:ind w:left="2160" w:hanging="180"/>
      </w:pPr>
    </w:lvl>
    <w:lvl w:ilvl="3" w:tplc="33B4CCEC" w:tentative="1">
      <w:start w:val="1"/>
      <w:numFmt w:val="decimal"/>
      <w:lvlText w:val="%4."/>
      <w:lvlJc w:val="left"/>
      <w:pPr>
        <w:ind w:left="2880" w:hanging="360"/>
      </w:pPr>
    </w:lvl>
    <w:lvl w:ilvl="4" w:tplc="08785606" w:tentative="1">
      <w:start w:val="1"/>
      <w:numFmt w:val="lowerLetter"/>
      <w:lvlText w:val="%5."/>
      <w:lvlJc w:val="left"/>
      <w:pPr>
        <w:ind w:left="3600" w:hanging="360"/>
      </w:pPr>
    </w:lvl>
    <w:lvl w:ilvl="5" w:tplc="A438800C" w:tentative="1">
      <w:start w:val="1"/>
      <w:numFmt w:val="lowerRoman"/>
      <w:lvlText w:val="%6."/>
      <w:lvlJc w:val="right"/>
      <w:pPr>
        <w:ind w:left="4320" w:hanging="180"/>
      </w:pPr>
    </w:lvl>
    <w:lvl w:ilvl="6" w:tplc="C2525282" w:tentative="1">
      <w:start w:val="1"/>
      <w:numFmt w:val="decimal"/>
      <w:lvlText w:val="%7."/>
      <w:lvlJc w:val="left"/>
      <w:pPr>
        <w:ind w:left="5040" w:hanging="360"/>
      </w:pPr>
    </w:lvl>
    <w:lvl w:ilvl="7" w:tplc="C4DCE7CC" w:tentative="1">
      <w:start w:val="1"/>
      <w:numFmt w:val="lowerLetter"/>
      <w:lvlText w:val="%8."/>
      <w:lvlJc w:val="left"/>
      <w:pPr>
        <w:ind w:left="5760" w:hanging="360"/>
      </w:pPr>
    </w:lvl>
    <w:lvl w:ilvl="8" w:tplc="F9107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0BE6D8A2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557A8116" w:tentative="1">
      <w:start w:val="1"/>
      <w:numFmt w:val="lowerLetter"/>
      <w:lvlText w:val="%2."/>
      <w:lvlJc w:val="left"/>
      <w:pPr>
        <w:ind w:left="1440" w:hanging="360"/>
      </w:pPr>
    </w:lvl>
    <w:lvl w:ilvl="2" w:tplc="A6B85EE2" w:tentative="1">
      <w:start w:val="1"/>
      <w:numFmt w:val="lowerRoman"/>
      <w:lvlText w:val="%3."/>
      <w:lvlJc w:val="right"/>
      <w:pPr>
        <w:ind w:left="2160" w:hanging="180"/>
      </w:pPr>
    </w:lvl>
    <w:lvl w:ilvl="3" w:tplc="82A8EB3A" w:tentative="1">
      <w:start w:val="1"/>
      <w:numFmt w:val="decimal"/>
      <w:lvlText w:val="%4."/>
      <w:lvlJc w:val="left"/>
      <w:pPr>
        <w:ind w:left="2880" w:hanging="360"/>
      </w:pPr>
    </w:lvl>
    <w:lvl w:ilvl="4" w:tplc="C0F2B10E" w:tentative="1">
      <w:start w:val="1"/>
      <w:numFmt w:val="lowerLetter"/>
      <w:lvlText w:val="%5."/>
      <w:lvlJc w:val="left"/>
      <w:pPr>
        <w:ind w:left="3600" w:hanging="360"/>
      </w:pPr>
    </w:lvl>
    <w:lvl w:ilvl="5" w:tplc="FF6A4C9A" w:tentative="1">
      <w:start w:val="1"/>
      <w:numFmt w:val="lowerRoman"/>
      <w:lvlText w:val="%6."/>
      <w:lvlJc w:val="right"/>
      <w:pPr>
        <w:ind w:left="4320" w:hanging="180"/>
      </w:pPr>
    </w:lvl>
    <w:lvl w:ilvl="6" w:tplc="14D0F748" w:tentative="1">
      <w:start w:val="1"/>
      <w:numFmt w:val="decimal"/>
      <w:lvlText w:val="%7."/>
      <w:lvlJc w:val="left"/>
      <w:pPr>
        <w:ind w:left="5040" w:hanging="360"/>
      </w:pPr>
    </w:lvl>
    <w:lvl w:ilvl="7" w:tplc="3F1EC214" w:tentative="1">
      <w:start w:val="1"/>
      <w:numFmt w:val="lowerLetter"/>
      <w:lvlText w:val="%8."/>
      <w:lvlJc w:val="left"/>
      <w:pPr>
        <w:ind w:left="5760" w:hanging="360"/>
      </w:pPr>
    </w:lvl>
    <w:lvl w:ilvl="8" w:tplc="EE164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1C5F"/>
    <w:multiLevelType w:val="hybridMultilevel"/>
    <w:tmpl w:val="461889E8"/>
    <w:lvl w:ilvl="0" w:tplc="50BED8D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9D0670A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26601FA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17E86C14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CD1660FA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CC128054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8E9C7CF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D1F09594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CDEC792E"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7" w15:restartNumberingAfterBreak="0">
    <w:nsid w:val="52723122"/>
    <w:multiLevelType w:val="hybridMultilevel"/>
    <w:tmpl w:val="5C1ADE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FECC798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EF680C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CF4FD0E" w:tentative="1">
      <w:start w:val="1"/>
      <w:numFmt w:val="lowerRoman"/>
      <w:lvlText w:val="%3."/>
      <w:lvlJc w:val="right"/>
      <w:pPr>
        <w:ind w:left="2793" w:hanging="180"/>
      </w:pPr>
    </w:lvl>
    <w:lvl w:ilvl="3" w:tplc="C226A54C" w:tentative="1">
      <w:start w:val="1"/>
      <w:numFmt w:val="decimal"/>
      <w:lvlText w:val="%4."/>
      <w:lvlJc w:val="left"/>
      <w:pPr>
        <w:ind w:left="3513" w:hanging="360"/>
      </w:pPr>
    </w:lvl>
    <w:lvl w:ilvl="4" w:tplc="C3ECD57C" w:tentative="1">
      <w:start w:val="1"/>
      <w:numFmt w:val="lowerLetter"/>
      <w:lvlText w:val="%5."/>
      <w:lvlJc w:val="left"/>
      <w:pPr>
        <w:ind w:left="4233" w:hanging="360"/>
      </w:pPr>
    </w:lvl>
    <w:lvl w:ilvl="5" w:tplc="6F464332" w:tentative="1">
      <w:start w:val="1"/>
      <w:numFmt w:val="lowerRoman"/>
      <w:lvlText w:val="%6."/>
      <w:lvlJc w:val="right"/>
      <w:pPr>
        <w:ind w:left="4953" w:hanging="180"/>
      </w:pPr>
    </w:lvl>
    <w:lvl w:ilvl="6" w:tplc="27C2A300" w:tentative="1">
      <w:start w:val="1"/>
      <w:numFmt w:val="decimal"/>
      <w:lvlText w:val="%7."/>
      <w:lvlJc w:val="left"/>
      <w:pPr>
        <w:ind w:left="5673" w:hanging="360"/>
      </w:pPr>
    </w:lvl>
    <w:lvl w:ilvl="7" w:tplc="DD92B004" w:tentative="1">
      <w:start w:val="1"/>
      <w:numFmt w:val="lowerLetter"/>
      <w:lvlText w:val="%8."/>
      <w:lvlJc w:val="left"/>
      <w:pPr>
        <w:ind w:left="6393" w:hanging="360"/>
      </w:pPr>
    </w:lvl>
    <w:lvl w:ilvl="8" w:tplc="FA0AE56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68F4B64"/>
    <w:multiLevelType w:val="hybridMultilevel"/>
    <w:tmpl w:val="1D70B9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706ED"/>
    <w:multiLevelType w:val="hybridMultilevel"/>
    <w:tmpl w:val="D76ABB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5A8C0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F0F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AC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61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22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A2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4A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F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6E4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0D28"/>
    <w:multiLevelType w:val="hybridMultilevel"/>
    <w:tmpl w:val="2F94C0BA"/>
    <w:lvl w:ilvl="0" w:tplc="899A530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8E06E51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49501512" w:tentative="1">
      <w:start w:val="1"/>
      <w:numFmt w:val="lowerRoman"/>
      <w:lvlText w:val="%3."/>
      <w:lvlJc w:val="right"/>
      <w:pPr>
        <w:ind w:left="2160" w:hanging="180"/>
      </w:pPr>
    </w:lvl>
    <w:lvl w:ilvl="3" w:tplc="A35A498C" w:tentative="1">
      <w:start w:val="1"/>
      <w:numFmt w:val="decimal"/>
      <w:lvlText w:val="%4."/>
      <w:lvlJc w:val="left"/>
      <w:pPr>
        <w:ind w:left="2880" w:hanging="360"/>
      </w:pPr>
    </w:lvl>
    <w:lvl w:ilvl="4" w:tplc="E2B4ADD0" w:tentative="1">
      <w:start w:val="1"/>
      <w:numFmt w:val="lowerLetter"/>
      <w:lvlText w:val="%5."/>
      <w:lvlJc w:val="left"/>
      <w:pPr>
        <w:ind w:left="3600" w:hanging="360"/>
      </w:pPr>
    </w:lvl>
    <w:lvl w:ilvl="5" w:tplc="70D0690E" w:tentative="1">
      <w:start w:val="1"/>
      <w:numFmt w:val="lowerRoman"/>
      <w:lvlText w:val="%6."/>
      <w:lvlJc w:val="right"/>
      <w:pPr>
        <w:ind w:left="4320" w:hanging="180"/>
      </w:pPr>
    </w:lvl>
    <w:lvl w:ilvl="6" w:tplc="9C5619D0" w:tentative="1">
      <w:start w:val="1"/>
      <w:numFmt w:val="decimal"/>
      <w:lvlText w:val="%7."/>
      <w:lvlJc w:val="left"/>
      <w:pPr>
        <w:ind w:left="5040" w:hanging="360"/>
      </w:pPr>
    </w:lvl>
    <w:lvl w:ilvl="7" w:tplc="8F6C8F88" w:tentative="1">
      <w:start w:val="1"/>
      <w:numFmt w:val="lowerLetter"/>
      <w:lvlText w:val="%8."/>
      <w:lvlJc w:val="left"/>
      <w:pPr>
        <w:ind w:left="5760" w:hanging="360"/>
      </w:pPr>
    </w:lvl>
    <w:lvl w:ilvl="8" w:tplc="D2C462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9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47DC"/>
    <w:rsid w:val="00005701"/>
    <w:rsid w:val="00005A09"/>
    <w:rsid w:val="00006669"/>
    <w:rsid w:val="0000706B"/>
    <w:rsid w:val="00007528"/>
    <w:rsid w:val="00011197"/>
    <w:rsid w:val="0001164F"/>
    <w:rsid w:val="00012310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2DE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847"/>
    <w:rsid w:val="00042C8C"/>
    <w:rsid w:val="00043505"/>
    <w:rsid w:val="00043C70"/>
    <w:rsid w:val="00043E88"/>
    <w:rsid w:val="00044042"/>
    <w:rsid w:val="00044B94"/>
    <w:rsid w:val="000474D2"/>
    <w:rsid w:val="000479C5"/>
    <w:rsid w:val="00050739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4A3F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233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B7017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2F0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286"/>
    <w:rsid w:val="000F1BB2"/>
    <w:rsid w:val="000F217A"/>
    <w:rsid w:val="000F3F94"/>
    <w:rsid w:val="000F4080"/>
    <w:rsid w:val="000F4279"/>
    <w:rsid w:val="000F5235"/>
    <w:rsid w:val="000F5B21"/>
    <w:rsid w:val="001018E2"/>
    <w:rsid w:val="00102E27"/>
    <w:rsid w:val="00103501"/>
    <w:rsid w:val="0010362E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13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0DD0"/>
    <w:rsid w:val="00133572"/>
    <w:rsid w:val="00133996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5CC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5523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253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39E"/>
    <w:rsid w:val="001D6AF4"/>
    <w:rsid w:val="001D6F48"/>
    <w:rsid w:val="001E0CC1"/>
    <w:rsid w:val="001E1C10"/>
    <w:rsid w:val="001E284C"/>
    <w:rsid w:val="001E2B3E"/>
    <w:rsid w:val="001E2E9B"/>
    <w:rsid w:val="001E3CC0"/>
    <w:rsid w:val="001E6E83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BE6"/>
    <w:rsid w:val="001F6423"/>
    <w:rsid w:val="001F6D16"/>
    <w:rsid w:val="001F7494"/>
    <w:rsid w:val="00200F7A"/>
    <w:rsid w:val="00201213"/>
    <w:rsid w:val="0020165E"/>
    <w:rsid w:val="0020272E"/>
    <w:rsid w:val="00202C1B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4996"/>
    <w:rsid w:val="002365F7"/>
    <w:rsid w:val="00236876"/>
    <w:rsid w:val="0024178D"/>
    <w:rsid w:val="00242244"/>
    <w:rsid w:val="00242619"/>
    <w:rsid w:val="0024392B"/>
    <w:rsid w:val="002450C6"/>
    <w:rsid w:val="0024530C"/>
    <w:rsid w:val="00245DCF"/>
    <w:rsid w:val="00246C65"/>
    <w:rsid w:val="0024721F"/>
    <w:rsid w:val="00251A10"/>
    <w:rsid w:val="00252BFF"/>
    <w:rsid w:val="0025349D"/>
    <w:rsid w:val="00253732"/>
    <w:rsid w:val="00253A7E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0F87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6830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2F7"/>
    <w:rsid w:val="002F35E4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5F0"/>
    <w:rsid w:val="00321FEB"/>
    <w:rsid w:val="00322002"/>
    <w:rsid w:val="00323EEC"/>
    <w:rsid w:val="003247B0"/>
    <w:rsid w:val="00325E81"/>
    <w:rsid w:val="00326948"/>
    <w:rsid w:val="00327052"/>
    <w:rsid w:val="003336BB"/>
    <w:rsid w:val="00334048"/>
    <w:rsid w:val="0033486D"/>
    <w:rsid w:val="00335228"/>
    <w:rsid w:val="003367C4"/>
    <w:rsid w:val="00336D8E"/>
    <w:rsid w:val="003376B3"/>
    <w:rsid w:val="00340BF3"/>
    <w:rsid w:val="00340C09"/>
    <w:rsid w:val="00342BC6"/>
    <w:rsid w:val="003437C7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130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62D2"/>
    <w:rsid w:val="00380448"/>
    <w:rsid w:val="00380A1A"/>
    <w:rsid w:val="00380A57"/>
    <w:rsid w:val="00380D80"/>
    <w:rsid w:val="0038500E"/>
    <w:rsid w:val="003874A8"/>
    <w:rsid w:val="0038761D"/>
    <w:rsid w:val="00387835"/>
    <w:rsid w:val="003906F8"/>
    <w:rsid w:val="003935EE"/>
    <w:rsid w:val="00393D52"/>
    <w:rsid w:val="00393EE9"/>
    <w:rsid w:val="0039408A"/>
    <w:rsid w:val="003945F5"/>
    <w:rsid w:val="0039673D"/>
    <w:rsid w:val="00396F05"/>
    <w:rsid w:val="00397503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09F7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0AB"/>
    <w:rsid w:val="003C3D8E"/>
    <w:rsid w:val="003C40A8"/>
    <w:rsid w:val="003C56FA"/>
    <w:rsid w:val="003C5E61"/>
    <w:rsid w:val="003C64A0"/>
    <w:rsid w:val="003C6D15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160"/>
    <w:rsid w:val="003E5991"/>
    <w:rsid w:val="003E6CA0"/>
    <w:rsid w:val="003E6FC8"/>
    <w:rsid w:val="003F1F41"/>
    <w:rsid w:val="003F2FDE"/>
    <w:rsid w:val="003F330B"/>
    <w:rsid w:val="003F5DC8"/>
    <w:rsid w:val="003F6FDF"/>
    <w:rsid w:val="003F7A6C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4B7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4D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0AE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435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81"/>
    <w:rsid w:val="00491AD2"/>
    <w:rsid w:val="004935C0"/>
    <w:rsid w:val="00493B43"/>
    <w:rsid w:val="0049423C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A7F0C"/>
    <w:rsid w:val="004B08A9"/>
    <w:rsid w:val="004B109A"/>
    <w:rsid w:val="004B1CED"/>
    <w:rsid w:val="004B34A7"/>
    <w:rsid w:val="004B3B06"/>
    <w:rsid w:val="004B3ED5"/>
    <w:rsid w:val="004B4643"/>
    <w:rsid w:val="004B4653"/>
    <w:rsid w:val="004B5D02"/>
    <w:rsid w:val="004B7F67"/>
    <w:rsid w:val="004C06BE"/>
    <w:rsid w:val="004C0938"/>
    <w:rsid w:val="004C0B1E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7DC"/>
    <w:rsid w:val="004E5C4A"/>
    <w:rsid w:val="004E63E5"/>
    <w:rsid w:val="004E6B76"/>
    <w:rsid w:val="004E7F74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271A4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918"/>
    <w:rsid w:val="00544F5D"/>
    <w:rsid w:val="0054506E"/>
    <w:rsid w:val="0054588C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87ED9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A7F42"/>
    <w:rsid w:val="005B1C8B"/>
    <w:rsid w:val="005B3F6F"/>
    <w:rsid w:val="005B4002"/>
    <w:rsid w:val="005B41F4"/>
    <w:rsid w:val="005B528A"/>
    <w:rsid w:val="005B6B33"/>
    <w:rsid w:val="005B798B"/>
    <w:rsid w:val="005C0CBF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E6FF3"/>
    <w:rsid w:val="005F0143"/>
    <w:rsid w:val="005F0161"/>
    <w:rsid w:val="005F0DA0"/>
    <w:rsid w:val="005F2767"/>
    <w:rsid w:val="005F4914"/>
    <w:rsid w:val="005F5239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605"/>
    <w:rsid w:val="00622E32"/>
    <w:rsid w:val="006266A9"/>
    <w:rsid w:val="00627DDD"/>
    <w:rsid w:val="00630426"/>
    <w:rsid w:val="006316C1"/>
    <w:rsid w:val="00631A9E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4341"/>
    <w:rsid w:val="0065581D"/>
    <w:rsid w:val="00655C2F"/>
    <w:rsid w:val="00657765"/>
    <w:rsid w:val="00660403"/>
    <w:rsid w:val="006605EC"/>
    <w:rsid w:val="00661140"/>
    <w:rsid w:val="00663594"/>
    <w:rsid w:val="00664999"/>
    <w:rsid w:val="0066578D"/>
    <w:rsid w:val="006659D2"/>
    <w:rsid w:val="00665C4B"/>
    <w:rsid w:val="006675AB"/>
    <w:rsid w:val="00670863"/>
    <w:rsid w:val="00670B10"/>
    <w:rsid w:val="006710DD"/>
    <w:rsid w:val="00671FC9"/>
    <w:rsid w:val="00673200"/>
    <w:rsid w:val="0067499B"/>
    <w:rsid w:val="0067501E"/>
    <w:rsid w:val="0067559E"/>
    <w:rsid w:val="006773D2"/>
    <w:rsid w:val="00680498"/>
    <w:rsid w:val="00680581"/>
    <w:rsid w:val="00681A41"/>
    <w:rsid w:val="0068219C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1FAC"/>
    <w:rsid w:val="00692C52"/>
    <w:rsid w:val="006953C1"/>
    <w:rsid w:val="00696EB2"/>
    <w:rsid w:val="006A1466"/>
    <w:rsid w:val="006A1600"/>
    <w:rsid w:val="006A16E9"/>
    <w:rsid w:val="006A5404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667"/>
    <w:rsid w:val="006C68C0"/>
    <w:rsid w:val="006C6C6A"/>
    <w:rsid w:val="006D2288"/>
    <w:rsid w:val="006D4464"/>
    <w:rsid w:val="006D4EF4"/>
    <w:rsid w:val="006D4FF3"/>
    <w:rsid w:val="006D597C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059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A00"/>
    <w:rsid w:val="00725B32"/>
    <w:rsid w:val="00725B3C"/>
    <w:rsid w:val="007270A0"/>
    <w:rsid w:val="00727D8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66BC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66DF"/>
    <w:rsid w:val="00796C98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2646"/>
    <w:rsid w:val="007B31AB"/>
    <w:rsid w:val="007B3268"/>
    <w:rsid w:val="007B37F1"/>
    <w:rsid w:val="007B42D3"/>
    <w:rsid w:val="007B46D9"/>
    <w:rsid w:val="007B6205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4901"/>
    <w:rsid w:val="007C597B"/>
    <w:rsid w:val="007C5DDD"/>
    <w:rsid w:val="007C760C"/>
    <w:rsid w:val="007D08FD"/>
    <w:rsid w:val="007D0A87"/>
    <w:rsid w:val="007D1584"/>
    <w:rsid w:val="007D2044"/>
    <w:rsid w:val="007D376C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E7C2D"/>
    <w:rsid w:val="007F0181"/>
    <w:rsid w:val="007F0235"/>
    <w:rsid w:val="007F02BC"/>
    <w:rsid w:val="007F1670"/>
    <w:rsid w:val="007F1D17"/>
    <w:rsid w:val="007F20D7"/>
    <w:rsid w:val="007F2124"/>
    <w:rsid w:val="007F2E65"/>
    <w:rsid w:val="007F32B5"/>
    <w:rsid w:val="007F3CDF"/>
    <w:rsid w:val="007F43BA"/>
    <w:rsid w:val="007F45D1"/>
    <w:rsid w:val="007F595A"/>
    <w:rsid w:val="007F64BE"/>
    <w:rsid w:val="007F66BA"/>
    <w:rsid w:val="007F6DC3"/>
    <w:rsid w:val="007F7D1F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1F9C"/>
    <w:rsid w:val="00842A21"/>
    <w:rsid w:val="008442F6"/>
    <w:rsid w:val="00845DAD"/>
    <w:rsid w:val="00846172"/>
    <w:rsid w:val="00846A23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1C25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67877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1D49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305A"/>
    <w:rsid w:val="0089499B"/>
    <w:rsid w:val="00894ACA"/>
    <w:rsid w:val="00894EC5"/>
    <w:rsid w:val="00895B09"/>
    <w:rsid w:val="00896658"/>
    <w:rsid w:val="008967B5"/>
    <w:rsid w:val="008A03AC"/>
    <w:rsid w:val="008A06DF"/>
    <w:rsid w:val="008A0E73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03B5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13EB"/>
    <w:rsid w:val="008E27E9"/>
    <w:rsid w:val="008E2A0F"/>
    <w:rsid w:val="008E42DE"/>
    <w:rsid w:val="008E45A4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C29"/>
    <w:rsid w:val="00914E0E"/>
    <w:rsid w:val="00917907"/>
    <w:rsid w:val="00917C0F"/>
    <w:rsid w:val="00917E1A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6AE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34B3"/>
    <w:rsid w:val="009A4C2D"/>
    <w:rsid w:val="009B0152"/>
    <w:rsid w:val="009B061C"/>
    <w:rsid w:val="009B24D4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E7BA2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1D6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4FFF"/>
    <w:rsid w:val="00A25442"/>
    <w:rsid w:val="00A25BFF"/>
    <w:rsid w:val="00A263A3"/>
    <w:rsid w:val="00A26648"/>
    <w:rsid w:val="00A26F79"/>
    <w:rsid w:val="00A27522"/>
    <w:rsid w:val="00A30F9A"/>
    <w:rsid w:val="00A311E9"/>
    <w:rsid w:val="00A3136F"/>
    <w:rsid w:val="00A3237A"/>
    <w:rsid w:val="00A34D0C"/>
    <w:rsid w:val="00A34D76"/>
    <w:rsid w:val="00A354F1"/>
    <w:rsid w:val="00A365D0"/>
    <w:rsid w:val="00A37645"/>
    <w:rsid w:val="00A402B8"/>
    <w:rsid w:val="00A4043E"/>
    <w:rsid w:val="00A4264A"/>
    <w:rsid w:val="00A42AD6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4E05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4E1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A784E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5B6E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4098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13A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6D88"/>
    <w:rsid w:val="00B77BE4"/>
    <w:rsid w:val="00B812BE"/>
    <w:rsid w:val="00B813D5"/>
    <w:rsid w:val="00B81EA6"/>
    <w:rsid w:val="00B8258D"/>
    <w:rsid w:val="00B825B4"/>
    <w:rsid w:val="00B83704"/>
    <w:rsid w:val="00B84E7E"/>
    <w:rsid w:val="00B856D1"/>
    <w:rsid w:val="00B8643B"/>
    <w:rsid w:val="00B86608"/>
    <w:rsid w:val="00B875F2"/>
    <w:rsid w:val="00B87847"/>
    <w:rsid w:val="00B87986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2F47"/>
    <w:rsid w:val="00BA3287"/>
    <w:rsid w:val="00BA48A1"/>
    <w:rsid w:val="00BA5273"/>
    <w:rsid w:val="00BA5821"/>
    <w:rsid w:val="00BA6419"/>
    <w:rsid w:val="00BA6550"/>
    <w:rsid w:val="00BB0FC6"/>
    <w:rsid w:val="00BB3642"/>
    <w:rsid w:val="00BB4A3B"/>
    <w:rsid w:val="00BB59F6"/>
    <w:rsid w:val="00BB5A67"/>
    <w:rsid w:val="00BB5EF0"/>
    <w:rsid w:val="00BB66AB"/>
    <w:rsid w:val="00BB7BBA"/>
    <w:rsid w:val="00BB7C8B"/>
    <w:rsid w:val="00BC0AD6"/>
    <w:rsid w:val="00BC122E"/>
    <w:rsid w:val="00BC3584"/>
    <w:rsid w:val="00BC5838"/>
    <w:rsid w:val="00BC6075"/>
    <w:rsid w:val="00BC6DC2"/>
    <w:rsid w:val="00BD30B7"/>
    <w:rsid w:val="00BD5B25"/>
    <w:rsid w:val="00BE4ED6"/>
    <w:rsid w:val="00BE54F3"/>
    <w:rsid w:val="00BE5F67"/>
    <w:rsid w:val="00BE7920"/>
    <w:rsid w:val="00BE7CF1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1B29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3C5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053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1CEC"/>
    <w:rsid w:val="00C742D9"/>
    <w:rsid w:val="00C76238"/>
    <w:rsid w:val="00C7697F"/>
    <w:rsid w:val="00C77AB6"/>
    <w:rsid w:val="00C80A93"/>
    <w:rsid w:val="00C8136C"/>
    <w:rsid w:val="00C823C1"/>
    <w:rsid w:val="00C828DB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4A0F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1C60"/>
    <w:rsid w:val="00CF3B07"/>
    <w:rsid w:val="00CF4C13"/>
    <w:rsid w:val="00CF4D03"/>
    <w:rsid w:val="00CF62E0"/>
    <w:rsid w:val="00CF6384"/>
    <w:rsid w:val="00CF6902"/>
    <w:rsid w:val="00D0086A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1901"/>
    <w:rsid w:val="00D224BE"/>
    <w:rsid w:val="00D22F7B"/>
    <w:rsid w:val="00D230DC"/>
    <w:rsid w:val="00D23A0A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67A"/>
    <w:rsid w:val="00D75DF0"/>
    <w:rsid w:val="00D775D9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7AE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3D2"/>
    <w:rsid w:val="00DD34D1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0A7C"/>
    <w:rsid w:val="00E00CBB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C16"/>
    <w:rsid w:val="00E54EF2"/>
    <w:rsid w:val="00E561B7"/>
    <w:rsid w:val="00E56AB2"/>
    <w:rsid w:val="00E60A5E"/>
    <w:rsid w:val="00E60DC5"/>
    <w:rsid w:val="00E61036"/>
    <w:rsid w:val="00E62BDB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1F74"/>
    <w:rsid w:val="00EA5257"/>
    <w:rsid w:val="00EA59B6"/>
    <w:rsid w:val="00EA6ECB"/>
    <w:rsid w:val="00EA7415"/>
    <w:rsid w:val="00EB0062"/>
    <w:rsid w:val="00EB0433"/>
    <w:rsid w:val="00EB1B8B"/>
    <w:rsid w:val="00EB24EC"/>
    <w:rsid w:val="00EB3C54"/>
    <w:rsid w:val="00EB3FA2"/>
    <w:rsid w:val="00EB4951"/>
    <w:rsid w:val="00EB566F"/>
    <w:rsid w:val="00EB595B"/>
    <w:rsid w:val="00EC098E"/>
    <w:rsid w:val="00EC0BCB"/>
    <w:rsid w:val="00EC0E71"/>
    <w:rsid w:val="00EC2AF7"/>
    <w:rsid w:val="00EC2E50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624"/>
    <w:rsid w:val="00F277CD"/>
    <w:rsid w:val="00F31E53"/>
    <w:rsid w:val="00F3379F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387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17E4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232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1044CD"/>
  <w15:docId w15:val="{9D45A913-1F87-4037-983F-ED12A28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paragraph" w:styleId="Nadpis1">
    <w:name w:val="heading 1"/>
    <w:basedOn w:val="Normlny"/>
    <w:next w:val="Normlny"/>
    <w:uiPriority w:val="1"/>
    <w:qFormat/>
    <w:rsid w:val="004B4653"/>
    <w:pPr>
      <w:tabs>
        <w:tab w:val="clear" w:pos="567"/>
      </w:tabs>
      <w:autoSpaceDE w:val="0"/>
      <w:autoSpaceDN w:val="0"/>
      <w:adjustRightInd w:val="0"/>
      <w:spacing w:line="240" w:lineRule="auto"/>
      <w:outlineLvl w:val="0"/>
    </w:pPr>
    <w:rPr>
      <w:b/>
      <w:bCs/>
      <w:sz w:val="17"/>
      <w:szCs w:val="17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1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uiPriority w:val="1"/>
    <w:qFormat/>
    <w:rsid w:val="00BB5A67"/>
    <w:pPr>
      <w:tabs>
        <w:tab w:val="clear" w:pos="567"/>
      </w:tabs>
      <w:spacing w:line="240" w:lineRule="auto"/>
    </w:pPr>
    <w:rPr>
      <w:szCs w:val="24"/>
      <w:lang w:bidi="ar-SA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5A67"/>
    <w:rPr>
      <w:rFonts w:eastAsia="Times New Roman"/>
      <w:sz w:val="22"/>
      <w:szCs w:val="24"/>
      <w:lang w:val="sk-SK" w:eastAsia="sk-SK"/>
    </w:rPr>
  </w:style>
  <w:style w:type="character" w:styleId="Hypertextovprepojenie">
    <w:name w:val="Hyperlink"/>
    <w:rsid w:val="00A071D6"/>
    <w:rPr>
      <w:color w:val="0000FF"/>
      <w:u w:val="single"/>
    </w:rPr>
  </w:style>
  <w:style w:type="paragraph" w:customStyle="1" w:styleId="TableParagraph">
    <w:name w:val="Table Paragraph"/>
    <w:basedOn w:val="Normlny"/>
    <w:uiPriority w:val="1"/>
    <w:qFormat/>
    <w:rsid w:val="00A071D6"/>
    <w:pPr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en-US" w:eastAsia="en-US" w:bidi="ar-SA"/>
    </w:rPr>
  </w:style>
  <w:style w:type="character" w:customStyle="1" w:styleId="Nadpis1Char1">
    <w:name w:val="Nadpis 1 Char1"/>
    <w:basedOn w:val="Predvolenpsmoodseku"/>
    <w:uiPriority w:val="9"/>
    <w:rsid w:val="004B4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sk-SK" w:bidi="sk-SK"/>
    </w:rPr>
  </w:style>
  <w:style w:type="paragraph" w:styleId="Odsekzoznamu">
    <w:name w:val="List Paragraph"/>
    <w:basedOn w:val="Normlny"/>
    <w:uiPriority w:val="1"/>
    <w:qFormat/>
    <w:rsid w:val="00DD33D2"/>
    <w:pPr>
      <w:ind w:left="720"/>
      <w:contextualSpacing/>
    </w:pPr>
  </w:style>
  <w:style w:type="paragraph" w:styleId="Textbubliny">
    <w:name w:val="Balloon Text"/>
    <w:basedOn w:val="Normlny"/>
    <w:link w:val="TextbublinyChar1"/>
    <w:uiPriority w:val="99"/>
    <w:rsid w:val="006C6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6C6667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customStyle="1" w:styleId="DocsubtitleAgency">
    <w:name w:val="Doc subtitle (Agency)"/>
    <w:basedOn w:val="Normlny"/>
    <w:next w:val="BodytextAgency"/>
    <w:qFormat/>
    <w:rsid w:val="00F27624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val="en-GB" w:eastAsia="en-GB" w:bidi="ar-SA"/>
    </w:rPr>
  </w:style>
  <w:style w:type="paragraph" w:styleId="Hlavika">
    <w:name w:val="header"/>
    <w:basedOn w:val="Normlny"/>
    <w:link w:val="HlavikaChar1"/>
    <w:uiPriority w:val="99"/>
    <w:unhideWhenUsed/>
    <w:rsid w:val="00D219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D21901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D219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D21901"/>
    <w:rPr>
      <w:rFonts w:eastAsia="Times New Roman"/>
      <w:sz w:val="22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263A3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A263A3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A263A3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A263A3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A263A3"/>
    <w:rPr>
      <w:rFonts w:eastAsia="Times New Roman"/>
      <w:b/>
      <w:bCs/>
      <w:lang w:val="sk-SK" w:eastAsia="sk-SK" w:bidi="sk-SK"/>
    </w:rPr>
  </w:style>
  <w:style w:type="paragraph" w:styleId="Revzia">
    <w:name w:val="Revision"/>
    <w:hidden/>
    <w:uiPriority w:val="99"/>
    <w:semiHidden/>
    <w:rsid w:val="008E13EB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5F67-E751-4052-9744-4B33DBCB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13</Pages>
  <Words>4952</Words>
  <Characters>30873</Characters>
  <Application>Microsoft Office Word</Application>
  <DocSecurity>0</DocSecurity>
  <Lines>257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35754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Bezeková, Kamila</cp:lastModifiedBy>
  <cp:revision>148</cp:revision>
  <cp:lastPrinted>2019-06-11T20:08:00Z</cp:lastPrinted>
  <dcterms:created xsi:type="dcterms:W3CDTF">2019-08-12T08:38:00Z</dcterms:created>
  <dcterms:modified xsi:type="dcterms:W3CDTF">2020-02-21T12:47:00Z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