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12BDA" w14:textId="77777777" w:rsidR="008C3F28" w:rsidRPr="006416C6" w:rsidRDefault="008C3F28" w:rsidP="00AF110C">
      <w:pPr>
        <w:pStyle w:val="Nadpis7"/>
      </w:pPr>
    </w:p>
    <w:p w14:paraId="64CC180B" w14:textId="77777777" w:rsidR="0027754C" w:rsidRPr="006416C6" w:rsidRDefault="0027754C" w:rsidP="00AF110C">
      <w:pPr>
        <w:pStyle w:val="Texttelo"/>
        <w:tabs>
          <w:tab w:val="left" w:pos="567"/>
        </w:tabs>
        <w:jc w:val="left"/>
        <w:rPr>
          <w:rFonts w:ascii="Times New Roman" w:hAnsi="Times New Roman"/>
          <w:b/>
          <w:color w:val="auto"/>
          <w:spacing w:val="0"/>
          <w:sz w:val="22"/>
          <w:szCs w:val="22"/>
          <w:lang w:val="sk-SK" w:eastAsia="sk-SK"/>
        </w:rPr>
      </w:pPr>
    </w:p>
    <w:p w14:paraId="04C353A3" w14:textId="77777777" w:rsidR="00CD3563" w:rsidRPr="00694DB8" w:rsidRDefault="00CD3563" w:rsidP="00AF110C">
      <w:pPr>
        <w:pStyle w:val="Texttelo"/>
        <w:tabs>
          <w:tab w:val="left" w:pos="567"/>
        </w:tabs>
        <w:jc w:val="center"/>
        <w:rPr>
          <w:rFonts w:ascii="Times New Roman" w:hAnsi="Times New Roman"/>
          <w:b/>
          <w:color w:val="auto"/>
          <w:spacing w:val="0"/>
          <w:sz w:val="22"/>
          <w:szCs w:val="22"/>
          <w:lang w:val="sk-SK" w:eastAsia="sk-SK"/>
        </w:rPr>
      </w:pPr>
      <w:r w:rsidRPr="00694DB8">
        <w:rPr>
          <w:rFonts w:ascii="Times New Roman" w:hAnsi="Times New Roman"/>
          <w:b/>
          <w:color w:val="auto"/>
          <w:spacing w:val="0"/>
          <w:sz w:val="22"/>
          <w:szCs w:val="22"/>
          <w:lang w:val="sk-SK" w:eastAsia="sk-SK"/>
        </w:rPr>
        <w:t>SÚHRN CHARAKTERISTICKÝCH VLASTNOSTÍ LIEKU</w:t>
      </w:r>
    </w:p>
    <w:p w14:paraId="546C4E6F" w14:textId="77777777" w:rsidR="00CD3563" w:rsidRPr="00694DB8" w:rsidRDefault="00CD3563" w:rsidP="00AF110C">
      <w:pPr>
        <w:pStyle w:val="Texttelo"/>
        <w:tabs>
          <w:tab w:val="left" w:pos="567"/>
        </w:tabs>
        <w:jc w:val="left"/>
        <w:rPr>
          <w:rFonts w:ascii="Times New Roman" w:hAnsi="Times New Roman"/>
          <w:sz w:val="22"/>
          <w:szCs w:val="22"/>
          <w:lang w:val="sk-SK"/>
        </w:rPr>
      </w:pPr>
    </w:p>
    <w:p w14:paraId="5A09D755" w14:textId="77777777" w:rsidR="00CD3563" w:rsidRPr="00694DB8" w:rsidRDefault="00CD3563" w:rsidP="00AF110C">
      <w:pPr>
        <w:pStyle w:val="Texttelo"/>
        <w:tabs>
          <w:tab w:val="left" w:pos="567"/>
        </w:tabs>
        <w:jc w:val="left"/>
        <w:rPr>
          <w:rFonts w:ascii="Times New Roman" w:hAnsi="Times New Roman"/>
          <w:sz w:val="22"/>
          <w:szCs w:val="22"/>
          <w:lang w:val="sk-SK"/>
        </w:rPr>
      </w:pPr>
    </w:p>
    <w:p w14:paraId="4696BE02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1.</w:t>
      </w:r>
      <w:r w:rsidRPr="00694DB8">
        <w:rPr>
          <w:b/>
          <w:szCs w:val="22"/>
        </w:rPr>
        <w:tab/>
        <w:t>NÁZOV LIEKU</w:t>
      </w:r>
    </w:p>
    <w:p w14:paraId="20041C4F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58BEC469" w14:textId="77777777" w:rsidR="000F599E" w:rsidRPr="00A30FFD" w:rsidRDefault="00F64284" w:rsidP="00AF110C">
      <w:pPr>
        <w:tabs>
          <w:tab w:val="left" w:pos="567"/>
        </w:tabs>
        <w:ind w:left="0" w:firstLine="0"/>
        <w:rPr>
          <w:szCs w:val="22"/>
        </w:rPr>
      </w:pPr>
      <w:r w:rsidRPr="00A30FFD">
        <w:rPr>
          <w:szCs w:val="22"/>
        </w:rPr>
        <w:t>Voltaren Rapid 25</w:t>
      </w:r>
      <w:r w:rsidR="00AF110C" w:rsidRPr="00A30FFD">
        <w:rPr>
          <w:szCs w:val="22"/>
        </w:rPr>
        <w:t> mg</w:t>
      </w:r>
    </w:p>
    <w:p w14:paraId="2981D573" w14:textId="77777777" w:rsidR="003A2E0D" w:rsidRPr="00694DB8" w:rsidRDefault="00D7424F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mäkké kapsuly</w:t>
      </w:r>
    </w:p>
    <w:p w14:paraId="74E6666E" w14:textId="77777777" w:rsidR="00285068" w:rsidRPr="00694DB8" w:rsidRDefault="00285068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45F47901" w14:textId="77777777" w:rsidR="007503CA" w:rsidRPr="00694DB8" w:rsidRDefault="007503CA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4ED2FCB2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2.</w:t>
      </w:r>
      <w:r w:rsidRPr="00694DB8">
        <w:rPr>
          <w:b/>
          <w:szCs w:val="22"/>
        </w:rPr>
        <w:tab/>
        <w:t>KVALITATÍVNE A KVANTITATÍVNE ZLOŽENIE</w:t>
      </w:r>
    </w:p>
    <w:p w14:paraId="0F3510A2" w14:textId="77777777" w:rsidR="00975BB0" w:rsidRPr="00694DB8" w:rsidRDefault="00975BB0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01CBD3C6" w14:textId="255794AC" w:rsidR="008D74B3" w:rsidRPr="00694DB8" w:rsidRDefault="001530B2" w:rsidP="00AF110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694DB8">
        <w:rPr>
          <w:szCs w:val="22"/>
          <w:lang w:val="sk-SK"/>
        </w:rPr>
        <w:t xml:space="preserve">Jedna </w:t>
      </w:r>
      <w:r w:rsidR="0027754C" w:rsidRPr="00694DB8">
        <w:rPr>
          <w:szCs w:val="22"/>
          <w:lang w:val="sk-SK"/>
        </w:rPr>
        <w:t xml:space="preserve">mäkká </w:t>
      </w:r>
      <w:r w:rsidR="0086603C" w:rsidRPr="00694DB8">
        <w:rPr>
          <w:szCs w:val="22"/>
          <w:lang w:val="sk-SK"/>
        </w:rPr>
        <w:t>kapsula</w:t>
      </w:r>
      <w:r w:rsidRPr="00694DB8">
        <w:rPr>
          <w:szCs w:val="22"/>
          <w:lang w:val="sk-SK"/>
        </w:rPr>
        <w:t xml:space="preserve"> </w:t>
      </w:r>
      <w:r w:rsidR="00F64284" w:rsidRPr="00694DB8">
        <w:rPr>
          <w:szCs w:val="22"/>
          <w:lang w:val="sk-SK"/>
        </w:rPr>
        <w:t>Voltaren Rapid 25</w:t>
      </w:r>
      <w:r w:rsidR="00AF110C" w:rsidRPr="00694DB8">
        <w:rPr>
          <w:szCs w:val="22"/>
          <w:lang w:val="sk-SK"/>
        </w:rPr>
        <w:t> mg</w:t>
      </w:r>
      <w:r w:rsidR="00B933B9" w:rsidRPr="00694DB8">
        <w:rPr>
          <w:szCs w:val="22"/>
          <w:lang w:val="sk-SK"/>
        </w:rPr>
        <w:t xml:space="preserve"> </w:t>
      </w:r>
      <w:r w:rsidRPr="00694DB8">
        <w:rPr>
          <w:szCs w:val="22"/>
          <w:lang w:val="sk-SK"/>
        </w:rPr>
        <w:t xml:space="preserve">obsahuje </w:t>
      </w:r>
      <w:r w:rsidR="0086603C" w:rsidRPr="00694DB8">
        <w:rPr>
          <w:szCs w:val="22"/>
          <w:lang w:val="sk-SK"/>
        </w:rPr>
        <w:t>25</w:t>
      </w:r>
      <w:r w:rsidR="00AF110C" w:rsidRPr="00694DB8">
        <w:rPr>
          <w:szCs w:val="22"/>
          <w:lang w:val="sk-SK"/>
        </w:rPr>
        <w:t> mg</w:t>
      </w:r>
      <w:r w:rsidRPr="00694DB8">
        <w:rPr>
          <w:szCs w:val="22"/>
          <w:lang w:val="sk-SK"/>
        </w:rPr>
        <w:t xml:space="preserve"> diklofenak</w:t>
      </w:r>
      <w:r w:rsidR="009B2E19">
        <w:rPr>
          <w:szCs w:val="22"/>
          <w:lang w:val="sk-SK"/>
        </w:rPr>
        <w:t>u</w:t>
      </w:r>
      <w:r w:rsidR="00E174AD" w:rsidRPr="00694DB8">
        <w:rPr>
          <w:szCs w:val="22"/>
          <w:lang w:val="sk-SK"/>
        </w:rPr>
        <w:t>, draselnej soli</w:t>
      </w:r>
      <w:r w:rsidRPr="00694DB8">
        <w:rPr>
          <w:szCs w:val="22"/>
          <w:lang w:val="sk-SK"/>
        </w:rPr>
        <w:t xml:space="preserve">. </w:t>
      </w:r>
    </w:p>
    <w:p w14:paraId="0387F9E5" w14:textId="77777777" w:rsidR="00AF110C" w:rsidRPr="00694DB8" w:rsidRDefault="00AF110C" w:rsidP="00AF110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128A8B0E" w14:textId="77777777" w:rsidR="00CF1D9F" w:rsidRPr="00694DB8" w:rsidRDefault="00CF1D9F" w:rsidP="00AF110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694DB8">
        <w:rPr>
          <w:bCs/>
          <w:szCs w:val="22"/>
          <w:lang w:val="sk-SK"/>
        </w:rPr>
        <w:t>Pomocná látka so známym účinkom: sorbitol</w:t>
      </w:r>
      <w:r w:rsidR="00AF110C" w:rsidRPr="00694DB8">
        <w:rPr>
          <w:bCs/>
          <w:szCs w:val="22"/>
          <w:lang w:val="sk-SK"/>
        </w:rPr>
        <w:t>.</w:t>
      </w:r>
    </w:p>
    <w:p w14:paraId="68055FC8" w14:textId="77777777" w:rsidR="003C45E8" w:rsidRPr="00694DB8" w:rsidRDefault="003C45E8" w:rsidP="00AF110C">
      <w:pPr>
        <w:tabs>
          <w:tab w:val="left" w:pos="567"/>
        </w:tabs>
        <w:ind w:left="0" w:firstLine="0"/>
        <w:outlineLvl w:val="0"/>
        <w:rPr>
          <w:bCs/>
          <w:szCs w:val="22"/>
        </w:rPr>
      </w:pPr>
    </w:p>
    <w:p w14:paraId="31386618" w14:textId="77777777" w:rsidR="003A2E0D" w:rsidRPr="00F41B18" w:rsidRDefault="003A2E0D" w:rsidP="00AF110C">
      <w:pPr>
        <w:tabs>
          <w:tab w:val="left" w:pos="567"/>
        </w:tabs>
        <w:ind w:left="0" w:firstLine="0"/>
        <w:outlineLvl w:val="0"/>
        <w:rPr>
          <w:bCs/>
          <w:szCs w:val="22"/>
        </w:rPr>
      </w:pPr>
      <w:r w:rsidRPr="00F41B18">
        <w:rPr>
          <w:bCs/>
          <w:szCs w:val="22"/>
        </w:rPr>
        <w:t>Úplný zoznam pomocných látok, pozri časť 6.1.</w:t>
      </w:r>
    </w:p>
    <w:p w14:paraId="5BB16E33" w14:textId="77777777" w:rsidR="003A2E0D" w:rsidRPr="00694DB8" w:rsidRDefault="003A2E0D" w:rsidP="00AF110C">
      <w:pPr>
        <w:tabs>
          <w:tab w:val="left" w:pos="567"/>
        </w:tabs>
        <w:ind w:left="0" w:firstLine="0"/>
        <w:rPr>
          <w:szCs w:val="22"/>
        </w:rPr>
      </w:pPr>
    </w:p>
    <w:p w14:paraId="40DD7F4E" w14:textId="77777777" w:rsidR="003A2E0D" w:rsidRPr="00694DB8" w:rsidRDefault="003A2E0D" w:rsidP="00AF110C">
      <w:pPr>
        <w:tabs>
          <w:tab w:val="left" w:pos="567"/>
        </w:tabs>
        <w:ind w:left="0" w:firstLine="0"/>
        <w:rPr>
          <w:szCs w:val="22"/>
        </w:rPr>
      </w:pPr>
    </w:p>
    <w:p w14:paraId="0C69B8F1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caps/>
          <w:szCs w:val="22"/>
        </w:rPr>
      </w:pPr>
      <w:r w:rsidRPr="00694DB8">
        <w:rPr>
          <w:b/>
          <w:szCs w:val="22"/>
        </w:rPr>
        <w:t>3.</w:t>
      </w:r>
      <w:r w:rsidRPr="00694DB8">
        <w:rPr>
          <w:b/>
          <w:szCs w:val="22"/>
        </w:rPr>
        <w:tab/>
        <w:t>LIEKOVÁ FORMA</w:t>
      </w:r>
    </w:p>
    <w:p w14:paraId="4EE8B4B7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5069AF0A" w14:textId="77777777" w:rsidR="00EF4189" w:rsidRPr="00694DB8" w:rsidRDefault="00EF4189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Mäkká kapsula</w:t>
      </w:r>
      <w:r w:rsidR="00057805" w:rsidRPr="00694DB8">
        <w:rPr>
          <w:szCs w:val="22"/>
        </w:rPr>
        <w:t>.</w:t>
      </w:r>
    </w:p>
    <w:p w14:paraId="016CF551" w14:textId="77777777" w:rsidR="00EF4189" w:rsidRPr="00694DB8" w:rsidRDefault="00EF4189" w:rsidP="00AF110C">
      <w:pPr>
        <w:tabs>
          <w:tab w:val="left" w:pos="567"/>
        </w:tabs>
        <w:ind w:left="0" w:firstLine="0"/>
        <w:rPr>
          <w:szCs w:val="22"/>
        </w:rPr>
      </w:pPr>
    </w:p>
    <w:p w14:paraId="4C0BE05E" w14:textId="536E17EC" w:rsidR="0086603C" w:rsidRPr="00694DB8" w:rsidRDefault="0086603C" w:rsidP="00AF110C">
      <w:pPr>
        <w:tabs>
          <w:tab w:val="left" w:pos="567"/>
        </w:tabs>
        <w:ind w:left="0" w:firstLine="0"/>
        <w:jc w:val="both"/>
        <w:rPr>
          <w:b/>
          <w:color w:val="000000"/>
          <w:szCs w:val="22"/>
        </w:rPr>
      </w:pPr>
      <w:r w:rsidRPr="00694DB8">
        <w:rPr>
          <w:color w:val="000000"/>
          <w:szCs w:val="22"/>
        </w:rPr>
        <w:t>Oválne p</w:t>
      </w:r>
      <w:r w:rsidR="00C65E0A" w:rsidRPr="00694DB8">
        <w:rPr>
          <w:color w:val="000000"/>
          <w:szCs w:val="22"/>
        </w:rPr>
        <w:t>r</w:t>
      </w:r>
      <w:r w:rsidRPr="00694DB8">
        <w:rPr>
          <w:color w:val="000000"/>
          <w:szCs w:val="22"/>
        </w:rPr>
        <w:t xml:space="preserve">iehľadné mäkké </w:t>
      </w:r>
      <w:r w:rsidR="000E0556">
        <w:rPr>
          <w:color w:val="000000"/>
          <w:szCs w:val="22"/>
        </w:rPr>
        <w:t xml:space="preserve">želatínové </w:t>
      </w:r>
      <w:r w:rsidRPr="00694DB8">
        <w:rPr>
          <w:color w:val="000000"/>
          <w:szCs w:val="22"/>
        </w:rPr>
        <w:t>kapsuly</w:t>
      </w:r>
      <w:bookmarkStart w:id="0" w:name="_Hlk9568253"/>
      <w:r w:rsidR="000E0556">
        <w:rPr>
          <w:color w:val="000000"/>
          <w:szCs w:val="22"/>
        </w:rPr>
        <w:t xml:space="preserve"> žltej farby. </w:t>
      </w:r>
      <w:r w:rsidR="000E0556" w:rsidRPr="002255BD">
        <w:rPr>
          <w:rFonts w:cstheme="minorHAnsi"/>
          <w:lang w:val="cs-CZ"/>
        </w:rPr>
        <w:t>V</w:t>
      </w:r>
      <w:r w:rsidR="000E0556">
        <w:rPr>
          <w:rFonts w:cstheme="minorHAnsi"/>
          <w:lang w:val="cs-CZ"/>
        </w:rPr>
        <w:t> kapsuliach môžu byť viditeľné</w:t>
      </w:r>
      <w:r w:rsidR="000E0556" w:rsidRPr="002255BD">
        <w:rPr>
          <w:rFonts w:cstheme="minorHAnsi"/>
          <w:spacing w:val="1"/>
          <w:lang w:val="cs-CZ"/>
        </w:rPr>
        <w:t xml:space="preserve"> </w:t>
      </w:r>
      <w:r w:rsidR="000E0556" w:rsidRPr="002255BD">
        <w:rPr>
          <w:rFonts w:cstheme="minorHAnsi"/>
          <w:spacing w:val="-6"/>
          <w:lang w:val="cs-CZ"/>
        </w:rPr>
        <w:t>m</w:t>
      </w:r>
      <w:r w:rsidR="000E0556" w:rsidRPr="002255BD">
        <w:rPr>
          <w:rFonts w:cstheme="minorHAnsi"/>
          <w:lang w:val="cs-CZ"/>
        </w:rPr>
        <w:t>a</w:t>
      </w:r>
      <w:r w:rsidR="000E0556" w:rsidRPr="002255BD">
        <w:rPr>
          <w:rFonts w:cstheme="minorHAnsi"/>
          <w:spacing w:val="1"/>
          <w:lang w:val="cs-CZ"/>
        </w:rPr>
        <w:t>l</w:t>
      </w:r>
      <w:r w:rsidR="000E0556" w:rsidRPr="002255BD">
        <w:rPr>
          <w:rFonts w:cstheme="minorHAnsi"/>
          <w:lang w:val="cs-CZ"/>
        </w:rPr>
        <w:t>é bu</w:t>
      </w:r>
      <w:r w:rsidR="000E0556" w:rsidRPr="002255BD">
        <w:rPr>
          <w:rFonts w:cstheme="minorHAnsi"/>
          <w:spacing w:val="-2"/>
          <w:lang w:val="cs-CZ"/>
        </w:rPr>
        <w:t>b</w:t>
      </w:r>
      <w:r w:rsidR="000E0556" w:rsidRPr="002255BD">
        <w:rPr>
          <w:rFonts w:cstheme="minorHAnsi"/>
          <w:spacing w:val="1"/>
          <w:lang w:val="cs-CZ"/>
        </w:rPr>
        <w:t>li</w:t>
      </w:r>
      <w:r w:rsidR="000E0556" w:rsidRPr="002255BD">
        <w:rPr>
          <w:rFonts w:cstheme="minorHAnsi"/>
          <w:lang w:val="cs-CZ"/>
        </w:rPr>
        <w:t>n</w:t>
      </w:r>
      <w:r w:rsidR="000E0556" w:rsidRPr="002255BD">
        <w:rPr>
          <w:rFonts w:cstheme="minorHAnsi"/>
          <w:spacing w:val="-5"/>
          <w:lang w:val="cs-CZ"/>
        </w:rPr>
        <w:t>y</w:t>
      </w:r>
      <w:bookmarkEnd w:id="0"/>
      <w:r w:rsidR="00A726CB" w:rsidRPr="00694DB8">
        <w:rPr>
          <w:color w:val="000000"/>
          <w:szCs w:val="22"/>
        </w:rPr>
        <w:t>.</w:t>
      </w:r>
      <w:r w:rsidRPr="00694DB8">
        <w:rPr>
          <w:color w:val="000000"/>
          <w:szCs w:val="22"/>
        </w:rPr>
        <w:t xml:space="preserve"> </w:t>
      </w:r>
    </w:p>
    <w:p w14:paraId="7EAB5BF9" w14:textId="77777777" w:rsidR="002F4750" w:rsidRPr="00694DB8" w:rsidRDefault="002F4750" w:rsidP="00AF110C">
      <w:pPr>
        <w:tabs>
          <w:tab w:val="left" w:pos="567"/>
        </w:tabs>
        <w:ind w:left="0" w:firstLine="0"/>
        <w:rPr>
          <w:szCs w:val="22"/>
        </w:rPr>
      </w:pPr>
    </w:p>
    <w:p w14:paraId="0EF4655B" w14:textId="77777777" w:rsidR="003A2E0D" w:rsidRPr="00694DB8" w:rsidRDefault="003A2E0D" w:rsidP="00AF110C">
      <w:pPr>
        <w:tabs>
          <w:tab w:val="left" w:pos="567"/>
        </w:tabs>
        <w:ind w:left="0" w:firstLine="0"/>
        <w:rPr>
          <w:szCs w:val="22"/>
        </w:rPr>
      </w:pPr>
    </w:p>
    <w:p w14:paraId="50E11E50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caps/>
          <w:szCs w:val="22"/>
        </w:rPr>
      </w:pPr>
      <w:r w:rsidRPr="00694DB8">
        <w:rPr>
          <w:b/>
          <w:caps/>
          <w:szCs w:val="22"/>
        </w:rPr>
        <w:t>4.</w:t>
      </w:r>
      <w:r w:rsidRPr="00694DB8">
        <w:rPr>
          <w:b/>
          <w:caps/>
          <w:szCs w:val="22"/>
        </w:rPr>
        <w:tab/>
        <w:t>KLINICKÉ ÚDAJE</w:t>
      </w:r>
    </w:p>
    <w:p w14:paraId="6754BD20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38E85B34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694DB8">
        <w:rPr>
          <w:b/>
          <w:szCs w:val="22"/>
        </w:rPr>
        <w:t>4.1</w:t>
      </w:r>
      <w:r w:rsidRPr="00694DB8">
        <w:rPr>
          <w:b/>
          <w:szCs w:val="22"/>
        </w:rPr>
        <w:tab/>
        <w:t>Terapeutické indikácie</w:t>
      </w:r>
    </w:p>
    <w:p w14:paraId="44FFA6EB" w14:textId="77777777" w:rsidR="0028015C" w:rsidRPr="00694DB8" w:rsidRDefault="0028015C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11EFE820" w14:textId="7EF0BF1F" w:rsidR="004152A8" w:rsidRDefault="00533512" w:rsidP="00AF110C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 w:eastAsia="sk-SK"/>
        </w:rPr>
      </w:pPr>
      <w:r w:rsidRPr="00694DB8">
        <w:rPr>
          <w:sz w:val="22"/>
          <w:szCs w:val="22"/>
          <w:lang w:val="sk-SK" w:eastAsia="sk-SK"/>
        </w:rPr>
        <w:t>Ú</w:t>
      </w:r>
      <w:r w:rsidR="00D5779C" w:rsidRPr="00694DB8">
        <w:rPr>
          <w:sz w:val="22"/>
          <w:szCs w:val="22"/>
          <w:lang w:val="sk-SK" w:eastAsia="sk-SK"/>
        </w:rPr>
        <w:t>ľava od</w:t>
      </w:r>
      <w:r w:rsidR="002F4750" w:rsidRPr="00694DB8">
        <w:rPr>
          <w:sz w:val="22"/>
          <w:szCs w:val="22"/>
          <w:lang w:val="sk-SK" w:eastAsia="sk-SK"/>
        </w:rPr>
        <w:t xml:space="preserve"> </w:t>
      </w:r>
      <w:r w:rsidR="0086603C" w:rsidRPr="00694DB8">
        <w:rPr>
          <w:sz w:val="22"/>
          <w:szCs w:val="22"/>
          <w:lang w:val="sk-SK" w:eastAsia="sk-SK"/>
        </w:rPr>
        <w:t>bolestivých stavov</w:t>
      </w:r>
      <w:r w:rsidR="00AF110C" w:rsidRPr="00694DB8">
        <w:rPr>
          <w:sz w:val="22"/>
          <w:szCs w:val="22"/>
          <w:lang w:val="sk-SK" w:eastAsia="sk-SK"/>
        </w:rPr>
        <w:t>,</w:t>
      </w:r>
      <w:r w:rsidR="0086603C" w:rsidRPr="00694DB8">
        <w:rPr>
          <w:sz w:val="22"/>
          <w:szCs w:val="22"/>
          <w:lang w:val="sk-SK" w:eastAsia="sk-SK"/>
        </w:rPr>
        <w:t xml:space="preserve"> ako </w:t>
      </w:r>
      <w:r w:rsidRPr="00694DB8">
        <w:rPr>
          <w:sz w:val="22"/>
          <w:szCs w:val="22"/>
          <w:lang w:val="sk-SK" w:eastAsia="sk-SK"/>
        </w:rPr>
        <w:t>sú svalová bolesť, reumatická bolesť,</w:t>
      </w:r>
      <w:r w:rsidR="004152A8">
        <w:rPr>
          <w:sz w:val="22"/>
          <w:szCs w:val="22"/>
          <w:lang w:val="sk-SK" w:eastAsia="sk-SK"/>
        </w:rPr>
        <w:t xml:space="preserve"> </w:t>
      </w:r>
      <w:r w:rsidRPr="00694DB8">
        <w:rPr>
          <w:sz w:val="22"/>
          <w:szCs w:val="22"/>
          <w:lang w:val="sk-SK" w:eastAsia="sk-SK"/>
        </w:rPr>
        <w:t xml:space="preserve">bolesť chrbta, </w:t>
      </w:r>
      <w:r w:rsidR="0086603C" w:rsidRPr="00694DB8">
        <w:rPr>
          <w:sz w:val="22"/>
          <w:szCs w:val="22"/>
          <w:lang w:val="sk-SK" w:eastAsia="sk-SK"/>
        </w:rPr>
        <w:t>boles</w:t>
      </w:r>
      <w:r w:rsidR="00E84562" w:rsidRPr="00694DB8">
        <w:rPr>
          <w:sz w:val="22"/>
          <w:szCs w:val="22"/>
          <w:lang w:val="sk-SK" w:eastAsia="sk-SK"/>
        </w:rPr>
        <w:t>ť hlavy</w:t>
      </w:r>
      <w:r w:rsidR="0086603C" w:rsidRPr="00694DB8">
        <w:rPr>
          <w:sz w:val="22"/>
          <w:szCs w:val="22"/>
          <w:lang w:val="sk-SK" w:eastAsia="sk-SK"/>
        </w:rPr>
        <w:t xml:space="preserve">, </w:t>
      </w:r>
      <w:r w:rsidRPr="00694DB8">
        <w:rPr>
          <w:sz w:val="22"/>
          <w:szCs w:val="22"/>
          <w:lang w:val="sk-SK" w:eastAsia="sk-SK"/>
        </w:rPr>
        <w:t>bolesť zubov a</w:t>
      </w:r>
      <w:r w:rsidR="00044C76">
        <w:rPr>
          <w:sz w:val="22"/>
          <w:szCs w:val="22"/>
          <w:lang w:val="sk-SK" w:eastAsia="sk-SK"/>
        </w:rPr>
        <w:t xml:space="preserve"> </w:t>
      </w:r>
      <w:r w:rsidR="00044C76">
        <w:rPr>
          <w:color w:val="auto"/>
          <w:sz w:val="22"/>
          <w:szCs w:val="22"/>
          <w:lang w:val="sk-SK" w:eastAsia="sk-SK"/>
        </w:rPr>
        <w:t>dysmenorea</w:t>
      </w:r>
      <w:r w:rsidR="0027754C" w:rsidRPr="00694DB8">
        <w:rPr>
          <w:sz w:val="22"/>
          <w:szCs w:val="22"/>
          <w:lang w:val="sk-SK" w:eastAsia="sk-SK"/>
        </w:rPr>
        <w:t xml:space="preserve">. </w:t>
      </w:r>
    </w:p>
    <w:p w14:paraId="47A9961D" w14:textId="77777777" w:rsidR="004152A8" w:rsidRDefault="004152A8" w:rsidP="00AF110C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 w:eastAsia="sk-SK"/>
        </w:rPr>
      </w:pPr>
    </w:p>
    <w:p w14:paraId="1EB354B9" w14:textId="3F1E29A6" w:rsidR="007A4E1A" w:rsidRPr="00694DB8" w:rsidRDefault="00D5779C" w:rsidP="00AF110C">
      <w:pPr>
        <w:pStyle w:val="Text"/>
        <w:tabs>
          <w:tab w:val="left" w:pos="567"/>
        </w:tabs>
        <w:spacing w:before="0"/>
        <w:jc w:val="left"/>
        <w:rPr>
          <w:sz w:val="22"/>
          <w:szCs w:val="22"/>
          <w:lang w:val="sk-SK" w:eastAsia="sk-SK"/>
        </w:rPr>
      </w:pPr>
      <w:r w:rsidRPr="00694DB8">
        <w:rPr>
          <w:sz w:val="22"/>
          <w:szCs w:val="22"/>
          <w:lang w:val="sk-SK" w:eastAsia="sk-SK"/>
        </w:rPr>
        <w:t>Úľava od</w:t>
      </w:r>
      <w:r w:rsidR="003E650F" w:rsidRPr="00694DB8">
        <w:rPr>
          <w:sz w:val="22"/>
          <w:szCs w:val="22"/>
          <w:lang w:val="sk-SK" w:eastAsia="sk-SK"/>
        </w:rPr>
        <w:t xml:space="preserve"> symptómov prechladnutia a</w:t>
      </w:r>
      <w:r w:rsidR="0027754C" w:rsidRPr="00694DB8">
        <w:rPr>
          <w:sz w:val="22"/>
          <w:szCs w:val="22"/>
          <w:lang w:val="sk-SK" w:eastAsia="sk-SK"/>
        </w:rPr>
        <w:t> </w:t>
      </w:r>
      <w:r w:rsidR="003E650F" w:rsidRPr="00694DB8">
        <w:rPr>
          <w:sz w:val="22"/>
          <w:szCs w:val="22"/>
          <w:lang w:val="sk-SK" w:eastAsia="sk-SK"/>
        </w:rPr>
        <w:t>chrípky</w:t>
      </w:r>
      <w:r w:rsidR="00A9372A" w:rsidRPr="00694DB8">
        <w:rPr>
          <w:sz w:val="22"/>
          <w:szCs w:val="22"/>
          <w:lang w:val="sk-SK" w:eastAsia="sk-SK"/>
        </w:rPr>
        <w:t xml:space="preserve"> zahŕňajúcich</w:t>
      </w:r>
      <w:r w:rsidR="00564747" w:rsidRPr="00694DB8">
        <w:rPr>
          <w:sz w:val="22"/>
          <w:szCs w:val="22"/>
          <w:lang w:val="sk-SK" w:eastAsia="sk-SK"/>
        </w:rPr>
        <w:t xml:space="preserve"> </w:t>
      </w:r>
      <w:r w:rsidR="00A9372A" w:rsidRPr="00694DB8">
        <w:rPr>
          <w:sz w:val="22"/>
          <w:szCs w:val="22"/>
          <w:lang w:val="sk-SK" w:eastAsia="sk-SK"/>
        </w:rPr>
        <w:t>bolesť</w:t>
      </w:r>
      <w:r w:rsidR="0027754C" w:rsidRPr="00694DB8">
        <w:rPr>
          <w:sz w:val="22"/>
          <w:szCs w:val="22"/>
          <w:lang w:val="sk-SK" w:eastAsia="sk-SK"/>
        </w:rPr>
        <w:t xml:space="preserve"> a </w:t>
      </w:r>
      <w:r w:rsidR="003D44E9" w:rsidRPr="00694DB8">
        <w:rPr>
          <w:sz w:val="22"/>
          <w:szCs w:val="22"/>
          <w:lang w:val="sk-SK" w:eastAsia="sk-SK"/>
        </w:rPr>
        <w:t>škriabanie</w:t>
      </w:r>
      <w:r w:rsidR="00AF110C" w:rsidRPr="00694DB8">
        <w:rPr>
          <w:sz w:val="22"/>
          <w:szCs w:val="22"/>
          <w:lang w:val="sk-SK" w:eastAsia="sk-SK"/>
        </w:rPr>
        <w:t xml:space="preserve"> v </w:t>
      </w:r>
      <w:r w:rsidR="003D44E9" w:rsidRPr="00694DB8">
        <w:rPr>
          <w:sz w:val="22"/>
          <w:szCs w:val="22"/>
          <w:lang w:val="sk-SK" w:eastAsia="sk-SK"/>
        </w:rPr>
        <w:t>hrdle</w:t>
      </w:r>
      <w:r w:rsidR="009B7802">
        <w:rPr>
          <w:sz w:val="22"/>
          <w:szCs w:val="22"/>
          <w:lang w:val="sk-SK" w:eastAsia="sk-SK"/>
        </w:rPr>
        <w:t xml:space="preserve"> a</w:t>
      </w:r>
      <w:r w:rsidR="0027754C" w:rsidRPr="00694DB8">
        <w:rPr>
          <w:sz w:val="22"/>
          <w:szCs w:val="22"/>
          <w:lang w:val="sk-SK" w:eastAsia="sk-SK"/>
        </w:rPr>
        <w:t xml:space="preserve"> </w:t>
      </w:r>
      <w:r w:rsidR="00564747" w:rsidRPr="00694DB8">
        <w:rPr>
          <w:sz w:val="22"/>
          <w:szCs w:val="22"/>
          <w:lang w:val="sk-SK" w:eastAsia="sk-SK"/>
        </w:rPr>
        <w:t>iné sprievodné bolesti</w:t>
      </w:r>
      <w:r w:rsidR="00C44F48">
        <w:rPr>
          <w:sz w:val="22"/>
          <w:szCs w:val="22"/>
          <w:lang w:val="sk-SK" w:eastAsia="sk-SK"/>
        </w:rPr>
        <w:t>. Zn</w:t>
      </w:r>
      <w:r w:rsidR="003967A8">
        <w:rPr>
          <w:sz w:val="22"/>
          <w:szCs w:val="22"/>
          <w:lang w:val="sk-SK" w:eastAsia="sk-SK"/>
        </w:rPr>
        <w:t>í</w:t>
      </w:r>
      <w:r w:rsidR="00C44F48">
        <w:rPr>
          <w:sz w:val="22"/>
          <w:szCs w:val="22"/>
          <w:lang w:val="sk-SK" w:eastAsia="sk-SK"/>
        </w:rPr>
        <w:t>ž</w:t>
      </w:r>
      <w:r w:rsidR="00E602D6">
        <w:rPr>
          <w:sz w:val="22"/>
          <w:szCs w:val="22"/>
          <w:lang w:val="sk-SK" w:eastAsia="sk-SK"/>
        </w:rPr>
        <w:t>enie</w:t>
      </w:r>
      <w:r w:rsidR="003E650F" w:rsidRPr="00694DB8">
        <w:rPr>
          <w:sz w:val="22"/>
          <w:szCs w:val="22"/>
          <w:lang w:val="sk-SK" w:eastAsia="sk-SK"/>
        </w:rPr>
        <w:t xml:space="preserve"> horúčk</w:t>
      </w:r>
      <w:r w:rsidR="00E602D6">
        <w:rPr>
          <w:sz w:val="22"/>
          <w:szCs w:val="22"/>
          <w:lang w:val="sk-SK" w:eastAsia="sk-SK"/>
        </w:rPr>
        <w:t>y</w:t>
      </w:r>
      <w:r w:rsidR="003E650F" w:rsidRPr="00694DB8">
        <w:rPr>
          <w:sz w:val="22"/>
          <w:szCs w:val="22"/>
          <w:lang w:val="sk-SK" w:eastAsia="sk-SK"/>
        </w:rPr>
        <w:t xml:space="preserve">. </w:t>
      </w:r>
      <w:r w:rsidR="00C44F48">
        <w:rPr>
          <w:sz w:val="22"/>
          <w:szCs w:val="22"/>
          <w:lang w:val="sk-SK" w:eastAsia="sk-SK"/>
        </w:rPr>
        <w:t xml:space="preserve"> </w:t>
      </w:r>
    </w:p>
    <w:p w14:paraId="60C5FE65" w14:textId="77777777" w:rsidR="00C94ED9" w:rsidRPr="00694DB8" w:rsidRDefault="00C94ED9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26BD4395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4.2</w:t>
      </w:r>
      <w:r w:rsidRPr="00694DB8">
        <w:rPr>
          <w:b/>
          <w:szCs w:val="22"/>
        </w:rPr>
        <w:tab/>
        <w:t>Dávkovanie a spôsob podávania</w:t>
      </w:r>
    </w:p>
    <w:p w14:paraId="45D66B44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4DDDFC20" w14:textId="77777777" w:rsidR="00A6670A" w:rsidRPr="00694DB8" w:rsidRDefault="00A6670A" w:rsidP="00AF110C">
      <w:pPr>
        <w:keepNext/>
        <w:tabs>
          <w:tab w:val="left" w:pos="567"/>
        </w:tabs>
        <w:rPr>
          <w:b/>
          <w:szCs w:val="22"/>
          <w:u w:val="single"/>
        </w:rPr>
      </w:pPr>
      <w:r w:rsidRPr="00694DB8">
        <w:rPr>
          <w:b/>
          <w:szCs w:val="22"/>
          <w:u w:val="single"/>
        </w:rPr>
        <w:t>Dávkovanie</w:t>
      </w:r>
    </w:p>
    <w:p w14:paraId="581E2B18" w14:textId="77777777" w:rsidR="00A6670A" w:rsidRPr="00F41B18" w:rsidRDefault="00A6670A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Vedľajšie účinky môžu byť minimalizované použitím najnižšej účinnej dávky</w:t>
      </w:r>
      <w:r w:rsidR="00AF110C" w:rsidRPr="00F41B18">
        <w:rPr>
          <w:bCs/>
          <w:szCs w:val="22"/>
        </w:rPr>
        <w:t xml:space="preserve"> v </w:t>
      </w:r>
      <w:r w:rsidRPr="00F41B18">
        <w:rPr>
          <w:bCs/>
          <w:szCs w:val="22"/>
        </w:rPr>
        <w:t>najkratšom čase potrebnom na kontrolu symptómov (pozri časť 4.4).</w:t>
      </w:r>
    </w:p>
    <w:p w14:paraId="18681EE6" w14:textId="77777777" w:rsidR="00A6670A" w:rsidRPr="00694DB8" w:rsidRDefault="00A6670A" w:rsidP="00AF110C">
      <w:pPr>
        <w:tabs>
          <w:tab w:val="left" w:pos="567"/>
        </w:tabs>
        <w:ind w:left="0" w:firstLine="0"/>
        <w:rPr>
          <w:szCs w:val="22"/>
        </w:rPr>
      </w:pPr>
    </w:p>
    <w:p w14:paraId="6D761599" w14:textId="77777777" w:rsidR="008D74B3" w:rsidRPr="00694DB8" w:rsidRDefault="008D74B3" w:rsidP="00AF110C">
      <w:pPr>
        <w:keepNext/>
        <w:tabs>
          <w:tab w:val="left" w:pos="567"/>
        </w:tabs>
        <w:ind w:left="0" w:firstLine="0"/>
        <w:rPr>
          <w:i/>
          <w:szCs w:val="22"/>
          <w:u w:val="single"/>
        </w:rPr>
      </w:pPr>
      <w:r w:rsidRPr="00694DB8">
        <w:rPr>
          <w:i/>
          <w:szCs w:val="22"/>
          <w:u w:val="single"/>
        </w:rPr>
        <w:t>Dospelí</w:t>
      </w:r>
      <w:r w:rsidR="002013F3" w:rsidRPr="00694DB8">
        <w:rPr>
          <w:i/>
          <w:szCs w:val="22"/>
          <w:u w:val="single"/>
        </w:rPr>
        <w:t xml:space="preserve"> a </w:t>
      </w:r>
      <w:r w:rsidR="00E174AD" w:rsidRPr="00694DB8">
        <w:rPr>
          <w:i/>
          <w:szCs w:val="22"/>
          <w:u w:val="single"/>
        </w:rPr>
        <w:t>dospievajúci</w:t>
      </w:r>
      <w:r w:rsidR="00713969" w:rsidRPr="00694DB8">
        <w:rPr>
          <w:i/>
          <w:szCs w:val="22"/>
          <w:u w:val="single"/>
        </w:rPr>
        <w:t xml:space="preserve"> </w:t>
      </w:r>
      <w:r w:rsidR="00C05260" w:rsidRPr="00694DB8">
        <w:rPr>
          <w:i/>
          <w:szCs w:val="22"/>
          <w:u w:val="single"/>
        </w:rPr>
        <w:t xml:space="preserve">od </w:t>
      </w:r>
      <w:r w:rsidR="002013F3" w:rsidRPr="00694DB8">
        <w:rPr>
          <w:i/>
          <w:szCs w:val="22"/>
          <w:u w:val="single"/>
        </w:rPr>
        <w:t>14 rokov</w:t>
      </w:r>
      <w:r w:rsidRPr="00694DB8">
        <w:rPr>
          <w:i/>
          <w:szCs w:val="22"/>
          <w:u w:val="single"/>
        </w:rPr>
        <w:t xml:space="preserve"> </w:t>
      </w:r>
    </w:p>
    <w:p w14:paraId="662789B0" w14:textId="77777777" w:rsidR="00AF65BD" w:rsidRPr="00694DB8" w:rsidRDefault="00A30853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Jedna mäkká kapsula p</w:t>
      </w:r>
      <w:r w:rsidR="003D44E9" w:rsidRPr="00694DB8">
        <w:rPr>
          <w:szCs w:val="22"/>
        </w:rPr>
        <w:t>o objavení sa príznakov</w:t>
      </w:r>
      <w:r w:rsidR="001A7CF5" w:rsidRPr="00694DB8">
        <w:rPr>
          <w:szCs w:val="22"/>
        </w:rPr>
        <w:t>,</w:t>
      </w:r>
      <w:r w:rsidR="003E650F" w:rsidRPr="00694DB8">
        <w:rPr>
          <w:szCs w:val="22"/>
        </w:rPr>
        <w:t xml:space="preserve"> potom môž</w:t>
      </w:r>
      <w:r w:rsidR="003D44E9" w:rsidRPr="00694DB8">
        <w:rPr>
          <w:szCs w:val="22"/>
        </w:rPr>
        <w:t>e</w:t>
      </w:r>
      <w:r w:rsidR="003E650F" w:rsidRPr="00694DB8">
        <w:rPr>
          <w:szCs w:val="22"/>
        </w:rPr>
        <w:t xml:space="preserve"> nasledovať </w:t>
      </w:r>
      <w:r w:rsidR="003D44E9" w:rsidRPr="00694DB8">
        <w:rPr>
          <w:szCs w:val="22"/>
        </w:rPr>
        <w:t>ďalšia mäkká</w:t>
      </w:r>
      <w:r w:rsidR="003E650F" w:rsidRPr="00694DB8">
        <w:rPr>
          <w:szCs w:val="22"/>
        </w:rPr>
        <w:t xml:space="preserve"> </w:t>
      </w:r>
      <w:r w:rsidR="005E4F5A" w:rsidRPr="00694DB8">
        <w:rPr>
          <w:szCs w:val="22"/>
        </w:rPr>
        <w:t>ka</w:t>
      </w:r>
      <w:r w:rsidR="003E650F" w:rsidRPr="00694DB8">
        <w:rPr>
          <w:szCs w:val="22"/>
        </w:rPr>
        <w:t>psul</w:t>
      </w:r>
      <w:r w:rsidR="00356A6D" w:rsidRPr="00694DB8">
        <w:rPr>
          <w:szCs w:val="22"/>
        </w:rPr>
        <w:t>a</w:t>
      </w:r>
      <w:r w:rsidR="00AF110C" w:rsidRPr="00F41B18">
        <w:rPr>
          <w:szCs w:val="22"/>
        </w:rPr>
        <w:t xml:space="preserve"> s </w:t>
      </w:r>
      <w:r w:rsidR="001A7CF5" w:rsidRPr="00F41B18">
        <w:rPr>
          <w:szCs w:val="22"/>
        </w:rPr>
        <w:t>minimálnym odstupom</w:t>
      </w:r>
      <w:r w:rsidR="004303BD" w:rsidRPr="00F41B18">
        <w:rPr>
          <w:szCs w:val="22"/>
        </w:rPr>
        <w:t xml:space="preserve"> </w:t>
      </w:r>
      <w:r w:rsidR="002013F3" w:rsidRPr="00694DB8">
        <w:rPr>
          <w:szCs w:val="22"/>
        </w:rPr>
        <w:t>4 až 6</w:t>
      </w:r>
      <w:r w:rsidR="00AF110C" w:rsidRPr="00694DB8">
        <w:rPr>
          <w:szCs w:val="22"/>
        </w:rPr>
        <w:t> </w:t>
      </w:r>
      <w:r w:rsidR="002013F3" w:rsidRPr="00694DB8">
        <w:rPr>
          <w:szCs w:val="22"/>
        </w:rPr>
        <w:t>hod</w:t>
      </w:r>
      <w:r w:rsidR="003E650F" w:rsidRPr="00694DB8">
        <w:rPr>
          <w:szCs w:val="22"/>
        </w:rPr>
        <w:t>ín podľa potreby</w:t>
      </w:r>
      <w:r w:rsidR="002013F3" w:rsidRPr="00694DB8">
        <w:rPr>
          <w:szCs w:val="22"/>
        </w:rPr>
        <w:t>.</w:t>
      </w:r>
      <w:r w:rsidR="00AF110C" w:rsidRPr="00694DB8">
        <w:rPr>
          <w:szCs w:val="22"/>
        </w:rPr>
        <w:t xml:space="preserve"> V </w:t>
      </w:r>
      <w:r w:rsidR="002013F3" w:rsidRPr="00694DB8">
        <w:rPr>
          <w:szCs w:val="22"/>
        </w:rPr>
        <w:t xml:space="preserve">priebehu </w:t>
      </w:r>
      <w:r w:rsidR="00AF110C" w:rsidRPr="00694DB8">
        <w:rPr>
          <w:szCs w:val="22"/>
        </w:rPr>
        <w:t>24 </w:t>
      </w:r>
      <w:r w:rsidR="002013F3" w:rsidRPr="00694DB8">
        <w:rPr>
          <w:szCs w:val="22"/>
        </w:rPr>
        <w:t>hodín sa nem</w:t>
      </w:r>
      <w:r w:rsidR="00AF110C" w:rsidRPr="00694DB8">
        <w:rPr>
          <w:szCs w:val="22"/>
        </w:rPr>
        <w:t>ajú</w:t>
      </w:r>
      <w:r w:rsidR="002013F3" w:rsidRPr="00694DB8">
        <w:rPr>
          <w:szCs w:val="22"/>
        </w:rPr>
        <w:t xml:space="preserve"> užiť viac ako </w:t>
      </w:r>
      <w:r w:rsidR="003D44E9" w:rsidRPr="00694DB8">
        <w:rPr>
          <w:szCs w:val="22"/>
        </w:rPr>
        <w:t>3</w:t>
      </w:r>
      <w:r w:rsidR="00AF110C" w:rsidRPr="00694DB8">
        <w:rPr>
          <w:szCs w:val="22"/>
        </w:rPr>
        <w:t> </w:t>
      </w:r>
      <w:r w:rsidRPr="00694DB8">
        <w:rPr>
          <w:szCs w:val="22"/>
        </w:rPr>
        <w:t xml:space="preserve">mäkké </w:t>
      </w:r>
      <w:r w:rsidR="003E650F" w:rsidRPr="00694DB8">
        <w:rPr>
          <w:szCs w:val="22"/>
        </w:rPr>
        <w:t>kaps</w:t>
      </w:r>
      <w:r w:rsidR="003D44E9" w:rsidRPr="00694DB8">
        <w:rPr>
          <w:szCs w:val="22"/>
        </w:rPr>
        <w:t>uly</w:t>
      </w:r>
      <w:r w:rsidR="003E650F" w:rsidRPr="00694DB8">
        <w:rPr>
          <w:szCs w:val="22"/>
        </w:rPr>
        <w:t xml:space="preserve"> (</w:t>
      </w:r>
      <w:r w:rsidR="002013F3" w:rsidRPr="00694DB8">
        <w:rPr>
          <w:szCs w:val="22"/>
        </w:rPr>
        <w:t>75</w:t>
      </w:r>
      <w:r w:rsidR="00AF110C" w:rsidRPr="00694DB8">
        <w:rPr>
          <w:szCs w:val="22"/>
        </w:rPr>
        <w:t> mg</w:t>
      </w:r>
      <w:r w:rsidR="003E650F" w:rsidRPr="00694DB8">
        <w:rPr>
          <w:szCs w:val="22"/>
        </w:rPr>
        <w:t>)</w:t>
      </w:r>
      <w:r w:rsidR="002013F3" w:rsidRPr="00694DB8">
        <w:rPr>
          <w:szCs w:val="22"/>
        </w:rPr>
        <w:t>.</w:t>
      </w:r>
    </w:p>
    <w:p w14:paraId="15DA0F90" w14:textId="77777777" w:rsidR="002013F3" w:rsidRPr="00694DB8" w:rsidRDefault="002013F3" w:rsidP="00AF110C">
      <w:pPr>
        <w:tabs>
          <w:tab w:val="left" w:pos="567"/>
        </w:tabs>
        <w:ind w:left="0" w:firstLine="0"/>
        <w:rPr>
          <w:szCs w:val="22"/>
        </w:rPr>
      </w:pPr>
    </w:p>
    <w:p w14:paraId="4745DAE8" w14:textId="1D959A6A" w:rsidR="002013F3" w:rsidRPr="00694DB8" w:rsidRDefault="000A778B" w:rsidP="00AF110C">
      <w:pPr>
        <w:tabs>
          <w:tab w:val="left" w:pos="567"/>
        </w:tabs>
        <w:ind w:left="0" w:firstLine="0"/>
        <w:rPr>
          <w:szCs w:val="22"/>
        </w:rPr>
      </w:pPr>
      <w:r>
        <w:rPr>
          <w:szCs w:val="22"/>
        </w:rPr>
        <w:t>Mäkké k</w:t>
      </w:r>
      <w:r w:rsidR="00C44F48">
        <w:rPr>
          <w:szCs w:val="22"/>
        </w:rPr>
        <w:t xml:space="preserve">apsuly </w:t>
      </w:r>
      <w:r w:rsidR="00095E67" w:rsidRPr="00694DB8">
        <w:rPr>
          <w:szCs w:val="22"/>
        </w:rPr>
        <w:t>Voltaren Rapid 25</w:t>
      </w:r>
      <w:r w:rsidR="00AF110C" w:rsidRPr="00694DB8">
        <w:rPr>
          <w:szCs w:val="22"/>
        </w:rPr>
        <w:t> mg</w:t>
      </w:r>
      <w:r w:rsidR="008F269F" w:rsidRPr="00694DB8">
        <w:rPr>
          <w:szCs w:val="22"/>
        </w:rPr>
        <w:t xml:space="preserve"> </w:t>
      </w:r>
      <w:r w:rsidR="00C44F48">
        <w:rPr>
          <w:szCs w:val="22"/>
        </w:rPr>
        <w:t>sú</w:t>
      </w:r>
      <w:r w:rsidR="008C3F28" w:rsidRPr="00694DB8">
        <w:rPr>
          <w:szCs w:val="22"/>
        </w:rPr>
        <w:t>, bez konzultácie</w:t>
      </w:r>
      <w:r w:rsidR="00AF110C" w:rsidRPr="00694DB8">
        <w:rPr>
          <w:szCs w:val="22"/>
        </w:rPr>
        <w:t xml:space="preserve"> s </w:t>
      </w:r>
      <w:r w:rsidR="008C3F28" w:rsidRPr="00694DB8">
        <w:rPr>
          <w:szCs w:val="22"/>
        </w:rPr>
        <w:t>lekárom,</w:t>
      </w:r>
      <w:r w:rsidR="0085515F" w:rsidRPr="00694DB8">
        <w:rPr>
          <w:szCs w:val="22"/>
        </w:rPr>
        <w:t xml:space="preserve"> </w:t>
      </w:r>
      <w:r w:rsidR="003E650F" w:rsidRPr="00694DB8">
        <w:rPr>
          <w:szCs w:val="22"/>
        </w:rPr>
        <w:t>určen</w:t>
      </w:r>
      <w:r w:rsidR="00C44F48">
        <w:rPr>
          <w:szCs w:val="22"/>
        </w:rPr>
        <w:t>é</w:t>
      </w:r>
      <w:r w:rsidR="003E650F" w:rsidRPr="00694DB8">
        <w:rPr>
          <w:szCs w:val="22"/>
        </w:rPr>
        <w:t xml:space="preserve"> na krátkodobé užívanie t.</w:t>
      </w:r>
      <w:r w:rsidR="00057805" w:rsidRPr="00694DB8">
        <w:rPr>
          <w:szCs w:val="22"/>
        </w:rPr>
        <w:t> </w:t>
      </w:r>
      <w:r w:rsidR="003E650F" w:rsidRPr="00694DB8">
        <w:rPr>
          <w:szCs w:val="22"/>
        </w:rPr>
        <w:t>j. do</w:t>
      </w:r>
      <w:r w:rsidR="008C3F28" w:rsidRPr="00694DB8">
        <w:rPr>
          <w:szCs w:val="22"/>
        </w:rPr>
        <w:t> </w:t>
      </w:r>
      <w:r w:rsidR="004152A8">
        <w:rPr>
          <w:szCs w:val="22"/>
        </w:rPr>
        <w:t>5</w:t>
      </w:r>
      <w:r w:rsidR="009E4883">
        <w:rPr>
          <w:szCs w:val="22"/>
        </w:rPr>
        <w:t> </w:t>
      </w:r>
      <w:r w:rsidR="003E650F" w:rsidRPr="00694DB8">
        <w:rPr>
          <w:szCs w:val="22"/>
        </w:rPr>
        <w:t>dní na zmiernenie</w:t>
      </w:r>
      <w:r w:rsidR="008C3F28" w:rsidRPr="00694DB8">
        <w:rPr>
          <w:szCs w:val="22"/>
        </w:rPr>
        <w:t xml:space="preserve"> </w:t>
      </w:r>
      <w:r w:rsidR="003E650F" w:rsidRPr="00694DB8">
        <w:rPr>
          <w:szCs w:val="22"/>
        </w:rPr>
        <w:t xml:space="preserve">bolestí a do </w:t>
      </w:r>
      <w:r w:rsidR="004152A8">
        <w:rPr>
          <w:szCs w:val="22"/>
        </w:rPr>
        <w:t>3</w:t>
      </w:r>
      <w:r w:rsidR="009E4883">
        <w:rPr>
          <w:szCs w:val="22"/>
        </w:rPr>
        <w:t> </w:t>
      </w:r>
      <w:r w:rsidR="003E650F" w:rsidRPr="00694DB8">
        <w:rPr>
          <w:szCs w:val="22"/>
        </w:rPr>
        <w:t>dní na redukciu horúčky</w:t>
      </w:r>
      <w:r w:rsidR="008C3F28" w:rsidRPr="00694DB8">
        <w:rPr>
          <w:szCs w:val="22"/>
        </w:rPr>
        <w:t>.</w:t>
      </w:r>
      <w:r w:rsidR="00C44F48">
        <w:rPr>
          <w:szCs w:val="22"/>
        </w:rPr>
        <w:t xml:space="preserve"> </w:t>
      </w:r>
      <w:r w:rsidR="00C44F48" w:rsidRPr="007B7A59">
        <w:rPr>
          <w:szCs w:val="22"/>
        </w:rPr>
        <w:t xml:space="preserve">Ak sa príznaky nezlepšia alebo </w:t>
      </w:r>
      <w:r w:rsidR="00BA3165">
        <w:rPr>
          <w:szCs w:val="22"/>
        </w:rPr>
        <w:t xml:space="preserve">sa </w:t>
      </w:r>
      <w:r w:rsidR="00C44F48" w:rsidRPr="007B7A59">
        <w:rPr>
          <w:szCs w:val="22"/>
        </w:rPr>
        <w:t>zhoršia, má sa zvážiť celkové riziko prínosu a</w:t>
      </w:r>
      <w:r w:rsidR="004152A8">
        <w:rPr>
          <w:szCs w:val="22"/>
        </w:rPr>
        <w:t> </w:t>
      </w:r>
      <w:r w:rsidR="00C44F48" w:rsidRPr="007B7A59">
        <w:rPr>
          <w:szCs w:val="22"/>
        </w:rPr>
        <w:t>rizika</w:t>
      </w:r>
      <w:r w:rsidR="004152A8">
        <w:rPr>
          <w:szCs w:val="22"/>
        </w:rPr>
        <w:t xml:space="preserve"> pre pacienta</w:t>
      </w:r>
      <w:r w:rsidR="00C44F48" w:rsidRPr="007B7A59">
        <w:rPr>
          <w:szCs w:val="22"/>
        </w:rPr>
        <w:t>.</w:t>
      </w:r>
      <w:r w:rsidR="00C44F48">
        <w:rPr>
          <w:szCs w:val="22"/>
        </w:rPr>
        <w:t xml:space="preserve"> </w:t>
      </w:r>
    </w:p>
    <w:p w14:paraId="5AA8CB81" w14:textId="77777777" w:rsidR="00C44F48" w:rsidRPr="00541A55" w:rsidRDefault="00C44F48" w:rsidP="00541A55">
      <w:pPr>
        <w:tabs>
          <w:tab w:val="left" w:pos="567"/>
        </w:tabs>
        <w:ind w:left="0" w:firstLine="0"/>
        <w:rPr>
          <w:szCs w:val="22"/>
        </w:rPr>
      </w:pPr>
    </w:p>
    <w:p w14:paraId="1893FA4B" w14:textId="3482F061" w:rsidR="00C44F48" w:rsidRPr="00541A55" w:rsidRDefault="00C44F48" w:rsidP="00541A55">
      <w:pPr>
        <w:tabs>
          <w:tab w:val="left" w:pos="567"/>
        </w:tabs>
        <w:ind w:left="0" w:firstLine="0"/>
        <w:rPr>
          <w:szCs w:val="22"/>
        </w:rPr>
      </w:pPr>
      <w:r w:rsidRPr="00541A55">
        <w:rPr>
          <w:szCs w:val="22"/>
        </w:rPr>
        <w:t>Neprekrač</w:t>
      </w:r>
      <w:r w:rsidR="008C4949" w:rsidRPr="00541A55">
        <w:rPr>
          <w:szCs w:val="22"/>
        </w:rPr>
        <w:t xml:space="preserve">ujte </w:t>
      </w:r>
      <w:r w:rsidRPr="00541A55">
        <w:rPr>
          <w:szCs w:val="22"/>
        </w:rPr>
        <w:t>stanovené dávkovanie.</w:t>
      </w:r>
    </w:p>
    <w:p w14:paraId="79552C3E" w14:textId="77777777" w:rsidR="008C4949" w:rsidRPr="00541A55" w:rsidRDefault="008C4949" w:rsidP="00541A55">
      <w:pPr>
        <w:tabs>
          <w:tab w:val="left" w:pos="567"/>
        </w:tabs>
        <w:ind w:left="0" w:firstLine="0"/>
        <w:rPr>
          <w:szCs w:val="22"/>
        </w:rPr>
      </w:pPr>
    </w:p>
    <w:p w14:paraId="7FF5CE55" w14:textId="7771ABD3" w:rsidR="00C44F48" w:rsidRPr="00271F81" w:rsidRDefault="00C44F48" w:rsidP="00541A55">
      <w:pPr>
        <w:tabs>
          <w:tab w:val="left" w:pos="567"/>
        </w:tabs>
        <w:ind w:left="0" w:firstLine="0"/>
        <w:rPr>
          <w:szCs w:val="22"/>
        </w:rPr>
      </w:pPr>
      <w:r w:rsidRPr="00541A55">
        <w:rPr>
          <w:szCs w:val="22"/>
        </w:rPr>
        <w:t>Maximáln</w:t>
      </w:r>
      <w:r w:rsidR="00D752AD">
        <w:rPr>
          <w:szCs w:val="22"/>
        </w:rPr>
        <w:t>a</w:t>
      </w:r>
      <w:r w:rsidRPr="00541A55">
        <w:rPr>
          <w:szCs w:val="22"/>
        </w:rPr>
        <w:t xml:space="preserve"> denná dávka je 75</w:t>
      </w:r>
      <w:r w:rsidR="008C4949" w:rsidRPr="00541A55">
        <w:rPr>
          <w:szCs w:val="22"/>
        </w:rPr>
        <w:t> </w:t>
      </w:r>
      <w:r w:rsidRPr="00541A55">
        <w:rPr>
          <w:szCs w:val="22"/>
        </w:rPr>
        <w:t>mg.</w:t>
      </w:r>
    </w:p>
    <w:p w14:paraId="13F990D6" w14:textId="77777777" w:rsidR="00C44F48" w:rsidRPr="00541A55" w:rsidRDefault="00C44F48" w:rsidP="00AF110C">
      <w:pPr>
        <w:tabs>
          <w:tab w:val="left" w:pos="567"/>
        </w:tabs>
        <w:ind w:left="0" w:firstLine="0"/>
        <w:rPr>
          <w:szCs w:val="22"/>
        </w:rPr>
      </w:pPr>
    </w:p>
    <w:p w14:paraId="68362241" w14:textId="77777777" w:rsidR="0036355A" w:rsidRPr="00694DB8" w:rsidRDefault="00E174AD" w:rsidP="00AF110C">
      <w:pPr>
        <w:pStyle w:val="Zkladntext"/>
        <w:keepNext/>
        <w:tabs>
          <w:tab w:val="left" w:pos="567"/>
        </w:tabs>
        <w:rPr>
          <w:i/>
          <w:szCs w:val="22"/>
          <w:u w:val="single"/>
        </w:rPr>
      </w:pPr>
      <w:r w:rsidRPr="00694DB8">
        <w:rPr>
          <w:bCs/>
          <w:i/>
          <w:iCs/>
          <w:szCs w:val="22"/>
          <w:u w:val="single"/>
        </w:rPr>
        <w:t>Deti</w:t>
      </w:r>
      <w:r w:rsidR="00E91F91" w:rsidRPr="00694DB8">
        <w:rPr>
          <w:i/>
          <w:szCs w:val="22"/>
          <w:u w:val="single"/>
        </w:rPr>
        <w:t xml:space="preserve"> do 14</w:t>
      </w:r>
      <w:r w:rsidR="00AF110C" w:rsidRPr="00694DB8">
        <w:rPr>
          <w:i/>
          <w:szCs w:val="22"/>
          <w:u w:val="single"/>
        </w:rPr>
        <w:t> </w:t>
      </w:r>
      <w:r w:rsidR="00E91F91" w:rsidRPr="00694DB8">
        <w:rPr>
          <w:i/>
          <w:szCs w:val="22"/>
          <w:u w:val="single"/>
        </w:rPr>
        <w:t>rokov</w:t>
      </w:r>
    </w:p>
    <w:p w14:paraId="7FCD0082" w14:textId="77777777" w:rsidR="000E649A" w:rsidRPr="00694DB8" w:rsidRDefault="00F64284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 xml:space="preserve">Voltaren Rapid </w:t>
      </w:r>
      <w:r w:rsidR="000E649A" w:rsidRPr="00694DB8">
        <w:rPr>
          <w:szCs w:val="22"/>
        </w:rPr>
        <w:t>25</w:t>
      </w:r>
      <w:r w:rsidR="00AF110C" w:rsidRPr="00694DB8">
        <w:rPr>
          <w:szCs w:val="22"/>
        </w:rPr>
        <w:t> mg</w:t>
      </w:r>
      <w:r w:rsidR="000E649A" w:rsidRPr="00694DB8">
        <w:rPr>
          <w:szCs w:val="22"/>
        </w:rPr>
        <w:t xml:space="preserve"> </w:t>
      </w:r>
      <w:r w:rsidR="007304DD" w:rsidRPr="00694DB8">
        <w:rPr>
          <w:szCs w:val="22"/>
        </w:rPr>
        <w:t>sa neodporúča podávať deťom do 14</w:t>
      </w:r>
      <w:r w:rsidR="00AF110C" w:rsidRPr="00694DB8">
        <w:rPr>
          <w:szCs w:val="22"/>
        </w:rPr>
        <w:t> </w:t>
      </w:r>
      <w:r w:rsidR="007304DD" w:rsidRPr="00694DB8">
        <w:rPr>
          <w:szCs w:val="22"/>
        </w:rPr>
        <w:t>rokov.</w:t>
      </w:r>
    </w:p>
    <w:p w14:paraId="769986D1" w14:textId="77777777" w:rsidR="005B7CFD" w:rsidRPr="00694DB8" w:rsidRDefault="005B7CFD" w:rsidP="00AF110C">
      <w:pPr>
        <w:tabs>
          <w:tab w:val="left" w:pos="0"/>
          <w:tab w:val="left" w:pos="567"/>
        </w:tabs>
        <w:ind w:left="0" w:firstLine="0"/>
        <w:rPr>
          <w:b/>
          <w:szCs w:val="22"/>
        </w:rPr>
      </w:pPr>
    </w:p>
    <w:p w14:paraId="7AD5E90C" w14:textId="77777777" w:rsidR="00713969" w:rsidRPr="00694DB8" w:rsidRDefault="00713969" w:rsidP="00AF110C">
      <w:pPr>
        <w:keepNext/>
        <w:tabs>
          <w:tab w:val="left" w:pos="567"/>
        </w:tabs>
        <w:rPr>
          <w:i/>
          <w:szCs w:val="22"/>
          <w:u w:val="single"/>
        </w:rPr>
      </w:pPr>
      <w:r w:rsidRPr="00694DB8">
        <w:rPr>
          <w:i/>
          <w:szCs w:val="22"/>
          <w:u w:val="single"/>
        </w:rPr>
        <w:t>Poruchy funkcie obličiek</w:t>
      </w:r>
    </w:p>
    <w:p w14:paraId="7B5A6B90" w14:textId="14EAF465" w:rsidR="00713969" w:rsidRPr="00694DB8" w:rsidRDefault="00713969" w:rsidP="00541A55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Voltaren je kontraindikovaný</w:t>
      </w:r>
      <w:r w:rsidR="00AF110C" w:rsidRPr="00694DB8">
        <w:rPr>
          <w:szCs w:val="22"/>
        </w:rPr>
        <w:t xml:space="preserve"> u </w:t>
      </w:r>
      <w:r w:rsidRPr="00694DB8">
        <w:rPr>
          <w:szCs w:val="22"/>
        </w:rPr>
        <w:t xml:space="preserve">pacientov so zlyhaním obličiek </w:t>
      </w:r>
      <w:r w:rsidR="00C44F48" w:rsidRPr="00541A55">
        <w:rPr>
          <w:szCs w:val="22"/>
        </w:rPr>
        <w:t>(GFR</w:t>
      </w:r>
      <w:r w:rsidR="004152A8" w:rsidRPr="00541A55">
        <w:rPr>
          <w:szCs w:val="22"/>
        </w:rPr>
        <w:t> </w:t>
      </w:r>
      <w:r w:rsidR="00C44F48" w:rsidRPr="00541A55">
        <w:rPr>
          <w:szCs w:val="22"/>
        </w:rPr>
        <w:t>&lt;</w:t>
      </w:r>
      <w:r w:rsidR="004152A8" w:rsidRPr="00541A55">
        <w:rPr>
          <w:szCs w:val="22"/>
        </w:rPr>
        <w:t> </w:t>
      </w:r>
      <w:r w:rsidR="00C44F48" w:rsidRPr="00541A55">
        <w:rPr>
          <w:szCs w:val="22"/>
        </w:rPr>
        <w:t>15</w:t>
      </w:r>
      <w:r w:rsidR="004152A8" w:rsidRPr="00541A55">
        <w:rPr>
          <w:szCs w:val="22"/>
        </w:rPr>
        <w:t> </w:t>
      </w:r>
      <w:r w:rsidR="00C44F48" w:rsidRPr="00541A55">
        <w:rPr>
          <w:szCs w:val="22"/>
        </w:rPr>
        <w:t>m</w:t>
      </w:r>
      <w:r w:rsidR="004152A8" w:rsidRPr="00541A55">
        <w:rPr>
          <w:szCs w:val="22"/>
        </w:rPr>
        <w:t>l</w:t>
      </w:r>
      <w:r w:rsidR="00C44F48" w:rsidRPr="00541A55">
        <w:rPr>
          <w:szCs w:val="22"/>
        </w:rPr>
        <w:t>/min/1</w:t>
      </w:r>
      <w:r w:rsidR="004152A8" w:rsidRPr="00541A55">
        <w:rPr>
          <w:szCs w:val="22"/>
        </w:rPr>
        <w:t>,</w:t>
      </w:r>
      <w:r w:rsidR="00C44F48" w:rsidRPr="00541A55">
        <w:rPr>
          <w:szCs w:val="22"/>
        </w:rPr>
        <w:t>73</w:t>
      </w:r>
      <w:r w:rsidR="004152A8" w:rsidRPr="00541A55">
        <w:rPr>
          <w:szCs w:val="22"/>
        </w:rPr>
        <w:t> </w:t>
      </w:r>
      <w:r w:rsidR="00C44F48" w:rsidRPr="00541A55">
        <w:rPr>
          <w:szCs w:val="22"/>
        </w:rPr>
        <w:t>m</w:t>
      </w:r>
      <w:r w:rsidR="00F965DA" w:rsidRPr="001E1902">
        <w:rPr>
          <w:color w:val="FF0000"/>
          <w:u w:val="single"/>
          <w:vertAlign w:val="superscript"/>
        </w:rPr>
        <w:t>2</w:t>
      </w:r>
      <w:r w:rsidR="00C44F48" w:rsidRPr="00541A55">
        <w:rPr>
          <w:szCs w:val="22"/>
        </w:rPr>
        <w:t>)</w:t>
      </w:r>
      <w:r w:rsidR="00C44F48" w:rsidRPr="00694DB8">
        <w:rPr>
          <w:szCs w:val="22"/>
        </w:rPr>
        <w:t xml:space="preserve"> </w:t>
      </w:r>
      <w:r w:rsidRPr="00694DB8">
        <w:rPr>
          <w:szCs w:val="22"/>
        </w:rPr>
        <w:t>(pozri časť 4.3).</w:t>
      </w:r>
    </w:p>
    <w:p w14:paraId="56DD7D67" w14:textId="77777777" w:rsidR="00713969" w:rsidRPr="00F41B18" w:rsidRDefault="00713969" w:rsidP="00541A55">
      <w:pPr>
        <w:tabs>
          <w:tab w:val="left" w:pos="567"/>
        </w:tabs>
        <w:ind w:left="0" w:firstLine="0"/>
        <w:rPr>
          <w:szCs w:val="22"/>
        </w:rPr>
      </w:pPr>
    </w:p>
    <w:p w14:paraId="0A20CFA2" w14:textId="0F7230AB" w:rsidR="00713969" w:rsidRPr="00694DB8" w:rsidRDefault="00713969" w:rsidP="00AF110C">
      <w:pPr>
        <w:tabs>
          <w:tab w:val="left" w:pos="567"/>
        </w:tabs>
        <w:ind w:left="0" w:firstLine="0"/>
        <w:rPr>
          <w:szCs w:val="22"/>
          <w:highlight w:val="yellow"/>
        </w:rPr>
      </w:pPr>
      <w:r w:rsidRPr="00F41B18">
        <w:rPr>
          <w:szCs w:val="22"/>
        </w:rPr>
        <w:t>Neboli vykonané žiadne špecifické štúdie</w:t>
      </w:r>
      <w:r w:rsidR="00AF110C" w:rsidRPr="00F41B18">
        <w:rPr>
          <w:szCs w:val="22"/>
        </w:rPr>
        <w:t xml:space="preserve"> u </w:t>
      </w:r>
      <w:r w:rsidRPr="00694DB8">
        <w:rPr>
          <w:szCs w:val="22"/>
        </w:rPr>
        <w:t>pacientov</w:t>
      </w:r>
      <w:r w:rsidR="00AF110C" w:rsidRPr="00694DB8">
        <w:rPr>
          <w:szCs w:val="22"/>
        </w:rPr>
        <w:t xml:space="preserve"> s </w:t>
      </w:r>
      <w:r w:rsidRPr="00694DB8">
        <w:rPr>
          <w:szCs w:val="22"/>
        </w:rPr>
        <w:t>poruchou funkcie obličiek, a preto nie je možné odpor</w:t>
      </w:r>
      <w:r w:rsidR="006416C6" w:rsidRPr="00694DB8">
        <w:rPr>
          <w:szCs w:val="22"/>
        </w:rPr>
        <w:t>u</w:t>
      </w:r>
      <w:r w:rsidRPr="00694DB8">
        <w:rPr>
          <w:szCs w:val="22"/>
        </w:rPr>
        <w:t xml:space="preserve">čiť žiadnu špecifickú úpravy dávkovania. </w:t>
      </w:r>
      <w:r w:rsidR="009E0A5D" w:rsidRPr="00694DB8">
        <w:rPr>
          <w:szCs w:val="22"/>
        </w:rPr>
        <w:t>P</w:t>
      </w:r>
      <w:r w:rsidRPr="00694DB8">
        <w:rPr>
          <w:szCs w:val="22"/>
        </w:rPr>
        <w:t>ri podávaní</w:t>
      </w:r>
      <w:r w:rsidR="00AF110C" w:rsidRPr="00694DB8">
        <w:rPr>
          <w:szCs w:val="22"/>
        </w:rPr>
        <w:t xml:space="preserve"> </w:t>
      </w:r>
      <w:r w:rsidRPr="00694DB8">
        <w:rPr>
          <w:szCs w:val="22"/>
        </w:rPr>
        <w:t>Voltarenu pacientom</w:t>
      </w:r>
      <w:r w:rsidR="00AF110C" w:rsidRPr="00694DB8">
        <w:rPr>
          <w:szCs w:val="22"/>
        </w:rPr>
        <w:t xml:space="preserve"> s </w:t>
      </w:r>
      <w:r w:rsidRPr="00694DB8">
        <w:rPr>
          <w:szCs w:val="22"/>
        </w:rPr>
        <w:t xml:space="preserve"> poruchou funkcie obličiek</w:t>
      </w:r>
      <w:r w:rsidR="009E0A5D" w:rsidRPr="00694DB8">
        <w:rPr>
          <w:szCs w:val="22"/>
        </w:rPr>
        <w:t xml:space="preserve"> sa odporúča</w:t>
      </w:r>
      <w:r w:rsidRPr="00694DB8">
        <w:rPr>
          <w:szCs w:val="22"/>
        </w:rPr>
        <w:t xml:space="preserve"> </w:t>
      </w:r>
      <w:r w:rsidR="009E0A5D" w:rsidRPr="00694DB8">
        <w:rPr>
          <w:szCs w:val="22"/>
        </w:rPr>
        <w:t xml:space="preserve">opatrnosť </w:t>
      </w:r>
      <w:r w:rsidRPr="00694DB8">
        <w:rPr>
          <w:szCs w:val="22"/>
        </w:rPr>
        <w:t>(pozri časť 4.4.).</w:t>
      </w:r>
    </w:p>
    <w:p w14:paraId="27CA2CF4" w14:textId="77777777" w:rsidR="00713969" w:rsidRPr="00694DB8" w:rsidRDefault="00713969" w:rsidP="00AF110C">
      <w:pPr>
        <w:tabs>
          <w:tab w:val="left" w:pos="567"/>
        </w:tabs>
        <w:rPr>
          <w:szCs w:val="22"/>
          <w:highlight w:val="yellow"/>
        </w:rPr>
      </w:pPr>
    </w:p>
    <w:p w14:paraId="122B61D6" w14:textId="77777777" w:rsidR="00713969" w:rsidRPr="00694DB8" w:rsidRDefault="00713969" w:rsidP="00AF110C">
      <w:pPr>
        <w:keepNext/>
        <w:tabs>
          <w:tab w:val="left" w:pos="567"/>
        </w:tabs>
        <w:rPr>
          <w:i/>
          <w:szCs w:val="22"/>
          <w:u w:val="single"/>
        </w:rPr>
      </w:pPr>
      <w:r w:rsidRPr="00694DB8">
        <w:rPr>
          <w:i/>
          <w:szCs w:val="22"/>
          <w:u w:val="single"/>
        </w:rPr>
        <w:t>Poruchy funkcie pečene</w:t>
      </w:r>
    </w:p>
    <w:p w14:paraId="25551660" w14:textId="2AC1CD1D" w:rsidR="00713969" w:rsidRPr="00F41B18" w:rsidRDefault="00713969" w:rsidP="00AF110C">
      <w:pPr>
        <w:tabs>
          <w:tab w:val="left" w:pos="567"/>
        </w:tabs>
        <w:rPr>
          <w:szCs w:val="22"/>
        </w:rPr>
      </w:pPr>
      <w:r w:rsidRPr="00694DB8">
        <w:rPr>
          <w:szCs w:val="22"/>
        </w:rPr>
        <w:t>Voltaren je kontraindikovaný</w:t>
      </w:r>
      <w:r w:rsidR="00AF110C" w:rsidRPr="00694DB8">
        <w:rPr>
          <w:szCs w:val="22"/>
        </w:rPr>
        <w:t xml:space="preserve"> u </w:t>
      </w:r>
      <w:r w:rsidRPr="00694DB8">
        <w:rPr>
          <w:szCs w:val="22"/>
        </w:rPr>
        <w:t>pacientov</w:t>
      </w:r>
      <w:r w:rsidR="00AF110C" w:rsidRPr="00F41B18">
        <w:rPr>
          <w:szCs w:val="22"/>
        </w:rPr>
        <w:t xml:space="preserve"> s</w:t>
      </w:r>
      <w:r w:rsidR="004152A8">
        <w:rPr>
          <w:szCs w:val="22"/>
        </w:rPr>
        <w:t xml:space="preserve">o závažnou </w:t>
      </w:r>
      <w:r w:rsidRPr="00F41B18">
        <w:rPr>
          <w:szCs w:val="22"/>
        </w:rPr>
        <w:t>poruchou funkcie pečene (pozri časť 4.3).</w:t>
      </w:r>
    </w:p>
    <w:p w14:paraId="4C482D3A" w14:textId="77777777" w:rsidR="00713969" w:rsidRPr="00694DB8" w:rsidRDefault="00713969" w:rsidP="00AF110C">
      <w:pPr>
        <w:tabs>
          <w:tab w:val="left" w:pos="567"/>
        </w:tabs>
        <w:rPr>
          <w:szCs w:val="22"/>
        </w:rPr>
      </w:pPr>
    </w:p>
    <w:p w14:paraId="07FBE76F" w14:textId="77777777" w:rsidR="00713969" w:rsidRPr="00694DB8" w:rsidRDefault="00713969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Neboli vykonané žiadne špecifické štúdie</w:t>
      </w:r>
      <w:r w:rsidR="00AF110C" w:rsidRPr="00694DB8">
        <w:rPr>
          <w:szCs w:val="22"/>
        </w:rPr>
        <w:t xml:space="preserve"> u </w:t>
      </w:r>
      <w:r w:rsidRPr="00694DB8">
        <w:rPr>
          <w:szCs w:val="22"/>
        </w:rPr>
        <w:t>pacientov</w:t>
      </w:r>
      <w:r w:rsidR="00AF110C" w:rsidRPr="00694DB8">
        <w:rPr>
          <w:szCs w:val="22"/>
        </w:rPr>
        <w:t xml:space="preserve"> s </w:t>
      </w:r>
      <w:r w:rsidRPr="00694DB8">
        <w:rPr>
          <w:szCs w:val="22"/>
        </w:rPr>
        <w:t>poruchou funkcie pečene, a preto nie je možné odpor</w:t>
      </w:r>
      <w:r w:rsidR="006416C6" w:rsidRPr="00694DB8">
        <w:rPr>
          <w:szCs w:val="22"/>
        </w:rPr>
        <w:t>u</w:t>
      </w:r>
      <w:r w:rsidRPr="00694DB8">
        <w:rPr>
          <w:szCs w:val="22"/>
        </w:rPr>
        <w:t xml:space="preserve">čiť žiadnu špecifickú úpravy dávkovania. </w:t>
      </w:r>
      <w:r w:rsidR="009E0A5D" w:rsidRPr="00694DB8">
        <w:rPr>
          <w:szCs w:val="22"/>
        </w:rPr>
        <w:t>P</w:t>
      </w:r>
      <w:r w:rsidRPr="00694DB8">
        <w:rPr>
          <w:szCs w:val="22"/>
        </w:rPr>
        <w:t>ri podávaní</w:t>
      </w:r>
      <w:r w:rsidR="00AF110C" w:rsidRPr="00694DB8">
        <w:rPr>
          <w:szCs w:val="22"/>
        </w:rPr>
        <w:t xml:space="preserve"> </w:t>
      </w:r>
      <w:r w:rsidRPr="00694DB8">
        <w:rPr>
          <w:szCs w:val="22"/>
        </w:rPr>
        <w:t>Voltarenu pacientom</w:t>
      </w:r>
      <w:r w:rsidR="00AF110C" w:rsidRPr="00694DB8">
        <w:rPr>
          <w:szCs w:val="22"/>
        </w:rPr>
        <w:t xml:space="preserve"> s </w:t>
      </w:r>
      <w:r w:rsidRPr="00694DB8">
        <w:rPr>
          <w:szCs w:val="22"/>
        </w:rPr>
        <w:t xml:space="preserve">miernou až stredne závažnou poruchou funkcie pečene </w:t>
      </w:r>
      <w:r w:rsidR="009E0A5D" w:rsidRPr="00694DB8">
        <w:rPr>
          <w:szCs w:val="22"/>
        </w:rPr>
        <w:t xml:space="preserve">sa odporúča opatrnosť </w:t>
      </w:r>
      <w:r w:rsidRPr="00694DB8">
        <w:rPr>
          <w:szCs w:val="22"/>
        </w:rPr>
        <w:t>(pozri časť 4.4.).</w:t>
      </w:r>
    </w:p>
    <w:p w14:paraId="65EA4D3C" w14:textId="77777777" w:rsidR="00713969" w:rsidRPr="00694DB8" w:rsidRDefault="00713969" w:rsidP="00AF110C">
      <w:pPr>
        <w:tabs>
          <w:tab w:val="left" w:pos="0"/>
          <w:tab w:val="left" w:pos="567"/>
        </w:tabs>
        <w:ind w:left="0" w:firstLine="0"/>
        <w:rPr>
          <w:b/>
          <w:szCs w:val="22"/>
        </w:rPr>
      </w:pPr>
    </w:p>
    <w:p w14:paraId="68A1F4AD" w14:textId="77777777" w:rsidR="0028015C" w:rsidRPr="00694DB8" w:rsidRDefault="0028015C" w:rsidP="00AF110C">
      <w:pPr>
        <w:keepNext/>
        <w:tabs>
          <w:tab w:val="left" w:pos="0"/>
          <w:tab w:val="left" w:pos="567"/>
        </w:tabs>
        <w:ind w:left="0" w:firstLine="0"/>
        <w:rPr>
          <w:b/>
          <w:szCs w:val="22"/>
          <w:u w:val="single"/>
        </w:rPr>
      </w:pPr>
      <w:bookmarkStart w:id="1" w:name="_Hlk9806217"/>
      <w:r w:rsidRPr="00694DB8">
        <w:rPr>
          <w:b/>
          <w:szCs w:val="22"/>
          <w:u w:val="single"/>
        </w:rPr>
        <w:t>Spôsob podávania</w:t>
      </w:r>
    </w:p>
    <w:p w14:paraId="44C7765B" w14:textId="77777777" w:rsidR="008C4949" w:rsidRPr="00541A55" w:rsidRDefault="008C4949" w:rsidP="00541A55">
      <w:pPr>
        <w:tabs>
          <w:tab w:val="left" w:pos="567"/>
        </w:tabs>
        <w:ind w:left="0" w:firstLine="0"/>
        <w:rPr>
          <w:szCs w:val="22"/>
        </w:rPr>
      </w:pPr>
      <w:bookmarkStart w:id="2" w:name="_Hlk9806225"/>
      <w:bookmarkEnd w:id="1"/>
      <w:r w:rsidRPr="00541A55">
        <w:rPr>
          <w:szCs w:val="22"/>
        </w:rPr>
        <w:t>Len na perorálne podanie.</w:t>
      </w:r>
    </w:p>
    <w:bookmarkEnd w:id="2"/>
    <w:p w14:paraId="761BC72B" w14:textId="77777777" w:rsidR="009B2E19" w:rsidRPr="00541A55" w:rsidRDefault="009B2E19" w:rsidP="008C4949">
      <w:pPr>
        <w:tabs>
          <w:tab w:val="left" w:pos="567"/>
        </w:tabs>
        <w:ind w:left="0" w:firstLine="0"/>
        <w:rPr>
          <w:szCs w:val="22"/>
        </w:rPr>
      </w:pPr>
    </w:p>
    <w:p w14:paraId="283470AF" w14:textId="16756F6E" w:rsidR="008C6175" w:rsidRDefault="008C6175" w:rsidP="00AF110C">
      <w:pPr>
        <w:tabs>
          <w:tab w:val="left" w:pos="567"/>
        </w:tabs>
        <w:ind w:left="0" w:firstLine="0"/>
        <w:rPr>
          <w:b/>
          <w:szCs w:val="22"/>
        </w:rPr>
      </w:pPr>
      <w:r w:rsidRPr="00694DB8">
        <w:rPr>
          <w:szCs w:val="22"/>
        </w:rPr>
        <w:t>Kapsuly sa majú prehĺtať vcelku a zapiť pohárom vody.</w:t>
      </w:r>
      <w:r w:rsidRPr="00694DB8">
        <w:rPr>
          <w:b/>
          <w:szCs w:val="22"/>
        </w:rPr>
        <w:t xml:space="preserve"> </w:t>
      </w:r>
    </w:p>
    <w:p w14:paraId="09722B33" w14:textId="77777777" w:rsidR="009B2E19" w:rsidRDefault="009B2E19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65D45171" w14:textId="67E6A5D4" w:rsidR="008C4949" w:rsidRPr="00541A55" w:rsidRDefault="008C4949" w:rsidP="00AF110C">
      <w:pPr>
        <w:tabs>
          <w:tab w:val="left" w:pos="567"/>
        </w:tabs>
        <w:ind w:left="0" w:firstLine="0"/>
        <w:rPr>
          <w:szCs w:val="22"/>
        </w:rPr>
      </w:pPr>
      <w:r w:rsidRPr="00F57FA8">
        <w:rPr>
          <w:szCs w:val="22"/>
        </w:rPr>
        <w:t xml:space="preserve">Rovnako ako </w:t>
      </w:r>
      <w:r>
        <w:rPr>
          <w:szCs w:val="22"/>
        </w:rPr>
        <w:t>pri</w:t>
      </w:r>
      <w:r w:rsidRPr="00F57FA8">
        <w:rPr>
          <w:szCs w:val="22"/>
        </w:rPr>
        <w:t xml:space="preserve"> iných NSAID</w:t>
      </w:r>
      <w:r w:rsidRPr="00694DB8">
        <w:rPr>
          <w:szCs w:val="22"/>
        </w:rPr>
        <w:t xml:space="preserve"> </w:t>
      </w:r>
      <w:r w:rsidR="009B7802">
        <w:rPr>
          <w:szCs w:val="22"/>
        </w:rPr>
        <w:t xml:space="preserve">sa </w:t>
      </w:r>
      <w:r w:rsidRPr="00694DB8">
        <w:rPr>
          <w:szCs w:val="22"/>
        </w:rPr>
        <w:t>mäkké kapsuly Voltaren Rapid 25 mg majú užívať</w:t>
      </w:r>
      <w:r w:rsidR="00F965DA">
        <w:rPr>
          <w:szCs w:val="22"/>
        </w:rPr>
        <w:t xml:space="preserve"> </w:t>
      </w:r>
      <w:r>
        <w:rPr>
          <w:szCs w:val="22"/>
        </w:rPr>
        <w:t>s jedlom alebo po jedle</w:t>
      </w:r>
      <w:r w:rsidRPr="00694DB8">
        <w:rPr>
          <w:szCs w:val="22"/>
        </w:rPr>
        <w:t>.</w:t>
      </w:r>
      <w:r>
        <w:rPr>
          <w:szCs w:val="22"/>
        </w:rPr>
        <w:t xml:space="preserve"> </w:t>
      </w:r>
    </w:p>
    <w:p w14:paraId="7ED3A942" w14:textId="77777777" w:rsidR="0028015C" w:rsidRPr="00694DB8" w:rsidRDefault="0028015C" w:rsidP="00AF110C">
      <w:pPr>
        <w:tabs>
          <w:tab w:val="left" w:pos="0"/>
          <w:tab w:val="left" w:pos="567"/>
        </w:tabs>
        <w:ind w:left="0" w:firstLine="0"/>
        <w:rPr>
          <w:b/>
          <w:szCs w:val="22"/>
        </w:rPr>
      </w:pPr>
    </w:p>
    <w:p w14:paraId="19115851" w14:textId="77777777" w:rsidR="003A2E0D" w:rsidRPr="00F41B18" w:rsidRDefault="003A2E0D" w:rsidP="00AF110C">
      <w:pPr>
        <w:keepNext/>
        <w:tabs>
          <w:tab w:val="left" w:pos="0"/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4.3</w:t>
      </w:r>
      <w:r w:rsidRPr="00694DB8">
        <w:rPr>
          <w:b/>
          <w:szCs w:val="22"/>
        </w:rPr>
        <w:tab/>
        <w:t xml:space="preserve">Kontraindikácie </w:t>
      </w:r>
    </w:p>
    <w:p w14:paraId="4975E155" w14:textId="77777777" w:rsidR="003A2E0D" w:rsidRPr="00694DB8" w:rsidRDefault="003A2E0D" w:rsidP="00AF110C">
      <w:pPr>
        <w:keepNext/>
        <w:tabs>
          <w:tab w:val="left" w:pos="0"/>
          <w:tab w:val="left" w:pos="567"/>
        </w:tabs>
        <w:ind w:left="0" w:firstLine="0"/>
        <w:rPr>
          <w:szCs w:val="22"/>
        </w:rPr>
      </w:pPr>
    </w:p>
    <w:p w14:paraId="4A5265C6" w14:textId="77777777" w:rsidR="0033458A" w:rsidRPr="00694DB8" w:rsidRDefault="0028015C" w:rsidP="00AF110C">
      <w:pPr>
        <w:numPr>
          <w:ilvl w:val="0"/>
          <w:numId w:val="30"/>
        </w:numPr>
        <w:tabs>
          <w:tab w:val="left" w:pos="0"/>
          <w:tab w:val="left" w:pos="567"/>
        </w:tabs>
        <w:ind w:left="567" w:hanging="567"/>
        <w:rPr>
          <w:szCs w:val="22"/>
        </w:rPr>
      </w:pPr>
      <w:r w:rsidRPr="00694DB8">
        <w:rPr>
          <w:szCs w:val="22"/>
        </w:rPr>
        <w:t>P</w:t>
      </w:r>
      <w:r w:rsidR="008D74B3" w:rsidRPr="00694DB8">
        <w:rPr>
          <w:szCs w:val="22"/>
        </w:rPr>
        <w:t xml:space="preserve">recitlivenosť na liečivo </w:t>
      </w:r>
      <w:r w:rsidR="0033458A" w:rsidRPr="00694DB8">
        <w:rPr>
          <w:szCs w:val="22"/>
        </w:rPr>
        <w:t>alebo na niektorú</w:t>
      </w:r>
      <w:r w:rsidR="00AF110C" w:rsidRPr="00694DB8">
        <w:rPr>
          <w:szCs w:val="22"/>
        </w:rPr>
        <w:t xml:space="preserve"> z </w:t>
      </w:r>
      <w:r w:rsidR="0033458A" w:rsidRPr="00694DB8">
        <w:rPr>
          <w:szCs w:val="22"/>
        </w:rPr>
        <w:t>pomocných látok</w:t>
      </w:r>
      <w:r w:rsidR="0062372C" w:rsidRPr="00694DB8">
        <w:rPr>
          <w:szCs w:val="22"/>
        </w:rPr>
        <w:t xml:space="preserve"> </w:t>
      </w:r>
      <w:r w:rsidR="00704F90" w:rsidRPr="00694DB8">
        <w:rPr>
          <w:szCs w:val="22"/>
        </w:rPr>
        <w:t>(</w:t>
      </w:r>
      <w:r w:rsidR="0062372C" w:rsidRPr="00694DB8">
        <w:rPr>
          <w:szCs w:val="22"/>
        </w:rPr>
        <w:t>pozri časť 6.1</w:t>
      </w:r>
      <w:r w:rsidR="00704F90" w:rsidRPr="00694DB8">
        <w:rPr>
          <w:szCs w:val="22"/>
        </w:rPr>
        <w:t>)</w:t>
      </w:r>
      <w:r w:rsidR="0033458A" w:rsidRPr="00694DB8">
        <w:rPr>
          <w:szCs w:val="22"/>
        </w:rPr>
        <w:t>.</w:t>
      </w:r>
      <w:r w:rsidR="00F06416" w:rsidRPr="00694DB8">
        <w:rPr>
          <w:szCs w:val="22"/>
        </w:rPr>
        <w:t xml:space="preserve"> </w:t>
      </w:r>
    </w:p>
    <w:p w14:paraId="56174C59" w14:textId="77777777" w:rsidR="0033458A" w:rsidRPr="00694DB8" w:rsidRDefault="0033458A" w:rsidP="00AF110C">
      <w:pPr>
        <w:numPr>
          <w:ilvl w:val="0"/>
          <w:numId w:val="30"/>
        </w:numPr>
        <w:tabs>
          <w:tab w:val="left" w:pos="0"/>
          <w:tab w:val="left" w:pos="567"/>
        </w:tabs>
        <w:ind w:left="567" w:hanging="567"/>
        <w:rPr>
          <w:szCs w:val="22"/>
        </w:rPr>
      </w:pPr>
      <w:r w:rsidRPr="00694DB8">
        <w:rPr>
          <w:szCs w:val="22"/>
        </w:rPr>
        <w:t xml:space="preserve">Aktívny </w:t>
      </w:r>
      <w:r w:rsidR="00284B6A" w:rsidRPr="00694DB8">
        <w:rPr>
          <w:szCs w:val="22"/>
        </w:rPr>
        <w:t>žalúdočný alebo intestinálny vred</w:t>
      </w:r>
      <w:r w:rsidR="0065071B" w:rsidRPr="00694DB8">
        <w:rPr>
          <w:szCs w:val="22"/>
        </w:rPr>
        <w:t>, krvácanie alebo perforácia.</w:t>
      </w:r>
      <w:r w:rsidR="00182374" w:rsidRPr="00694DB8">
        <w:rPr>
          <w:b/>
          <w:szCs w:val="22"/>
        </w:rPr>
        <w:t xml:space="preserve"> </w:t>
      </w:r>
    </w:p>
    <w:p w14:paraId="56D8CFFE" w14:textId="77777777" w:rsidR="00B44613" w:rsidRPr="00694DB8" w:rsidRDefault="005B7CFD" w:rsidP="00AF110C">
      <w:pPr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694DB8">
        <w:rPr>
          <w:szCs w:val="22"/>
        </w:rPr>
        <w:t>Gastrointestinálne krvácanie alebo perforácia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>anamnéze súvisiaca</w:t>
      </w:r>
      <w:r w:rsidR="00AF110C" w:rsidRPr="00694DB8">
        <w:rPr>
          <w:szCs w:val="22"/>
        </w:rPr>
        <w:t xml:space="preserve"> s </w:t>
      </w:r>
      <w:r w:rsidRPr="00694DB8">
        <w:rPr>
          <w:szCs w:val="22"/>
        </w:rPr>
        <w:t xml:space="preserve">predchádzajúcou </w:t>
      </w:r>
      <w:r w:rsidR="00B44613" w:rsidRPr="00694DB8">
        <w:rPr>
          <w:bCs/>
          <w:szCs w:val="22"/>
        </w:rPr>
        <w:t>terapiou nesteroidovými protizápalovými liekmi (nesteroidovými antireumatikami, NSAID)</w:t>
      </w:r>
      <w:r w:rsidRPr="00694DB8">
        <w:rPr>
          <w:szCs w:val="22"/>
        </w:rPr>
        <w:t xml:space="preserve">. </w:t>
      </w:r>
    </w:p>
    <w:p w14:paraId="56B01F0F" w14:textId="77777777" w:rsidR="005B7CFD" w:rsidRPr="00694DB8" w:rsidRDefault="005B7CFD" w:rsidP="00AF110C">
      <w:pPr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694DB8">
        <w:rPr>
          <w:szCs w:val="22"/>
        </w:rPr>
        <w:t>Rekurentné peptické vredové krvácanie aktívne alebo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>anamnéze (dve alebo viac epizód preukázanej ulcerácie alebo krvácania</w:t>
      </w:r>
      <w:r w:rsidR="00704F90" w:rsidRPr="00694DB8">
        <w:rPr>
          <w:szCs w:val="22"/>
        </w:rPr>
        <w:t>).</w:t>
      </w:r>
    </w:p>
    <w:p w14:paraId="3DA46FD8" w14:textId="77777777" w:rsidR="0065071B" w:rsidRPr="00694DB8" w:rsidRDefault="004303BD" w:rsidP="00541A55">
      <w:pPr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694DB8">
        <w:rPr>
          <w:szCs w:val="22"/>
        </w:rPr>
        <w:t xml:space="preserve">Tretí </w:t>
      </w:r>
      <w:r w:rsidR="0065071B" w:rsidRPr="00694DB8">
        <w:rPr>
          <w:szCs w:val="22"/>
        </w:rPr>
        <w:t>trimester gravidity</w:t>
      </w:r>
      <w:r w:rsidR="00924EA1" w:rsidRPr="00694DB8">
        <w:rPr>
          <w:szCs w:val="22"/>
        </w:rPr>
        <w:t xml:space="preserve"> (pozri časť 4.6)</w:t>
      </w:r>
      <w:r w:rsidR="0065071B" w:rsidRPr="00694DB8">
        <w:rPr>
          <w:szCs w:val="22"/>
        </w:rPr>
        <w:t>.</w:t>
      </w:r>
    </w:p>
    <w:p w14:paraId="686392CC" w14:textId="5FA26578" w:rsidR="00A6670A" w:rsidRDefault="00924EA1" w:rsidP="00541A55">
      <w:pPr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694DB8">
        <w:rPr>
          <w:szCs w:val="22"/>
        </w:rPr>
        <w:t>Závažné zlyhanie pečene</w:t>
      </w:r>
      <w:r w:rsidR="00713969" w:rsidRPr="00694DB8">
        <w:rPr>
          <w:szCs w:val="22"/>
        </w:rPr>
        <w:t xml:space="preserve"> </w:t>
      </w:r>
      <w:r w:rsidRPr="00694DB8">
        <w:rPr>
          <w:szCs w:val="22"/>
        </w:rPr>
        <w:t>(pozri časť 4.4).</w:t>
      </w:r>
    </w:p>
    <w:p w14:paraId="4F039A70" w14:textId="31783931" w:rsidR="00C34B24" w:rsidRPr="00D752AD" w:rsidRDefault="00C34B24" w:rsidP="00541A55">
      <w:pPr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D752AD">
        <w:rPr>
          <w:szCs w:val="22"/>
        </w:rPr>
        <w:t>Zlyhanie obličiek (</w:t>
      </w:r>
      <w:r w:rsidRPr="00541A55">
        <w:rPr>
          <w:szCs w:val="22"/>
        </w:rPr>
        <w:t>GFR</w:t>
      </w:r>
      <w:r w:rsidR="008C4949" w:rsidRPr="00541A55">
        <w:rPr>
          <w:szCs w:val="22"/>
        </w:rPr>
        <w:t> </w:t>
      </w:r>
      <w:r w:rsidRPr="00541A55">
        <w:rPr>
          <w:szCs w:val="22"/>
        </w:rPr>
        <w:t>&lt;</w:t>
      </w:r>
      <w:r w:rsidR="008C4949" w:rsidRPr="00541A55">
        <w:rPr>
          <w:szCs w:val="22"/>
        </w:rPr>
        <w:t> </w:t>
      </w:r>
      <w:r w:rsidRPr="00541A55">
        <w:rPr>
          <w:szCs w:val="22"/>
        </w:rPr>
        <w:t>15</w:t>
      </w:r>
      <w:r w:rsidR="008C4949" w:rsidRPr="00541A55">
        <w:rPr>
          <w:szCs w:val="22"/>
        </w:rPr>
        <w:t> </w:t>
      </w:r>
      <w:r w:rsidRPr="00541A55">
        <w:rPr>
          <w:szCs w:val="22"/>
        </w:rPr>
        <w:t>m</w:t>
      </w:r>
      <w:r w:rsidR="00F965DA">
        <w:rPr>
          <w:szCs w:val="22"/>
        </w:rPr>
        <w:t>l</w:t>
      </w:r>
      <w:r w:rsidRPr="00541A55">
        <w:rPr>
          <w:szCs w:val="22"/>
        </w:rPr>
        <w:t>/min/1</w:t>
      </w:r>
      <w:r w:rsidR="008C4949" w:rsidRPr="00541A55">
        <w:rPr>
          <w:szCs w:val="22"/>
        </w:rPr>
        <w:t>,</w:t>
      </w:r>
      <w:r w:rsidRPr="00541A55">
        <w:rPr>
          <w:szCs w:val="22"/>
        </w:rPr>
        <w:t>73</w:t>
      </w:r>
      <w:r w:rsidR="008C4949" w:rsidRPr="00541A55">
        <w:rPr>
          <w:szCs w:val="22"/>
        </w:rPr>
        <w:t> </w:t>
      </w:r>
      <w:r w:rsidRPr="00541A55">
        <w:rPr>
          <w:szCs w:val="22"/>
        </w:rPr>
        <w:t>m</w:t>
      </w:r>
      <w:r w:rsidR="00F965DA" w:rsidRPr="00541A55">
        <w:rPr>
          <w:vertAlign w:val="superscript"/>
        </w:rPr>
        <w:t>2</w:t>
      </w:r>
      <w:r w:rsidRPr="00541A55">
        <w:rPr>
          <w:szCs w:val="22"/>
        </w:rPr>
        <w:t>)</w:t>
      </w:r>
      <w:r w:rsidR="000B0FB1" w:rsidRPr="00541A55">
        <w:rPr>
          <w:szCs w:val="22"/>
        </w:rPr>
        <w:t>.</w:t>
      </w:r>
    </w:p>
    <w:p w14:paraId="74E1006B" w14:textId="77777777" w:rsidR="00924EA1" w:rsidRPr="00694DB8" w:rsidRDefault="00A6670A" w:rsidP="00AF110C">
      <w:pPr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694DB8">
        <w:rPr>
          <w:szCs w:val="22"/>
        </w:rPr>
        <w:t>Preukázané kongestívne zlyhávanie srdca (NYHA II</w:t>
      </w:r>
      <w:r w:rsidR="00690403" w:rsidRPr="00694DB8">
        <w:rPr>
          <w:szCs w:val="22"/>
        </w:rPr>
        <w:t> </w:t>
      </w:r>
      <w:r w:rsidRPr="00694DB8">
        <w:rPr>
          <w:szCs w:val="22"/>
        </w:rPr>
        <w:t>-</w:t>
      </w:r>
      <w:r w:rsidR="00690403" w:rsidRPr="00694DB8">
        <w:rPr>
          <w:szCs w:val="22"/>
        </w:rPr>
        <w:t> </w:t>
      </w:r>
      <w:r w:rsidRPr="00694DB8">
        <w:rPr>
          <w:szCs w:val="22"/>
        </w:rPr>
        <w:t>IV), ischemická choroba srdca, periférne arteriálne ochorenie a/alebo cerebrovaskulárne ochorenie.</w:t>
      </w:r>
    </w:p>
    <w:p w14:paraId="76D9F417" w14:textId="77777777" w:rsidR="005B7CFD" w:rsidRPr="00694DB8" w:rsidRDefault="005B7CFD" w:rsidP="00AF110C">
      <w:pPr>
        <w:pStyle w:val="Default"/>
        <w:numPr>
          <w:ilvl w:val="0"/>
          <w:numId w:val="30"/>
        </w:numPr>
        <w:tabs>
          <w:tab w:val="left" w:pos="567"/>
        </w:tabs>
        <w:spacing w:line="278" w:lineRule="atLeast"/>
        <w:ind w:left="567" w:hanging="567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>Rovnako ako ostatné NSAI</w:t>
      </w:r>
      <w:r w:rsidR="00B44613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>D</w:t>
      </w:r>
      <w:r w:rsidR="00690403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>,</w:t>
      </w:r>
      <w:r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je aj diklofenak kontraindikovaný</w:t>
      </w:r>
      <w:r w:rsidR="00AF110C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u </w:t>
      </w:r>
      <w:r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>pacientov so záchvatmi astmy, urtikárie</w:t>
      </w:r>
      <w:r w:rsidR="00C34B24">
        <w:rPr>
          <w:bCs/>
          <w:szCs w:val="22"/>
        </w:rPr>
        <w:t xml:space="preserve">, </w:t>
      </w:r>
      <w:r w:rsidR="00C34B24" w:rsidRPr="00541A55">
        <w:rPr>
          <w:rFonts w:ascii="Times New Roman" w:hAnsi="Times New Roman" w:cs="Times New Roman"/>
          <w:bCs/>
          <w:sz w:val="22"/>
          <w:szCs w:val="22"/>
        </w:rPr>
        <w:t>angioedému</w:t>
      </w:r>
      <w:r w:rsidRPr="00BA3165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ale</w:t>
      </w:r>
      <w:r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bo akútnej rinitídy, ktoré vznikli na základe užívania kyseliny acetylsalicylovej alebo iných </w:t>
      </w:r>
      <w:r w:rsidR="000B0AD2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>NSAID</w:t>
      </w:r>
      <w:r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. </w:t>
      </w:r>
    </w:p>
    <w:p w14:paraId="227613DD" w14:textId="77777777" w:rsidR="00690403" w:rsidRPr="00694DB8" w:rsidRDefault="00690403" w:rsidP="00690403">
      <w:pPr>
        <w:pStyle w:val="Default"/>
        <w:numPr>
          <w:ilvl w:val="0"/>
          <w:numId w:val="30"/>
        </w:numPr>
        <w:tabs>
          <w:tab w:val="left" w:pos="567"/>
        </w:tabs>
        <w:spacing w:line="278" w:lineRule="atLeast"/>
        <w:ind w:left="567" w:hanging="567"/>
        <w:rPr>
          <w:rFonts w:ascii="Times New Roman" w:hAnsi="Times New Roman" w:cs="Times New Roman"/>
          <w:bCs/>
          <w:color w:val="auto"/>
          <w:sz w:val="22"/>
          <w:szCs w:val="22"/>
          <w:lang w:val="sk-SK"/>
        </w:rPr>
      </w:pPr>
      <w:r w:rsidRPr="00694DB8">
        <w:rPr>
          <w:rFonts w:ascii="Times New Roman" w:hAnsi="Times New Roman" w:cs="Times New Roman"/>
          <w:bCs/>
          <w:sz w:val="22"/>
          <w:szCs w:val="22"/>
          <w:lang w:val="sk-SK"/>
        </w:rPr>
        <w:t>Tretí trimester gravidity (pozri časť 4.6).</w:t>
      </w:r>
    </w:p>
    <w:p w14:paraId="26E4C25B" w14:textId="77777777" w:rsidR="003A2E0D" w:rsidRPr="00694DB8" w:rsidRDefault="003A2E0D" w:rsidP="00AF110C">
      <w:pPr>
        <w:tabs>
          <w:tab w:val="left" w:pos="0"/>
          <w:tab w:val="left" w:pos="567"/>
        </w:tabs>
        <w:ind w:left="0" w:firstLine="0"/>
        <w:rPr>
          <w:szCs w:val="22"/>
        </w:rPr>
      </w:pPr>
    </w:p>
    <w:p w14:paraId="3100D1F6" w14:textId="77777777" w:rsidR="003A2E0D" w:rsidRPr="00694DB8" w:rsidRDefault="003A2E0D" w:rsidP="00AF110C">
      <w:pPr>
        <w:keepNext/>
        <w:tabs>
          <w:tab w:val="left" w:pos="0"/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4.4</w:t>
      </w:r>
      <w:r w:rsidRPr="00694DB8">
        <w:rPr>
          <w:b/>
          <w:szCs w:val="22"/>
        </w:rPr>
        <w:tab/>
        <w:t>Osobitné upozornenia a opatrenia pri používaní</w:t>
      </w:r>
    </w:p>
    <w:p w14:paraId="078386FD" w14:textId="77777777" w:rsidR="00FC7F44" w:rsidRPr="00694DB8" w:rsidRDefault="00FC7F44" w:rsidP="00AF110C">
      <w:pPr>
        <w:pStyle w:val="Nadpis3"/>
        <w:tabs>
          <w:tab w:val="left" w:pos="0"/>
          <w:tab w:val="left" w:pos="567"/>
        </w:tabs>
        <w:spacing w:before="0" w:after="0"/>
        <w:ind w:left="0" w:firstLine="0"/>
        <w:rPr>
          <w:rFonts w:ascii="Times New Roman" w:hAnsi="Times New Roman"/>
          <w:sz w:val="22"/>
          <w:szCs w:val="22"/>
        </w:rPr>
      </w:pPr>
    </w:p>
    <w:p w14:paraId="5BDE495D" w14:textId="77777777" w:rsidR="003E4AC0" w:rsidRPr="00694DB8" w:rsidRDefault="003E4AC0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Všeobecné</w:t>
      </w:r>
    </w:p>
    <w:p w14:paraId="79B14A20" w14:textId="77777777" w:rsidR="00F76279" w:rsidRPr="00694DB8" w:rsidRDefault="00F76279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 xml:space="preserve">Nežiaduce účinky sa môžu minimalizovať použitím najmenšej účinnej dávky počas najkratšieho obdobia, ktoré je potrebné na kontrolu symptómov (pozri </w:t>
      </w:r>
      <w:r w:rsidR="005B7CFD" w:rsidRPr="00694DB8">
        <w:rPr>
          <w:bCs/>
          <w:szCs w:val="22"/>
        </w:rPr>
        <w:t xml:space="preserve">časť </w:t>
      </w:r>
      <w:r w:rsidR="000B0AD2" w:rsidRPr="00694DB8">
        <w:rPr>
          <w:bCs/>
          <w:szCs w:val="22"/>
        </w:rPr>
        <w:t>G</w:t>
      </w:r>
      <w:r w:rsidR="005B7CFD" w:rsidRPr="00F41B18">
        <w:rPr>
          <w:bCs/>
          <w:szCs w:val="22"/>
        </w:rPr>
        <w:t>astrointestinálne</w:t>
      </w:r>
      <w:r w:rsidRPr="00F41B18">
        <w:rPr>
          <w:bCs/>
          <w:szCs w:val="22"/>
        </w:rPr>
        <w:t xml:space="preserve"> a </w:t>
      </w:r>
      <w:r w:rsidR="000B0AD2" w:rsidRPr="00694DB8">
        <w:rPr>
          <w:bCs/>
          <w:szCs w:val="22"/>
        </w:rPr>
        <w:t>K</w:t>
      </w:r>
      <w:r w:rsidRPr="00694DB8">
        <w:rPr>
          <w:bCs/>
          <w:szCs w:val="22"/>
        </w:rPr>
        <w:t xml:space="preserve">ardiovaskulárne </w:t>
      </w:r>
      <w:r w:rsidR="00E91F91" w:rsidRPr="00694DB8">
        <w:rPr>
          <w:bCs/>
          <w:szCs w:val="22"/>
        </w:rPr>
        <w:t xml:space="preserve">účinky </w:t>
      </w:r>
      <w:r w:rsidRPr="00694DB8">
        <w:rPr>
          <w:bCs/>
          <w:szCs w:val="22"/>
        </w:rPr>
        <w:t>nižšie).</w:t>
      </w:r>
    </w:p>
    <w:p w14:paraId="2175A98F" w14:textId="77777777" w:rsidR="001400B9" w:rsidRPr="00694DB8" w:rsidRDefault="001400B9" w:rsidP="00AF110C">
      <w:pPr>
        <w:tabs>
          <w:tab w:val="left" w:pos="567"/>
        </w:tabs>
        <w:ind w:left="0" w:firstLine="0"/>
        <w:rPr>
          <w:bCs/>
          <w:szCs w:val="22"/>
        </w:rPr>
      </w:pPr>
    </w:p>
    <w:p w14:paraId="39F69736" w14:textId="6C36DFF8" w:rsidR="005B7CFD" w:rsidRPr="00694DB8" w:rsidRDefault="001400B9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 xml:space="preserve">Je nutné sa vyvarovať </w:t>
      </w:r>
      <w:r w:rsidR="00C34B24">
        <w:rPr>
          <w:bCs/>
          <w:szCs w:val="22"/>
        </w:rPr>
        <w:t>súbežnému</w:t>
      </w:r>
      <w:r w:rsidR="00C34B24" w:rsidRPr="00694DB8">
        <w:rPr>
          <w:bCs/>
          <w:szCs w:val="22"/>
        </w:rPr>
        <w:t xml:space="preserve"> </w:t>
      </w:r>
      <w:r w:rsidRPr="00694DB8">
        <w:rPr>
          <w:bCs/>
          <w:szCs w:val="22"/>
        </w:rPr>
        <w:t>použitiu diklofenaku so systémovými NSAID vrátane selekt</w:t>
      </w:r>
      <w:r w:rsidR="00346DC6" w:rsidRPr="00694DB8">
        <w:rPr>
          <w:bCs/>
          <w:szCs w:val="22"/>
        </w:rPr>
        <w:t>í</w:t>
      </w:r>
      <w:r w:rsidRPr="00694DB8">
        <w:rPr>
          <w:bCs/>
          <w:szCs w:val="22"/>
        </w:rPr>
        <w:t xml:space="preserve">vnych inhibítorov COX-2 vzhľadom </w:t>
      </w:r>
      <w:r w:rsidR="00346DC6" w:rsidRPr="00694DB8">
        <w:rPr>
          <w:bCs/>
          <w:szCs w:val="22"/>
        </w:rPr>
        <w:t>na</w:t>
      </w:r>
      <w:r w:rsidRPr="00694DB8">
        <w:rPr>
          <w:bCs/>
          <w:szCs w:val="22"/>
        </w:rPr>
        <w:t xml:space="preserve"> možnos</w:t>
      </w:r>
      <w:r w:rsidR="00346DC6" w:rsidRPr="00694DB8">
        <w:rPr>
          <w:bCs/>
          <w:szCs w:val="22"/>
        </w:rPr>
        <w:t>ť</w:t>
      </w:r>
      <w:r w:rsidRPr="00694DB8">
        <w:rPr>
          <w:bCs/>
          <w:szCs w:val="22"/>
        </w:rPr>
        <w:t xml:space="preserve"> vzniku kumulat</w:t>
      </w:r>
      <w:r w:rsidR="00346DC6" w:rsidRPr="00694DB8">
        <w:rPr>
          <w:bCs/>
          <w:szCs w:val="22"/>
        </w:rPr>
        <w:t>ív</w:t>
      </w:r>
      <w:r w:rsidRPr="00694DB8">
        <w:rPr>
          <w:bCs/>
          <w:szCs w:val="22"/>
        </w:rPr>
        <w:t>nych nežiaducich účinkov.</w:t>
      </w:r>
    </w:p>
    <w:p w14:paraId="4413B84D" w14:textId="77777777" w:rsidR="001400B9" w:rsidRPr="00694DB8" w:rsidRDefault="001400B9" w:rsidP="00AF110C">
      <w:pPr>
        <w:tabs>
          <w:tab w:val="left" w:pos="567"/>
        </w:tabs>
        <w:ind w:left="0" w:firstLine="0"/>
        <w:rPr>
          <w:bCs/>
          <w:szCs w:val="22"/>
        </w:rPr>
      </w:pPr>
    </w:p>
    <w:p w14:paraId="439238F7" w14:textId="77777777" w:rsidR="005B7CFD" w:rsidRPr="00694DB8" w:rsidRDefault="005B7CFD" w:rsidP="00AF110C">
      <w:pPr>
        <w:tabs>
          <w:tab w:val="left" w:pos="567"/>
        </w:tabs>
        <w:ind w:left="0" w:firstLine="0"/>
        <w:rPr>
          <w:bCs/>
          <w:color w:val="000000"/>
          <w:szCs w:val="22"/>
        </w:rPr>
      </w:pPr>
      <w:r w:rsidRPr="00694DB8">
        <w:rPr>
          <w:bCs/>
          <w:color w:val="000000"/>
          <w:szCs w:val="22"/>
        </w:rPr>
        <w:lastRenderedPageBreak/>
        <w:t>Pozornosť je potrebné venovať starším pacientom vzhľadom</w:t>
      </w:r>
      <w:r w:rsidR="00AF110C" w:rsidRPr="00694DB8">
        <w:rPr>
          <w:bCs/>
          <w:color w:val="000000"/>
          <w:szCs w:val="22"/>
        </w:rPr>
        <w:t xml:space="preserve"> k </w:t>
      </w:r>
      <w:r w:rsidRPr="00694DB8">
        <w:rPr>
          <w:bCs/>
          <w:color w:val="000000"/>
          <w:szCs w:val="22"/>
        </w:rPr>
        <w:t>ich zdravotnému stavu. Zvlášť sa odporúča podávať najnižšiu účinnú dávku starším pacientom so zlým zdravotným stavom alebo nízkou telesnou hmotnosťou.</w:t>
      </w:r>
    </w:p>
    <w:p w14:paraId="5BA03126" w14:textId="77777777" w:rsidR="005B7CFD" w:rsidRPr="00694DB8" w:rsidRDefault="005B7CFD" w:rsidP="00AF110C">
      <w:pPr>
        <w:tabs>
          <w:tab w:val="left" w:pos="567"/>
        </w:tabs>
        <w:ind w:left="0" w:firstLine="0"/>
        <w:rPr>
          <w:bCs/>
          <w:color w:val="000000"/>
          <w:szCs w:val="22"/>
        </w:rPr>
      </w:pPr>
    </w:p>
    <w:p w14:paraId="2B8A5B58" w14:textId="15B48C54" w:rsidR="005B7CFD" w:rsidRPr="000A778B" w:rsidRDefault="005B7CFD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Tak ako pri iných NSAID,</w:t>
      </w:r>
      <w:r w:rsidR="00AF110C" w:rsidRPr="00694DB8">
        <w:rPr>
          <w:bCs/>
          <w:szCs w:val="22"/>
        </w:rPr>
        <w:t xml:space="preserve"> v </w:t>
      </w:r>
      <w:r w:rsidRPr="00694DB8">
        <w:rPr>
          <w:bCs/>
          <w:szCs w:val="22"/>
        </w:rPr>
        <w:t>zriedkavých prípadoch sa môžu objaviť alergické reakcie vrátane anafylaktických</w:t>
      </w:r>
      <w:r w:rsidR="000B0AD2" w:rsidRPr="00694DB8">
        <w:rPr>
          <w:bCs/>
          <w:szCs w:val="22"/>
        </w:rPr>
        <w:t> </w:t>
      </w:r>
      <w:r w:rsidRPr="00694DB8">
        <w:rPr>
          <w:bCs/>
          <w:szCs w:val="22"/>
        </w:rPr>
        <w:t>/</w:t>
      </w:r>
      <w:r w:rsidR="000B0AD2" w:rsidRPr="00694DB8">
        <w:rPr>
          <w:szCs w:val="22"/>
        </w:rPr>
        <w:t> </w:t>
      </w:r>
      <w:r w:rsidRPr="00694DB8">
        <w:rPr>
          <w:bCs/>
          <w:szCs w:val="22"/>
        </w:rPr>
        <w:t>anafylaktoidných reakcií</w:t>
      </w:r>
      <w:r w:rsidR="00690403" w:rsidRPr="00694DB8">
        <w:rPr>
          <w:bCs/>
          <w:szCs w:val="22"/>
        </w:rPr>
        <w:t>, a to</w:t>
      </w:r>
      <w:r w:rsidRPr="00694DB8">
        <w:rPr>
          <w:bCs/>
          <w:szCs w:val="22"/>
        </w:rPr>
        <w:t xml:space="preserve"> aj bez predošlej expozície diklofenaku</w:t>
      </w:r>
      <w:r w:rsidRPr="000A778B">
        <w:rPr>
          <w:bCs/>
          <w:szCs w:val="22"/>
        </w:rPr>
        <w:t xml:space="preserve">. </w:t>
      </w:r>
      <w:r w:rsidR="0072030E" w:rsidRPr="000A778B">
        <w:rPr>
          <w:bCs/>
          <w:szCs w:val="22"/>
        </w:rPr>
        <w:t>Reakcie z precitlivenosti môžu dokonca vyústiť do Kounisovho syndrómu, závažnej alergickej reakcie, ktorá môže viesť k infarktu myokardu. Príznaky takýchto reakcií môžu zahŕňať bolesť na hrudi vyskytujúcu sa v spojení s alergickou reakciou na diklofenak.</w:t>
      </w:r>
    </w:p>
    <w:p w14:paraId="75DEFEF4" w14:textId="77777777" w:rsidR="005B7CFD" w:rsidRPr="000A778B" w:rsidRDefault="005B7CFD" w:rsidP="00AF110C">
      <w:pPr>
        <w:pStyle w:val="Zkladntext"/>
        <w:tabs>
          <w:tab w:val="left" w:pos="567"/>
        </w:tabs>
        <w:rPr>
          <w:b/>
          <w:szCs w:val="22"/>
        </w:rPr>
      </w:pPr>
    </w:p>
    <w:p w14:paraId="06E7DB7E" w14:textId="77777777" w:rsidR="005B7CFD" w:rsidRPr="00694DB8" w:rsidRDefault="005B7CFD" w:rsidP="00AF110C">
      <w:pPr>
        <w:pStyle w:val="Zkladntext"/>
        <w:tabs>
          <w:tab w:val="left" w:pos="567"/>
        </w:tabs>
        <w:rPr>
          <w:bCs/>
          <w:szCs w:val="22"/>
        </w:rPr>
      </w:pPr>
      <w:r w:rsidRPr="000A778B">
        <w:rPr>
          <w:bCs/>
          <w:szCs w:val="22"/>
        </w:rPr>
        <w:t xml:space="preserve">Tak ako iné NSAID, </w:t>
      </w:r>
      <w:r w:rsidRPr="000A778B">
        <w:rPr>
          <w:szCs w:val="22"/>
        </w:rPr>
        <w:t xml:space="preserve">diklofenak </w:t>
      </w:r>
      <w:r w:rsidRPr="000A778B">
        <w:rPr>
          <w:bCs/>
          <w:szCs w:val="22"/>
        </w:rPr>
        <w:t xml:space="preserve">môže vzhľadom na svoje farmakodynamické vlastnosti </w:t>
      </w:r>
      <w:r w:rsidRPr="000A778B">
        <w:rPr>
          <w:szCs w:val="22"/>
        </w:rPr>
        <w:t>maskovať</w:t>
      </w:r>
      <w:r w:rsidRPr="00694DB8">
        <w:rPr>
          <w:bCs/>
          <w:szCs w:val="22"/>
        </w:rPr>
        <w:t xml:space="preserve"> príznaky a prejavy infekcie. </w:t>
      </w:r>
    </w:p>
    <w:p w14:paraId="07DC2633" w14:textId="77777777" w:rsidR="005B7CFD" w:rsidRPr="00694DB8" w:rsidRDefault="005B7CFD" w:rsidP="00AF110C">
      <w:pPr>
        <w:pStyle w:val="Zkladntext"/>
        <w:tabs>
          <w:tab w:val="left" w:pos="567"/>
        </w:tabs>
        <w:rPr>
          <w:bCs/>
          <w:szCs w:val="22"/>
        </w:rPr>
      </w:pPr>
    </w:p>
    <w:p w14:paraId="23B23990" w14:textId="77777777" w:rsidR="005B7CFD" w:rsidRPr="00694DB8" w:rsidRDefault="005B7CFD" w:rsidP="000B0AD2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Užívanie nízkych dávok, krátkodobé užívanie perorálnych foriem diklofenaku pri bolesti hlavy</w:t>
      </w:r>
    </w:p>
    <w:p w14:paraId="07570449" w14:textId="4717E772" w:rsidR="005B7CFD" w:rsidRPr="00694DB8" w:rsidRDefault="005B7CFD" w:rsidP="00AF110C">
      <w:pPr>
        <w:pStyle w:val="Default"/>
        <w:tabs>
          <w:tab w:val="left" w:pos="567"/>
        </w:tabs>
        <w:rPr>
          <w:rFonts w:ascii="Times New Roman" w:hAnsi="Times New Roman" w:cs="Times New Roman"/>
          <w:bCs/>
          <w:sz w:val="22"/>
          <w:szCs w:val="22"/>
          <w:lang w:val="sk-SK" w:eastAsia="sk-SK"/>
        </w:rPr>
      </w:pPr>
      <w:r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>Dlhodobé užívanie akéhokoľvek lieku proti bolesti hlavy môže túto bolesť zhoršiť.</w:t>
      </w:r>
      <w:r w:rsidR="000B0AD2" w:rsidRPr="00F41B18">
        <w:rPr>
          <w:rFonts w:ascii="Times New Roman" w:hAnsi="Times New Roman" w:cs="Times New Roman"/>
          <w:bCs/>
          <w:sz w:val="22"/>
          <w:szCs w:val="22"/>
          <w:lang w:val="sk-SK" w:eastAsia="sk-SK"/>
        </w:rPr>
        <w:t xml:space="preserve"> V</w:t>
      </w:r>
      <w:r w:rsidR="00AF110C" w:rsidRPr="00F41B18">
        <w:rPr>
          <w:rFonts w:ascii="Times New Roman" w:hAnsi="Times New Roman" w:cs="Times New Roman"/>
          <w:bCs/>
          <w:sz w:val="22"/>
          <w:szCs w:val="22"/>
          <w:lang w:val="sk-SK" w:eastAsia="sk-SK"/>
        </w:rPr>
        <w:t> </w:t>
      </w:r>
      <w:r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>prípade, že</w:t>
      </w:r>
      <w:r w:rsidR="00AF110C"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 xml:space="preserve"> k </w:t>
      </w:r>
      <w:r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>tejto situácii už došlo alebo je podozrenie, že</w:t>
      </w:r>
      <w:r w:rsidR="00AF110C"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 xml:space="preserve"> k </w:t>
      </w:r>
      <w:r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>nej dôjde, vyhľadajte lekársku pomoc a ukončite liečbu. Na diagnózu MOH (Medical Overuse Headache</w:t>
      </w:r>
      <w:r w:rsidR="000B0AD2"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 xml:space="preserve">, </w:t>
      </w:r>
      <w:r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>bolesť hlavy</w:t>
      </w:r>
      <w:r w:rsidR="00AF110C"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 xml:space="preserve"> z </w:t>
      </w:r>
      <w:r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 xml:space="preserve">nadužívania liekov) je potrebné myslieť </w:t>
      </w:r>
      <w:r w:rsidR="00C34B24">
        <w:rPr>
          <w:rFonts w:ascii="Times New Roman" w:hAnsi="Times New Roman" w:cs="Times New Roman"/>
          <w:bCs/>
          <w:sz w:val="22"/>
          <w:szCs w:val="22"/>
          <w:lang w:val="sk-SK" w:eastAsia="sk-SK"/>
        </w:rPr>
        <w:t>u</w:t>
      </w:r>
      <w:r w:rsidR="00D60C7C">
        <w:rPr>
          <w:rFonts w:ascii="Times New Roman" w:hAnsi="Times New Roman" w:cs="Times New Roman"/>
          <w:bCs/>
          <w:sz w:val="22"/>
          <w:szCs w:val="22"/>
          <w:lang w:val="sk-SK" w:eastAsia="sk-SK"/>
        </w:rPr>
        <w:t> </w:t>
      </w:r>
      <w:r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>pacientov, ktorí majú časté alebo denné bolesti hlavy napriek alebo</w:t>
      </w:r>
      <w:r w:rsidR="00AF110C"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 xml:space="preserve"> v </w:t>
      </w:r>
      <w:r w:rsidRPr="00694DB8">
        <w:rPr>
          <w:rFonts w:ascii="Times New Roman" w:hAnsi="Times New Roman" w:cs="Times New Roman"/>
          <w:bCs/>
          <w:sz w:val="22"/>
          <w:szCs w:val="22"/>
          <w:lang w:val="sk-SK" w:eastAsia="sk-SK"/>
        </w:rPr>
        <w:t>dôsledku pravidelného užívania liekov na bolesť hlavy.</w:t>
      </w:r>
    </w:p>
    <w:p w14:paraId="304C1620" w14:textId="77777777" w:rsidR="00F76279" w:rsidRPr="00694DB8" w:rsidRDefault="00F76279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71F9868A" w14:textId="77777777" w:rsidR="005B7CFD" w:rsidRPr="00694DB8" w:rsidRDefault="00D235FE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Gastrointestinálne účinky</w:t>
      </w:r>
    </w:p>
    <w:p w14:paraId="0CAB4FD3" w14:textId="77777777" w:rsidR="00BA3165" w:rsidRDefault="002E0D91" w:rsidP="00AF110C">
      <w:pPr>
        <w:pStyle w:val="CM7"/>
        <w:tabs>
          <w:tab w:val="left" w:pos="567"/>
        </w:tabs>
        <w:spacing w:after="0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>Ako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u 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ostatných NSAID vrátane diklofenaku bolo hlásené gastrointestinálne krvácanie, ulcerácia alebo perforácia vredu, ktoré môžu byť fatálne a </w:t>
      </w:r>
      <w:r w:rsidRPr="00F41B18">
        <w:rPr>
          <w:rFonts w:ascii="Times New Roman" w:hAnsi="Times New Roman"/>
          <w:sz w:val="22"/>
          <w:szCs w:val="22"/>
          <w:lang w:val="sk-SK"/>
        </w:rPr>
        <w:t xml:space="preserve">môžu </w:t>
      </w:r>
      <w:r w:rsidR="000B0AD2" w:rsidRPr="00F41B18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F41B18">
        <w:rPr>
          <w:rFonts w:ascii="Times New Roman" w:hAnsi="Times New Roman"/>
          <w:sz w:val="22"/>
          <w:szCs w:val="22"/>
          <w:lang w:val="sk-SK"/>
        </w:rPr>
        <w:t>objaviť kedykoľvek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v </w:t>
      </w:r>
      <w:r w:rsidRPr="00694DB8">
        <w:rPr>
          <w:rFonts w:ascii="Times New Roman" w:hAnsi="Times New Roman"/>
          <w:sz w:val="22"/>
          <w:szCs w:val="22"/>
          <w:lang w:val="sk-SK"/>
        </w:rPr>
        <w:t>priebehu liečby</w:t>
      </w:r>
      <w:r w:rsidR="000B0AD2" w:rsidRPr="00694DB8">
        <w:rPr>
          <w:rFonts w:ascii="Times New Roman" w:hAnsi="Times New Roman"/>
          <w:sz w:val="22"/>
          <w:szCs w:val="22"/>
          <w:lang w:val="sk-SK"/>
        </w:rPr>
        <w:t>,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 buď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s 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varujúcimi príznakmi alebo aj bez </w:t>
      </w:r>
      <w:r w:rsidR="00E91F91" w:rsidRPr="00694DB8">
        <w:rPr>
          <w:rFonts w:ascii="Times New Roman" w:hAnsi="Times New Roman"/>
          <w:sz w:val="22"/>
          <w:szCs w:val="22"/>
          <w:lang w:val="sk-SK"/>
        </w:rPr>
        <w:t>nich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0B0AD2" w:rsidRPr="00694DB8">
        <w:rPr>
          <w:rFonts w:ascii="Times New Roman" w:hAnsi="Times New Roman"/>
          <w:sz w:val="22"/>
          <w:szCs w:val="22"/>
          <w:lang w:val="sk-SK"/>
        </w:rPr>
        <w:t xml:space="preserve">a </w:t>
      </w:r>
      <w:r w:rsidRPr="00694DB8">
        <w:rPr>
          <w:rFonts w:ascii="Times New Roman" w:hAnsi="Times New Roman"/>
          <w:sz w:val="22"/>
          <w:szCs w:val="22"/>
          <w:lang w:val="sk-SK"/>
        </w:rPr>
        <w:t>ktoré svedčia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o </w:t>
      </w:r>
      <w:r w:rsidRPr="00694DB8">
        <w:rPr>
          <w:rFonts w:ascii="Times New Roman" w:hAnsi="Times New Roman"/>
          <w:sz w:val="22"/>
          <w:szCs w:val="22"/>
          <w:lang w:val="sk-SK"/>
        </w:rPr>
        <w:t>týchto komplikáciách aj bez predch</w:t>
      </w:r>
      <w:r w:rsidR="000B0AD2" w:rsidRPr="00694DB8">
        <w:rPr>
          <w:rFonts w:ascii="Times New Roman" w:hAnsi="Times New Roman"/>
          <w:sz w:val="22"/>
          <w:szCs w:val="22"/>
          <w:lang w:val="sk-SK"/>
        </w:rPr>
        <w:t>ádzajúc</w:t>
      </w:r>
      <w:r w:rsidRPr="00694DB8">
        <w:rPr>
          <w:rFonts w:ascii="Times New Roman" w:hAnsi="Times New Roman"/>
          <w:sz w:val="22"/>
          <w:szCs w:val="22"/>
          <w:lang w:val="sk-SK"/>
        </w:rPr>
        <w:t>ej anamnézy závažných gastrointestinálnych príhod.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3221683" w14:textId="77777777" w:rsidR="00BA3165" w:rsidRDefault="00BA3165" w:rsidP="00AF110C">
      <w:pPr>
        <w:pStyle w:val="CM7"/>
        <w:tabs>
          <w:tab w:val="left" w:pos="567"/>
        </w:tabs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6DC676A7" w14:textId="77777777" w:rsidR="00BA3165" w:rsidRDefault="000B0AD2" w:rsidP="00AF110C">
      <w:pPr>
        <w:pStyle w:val="CM7"/>
        <w:tabs>
          <w:tab w:val="left" w:pos="567"/>
        </w:tabs>
        <w:spacing w:after="0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>U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> </w:t>
      </w:r>
      <w:r w:rsidR="002E0D91" w:rsidRPr="00694DB8">
        <w:rPr>
          <w:rFonts w:ascii="Times New Roman" w:hAnsi="Times New Roman"/>
          <w:sz w:val="22"/>
          <w:szCs w:val="22"/>
          <w:lang w:val="sk-SK"/>
        </w:rPr>
        <w:t>starších pacientov majú vo všeobecnosti nežiaduce účinky závažnejšie následky.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1C2E76A" w14:textId="77777777" w:rsidR="00BA3165" w:rsidRDefault="00BA3165" w:rsidP="00AF110C">
      <w:pPr>
        <w:pStyle w:val="CM7"/>
        <w:tabs>
          <w:tab w:val="left" w:pos="567"/>
        </w:tabs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5D34CC5C" w14:textId="77777777" w:rsidR="002E0D91" w:rsidRPr="00694DB8" w:rsidRDefault="000B0AD2" w:rsidP="00AF110C">
      <w:pPr>
        <w:pStyle w:val="CM7"/>
        <w:tabs>
          <w:tab w:val="left" w:pos="567"/>
        </w:tabs>
        <w:spacing w:after="0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>V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> </w:t>
      </w:r>
      <w:r w:rsidR="002E0D91" w:rsidRPr="00694DB8">
        <w:rPr>
          <w:rFonts w:ascii="Times New Roman" w:hAnsi="Times New Roman"/>
          <w:sz w:val="22"/>
          <w:szCs w:val="22"/>
          <w:lang w:val="sk-SK"/>
        </w:rPr>
        <w:t>prípade výskytu gastrointestinálneho krvácania alebo ulcerácie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u </w:t>
      </w:r>
      <w:r w:rsidR="002E0D91" w:rsidRPr="00694DB8">
        <w:rPr>
          <w:rFonts w:ascii="Times New Roman" w:hAnsi="Times New Roman"/>
          <w:sz w:val="22"/>
          <w:szCs w:val="22"/>
          <w:lang w:val="sk-SK"/>
        </w:rPr>
        <w:t xml:space="preserve">pacientov užívajúcich diklofenak musí byť 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2E0D91" w:rsidRPr="00694DB8">
        <w:rPr>
          <w:rFonts w:ascii="Times New Roman" w:hAnsi="Times New Roman"/>
          <w:sz w:val="22"/>
          <w:szCs w:val="22"/>
          <w:lang w:val="sk-SK"/>
        </w:rPr>
        <w:t>vysadený.</w:t>
      </w:r>
    </w:p>
    <w:p w14:paraId="4D90D331" w14:textId="77777777" w:rsidR="002E0D91" w:rsidRPr="00694DB8" w:rsidRDefault="002E0D91" w:rsidP="00AF110C">
      <w:pPr>
        <w:tabs>
          <w:tab w:val="left" w:pos="567"/>
        </w:tabs>
        <w:ind w:left="0" w:firstLine="0"/>
        <w:rPr>
          <w:i/>
          <w:szCs w:val="22"/>
        </w:rPr>
      </w:pPr>
    </w:p>
    <w:p w14:paraId="436CC09E" w14:textId="77777777" w:rsidR="00627552" w:rsidRDefault="0075643F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Tak ako pri všetkých NSAID</w:t>
      </w:r>
      <w:r w:rsidR="00ED5C0F" w:rsidRPr="00694DB8">
        <w:rPr>
          <w:bCs/>
          <w:szCs w:val="22"/>
        </w:rPr>
        <w:t>,</w:t>
      </w:r>
      <w:r w:rsidR="00D86A42" w:rsidRPr="00694DB8">
        <w:rPr>
          <w:szCs w:val="22"/>
        </w:rPr>
        <w:t xml:space="preserve"> vrátane diklofenaku</w:t>
      </w:r>
      <w:r w:rsidRPr="00694DB8">
        <w:rPr>
          <w:bCs/>
          <w:szCs w:val="22"/>
        </w:rPr>
        <w:t>,</w:t>
      </w:r>
      <w:r w:rsidR="00F36F13" w:rsidRPr="00694DB8">
        <w:rPr>
          <w:bCs/>
          <w:szCs w:val="22"/>
        </w:rPr>
        <w:t xml:space="preserve"> </w:t>
      </w:r>
      <w:r w:rsidR="00690403" w:rsidRPr="00694DB8">
        <w:rPr>
          <w:bCs/>
          <w:szCs w:val="22"/>
        </w:rPr>
        <w:t>pri predpisovaní diklofenaku pacientom so symptómami poukazujúcimi na gastrointestinálne ochorenie alebo na vredovú chorobu žalúdka či čreva, krvácanie alebo perforáciu v anamnéze je nutná</w:t>
      </w:r>
      <w:r w:rsidR="00690403" w:rsidRPr="00694DB8" w:rsidDel="000B0AD2">
        <w:rPr>
          <w:bCs/>
          <w:szCs w:val="22"/>
        </w:rPr>
        <w:t xml:space="preserve"> </w:t>
      </w:r>
      <w:r w:rsidR="00ED620D" w:rsidRPr="00694DB8">
        <w:rPr>
          <w:bCs/>
          <w:szCs w:val="22"/>
        </w:rPr>
        <w:t xml:space="preserve">je nutná </w:t>
      </w:r>
      <w:r w:rsidR="000B0AD2" w:rsidRPr="00694DB8">
        <w:rPr>
          <w:bCs/>
          <w:szCs w:val="22"/>
        </w:rPr>
        <w:t xml:space="preserve">dôsledná kontrola zdravotného stavu a opatrnosť </w:t>
      </w:r>
      <w:r w:rsidRPr="00694DB8">
        <w:rPr>
          <w:bCs/>
          <w:szCs w:val="22"/>
        </w:rPr>
        <w:t xml:space="preserve">(pozri časť 4.8). </w:t>
      </w:r>
    </w:p>
    <w:p w14:paraId="761E574E" w14:textId="77777777" w:rsidR="00627552" w:rsidRDefault="00627552" w:rsidP="00AF110C">
      <w:pPr>
        <w:tabs>
          <w:tab w:val="left" w:pos="567"/>
        </w:tabs>
        <w:ind w:left="0" w:firstLine="0"/>
        <w:rPr>
          <w:bCs/>
          <w:szCs w:val="22"/>
        </w:rPr>
      </w:pPr>
    </w:p>
    <w:p w14:paraId="4802DC9C" w14:textId="69BC4134" w:rsidR="002E0D91" w:rsidRPr="00694DB8" w:rsidRDefault="00D235FE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 xml:space="preserve">Riziko </w:t>
      </w:r>
      <w:r w:rsidR="00B8602D" w:rsidRPr="00694DB8">
        <w:rPr>
          <w:bCs/>
          <w:szCs w:val="22"/>
        </w:rPr>
        <w:t>gastrointestinálneho</w:t>
      </w:r>
      <w:r w:rsidRPr="00694DB8">
        <w:rPr>
          <w:bCs/>
          <w:szCs w:val="22"/>
        </w:rPr>
        <w:t xml:space="preserve"> krvácania </w:t>
      </w:r>
      <w:r w:rsidR="00E45474" w:rsidRPr="00694DB8">
        <w:rPr>
          <w:bCs/>
          <w:szCs w:val="22"/>
        </w:rPr>
        <w:t>sa z</w:t>
      </w:r>
      <w:r w:rsidRPr="00694DB8">
        <w:rPr>
          <w:bCs/>
          <w:szCs w:val="22"/>
        </w:rPr>
        <w:t>vyš</w:t>
      </w:r>
      <w:r w:rsidR="00ED620D" w:rsidRPr="00694DB8">
        <w:rPr>
          <w:bCs/>
          <w:szCs w:val="22"/>
        </w:rPr>
        <w:t>uje so</w:t>
      </w:r>
      <w:r w:rsidR="00FD4348" w:rsidRPr="00694DB8">
        <w:rPr>
          <w:bCs/>
          <w:szCs w:val="22"/>
        </w:rPr>
        <w:t> </w:t>
      </w:r>
      <w:r w:rsidR="00ED620D" w:rsidRPr="00694DB8">
        <w:rPr>
          <w:bCs/>
          <w:szCs w:val="22"/>
        </w:rPr>
        <w:t>zvyšujúcimi sa</w:t>
      </w:r>
      <w:r w:rsidRPr="00694DB8">
        <w:rPr>
          <w:bCs/>
          <w:szCs w:val="22"/>
        </w:rPr>
        <w:t xml:space="preserve"> dávka</w:t>
      </w:r>
      <w:r w:rsidR="00ED620D" w:rsidRPr="00694DB8">
        <w:rPr>
          <w:bCs/>
          <w:szCs w:val="22"/>
        </w:rPr>
        <w:t>mi</w:t>
      </w:r>
      <w:r w:rsidRPr="00694DB8">
        <w:rPr>
          <w:bCs/>
          <w:szCs w:val="22"/>
        </w:rPr>
        <w:t xml:space="preserve"> NSAID</w:t>
      </w:r>
      <w:r w:rsidR="00782AA5" w:rsidRPr="00694DB8">
        <w:rPr>
          <w:bCs/>
          <w:szCs w:val="22"/>
        </w:rPr>
        <w:t xml:space="preserve"> a</w:t>
      </w:r>
      <w:r w:rsidR="00AF110C" w:rsidRPr="00694DB8">
        <w:rPr>
          <w:bCs/>
          <w:szCs w:val="22"/>
        </w:rPr>
        <w:t xml:space="preserve"> u </w:t>
      </w:r>
      <w:r w:rsidR="00782AA5" w:rsidRPr="00694DB8">
        <w:rPr>
          <w:bCs/>
          <w:szCs w:val="22"/>
        </w:rPr>
        <w:t>pacientov</w:t>
      </w:r>
      <w:r w:rsidR="00AF110C" w:rsidRPr="00694DB8">
        <w:rPr>
          <w:bCs/>
          <w:szCs w:val="22"/>
        </w:rPr>
        <w:t xml:space="preserve"> s </w:t>
      </w:r>
      <w:r w:rsidR="00782AA5" w:rsidRPr="00694DB8">
        <w:rPr>
          <w:bCs/>
          <w:szCs w:val="22"/>
        </w:rPr>
        <w:t>vredom</w:t>
      </w:r>
      <w:r w:rsidR="00AF110C" w:rsidRPr="00694DB8">
        <w:rPr>
          <w:bCs/>
          <w:szCs w:val="22"/>
        </w:rPr>
        <w:t xml:space="preserve"> v </w:t>
      </w:r>
      <w:r w:rsidR="00782AA5" w:rsidRPr="00694DB8">
        <w:rPr>
          <w:bCs/>
          <w:szCs w:val="22"/>
        </w:rPr>
        <w:t>anamnéze, najmä ak bol komplikovaný krvácaním alebo perforáciou a</w:t>
      </w:r>
      <w:r w:rsidR="00AF110C" w:rsidRPr="00694DB8">
        <w:rPr>
          <w:bCs/>
          <w:szCs w:val="22"/>
        </w:rPr>
        <w:t xml:space="preserve"> u </w:t>
      </w:r>
      <w:r w:rsidR="00782AA5" w:rsidRPr="00694DB8">
        <w:rPr>
          <w:bCs/>
          <w:szCs w:val="22"/>
        </w:rPr>
        <w:t xml:space="preserve">starších </w:t>
      </w:r>
      <w:r w:rsidR="00ED620D" w:rsidRPr="00694DB8">
        <w:rPr>
          <w:bCs/>
          <w:szCs w:val="22"/>
        </w:rPr>
        <w:t>osôb</w:t>
      </w:r>
      <w:r w:rsidR="00782AA5" w:rsidRPr="00694DB8">
        <w:rPr>
          <w:bCs/>
          <w:szCs w:val="22"/>
        </w:rPr>
        <w:t>.</w:t>
      </w:r>
      <w:r w:rsidR="00AF110C" w:rsidRPr="00694DB8">
        <w:rPr>
          <w:bCs/>
          <w:szCs w:val="22"/>
        </w:rPr>
        <w:t xml:space="preserve"> </w:t>
      </w:r>
      <w:r w:rsidR="000B0AD2" w:rsidRPr="00694DB8">
        <w:rPr>
          <w:bCs/>
          <w:szCs w:val="22"/>
        </w:rPr>
        <w:t>U</w:t>
      </w:r>
      <w:r w:rsidR="00AF110C" w:rsidRPr="00694DB8">
        <w:rPr>
          <w:bCs/>
          <w:szCs w:val="22"/>
        </w:rPr>
        <w:t> </w:t>
      </w:r>
      <w:r w:rsidR="002E0D91" w:rsidRPr="00694DB8">
        <w:rPr>
          <w:bCs/>
          <w:szCs w:val="22"/>
        </w:rPr>
        <w:t>starších pacientov je zvýšený výskyt nežiaducich účinkov na NSAID, najmä gastrointestinálne</w:t>
      </w:r>
      <w:r w:rsidR="000B0AD2" w:rsidRPr="00694DB8">
        <w:rPr>
          <w:bCs/>
          <w:szCs w:val="22"/>
        </w:rPr>
        <w:t>ho</w:t>
      </w:r>
      <w:r w:rsidR="002E0D91" w:rsidRPr="00694DB8">
        <w:rPr>
          <w:bCs/>
          <w:szCs w:val="22"/>
        </w:rPr>
        <w:t xml:space="preserve"> krvácani</w:t>
      </w:r>
      <w:r w:rsidR="000B0AD2" w:rsidRPr="00694DB8">
        <w:rPr>
          <w:bCs/>
          <w:szCs w:val="22"/>
        </w:rPr>
        <w:t>a</w:t>
      </w:r>
      <w:r w:rsidR="002E0D91" w:rsidRPr="00694DB8">
        <w:rPr>
          <w:bCs/>
          <w:szCs w:val="22"/>
        </w:rPr>
        <w:t xml:space="preserve"> a perforácie, ktoré môžu byť fatálne.</w:t>
      </w:r>
    </w:p>
    <w:p w14:paraId="30D63666" w14:textId="77777777" w:rsidR="000234D7" w:rsidRPr="00694DB8" w:rsidRDefault="000234D7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24F1A5D9" w14:textId="77777777" w:rsidR="00782AA5" w:rsidRPr="00694DB8" w:rsidRDefault="001D125A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Na zníženie rizika gastrointestinálnej toxicity</w:t>
      </w:r>
      <w:r w:rsidR="00AF110C" w:rsidRPr="00694DB8">
        <w:rPr>
          <w:bCs/>
          <w:szCs w:val="22"/>
        </w:rPr>
        <w:t xml:space="preserve"> u </w:t>
      </w:r>
      <w:r w:rsidRPr="00694DB8">
        <w:rPr>
          <w:bCs/>
          <w:szCs w:val="22"/>
        </w:rPr>
        <w:t>pacientov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>vredom</w:t>
      </w:r>
      <w:r w:rsidR="00AF110C" w:rsidRPr="00694DB8">
        <w:rPr>
          <w:bCs/>
          <w:szCs w:val="22"/>
        </w:rPr>
        <w:t xml:space="preserve"> v </w:t>
      </w:r>
      <w:r w:rsidRPr="00694DB8">
        <w:rPr>
          <w:bCs/>
          <w:szCs w:val="22"/>
        </w:rPr>
        <w:t>anamnéze, najmä ak bol komplikovaný krvácaním alebo perforáciou a</w:t>
      </w:r>
      <w:r w:rsidR="00AF110C" w:rsidRPr="00694DB8">
        <w:rPr>
          <w:bCs/>
          <w:szCs w:val="22"/>
        </w:rPr>
        <w:t xml:space="preserve"> u </w:t>
      </w:r>
      <w:r w:rsidRPr="00694DB8">
        <w:rPr>
          <w:bCs/>
          <w:szCs w:val="22"/>
        </w:rPr>
        <w:t>starších ľudí</w:t>
      </w:r>
      <w:r w:rsidR="00723674" w:rsidRPr="00694DB8">
        <w:rPr>
          <w:bCs/>
          <w:szCs w:val="22"/>
        </w:rPr>
        <w:t>,</w:t>
      </w:r>
      <w:r w:rsidRPr="00694DB8">
        <w:rPr>
          <w:bCs/>
          <w:szCs w:val="22"/>
        </w:rPr>
        <w:t xml:space="preserve"> </w:t>
      </w:r>
      <w:r w:rsidR="008D411F" w:rsidRPr="00694DB8">
        <w:rPr>
          <w:bCs/>
          <w:szCs w:val="22"/>
        </w:rPr>
        <w:t xml:space="preserve">je potrebné </w:t>
      </w:r>
      <w:r w:rsidRPr="00694DB8">
        <w:rPr>
          <w:bCs/>
          <w:szCs w:val="22"/>
        </w:rPr>
        <w:t xml:space="preserve">liečbu </w:t>
      </w:r>
      <w:r w:rsidR="00782AA5" w:rsidRPr="00694DB8">
        <w:rPr>
          <w:bCs/>
          <w:szCs w:val="22"/>
        </w:rPr>
        <w:t>začať a</w:t>
      </w:r>
      <w:r w:rsidR="008D411F" w:rsidRPr="00694DB8">
        <w:rPr>
          <w:bCs/>
          <w:szCs w:val="22"/>
        </w:rPr>
        <w:t> udržiavať na</w:t>
      </w:r>
      <w:r w:rsidR="00FD4348" w:rsidRPr="00694DB8">
        <w:rPr>
          <w:bCs/>
          <w:szCs w:val="22"/>
        </w:rPr>
        <w:t> </w:t>
      </w:r>
      <w:r w:rsidR="00782AA5" w:rsidRPr="00694DB8">
        <w:rPr>
          <w:bCs/>
          <w:szCs w:val="22"/>
        </w:rPr>
        <w:t>najnižš</w:t>
      </w:r>
      <w:r w:rsidR="008D411F" w:rsidRPr="00694DB8">
        <w:rPr>
          <w:bCs/>
          <w:szCs w:val="22"/>
        </w:rPr>
        <w:t>ej</w:t>
      </w:r>
      <w:r w:rsidR="00782AA5" w:rsidRPr="00694DB8">
        <w:rPr>
          <w:bCs/>
          <w:szCs w:val="22"/>
        </w:rPr>
        <w:t xml:space="preserve"> účinn</w:t>
      </w:r>
      <w:r w:rsidR="008D411F" w:rsidRPr="00694DB8">
        <w:rPr>
          <w:bCs/>
          <w:szCs w:val="22"/>
        </w:rPr>
        <w:t>ej</w:t>
      </w:r>
      <w:r w:rsidR="00782AA5" w:rsidRPr="00694DB8">
        <w:rPr>
          <w:bCs/>
          <w:szCs w:val="22"/>
        </w:rPr>
        <w:t xml:space="preserve"> dávk</w:t>
      </w:r>
      <w:r w:rsidR="008D411F" w:rsidRPr="00694DB8">
        <w:rPr>
          <w:bCs/>
          <w:szCs w:val="22"/>
        </w:rPr>
        <w:t>e</w:t>
      </w:r>
      <w:r w:rsidRPr="00694DB8">
        <w:rPr>
          <w:bCs/>
          <w:szCs w:val="22"/>
        </w:rPr>
        <w:t>.</w:t>
      </w:r>
    </w:p>
    <w:p w14:paraId="6574318C" w14:textId="77777777" w:rsidR="000234D7" w:rsidRPr="00694DB8" w:rsidRDefault="000234D7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359DBF25" w14:textId="7B16DAA0" w:rsidR="008D411F" w:rsidRPr="00694DB8" w:rsidRDefault="00ED620D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U</w:t>
      </w:r>
      <w:r w:rsidR="000B0AD2" w:rsidRPr="00694DB8">
        <w:rPr>
          <w:bCs/>
          <w:szCs w:val="22"/>
        </w:rPr>
        <w:t> </w:t>
      </w:r>
      <w:r w:rsidRPr="00694DB8">
        <w:rPr>
          <w:bCs/>
          <w:szCs w:val="22"/>
        </w:rPr>
        <w:t>týchto pacientov</w:t>
      </w:r>
      <w:r w:rsidR="00E45474" w:rsidRPr="00694DB8">
        <w:rPr>
          <w:bCs/>
          <w:szCs w:val="22"/>
        </w:rPr>
        <w:t>,</w:t>
      </w:r>
      <w:r w:rsidRPr="00694DB8">
        <w:rPr>
          <w:bCs/>
          <w:szCs w:val="22"/>
        </w:rPr>
        <w:t xml:space="preserve"> a tiež</w:t>
      </w:r>
      <w:r w:rsidR="00AF110C" w:rsidRPr="00694DB8">
        <w:rPr>
          <w:bCs/>
          <w:szCs w:val="22"/>
        </w:rPr>
        <w:t xml:space="preserve"> u </w:t>
      </w:r>
      <w:r w:rsidRPr="00694DB8">
        <w:rPr>
          <w:bCs/>
          <w:szCs w:val="22"/>
        </w:rPr>
        <w:t>pacientov</w:t>
      </w:r>
      <w:r w:rsidR="00217A53" w:rsidRPr="00694DB8">
        <w:rPr>
          <w:bCs/>
          <w:szCs w:val="22"/>
        </w:rPr>
        <w:t>,</w:t>
      </w:r>
      <w:r w:rsidRPr="00694DB8">
        <w:rPr>
          <w:bCs/>
          <w:szCs w:val="22"/>
        </w:rPr>
        <w:t xml:space="preserve"> ktorí potrebujú </w:t>
      </w:r>
      <w:r w:rsidR="00BA3165">
        <w:rPr>
          <w:bCs/>
          <w:szCs w:val="22"/>
        </w:rPr>
        <w:t>súbežne</w:t>
      </w:r>
      <w:r w:rsidR="00BA3165" w:rsidRPr="00694DB8">
        <w:rPr>
          <w:bCs/>
          <w:szCs w:val="22"/>
        </w:rPr>
        <w:t xml:space="preserve"> </w:t>
      </w:r>
      <w:r w:rsidRPr="00694DB8">
        <w:rPr>
          <w:bCs/>
          <w:szCs w:val="22"/>
        </w:rPr>
        <w:t>užívať lieky obsahujúce nízke dávky kyseliny acetylsalicylovej (ASA) alebo iné lieky pravdepodobne zvyšujúce riziko gastrointestinálnych ťažkostí</w:t>
      </w:r>
      <w:r w:rsidR="00217A53" w:rsidRPr="00694DB8">
        <w:rPr>
          <w:bCs/>
          <w:szCs w:val="22"/>
        </w:rPr>
        <w:t xml:space="preserve">, </w:t>
      </w:r>
      <w:r w:rsidR="002D6D1F" w:rsidRPr="00694DB8">
        <w:rPr>
          <w:bCs/>
          <w:szCs w:val="22"/>
        </w:rPr>
        <w:t>sa má zvážiť</w:t>
      </w:r>
      <w:r w:rsidRPr="00694DB8">
        <w:rPr>
          <w:bCs/>
          <w:szCs w:val="22"/>
        </w:rPr>
        <w:t xml:space="preserve"> k</w:t>
      </w:r>
      <w:r w:rsidR="008D411F" w:rsidRPr="00694DB8">
        <w:rPr>
          <w:bCs/>
          <w:szCs w:val="22"/>
        </w:rPr>
        <w:t>ombinovaná liečba</w:t>
      </w:r>
      <w:r w:rsidR="00AF110C" w:rsidRPr="00694DB8">
        <w:rPr>
          <w:bCs/>
          <w:szCs w:val="22"/>
        </w:rPr>
        <w:t xml:space="preserve"> s </w:t>
      </w:r>
      <w:r w:rsidR="008D411F" w:rsidRPr="00694DB8">
        <w:rPr>
          <w:bCs/>
          <w:szCs w:val="22"/>
        </w:rPr>
        <w:t>protektívnymi látkami (napr. inhibítormi protónovej pumpy alebo mi</w:t>
      </w:r>
      <w:r w:rsidR="00E13690" w:rsidRPr="00694DB8">
        <w:rPr>
          <w:bCs/>
          <w:szCs w:val="22"/>
        </w:rPr>
        <w:t>z</w:t>
      </w:r>
      <w:r w:rsidR="008D411F" w:rsidRPr="00694DB8">
        <w:rPr>
          <w:bCs/>
          <w:szCs w:val="22"/>
        </w:rPr>
        <w:t>oprostolom)</w:t>
      </w:r>
      <w:r w:rsidR="005315CF" w:rsidRPr="00694DB8">
        <w:rPr>
          <w:bCs/>
          <w:szCs w:val="22"/>
        </w:rPr>
        <w:t>.</w:t>
      </w:r>
    </w:p>
    <w:p w14:paraId="7FBACEDF" w14:textId="77777777" w:rsidR="001D125A" w:rsidRPr="00694DB8" w:rsidRDefault="001D125A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3C9F3873" w14:textId="36CE20A4" w:rsidR="00782AA5" w:rsidRPr="00694DB8" w:rsidRDefault="00B8602D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Pacienti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>gastrointestinálnou toxicitou</w:t>
      </w:r>
      <w:r w:rsidR="00AF110C" w:rsidRPr="00694DB8">
        <w:rPr>
          <w:bCs/>
          <w:szCs w:val="22"/>
        </w:rPr>
        <w:t xml:space="preserve"> v </w:t>
      </w:r>
      <w:r w:rsidRPr="00694DB8">
        <w:rPr>
          <w:bCs/>
          <w:szCs w:val="22"/>
        </w:rPr>
        <w:t>anamnéze, najmä starš</w:t>
      </w:r>
      <w:r w:rsidR="00F8643A" w:rsidRPr="00694DB8">
        <w:rPr>
          <w:bCs/>
          <w:szCs w:val="22"/>
        </w:rPr>
        <w:t>ie osoby</w:t>
      </w:r>
      <w:r w:rsidRPr="00694DB8">
        <w:rPr>
          <w:bCs/>
          <w:szCs w:val="22"/>
        </w:rPr>
        <w:t>, majú ohlásiť akékoľvek ne</w:t>
      </w:r>
      <w:r w:rsidR="00F8643A" w:rsidRPr="00694DB8">
        <w:rPr>
          <w:bCs/>
          <w:szCs w:val="22"/>
        </w:rPr>
        <w:t>obvyklé</w:t>
      </w:r>
      <w:r w:rsidR="005315CF" w:rsidRPr="00694DB8">
        <w:rPr>
          <w:bCs/>
          <w:szCs w:val="22"/>
        </w:rPr>
        <w:t xml:space="preserve"> </w:t>
      </w:r>
      <w:r w:rsidR="00F8643A" w:rsidRPr="00694DB8">
        <w:rPr>
          <w:bCs/>
          <w:szCs w:val="22"/>
        </w:rPr>
        <w:t>abdominálne</w:t>
      </w:r>
      <w:r w:rsidRPr="00694DB8">
        <w:rPr>
          <w:bCs/>
          <w:szCs w:val="22"/>
        </w:rPr>
        <w:t xml:space="preserve"> príznaky (zvlášť gastrointestinálne krvácanie). Opatrnosť sa odporúča</w:t>
      </w:r>
      <w:r w:rsidR="00AF110C" w:rsidRPr="00694DB8">
        <w:rPr>
          <w:bCs/>
          <w:szCs w:val="22"/>
        </w:rPr>
        <w:t xml:space="preserve"> u </w:t>
      </w:r>
      <w:r w:rsidRPr="00694DB8">
        <w:rPr>
          <w:bCs/>
          <w:szCs w:val="22"/>
        </w:rPr>
        <w:t xml:space="preserve">pacientov užívajúcich </w:t>
      </w:r>
      <w:r w:rsidR="00BA3165">
        <w:rPr>
          <w:bCs/>
          <w:szCs w:val="22"/>
        </w:rPr>
        <w:t>súbežne</w:t>
      </w:r>
      <w:r w:rsidR="00BA3165" w:rsidRPr="00694DB8">
        <w:rPr>
          <w:bCs/>
          <w:szCs w:val="22"/>
        </w:rPr>
        <w:t xml:space="preserve"> </w:t>
      </w:r>
      <w:r w:rsidRPr="00694DB8">
        <w:rPr>
          <w:bCs/>
          <w:szCs w:val="22"/>
        </w:rPr>
        <w:t>lieky, ktoré m</w:t>
      </w:r>
      <w:r w:rsidR="00745D28" w:rsidRPr="00694DB8">
        <w:rPr>
          <w:bCs/>
          <w:szCs w:val="22"/>
        </w:rPr>
        <w:t>ôžu</w:t>
      </w:r>
      <w:r w:rsidRPr="00694DB8">
        <w:rPr>
          <w:bCs/>
          <w:szCs w:val="22"/>
        </w:rPr>
        <w:t xml:space="preserve"> zvýšiť riziko ulcerácie alebo krvácania, napr. systémové kortikosteroidy, antikoagulanciá, antitrombocytárne látky alebo selektívne inhibítory spätného vychytávania s</w:t>
      </w:r>
      <w:r w:rsidR="00C84762" w:rsidRPr="00694DB8">
        <w:rPr>
          <w:bCs/>
          <w:szCs w:val="22"/>
        </w:rPr>
        <w:t>é</w:t>
      </w:r>
      <w:r w:rsidRPr="00694DB8">
        <w:rPr>
          <w:bCs/>
          <w:szCs w:val="22"/>
        </w:rPr>
        <w:t>rotonínu (pozri časť 4.5).</w:t>
      </w:r>
    </w:p>
    <w:p w14:paraId="43455BEF" w14:textId="77777777" w:rsidR="000234D7" w:rsidRPr="00694DB8" w:rsidRDefault="000234D7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56E4B697" w14:textId="77777777" w:rsidR="00907D07" w:rsidRPr="00694DB8" w:rsidRDefault="00835F2A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lastRenderedPageBreak/>
        <w:t>Dôsledný l</w:t>
      </w:r>
      <w:r w:rsidR="00907D07" w:rsidRPr="00694DB8">
        <w:rPr>
          <w:bCs/>
          <w:szCs w:val="22"/>
        </w:rPr>
        <w:t>ekársky dohľad sa vyžaduj</w:t>
      </w:r>
      <w:r w:rsidR="00F8643A" w:rsidRPr="00694DB8">
        <w:rPr>
          <w:bCs/>
          <w:szCs w:val="22"/>
        </w:rPr>
        <w:t>e</w:t>
      </w:r>
      <w:r w:rsidR="00907D07" w:rsidRPr="00694DB8">
        <w:rPr>
          <w:bCs/>
          <w:szCs w:val="22"/>
        </w:rPr>
        <w:t xml:space="preserve"> aj</w:t>
      </w:r>
      <w:r w:rsidR="00AF110C" w:rsidRPr="00694DB8">
        <w:rPr>
          <w:bCs/>
          <w:szCs w:val="22"/>
        </w:rPr>
        <w:t xml:space="preserve"> u </w:t>
      </w:r>
      <w:r w:rsidR="008D74B3" w:rsidRPr="00694DB8">
        <w:rPr>
          <w:bCs/>
          <w:szCs w:val="22"/>
        </w:rPr>
        <w:t>pacientov</w:t>
      </w:r>
      <w:r w:rsidR="00AF110C" w:rsidRPr="00694DB8">
        <w:rPr>
          <w:bCs/>
          <w:szCs w:val="22"/>
        </w:rPr>
        <w:t xml:space="preserve"> s </w:t>
      </w:r>
      <w:r w:rsidR="008D74B3" w:rsidRPr="00694DB8">
        <w:rPr>
          <w:bCs/>
          <w:szCs w:val="22"/>
        </w:rPr>
        <w:t>ulceróznou kolitídou alebo</w:t>
      </w:r>
      <w:r w:rsidR="005315CF" w:rsidRPr="00694DB8">
        <w:rPr>
          <w:bCs/>
          <w:szCs w:val="22"/>
        </w:rPr>
        <w:t xml:space="preserve"> </w:t>
      </w:r>
      <w:r w:rsidR="008D74B3" w:rsidRPr="00694DB8">
        <w:rPr>
          <w:bCs/>
          <w:szCs w:val="22"/>
        </w:rPr>
        <w:t>Crohnovou chorobou</w:t>
      </w:r>
      <w:r w:rsidR="00907D07" w:rsidRPr="00694DB8">
        <w:rPr>
          <w:bCs/>
          <w:szCs w:val="22"/>
        </w:rPr>
        <w:t>, pretože môže dôjsť</w:t>
      </w:r>
      <w:r w:rsidR="00AF110C" w:rsidRPr="00694DB8">
        <w:rPr>
          <w:bCs/>
          <w:szCs w:val="22"/>
        </w:rPr>
        <w:t xml:space="preserve"> k </w:t>
      </w:r>
      <w:r w:rsidR="00907D07" w:rsidRPr="00694DB8">
        <w:rPr>
          <w:bCs/>
          <w:szCs w:val="22"/>
        </w:rPr>
        <w:t xml:space="preserve">exacerbácii </w:t>
      </w:r>
      <w:r w:rsidR="00F8643A" w:rsidRPr="00694DB8">
        <w:rPr>
          <w:bCs/>
          <w:szCs w:val="22"/>
        </w:rPr>
        <w:t xml:space="preserve">týchto </w:t>
      </w:r>
      <w:r w:rsidR="00907D07" w:rsidRPr="00694DB8">
        <w:rPr>
          <w:bCs/>
          <w:szCs w:val="22"/>
        </w:rPr>
        <w:t>ochoren</w:t>
      </w:r>
      <w:r w:rsidR="00F8643A" w:rsidRPr="00694DB8">
        <w:rPr>
          <w:bCs/>
          <w:szCs w:val="22"/>
        </w:rPr>
        <w:t>í</w:t>
      </w:r>
      <w:r w:rsidR="00907D07" w:rsidRPr="00694DB8">
        <w:rPr>
          <w:bCs/>
          <w:szCs w:val="22"/>
        </w:rPr>
        <w:t xml:space="preserve"> (pozri časť 4.8).</w:t>
      </w:r>
    </w:p>
    <w:p w14:paraId="1F3DA5BC" w14:textId="52DE0595" w:rsidR="002E0D91" w:rsidRDefault="002E0D91" w:rsidP="00AF110C">
      <w:pPr>
        <w:pStyle w:val="Default"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63685040" w14:textId="77777777" w:rsidR="0072030E" w:rsidRPr="00694DB8" w:rsidRDefault="0072030E" w:rsidP="0072030E">
      <w:pPr>
        <w:tabs>
          <w:tab w:val="left" w:pos="567"/>
        </w:tabs>
        <w:ind w:left="0" w:firstLine="0"/>
        <w:rPr>
          <w:bCs/>
          <w:szCs w:val="22"/>
        </w:rPr>
      </w:pPr>
      <w:r w:rsidRPr="000A778B">
        <w:rPr>
          <w:bCs/>
          <w:szCs w:val="22"/>
        </w:rPr>
        <w:t>Používanie NSAID vrátane diklofenaku môže súvisieť so zvýšeným rizikom gastrointestinálneho anastomotického leaku (presakovania). Pri použití diklofenaku po gastrointestinálnom chirurgickom zákroku sa odporúča starostlivý lekársky dohľad a opatrnosť.</w:t>
      </w:r>
    </w:p>
    <w:p w14:paraId="2A88F694" w14:textId="77777777" w:rsidR="0072030E" w:rsidRPr="00694DB8" w:rsidRDefault="0072030E" w:rsidP="00AF110C">
      <w:pPr>
        <w:pStyle w:val="Default"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1B0BDFD6" w14:textId="77777777" w:rsidR="002E0D91" w:rsidRPr="00694DB8" w:rsidRDefault="002E0D91" w:rsidP="00AF110C">
      <w:pPr>
        <w:pStyle w:val="CM1"/>
        <w:keepNext/>
        <w:tabs>
          <w:tab w:val="left" w:pos="567"/>
        </w:tabs>
        <w:rPr>
          <w:rFonts w:ascii="Times New Roman" w:hAnsi="Times New Roman"/>
          <w:iCs/>
          <w:sz w:val="22"/>
          <w:szCs w:val="22"/>
          <w:u w:val="single"/>
          <w:lang w:val="sk-SK"/>
        </w:rPr>
      </w:pPr>
      <w:r w:rsidRPr="00694DB8">
        <w:rPr>
          <w:rFonts w:ascii="Times New Roman" w:hAnsi="Times New Roman"/>
          <w:iCs/>
          <w:sz w:val="22"/>
          <w:szCs w:val="22"/>
          <w:u w:val="single"/>
          <w:lang w:val="sk-SK"/>
        </w:rPr>
        <w:t xml:space="preserve">Kardiovaskulárne a cerebrovaskulárne účinky </w:t>
      </w:r>
    </w:p>
    <w:p w14:paraId="3196D39C" w14:textId="1CC6F871" w:rsidR="00A6670A" w:rsidRPr="00F41B18" w:rsidRDefault="00A6670A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 xml:space="preserve">Pacienti so signifikantnými rizikovými faktormi kardiovaskulárnych príhod (napr. hypertenzia, hyperlipidémia, diabetes mellitus, fajčenie) </w:t>
      </w:r>
      <w:r w:rsidR="00BA3165">
        <w:rPr>
          <w:bCs/>
          <w:szCs w:val="22"/>
        </w:rPr>
        <w:t xml:space="preserve">majú </w:t>
      </w:r>
      <w:r w:rsidRPr="00694DB8">
        <w:rPr>
          <w:bCs/>
          <w:szCs w:val="22"/>
        </w:rPr>
        <w:t>byť liečení diklofenakom len po starostlivom zvážení</w:t>
      </w:r>
      <w:r w:rsidR="003421AB" w:rsidRPr="00F41B18">
        <w:rPr>
          <w:bCs/>
          <w:szCs w:val="22"/>
        </w:rPr>
        <w:t>.</w:t>
      </w:r>
    </w:p>
    <w:p w14:paraId="0240CA5D" w14:textId="77777777" w:rsidR="00A6670A" w:rsidRPr="00694DB8" w:rsidRDefault="00A6670A" w:rsidP="00AF110C">
      <w:pPr>
        <w:tabs>
          <w:tab w:val="left" w:pos="567"/>
        </w:tabs>
        <w:ind w:left="0" w:firstLine="0"/>
        <w:rPr>
          <w:bCs/>
          <w:szCs w:val="22"/>
        </w:rPr>
      </w:pPr>
    </w:p>
    <w:p w14:paraId="7B298551" w14:textId="540F1C72" w:rsidR="00D752AD" w:rsidRPr="00694DB8" w:rsidRDefault="00A6670A" w:rsidP="000B0AD2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Keďže kardiovaskulárne riziká diklofenaku sa zvyšujú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 xml:space="preserve">dávkou a trvaním expozície, trvanie liečby má byť čo najkratšie a účinná denná dávka čo najnižšia. </w:t>
      </w:r>
      <w:bookmarkStart w:id="3" w:name="_Hlk9165621"/>
      <w:r w:rsidR="00280CD0">
        <w:rPr>
          <w:bCs/>
          <w:szCs w:val="22"/>
        </w:rPr>
        <w:t>Pacientov j</w:t>
      </w:r>
      <w:r w:rsidR="00B41DF2">
        <w:rPr>
          <w:bCs/>
          <w:szCs w:val="22"/>
        </w:rPr>
        <w:t>e potrebné upozorniť, aby okamžite vyhľadali</w:t>
      </w:r>
      <w:r w:rsidR="00085047">
        <w:rPr>
          <w:bCs/>
          <w:szCs w:val="22"/>
        </w:rPr>
        <w:t xml:space="preserve"> lekára</w:t>
      </w:r>
      <w:r w:rsidR="00546DBF">
        <w:rPr>
          <w:bCs/>
          <w:szCs w:val="22"/>
        </w:rPr>
        <w:t>,</w:t>
      </w:r>
      <w:r w:rsidR="00085047" w:rsidRPr="00085047">
        <w:rPr>
          <w:bCs/>
          <w:szCs w:val="22"/>
        </w:rPr>
        <w:t xml:space="preserve"> </w:t>
      </w:r>
      <w:r w:rsidR="00085047">
        <w:rPr>
          <w:bCs/>
          <w:szCs w:val="22"/>
        </w:rPr>
        <w:t>ak príznaky pretrvávajú alebo sa nezlepšujú počas odporúčanej dĺžky liečby.</w:t>
      </w:r>
      <w:bookmarkEnd w:id="3"/>
      <w:r w:rsidR="00085047">
        <w:rPr>
          <w:bCs/>
          <w:szCs w:val="22"/>
        </w:rPr>
        <w:t xml:space="preserve"> </w:t>
      </w:r>
    </w:p>
    <w:p w14:paraId="36028385" w14:textId="77777777" w:rsidR="003421AB" w:rsidRPr="00694DB8" w:rsidRDefault="003421AB" w:rsidP="00541A55">
      <w:pPr>
        <w:tabs>
          <w:tab w:val="left" w:pos="567"/>
        </w:tabs>
        <w:ind w:left="0" w:firstLine="0"/>
        <w:rPr>
          <w:bCs/>
          <w:szCs w:val="22"/>
        </w:rPr>
      </w:pPr>
    </w:p>
    <w:p w14:paraId="197C4380" w14:textId="74242553" w:rsidR="00713969" w:rsidRPr="00694DB8" w:rsidRDefault="00713969" w:rsidP="002B5B94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 xml:space="preserve">Klinické štúdie a epidemiologické údaje </w:t>
      </w:r>
      <w:r w:rsidR="00E270E8">
        <w:rPr>
          <w:bCs/>
          <w:szCs w:val="22"/>
        </w:rPr>
        <w:t>ko</w:t>
      </w:r>
      <w:r w:rsidR="00D768C5">
        <w:rPr>
          <w:bCs/>
          <w:szCs w:val="22"/>
        </w:rPr>
        <w:t>n</w:t>
      </w:r>
      <w:r w:rsidR="00E270E8">
        <w:rPr>
          <w:bCs/>
          <w:szCs w:val="22"/>
        </w:rPr>
        <w:t xml:space="preserve">zistentne </w:t>
      </w:r>
      <w:r w:rsidRPr="00694DB8">
        <w:rPr>
          <w:bCs/>
          <w:szCs w:val="22"/>
        </w:rPr>
        <w:t>poukazujú na zvýšené riziko arteriálnych</w:t>
      </w:r>
      <w:r w:rsidR="000B0AD2" w:rsidRPr="00694DB8">
        <w:rPr>
          <w:bCs/>
          <w:szCs w:val="22"/>
        </w:rPr>
        <w:t xml:space="preserve"> </w:t>
      </w:r>
      <w:r w:rsidRPr="00694DB8">
        <w:rPr>
          <w:bCs/>
          <w:szCs w:val="22"/>
        </w:rPr>
        <w:t>trombotických príhod (napr. infarkt myokardu alebo cievn</w:t>
      </w:r>
      <w:r w:rsidR="00690403" w:rsidRPr="00694DB8">
        <w:rPr>
          <w:bCs/>
          <w:szCs w:val="22"/>
        </w:rPr>
        <w:t>a</w:t>
      </w:r>
      <w:r w:rsidRPr="00F41B18">
        <w:rPr>
          <w:bCs/>
          <w:szCs w:val="22"/>
        </w:rPr>
        <w:t xml:space="preserve"> mozgov</w:t>
      </w:r>
      <w:r w:rsidR="00690403" w:rsidRPr="00F41B18">
        <w:rPr>
          <w:bCs/>
          <w:szCs w:val="22"/>
        </w:rPr>
        <w:t>á</w:t>
      </w:r>
      <w:r w:rsidRPr="00694DB8">
        <w:rPr>
          <w:bCs/>
          <w:szCs w:val="22"/>
        </w:rPr>
        <w:t xml:space="preserve"> príhod</w:t>
      </w:r>
      <w:r w:rsidR="00690403" w:rsidRPr="00694DB8">
        <w:rPr>
          <w:bCs/>
          <w:szCs w:val="22"/>
        </w:rPr>
        <w:t>a</w:t>
      </w:r>
      <w:r w:rsidRPr="00694DB8">
        <w:rPr>
          <w:bCs/>
          <w:szCs w:val="22"/>
        </w:rPr>
        <w:t>), spojené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>užívaním diklofenaku</w:t>
      </w:r>
      <w:r w:rsidR="000B0AD2" w:rsidRPr="00694DB8">
        <w:rPr>
          <w:bCs/>
          <w:szCs w:val="22"/>
        </w:rPr>
        <w:t>,</w:t>
      </w:r>
      <w:r w:rsidRPr="00694DB8">
        <w:rPr>
          <w:bCs/>
          <w:szCs w:val="22"/>
        </w:rPr>
        <w:t xml:space="preserve"> a to najmä pri vysokých dávkach (150</w:t>
      </w:r>
      <w:r w:rsidR="00AF110C" w:rsidRPr="00694DB8">
        <w:rPr>
          <w:bCs/>
          <w:szCs w:val="22"/>
        </w:rPr>
        <w:t> mg</w:t>
      </w:r>
      <w:r w:rsidRPr="00694DB8">
        <w:rPr>
          <w:bCs/>
          <w:szCs w:val="22"/>
        </w:rPr>
        <w:t xml:space="preserve"> denne) a dlhodobej liečbe. </w:t>
      </w:r>
    </w:p>
    <w:p w14:paraId="4F3646E9" w14:textId="77777777" w:rsidR="00EA4E56" w:rsidRPr="00694DB8" w:rsidRDefault="00EA4E56" w:rsidP="000B0AD2">
      <w:pPr>
        <w:tabs>
          <w:tab w:val="left" w:pos="567"/>
        </w:tabs>
        <w:ind w:left="0" w:firstLine="0"/>
        <w:rPr>
          <w:bCs/>
          <w:szCs w:val="22"/>
        </w:rPr>
      </w:pPr>
    </w:p>
    <w:p w14:paraId="704B486F" w14:textId="29B8C4CF" w:rsidR="00713969" w:rsidRPr="00694DB8" w:rsidRDefault="00713969" w:rsidP="002B5B94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 xml:space="preserve">Pacientov je potrebné upozorniť, aby sledovali príznaky a prejavy artériových trombotických príhod (napr. bolesť na hrudi, dýchavičnosť, slabosť, spomalenie reči), ktoré sa môžu vyskytnúť bez predošlého varovania. Pacientov </w:t>
      </w:r>
      <w:r w:rsidR="003F6981" w:rsidRPr="00694DB8">
        <w:rPr>
          <w:bCs/>
          <w:szCs w:val="22"/>
        </w:rPr>
        <w:t xml:space="preserve">je potrebné </w:t>
      </w:r>
      <w:r w:rsidRPr="00694DB8">
        <w:rPr>
          <w:bCs/>
          <w:szCs w:val="22"/>
        </w:rPr>
        <w:t>poučiť, aby</w:t>
      </w:r>
      <w:r w:rsidR="00AF110C" w:rsidRPr="00694DB8">
        <w:rPr>
          <w:bCs/>
          <w:szCs w:val="22"/>
        </w:rPr>
        <w:t xml:space="preserve"> v </w:t>
      </w:r>
      <w:r w:rsidRPr="00694DB8">
        <w:rPr>
          <w:bCs/>
          <w:szCs w:val="22"/>
        </w:rPr>
        <w:t>takom prípade ihneď vyhľadali lekára.</w:t>
      </w:r>
    </w:p>
    <w:p w14:paraId="1326CAD4" w14:textId="77777777" w:rsidR="00025BCF" w:rsidRPr="00694DB8" w:rsidRDefault="00025BCF" w:rsidP="00AF110C">
      <w:pPr>
        <w:tabs>
          <w:tab w:val="left" w:pos="567"/>
        </w:tabs>
        <w:ind w:left="0" w:firstLine="0"/>
        <w:rPr>
          <w:bCs/>
          <w:szCs w:val="22"/>
        </w:rPr>
      </w:pPr>
    </w:p>
    <w:p w14:paraId="523FEE46" w14:textId="77777777" w:rsidR="00025BCF" w:rsidRPr="00694DB8" w:rsidRDefault="00025BCF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Hepatobiliárne účinky</w:t>
      </w:r>
    </w:p>
    <w:p w14:paraId="79A4C34D" w14:textId="77777777" w:rsidR="00025BCF" w:rsidRPr="00F41B18" w:rsidRDefault="00025BCF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Dôsledný lekársky dohľad sa vyžaduje pri predpisovaní diklofenaku pacientom so zhoršenou funkciou pečene, pretože môže dôjsť</w:t>
      </w:r>
      <w:r w:rsidR="00AF110C" w:rsidRPr="00694DB8">
        <w:rPr>
          <w:bCs/>
          <w:szCs w:val="22"/>
        </w:rPr>
        <w:t xml:space="preserve"> k </w:t>
      </w:r>
      <w:r w:rsidRPr="00F41B18">
        <w:rPr>
          <w:bCs/>
          <w:szCs w:val="22"/>
        </w:rPr>
        <w:t xml:space="preserve">exacerbácii ich ochorenia. </w:t>
      </w:r>
    </w:p>
    <w:p w14:paraId="40E552F0" w14:textId="77777777" w:rsidR="00025BCF" w:rsidRPr="00694DB8" w:rsidRDefault="00025BCF" w:rsidP="00AF110C">
      <w:pPr>
        <w:tabs>
          <w:tab w:val="left" w:pos="567"/>
        </w:tabs>
        <w:ind w:left="0" w:firstLine="0"/>
        <w:rPr>
          <w:bCs/>
          <w:szCs w:val="22"/>
        </w:rPr>
      </w:pPr>
    </w:p>
    <w:p w14:paraId="38ABA5AB" w14:textId="77777777" w:rsidR="00025BCF" w:rsidRPr="00694DB8" w:rsidRDefault="00025BCF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Tak ako pri iných NSAID,</w:t>
      </w:r>
      <w:r w:rsidRPr="00694DB8">
        <w:rPr>
          <w:szCs w:val="22"/>
        </w:rPr>
        <w:t xml:space="preserve"> vrátane diklofenaku</w:t>
      </w:r>
      <w:r w:rsidRPr="00694DB8">
        <w:rPr>
          <w:bCs/>
          <w:szCs w:val="22"/>
        </w:rPr>
        <w:t>, môž</w:t>
      </w:r>
      <w:r w:rsidR="00690403" w:rsidRPr="00694DB8">
        <w:rPr>
          <w:bCs/>
          <w:szCs w:val="22"/>
        </w:rPr>
        <w:t>e dôjsť k</w:t>
      </w:r>
      <w:r w:rsidRPr="00694DB8">
        <w:rPr>
          <w:bCs/>
          <w:szCs w:val="22"/>
        </w:rPr>
        <w:t>u zvýš</w:t>
      </w:r>
      <w:r w:rsidR="00690403" w:rsidRPr="00694DB8">
        <w:rPr>
          <w:bCs/>
          <w:szCs w:val="22"/>
        </w:rPr>
        <w:t>eniu</w:t>
      </w:r>
      <w:r w:rsidRPr="00694DB8">
        <w:rPr>
          <w:bCs/>
          <w:szCs w:val="22"/>
        </w:rPr>
        <w:t xml:space="preserve"> hodnoty jedného alebo viacerých pečeňových enzýmov. Pri dlhodobej liečbe diklofenakom sa odporúča</w:t>
      </w:r>
      <w:r w:rsidR="00AF110C" w:rsidRPr="00694DB8">
        <w:rPr>
          <w:bCs/>
          <w:szCs w:val="22"/>
        </w:rPr>
        <w:t xml:space="preserve"> z </w:t>
      </w:r>
      <w:r w:rsidRPr="00694DB8">
        <w:rPr>
          <w:bCs/>
          <w:szCs w:val="22"/>
        </w:rPr>
        <w:t>bezpečnostných dôvodov pravidelne kontrolovať pečeňové funkcie. Ak abnormálne hodnoty testov funkcie pečene pretrvávajú alebo sa zhoršujú alebo ak sa objavia klinické príznaky alebo prejavy poukazujúce na ochorenie pečene</w:t>
      </w:r>
      <w:r w:rsidR="000B0AD2" w:rsidRPr="00694DB8">
        <w:rPr>
          <w:bCs/>
          <w:szCs w:val="22"/>
        </w:rPr>
        <w:t xml:space="preserve"> prípadne</w:t>
      </w:r>
      <w:r w:rsidRPr="00694DB8">
        <w:rPr>
          <w:bCs/>
          <w:szCs w:val="22"/>
        </w:rPr>
        <w:t xml:space="preserve"> ak sa vyskytnú iné prejavy (napr. eozinofília, exantém) diklofenak sa má vysadiť. Hepatitída môže vzniknúť pri užívaní diklofenaku </w:t>
      </w:r>
      <w:r w:rsidR="00690403" w:rsidRPr="00694DB8">
        <w:rPr>
          <w:bCs/>
          <w:szCs w:val="22"/>
        </w:rPr>
        <w:t xml:space="preserve">aj </w:t>
      </w:r>
      <w:r w:rsidRPr="00694DB8">
        <w:rPr>
          <w:bCs/>
          <w:szCs w:val="22"/>
        </w:rPr>
        <w:t xml:space="preserve">bez prodromálnych symptómov. </w:t>
      </w:r>
    </w:p>
    <w:p w14:paraId="2BFF5ADA" w14:textId="77777777" w:rsidR="00025BCF" w:rsidRPr="00694DB8" w:rsidRDefault="00025BCF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7E4D2CD7" w14:textId="30630301" w:rsidR="00025BCF" w:rsidRPr="00694DB8" w:rsidRDefault="00025BCF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Opatrnosť je potrebná pri pod</w:t>
      </w:r>
      <w:r w:rsidR="000B0AD2" w:rsidRPr="00694DB8">
        <w:rPr>
          <w:bCs/>
          <w:szCs w:val="22"/>
        </w:rPr>
        <w:t>áv</w:t>
      </w:r>
      <w:r w:rsidRPr="00694DB8">
        <w:rPr>
          <w:bCs/>
          <w:szCs w:val="22"/>
        </w:rPr>
        <w:t>aní diklofenaku pacientom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 xml:space="preserve">hepatálnou porfýriou, pretože môže vyvolať porfyrický záchvat. </w:t>
      </w:r>
    </w:p>
    <w:p w14:paraId="71BE3787" w14:textId="77777777" w:rsidR="002E0D91" w:rsidRPr="00694DB8" w:rsidRDefault="002E0D91" w:rsidP="00AF110C">
      <w:pPr>
        <w:pStyle w:val="CM7"/>
        <w:tabs>
          <w:tab w:val="left" w:pos="567"/>
        </w:tabs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296526F6" w14:textId="77777777" w:rsidR="009825E1" w:rsidRPr="00694DB8" w:rsidRDefault="009825E1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Renálne účinky</w:t>
      </w:r>
    </w:p>
    <w:p w14:paraId="28947B05" w14:textId="77777777" w:rsidR="009825E1" w:rsidRPr="00694DB8" w:rsidRDefault="009825E1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Pretože sa</w:t>
      </w:r>
      <w:r w:rsidR="00AF110C" w:rsidRPr="00694DB8">
        <w:rPr>
          <w:bCs/>
          <w:szCs w:val="22"/>
        </w:rPr>
        <w:t xml:space="preserve"> v </w:t>
      </w:r>
      <w:r w:rsidRPr="00694DB8">
        <w:rPr>
          <w:bCs/>
          <w:szCs w:val="22"/>
        </w:rPr>
        <w:t>súvislosti</w:t>
      </w:r>
      <w:r w:rsidR="00AF110C" w:rsidRPr="00F41B18">
        <w:rPr>
          <w:bCs/>
          <w:szCs w:val="22"/>
        </w:rPr>
        <w:t xml:space="preserve"> s </w:t>
      </w:r>
      <w:r w:rsidRPr="00F41B18">
        <w:rPr>
          <w:bCs/>
          <w:szCs w:val="22"/>
        </w:rPr>
        <w:t>liečbou NSAID,</w:t>
      </w:r>
      <w:r w:rsidRPr="00F41B18">
        <w:rPr>
          <w:szCs w:val="22"/>
        </w:rPr>
        <w:t xml:space="preserve"> vrátane diklofenaku</w:t>
      </w:r>
      <w:r w:rsidRPr="00694DB8">
        <w:rPr>
          <w:bCs/>
          <w:szCs w:val="22"/>
        </w:rPr>
        <w:t xml:space="preserve"> zaznamenala retencia tekutín a edémy, mimoriadna opatrnosť sa vyžaduje</w:t>
      </w:r>
      <w:r w:rsidR="00AF110C" w:rsidRPr="00694DB8">
        <w:rPr>
          <w:bCs/>
          <w:szCs w:val="22"/>
        </w:rPr>
        <w:t xml:space="preserve"> u </w:t>
      </w:r>
      <w:r w:rsidRPr="00694DB8">
        <w:rPr>
          <w:bCs/>
          <w:szCs w:val="22"/>
        </w:rPr>
        <w:t>pacientov so zhoršenou funkciou srdca alebo obličiek, hypertenziou</w:t>
      </w:r>
      <w:r w:rsidR="00AF110C" w:rsidRPr="00694DB8">
        <w:rPr>
          <w:bCs/>
          <w:szCs w:val="22"/>
        </w:rPr>
        <w:t xml:space="preserve"> v </w:t>
      </w:r>
      <w:r w:rsidRPr="00694DB8">
        <w:rPr>
          <w:bCs/>
          <w:szCs w:val="22"/>
        </w:rPr>
        <w:t>anamnéze a</w:t>
      </w:r>
      <w:r w:rsidR="00AF110C" w:rsidRPr="00694DB8">
        <w:rPr>
          <w:bCs/>
          <w:szCs w:val="22"/>
        </w:rPr>
        <w:t xml:space="preserve"> u </w:t>
      </w:r>
      <w:r w:rsidRPr="00694DB8">
        <w:rPr>
          <w:bCs/>
          <w:szCs w:val="22"/>
        </w:rPr>
        <w:t>starších pacientov. Zvláštnu starostlivosť je nutné venovať pacientom súčasne liečených diuretikami alebo liekmi, ktoré môžu významne ovplyvniť funkciu obličiek a tiež pacientom,</w:t>
      </w:r>
      <w:r w:rsidR="00AF110C" w:rsidRPr="00694DB8">
        <w:rPr>
          <w:bCs/>
          <w:szCs w:val="22"/>
        </w:rPr>
        <w:t xml:space="preserve"> u </w:t>
      </w:r>
      <w:r w:rsidRPr="00694DB8">
        <w:rPr>
          <w:bCs/>
          <w:szCs w:val="22"/>
        </w:rPr>
        <w:t>ktorých</w:t>
      </w:r>
      <w:r w:rsidR="00AF110C" w:rsidRPr="00694DB8">
        <w:rPr>
          <w:bCs/>
          <w:szCs w:val="22"/>
        </w:rPr>
        <w:t xml:space="preserve"> z </w:t>
      </w:r>
      <w:r w:rsidRPr="00694DB8">
        <w:rPr>
          <w:bCs/>
          <w:szCs w:val="22"/>
        </w:rPr>
        <w:t>akéhokoľvek dôvodu dochádza</w:t>
      </w:r>
      <w:r w:rsidR="00AF110C" w:rsidRPr="00694DB8">
        <w:rPr>
          <w:bCs/>
          <w:szCs w:val="22"/>
        </w:rPr>
        <w:t xml:space="preserve"> k </w:t>
      </w:r>
      <w:r w:rsidRPr="00694DB8">
        <w:rPr>
          <w:bCs/>
          <w:szCs w:val="22"/>
        </w:rPr>
        <w:t>výraznej deplécii extracelulárnej tekutiny, napr. pred alebo po väčších chirurgických zákrokoch (pozri časť 4.3). Keď sa diklofenak podáva</w:t>
      </w:r>
      <w:r w:rsidR="00AF110C" w:rsidRPr="00694DB8">
        <w:rPr>
          <w:bCs/>
          <w:szCs w:val="22"/>
        </w:rPr>
        <w:t xml:space="preserve"> v </w:t>
      </w:r>
      <w:r w:rsidRPr="00694DB8">
        <w:rPr>
          <w:bCs/>
          <w:szCs w:val="22"/>
        </w:rPr>
        <w:t>takýchto prípadoch,</w:t>
      </w:r>
      <w:r w:rsidR="00AF110C" w:rsidRPr="00694DB8">
        <w:rPr>
          <w:bCs/>
          <w:szCs w:val="22"/>
        </w:rPr>
        <w:t xml:space="preserve"> z </w:t>
      </w:r>
      <w:r w:rsidRPr="00694DB8">
        <w:rPr>
          <w:bCs/>
          <w:szCs w:val="22"/>
        </w:rPr>
        <w:t xml:space="preserve">bezpečnostných dôvodov sa odporúča monitorovať funkciu obličiek. Po prerušení liečby zvyčajne nasleduje zotavenie do pôvodného stavu. </w:t>
      </w:r>
    </w:p>
    <w:p w14:paraId="63402583" w14:textId="77777777" w:rsidR="009825E1" w:rsidRPr="00694DB8" w:rsidRDefault="009825E1" w:rsidP="00AF110C">
      <w:pPr>
        <w:pStyle w:val="Default"/>
        <w:tabs>
          <w:tab w:val="left" w:pos="567"/>
        </w:tabs>
        <w:rPr>
          <w:rFonts w:ascii="Times New Roman" w:hAnsi="Times New Roman" w:cs="Times New Roman"/>
          <w:b/>
          <w:iCs/>
          <w:color w:val="auto"/>
          <w:sz w:val="22"/>
          <w:szCs w:val="22"/>
          <w:lang w:val="sk-SK"/>
        </w:rPr>
      </w:pPr>
    </w:p>
    <w:p w14:paraId="2EEC035C" w14:textId="77777777" w:rsidR="009825E1" w:rsidRPr="00694DB8" w:rsidRDefault="009825E1" w:rsidP="00AF110C">
      <w:pPr>
        <w:pStyle w:val="Default"/>
        <w:keepNext/>
        <w:tabs>
          <w:tab w:val="left" w:pos="567"/>
        </w:tabs>
        <w:rPr>
          <w:rFonts w:ascii="Times New Roman" w:hAnsi="Times New Roman" w:cs="Times New Roman"/>
          <w:iCs/>
          <w:color w:val="auto"/>
          <w:sz w:val="22"/>
          <w:szCs w:val="22"/>
          <w:u w:val="single"/>
          <w:lang w:val="sk-SK"/>
        </w:rPr>
      </w:pPr>
      <w:r w:rsidRPr="00694DB8">
        <w:rPr>
          <w:rFonts w:ascii="Times New Roman" w:hAnsi="Times New Roman" w:cs="Times New Roman"/>
          <w:iCs/>
          <w:color w:val="auto"/>
          <w:sz w:val="22"/>
          <w:szCs w:val="22"/>
          <w:u w:val="single"/>
          <w:lang w:val="sk-SK"/>
        </w:rPr>
        <w:t>Účinky na kožu</w:t>
      </w:r>
    </w:p>
    <w:p w14:paraId="4E821FFE" w14:textId="77777777" w:rsidR="003E6434" w:rsidRDefault="00690403" w:rsidP="00AF110C">
      <w:pPr>
        <w:pStyle w:val="Default"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>Veľmi zriedkavo boli v súvislosti s užívaním NSAID vrátane diklofenaku hlásené z</w:t>
      </w:r>
      <w:r w:rsidR="009825E1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>ávažné kožné reakcie, niektoré fatálne, zahŕňajúce exfoliatívnu dermatitídu, Stevensov-Johnsonov syndróm a toxickú epidermálnu nekrolýzu (pozri časť 4.8). Riziko týchto reakcií sa zdá byť vyššie</w:t>
      </w:r>
      <w:r w:rsidR="00AF110C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u </w:t>
      </w:r>
      <w:r w:rsidR="009825E1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>pacientov vo včasnom štádiu liečby, pretože výskyt reakcií sa</w:t>
      </w:r>
      <w:r w:rsidR="00AF110C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u </w:t>
      </w:r>
      <w:r w:rsidR="009825E1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>väčšiny prípadov objavil</w:t>
      </w:r>
      <w:r w:rsidR="00AF110C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v </w:t>
      </w:r>
      <w:r w:rsidR="009825E1"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prvom mesiaci liečby. </w:t>
      </w:r>
    </w:p>
    <w:p w14:paraId="76334C19" w14:textId="77777777" w:rsidR="003E6434" w:rsidRDefault="003E6434" w:rsidP="00AF110C">
      <w:pPr>
        <w:pStyle w:val="Default"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2F49A20F" w14:textId="7AA3BA69" w:rsidR="009825E1" w:rsidRPr="00694DB8" w:rsidRDefault="009825E1" w:rsidP="00AF110C">
      <w:pPr>
        <w:pStyle w:val="Default"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Diklofenak musí byť vysadený pri prvých príznakoch kožnej vyrážky, mukóznych lézií alebo pri </w:t>
      </w:r>
      <w:r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lastRenderedPageBreak/>
        <w:t xml:space="preserve">akejkoľvek inej známke hypersenzitivity. </w:t>
      </w:r>
    </w:p>
    <w:p w14:paraId="36DAF7C9" w14:textId="77777777" w:rsidR="00025BCF" w:rsidRPr="00694DB8" w:rsidRDefault="00025BCF" w:rsidP="00AF110C">
      <w:pPr>
        <w:pStyle w:val="Default"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0960A7CC" w14:textId="77777777" w:rsidR="00025BCF" w:rsidRPr="00694DB8" w:rsidRDefault="00025BCF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Hematologické účinky</w:t>
      </w:r>
    </w:p>
    <w:p w14:paraId="08B6F7CB" w14:textId="77777777" w:rsidR="003E6434" w:rsidRDefault="00025BCF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 xml:space="preserve">Počas dlhodobej liečby diklofenakom, sa odporúča, tak ako pri iných NSAID, monitorovať krvný obraz. </w:t>
      </w:r>
    </w:p>
    <w:p w14:paraId="1B47D14E" w14:textId="77777777" w:rsidR="003E6434" w:rsidRDefault="003E6434" w:rsidP="00AF110C">
      <w:pPr>
        <w:tabs>
          <w:tab w:val="left" w:pos="567"/>
        </w:tabs>
        <w:ind w:left="0" w:firstLine="0"/>
        <w:rPr>
          <w:bCs/>
          <w:szCs w:val="22"/>
        </w:rPr>
      </w:pPr>
    </w:p>
    <w:p w14:paraId="5C12056A" w14:textId="48B9CF05" w:rsidR="00025BCF" w:rsidRPr="00694DB8" w:rsidRDefault="00025BCF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F41B18">
        <w:rPr>
          <w:bCs/>
          <w:szCs w:val="22"/>
        </w:rPr>
        <w:t>Tak ako iné NSAID, diklofenak môže prechodne inhibovať agregáciu trombocytov. Pacientov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 xml:space="preserve">poruchami hemostázy je potrebné starostlivo sledovať. </w:t>
      </w:r>
    </w:p>
    <w:p w14:paraId="3A669836" w14:textId="77777777" w:rsidR="009825E1" w:rsidRPr="00694DB8" w:rsidRDefault="009825E1" w:rsidP="00AF110C">
      <w:pPr>
        <w:tabs>
          <w:tab w:val="left" w:pos="567"/>
        </w:tabs>
        <w:ind w:left="0" w:firstLine="0"/>
        <w:rPr>
          <w:szCs w:val="22"/>
        </w:rPr>
      </w:pPr>
    </w:p>
    <w:p w14:paraId="0CEA2E41" w14:textId="77777777" w:rsidR="005B7CFD" w:rsidRPr="00694DB8" w:rsidRDefault="00713969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Respiračné účinky (a</w:t>
      </w:r>
      <w:r w:rsidR="005B7CFD" w:rsidRPr="00694DB8">
        <w:rPr>
          <w:szCs w:val="22"/>
          <w:u w:val="single"/>
        </w:rPr>
        <w:t>stma</w:t>
      </w:r>
      <w:r w:rsidR="00AF110C" w:rsidRPr="00694DB8">
        <w:rPr>
          <w:szCs w:val="22"/>
          <w:u w:val="single"/>
        </w:rPr>
        <w:t xml:space="preserve"> v </w:t>
      </w:r>
      <w:r w:rsidR="005B7CFD" w:rsidRPr="00694DB8">
        <w:rPr>
          <w:szCs w:val="22"/>
          <w:u w:val="single"/>
        </w:rPr>
        <w:t>anamnéze</w:t>
      </w:r>
      <w:r w:rsidRPr="00694DB8">
        <w:rPr>
          <w:szCs w:val="22"/>
          <w:u w:val="single"/>
        </w:rPr>
        <w:t>)</w:t>
      </w:r>
    </w:p>
    <w:p w14:paraId="0EFD36E7" w14:textId="77777777" w:rsidR="005B7CFD" w:rsidRPr="00694DB8" w:rsidRDefault="005B7CFD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U pacientov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>astmou, sezónnou alergickou nádchou, zdurením nosovej sliznice (napr. nosovými polypmi), chronickou obštrukčnou broncho-pulmonálnou chorobou alebo chronickými infekciami dýchacej sústavy (najmä ak sú spojené so symptómami podobnými alergickej nádche), sú reakcie na NSAID</w:t>
      </w:r>
      <w:r w:rsidR="00944735" w:rsidRPr="00F41B18">
        <w:rPr>
          <w:bCs/>
          <w:szCs w:val="22"/>
        </w:rPr>
        <w:t>,</w:t>
      </w:r>
      <w:r w:rsidRPr="00F41B18">
        <w:rPr>
          <w:bCs/>
          <w:szCs w:val="22"/>
        </w:rPr>
        <w:t xml:space="preserve"> ako je exacerbácia astmy (tzv. intolerancia analgetík</w:t>
      </w:r>
      <w:r w:rsidR="00944735" w:rsidRPr="00694DB8">
        <w:rPr>
          <w:bCs/>
          <w:szCs w:val="22"/>
        </w:rPr>
        <w:t> </w:t>
      </w:r>
      <w:r w:rsidRPr="00694DB8">
        <w:rPr>
          <w:bCs/>
          <w:szCs w:val="22"/>
        </w:rPr>
        <w:t>/</w:t>
      </w:r>
      <w:r w:rsidR="00944735" w:rsidRPr="00694DB8">
        <w:rPr>
          <w:szCs w:val="22"/>
        </w:rPr>
        <w:t> </w:t>
      </w:r>
      <w:r w:rsidRPr="00694DB8">
        <w:rPr>
          <w:bCs/>
          <w:szCs w:val="22"/>
        </w:rPr>
        <w:t>analgetická astma), angioneurotický edém alebo urtikária</w:t>
      </w:r>
      <w:r w:rsidR="00944735" w:rsidRPr="00694DB8">
        <w:rPr>
          <w:bCs/>
          <w:szCs w:val="22"/>
        </w:rPr>
        <w:t>,</w:t>
      </w:r>
      <w:r w:rsidRPr="00694DB8">
        <w:rPr>
          <w:bCs/>
          <w:szCs w:val="22"/>
        </w:rPr>
        <w:t xml:space="preserve"> častejšie ako</w:t>
      </w:r>
      <w:r w:rsidR="00AF110C" w:rsidRPr="00694DB8">
        <w:rPr>
          <w:bCs/>
          <w:szCs w:val="22"/>
        </w:rPr>
        <w:t xml:space="preserve"> u </w:t>
      </w:r>
      <w:r w:rsidRPr="00694DB8">
        <w:rPr>
          <w:bCs/>
          <w:szCs w:val="22"/>
        </w:rPr>
        <w:t>ostatných pacientov. Preto sa</w:t>
      </w:r>
      <w:r w:rsidR="00AF110C" w:rsidRPr="00694DB8">
        <w:rPr>
          <w:bCs/>
          <w:szCs w:val="22"/>
        </w:rPr>
        <w:t xml:space="preserve"> u </w:t>
      </w:r>
      <w:r w:rsidRPr="00694DB8">
        <w:rPr>
          <w:bCs/>
          <w:szCs w:val="22"/>
        </w:rPr>
        <w:t>takýchto pacientov odporúčajú osobitné bezpečnostné opatrenia (pripravenosť na okamžitú pomoc). Platí to aj pre pacientov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>alergickými reakciami na iné látky, napr.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 xml:space="preserve">kožnými reakciami, pruritom alebo urtikáriou. </w:t>
      </w:r>
    </w:p>
    <w:p w14:paraId="232FF3BE" w14:textId="77777777" w:rsidR="009825E1" w:rsidRPr="00694DB8" w:rsidRDefault="009825E1" w:rsidP="00AF110C">
      <w:pPr>
        <w:tabs>
          <w:tab w:val="left" w:pos="567"/>
        </w:tabs>
        <w:ind w:left="0" w:firstLine="0"/>
        <w:rPr>
          <w:i/>
          <w:szCs w:val="22"/>
          <w:highlight w:val="yellow"/>
        </w:rPr>
      </w:pPr>
    </w:p>
    <w:p w14:paraId="39FDBDAF" w14:textId="77777777" w:rsidR="006F593B" w:rsidRDefault="00E91F91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Pomocné látky</w:t>
      </w:r>
      <w:r w:rsidR="006F593B">
        <w:rPr>
          <w:szCs w:val="22"/>
          <w:u w:val="single"/>
        </w:rPr>
        <w:t>so známym účinkom</w:t>
      </w:r>
    </w:p>
    <w:p w14:paraId="6B8411D5" w14:textId="44D645AF" w:rsidR="00E91F91" w:rsidRDefault="006F593B" w:rsidP="00541A55">
      <w:pPr>
        <w:keepNext/>
        <w:tabs>
          <w:tab w:val="left" w:pos="567"/>
        </w:tabs>
        <w:ind w:left="0" w:firstLine="0"/>
        <w:rPr>
          <w:szCs w:val="22"/>
        </w:rPr>
      </w:pPr>
      <w:r w:rsidRPr="00586689">
        <w:rPr>
          <w:szCs w:val="22"/>
        </w:rPr>
        <w:t xml:space="preserve">Voltaren Rapid 25 mg obsahuje </w:t>
      </w:r>
      <w:r w:rsidRPr="000A778B">
        <w:rPr>
          <w:szCs w:val="22"/>
        </w:rPr>
        <w:t>19 mg sorbitolu v</w:t>
      </w:r>
      <w:r w:rsidR="008C7E99" w:rsidRPr="000A778B">
        <w:rPr>
          <w:szCs w:val="22"/>
        </w:rPr>
        <w:t> </w:t>
      </w:r>
      <w:r w:rsidRPr="000A778B">
        <w:rPr>
          <w:szCs w:val="22"/>
        </w:rPr>
        <w:t>jednej</w:t>
      </w:r>
      <w:r w:rsidR="008C7E99">
        <w:rPr>
          <w:szCs w:val="22"/>
        </w:rPr>
        <w:t xml:space="preserve"> mäkkej</w:t>
      </w:r>
      <w:r>
        <w:rPr>
          <w:szCs w:val="22"/>
        </w:rPr>
        <w:t xml:space="preserve"> kapsule</w:t>
      </w:r>
      <w:r w:rsidR="00E91F91" w:rsidRPr="00694DB8">
        <w:rPr>
          <w:szCs w:val="22"/>
        </w:rPr>
        <w:t>.</w:t>
      </w:r>
    </w:p>
    <w:p w14:paraId="7139C26E" w14:textId="77777777" w:rsidR="006F593B" w:rsidRPr="00694DB8" w:rsidRDefault="006F593B" w:rsidP="00AF110C">
      <w:pPr>
        <w:tabs>
          <w:tab w:val="left" w:pos="567"/>
        </w:tabs>
        <w:ind w:left="0" w:firstLine="0"/>
        <w:rPr>
          <w:szCs w:val="22"/>
        </w:rPr>
      </w:pPr>
    </w:p>
    <w:p w14:paraId="3B593A19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694DB8">
        <w:rPr>
          <w:b/>
          <w:szCs w:val="22"/>
        </w:rPr>
        <w:t>4.5</w:t>
      </w:r>
      <w:r w:rsidRPr="00694DB8">
        <w:rPr>
          <w:b/>
          <w:szCs w:val="22"/>
        </w:rPr>
        <w:tab/>
        <w:t>Liekové a iné interakcie</w:t>
      </w:r>
    </w:p>
    <w:p w14:paraId="6916962A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228BB53B" w14:textId="77777777" w:rsidR="008D74B3" w:rsidRPr="00694DB8" w:rsidRDefault="00CA4E76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 xml:space="preserve">Nasledujúce interakcie zahŕňajú interakcie pozorované </w:t>
      </w:r>
      <w:r w:rsidR="00A00A4A" w:rsidRPr="00694DB8">
        <w:rPr>
          <w:szCs w:val="22"/>
        </w:rPr>
        <w:t xml:space="preserve">pri </w:t>
      </w:r>
      <w:r w:rsidR="00A54008" w:rsidRPr="00694DB8">
        <w:rPr>
          <w:szCs w:val="22"/>
        </w:rPr>
        <w:t xml:space="preserve">gastrorezistentných tabletách a </w:t>
      </w:r>
      <w:r w:rsidR="008D74B3" w:rsidRPr="00694DB8">
        <w:rPr>
          <w:szCs w:val="22"/>
        </w:rPr>
        <w:t xml:space="preserve">iných liekových formách </w:t>
      </w:r>
      <w:r w:rsidR="006E4DD3" w:rsidRPr="00694DB8">
        <w:rPr>
          <w:szCs w:val="22"/>
        </w:rPr>
        <w:t>diklofenaku</w:t>
      </w:r>
      <w:r w:rsidR="00E24983" w:rsidRPr="00694DB8">
        <w:rPr>
          <w:szCs w:val="22"/>
        </w:rPr>
        <w:t>.</w:t>
      </w:r>
    </w:p>
    <w:p w14:paraId="64B46875" w14:textId="77777777" w:rsidR="000234D7" w:rsidRPr="00694DB8" w:rsidRDefault="000234D7" w:rsidP="00AF110C">
      <w:pPr>
        <w:tabs>
          <w:tab w:val="left" w:pos="567"/>
        </w:tabs>
        <w:ind w:left="0" w:firstLine="0"/>
        <w:rPr>
          <w:i/>
          <w:szCs w:val="22"/>
        </w:rPr>
      </w:pPr>
    </w:p>
    <w:p w14:paraId="78182A0A" w14:textId="77777777" w:rsidR="00704F90" w:rsidRPr="00694DB8" w:rsidRDefault="008D74B3" w:rsidP="00944735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Lítium</w:t>
      </w:r>
    </w:p>
    <w:p w14:paraId="5211C428" w14:textId="6B3C14FA" w:rsidR="00CA4E76" w:rsidRPr="00694DB8" w:rsidRDefault="00CA4E76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 xml:space="preserve">Pri </w:t>
      </w:r>
      <w:r w:rsidR="00C34B24">
        <w:rPr>
          <w:szCs w:val="22"/>
        </w:rPr>
        <w:t>súbežnom</w:t>
      </w:r>
      <w:r w:rsidR="00C34B24" w:rsidRPr="00694DB8">
        <w:rPr>
          <w:szCs w:val="22"/>
        </w:rPr>
        <w:t xml:space="preserve"> </w:t>
      </w:r>
      <w:r w:rsidRPr="00694DB8">
        <w:rPr>
          <w:szCs w:val="22"/>
        </w:rPr>
        <w:t>použití môže diklofenak zvýšiť koncentrácie lítia</w:t>
      </w:r>
      <w:r w:rsidR="00AF110C" w:rsidRPr="00694DB8">
        <w:rPr>
          <w:szCs w:val="22"/>
        </w:rPr>
        <w:t xml:space="preserve"> v </w:t>
      </w:r>
      <w:r w:rsidRPr="00F41B18">
        <w:rPr>
          <w:szCs w:val="22"/>
        </w:rPr>
        <w:t>plazme. Odporúča sa monitorova</w:t>
      </w:r>
      <w:r w:rsidR="00067642" w:rsidRPr="00F41B18">
        <w:rPr>
          <w:szCs w:val="22"/>
        </w:rPr>
        <w:t>ť</w:t>
      </w:r>
      <w:r w:rsidRPr="00F41B18">
        <w:rPr>
          <w:szCs w:val="22"/>
        </w:rPr>
        <w:t xml:space="preserve"> sérov</w:t>
      </w:r>
      <w:r w:rsidR="00067642" w:rsidRPr="00694DB8">
        <w:rPr>
          <w:szCs w:val="22"/>
        </w:rPr>
        <w:t>ú</w:t>
      </w:r>
      <w:r w:rsidRPr="00694DB8">
        <w:rPr>
          <w:szCs w:val="22"/>
        </w:rPr>
        <w:t xml:space="preserve"> hladin</w:t>
      </w:r>
      <w:r w:rsidR="00067642" w:rsidRPr="00694DB8">
        <w:rPr>
          <w:szCs w:val="22"/>
        </w:rPr>
        <w:t>u</w:t>
      </w:r>
      <w:r w:rsidRPr="00694DB8">
        <w:rPr>
          <w:szCs w:val="22"/>
        </w:rPr>
        <w:t xml:space="preserve"> lítia.</w:t>
      </w:r>
    </w:p>
    <w:p w14:paraId="0E9F1C8F" w14:textId="77777777" w:rsidR="000234D7" w:rsidRPr="00694DB8" w:rsidRDefault="000234D7" w:rsidP="00AF110C">
      <w:pPr>
        <w:tabs>
          <w:tab w:val="left" w:pos="567"/>
        </w:tabs>
        <w:ind w:left="0" w:firstLine="0"/>
        <w:rPr>
          <w:i/>
          <w:szCs w:val="22"/>
        </w:rPr>
      </w:pPr>
    </w:p>
    <w:p w14:paraId="09174E41" w14:textId="77777777" w:rsidR="00704F90" w:rsidRPr="00694DB8" w:rsidRDefault="00067642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D</w:t>
      </w:r>
      <w:r w:rsidR="008D74B3" w:rsidRPr="00694DB8">
        <w:rPr>
          <w:szCs w:val="22"/>
          <w:u w:val="single"/>
        </w:rPr>
        <w:t>igoxín</w:t>
      </w:r>
    </w:p>
    <w:p w14:paraId="5E21BED8" w14:textId="7AFDA2D1" w:rsidR="00067642" w:rsidRPr="00694DB8" w:rsidRDefault="00067642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 xml:space="preserve">Pri </w:t>
      </w:r>
      <w:r w:rsidR="00C34B24">
        <w:rPr>
          <w:szCs w:val="22"/>
        </w:rPr>
        <w:t xml:space="preserve">súbežnom </w:t>
      </w:r>
      <w:r w:rsidRPr="00694DB8">
        <w:rPr>
          <w:szCs w:val="22"/>
        </w:rPr>
        <w:t>použití môže diklofenak zvýšiť koncentrácie digoxínu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>plazme. Odporúča sa monitorovať sérovú hladinu digoxínu.</w:t>
      </w:r>
    </w:p>
    <w:p w14:paraId="4FA35D41" w14:textId="77777777" w:rsidR="000234D7" w:rsidRPr="00F41B18" w:rsidRDefault="000234D7" w:rsidP="00AF110C">
      <w:pPr>
        <w:tabs>
          <w:tab w:val="left" w:pos="567"/>
        </w:tabs>
        <w:ind w:left="0" w:firstLine="0"/>
        <w:rPr>
          <w:i/>
          <w:szCs w:val="22"/>
        </w:rPr>
      </w:pPr>
    </w:p>
    <w:p w14:paraId="493D58F6" w14:textId="77777777" w:rsidR="00CC10AF" w:rsidRPr="00694DB8" w:rsidRDefault="008D74B3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Diuretiká</w:t>
      </w:r>
      <w:r w:rsidR="00067642" w:rsidRPr="00694DB8">
        <w:rPr>
          <w:szCs w:val="22"/>
          <w:u w:val="single"/>
        </w:rPr>
        <w:t xml:space="preserve"> a antihypertenzíva</w:t>
      </w:r>
    </w:p>
    <w:p w14:paraId="518AA0BF" w14:textId="6F5C309F" w:rsidR="00AF1491" w:rsidRPr="00694DB8" w:rsidRDefault="008D74B3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 xml:space="preserve">Tak ako </w:t>
      </w:r>
      <w:r w:rsidR="00067642" w:rsidRPr="00694DB8">
        <w:rPr>
          <w:szCs w:val="22"/>
        </w:rPr>
        <w:t xml:space="preserve">iné NSAID, diklofenak pri </w:t>
      </w:r>
      <w:r w:rsidR="00C34B24">
        <w:rPr>
          <w:szCs w:val="22"/>
        </w:rPr>
        <w:t>súbežnom</w:t>
      </w:r>
      <w:r w:rsidR="00C34B24" w:rsidRPr="00694DB8">
        <w:rPr>
          <w:szCs w:val="22"/>
        </w:rPr>
        <w:t xml:space="preserve"> </w:t>
      </w:r>
      <w:r w:rsidR="00067642" w:rsidRPr="00694DB8">
        <w:rPr>
          <w:szCs w:val="22"/>
        </w:rPr>
        <w:t>použití</w:t>
      </w:r>
      <w:r w:rsidR="00AF110C" w:rsidRPr="00F41B18">
        <w:rPr>
          <w:szCs w:val="22"/>
        </w:rPr>
        <w:t xml:space="preserve"> s </w:t>
      </w:r>
      <w:r w:rsidR="00067642" w:rsidRPr="00F41B18">
        <w:rPr>
          <w:szCs w:val="22"/>
        </w:rPr>
        <w:t>diuretikami alebo antihypertenzívami (napr. beta</w:t>
      </w:r>
      <w:r w:rsidR="00A00A4A" w:rsidRPr="00694DB8">
        <w:rPr>
          <w:szCs w:val="22"/>
        </w:rPr>
        <w:t>-</w:t>
      </w:r>
      <w:r w:rsidR="00067642" w:rsidRPr="00694DB8">
        <w:rPr>
          <w:szCs w:val="22"/>
        </w:rPr>
        <w:t>blokátormi, ACE</w:t>
      </w:r>
      <w:r w:rsidR="00A00A4A" w:rsidRPr="00694DB8">
        <w:rPr>
          <w:szCs w:val="22"/>
        </w:rPr>
        <w:t xml:space="preserve"> inhibítormi</w:t>
      </w:r>
      <w:r w:rsidR="00067642" w:rsidRPr="00694DB8">
        <w:rPr>
          <w:szCs w:val="22"/>
        </w:rPr>
        <w:t>)</w:t>
      </w:r>
      <w:r w:rsidR="00182374" w:rsidRPr="00694DB8">
        <w:rPr>
          <w:szCs w:val="22"/>
        </w:rPr>
        <w:t xml:space="preserve"> </w:t>
      </w:r>
      <w:r w:rsidR="00067642" w:rsidRPr="00694DB8">
        <w:rPr>
          <w:szCs w:val="22"/>
        </w:rPr>
        <w:t>môže zoslabiť ich antihypertenzívny účinok. Preto je pri podávaní tejto kombinácie potrebná opatrnosť a</w:t>
      </w:r>
      <w:r w:rsidR="00AF110C" w:rsidRPr="00694DB8">
        <w:rPr>
          <w:szCs w:val="22"/>
        </w:rPr>
        <w:t xml:space="preserve"> u </w:t>
      </w:r>
      <w:r w:rsidR="00067642" w:rsidRPr="00694DB8">
        <w:rPr>
          <w:szCs w:val="22"/>
        </w:rPr>
        <w:t xml:space="preserve">pacientov, zvlášť starších, sa má pravidelne kontrolovať krvný tlak. </w:t>
      </w:r>
      <w:r w:rsidR="00B3236B" w:rsidRPr="00694DB8">
        <w:rPr>
          <w:szCs w:val="22"/>
        </w:rPr>
        <w:t>Pacienti majú byť primerane hydratovaní a </w:t>
      </w:r>
      <w:r w:rsidR="00FE27AC" w:rsidRPr="00694DB8">
        <w:rPr>
          <w:szCs w:val="22"/>
        </w:rPr>
        <w:t>po začatí súbežnej liečby a neskôr</w:t>
      </w:r>
      <w:r w:rsidR="00AF110C" w:rsidRPr="00694DB8">
        <w:rPr>
          <w:szCs w:val="22"/>
        </w:rPr>
        <w:t xml:space="preserve"> v </w:t>
      </w:r>
      <w:r w:rsidR="00FE27AC" w:rsidRPr="00694DB8">
        <w:rPr>
          <w:szCs w:val="22"/>
        </w:rPr>
        <w:t>pravidelných intervaloch je potrebné venovať pozornosť monitorovaniu funkcie obličiek,</w:t>
      </w:r>
      <w:r w:rsidR="00E45D8A" w:rsidRPr="00694DB8">
        <w:rPr>
          <w:szCs w:val="22"/>
        </w:rPr>
        <w:t xml:space="preserve"> </w:t>
      </w:r>
      <w:r w:rsidR="00FE27AC" w:rsidRPr="00694DB8">
        <w:rPr>
          <w:szCs w:val="22"/>
        </w:rPr>
        <w:t xml:space="preserve">najmä pri diuretikách a inhibítoroch ACE, </w:t>
      </w:r>
      <w:r w:rsidR="00B3236B" w:rsidRPr="00694DB8">
        <w:rPr>
          <w:szCs w:val="22"/>
        </w:rPr>
        <w:t xml:space="preserve">vzhľadom na zvýšené riziko nefrotoxicity. </w:t>
      </w:r>
    </w:p>
    <w:p w14:paraId="4E458EE3" w14:textId="77777777" w:rsidR="000234D7" w:rsidRPr="00694DB8" w:rsidRDefault="000234D7" w:rsidP="00AF110C">
      <w:pPr>
        <w:tabs>
          <w:tab w:val="left" w:pos="567"/>
        </w:tabs>
        <w:ind w:left="0" w:firstLine="0"/>
        <w:rPr>
          <w:i/>
          <w:szCs w:val="22"/>
        </w:rPr>
      </w:pPr>
    </w:p>
    <w:p w14:paraId="5D876996" w14:textId="77777777" w:rsidR="00CC10AF" w:rsidRPr="00694DB8" w:rsidRDefault="00D82014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Iné NSAID a kortikostero</w:t>
      </w:r>
      <w:r w:rsidR="00FE27AC" w:rsidRPr="00694DB8">
        <w:rPr>
          <w:szCs w:val="22"/>
          <w:u w:val="single"/>
        </w:rPr>
        <w:t>idy</w:t>
      </w:r>
    </w:p>
    <w:p w14:paraId="2EEA9881" w14:textId="3EC237FA" w:rsidR="008D74B3" w:rsidRPr="00694DB8" w:rsidRDefault="00C34B24" w:rsidP="00AF110C">
      <w:pPr>
        <w:tabs>
          <w:tab w:val="left" w:pos="567"/>
        </w:tabs>
        <w:ind w:left="0" w:firstLine="0"/>
        <w:rPr>
          <w:szCs w:val="22"/>
        </w:rPr>
      </w:pPr>
      <w:r>
        <w:rPr>
          <w:szCs w:val="22"/>
        </w:rPr>
        <w:t>Súbežné</w:t>
      </w:r>
      <w:r w:rsidRPr="00694DB8">
        <w:rPr>
          <w:szCs w:val="22"/>
        </w:rPr>
        <w:t xml:space="preserve"> </w:t>
      </w:r>
      <w:r w:rsidR="008D74B3" w:rsidRPr="00694DB8">
        <w:rPr>
          <w:szCs w:val="22"/>
        </w:rPr>
        <w:t>pod</w:t>
      </w:r>
      <w:r w:rsidR="00D82014" w:rsidRPr="00694DB8">
        <w:rPr>
          <w:szCs w:val="22"/>
        </w:rPr>
        <w:t xml:space="preserve">ávanie diklofenaku a </w:t>
      </w:r>
      <w:r w:rsidR="008D74B3" w:rsidRPr="00694DB8">
        <w:rPr>
          <w:szCs w:val="22"/>
        </w:rPr>
        <w:t xml:space="preserve">iných systémových </w:t>
      </w:r>
      <w:r w:rsidR="00D82014" w:rsidRPr="00694DB8">
        <w:rPr>
          <w:szCs w:val="22"/>
        </w:rPr>
        <w:t xml:space="preserve">NSAID alebo kortikosteroidov </w:t>
      </w:r>
      <w:r w:rsidR="008D74B3" w:rsidRPr="00F41B18">
        <w:rPr>
          <w:szCs w:val="22"/>
        </w:rPr>
        <w:t xml:space="preserve">môže zvýšiť </w:t>
      </w:r>
      <w:r w:rsidR="002C1B06" w:rsidRPr="00694DB8">
        <w:rPr>
          <w:szCs w:val="22"/>
        </w:rPr>
        <w:t xml:space="preserve">frekvenciu </w:t>
      </w:r>
      <w:r w:rsidR="008D74B3" w:rsidRPr="00694DB8">
        <w:rPr>
          <w:szCs w:val="22"/>
        </w:rPr>
        <w:t>výskyt</w:t>
      </w:r>
      <w:r w:rsidR="002C1B06" w:rsidRPr="00694DB8">
        <w:rPr>
          <w:szCs w:val="22"/>
        </w:rPr>
        <w:t>u</w:t>
      </w:r>
      <w:r w:rsidR="008D74B3" w:rsidRPr="00694DB8">
        <w:rPr>
          <w:szCs w:val="22"/>
        </w:rPr>
        <w:t xml:space="preserve"> </w:t>
      </w:r>
      <w:r w:rsidR="00D82014" w:rsidRPr="00694DB8">
        <w:rPr>
          <w:szCs w:val="22"/>
        </w:rPr>
        <w:t xml:space="preserve">gastrointestinálnych </w:t>
      </w:r>
      <w:r w:rsidR="008D74B3" w:rsidRPr="00694DB8">
        <w:rPr>
          <w:szCs w:val="22"/>
        </w:rPr>
        <w:t>nežiaducich účinkov</w:t>
      </w:r>
      <w:r w:rsidR="00D82014" w:rsidRPr="00694DB8">
        <w:rPr>
          <w:szCs w:val="22"/>
        </w:rPr>
        <w:t xml:space="preserve"> (pozri časť 4.4)</w:t>
      </w:r>
      <w:r w:rsidR="008D74B3" w:rsidRPr="00694DB8">
        <w:rPr>
          <w:szCs w:val="22"/>
        </w:rPr>
        <w:t xml:space="preserve">. </w:t>
      </w:r>
    </w:p>
    <w:p w14:paraId="78E94DBF" w14:textId="77777777" w:rsidR="000234D7" w:rsidRPr="00694DB8" w:rsidRDefault="000234D7" w:rsidP="00AF110C">
      <w:pPr>
        <w:tabs>
          <w:tab w:val="left" w:pos="567"/>
        </w:tabs>
        <w:ind w:left="0" w:firstLine="0"/>
        <w:rPr>
          <w:i/>
          <w:szCs w:val="22"/>
        </w:rPr>
      </w:pPr>
    </w:p>
    <w:p w14:paraId="2958A421" w14:textId="77777777" w:rsidR="00CC10AF" w:rsidRPr="00694DB8" w:rsidRDefault="008D74B3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Antikoagulanciá</w:t>
      </w:r>
      <w:r w:rsidR="00D82014" w:rsidRPr="00694DB8">
        <w:rPr>
          <w:szCs w:val="22"/>
          <w:u w:val="single"/>
        </w:rPr>
        <w:t xml:space="preserve"> a antitrombocytárne látky</w:t>
      </w:r>
    </w:p>
    <w:p w14:paraId="489D56B0" w14:textId="77777777" w:rsidR="000234D7" w:rsidRPr="00694DB8" w:rsidRDefault="00336F2E" w:rsidP="00AF110C">
      <w:pPr>
        <w:tabs>
          <w:tab w:val="left" w:pos="567"/>
        </w:tabs>
        <w:ind w:left="0" w:firstLine="0"/>
        <w:rPr>
          <w:i/>
          <w:szCs w:val="22"/>
        </w:rPr>
      </w:pPr>
      <w:r w:rsidRPr="00694DB8">
        <w:rPr>
          <w:szCs w:val="22"/>
        </w:rPr>
        <w:t xml:space="preserve">Odporúča sa opatrnosť, pretože súčasné podávanie môže zvýšiť riziko krvácania (pozri časť 4.4). </w:t>
      </w:r>
      <w:r w:rsidR="008D74B3" w:rsidRPr="00694DB8">
        <w:rPr>
          <w:szCs w:val="22"/>
        </w:rPr>
        <w:t xml:space="preserve">Hoci klinické sledovania nenaznačujú, že by </w:t>
      </w:r>
      <w:r w:rsidRPr="00694DB8">
        <w:rPr>
          <w:szCs w:val="22"/>
        </w:rPr>
        <w:t>diklofenak</w:t>
      </w:r>
      <w:r w:rsidR="008D74B3" w:rsidRPr="00694DB8">
        <w:rPr>
          <w:szCs w:val="22"/>
        </w:rPr>
        <w:t xml:space="preserve"> ovplyvňoval účinok antikoagulancií, </w:t>
      </w:r>
      <w:r w:rsidR="009A1C4C" w:rsidRPr="00F41B18">
        <w:rPr>
          <w:szCs w:val="22"/>
        </w:rPr>
        <w:t>existujú</w:t>
      </w:r>
      <w:r w:rsidRPr="00F41B18">
        <w:rPr>
          <w:szCs w:val="22"/>
        </w:rPr>
        <w:t xml:space="preserve"> </w:t>
      </w:r>
      <w:r w:rsidRPr="00694DB8">
        <w:rPr>
          <w:szCs w:val="22"/>
        </w:rPr>
        <w:t>hlásenia</w:t>
      </w:r>
      <w:r w:rsidR="00AF110C" w:rsidRPr="00694DB8">
        <w:rPr>
          <w:szCs w:val="22"/>
        </w:rPr>
        <w:t xml:space="preserve"> o </w:t>
      </w:r>
      <w:r w:rsidRPr="00694DB8">
        <w:rPr>
          <w:szCs w:val="22"/>
        </w:rPr>
        <w:t>zvýšenom riziku</w:t>
      </w:r>
      <w:r w:rsidR="008D74B3" w:rsidRPr="00694DB8">
        <w:rPr>
          <w:szCs w:val="22"/>
        </w:rPr>
        <w:t xml:space="preserve"> krvácania</w:t>
      </w:r>
      <w:r w:rsidR="00AF110C" w:rsidRPr="00694DB8">
        <w:rPr>
          <w:szCs w:val="22"/>
        </w:rPr>
        <w:t xml:space="preserve"> u </w:t>
      </w:r>
      <w:r w:rsidR="008D74B3" w:rsidRPr="00694DB8">
        <w:rPr>
          <w:szCs w:val="22"/>
        </w:rPr>
        <w:t xml:space="preserve">pacientov, ktorým sa súčasne podávali </w:t>
      </w:r>
      <w:r w:rsidRPr="00694DB8">
        <w:rPr>
          <w:szCs w:val="22"/>
        </w:rPr>
        <w:t>diklofenak</w:t>
      </w:r>
      <w:r w:rsidR="008D74B3" w:rsidRPr="00694DB8">
        <w:rPr>
          <w:szCs w:val="22"/>
        </w:rPr>
        <w:t xml:space="preserve"> a</w:t>
      </w:r>
      <w:r w:rsidR="00FD4348" w:rsidRPr="00694DB8">
        <w:rPr>
          <w:szCs w:val="22"/>
        </w:rPr>
        <w:t> </w:t>
      </w:r>
      <w:r w:rsidR="008D74B3" w:rsidRPr="00694DB8">
        <w:rPr>
          <w:szCs w:val="22"/>
        </w:rPr>
        <w:t>antikoagulanciá. Preto sa odporúča starostlivé sledovani</w:t>
      </w:r>
      <w:r w:rsidR="00E24983" w:rsidRPr="00694DB8">
        <w:rPr>
          <w:szCs w:val="22"/>
        </w:rPr>
        <w:t>e</w:t>
      </w:r>
      <w:r w:rsidR="008D74B3" w:rsidRPr="00694DB8">
        <w:rPr>
          <w:szCs w:val="22"/>
        </w:rPr>
        <w:t xml:space="preserve"> </w:t>
      </w:r>
      <w:r w:rsidR="00CC10AF" w:rsidRPr="00694DB8">
        <w:rPr>
          <w:szCs w:val="22"/>
        </w:rPr>
        <w:t>takýchto pacientov</w:t>
      </w:r>
      <w:r w:rsidR="009A1C4C" w:rsidRPr="00694DB8">
        <w:rPr>
          <w:szCs w:val="22"/>
        </w:rPr>
        <w:t>.</w:t>
      </w:r>
    </w:p>
    <w:p w14:paraId="57136977" w14:textId="77777777" w:rsidR="00CC10AF" w:rsidRPr="00694DB8" w:rsidRDefault="00CC10AF" w:rsidP="00AF110C">
      <w:pPr>
        <w:tabs>
          <w:tab w:val="left" w:pos="567"/>
        </w:tabs>
        <w:ind w:left="0" w:firstLine="0"/>
        <w:rPr>
          <w:i/>
          <w:szCs w:val="22"/>
        </w:rPr>
      </w:pPr>
    </w:p>
    <w:p w14:paraId="1EC1D7AB" w14:textId="77777777" w:rsidR="00CC10AF" w:rsidRPr="00694DB8" w:rsidRDefault="00336F2E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Selektívne inhibítory spätného vychytávania s</w:t>
      </w:r>
      <w:r w:rsidR="00C84762" w:rsidRPr="00694DB8">
        <w:rPr>
          <w:szCs w:val="22"/>
          <w:u w:val="single"/>
        </w:rPr>
        <w:t>é</w:t>
      </w:r>
      <w:r w:rsidRPr="00694DB8">
        <w:rPr>
          <w:szCs w:val="22"/>
          <w:u w:val="single"/>
        </w:rPr>
        <w:t>rotonínu (SSRI)</w:t>
      </w:r>
    </w:p>
    <w:p w14:paraId="0D7B8202" w14:textId="3BEA412C" w:rsidR="00336F2E" w:rsidRPr="00694DB8" w:rsidRDefault="00C34B24" w:rsidP="00AF110C">
      <w:pPr>
        <w:tabs>
          <w:tab w:val="left" w:pos="567"/>
        </w:tabs>
        <w:ind w:left="0" w:firstLine="0"/>
        <w:rPr>
          <w:szCs w:val="22"/>
        </w:rPr>
      </w:pPr>
      <w:r>
        <w:rPr>
          <w:szCs w:val="22"/>
        </w:rPr>
        <w:t>Súbežné</w:t>
      </w:r>
      <w:r w:rsidRPr="00694DB8">
        <w:rPr>
          <w:szCs w:val="22"/>
        </w:rPr>
        <w:t xml:space="preserve"> </w:t>
      </w:r>
      <w:r w:rsidR="004128C6" w:rsidRPr="00694DB8">
        <w:rPr>
          <w:szCs w:val="22"/>
        </w:rPr>
        <w:t>podávanie systémových NSAID</w:t>
      </w:r>
      <w:r w:rsidR="00690403" w:rsidRPr="00694DB8">
        <w:rPr>
          <w:szCs w:val="22"/>
        </w:rPr>
        <w:t>,</w:t>
      </w:r>
      <w:r w:rsidR="00A52D9A" w:rsidRPr="00694DB8">
        <w:rPr>
          <w:szCs w:val="22"/>
        </w:rPr>
        <w:t xml:space="preserve"> vrátane </w:t>
      </w:r>
      <w:r w:rsidR="00A52D9A" w:rsidRPr="00F41B18">
        <w:rPr>
          <w:szCs w:val="22"/>
        </w:rPr>
        <w:t>diklofenaku</w:t>
      </w:r>
      <w:r w:rsidR="00690403" w:rsidRPr="00F41B18">
        <w:rPr>
          <w:szCs w:val="22"/>
        </w:rPr>
        <w:t>,</w:t>
      </w:r>
      <w:r w:rsidR="004128C6" w:rsidRPr="00F41B18">
        <w:rPr>
          <w:szCs w:val="22"/>
        </w:rPr>
        <w:t xml:space="preserve"> a SSRI môže zvýšiť riziko gastrointestinálneho krvácania (pozri časť 4.4). </w:t>
      </w:r>
    </w:p>
    <w:p w14:paraId="563733C2" w14:textId="77777777" w:rsidR="00E6738D" w:rsidRPr="00694DB8" w:rsidRDefault="00E6738D" w:rsidP="00AF110C">
      <w:pPr>
        <w:tabs>
          <w:tab w:val="left" w:pos="567"/>
        </w:tabs>
        <w:ind w:left="0" w:firstLine="0"/>
        <w:rPr>
          <w:i/>
          <w:szCs w:val="22"/>
        </w:rPr>
      </w:pPr>
    </w:p>
    <w:p w14:paraId="1EC979B0" w14:textId="77777777" w:rsidR="00CC10AF" w:rsidRPr="00694DB8" w:rsidRDefault="008D74B3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lastRenderedPageBreak/>
        <w:t>Antidiabetiká</w:t>
      </w:r>
    </w:p>
    <w:p w14:paraId="324E111B" w14:textId="22C58590" w:rsidR="008D74B3" w:rsidRPr="00694DB8" w:rsidRDefault="008D74B3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 xml:space="preserve">Klinické štúdie ukázali, že </w:t>
      </w:r>
      <w:r w:rsidR="004128C6" w:rsidRPr="00694DB8">
        <w:rPr>
          <w:szCs w:val="22"/>
        </w:rPr>
        <w:t>diklofenak sa</w:t>
      </w:r>
      <w:r w:rsidRPr="00694DB8">
        <w:rPr>
          <w:szCs w:val="22"/>
        </w:rPr>
        <w:t xml:space="preserve"> m</w:t>
      </w:r>
      <w:r w:rsidR="004128C6" w:rsidRPr="00694DB8">
        <w:rPr>
          <w:szCs w:val="22"/>
        </w:rPr>
        <w:t xml:space="preserve">ôže </w:t>
      </w:r>
      <w:r w:rsidRPr="00F41B18">
        <w:rPr>
          <w:szCs w:val="22"/>
        </w:rPr>
        <w:t>podávať súčasne</w:t>
      </w:r>
      <w:r w:rsidR="00AF110C" w:rsidRPr="00F41B18">
        <w:rPr>
          <w:szCs w:val="22"/>
        </w:rPr>
        <w:t xml:space="preserve"> s </w:t>
      </w:r>
      <w:r w:rsidRPr="00694DB8">
        <w:rPr>
          <w:szCs w:val="22"/>
        </w:rPr>
        <w:t xml:space="preserve">perorálnymi antidiabetikami bez toho, aby to ovplyvnilo ich klinický účinok. </w:t>
      </w:r>
      <w:r w:rsidR="004128C6" w:rsidRPr="00694DB8">
        <w:rPr>
          <w:szCs w:val="22"/>
        </w:rPr>
        <w:t>Ojedinele však bol</w:t>
      </w:r>
      <w:r w:rsidR="00E71F62" w:rsidRPr="00694DB8">
        <w:rPr>
          <w:szCs w:val="22"/>
        </w:rPr>
        <w:t>i</w:t>
      </w:r>
      <w:r w:rsidR="004128C6" w:rsidRPr="00694DB8">
        <w:rPr>
          <w:szCs w:val="22"/>
        </w:rPr>
        <w:t xml:space="preserve"> hlásené</w:t>
      </w:r>
      <w:r w:rsidR="00182374" w:rsidRPr="00694DB8">
        <w:rPr>
          <w:szCs w:val="22"/>
        </w:rPr>
        <w:t xml:space="preserve"> </w:t>
      </w:r>
      <w:r w:rsidR="00D94460" w:rsidRPr="00694DB8">
        <w:rPr>
          <w:szCs w:val="22"/>
        </w:rPr>
        <w:t xml:space="preserve">prípady hypoglykemických </w:t>
      </w:r>
      <w:r w:rsidRPr="00694DB8">
        <w:rPr>
          <w:szCs w:val="22"/>
        </w:rPr>
        <w:t>aj</w:t>
      </w:r>
      <w:r w:rsidR="00FD4348" w:rsidRPr="00694DB8">
        <w:rPr>
          <w:szCs w:val="22"/>
        </w:rPr>
        <w:t> </w:t>
      </w:r>
      <w:r w:rsidRPr="00694DB8">
        <w:rPr>
          <w:szCs w:val="22"/>
        </w:rPr>
        <w:t>hyperglykemick</w:t>
      </w:r>
      <w:r w:rsidR="00D94460" w:rsidRPr="00694DB8">
        <w:rPr>
          <w:szCs w:val="22"/>
        </w:rPr>
        <w:t xml:space="preserve">ých </w:t>
      </w:r>
      <w:r w:rsidRPr="00694DB8">
        <w:rPr>
          <w:szCs w:val="22"/>
        </w:rPr>
        <w:t>účink</w:t>
      </w:r>
      <w:r w:rsidR="00D94460" w:rsidRPr="00694DB8">
        <w:rPr>
          <w:szCs w:val="22"/>
        </w:rPr>
        <w:t>ov</w:t>
      </w:r>
      <w:r w:rsidRPr="00694DB8">
        <w:rPr>
          <w:szCs w:val="22"/>
        </w:rPr>
        <w:t xml:space="preserve">, ktoré si vyžiadali </w:t>
      </w:r>
      <w:r w:rsidR="001D125A" w:rsidRPr="00694DB8">
        <w:rPr>
          <w:szCs w:val="22"/>
        </w:rPr>
        <w:t>zmen</w:t>
      </w:r>
      <w:r w:rsidRPr="00694DB8">
        <w:rPr>
          <w:szCs w:val="22"/>
        </w:rPr>
        <w:t xml:space="preserve">u dávkovania antidiabetík počas liečby </w:t>
      </w:r>
      <w:r w:rsidR="00E71F62" w:rsidRPr="00694DB8">
        <w:rPr>
          <w:szCs w:val="22"/>
        </w:rPr>
        <w:t>diklofenak</w:t>
      </w:r>
      <w:r w:rsidRPr="00694DB8">
        <w:rPr>
          <w:szCs w:val="22"/>
        </w:rPr>
        <w:t xml:space="preserve">om. </w:t>
      </w:r>
      <w:r w:rsidR="00E71F62" w:rsidRPr="00694DB8">
        <w:rPr>
          <w:szCs w:val="22"/>
        </w:rPr>
        <w:t xml:space="preserve">Preto sa </w:t>
      </w:r>
      <w:r w:rsidR="001D125A" w:rsidRPr="00694DB8">
        <w:rPr>
          <w:szCs w:val="22"/>
        </w:rPr>
        <w:t xml:space="preserve">ako bezpečnostné opatrenie </w:t>
      </w:r>
      <w:r w:rsidR="00E71F62" w:rsidRPr="00694DB8">
        <w:rPr>
          <w:szCs w:val="22"/>
        </w:rPr>
        <w:t>počas súčasnej liečby odporúča monitorova</w:t>
      </w:r>
      <w:r w:rsidR="001D125A" w:rsidRPr="00694DB8">
        <w:rPr>
          <w:szCs w:val="22"/>
        </w:rPr>
        <w:t>ť</w:t>
      </w:r>
      <w:r w:rsidR="00E71F62" w:rsidRPr="00694DB8">
        <w:rPr>
          <w:szCs w:val="22"/>
        </w:rPr>
        <w:t xml:space="preserve"> hladin</w:t>
      </w:r>
      <w:r w:rsidR="001D125A" w:rsidRPr="00694DB8">
        <w:rPr>
          <w:szCs w:val="22"/>
        </w:rPr>
        <w:t>u</w:t>
      </w:r>
      <w:r w:rsidR="00E71F62" w:rsidRPr="00694DB8">
        <w:rPr>
          <w:szCs w:val="22"/>
        </w:rPr>
        <w:t xml:space="preserve"> glukózy</w:t>
      </w:r>
      <w:r w:rsidR="00AF110C" w:rsidRPr="00694DB8">
        <w:rPr>
          <w:szCs w:val="22"/>
        </w:rPr>
        <w:t xml:space="preserve"> v </w:t>
      </w:r>
      <w:r w:rsidR="00E71F62" w:rsidRPr="00694DB8">
        <w:rPr>
          <w:szCs w:val="22"/>
        </w:rPr>
        <w:t>krvi.</w:t>
      </w:r>
      <w:r w:rsidR="00C34B24">
        <w:rPr>
          <w:szCs w:val="22"/>
        </w:rPr>
        <w:t xml:space="preserve"> </w:t>
      </w:r>
      <w:r w:rsidR="00C34B24" w:rsidRPr="00CB60EC">
        <w:rPr>
          <w:szCs w:val="22"/>
        </w:rPr>
        <w:t>Pri súbežnom podávaní diklofenaku s</w:t>
      </w:r>
      <w:r w:rsidR="00066A47">
        <w:rPr>
          <w:szCs w:val="22"/>
        </w:rPr>
        <w:t> </w:t>
      </w:r>
      <w:r w:rsidR="00C34B24" w:rsidRPr="00CB60EC">
        <w:rPr>
          <w:szCs w:val="22"/>
        </w:rPr>
        <w:t>metformínom bola tiež ojedinele hlásená metabolická acidóza, najmä u</w:t>
      </w:r>
      <w:r w:rsidR="004064D9">
        <w:rPr>
          <w:szCs w:val="22"/>
        </w:rPr>
        <w:t> </w:t>
      </w:r>
      <w:r w:rsidR="00C34B24" w:rsidRPr="00CB60EC">
        <w:rPr>
          <w:szCs w:val="22"/>
        </w:rPr>
        <w:t>pacientov s</w:t>
      </w:r>
      <w:r w:rsidR="004064D9">
        <w:rPr>
          <w:szCs w:val="22"/>
        </w:rPr>
        <w:t> </w:t>
      </w:r>
      <w:r w:rsidR="00C34B24" w:rsidRPr="00CB60EC">
        <w:rPr>
          <w:szCs w:val="22"/>
        </w:rPr>
        <w:t>existujúc</w:t>
      </w:r>
      <w:r w:rsidR="00044C76">
        <w:rPr>
          <w:szCs w:val="22"/>
        </w:rPr>
        <w:t>ou</w:t>
      </w:r>
      <w:r w:rsidR="00C34B24" w:rsidRPr="00CB60EC">
        <w:rPr>
          <w:szCs w:val="22"/>
        </w:rPr>
        <w:t xml:space="preserve"> po</w:t>
      </w:r>
      <w:r w:rsidR="00044C76">
        <w:rPr>
          <w:szCs w:val="22"/>
        </w:rPr>
        <w:t>ruchou</w:t>
      </w:r>
      <w:r w:rsidR="00C34B24" w:rsidRPr="00CB60EC">
        <w:rPr>
          <w:szCs w:val="22"/>
        </w:rPr>
        <w:t xml:space="preserve"> funkcie obličiek.</w:t>
      </w:r>
    </w:p>
    <w:p w14:paraId="77F30D2D" w14:textId="77777777" w:rsidR="00A30853" w:rsidRPr="00694DB8" w:rsidRDefault="00A30853" w:rsidP="00944735">
      <w:pPr>
        <w:tabs>
          <w:tab w:val="left" w:pos="567"/>
        </w:tabs>
        <w:ind w:left="0" w:firstLine="0"/>
        <w:rPr>
          <w:szCs w:val="22"/>
        </w:rPr>
      </w:pPr>
    </w:p>
    <w:p w14:paraId="424D656B" w14:textId="77777777" w:rsidR="00CC10AF" w:rsidRPr="00694DB8" w:rsidRDefault="008D74B3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Metotrexát</w:t>
      </w:r>
    </w:p>
    <w:p w14:paraId="2E388D45" w14:textId="77777777" w:rsidR="008D74B3" w:rsidRPr="00694DB8" w:rsidRDefault="00A54008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Diklofenak môže inhibovať tubulárn</w:t>
      </w:r>
      <w:r w:rsidR="00944735" w:rsidRPr="00694DB8">
        <w:rPr>
          <w:szCs w:val="22"/>
        </w:rPr>
        <w:t>y</w:t>
      </w:r>
      <w:r w:rsidRPr="00694DB8">
        <w:rPr>
          <w:szCs w:val="22"/>
        </w:rPr>
        <w:t xml:space="preserve"> renáln</w:t>
      </w:r>
      <w:r w:rsidR="00944735" w:rsidRPr="00F41B18">
        <w:rPr>
          <w:szCs w:val="22"/>
        </w:rPr>
        <w:t>y</w:t>
      </w:r>
      <w:r w:rsidRPr="00F41B18">
        <w:rPr>
          <w:szCs w:val="22"/>
        </w:rPr>
        <w:t xml:space="preserve"> klírens metotrexátu, a tým zvýšiť hladinu metotrexátu.</w:t>
      </w:r>
      <w:r w:rsidR="004961B6" w:rsidRPr="00694DB8">
        <w:rPr>
          <w:szCs w:val="22"/>
        </w:rPr>
        <w:t xml:space="preserve"> </w:t>
      </w:r>
      <w:r w:rsidR="008D74B3" w:rsidRPr="00694DB8">
        <w:rPr>
          <w:szCs w:val="22"/>
        </w:rPr>
        <w:t>O</w:t>
      </w:r>
      <w:r w:rsidR="00E71F62" w:rsidRPr="00694DB8">
        <w:rPr>
          <w:szCs w:val="22"/>
        </w:rPr>
        <w:t>dporúča sa o</w:t>
      </w:r>
      <w:r w:rsidR="008D74B3" w:rsidRPr="00694DB8">
        <w:rPr>
          <w:szCs w:val="22"/>
        </w:rPr>
        <w:t>patrnosť</w:t>
      </w:r>
      <w:r w:rsidR="00E71F62" w:rsidRPr="00694DB8">
        <w:rPr>
          <w:szCs w:val="22"/>
        </w:rPr>
        <w:t xml:space="preserve">, keď </w:t>
      </w:r>
      <w:r w:rsidR="008D74B3" w:rsidRPr="00694DB8">
        <w:rPr>
          <w:szCs w:val="22"/>
        </w:rPr>
        <w:t xml:space="preserve">sa </w:t>
      </w:r>
      <w:r w:rsidR="00E71F62" w:rsidRPr="00694DB8">
        <w:rPr>
          <w:szCs w:val="22"/>
        </w:rPr>
        <w:t>NSAID</w:t>
      </w:r>
      <w:r w:rsidR="00ED5C0F" w:rsidRPr="00694DB8">
        <w:rPr>
          <w:szCs w:val="22"/>
        </w:rPr>
        <w:t>,</w:t>
      </w:r>
      <w:r w:rsidR="00A52D9A" w:rsidRPr="00694DB8">
        <w:rPr>
          <w:szCs w:val="22"/>
        </w:rPr>
        <w:t xml:space="preserve"> vrátane diklofenaku</w:t>
      </w:r>
      <w:r w:rsidR="00690403" w:rsidRPr="00694DB8">
        <w:rPr>
          <w:szCs w:val="22"/>
        </w:rPr>
        <w:t>,</w:t>
      </w:r>
      <w:r w:rsidR="00E71F62" w:rsidRPr="00694DB8">
        <w:rPr>
          <w:szCs w:val="22"/>
        </w:rPr>
        <w:t xml:space="preserve"> </w:t>
      </w:r>
      <w:r w:rsidR="008D74B3" w:rsidRPr="00694DB8">
        <w:rPr>
          <w:szCs w:val="22"/>
        </w:rPr>
        <w:t>podávajú menej ako 24</w:t>
      </w:r>
      <w:r w:rsidR="00944735" w:rsidRPr="00694DB8">
        <w:rPr>
          <w:szCs w:val="22"/>
        </w:rPr>
        <w:t> </w:t>
      </w:r>
      <w:r w:rsidR="008D74B3" w:rsidRPr="00694DB8">
        <w:rPr>
          <w:szCs w:val="22"/>
        </w:rPr>
        <w:t xml:space="preserve">hodín pred alebo po liečbe metotrexátom, pretože </w:t>
      </w:r>
      <w:r w:rsidR="00E71F62" w:rsidRPr="00694DB8">
        <w:rPr>
          <w:szCs w:val="22"/>
        </w:rPr>
        <w:t>koncentrácie</w:t>
      </w:r>
      <w:r w:rsidR="008D74B3" w:rsidRPr="00694DB8">
        <w:rPr>
          <w:szCs w:val="22"/>
        </w:rPr>
        <w:t xml:space="preserve"> metotrexátu</w:t>
      </w:r>
      <w:r w:rsidR="00AF110C" w:rsidRPr="00694DB8">
        <w:rPr>
          <w:szCs w:val="22"/>
        </w:rPr>
        <w:t xml:space="preserve"> v </w:t>
      </w:r>
      <w:r w:rsidR="008D74B3" w:rsidRPr="00694DB8">
        <w:rPr>
          <w:szCs w:val="22"/>
        </w:rPr>
        <w:t>krvi môžu stúpnuť a môže sa zvýšiť jeho toxicita.</w:t>
      </w:r>
    </w:p>
    <w:p w14:paraId="4A9049E9" w14:textId="77777777" w:rsidR="000234D7" w:rsidRPr="00694DB8" w:rsidRDefault="000234D7" w:rsidP="00AF110C">
      <w:pPr>
        <w:tabs>
          <w:tab w:val="left" w:pos="567"/>
        </w:tabs>
        <w:ind w:left="0" w:firstLine="0"/>
        <w:rPr>
          <w:i/>
          <w:szCs w:val="22"/>
        </w:rPr>
      </w:pPr>
    </w:p>
    <w:p w14:paraId="1C70522D" w14:textId="77777777" w:rsidR="00CC10AF" w:rsidRPr="00694DB8" w:rsidRDefault="008D74B3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Cyklosporín</w:t>
      </w:r>
    </w:p>
    <w:p w14:paraId="1C0D5CB8" w14:textId="3E2E4604" w:rsidR="008D74B3" w:rsidRPr="00694DB8" w:rsidRDefault="00E71F62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 xml:space="preserve">Diklofenak, tak ako iné NSAID, môže </w:t>
      </w:r>
      <w:r w:rsidR="00F910B8" w:rsidRPr="00694DB8">
        <w:rPr>
          <w:szCs w:val="22"/>
        </w:rPr>
        <w:t xml:space="preserve">účinkom na obličkové prostaglandíny </w:t>
      </w:r>
      <w:r w:rsidRPr="00694DB8">
        <w:rPr>
          <w:szCs w:val="22"/>
        </w:rPr>
        <w:t xml:space="preserve">zvýšiť nefrotoxicitu cyklosporínu. </w:t>
      </w:r>
      <w:r w:rsidR="00634177" w:rsidRPr="00F41B18">
        <w:rPr>
          <w:szCs w:val="22"/>
        </w:rPr>
        <w:t>Preto sa má podávať</w:t>
      </w:r>
      <w:r w:rsidR="00AF110C" w:rsidRPr="00F41B18">
        <w:rPr>
          <w:szCs w:val="22"/>
        </w:rPr>
        <w:t xml:space="preserve"> v </w:t>
      </w:r>
      <w:r w:rsidR="00634177" w:rsidRPr="00694DB8">
        <w:rPr>
          <w:szCs w:val="22"/>
        </w:rPr>
        <w:t>nižších dávkach, ak</w:t>
      </w:r>
      <w:r w:rsidR="00FD2323" w:rsidRPr="00694DB8">
        <w:rPr>
          <w:szCs w:val="22"/>
        </w:rPr>
        <w:t>o</w:t>
      </w:r>
      <w:r w:rsidR="00634177" w:rsidRPr="00694DB8">
        <w:rPr>
          <w:szCs w:val="22"/>
        </w:rPr>
        <w:t xml:space="preserve"> </w:t>
      </w:r>
      <w:r w:rsidR="00360ED5">
        <w:rPr>
          <w:szCs w:val="22"/>
        </w:rPr>
        <w:t xml:space="preserve">sú dávky, ktoré by dostávali </w:t>
      </w:r>
      <w:r w:rsidR="00634177" w:rsidRPr="00694DB8">
        <w:rPr>
          <w:szCs w:val="22"/>
        </w:rPr>
        <w:t>pacient</w:t>
      </w:r>
      <w:r w:rsidR="00360ED5">
        <w:rPr>
          <w:szCs w:val="22"/>
        </w:rPr>
        <w:t>i</w:t>
      </w:r>
      <w:r w:rsidR="00634177" w:rsidRPr="00694DB8">
        <w:rPr>
          <w:szCs w:val="22"/>
        </w:rPr>
        <w:t xml:space="preserve">, ktorí </w:t>
      </w:r>
      <w:r w:rsidR="00690403" w:rsidRPr="00694DB8">
        <w:rPr>
          <w:szCs w:val="22"/>
        </w:rPr>
        <w:t xml:space="preserve">cyklosporín </w:t>
      </w:r>
      <w:r w:rsidR="00634177" w:rsidRPr="00694DB8">
        <w:rPr>
          <w:szCs w:val="22"/>
        </w:rPr>
        <w:t>nedostávajú.</w:t>
      </w:r>
    </w:p>
    <w:p w14:paraId="47AAC68D" w14:textId="77777777" w:rsidR="001400B9" w:rsidRPr="00694DB8" w:rsidRDefault="001400B9" w:rsidP="00AF110C">
      <w:pPr>
        <w:tabs>
          <w:tab w:val="left" w:pos="567"/>
        </w:tabs>
        <w:ind w:left="0" w:firstLine="0"/>
        <w:rPr>
          <w:szCs w:val="22"/>
        </w:rPr>
      </w:pPr>
    </w:p>
    <w:p w14:paraId="7D8FE28A" w14:textId="77777777" w:rsidR="00704F90" w:rsidRPr="00694DB8" w:rsidRDefault="001400B9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Lieky spôsobujúce hyperkaliémiu</w:t>
      </w:r>
    </w:p>
    <w:p w14:paraId="13F2C7BD" w14:textId="77777777" w:rsidR="001400B9" w:rsidRPr="00694DB8" w:rsidRDefault="00704F90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S</w:t>
      </w:r>
      <w:r w:rsidR="001400B9" w:rsidRPr="00694DB8">
        <w:rPr>
          <w:szCs w:val="22"/>
        </w:rPr>
        <w:t>účasná liečba kálium-šetriacimi diuret</w:t>
      </w:r>
      <w:r w:rsidR="00A705B5" w:rsidRPr="00694DB8">
        <w:rPr>
          <w:szCs w:val="22"/>
        </w:rPr>
        <w:t>i</w:t>
      </w:r>
      <w:r w:rsidR="001400B9" w:rsidRPr="00694DB8">
        <w:rPr>
          <w:szCs w:val="22"/>
        </w:rPr>
        <w:t>kami, cyklosporínom, takrolimu</w:t>
      </w:r>
      <w:r w:rsidR="00A705B5" w:rsidRPr="00694DB8">
        <w:rPr>
          <w:szCs w:val="22"/>
        </w:rPr>
        <w:t>s</w:t>
      </w:r>
      <w:r w:rsidR="001400B9" w:rsidRPr="00694DB8">
        <w:rPr>
          <w:szCs w:val="22"/>
        </w:rPr>
        <w:t>om alebo trimetoprimom môže byť spojená so zvýšením sérových hladín draslíka, ktoré ma</w:t>
      </w:r>
      <w:r w:rsidRPr="00F41B18">
        <w:rPr>
          <w:szCs w:val="22"/>
        </w:rPr>
        <w:t>jú</w:t>
      </w:r>
      <w:r w:rsidR="001400B9" w:rsidRPr="00F41B18">
        <w:rPr>
          <w:szCs w:val="22"/>
        </w:rPr>
        <w:t xml:space="preserve"> byť </w:t>
      </w:r>
      <w:r w:rsidR="00690403" w:rsidRPr="00F41B18">
        <w:rPr>
          <w:szCs w:val="22"/>
        </w:rPr>
        <w:t xml:space="preserve">preto </w:t>
      </w:r>
      <w:r w:rsidR="001400B9" w:rsidRPr="00694DB8">
        <w:rPr>
          <w:szCs w:val="22"/>
        </w:rPr>
        <w:t>často monitorované (pozri časť 4.4)</w:t>
      </w:r>
    </w:p>
    <w:p w14:paraId="63E55E06" w14:textId="77777777" w:rsidR="000234D7" w:rsidRPr="00694DB8" w:rsidRDefault="000234D7" w:rsidP="00AF110C">
      <w:pPr>
        <w:pStyle w:val="Zkladntext"/>
        <w:tabs>
          <w:tab w:val="left" w:pos="567"/>
        </w:tabs>
        <w:rPr>
          <w:i/>
          <w:szCs w:val="22"/>
        </w:rPr>
      </w:pPr>
    </w:p>
    <w:p w14:paraId="7154E724" w14:textId="77777777" w:rsidR="00CC10AF" w:rsidRPr="00694DB8" w:rsidRDefault="008D74B3" w:rsidP="00944735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 xml:space="preserve">Chinolónové </w:t>
      </w:r>
      <w:r w:rsidR="00C21B23" w:rsidRPr="00694DB8">
        <w:rPr>
          <w:szCs w:val="22"/>
          <w:u w:val="single"/>
        </w:rPr>
        <w:t>anti</w:t>
      </w:r>
      <w:r w:rsidR="00944735" w:rsidRPr="00694DB8">
        <w:rPr>
          <w:szCs w:val="22"/>
          <w:u w:val="single"/>
        </w:rPr>
        <w:t>biotiká</w:t>
      </w:r>
    </w:p>
    <w:p w14:paraId="61343D8C" w14:textId="77777777" w:rsidR="008D74B3" w:rsidRPr="00F41B18" w:rsidRDefault="00C21B23" w:rsidP="00AF110C">
      <w:pPr>
        <w:pStyle w:val="Zkladntext"/>
        <w:tabs>
          <w:tab w:val="left" w:pos="567"/>
        </w:tabs>
        <w:rPr>
          <w:szCs w:val="22"/>
        </w:rPr>
      </w:pPr>
      <w:r w:rsidRPr="00694DB8">
        <w:rPr>
          <w:szCs w:val="22"/>
        </w:rPr>
        <w:t xml:space="preserve">Ojedinele boli zaznamenané </w:t>
      </w:r>
      <w:r w:rsidR="00F910B8" w:rsidRPr="00694DB8">
        <w:rPr>
          <w:szCs w:val="22"/>
        </w:rPr>
        <w:t>hlásenia</w:t>
      </w:r>
      <w:r w:rsidR="00C264F6" w:rsidRPr="00694DB8">
        <w:rPr>
          <w:szCs w:val="22"/>
        </w:rPr>
        <w:t xml:space="preserve"> k</w:t>
      </w:r>
      <w:r w:rsidR="0027754C" w:rsidRPr="00694DB8">
        <w:rPr>
          <w:szCs w:val="22"/>
        </w:rPr>
        <w:t>ŕ</w:t>
      </w:r>
      <w:r w:rsidR="00C264F6" w:rsidRPr="00694DB8">
        <w:rPr>
          <w:szCs w:val="22"/>
        </w:rPr>
        <w:t>čových</w:t>
      </w:r>
      <w:r w:rsidRPr="00694DB8">
        <w:rPr>
          <w:szCs w:val="22"/>
        </w:rPr>
        <w:t xml:space="preserve"> stav</w:t>
      </w:r>
      <w:r w:rsidR="0027754C" w:rsidRPr="00694DB8">
        <w:rPr>
          <w:szCs w:val="22"/>
        </w:rPr>
        <w:t>ov</w:t>
      </w:r>
      <w:r w:rsidR="008D74B3" w:rsidRPr="00694DB8">
        <w:rPr>
          <w:szCs w:val="22"/>
        </w:rPr>
        <w:t>, ktoré mohli byť vyvolané súčasným použitím chinolónov a</w:t>
      </w:r>
      <w:r w:rsidR="00F910B8" w:rsidRPr="00F41B18">
        <w:rPr>
          <w:szCs w:val="22"/>
        </w:rPr>
        <w:t> NSAID</w:t>
      </w:r>
      <w:r w:rsidR="008D74B3" w:rsidRPr="00F41B18">
        <w:rPr>
          <w:szCs w:val="22"/>
        </w:rPr>
        <w:t xml:space="preserve">. </w:t>
      </w:r>
    </w:p>
    <w:p w14:paraId="2C2A0C3C" w14:textId="77777777" w:rsidR="0036355A" w:rsidRPr="00694DB8" w:rsidRDefault="0036355A" w:rsidP="00AF110C">
      <w:pPr>
        <w:pStyle w:val="Zkladntext"/>
        <w:tabs>
          <w:tab w:val="left" w:pos="567"/>
        </w:tabs>
        <w:rPr>
          <w:szCs w:val="22"/>
        </w:rPr>
      </w:pPr>
    </w:p>
    <w:p w14:paraId="6424349C" w14:textId="77777777" w:rsidR="009D0C33" w:rsidRPr="00694DB8" w:rsidRDefault="009D0C33" w:rsidP="00944735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Fenytoín</w:t>
      </w:r>
    </w:p>
    <w:p w14:paraId="5C032434" w14:textId="77777777" w:rsidR="009D0C33" w:rsidRPr="00694DB8" w:rsidRDefault="009D0C33" w:rsidP="00AF110C">
      <w:pPr>
        <w:widowControl w:val="0"/>
        <w:tabs>
          <w:tab w:val="left" w:pos="567"/>
        </w:tabs>
        <w:ind w:left="0" w:firstLine="0"/>
        <w:rPr>
          <w:snapToGrid w:val="0"/>
          <w:szCs w:val="22"/>
        </w:rPr>
      </w:pPr>
      <w:r w:rsidRPr="00694DB8">
        <w:rPr>
          <w:snapToGrid w:val="0"/>
          <w:szCs w:val="22"/>
        </w:rPr>
        <w:t>Ak je fenytoín užívaný súčasne</w:t>
      </w:r>
      <w:r w:rsidR="00AF110C" w:rsidRPr="00694DB8">
        <w:rPr>
          <w:snapToGrid w:val="0"/>
          <w:szCs w:val="22"/>
        </w:rPr>
        <w:t xml:space="preserve"> s </w:t>
      </w:r>
      <w:r w:rsidRPr="00694DB8">
        <w:rPr>
          <w:snapToGrid w:val="0"/>
          <w:szCs w:val="22"/>
        </w:rPr>
        <w:t>diklofenakom, je potrebné sledovať plazmatické koncentrácie fenyto</w:t>
      </w:r>
      <w:r w:rsidR="0011541C" w:rsidRPr="00F41B18">
        <w:rPr>
          <w:snapToGrid w:val="0"/>
          <w:szCs w:val="22"/>
        </w:rPr>
        <w:t>í</w:t>
      </w:r>
      <w:r w:rsidRPr="00F41B18">
        <w:rPr>
          <w:snapToGrid w:val="0"/>
          <w:szCs w:val="22"/>
        </w:rPr>
        <w:t xml:space="preserve">nu, kvôli predpokladanému nárastu expozície </w:t>
      </w:r>
      <w:r w:rsidRPr="00694DB8">
        <w:rPr>
          <w:snapToGrid w:val="0"/>
          <w:szCs w:val="22"/>
        </w:rPr>
        <w:t>fenytoínu.</w:t>
      </w:r>
    </w:p>
    <w:p w14:paraId="7F90CF6E" w14:textId="77777777" w:rsidR="00A54008" w:rsidRPr="00694DB8" w:rsidRDefault="00A54008" w:rsidP="00944735">
      <w:pPr>
        <w:pStyle w:val="Default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7172A86B" w14:textId="77777777" w:rsidR="00A54008" w:rsidRPr="00694DB8" w:rsidRDefault="00694DB8" w:rsidP="00944735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K</w:t>
      </w:r>
      <w:r w:rsidR="00A54008" w:rsidRPr="00694DB8">
        <w:rPr>
          <w:szCs w:val="22"/>
          <w:u w:val="single"/>
        </w:rPr>
        <w:t xml:space="preserve">olestipol a </w:t>
      </w:r>
      <w:r w:rsidRPr="00694DB8">
        <w:rPr>
          <w:szCs w:val="22"/>
          <w:u w:val="single"/>
        </w:rPr>
        <w:t>k</w:t>
      </w:r>
      <w:r w:rsidR="00A54008" w:rsidRPr="00694DB8">
        <w:rPr>
          <w:szCs w:val="22"/>
          <w:u w:val="single"/>
        </w:rPr>
        <w:t>olestyra</w:t>
      </w:r>
      <w:r w:rsidR="00E91F91" w:rsidRPr="00694DB8">
        <w:rPr>
          <w:szCs w:val="22"/>
          <w:u w:val="single"/>
        </w:rPr>
        <w:t>m</w:t>
      </w:r>
      <w:r w:rsidR="00A54008" w:rsidRPr="00694DB8">
        <w:rPr>
          <w:szCs w:val="22"/>
          <w:u w:val="single"/>
        </w:rPr>
        <w:t>ín</w:t>
      </w:r>
    </w:p>
    <w:p w14:paraId="56B3FBA5" w14:textId="77777777" w:rsidR="00A54008" w:rsidRPr="00694DB8" w:rsidRDefault="00A54008" w:rsidP="00AF110C">
      <w:pPr>
        <w:pStyle w:val="Default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  <w:r w:rsidRPr="00694DB8">
        <w:rPr>
          <w:rFonts w:ascii="Times New Roman" w:hAnsi="Times New Roman" w:cs="Times New Roman"/>
          <w:sz w:val="22"/>
          <w:szCs w:val="22"/>
          <w:lang w:val="sk-SK"/>
        </w:rPr>
        <w:t>Tieto látky môžu spôsobiť oneskorenú alebo zníženú absorpciu diklofenaku. Preto je odporučené podávať diklofenak minimálne jednu hodinu pred alebo 4 až 6</w:t>
      </w:r>
      <w:r w:rsidR="00944735" w:rsidRPr="00694DB8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 w:cs="Times New Roman"/>
          <w:sz w:val="22"/>
          <w:szCs w:val="22"/>
          <w:lang w:val="sk-SK"/>
        </w:rPr>
        <w:t>hodín po podaní kolestipolu</w:t>
      </w:r>
      <w:r w:rsidR="00944735" w:rsidRPr="00694DB8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 w:cs="Times New Roman"/>
          <w:sz w:val="22"/>
          <w:szCs w:val="22"/>
          <w:lang w:val="sk-SK"/>
        </w:rPr>
        <w:t>/</w:t>
      </w:r>
      <w:r w:rsidR="00944735" w:rsidRPr="00694DB8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A23DE5">
        <w:rPr>
          <w:rFonts w:ascii="Times New Roman" w:hAnsi="Times New Roman" w:cs="Times New Roman"/>
          <w:sz w:val="22"/>
          <w:szCs w:val="22"/>
          <w:lang w:val="sk-SK"/>
        </w:rPr>
        <w:t>k</w:t>
      </w:r>
      <w:r w:rsidRPr="00694DB8">
        <w:rPr>
          <w:rFonts w:ascii="Times New Roman" w:hAnsi="Times New Roman" w:cs="Times New Roman"/>
          <w:sz w:val="22"/>
          <w:szCs w:val="22"/>
          <w:lang w:val="sk-SK"/>
        </w:rPr>
        <w:t>olestyramínu.</w:t>
      </w:r>
    </w:p>
    <w:p w14:paraId="51C9BCA3" w14:textId="77777777" w:rsidR="00A54008" w:rsidRPr="00F41B18" w:rsidRDefault="00A54008" w:rsidP="00AF110C">
      <w:pPr>
        <w:pStyle w:val="Default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43568EEF" w14:textId="1040CBA4" w:rsidR="00A54008" w:rsidRPr="00694DB8" w:rsidRDefault="00C34B24" w:rsidP="00944735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>
        <w:rPr>
          <w:szCs w:val="22"/>
          <w:u w:val="single"/>
        </w:rPr>
        <w:t>I</w:t>
      </w:r>
      <w:r w:rsidR="00A54008" w:rsidRPr="00694DB8">
        <w:rPr>
          <w:szCs w:val="22"/>
          <w:u w:val="single"/>
        </w:rPr>
        <w:t>nhibítory CYP2C9</w:t>
      </w:r>
    </w:p>
    <w:p w14:paraId="6AB638DE" w14:textId="20D1114C" w:rsidR="00A54008" w:rsidRPr="00694DB8" w:rsidRDefault="00A54008" w:rsidP="00AF110C">
      <w:pPr>
        <w:widowControl w:val="0"/>
        <w:tabs>
          <w:tab w:val="left" w:pos="567"/>
        </w:tabs>
        <w:ind w:left="0" w:firstLine="0"/>
        <w:rPr>
          <w:snapToGrid w:val="0"/>
          <w:szCs w:val="22"/>
        </w:rPr>
      </w:pPr>
      <w:r w:rsidRPr="00694DB8">
        <w:rPr>
          <w:snapToGrid w:val="0"/>
          <w:szCs w:val="22"/>
        </w:rPr>
        <w:t xml:space="preserve">Opatrnosť sa odporúča, ak sa diklofenak užíva spolu s inhibítormi CYP2C9 (ako je </w:t>
      </w:r>
      <w:r w:rsidR="00C34B24">
        <w:rPr>
          <w:snapToGrid w:val="0"/>
          <w:szCs w:val="22"/>
        </w:rPr>
        <w:t>sulfinpyrazón a</w:t>
      </w:r>
      <w:r w:rsidR="00C34B24" w:rsidRPr="00694DB8">
        <w:rPr>
          <w:snapToGrid w:val="0"/>
          <w:szCs w:val="22"/>
        </w:rPr>
        <w:t xml:space="preserve"> </w:t>
      </w:r>
      <w:r w:rsidRPr="00694DB8">
        <w:rPr>
          <w:snapToGrid w:val="0"/>
          <w:szCs w:val="22"/>
        </w:rPr>
        <w:t>vorikonazol), pretože to môže viesť</w:t>
      </w:r>
      <w:r w:rsidR="00AF110C" w:rsidRPr="00694DB8">
        <w:rPr>
          <w:snapToGrid w:val="0"/>
          <w:szCs w:val="22"/>
        </w:rPr>
        <w:t xml:space="preserve"> k </w:t>
      </w:r>
      <w:r w:rsidRPr="00694DB8">
        <w:rPr>
          <w:snapToGrid w:val="0"/>
          <w:szCs w:val="22"/>
        </w:rPr>
        <w:t>výraznému zvýšeniu vrchol</w:t>
      </w:r>
      <w:r w:rsidR="00690403" w:rsidRPr="00694DB8">
        <w:rPr>
          <w:snapToGrid w:val="0"/>
          <w:szCs w:val="22"/>
        </w:rPr>
        <w:t>ov</w:t>
      </w:r>
      <w:r w:rsidRPr="00694DB8">
        <w:rPr>
          <w:snapToGrid w:val="0"/>
          <w:szCs w:val="22"/>
        </w:rPr>
        <w:t>ej plazmatickej koncentrácie a expozície diklofenaku</w:t>
      </w:r>
      <w:r w:rsidR="00AF110C" w:rsidRPr="00F41B18">
        <w:rPr>
          <w:snapToGrid w:val="0"/>
          <w:szCs w:val="22"/>
        </w:rPr>
        <w:t xml:space="preserve"> v </w:t>
      </w:r>
      <w:r w:rsidRPr="00F41B18">
        <w:rPr>
          <w:snapToGrid w:val="0"/>
          <w:szCs w:val="22"/>
        </w:rPr>
        <w:t xml:space="preserve">dôsledku inhibície </w:t>
      </w:r>
      <w:r w:rsidR="006E7E7C" w:rsidRPr="00694DB8">
        <w:rPr>
          <w:snapToGrid w:val="0"/>
          <w:szCs w:val="22"/>
        </w:rPr>
        <w:t xml:space="preserve">jeho </w:t>
      </w:r>
      <w:r w:rsidRPr="00694DB8">
        <w:rPr>
          <w:snapToGrid w:val="0"/>
          <w:szCs w:val="22"/>
        </w:rPr>
        <w:t>metabolizmu.</w:t>
      </w:r>
    </w:p>
    <w:p w14:paraId="6BB098E1" w14:textId="77777777" w:rsidR="003A2E0D" w:rsidRPr="00694DB8" w:rsidRDefault="003A2E0D" w:rsidP="00AF110C">
      <w:pPr>
        <w:tabs>
          <w:tab w:val="left" w:pos="567"/>
        </w:tabs>
        <w:ind w:left="0" w:firstLine="0"/>
        <w:rPr>
          <w:szCs w:val="22"/>
        </w:rPr>
      </w:pPr>
    </w:p>
    <w:p w14:paraId="70E5CFB8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4.6</w:t>
      </w:r>
      <w:r w:rsidR="0077005A" w:rsidRPr="00694DB8">
        <w:rPr>
          <w:b/>
          <w:szCs w:val="22"/>
        </w:rPr>
        <w:tab/>
      </w:r>
      <w:r w:rsidR="00C919B6" w:rsidRPr="00694DB8">
        <w:rPr>
          <w:b/>
          <w:szCs w:val="22"/>
        </w:rPr>
        <w:t>Fertilita, g</w:t>
      </w:r>
      <w:r w:rsidRPr="00694DB8">
        <w:rPr>
          <w:b/>
          <w:szCs w:val="22"/>
        </w:rPr>
        <w:t>ravidita a laktácia</w:t>
      </w:r>
    </w:p>
    <w:p w14:paraId="3B5EB9E9" w14:textId="77777777" w:rsidR="00F910B8" w:rsidRPr="00694DB8" w:rsidRDefault="00F910B8" w:rsidP="00AF110C">
      <w:pPr>
        <w:pStyle w:val="Zkladntext"/>
        <w:keepNext/>
        <w:tabs>
          <w:tab w:val="left" w:pos="567"/>
        </w:tabs>
        <w:rPr>
          <w:b/>
          <w:szCs w:val="22"/>
          <w:highlight w:val="yellow"/>
        </w:rPr>
      </w:pPr>
    </w:p>
    <w:p w14:paraId="3C0EE10F" w14:textId="77777777" w:rsidR="008D74B3" w:rsidRPr="00694DB8" w:rsidRDefault="008D74B3" w:rsidP="00AF110C">
      <w:pPr>
        <w:pStyle w:val="Zkladntext"/>
        <w:keepNext/>
        <w:tabs>
          <w:tab w:val="left" w:pos="567"/>
        </w:tabs>
        <w:rPr>
          <w:szCs w:val="22"/>
          <w:u w:val="single"/>
        </w:rPr>
      </w:pPr>
      <w:r w:rsidRPr="00694DB8">
        <w:rPr>
          <w:szCs w:val="22"/>
          <w:u w:val="single"/>
        </w:rPr>
        <w:t>Gravidita</w:t>
      </w:r>
    </w:p>
    <w:p w14:paraId="21DCC5E2" w14:textId="77777777" w:rsidR="00A54008" w:rsidRPr="00694DB8" w:rsidRDefault="00A54008" w:rsidP="00AF110C">
      <w:pPr>
        <w:pStyle w:val="CM5"/>
        <w:tabs>
          <w:tab w:val="left" w:pos="567"/>
        </w:tabs>
        <w:spacing w:after="0" w:line="266" w:lineRule="atLeast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>Inhibícia syntézy prostagland</w:t>
      </w:r>
      <w:r w:rsidR="00BD23B4" w:rsidRPr="00694DB8">
        <w:rPr>
          <w:rFonts w:ascii="Times New Roman" w:hAnsi="Times New Roman"/>
          <w:sz w:val="22"/>
          <w:szCs w:val="22"/>
          <w:lang w:val="sk-SK"/>
        </w:rPr>
        <w:t>í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nov môže mať nežiaduci vplyv na </w:t>
      </w:r>
      <w:r w:rsidR="00E91F91" w:rsidRPr="00694DB8">
        <w:rPr>
          <w:rFonts w:ascii="Times New Roman" w:hAnsi="Times New Roman"/>
          <w:sz w:val="22"/>
          <w:szCs w:val="22"/>
          <w:lang w:val="sk-SK"/>
        </w:rPr>
        <w:t>graviditu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>fetálno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>/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>embryonálny vývoj. Dáta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z </w:t>
      </w:r>
      <w:r w:rsidRPr="00694DB8">
        <w:rPr>
          <w:rFonts w:ascii="Times New Roman" w:hAnsi="Times New Roman"/>
          <w:sz w:val="22"/>
          <w:szCs w:val="22"/>
          <w:lang w:val="sk-SK"/>
        </w:rPr>
        <w:t>epidemiologických štúdií naznačujú zvýšené riziko potratov, kardiálnych malformácií a</w:t>
      </w:r>
      <w:r w:rsidR="0028015C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>gastroschíz po užívaní inhib</w:t>
      </w:r>
      <w:r w:rsidR="00BD23B4" w:rsidRPr="00694DB8">
        <w:rPr>
          <w:rFonts w:ascii="Times New Roman" w:hAnsi="Times New Roman"/>
          <w:sz w:val="22"/>
          <w:szCs w:val="22"/>
          <w:lang w:val="sk-SK"/>
        </w:rPr>
        <w:t>í</w:t>
      </w:r>
      <w:r w:rsidRPr="00694DB8">
        <w:rPr>
          <w:rFonts w:ascii="Times New Roman" w:hAnsi="Times New Roman"/>
          <w:sz w:val="22"/>
          <w:szCs w:val="22"/>
          <w:lang w:val="sk-SK"/>
        </w:rPr>
        <w:t>torov syntézy prostagland</w:t>
      </w:r>
      <w:r w:rsidR="00BD23B4" w:rsidRPr="00694DB8">
        <w:rPr>
          <w:rFonts w:ascii="Times New Roman" w:hAnsi="Times New Roman"/>
          <w:sz w:val="22"/>
          <w:szCs w:val="22"/>
          <w:lang w:val="sk-SK"/>
        </w:rPr>
        <w:t>í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nov na začiatku </w:t>
      </w:r>
      <w:r w:rsidR="00BD23B4" w:rsidRPr="00694DB8">
        <w:rPr>
          <w:rFonts w:ascii="Times New Roman" w:hAnsi="Times New Roman"/>
          <w:sz w:val="22"/>
          <w:szCs w:val="22"/>
          <w:lang w:val="sk-SK"/>
        </w:rPr>
        <w:t>gravidity</w:t>
      </w:r>
      <w:r w:rsidRPr="00694DB8">
        <w:rPr>
          <w:rFonts w:ascii="Times New Roman" w:hAnsi="Times New Roman"/>
          <w:sz w:val="22"/>
          <w:szCs w:val="22"/>
          <w:lang w:val="sk-SK"/>
        </w:rPr>
        <w:t>. Absolútne riziko kardiovaskulárnych malformácií sa zvýšilo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z </w:t>
      </w:r>
      <w:r w:rsidRPr="00694DB8">
        <w:rPr>
          <w:rFonts w:ascii="Times New Roman" w:hAnsi="Times New Roman"/>
          <w:sz w:val="22"/>
          <w:szCs w:val="22"/>
          <w:lang w:val="sk-SK"/>
        </w:rPr>
        <w:t>menej ako 1</w:t>
      </w:r>
      <w:r w:rsidR="0084725C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>% na približne 1,5</w:t>
      </w:r>
      <w:r w:rsidR="0084725C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%. </w:t>
      </w:r>
    </w:p>
    <w:p w14:paraId="2DA022E1" w14:textId="77777777" w:rsidR="00A54008" w:rsidRPr="00694DB8" w:rsidRDefault="00A54008" w:rsidP="00AF110C">
      <w:pPr>
        <w:pStyle w:val="Default"/>
        <w:tabs>
          <w:tab w:val="left" w:pos="567"/>
        </w:tabs>
        <w:rPr>
          <w:rFonts w:ascii="Times New Roman" w:hAnsi="Times New Roman" w:cs="Times New Roman"/>
          <w:sz w:val="22"/>
          <w:szCs w:val="22"/>
          <w:lang w:val="sk-SK"/>
        </w:rPr>
      </w:pPr>
    </w:p>
    <w:p w14:paraId="7366D8EB" w14:textId="77777777" w:rsidR="00A54008" w:rsidRPr="00694DB8" w:rsidRDefault="00A54008" w:rsidP="00AF110C">
      <w:pPr>
        <w:pStyle w:val="CM5"/>
        <w:tabs>
          <w:tab w:val="left" w:pos="567"/>
        </w:tabs>
        <w:spacing w:after="0" w:line="266" w:lineRule="atLeast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>Predpokladá sa, že sa riziko zvyšuje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s </w:t>
      </w:r>
      <w:r w:rsidRPr="00694DB8">
        <w:rPr>
          <w:rFonts w:ascii="Times New Roman" w:hAnsi="Times New Roman"/>
          <w:sz w:val="22"/>
          <w:szCs w:val="22"/>
          <w:lang w:val="sk-SK"/>
        </w:rPr>
        <w:t>dávkou a trvaním terapie.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 xml:space="preserve"> U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>zvierat sa preukázalo, že podanie inhibítorov syntézy prostaglandínov vedie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k </w:t>
      </w:r>
      <w:r w:rsidRPr="00694DB8">
        <w:rPr>
          <w:rFonts w:ascii="Times New Roman" w:hAnsi="Times New Roman"/>
          <w:sz w:val="22"/>
          <w:szCs w:val="22"/>
          <w:lang w:val="sk-SK"/>
        </w:rPr>
        <w:t>zvýšeniu pre- a postimplantačných strát a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>fetálnej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>/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embryonálnej letality. </w:t>
      </w:r>
    </w:p>
    <w:p w14:paraId="4B9C9EA4" w14:textId="77777777" w:rsidR="00A54008" w:rsidRPr="00694DB8" w:rsidRDefault="00A54008" w:rsidP="00AF110C">
      <w:pPr>
        <w:pStyle w:val="CM5"/>
        <w:tabs>
          <w:tab w:val="left" w:pos="567"/>
        </w:tabs>
        <w:spacing w:after="0" w:line="266" w:lineRule="atLeast"/>
        <w:rPr>
          <w:rFonts w:ascii="Times New Roman" w:hAnsi="Times New Roman"/>
          <w:sz w:val="22"/>
          <w:szCs w:val="22"/>
          <w:lang w:val="sk-SK"/>
        </w:rPr>
      </w:pPr>
    </w:p>
    <w:p w14:paraId="527EC960" w14:textId="77777777" w:rsidR="00A54008" w:rsidRPr="00694DB8" w:rsidRDefault="00A54008" w:rsidP="00AF110C">
      <w:pPr>
        <w:pStyle w:val="CM5"/>
        <w:tabs>
          <w:tab w:val="left" w:pos="567"/>
        </w:tabs>
        <w:spacing w:after="0" w:line="266" w:lineRule="atLeast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>Navyše bola hlásená zvýšená incidencia rôznych malformácií vrátane kardiovaskulárnych po podaní inhibítorov syntézy prostaglandínov zvieratám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v </w:t>
      </w:r>
      <w:r w:rsidRPr="00694DB8">
        <w:rPr>
          <w:rFonts w:ascii="Times New Roman" w:hAnsi="Times New Roman"/>
          <w:sz w:val="22"/>
          <w:szCs w:val="22"/>
          <w:lang w:val="sk-SK"/>
        </w:rPr>
        <w:t>priebehu organogenetickej periódy.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V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priebehu </w:t>
      </w:r>
      <w:r w:rsidRPr="00694DB8">
        <w:rPr>
          <w:rFonts w:ascii="Times New Roman" w:hAnsi="Times New Roman"/>
          <w:sz w:val="22"/>
          <w:szCs w:val="22"/>
          <w:lang w:val="sk-SK"/>
        </w:rPr>
        <w:lastRenderedPageBreak/>
        <w:t>prvého a druhého trimestra nesmie byť inhibítor syntézy prostaglandínov podaný, pokiaľ to nie je celkom nevyhnutné. Pokiaľ diklofenak užívajú ženy, ktoré chcú otehotnieť alebo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v 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prvom a druhom trimestri tehotenstva, musí byť dávka čo najnižšia a doba liečby čo najkratšia. </w:t>
      </w:r>
    </w:p>
    <w:p w14:paraId="650052DF" w14:textId="77777777" w:rsidR="00A54008" w:rsidRPr="00694DB8" w:rsidRDefault="00A54008" w:rsidP="00AF110C">
      <w:pPr>
        <w:pStyle w:val="CM1"/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</w:p>
    <w:p w14:paraId="58781D89" w14:textId="77777777" w:rsidR="00944735" w:rsidRPr="00694DB8" w:rsidRDefault="00A54008" w:rsidP="00AF110C">
      <w:pPr>
        <w:pStyle w:val="CM1"/>
        <w:keepNext/>
        <w:tabs>
          <w:tab w:val="left" w:pos="567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 xml:space="preserve">V priebehu tretieho trimestra </w:t>
      </w:r>
      <w:r w:rsidR="00E91F91" w:rsidRPr="00694DB8">
        <w:rPr>
          <w:rFonts w:ascii="Times New Roman" w:hAnsi="Times New Roman"/>
          <w:sz w:val="22"/>
          <w:szCs w:val="22"/>
          <w:lang w:val="sk-SK"/>
        </w:rPr>
        <w:t>gravidity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 všetky inhibítory syntézy prostaglandínov môžu vystavovať </w:t>
      </w:r>
    </w:p>
    <w:p w14:paraId="1311F986" w14:textId="77777777" w:rsidR="00A54008" w:rsidRPr="00694DB8" w:rsidRDefault="00A54008" w:rsidP="00AF110C">
      <w:pPr>
        <w:pStyle w:val="CM1"/>
        <w:keepNext/>
        <w:tabs>
          <w:tab w:val="left" w:pos="567"/>
        </w:tabs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 xml:space="preserve">plod: </w:t>
      </w:r>
    </w:p>
    <w:p w14:paraId="339E3A9C" w14:textId="77777777" w:rsidR="00A54008" w:rsidRPr="00694DB8" w:rsidRDefault="00A54008" w:rsidP="00944735">
      <w:pPr>
        <w:pStyle w:val="CM3"/>
        <w:numPr>
          <w:ilvl w:val="0"/>
          <w:numId w:val="31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>kardiopulmonálnej toxicite (predčasný uzáver ductus arteriosus a pulmonálna hypertenzia)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;</w:t>
      </w:r>
    </w:p>
    <w:p w14:paraId="583B3D99" w14:textId="77777777" w:rsidR="00A54008" w:rsidRPr="00694DB8" w:rsidRDefault="00A54008" w:rsidP="00944735">
      <w:pPr>
        <w:pStyle w:val="CM7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41B18">
        <w:rPr>
          <w:rFonts w:ascii="Times New Roman" w:hAnsi="Times New Roman"/>
          <w:sz w:val="22"/>
          <w:szCs w:val="22"/>
          <w:lang w:val="sk-SK"/>
        </w:rPr>
        <w:t>renáln</w:t>
      </w:r>
      <w:r w:rsidR="00704F90" w:rsidRPr="00694DB8">
        <w:rPr>
          <w:rFonts w:ascii="Times New Roman" w:hAnsi="Times New Roman"/>
          <w:sz w:val="22"/>
          <w:szCs w:val="22"/>
          <w:lang w:val="sk-SK"/>
        </w:rPr>
        <w:t>ej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 dysfunkci</w:t>
      </w:r>
      <w:r w:rsidR="00704F90" w:rsidRPr="00694DB8">
        <w:rPr>
          <w:rFonts w:ascii="Times New Roman" w:hAnsi="Times New Roman"/>
          <w:sz w:val="22"/>
          <w:szCs w:val="22"/>
          <w:lang w:val="sk-SK"/>
        </w:rPr>
        <w:t>i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, ktorá môže progredovať </w:t>
      </w:r>
      <w:r w:rsidR="00704F90" w:rsidRPr="00694DB8">
        <w:rPr>
          <w:rFonts w:ascii="Times New Roman" w:hAnsi="Times New Roman"/>
          <w:sz w:val="22"/>
          <w:szCs w:val="22"/>
          <w:lang w:val="sk-SK"/>
        </w:rPr>
        <w:t>do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 renáln</w:t>
      </w:r>
      <w:r w:rsidR="00704F90" w:rsidRPr="00694DB8">
        <w:rPr>
          <w:rFonts w:ascii="Times New Roman" w:hAnsi="Times New Roman"/>
          <w:sz w:val="22"/>
          <w:szCs w:val="22"/>
          <w:lang w:val="sk-SK"/>
        </w:rPr>
        <w:t xml:space="preserve">eho </w:t>
      </w:r>
      <w:r w:rsidRPr="00694DB8">
        <w:rPr>
          <w:rFonts w:ascii="Times New Roman" w:hAnsi="Times New Roman"/>
          <w:sz w:val="22"/>
          <w:szCs w:val="22"/>
          <w:lang w:val="sk-SK"/>
        </w:rPr>
        <w:t>zlyhan</w:t>
      </w:r>
      <w:r w:rsidR="00704F90" w:rsidRPr="00694DB8">
        <w:rPr>
          <w:rFonts w:ascii="Times New Roman" w:hAnsi="Times New Roman"/>
          <w:sz w:val="22"/>
          <w:szCs w:val="22"/>
          <w:lang w:val="sk-SK"/>
        </w:rPr>
        <w:t>ia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 </w:t>
      </w:r>
      <w:r w:rsidRPr="00694DB8">
        <w:rPr>
          <w:rFonts w:ascii="Times New Roman" w:hAnsi="Times New Roman"/>
          <w:sz w:val="22"/>
          <w:szCs w:val="22"/>
          <w:lang w:val="sk-SK"/>
        </w:rPr>
        <w:t>oligohydramni</w:t>
      </w:r>
      <w:r w:rsidR="00E91F91" w:rsidRPr="00694DB8">
        <w:rPr>
          <w:rFonts w:ascii="Times New Roman" w:hAnsi="Times New Roman"/>
          <w:sz w:val="22"/>
          <w:szCs w:val="22"/>
          <w:lang w:val="sk-SK"/>
        </w:rPr>
        <w:t>ó</w:t>
      </w:r>
      <w:r w:rsidRPr="00694DB8">
        <w:rPr>
          <w:rFonts w:ascii="Times New Roman" w:hAnsi="Times New Roman"/>
          <w:sz w:val="22"/>
          <w:szCs w:val="22"/>
          <w:lang w:val="sk-SK"/>
        </w:rPr>
        <w:t>nom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;</w:t>
      </w:r>
    </w:p>
    <w:p w14:paraId="73B708FF" w14:textId="77777777" w:rsidR="00A54008" w:rsidRPr="00694DB8" w:rsidRDefault="00A54008" w:rsidP="00AF110C">
      <w:pPr>
        <w:pStyle w:val="Default"/>
        <w:keepNext/>
        <w:tabs>
          <w:tab w:val="left" w:pos="567"/>
        </w:tabs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matku a novorodenca na konci </w:t>
      </w:r>
      <w:r w:rsidR="00E91F91" w:rsidRPr="00694DB8">
        <w:rPr>
          <w:rFonts w:ascii="Times New Roman" w:hAnsi="Times New Roman" w:cs="Times New Roman"/>
          <w:sz w:val="22"/>
          <w:szCs w:val="22"/>
          <w:lang w:val="sk-SK"/>
        </w:rPr>
        <w:t>gravidity</w:t>
      </w:r>
      <w:r w:rsidRPr="00694DB8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: </w:t>
      </w:r>
    </w:p>
    <w:p w14:paraId="4FE1067D" w14:textId="77777777" w:rsidR="00A54008" w:rsidRPr="00694DB8" w:rsidRDefault="00A54008" w:rsidP="00944735">
      <w:pPr>
        <w:pStyle w:val="CM4"/>
        <w:numPr>
          <w:ilvl w:val="0"/>
          <w:numId w:val="31"/>
        </w:numPr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>potenciálnemu predĺženiu krvácania, antiagregačnému efektu, ktorý sa môže vyskytnúť dokonca aj pri veľmi nízkych dávkach</w:t>
      </w:r>
      <w:r w:rsidR="00944735" w:rsidRPr="00694DB8">
        <w:rPr>
          <w:rFonts w:ascii="Times New Roman" w:hAnsi="Times New Roman"/>
          <w:sz w:val="22"/>
          <w:szCs w:val="22"/>
          <w:lang w:val="sk-SK"/>
        </w:rPr>
        <w:t>;</w:t>
      </w:r>
    </w:p>
    <w:p w14:paraId="06C2B9F6" w14:textId="77777777" w:rsidR="00A54008" w:rsidRPr="00694DB8" w:rsidRDefault="00A54008" w:rsidP="00944735">
      <w:pPr>
        <w:pStyle w:val="CM7"/>
        <w:numPr>
          <w:ilvl w:val="0"/>
          <w:numId w:val="31"/>
        </w:numPr>
        <w:tabs>
          <w:tab w:val="left" w:pos="567"/>
        </w:tabs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 xml:space="preserve">inhibíciu </w:t>
      </w:r>
      <w:r w:rsidR="00704F90" w:rsidRPr="00694DB8">
        <w:rPr>
          <w:rFonts w:ascii="Times New Roman" w:hAnsi="Times New Roman"/>
          <w:sz w:val="22"/>
          <w:szCs w:val="22"/>
          <w:lang w:val="sk-SK"/>
        </w:rPr>
        <w:t xml:space="preserve">kontrakcie </w:t>
      </w:r>
      <w:r w:rsidRPr="00694DB8">
        <w:rPr>
          <w:rFonts w:ascii="Times New Roman" w:hAnsi="Times New Roman"/>
          <w:sz w:val="22"/>
          <w:szCs w:val="22"/>
          <w:lang w:val="sk-SK"/>
        </w:rPr>
        <w:t>maternic</w:t>
      </w:r>
      <w:r w:rsidR="00704F90" w:rsidRPr="00694DB8">
        <w:rPr>
          <w:rFonts w:ascii="Times New Roman" w:hAnsi="Times New Roman"/>
          <w:sz w:val="22"/>
          <w:szCs w:val="22"/>
          <w:lang w:val="sk-SK"/>
        </w:rPr>
        <w:t>e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 vedúc</w:t>
      </w:r>
      <w:r w:rsidR="00704F90" w:rsidRPr="00694DB8">
        <w:rPr>
          <w:rFonts w:ascii="Times New Roman" w:hAnsi="Times New Roman"/>
          <w:sz w:val="22"/>
          <w:szCs w:val="22"/>
          <w:lang w:val="sk-SK"/>
        </w:rPr>
        <w:t>ej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k </w:t>
      </w:r>
      <w:r w:rsidRPr="00694DB8">
        <w:rPr>
          <w:rFonts w:ascii="Times New Roman" w:hAnsi="Times New Roman"/>
          <w:sz w:val="22"/>
          <w:szCs w:val="22"/>
          <w:lang w:val="sk-SK"/>
        </w:rPr>
        <w:t>oneskoreniu alebo predĺženiu priebehu pôrodu</w:t>
      </w:r>
      <w:r w:rsidR="00C451DC" w:rsidRPr="00694DB8">
        <w:rPr>
          <w:rFonts w:ascii="Times New Roman" w:hAnsi="Times New Roman"/>
          <w:sz w:val="22"/>
          <w:szCs w:val="22"/>
          <w:lang w:val="sk-SK"/>
        </w:rPr>
        <w:t>.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764CFF5" w14:textId="77777777" w:rsidR="00C451DC" w:rsidRPr="00694DB8" w:rsidRDefault="00C451DC" w:rsidP="00AF110C">
      <w:pPr>
        <w:pStyle w:val="CM7"/>
        <w:tabs>
          <w:tab w:val="left" w:pos="567"/>
        </w:tabs>
        <w:spacing w:after="0"/>
        <w:rPr>
          <w:rFonts w:ascii="Times New Roman" w:hAnsi="Times New Roman"/>
          <w:sz w:val="22"/>
          <w:szCs w:val="22"/>
          <w:lang w:val="sk-SK"/>
        </w:rPr>
      </w:pPr>
    </w:p>
    <w:p w14:paraId="718ACFAE" w14:textId="77777777" w:rsidR="00A54008" w:rsidRPr="00694DB8" w:rsidRDefault="00A54008" w:rsidP="00AF110C">
      <w:pPr>
        <w:pStyle w:val="CM7"/>
        <w:tabs>
          <w:tab w:val="left" w:pos="567"/>
        </w:tabs>
        <w:spacing w:after="0"/>
        <w:rPr>
          <w:rFonts w:ascii="Times New Roman" w:hAnsi="Times New Roman"/>
          <w:sz w:val="22"/>
          <w:szCs w:val="22"/>
          <w:lang w:val="sk-SK"/>
        </w:rPr>
      </w:pPr>
      <w:r w:rsidRPr="00694DB8">
        <w:rPr>
          <w:rFonts w:ascii="Times New Roman" w:hAnsi="Times New Roman"/>
          <w:sz w:val="22"/>
          <w:szCs w:val="22"/>
          <w:lang w:val="sk-SK"/>
        </w:rPr>
        <w:t>Preto je diklofenak kontraindikovaný</w:t>
      </w:r>
      <w:r w:rsidR="00AF110C" w:rsidRPr="00694DB8">
        <w:rPr>
          <w:rFonts w:ascii="Times New Roman" w:hAnsi="Times New Roman"/>
          <w:sz w:val="22"/>
          <w:szCs w:val="22"/>
          <w:lang w:val="sk-SK"/>
        </w:rPr>
        <w:t xml:space="preserve"> v 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treťom trimestri </w:t>
      </w:r>
      <w:r w:rsidR="00E91F91" w:rsidRPr="00694DB8">
        <w:rPr>
          <w:rFonts w:ascii="Times New Roman" w:hAnsi="Times New Roman"/>
          <w:sz w:val="22"/>
          <w:szCs w:val="22"/>
          <w:lang w:val="sk-SK"/>
        </w:rPr>
        <w:t>gravidity</w:t>
      </w:r>
      <w:r w:rsidRPr="00694DB8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754E32C7" w14:textId="77777777" w:rsidR="00C451DC" w:rsidRPr="00694DB8" w:rsidRDefault="00C451DC" w:rsidP="00AF110C">
      <w:pPr>
        <w:pStyle w:val="Zkladntext"/>
        <w:tabs>
          <w:tab w:val="left" w:pos="567"/>
        </w:tabs>
        <w:rPr>
          <w:i/>
          <w:szCs w:val="22"/>
        </w:rPr>
      </w:pPr>
    </w:p>
    <w:p w14:paraId="53FF0423" w14:textId="77777777" w:rsidR="008D74B3" w:rsidRPr="00694DB8" w:rsidRDefault="0028015C" w:rsidP="00AF110C">
      <w:pPr>
        <w:pStyle w:val="Zkladntext"/>
        <w:keepNext/>
        <w:tabs>
          <w:tab w:val="left" w:pos="567"/>
        </w:tabs>
        <w:rPr>
          <w:szCs w:val="22"/>
          <w:u w:val="single"/>
        </w:rPr>
      </w:pPr>
      <w:r w:rsidRPr="00694DB8">
        <w:rPr>
          <w:szCs w:val="22"/>
          <w:u w:val="single"/>
        </w:rPr>
        <w:t>Dojčenie</w:t>
      </w:r>
    </w:p>
    <w:p w14:paraId="37021263" w14:textId="77777777" w:rsidR="006D7FAD" w:rsidRDefault="008D74B3" w:rsidP="00AF110C">
      <w:pPr>
        <w:widowControl w:val="0"/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 xml:space="preserve">Tak ako iné </w:t>
      </w:r>
      <w:r w:rsidR="00F910B8" w:rsidRPr="00694DB8">
        <w:rPr>
          <w:bCs/>
          <w:szCs w:val="22"/>
        </w:rPr>
        <w:t>NSAID</w:t>
      </w:r>
      <w:r w:rsidRPr="00694DB8">
        <w:rPr>
          <w:bCs/>
          <w:szCs w:val="22"/>
        </w:rPr>
        <w:t>,</w:t>
      </w:r>
      <w:r w:rsidR="001D1ABD" w:rsidRPr="00694DB8">
        <w:rPr>
          <w:bCs/>
          <w:szCs w:val="22"/>
        </w:rPr>
        <w:t xml:space="preserve"> aj</w:t>
      </w:r>
      <w:r w:rsidRPr="00694DB8">
        <w:rPr>
          <w:bCs/>
          <w:szCs w:val="22"/>
        </w:rPr>
        <w:t xml:space="preserve"> diklofenak</w:t>
      </w:r>
      <w:r w:rsidR="00AF110C" w:rsidRPr="00694DB8">
        <w:rPr>
          <w:bCs/>
          <w:szCs w:val="22"/>
        </w:rPr>
        <w:t xml:space="preserve"> v </w:t>
      </w:r>
      <w:r w:rsidRPr="00694DB8">
        <w:rPr>
          <w:bCs/>
          <w:szCs w:val="22"/>
        </w:rPr>
        <w:t xml:space="preserve">malých množstvách prestupuje do materského mlieka. </w:t>
      </w:r>
    </w:p>
    <w:p w14:paraId="794E98B0" w14:textId="57F0C2D3" w:rsidR="001D1ABD" w:rsidRPr="00694DB8" w:rsidRDefault="008D74B3" w:rsidP="00AF110C">
      <w:pPr>
        <w:widowControl w:val="0"/>
        <w:tabs>
          <w:tab w:val="left" w:pos="567"/>
        </w:tabs>
        <w:ind w:left="0" w:firstLine="0"/>
        <w:rPr>
          <w:color w:val="000000"/>
          <w:szCs w:val="22"/>
        </w:rPr>
      </w:pPr>
      <w:r w:rsidRPr="00694DB8">
        <w:rPr>
          <w:bCs/>
          <w:szCs w:val="22"/>
        </w:rPr>
        <w:t xml:space="preserve">Preto </w:t>
      </w:r>
      <w:r w:rsidR="00F910B8" w:rsidRPr="00694DB8">
        <w:rPr>
          <w:bCs/>
          <w:szCs w:val="22"/>
        </w:rPr>
        <w:t xml:space="preserve">sa </w:t>
      </w:r>
      <w:r w:rsidR="00095E67" w:rsidRPr="00694DB8">
        <w:rPr>
          <w:bCs/>
          <w:szCs w:val="22"/>
        </w:rPr>
        <w:t>Voltaren Rapid 25</w:t>
      </w:r>
      <w:r w:rsidR="00AF110C" w:rsidRPr="00694DB8">
        <w:rPr>
          <w:bCs/>
          <w:szCs w:val="22"/>
        </w:rPr>
        <w:t> mg</w:t>
      </w:r>
      <w:r w:rsidR="00095E67" w:rsidRPr="00694DB8">
        <w:rPr>
          <w:bCs/>
          <w:szCs w:val="22"/>
        </w:rPr>
        <w:t xml:space="preserve"> </w:t>
      </w:r>
      <w:r w:rsidR="00F910B8" w:rsidRPr="00694DB8">
        <w:rPr>
          <w:bCs/>
          <w:szCs w:val="22"/>
        </w:rPr>
        <w:t>nemá podávať</w:t>
      </w:r>
      <w:r w:rsidR="00AF110C" w:rsidRPr="00694DB8">
        <w:rPr>
          <w:bCs/>
          <w:szCs w:val="22"/>
        </w:rPr>
        <w:t xml:space="preserve"> v </w:t>
      </w:r>
      <w:r w:rsidR="00F910B8" w:rsidRPr="00694DB8">
        <w:rPr>
          <w:bCs/>
          <w:szCs w:val="22"/>
        </w:rPr>
        <w:t>období dojčenia, aby sa zabránilo nežiaduc</w:t>
      </w:r>
      <w:r w:rsidR="008A7A3E" w:rsidRPr="00694DB8">
        <w:rPr>
          <w:bCs/>
          <w:szCs w:val="22"/>
        </w:rPr>
        <w:t>i</w:t>
      </w:r>
      <w:r w:rsidR="00F910B8" w:rsidRPr="00694DB8">
        <w:rPr>
          <w:bCs/>
          <w:szCs w:val="22"/>
        </w:rPr>
        <w:t>m účink</w:t>
      </w:r>
      <w:r w:rsidR="008A7A3E" w:rsidRPr="00694DB8">
        <w:rPr>
          <w:bCs/>
          <w:szCs w:val="22"/>
        </w:rPr>
        <w:t>om</w:t>
      </w:r>
      <w:r w:rsidR="00F910B8" w:rsidRPr="00694DB8">
        <w:rPr>
          <w:bCs/>
          <w:szCs w:val="22"/>
        </w:rPr>
        <w:t xml:space="preserve"> na</w:t>
      </w:r>
      <w:r w:rsidR="00FD4348" w:rsidRPr="00694DB8">
        <w:rPr>
          <w:bCs/>
          <w:szCs w:val="22"/>
        </w:rPr>
        <w:t> </w:t>
      </w:r>
      <w:r w:rsidR="00F910B8" w:rsidRPr="00694DB8">
        <w:rPr>
          <w:bCs/>
          <w:szCs w:val="22"/>
        </w:rPr>
        <w:t>dojča</w:t>
      </w:r>
      <w:r w:rsidRPr="00694DB8">
        <w:rPr>
          <w:bCs/>
          <w:szCs w:val="22"/>
        </w:rPr>
        <w:t xml:space="preserve">. </w:t>
      </w:r>
    </w:p>
    <w:p w14:paraId="5744A04E" w14:textId="77777777" w:rsidR="00F64284" w:rsidRPr="00694DB8" w:rsidRDefault="00F64284" w:rsidP="00AF110C">
      <w:pPr>
        <w:widowControl w:val="0"/>
        <w:tabs>
          <w:tab w:val="left" w:pos="567"/>
        </w:tabs>
        <w:ind w:left="0" w:firstLine="0"/>
        <w:rPr>
          <w:szCs w:val="22"/>
        </w:rPr>
      </w:pPr>
    </w:p>
    <w:p w14:paraId="7EC6C0A6" w14:textId="77777777" w:rsidR="008D74B3" w:rsidRPr="00694DB8" w:rsidRDefault="008D74B3" w:rsidP="00AF110C">
      <w:pPr>
        <w:pStyle w:val="Zkladntext"/>
        <w:keepNext/>
        <w:tabs>
          <w:tab w:val="left" w:pos="567"/>
        </w:tabs>
        <w:rPr>
          <w:szCs w:val="22"/>
          <w:u w:val="single"/>
        </w:rPr>
      </w:pPr>
      <w:r w:rsidRPr="00694DB8">
        <w:rPr>
          <w:szCs w:val="22"/>
          <w:u w:val="single"/>
        </w:rPr>
        <w:t>Fertilita</w:t>
      </w:r>
    </w:p>
    <w:p w14:paraId="29D9AB39" w14:textId="77777777" w:rsidR="00F910B8" w:rsidRPr="00694DB8" w:rsidRDefault="00733229" w:rsidP="00AF110C">
      <w:pPr>
        <w:pStyle w:val="Zkladntext"/>
        <w:tabs>
          <w:tab w:val="left" w:pos="567"/>
        </w:tabs>
        <w:rPr>
          <w:bCs/>
          <w:szCs w:val="22"/>
        </w:rPr>
      </w:pPr>
      <w:r w:rsidRPr="00694DB8">
        <w:rPr>
          <w:bCs/>
          <w:szCs w:val="22"/>
        </w:rPr>
        <w:t xml:space="preserve">Tak ako iné </w:t>
      </w:r>
      <w:r w:rsidR="00F910B8" w:rsidRPr="00694DB8">
        <w:rPr>
          <w:bCs/>
          <w:szCs w:val="22"/>
        </w:rPr>
        <w:t xml:space="preserve">NSAID, </w:t>
      </w:r>
      <w:r w:rsidRPr="00694DB8">
        <w:rPr>
          <w:bCs/>
          <w:szCs w:val="22"/>
        </w:rPr>
        <w:t xml:space="preserve">použitie </w:t>
      </w:r>
      <w:r w:rsidR="001E460F" w:rsidRPr="00694DB8">
        <w:rPr>
          <w:bCs/>
          <w:szCs w:val="22"/>
        </w:rPr>
        <w:t>diklofenaku</w:t>
      </w:r>
      <w:r w:rsidR="007304DD" w:rsidRPr="00694DB8">
        <w:rPr>
          <w:bCs/>
          <w:szCs w:val="22"/>
        </w:rPr>
        <w:t xml:space="preserve"> </w:t>
      </w:r>
      <w:r w:rsidR="00F910B8" w:rsidRPr="00694DB8">
        <w:rPr>
          <w:bCs/>
          <w:szCs w:val="22"/>
        </w:rPr>
        <w:t xml:space="preserve">môže </w:t>
      </w:r>
      <w:r w:rsidR="00087DF9" w:rsidRPr="00694DB8">
        <w:rPr>
          <w:bCs/>
          <w:szCs w:val="22"/>
        </w:rPr>
        <w:t xml:space="preserve">oslabiť </w:t>
      </w:r>
      <w:r w:rsidRPr="00694DB8">
        <w:rPr>
          <w:bCs/>
          <w:szCs w:val="22"/>
        </w:rPr>
        <w:t xml:space="preserve">fertilitu žien a neodporúča sa podávať </w:t>
      </w:r>
      <w:r w:rsidR="00944735" w:rsidRPr="00694DB8">
        <w:rPr>
          <w:bCs/>
          <w:szCs w:val="22"/>
        </w:rPr>
        <w:t xml:space="preserve">ho </w:t>
      </w:r>
      <w:r w:rsidRPr="00694DB8">
        <w:rPr>
          <w:bCs/>
          <w:szCs w:val="22"/>
        </w:rPr>
        <w:t>ženám, ktoré sa pokúšajú otehotnieť.</w:t>
      </w:r>
      <w:r w:rsidR="00AF110C" w:rsidRPr="00694DB8">
        <w:rPr>
          <w:bCs/>
          <w:szCs w:val="22"/>
        </w:rPr>
        <w:t xml:space="preserve"> </w:t>
      </w:r>
      <w:r w:rsidR="00944735" w:rsidRPr="00694DB8">
        <w:rPr>
          <w:bCs/>
          <w:szCs w:val="22"/>
        </w:rPr>
        <w:t>U</w:t>
      </w:r>
      <w:r w:rsidR="00AF110C" w:rsidRPr="00694DB8">
        <w:rPr>
          <w:bCs/>
          <w:szCs w:val="22"/>
        </w:rPr>
        <w:t> </w:t>
      </w:r>
      <w:r w:rsidRPr="00694DB8">
        <w:rPr>
          <w:bCs/>
          <w:szCs w:val="22"/>
        </w:rPr>
        <w:t>žien, ktoré majú ťažkosti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 xml:space="preserve">otehotnením alebo podstupujú vyšetrenia pre infertilitu, sa má zvážiť vysadenie </w:t>
      </w:r>
      <w:r w:rsidR="001E460F" w:rsidRPr="00694DB8">
        <w:rPr>
          <w:bCs/>
          <w:szCs w:val="22"/>
        </w:rPr>
        <w:t>diklofenaku</w:t>
      </w:r>
      <w:r w:rsidRPr="00694DB8">
        <w:rPr>
          <w:bCs/>
          <w:szCs w:val="22"/>
        </w:rPr>
        <w:t xml:space="preserve">. </w:t>
      </w:r>
    </w:p>
    <w:p w14:paraId="1E8A7A8F" w14:textId="77777777" w:rsidR="003A2E0D" w:rsidRPr="00694DB8" w:rsidRDefault="003A2E0D" w:rsidP="00AF110C">
      <w:pPr>
        <w:tabs>
          <w:tab w:val="left" w:pos="567"/>
        </w:tabs>
        <w:rPr>
          <w:bCs/>
          <w:szCs w:val="22"/>
        </w:rPr>
      </w:pPr>
    </w:p>
    <w:p w14:paraId="418C730D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4.7</w:t>
      </w:r>
      <w:r w:rsidRPr="00694DB8">
        <w:rPr>
          <w:b/>
          <w:szCs w:val="22"/>
        </w:rPr>
        <w:tab/>
        <w:t>Ovplyvnenie schopnosti viesť vozidlá a obsluhovať stroje</w:t>
      </w:r>
    </w:p>
    <w:p w14:paraId="44268EEB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16459501" w14:textId="77777777" w:rsidR="008D74B3" w:rsidRPr="00694DB8" w:rsidRDefault="008D74B3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Pacienti,</w:t>
      </w:r>
      <w:r w:rsidR="00AF110C" w:rsidRPr="00694DB8">
        <w:rPr>
          <w:szCs w:val="22"/>
        </w:rPr>
        <w:t xml:space="preserve"> u </w:t>
      </w:r>
      <w:r w:rsidRPr="00694DB8">
        <w:rPr>
          <w:szCs w:val="22"/>
        </w:rPr>
        <w:t xml:space="preserve">ktorých sa počas </w:t>
      </w:r>
      <w:r w:rsidR="00A67EC4" w:rsidRPr="00694DB8">
        <w:rPr>
          <w:szCs w:val="22"/>
        </w:rPr>
        <w:t>užívania</w:t>
      </w:r>
      <w:r w:rsidR="00942199" w:rsidRPr="00694DB8">
        <w:rPr>
          <w:szCs w:val="22"/>
        </w:rPr>
        <w:t xml:space="preserve"> diklofenaku</w:t>
      </w:r>
      <w:r w:rsidR="00B933B9" w:rsidRPr="00694DB8">
        <w:rPr>
          <w:szCs w:val="22"/>
        </w:rPr>
        <w:t xml:space="preserve"> </w:t>
      </w:r>
      <w:r w:rsidRPr="00694DB8">
        <w:rPr>
          <w:szCs w:val="22"/>
        </w:rPr>
        <w:t xml:space="preserve">vyskytnú </w:t>
      </w:r>
      <w:r w:rsidR="00A67EC4" w:rsidRPr="00694DB8">
        <w:rPr>
          <w:szCs w:val="22"/>
        </w:rPr>
        <w:t xml:space="preserve">poruchy videnia, </w:t>
      </w:r>
      <w:r w:rsidRPr="00694DB8">
        <w:rPr>
          <w:szCs w:val="22"/>
        </w:rPr>
        <w:t>závraty</w:t>
      </w:r>
      <w:r w:rsidR="00A67EC4" w:rsidRPr="00694DB8">
        <w:rPr>
          <w:szCs w:val="22"/>
        </w:rPr>
        <w:t xml:space="preserve">, </w:t>
      </w:r>
      <w:r w:rsidR="00634177" w:rsidRPr="00694DB8">
        <w:rPr>
          <w:szCs w:val="22"/>
        </w:rPr>
        <w:t xml:space="preserve">vertigo, </w:t>
      </w:r>
      <w:r w:rsidR="00A67EC4" w:rsidRPr="00694DB8">
        <w:rPr>
          <w:szCs w:val="22"/>
        </w:rPr>
        <w:t>somnolencia</w:t>
      </w:r>
      <w:r w:rsidRPr="00694DB8">
        <w:rPr>
          <w:szCs w:val="22"/>
        </w:rPr>
        <w:t xml:space="preserve"> alebo iné poruchy CNS, </w:t>
      </w:r>
      <w:r w:rsidR="00B63A97" w:rsidRPr="00694DB8">
        <w:rPr>
          <w:szCs w:val="22"/>
        </w:rPr>
        <w:t xml:space="preserve">sa </w:t>
      </w:r>
      <w:r w:rsidR="0027754C" w:rsidRPr="00694DB8">
        <w:rPr>
          <w:szCs w:val="22"/>
        </w:rPr>
        <w:t xml:space="preserve">majú </w:t>
      </w:r>
      <w:r w:rsidR="001B7CA0" w:rsidRPr="00694DB8">
        <w:rPr>
          <w:szCs w:val="22"/>
        </w:rPr>
        <w:t xml:space="preserve">vyhnúť vedeniu </w:t>
      </w:r>
      <w:r w:rsidRPr="00694DB8">
        <w:rPr>
          <w:szCs w:val="22"/>
        </w:rPr>
        <w:t>vozid</w:t>
      </w:r>
      <w:r w:rsidR="00B63A97" w:rsidRPr="00694DB8">
        <w:rPr>
          <w:szCs w:val="22"/>
        </w:rPr>
        <w:t>iel</w:t>
      </w:r>
      <w:r w:rsidRPr="00694DB8">
        <w:rPr>
          <w:szCs w:val="22"/>
        </w:rPr>
        <w:t xml:space="preserve"> alebo obsluhov</w:t>
      </w:r>
      <w:r w:rsidR="001B7CA0" w:rsidRPr="00694DB8">
        <w:rPr>
          <w:szCs w:val="22"/>
        </w:rPr>
        <w:t>aniu</w:t>
      </w:r>
      <w:r w:rsidRPr="00694DB8">
        <w:rPr>
          <w:szCs w:val="22"/>
        </w:rPr>
        <w:t xml:space="preserve"> stroj</w:t>
      </w:r>
      <w:r w:rsidR="001B7CA0" w:rsidRPr="00694DB8">
        <w:rPr>
          <w:szCs w:val="22"/>
        </w:rPr>
        <w:t>ov</w:t>
      </w:r>
      <w:r w:rsidRPr="00694DB8">
        <w:rPr>
          <w:szCs w:val="22"/>
        </w:rPr>
        <w:t xml:space="preserve">. </w:t>
      </w:r>
    </w:p>
    <w:p w14:paraId="067213B8" w14:textId="77777777" w:rsidR="00490CAE" w:rsidRPr="00694DB8" w:rsidRDefault="00490CAE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616B30D7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694DB8">
        <w:rPr>
          <w:b/>
          <w:szCs w:val="22"/>
        </w:rPr>
        <w:t>4.8</w:t>
      </w:r>
      <w:r w:rsidRPr="00694DB8">
        <w:rPr>
          <w:b/>
          <w:szCs w:val="22"/>
        </w:rPr>
        <w:tab/>
        <w:t>Nežiaduce účinky</w:t>
      </w:r>
    </w:p>
    <w:p w14:paraId="683D8E61" w14:textId="77777777" w:rsidR="00A67EC4" w:rsidRPr="00694DB8" w:rsidRDefault="00A67EC4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1C8C1D1F" w14:textId="77777777" w:rsidR="00723C14" w:rsidRPr="00694DB8" w:rsidRDefault="00723C14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Nežiaduce reakcie uvedené nižšie podľa triedy orgánových systémov a frekvencie výskytu.</w:t>
      </w:r>
      <w:r w:rsidR="00704F90" w:rsidRPr="00694DB8">
        <w:rPr>
          <w:szCs w:val="22"/>
        </w:rPr>
        <w:t xml:space="preserve"> </w:t>
      </w:r>
      <w:r w:rsidRPr="00694DB8">
        <w:rPr>
          <w:szCs w:val="22"/>
        </w:rPr>
        <w:t>Frekvencia je definovaná ako: veľmi časté (≥</w:t>
      </w:r>
      <w:r w:rsidR="00944735" w:rsidRPr="00694DB8">
        <w:rPr>
          <w:szCs w:val="22"/>
        </w:rPr>
        <w:t> </w:t>
      </w:r>
      <w:r w:rsidRPr="00694DB8">
        <w:rPr>
          <w:szCs w:val="22"/>
        </w:rPr>
        <w:t>1/10), časté (≥</w:t>
      </w:r>
      <w:r w:rsidR="00944735" w:rsidRPr="00694DB8">
        <w:rPr>
          <w:szCs w:val="22"/>
        </w:rPr>
        <w:t> </w:t>
      </w:r>
      <w:r w:rsidRPr="00694DB8">
        <w:rPr>
          <w:szCs w:val="22"/>
        </w:rPr>
        <w:t>1/100 až &lt;</w:t>
      </w:r>
      <w:r w:rsidR="00944735" w:rsidRPr="00694DB8">
        <w:rPr>
          <w:szCs w:val="22"/>
        </w:rPr>
        <w:t> </w:t>
      </w:r>
      <w:r w:rsidRPr="00694DB8">
        <w:rPr>
          <w:szCs w:val="22"/>
        </w:rPr>
        <w:t>1/10), menej časté (≥</w:t>
      </w:r>
      <w:r w:rsidR="00944735" w:rsidRPr="00694DB8">
        <w:rPr>
          <w:szCs w:val="22"/>
        </w:rPr>
        <w:t> </w:t>
      </w:r>
      <w:r w:rsidRPr="00694DB8">
        <w:rPr>
          <w:szCs w:val="22"/>
        </w:rPr>
        <w:t>1/1</w:t>
      </w:r>
      <w:r w:rsidR="00944735" w:rsidRPr="00694DB8">
        <w:rPr>
          <w:szCs w:val="22"/>
        </w:rPr>
        <w:t> </w:t>
      </w:r>
      <w:r w:rsidRPr="00694DB8">
        <w:rPr>
          <w:szCs w:val="22"/>
        </w:rPr>
        <w:t>000 až &lt;</w:t>
      </w:r>
      <w:r w:rsidR="00944735" w:rsidRPr="00694DB8">
        <w:rPr>
          <w:szCs w:val="22"/>
        </w:rPr>
        <w:t> </w:t>
      </w:r>
      <w:r w:rsidRPr="00694DB8">
        <w:rPr>
          <w:szCs w:val="22"/>
        </w:rPr>
        <w:t>1/100), zriedkavé (≥</w:t>
      </w:r>
      <w:r w:rsidR="00944735" w:rsidRPr="00694DB8">
        <w:rPr>
          <w:szCs w:val="22"/>
        </w:rPr>
        <w:t> </w:t>
      </w:r>
      <w:r w:rsidRPr="00694DB8">
        <w:rPr>
          <w:szCs w:val="22"/>
        </w:rPr>
        <w:t>1/</w:t>
      </w:r>
      <w:r w:rsidR="00944735" w:rsidRPr="00694DB8">
        <w:rPr>
          <w:szCs w:val="22"/>
        </w:rPr>
        <w:t>10 </w:t>
      </w:r>
      <w:r w:rsidRPr="00694DB8">
        <w:rPr>
          <w:szCs w:val="22"/>
        </w:rPr>
        <w:t xml:space="preserve">000 až </w:t>
      </w:r>
      <w:r w:rsidR="00944735" w:rsidRPr="00694DB8">
        <w:rPr>
          <w:szCs w:val="22"/>
        </w:rPr>
        <w:t>&lt; </w:t>
      </w:r>
      <w:r w:rsidRPr="00694DB8">
        <w:rPr>
          <w:szCs w:val="22"/>
        </w:rPr>
        <w:t>1/</w:t>
      </w:r>
      <w:r w:rsidR="00944735" w:rsidRPr="00694DB8">
        <w:rPr>
          <w:szCs w:val="22"/>
        </w:rPr>
        <w:t>1 </w:t>
      </w:r>
      <w:r w:rsidRPr="00694DB8">
        <w:rPr>
          <w:szCs w:val="22"/>
        </w:rPr>
        <w:t>000), veľmi zriedkavé (&lt;</w:t>
      </w:r>
      <w:r w:rsidR="00944735" w:rsidRPr="00694DB8">
        <w:rPr>
          <w:szCs w:val="22"/>
        </w:rPr>
        <w:t> </w:t>
      </w:r>
      <w:r w:rsidRPr="00694DB8">
        <w:rPr>
          <w:szCs w:val="22"/>
        </w:rPr>
        <w:t>1/10</w:t>
      </w:r>
      <w:r w:rsidR="00944735" w:rsidRPr="00694DB8">
        <w:rPr>
          <w:szCs w:val="22"/>
        </w:rPr>
        <w:t> </w:t>
      </w:r>
      <w:r w:rsidRPr="00694DB8">
        <w:rPr>
          <w:szCs w:val="22"/>
        </w:rPr>
        <w:t>000), n</w:t>
      </w:r>
      <w:r w:rsidR="00C83922" w:rsidRPr="00694DB8">
        <w:rPr>
          <w:szCs w:val="22"/>
        </w:rPr>
        <w:t>eznáme</w:t>
      </w:r>
      <w:r w:rsidRPr="00694DB8">
        <w:rPr>
          <w:szCs w:val="22"/>
        </w:rPr>
        <w:t xml:space="preserve"> </w:t>
      </w:r>
      <w:r w:rsidR="0028015C" w:rsidRPr="00694DB8">
        <w:rPr>
          <w:szCs w:val="22"/>
        </w:rPr>
        <w:t>(</w:t>
      </w:r>
      <w:r w:rsidRPr="00694DB8">
        <w:rPr>
          <w:szCs w:val="22"/>
        </w:rPr>
        <w:t>z</w:t>
      </w:r>
      <w:r w:rsidR="00944735" w:rsidRPr="00694DB8">
        <w:rPr>
          <w:szCs w:val="22"/>
        </w:rPr>
        <w:t> </w:t>
      </w:r>
      <w:r w:rsidRPr="00694DB8">
        <w:rPr>
          <w:szCs w:val="22"/>
        </w:rPr>
        <w:t>dostupných údajov sa nedá určiť</w:t>
      </w:r>
      <w:r w:rsidR="0028015C" w:rsidRPr="00694DB8">
        <w:rPr>
          <w:szCs w:val="22"/>
        </w:rPr>
        <w:t>)</w:t>
      </w:r>
      <w:r w:rsidRPr="00694DB8">
        <w:rPr>
          <w:szCs w:val="22"/>
        </w:rPr>
        <w:t>.</w:t>
      </w:r>
      <w:r w:rsidR="00AF110C" w:rsidRPr="00694DB8">
        <w:rPr>
          <w:szCs w:val="22"/>
        </w:rPr>
        <w:t xml:space="preserve"> </w:t>
      </w:r>
      <w:r w:rsidR="00944735" w:rsidRPr="00694DB8">
        <w:rPr>
          <w:szCs w:val="22"/>
        </w:rPr>
        <w:t>V</w:t>
      </w:r>
      <w:r w:rsidR="00AF110C" w:rsidRPr="00694DB8">
        <w:rPr>
          <w:szCs w:val="22"/>
        </w:rPr>
        <w:t> </w:t>
      </w:r>
      <w:r w:rsidRPr="00694DB8">
        <w:rPr>
          <w:szCs w:val="22"/>
        </w:rPr>
        <w:t>každej skupine frekvencií sú nežiaduce účinky uvedené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>poradí podľa klesajúcej závažnosti.</w:t>
      </w:r>
    </w:p>
    <w:p w14:paraId="4645E7BB" w14:textId="77777777" w:rsidR="00137791" w:rsidRPr="00694DB8" w:rsidRDefault="00137791" w:rsidP="00AF110C">
      <w:pPr>
        <w:tabs>
          <w:tab w:val="left" w:pos="567"/>
        </w:tabs>
        <w:ind w:left="0" w:firstLine="0"/>
        <w:rPr>
          <w:szCs w:val="22"/>
        </w:rPr>
      </w:pPr>
    </w:p>
    <w:p w14:paraId="02D7D6FD" w14:textId="77777777" w:rsidR="00AF1491" w:rsidRPr="00694DB8" w:rsidRDefault="001400B9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N</w:t>
      </w:r>
      <w:r w:rsidR="00DC7C63" w:rsidRPr="00694DB8">
        <w:rPr>
          <w:szCs w:val="22"/>
        </w:rPr>
        <w:t>a</w:t>
      </w:r>
      <w:r w:rsidRPr="00694DB8">
        <w:rPr>
          <w:szCs w:val="22"/>
        </w:rPr>
        <w:t>sledujúce nežiaduce účinky zah</w:t>
      </w:r>
      <w:r w:rsidR="00DC7C63" w:rsidRPr="00694DB8">
        <w:rPr>
          <w:szCs w:val="22"/>
        </w:rPr>
        <w:t>ŕ</w:t>
      </w:r>
      <w:r w:rsidRPr="00694DB8">
        <w:rPr>
          <w:szCs w:val="22"/>
        </w:rPr>
        <w:t>ňajú účinky, ktoré boli popísané buď pri krátkodobom alebo dlhodobom užívaní diklofenaku</w:t>
      </w:r>
      <w:r w:rsidR="00AF1491" w:rsidRPr="00694DB8">
        <w:rPr>
          <w:szCs w:val="22"/>
        </w:rPr>
        <w:t>.</w:t>
      </w:r>
    </w:p>
    <w:p w14:paraId="2D5F6A86" w14:textId="77777777" w:rsidR="00AC668E" w:rsidRPr="00694DB8" w:rsidRDefault="00AC668E" w:rsidP="00AF110C">
      <w:pPr>
        <w:tabs>
          <w:tab w:val="left" w:pos="567"/>
        </w:tabs>
        <w:ind w:left="0" w:firstLine="0"/>
        <w:rPr>
          <w:b/>
          <w:color w:val="000000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5953"/>
      </w:tblGrid>
      <w:tr w:rsidR="00944735" w:rsidRPr="00694DB8" w14:paraId="682DAC91" w14:textId="77777777" w:rsidTr="00944735">
        <w:trPr>
          <w:cantSplit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65C84" w14:textId="77777777" w:rsidR="00944735" w:rsidRPr="00694DB8" w:rsidRDefault="00944735" w:rsidP="00944735">
            <w:pPr>
              <w:pStyle w:val="Table"/>
              <w:keepLines w:val="0"/>
              <w:tabs>
                <w:tab w:val="left" w:pos="567"/>
              </w:tabs>
              <w:rPr>
                <w:rStyle w:val="shorttext"/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94DB8">
              <w:rPr>
                <w:rStyle w:val="hps"/>
                <w:rFonts w:ascii="Times New Roman" w:hAnsi="Times New Roman"/>
                <w:b/>
                <w:sz w:val="22"/>
                <w:szCs w:val="22"/>
                <w:lang w:val="sk-SK"/>
              </w:rPr>
              <w:t>Trieda</w:t>
            </w:r>
            <w:r w:rsidRPr="00694DB8">
              <w:rPr>
                <w:rStyle w:val="shorttext"/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  <w:r w:rsidRPr="00694DB8">
              <w:rPr>
                <w:rStyle w:val="hps"/>
                <w:rFonts w:ascii="Times New Roman" w:hAnsi="Times New Roman"/>
                <w:b/>
                <w:sz w:val="22"/>
                <w:szCs w:val="22"/>
                <w:lang w:val="sk-SK"/>
              </w:rPr>
              <w:t>orgánových</w:t>
            </w:r>
            <w:r w:rsidRPr="00694DB8">
              <w:rPr>
                <w:rStyle w:val="shorttext"/>
                <w:rFonts w:ascii="Times New Roman" w:hAnsi="Times New Roman"/>
                <w:b/>
                <w:sz w:val="22"/>
                <w:szCs w:val="22"/>
                <w:lang w:val="sk-SK"/>
              </w:rPr>
              <w:t xml:space="preserve"> </w:t>
            </w:r>
            <w:r w:rsidRPr="00694DB8">
              <w:rPr>
                <w:rStyle w:val="hps"/>
                <w:rFonts w:ascii="Times New Roman" w:hAnsi="Times New Roman"/>
                <w:b/>
                <w:sz w:val="22"/>
                <w:szCs w:val="22"/>
                <w:lang w:val="sk-SK"/>
              </w:rPr>
              <w:t>systémov</w:t>
            </w:r>
          </w:p>
          <w:p w14:paraId="7D980985" w14:textId="77777777" w:rsidR="00944735" w:rsidRPr="00694DB8" w:rsidRDefault="00944735" w:rsidP="00944735">
            <w:pPr>
              <w:pStyle w:val="Table"/>
              <w:keepLines w:val="0"/>
              <w:tabs>
                <w:tab w:val="clear" w:pos="284"/>
                <w:tab w:val="left" w:pos="567"/>
                <w:tab w:val="left" w:pos="601"/>
              </w:tabs>
              <w:rPr>
                <w:rStyle w:val="shorttext"/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94DB8">
              <w:rPr>
                <w:rStyle w:val="shorttext"/>
                <w:rFonts w:ascii="Times New Roman" w:hAnsi="Times New Roman"/>
                <w:b/>
                <w:sz w:val="22"/>
                <w:szCs w:val="22"/>
                <w:lang w:val="sk-SK"/>
              </w:rPr>
              <w:tab/>
              <w:t>Frekvencia výskytu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4CB21DCA" w14:textId="77777777" w:rsidR="00944735" w:rsidRPr="00694DB8" w:rsidRDefault="00944735" w:rsidP="00AF110C">
            <w:pPr>
              <w:pStyle w:val="Table"/>
              <w:keepLines w:val="0"/>
              <w:tabs>
                <w:tab w:val="left" w:pos="567"/>
              </w:tabs>
              <w:rPr>
                <w:rStyle w:val="hps"/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94DB8">
              <w:rPr>
                <w:rStyle w:val="shorttext"/>
                <w:rFonts w:ascii="Times New Roman" w:hAnsi="Times New Roman"/>
                <w:b/>
                <w:sz w:val="22"/>
                <w:szCs w:val="22"/>
                <w:lang w:val="sk-SK"/>
              </w:rPr>
              <w:t>Nežiaduca reakcia</w:t>
            </w:r>
          </w:p>
        </w:tc>
      </w:tr>
      <w:tr w:rsidR="00AC556C" w:rsidRPr="00694DB8" w14:paraId="725AB449" w14:textId="77777777" w:rsidTr="00944735">
        <w:trPr>
          <w:cantSplit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14:paraId="3B421CE1" w14:textId="77777777" w:rsidR="00AC556C" w:rsidRPr="00694DB8" w:rsidRDefault="001744D1" w:rsidP="00AF110C">
            <w:pPr>
              <w:pStyle w:val="Table"/>
              <w:keepLines w:val="0"/>
              <w:tabs>
                <w:tab w:val="left" w:pos="567"/>
              </w:tabs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Poruchy krvi a lymfatického systému</w:t>
            </w:r>
          </w:p>
        </w:tc>
      </w:tr>
      <w:tr w:rsidR="00AC556C" w:rsidRPr="00694DB8" w14:paraId="01D4228E" w14:textId="77777777" w:rsidTr="00944735">
        <w:tc>
          <w:tcPr>
            <w:tcW w:w="567" w:type="dxa"/>
          </w:tcPr>
          <w:p w14:paraId="1CC3387A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085A5FCA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</w:tcPr>
          <w:p w14:paraId="0E197618" w14:textId="56C00BEE" w:rsidR="00AC556C" w:rsidRPr="00694DB8" w:rsidRDefault="00BA3165">
            <w:pPr>
              <w:tabs>
                <w:tab w:val="left" w:pos="567"/>
              </w:tabs>
              <w:ind w:left="0" w:firstLine="0"/>
              <w:rPr>
                <w:szCs w:val="22"/>
              </w:rPr>
            </w:pPr>
            <w:r w:rsidRPr="00694DB8">
              <w:rPr>
                <w:szCs w:val="22"/>
              </w:rPr>
              <w:t>agranulocytóza</w:t>
            </w:r>
            <w:r>
              <w:rPr>
                <w:szCs w:val="22"/>
              </w:rPr>
              <w:t>,</w:t>
            </w:r>
            <w:r w:rsidRPr="00694DB8">
              <w:rPr>
                <w:szCs w:val="22"/>
              </w:rPr>
              <w:t xml:space="preserve"> </w:t>
            </w:r>
            <w:r w:rsidR="001744D1" w:rsidRPr="00694DB8">
              <w:rPr>
                <w:szCs w:val="22"/>
              </w:rPr>
              <w:t>anémia (vrátane hemolytickej a</w:t>
            </w:r>
            <w:r w:rsidR="00D84B5F" w:rsidRPr="00694DB8">
              <w:rPr>
                <w:szCs w:val="22"/>
              </w:rPr>
              <w:t> </w:t>
            </w:r>
            <w:r w:rsidR="001744D1" w:rsidRPr="00694DB8">
              <w:rPr>
                <w:szCs w:val="22"/>
              </w:rPr>
              <w:t xml:space="preserve">aplastickej anémie), </w:t>
            </w:r>
            <w:r w:rsidRPr="00271F81">
              <w:rPr>
                <w:szCs w:val="22"/>
              </w:rPr>
              <w:t>leukopénia</w:t>
            </w:r>
            <w:r>
              <w:rPr>
                <w:szCs w:val="22"/>
              </w:rPr>
              <w:t xml:space="preserve">, </w:t>
            </w:r>
            <w:r w:rsidRPr="00271F81">
              <w:rPr>
                <w:szCs w:val="22"/>
              </w:rPr>
              <w:t>trombocytopénia</w:t>
            </w:r>
          </w:p>
        </w:tc>
      </w:tr>
      <w:tr w:rsidR="00AC556C" w:rsidRPr="00694DB8" w14:paraId="6DD06749" w14:textId="77777777" w:rsidTr="00944735">
        <w:trPr>
          <w:cantSplit/>
        </w:trPr>
        <w:tc>
          <w:tcPr>
            <w:tcW w:w="9072" w:type="dxa"/>
            <w:gridSpan w:val="3"/>
          </w:tcPr>
          <w:p w14:paraId="423E5F07" w14:textId="77777777" w:rsidR="00AC556C" w:rsidRPr="00694DB8" w:rsidRDefault="001744D1" w:rsidP="00AF110C">
            <w:pPr>
              <w:pStyle w:val="Table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Poruchy imunitného systému</w:t>
            </w:r>
          </w:p>
        </w:tc>
      </w:tr>
      <w:tr w:rsidR="00AC556C" w:rsidRPr="00694DB8" w14:paraId="5856AF62" w14:textId="77777777" w:rsidTr="00944735">
        <w:tc>
          <w:tcPr>
            <w:tcW w:w="567" w:type="dxa"/>
          </w:tcPr>
          <w:p w14:paraId="6F1740E5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A218840" w14:textId="70DFEC60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5953" w:type="dxa"/>
          </w:tcPr>
          <w:p w14:paraId="2374F138" w14:textId="4C235105" w:rsidR="00AC556C" w:rsidRPr="00694DB8" w:rsidRDefault="001744D1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anafylaktické</w:t>
            </w:r>
            <w:r w:rsidR="00200FD3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 </w:t>
            </w: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anafylaktoidné reakcie (vrátane hypotenzie a šoku)</w:t>
            </w:r>
            <w:r w:rsidR="00BA316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BA3165" w:rsidRPr="00271F81">
              <w:rPr>
                <w:rFonts w:ascii="Times New Roman" w:hAnsi="Times New Roman"/>
                <w:sz w:val="22"/>
                <w:szCs w:val="22"/>
                <w:lang w:val="sk-SK"/>
              </w:rPr>
              <w:t>precitlivenosť</w:t>
            </w:r>
          </w:p>
        </w:tc>
      </w:tr>
      <w:tr w:rsidR="00AC556C" w:rsidRPr="00694DB8" w14:paraId="7537FB3E" w14:textId="77777777" w:rsidTr="00944735">
        <w:tc>
          <w:tcPr>
            <w:tcW w:w="567" w:type="dxa"/>
          </w:tcPr>
          <w:p w14:paraId="10932BBB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79015256" w14:textId="77777777" w:rsidR="00AC556C" w:rsidRPr="00694DB8" w:rsidRDefault="002E327E" w:rsidP="002B5B94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</w:tcPr>
          <w:p w14:paraId="42C0B04B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1744D1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ngioedém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</w:t>
            </w:r>
            <w:r w:rsidR="001744D1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vrátane edému tváre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) </w:t>
            </w:r>
          </w:p>
        </w:tc>
      </w:tr>
      <w:tr w:rsidR="00AC556C" w:rsidRPr="00694DB8" w14:paraId="3BD70F11" w14:textId="77777777" w:rsidTr="00944735">
        <w:trPr>
          <w:cantSplit/>
        </w:trPr>
        <w:tc>
          <w:tcPr>
            <w:tcW w:w="9072" w:type="dxa"/>
            <w:gridSpan w:val="3"/>
          </w:tcPr>
          <w:p w14:paraId="6402006C" w14:textId="77777777" w:rsidR="00AC556C" w:rsidRPr="00694DB8" w:rsidRDefault="001744D1" w:rsidP="00AF110C">
            <w:pPr>
              <w:pStyle w:val="Table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Psychické poruchy</w:t>
            </w:r>
          </w:p>
        </w:tc>
      </w:tr>
      <w:tr w:rsidR="00AC556C" w:rsidRPr="00694DB8" w14:paraId="05ACA9BC" w14:textId="77777777" w:rsidTr="00944735">
        <w:tc>
          <w:tcPr>
            <w:tcW w:w="567" w:type="dxa"/>
          </w:tcPr>
          <w:p w14:paraId="4469E53A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D8BCB0C" w14:textId="77777777" w:rsidR="00AC556C" w:rsidRPr="00694DB8" w:rsidRDefault="002E327E" w:rsidP="002B5B94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</w:tcPr>
          <w:p w14:paraId="66F95131" w14:textId="01E808E8" w:rsidR="00AC556C" w:rsidRPr="00694DB8" w:rsidRDefault="00BA3165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C33B2">
              <w:rPr>
                <w:rFonts w:ascii="Times New Roman" w:hAnsi="Times New Roman"/>
                <w:sz w:val="22"/>
                <w:szCs w:val="22"/>
                <w:lang w:val="sk-SK"/>
              </w:rPr>
              <w:t>psychotické poruchy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Pr="00271F8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2E327E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="00EE366B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ezorientácia, depresia, </w:t>
            </w:r>
            <w:r w:rsidR="005706D9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insomnia</w:t>
            </w:r>
            <w:r w:rsidR="00EE366B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5706D9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nočné mory</w:t>
            </w:r>
            <w:r w:rsidR="00EE366B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5706D9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iritabilita</w:t>
            </w:r>
          </w:p>
        </w:tc>
      </w:tr>
      <w:tr w:rsidR="00AC556C" w:rsidRPr="00694DB8" w14:paraId="0C8D6776" w14:textId="77777777" w:rsidTr="00944735">
        <w:trPr>
          <w:cantSplit/>
        </w:trPr>
        <w:tc>
          <w:tcPr>
            <w:tcW w:w="9072" w:type="dxa"/>
            <w:gridSpan w:val="3"/>
          </w:tcPr>
          <w:p w14:paraId="4BF8381C" w14:textId="77777777" w:rsidR="00AC556C" w:rsidRPr="00694DB8" w:rsidRDefault="001744D1" w:rsidP="00AF110C">
            <w:pPr>
              <w:pStyle w:val="Table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lastRenderedPageBreak/>
              <w:t>Poruchy nervového systému</w:t>
            </w:r>
          </w:p>
        </w:tc>
      </w:tr>
      <w:tr w:rsidR="00AC556C" w:rsidRPr="00694DB8" w14:paraId="3DC6DD1F" w14:textId="77777777" w:rsidTr="00944735">
        <w:tc>
          <w:tcPr>
            <w:tcW w:w="567" w:type="dxa"/>
          </w:tcPr>
          <w:p w14:paraId="27C6D2D1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11925134" w14:textId="086DE347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Č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asté</w:t>
            </w:r>
          </w:p>
        </w:tc>
        <w:tc>
          <w:tcPr>
            <w:tcW w:w="5953" w:type="dxa"/>
          </w:tcPr>
          <w:p w14:paraId="3541F0FD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b</w:t>
            </w:r>
            <w:r w:rsidR="00EE366B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olesť hlavy, závraty</w:t>
            </w:r>
          </w:p>
        </w:tc>
      </w:tr>
      <w:tr w:rsidR="00AC556C" w:rsidRPr="00694DB8" w14:paraId="22157D03" w14:textId="77777777" w:rsidTr="00944735">
        <w:tc>
          <w:tcPr>
            <w:tcW w:w="567" w:type="dxa"/>
          </w:tcPr>
          <w:p w14:paraId="111DC57B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3E2DC3A5" w14:textId="0476E8F5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5953" w:type="dxa"/>
          </w:tcPr>
          <w:p w14:paraId="7CB7611C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s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omnolenc</w:t>
            </w:r>
            <w:r w:rsidR="00EE366B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ia</w:t>
            </w:r>
          </w:p>
        </w:tc>
      </w:tr>
      <w:tr w:rsidR="00AC556C" w:rsidRPr="00694DB8" w14:paraId="6949496E" w14:textId="77777777" w:rsidTr="00944735">
        <w:tc>
          <w:tcPr>
            <w:tcW w:w="567" w:type="dxa"/>
          </w:tcPr>
          <w:p w14:paraId="2D69B016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A950738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</w:tcPr>
          <w:p w14:paraId="5242D745" w14:textId="171EE18A" w:rsidR="00AC556C" w:rsidRPr="00694DB8" w:rsidRDefault="00BA3165" w:rsidP="00AF110C">
            <w:pPr>
              <w:pStyle w:val="Table"/>
              <w:keepNext w:val="0"/>
              <w:keepLines w:val="0"/>
              <w:tabs>
                <w:tab w:val="left" w:pos="567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71F81">
              <w:rPr>
                <w:rFonts w:ascii="Times New Roman" w:hAnsi="Times New Roman"/>
                <w:sz w:val="22"/>
                <w:szCs w:val="22"/>
                <w:lang w:val="sk-SK"/>
              </w:rPr>
              <w:t>cerebrovaskulárna príhoda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Pr="00271F8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9C33B2">
              <w:rPr>
                <w:rFonts w:ascii="Times New Roman" w:hAnsi="Times New Roman"/>
                <w:sz w:val="22"/>
                <w:szCs w:val="22"/>
                <w:lang w:val="sk-SK"/>
              </w:rPr>
              <w:t>aseptická meningitída,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9C33B2">
              <w:rPr>
                <w:rFonts w:ascii="Times New Roman" w:hAnsi="Times New Roman"/>
                <w:sz w:val="22"/>
                <w:szCs w:val="22"/>
                <w:lang w:val="sk-SK"/>
              </w:rPr>
              <w:t>kŕče, úzkosť,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271F81">
              <w:rPr>
                <w:rFonts w:ascii="Times New Roman" w:hAnsi="Times New Roman"/>
                <w:sz w:val="22"/>
                <w:szCs w:val="22"/>
                <w:lang w:val="sk-SK"/>
              </w:rPr>
              <w:t>zhoršenie</w:t>
            </w:r>
            <w:r w:rsidRPr="009C33B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pamäti,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9C33B2">
              <w:rPr>
                <w:rFonts w:ascii="Times New Roman" w:hAnsi="Times New Roman"/>
                <w:sz w:val="22"/>
                <w:szCs w:val="22"/>
                <w:lang w:val="sk-SK"/>
              </w:rPr>
              <w:t>tremor,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2E327E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EE366B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arestézie, </w:t>
            </w:r>
            <w:r w:rsidR="00723C14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="008A5DE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y</w:t>
            </w:r>
            <w:r w:rsidR="00723C14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s</w:t>
            </w:r>
            <w:r w:rsidR="008A5DE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g</w:t>
            </w:r>
            <w:r w:rsidR="00723C14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8A5DE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ú</w:t>
            </w:r>
            <w:r w:rsidR="00723C14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zia</w:t>
            </w:r>
          </w:p>
        </w:tc>
      </w:tr>
      <w:tr w:rsidR="00AC556C" w:rsidRPr="00694DB8" w14:paraId="106FC7A4" w14:textId="77777777" w:rsidTr="00944735">
        <w:trPr>
          <w:cantSplit/>
        </w:trPr>
        <w:tc>
          <w:tcPr>
            <w:tcW w:w="9072" w:type="dxa"/>
            <w:gridSpan w:val="3"/>
          </w:tcPr>
          <w:p w14:paraId="3B92F939" w14:textId="77777777" w:rsidR="00AC556C" w:rsidRPr="00694DB8" w:rsidRDefault="0027754C" w:rsidP="00AF110C">
            <w:pPr>
              <w:pStyle w:val="Table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 xml:space="preserve">Poruchy </w:t>
            </w:r>
            <w:r w:rsidR="001744D1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oka</w:t>
            </w:r>
          </w:p>
        </w:tc>
      </w:tr>
      <w:tr w:rsidR="00AC556C" w:rsidRPr="00694DB8" w14:paraId="73832CCD" w14:textId="77777777" w:rsidTr="00944735">
        <w:tc>
          <w:tcPr>
            <w:tcW w:w="567" w:type="dxa"/>
          </w:tcPr>
          <w:p w14:paraId="2B4AA071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8F9DBED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</w:tcPr>
          <w:p w14:paraId="5476FADF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1C034A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h</w:t>
            </w:r>
            <w:r w:rsidR="002607F4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or</w:t>
            </w:r>
            <w:r w:rsidR="001C034A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šenie zraku</w:t>
            </w:r>
            <w:r w:rsidR="00EE366B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, neostré videnie, diplopia</w:t>
            </w:r>
          </w:p>
        </w:tc>
      </w:tr>
      <w:tr w:rsidR="00AC556C" w:rsidRPr="00694DB8" w14:paraId="559FA923" w14:textId="77777777" w:rsidTr="00944735">
        <w:trPr>
          <w:cantSplit/>
        </w:trPr>
        <w:tc>
          <w:tcPr>
            <w:tcW w:w="9072" w:type="dxa"/>
            <w:gridSpan w:val="3"/>
          </w:tcPr>
          <w:p w14:paraId="54DDA214" w14:textId="77777777" w:rsidR="00AC556C" w:rsidRPr="00694DB8" w:rsidRDefault="00EE366B" w:rsidP="00AF110C">
            <w:pPr>
              <w:pStyle w:val="Table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Poruchy ucha a vnútorného ucha</w:t>
            </w:r>
          </w:p>
        </w:tc>
      </w:tr>
      <w:tr w:rsidR="00AC556C" w:rsidRPr="00694DB8" w14:paraId="501580AA" w14:textId="77777777" w:rsidTr="00944735">
        <w:tc>
          <w:tcPr>
            <w:tcW w:w="567" w:type="dxa"/>
          </w:tcPr>
          <w:p w14:paraId="692895AE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503189D" w14:textId="37304ACD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Č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asté</w:t>
            </w:r>
          </w:p>
        </w:tc>
        <w:tc>
          <w:tcPr>
            <w:tcW w:w="5953" w:type="dxa"/>
          </w:tcPr>
          <w:p w14:paraId="72D42828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ertigo </w:t>
            </w:r>
          </w:p>
        </w:tc>
      </w:tr>
      <w:tr w:rsidR="00AC556C" w:rsidRPr="00694DB8" w14:paraId="6A4DA9FB" w14:textId="77777777" w:rsidTr="00944735">
        <w:tc>
          <w:tcPr>
            <w:tcW w:w="567" w:type="dxa"/>
          </w:tcPr>
          <w:p w14:paraId="63F5D698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63730A1" w14:textId="16BF1B2A" w:rsidR="00BA3165" w:rsidRPr="00694DB8" w:rsidRDefault="002E327E" w:rsidP="00322C70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</w:tcPr>
          <w:p w14:paraId="44EA445E" w14:textId="2E6DD5BB" w:rsidR="00BA3165" w:rsidRPr="00694DB8" w:rsidRDefault="00EE366B" w:rsidP="00322C70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zhoršenie sluchu</w:t>
            </w:r>
            <w:r w:rsidR="00BA316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BA3165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tin</w:t>
            </w:r>
            <w:r w:rsidR="00BA3165">
              <w:rPr>
                <w:rFonts w:ascii="Times New Roman" w:hAnsi="Times New Roman"/>
                <w:sz w:val="22"/>
                <w:szCs w:val="22"/>
                <w:lang w:val="sk-SK"/>
              </w:rPr>
              <w:t>n</w:t>
            </w:r>
            <w:r w:rsidR="00BA3165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itus</w:t>
            </w:r>
          </w:p>
        </w:tc>
      </w:tr>
      <w:tr w:rsidR="00AC556C" w:rsidRPr="00694DB8" w14:paraId="5FA02EC5" w14:textId="77777777" w:rsidTr="00944735">
        <w:trPr>
          <w:cantSplit/>
        </w:trPr>
        <w:tc>
          <w:tcPr>
            <w:tcW w:w="9072" w:type="dxa"/>
            <w:gridSpan w:val="3"/>
          </w:tcPr>
          <w:p w14:paraId="407EE83C" w14:textId="77777777" w:rsidR="00AC556C" w:rsidRPr="00694DB8" w:rsidRDefault="001744D1" w:rsidP="00AF110C">
            <w:pPr>
              <w:pStyle w:val="Table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Poruchy srdca</w:t>
            </w:r>
            <w:r w:rsidR="009F503F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 xml:space="preserve"> a srd</w:t>
            </w:r>
            <w:r w:rsidR="0028015C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c</w:t>
            </w:r>
            <w:r w:rsidR="009F503F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ovej činnosti</w:t>
            </w:r>
          </w:p>
        </w:tc>
      </w:tr>
      <w:tr w:rsidR="00713969" w:rsidRPr="00694DB8" w14:paraId="494D25A7" w14:textId="77777777" w:rsidTr="00944735">
        <w:tc>
          <w:tcPr>
            <w:tcW w:w="567" w:type="dxa"/>
          </w:tcPr>
          <w:p w14:paraId="1F2F27C4" w14:textId="77777777" w:rsidR="00713969" w:rsidRPr="00694DB8" w:rsidRDefault="00713969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F1548C4" w14:textId="77777777" w:rsidR="00713969" w:rsidRPr="000A778B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A778B">
              <w:rPr>
                <w:rFonts w:ascii="Times New Roman" w:hAnsi="Times New Roman"/>
                <w:sz w:val="22"/>
                <w:szCs w:val="22"/>
                <w:lang w:val="sk-SK"/>
              </w:rPr>
              <w:t>m</w:t>
            </w:r>
            <w:r w:rsidR="00713969" w:rsidRPr="000A778B">
              <w:rPr>
                <w:rFonts w:ascii="Times New Roman" w:hAnsi="Times New Roman"/>
                <w:sz w:val="22"/>
                <w:szCs w:val="22"/>
                <w:lang w:val="sk-SK"/>
              </w:rPr>
              <w:t>enej časté</w:t>
            </w:r>
            <w:r w:rsidR="00FE57CD" w:rsidRPr="000A778B">
              <w:rPr>
                <w:rFonts w:ascii="Times New Roman" w:hAnsi="Times New Roman"/>
                <w:sz w:val="22"/>
                <w:szCs w:val="22"/>
                <w:lang w:val="sk-SK"/>
              </w:rPr>
              <w:t>*</w:t>
            </w:r>
          </w:p>
          <w:p w14:paraId="1E957ABF" w14:textId="77777777" w:rsidR="00BA3165" w:rsidRPr="000A778B" w:rsidRDefault="00BA3165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A778B">
              <w:rPr>
                <w:rFonts w:ascii="Times New Roman" w:hAnsi="Times New Roman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5953" w:type="dxa"/>
          </w:tcPr>
          <w:p w14:paraId="6792A875" w14:textId="77777777" w:rsidR="00713969" w:rsidRPr="000A778B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0A778B">
              <w:rPr>
                <w:rFonts w:ascii="Times New Roman" w:hAnsi="Times New Roman"/>
                <w:sz w:val="22"/>
                <w:szCs w:val="22"/>
                <w:lang w:val="sk-SK"/>
              </w:rPr>
              <w:t>i</w:t>
            </w:r>
            <w:r w:rsidR="00713969" w:rsidRPr="000A778B">
              <w:rPr>
                <w:rFonts w:ascii="Times New Roman" w:hAnsi="Times New Roman"/>
                <w:sz w:val="22"/>
                <w:szCs w:val="22"/>
                <w:lang w:val="sk-SK"/>
              </w:rPr>
              <w:t>nfarkt myokardu, zlyhanie srdca, palpitácie, bolesť na hrudi</w:t>
            </w:r>
          </w:p>
          <w:p w14:paraId="6AC60225" w14:textId="7F3EC1BD" w:rsidR="00BA3165" w:rsidRPr="000A778B" w:rsidRDefault="00B26733" w:rsidP="00322C70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41A55">
              <w:rPr>
                <w:rFonts w:ascii="Times New Roman" w:hAnsi="Times New Roman"/>
                <w:sz w:val="22"/>
                <w:szCs w:val="22"/>
              </w:rPr>
              <w:t>K</w:t>
            </w:r>
            <w:r w:rsidR="00BA3165" w:rsidRPr="00541A55">
              <w:rPr>
                <w:rFonts w:ascii="Times New Roman" w:hAnsi="Times New Roman"/>
                <w:sz w:val="22"/>
                <w:szCs w:val="22"/>
              </w:rPr>
              <w:t>ounisov</w:t>
            </w:r>
            <w:r w:rsidR="00BA3165" w:rsidRPr="000A778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syndróm</w:t>
            </w:r>
          </w:p>
        </w:tc>
      </w:tr>
      <w:tr w:rsidR="00AC556C" w:rsidRPr="00694DB8" w14:paraId="31BB5448" w14:textId="77777777" w:rsidTr="00944735">
        <w:trPr>
          <w:cantSplit/>
        </w:trPr>
        <w:tc>
          <w:tcPr>
            <w:tcW w:w="9072" w:type="dxa"/>
            <w:gridSpan w:val="3"/>
          </w:tcPr>
          <w:p w14:paraId="2FAA4239" w14:textId="77777777" w:rsidR="00AC556C" w:rsidRPr="00694DB8" w:rsidRDefault="00E91F91" w:rsidP="00AF110C">
            <w:pPr>
              <w:pStyle w:val="Table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Poruchy ciev</w:t>
            </w:r>
          </w:p>
        </w:tc>
      </w:tr>
      <w:tr w:rsidR="00AC556C" w:rsidRPr="00694DB8" w14:paraId="11B25E4E" w14:textId="77777777" w:rsidTr="00944735">
        <w:tc>
          <w:tcPr>
            <w:tcW w:w="567" w:type="dxa"/>
          </w:tcPr>
          <w:p w14:paraId="7A9D243F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798479C6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</w:tcPr>
          <w:p w14:paraId="48C39184" w14:textId="259B59D6" w:rsidR="00BA3165" w:rsidRPr="00694DB8" w:rsidRDefault="002E327E" w:rsidP="00322C70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h</w:t>
            </w:r>
            <w:r w:rsidR="00EE366B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ypertenzia,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1744D1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vaskulitída</w:t>
            </w:r>
          </w:p>
        </w:tc>
      </w:tr>
      <w:tr w:rsidR="00AC556C" w:rsidRPr="00694DB8" w14:paraId="4A64E8A1" w14:textId="77777777" w:rsidTr="00944735">
        <w:trPr>
          <w:cantSplit/>
        </w:trPr>
        <w:tc>
          <w:tcPr>
            <w:tcW w:w="9072" w:type="dxa"/>
            <w:gridSpan w:val="3"/>
          </w:tcPr>
          <w:p w14:paraId="02D898A7" w14:textId="77777777" w:rsidR="00AC556C" w:rsidRPr="00694DB8" w:rsidRDefault="001744D1" w:rsidP="00AF110C">
            <w:pPr>
              <w:pStyle w:val="Table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Poruchy dýchacej sústavy, hrudníka a</w:t>
            </w:r>
            <w:r w:rsidR="003D1769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 </w:t>
            </w: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mediastína</w:t>
            </w:r>
          </w:p>
        </w:tc>
      </w:tr>
      <w:tr w:rsidR="00AC556C" w:rsidRPr="00694DB8" w14:paraId="3DF1067A" w14:textId="77777777" w:rsidTr="00944735">
        <w:tc>
          <w:tcPr>
            <w:tcW w:w="567" w:type="dxa"/>
          </w:tcPr>
          <w:p w14:paraId="1C3D378B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73888BD0" w14:textId="21DD417B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5953" w:type="dxa"/>
          </w:tcPr>
          <w:p w14:paraId="58688CDE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stma (</w:t>
            </w:r>
            <w:r w:rsidR="003A74CA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vrátane 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dyspnoe) </w:t>
            </w:r>
          </w:p>
        </w:tc>
      </w:tr>
      <w:tr w:rsidR="00AC556C" w:rsidRPr="00694DB8" w14:paraId="6B4777C1" w14:textId="77777777" w:rsidTr="00944735">
        <w:tc>
          <w:tcPr>
            <w:tcW w:w="567" w:type="dxa"/>
          </w:tcPr>
          <w:p w14:paraId="62924A63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13CB087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</w:tcPr>
          <w:p w14:paraId="117FB4CB" w14:textId="407DCE69" w:rsidR="00BA3165" w:rsidRPr="00694DB8" w:rsidRDefault="00BA3165" w:rsidP="00322C70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p</w:t>
            </w:r>
            <w:r w:rsidR="001744D1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neumonitída</w:t>
            </w:r>
          </w:p>
        </w:tc>
      </w:tr>
      <w:tr w:rsidR="00AC556C" w:rsidRPr="00694DB8" w14:paraId="794D606E" w14:textId="77777777" w:rsidTr="00944735">
        <w:trPr>
          <w:cantSplit/>
        </w:trPr>
        <w:tc>
          <w:tcPr>
            <w:tcW w:w="9072" w:type="dxa"/>
            <w:gridSpan w:val="3"/>
          </w:tcPr>
          <w:p w14:paraId="2FCA272B" w14:textId="77777777" w:rsidR="00AC556C" w:rsidRPr="00694DB8" w:rsidRDefault="00490CAE" w:rsidP="00AF110C">
            <w:pPr>
              <w:pStyle w:val="Table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Poruchy g</w:t>
            </w:r>
            <w:r w:rsidR="001744D1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astrointestinálne</w:t>
            </w: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ho traktu</w:t>
            </w:r>
          </w:p>
        </w:tc>
      </w:tr>
      <w:tr w:rsidR="00AC556C" w:rsidRPr="00694DB8" w14:paraId="5044288C" w14:textId="77777777" w:rsidTr="00944735">
        <w:tc>
          <w:tcPr>
            <w:tcW w:w="567" w:type="dxa"/>
          </w:tcPr>
          <w:p w14:paraId="28794490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F4811AB" w14:textId="047C4A0D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Č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asté</w:t>
            </w:r>
          </w:p>
        </w:tc>
        <w:tc>
          <w:tcPr>
            <w:tcW w:w="5953" w:type="dxa"/>
          </w:tcPr>
          <w:p w14:paraId="1ADAA04B" w14:textId="66F186D7" w:rsidR="00AC556C" w:rsidRPr="00694DB8" w:rsidRDefault="003A74CA" w:rsidP="00AF110C">
            <w:pPr>
              <w:tabs>
                <w:tab w:val="left" w:pos="567"/>
              </w:tabs>
              <w:ind w:left="0" w:firstLine="0"/>
              <w:rPr>
                <w:szCs w:val="22"/>
              </w:rPr>
            </w:pPr>
            <w:r w:rsidRPr="00694DB8">
              <w:rPr>
                <w:szCs w:val="22"/>
              </w:rPr>
              <w:t xml:space="preserve">vracanie, hnačka, </w:t>
            </w:r>
            <w:r w:rsidR="00BA3165">
              <w:rPr>
                <w:szCs w:val="22"/>
              </w:rPr>
              <w:t xml:space="preserve">nauzea, </w:t>
            </w:r>
            <w:r w:rsidRPr="00694DB8">
              <w:rPr>
                <w:szCs w:val="22"/>
              </w:rPr>
              <w:t xml:space="preserve">dyspepsia, bolesť brucha, flatulencia, </w:t>
            </w:r>
            <w:r w:rsidR="00723C14" w:rsidRPr="00694DB8">
              <w:rPr>
                <w:szCs w:val="22"/>
              </w:rPr>
              <w:t>znížená chuť do jedla</w:t>
            </w:r>
          </w:p>
        </w:tc>
      </w:tr>
      <w:tr w:rsidR="00AC556C" w:rsidRPr="00694DB8" w14:paraId="120BEC14" w14:textId="77777777" w:rsidTr="00944735">
        <w:tc>
          <w:tcPr>
            <w:tcW w:w="567" w:type="dxa"/>
          </w:tcPr>
          <w:p w14:paraId="61D471C0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2E1CCC5C" w14:textId="1AD297BC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5953" w:type="dxa"/>
          </w:tcPr>
          <w:p w14:paraId="21D8B7B2" w14:textId="2FE6A6B3" w:rsidR="00AC556C" w:rsidRPr="00694DB8" w:rsidRDefault="003A74CA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gastrointestinálne krvácanie, hemateméza, 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krvavá hnačka, </w:t>
            </w: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meléna, vred žalúdka 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s</w:t>
            </w:r>
            <w:r w:rsidR="003D1769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="00BA4345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krvácaním </w:t>
            </w:r>
            <w:r w:rsidR="00316280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alebo </w:t>
            </w:r>
            <w:r w:rsidR="00BA3165">
              <w:rPr>
                <w:rFonts w:ascii="Times New Roman" w:hAnsi="Times New Roman"/>
                <w:sz w:val="22"/>
                <w:szCs w:val="22"/>
                <w:lang w:val="sk-SK"/>
              </w:rPr>
              <w:t>bez krvácania</w:t>
            </w:r>
            <w:r w:rsidR="000B0FB1">
              <w:rPr>
                <w:rFonts w:ascii="Times New Roman" w:hAnsi="Times New Roman"/>
                <w:sz w:val="22"/>
                <w:szCs w:val="22"/>
                <w:lang w:val="sk-SK"/>
              </w:rPr>
              <w:t>)</w:t>
            </w:r>
            <w:r w:rsidR="00BA316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085047">
              <w:rPr>
                <w:rFonts w:ascii="Times New Roman" w:hAnsi="Times New Roman"/>
                <w:sz w:val="22"/>
                <w:szCs w:val="22"/>
                <w:lang w:val="sk-SK"/>
              </w:rPr>
              <w:t>gastrointestináln</w:t>
            </w:r>
            <w:r w:rsidR="003967A8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08504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stenóz</w:t>
            </w:r>
            <w:r w:rsidR="003967A8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08504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alebo perforáci</w:t>
            </w:r>
            <w:r w:rsidR="003967A8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085047">
              <w:rPr>
                <w:rFonts w:ascii="Times New Roman" w:hAnsi="Times New Roman"/>
                <w:sz w:val="22"/>
                <w:szCs w:val="22"/>
                <w:lang w:val="sk-SK"/>
              </w:rPr>
              <w:t>, ktor</w:t>
            </w:r>
            <w:r w:rsidR="003967A8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="0008504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môž</w:t>
            </w:r>
            <w:r w:rsidR="003967A8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="00085047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viesť k zápalu pobrušnice, </w:t>
            </w:r>
            <w:r w:rsidR="00BA3165" w:rsidRPr="003D53A7">
              <w:rPr>
                <w:rFonts w:ascii="Times New Roman" w:hAnsi="Times New Roman"/>
                <w:sz w:val="22"/>
                <w:szCs w:val="22"/>
                <w:lang w:val="sk-SK"/>
              </w:rPr>
              <w:t>g</w:t>
            </w:r>
            <w:r w:rsidR="00BA3165" w:rsidRPr="00271F81">
              <w:rPr>
                <w:rFonts w:ascii="Times New Roman" w:hAnsi="Times New Roman"/>
                <w:sz w:val="22"/>
                <w:szCs w:val="22"/>
                <w:lang w:val="sk-SK"/>
              </w:rPr>
              <w:t>astritída</w:t>
            </w:r>
          </w:p>
        </w:tc>
      </w:tr>
      <w:tr w:rsidR="00AC556C" w:rsidRPr="00694DB8" w14:paraId="51AEB45A" w14:textId="77777777" w:rsidTr="00944735">
        <w:tc>
          <w:tcPr>
            <w:tcW w:w="567" w:type="dxa"/>
          </w:tcPr>
          <w:p w14:paraId="6E6C6885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FF2AB6E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</w:tcPr>
          <w:p w14:paraId="2BA77134" w14:textId="6A49AAFC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k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olit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ída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vrátane hemoragickej kolitídy a exacerbácie ulceróznej kolitídy alebo Crohnovej choroby), </w:t>
            </w:r>
            <w:r w:rsidR="00BA3165" w:rsidRPr="00271F81">
              <w:rPr>
                <w:rFonts w:ascii="Times New Roman" w:hAnsi="Times New Roman"/>
                <w:sz w:val="22"/>
                <w:szCs w:val="22"/>
                <w:lang w:val="sk-SK"/>
              </w:rPr>
              <w:t>pankreatitída</w:t>
            </w:r>
            <w:r w:rsidR="00BA316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ezofag</w:t>
            </w:r>
            <w:r w:rsidR="00745D28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álne poruchy, pablanovité črevné </w:t>
            </w:r>
            <w:r w:rsidR="001C034A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ochorenie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BA3165" w:rsidRPr="009C33B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BA3165" w:rsidRPr="00271F81">
              <w:rPr>
                <w:rFonts w:ascii="Times New Roman" w:hAnsi="Times New Roman"/>
                <w:sz w:val="22"/>
                <w:szCs w:val="22"/>
                <w:lang w:val="sk-SK"/>
              </w:rPr>
              <w:t>zápcha, stomatitída</w:t>
            </w:r>
            <w:r w:rsidR="00BA3165" w:rsidRPr="009C33B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(vrátane ulceróznej stomatitídy),</w:t>
            </w:r>
            <w:r w:rsidR="00BA316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BA3165" w:rsidRPr="009C33B2">
              <w:rPr>
                <w:rFonts w:ascii="Times New Roman" w:hAnsi="Times New Roman"/>
                <w:sz w:val="22"/>
                <w:szCs w:val="22"/>
                <w:lang w:val="sk-SK"/>
              </w:rPr>
              <w:t>glositída</w:t>
            </w:r>
          </w:p>
        </w:tc>
      </w:tr>
      <w:tr w:rsidR="006E7E7C" w:rsidRPr="00694DB8" w14:paraId="1E531748" w14:textId="77777777" w:rsidTr="00944735">
        <w:tc>
          <w:tcPr>
            <w:tcW w:w="567" w:type="dxa"/>
          </w:tcPr>
          <w:p w14:paraId="3649C014" w14:textId="77777777" w:rsidR="006E7E7C" w:rsidRPr="00694DB8" w:rsidRDefault="006E7E7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65AA1DF" w14:textId="3F7D66BC" w:rsidR="006E7E7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N</w:t>
            </w:r>
            <w:r w:rsidR="006E7E7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5953" w:type="dxa"/>
          </w:tcPr>
          <w:p w14:paraId="1E00C35A" w14:textId="77777777" w:rsidR="006E7E7C" w:rsidRPr="00694DB8" w:rsidRDefault="006E7E7C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ischemická kolitída</w:t>
            </w:r>
          </w:p>
        </w:tc>
      </w:tr>
      <w:tr w:rsidR="00AC556C" w:rsidRPr="00694DB8" w14:paraId="09C21B0F" w14:textId="77777777" w:rsidTr="00944735">
        <w:trPr>
          <w:cantSplit/>
        </w:trPr>
        <w:tc>
          <w:tcPr>
            <w:tcW w:w="9072" w:type="dxa"/>
            <w:gridSpan w:val="3"/>
          </w:tcPr>
          <w:p w14:paraId="444798EA" w14:textId="77777777" w:rsidR="00AC556C" w:rsidRPr="00694DB8" w:rsidRDefault="001744D1" w:rsidP="00AF110C">
            <w:pPr>
              <w:pStyle w:val="Table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Poruchy pečene a žlčových ciest</w:t>
            </w:r>
          </w:p>
        </w:tc>
      </w:tr>
      <w:tr w:rsidR="00AC556C" w:rsidRPr="00694DB8" w14:paraId="2223725B" w14:textId="77777777" w:rsidTr="00944735">
        <w:tc>
          <w:tcPr>
            <w:tcW w:w="567" w:type="dxa"/>
          </w:tcPr>
          <w:p w14:paraId="7694BDF3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34819A0" w14:textId="17DF918B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Č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asté</w:t>
            </w:r>
          </w:p>
        </w:tc>
        <w:tc>
          <w:tcPr>
            <w:tcW w:w="5953" w:type="dxa"/>
          </w:tcPr>
          <w:p w14:paraId="400BDCD3" w14:textId="77777777" w:rsidR="00AC556C" w:rsidRPr="00694DB8" w:rsidRDefault="002E327E" w:rsidP="00AF110C">
            <w:pPr>
              <w:tabs>
                <w:tab w:val="left" w:pos="567"/>
              </w:tabs>
              <w:ind w:left="0" w:firstLine="0"/>
              <w:jc w:val="both"/>
              <w:rPr>
                <w:szCs w:val="22"/>
              </w:rPr>
            </w:pPr>
            <w:r w:rsidRPr="00694DB8">
              <w:rPr>
                <w:szCs w:val="22"/>
              </w:rPr>
              <w:t>z</w:t>
            </w:r>
            <w:r w:rsidR="00A9416D" w:rsidRPr="00694DB8">
              <w:rPr>
                <w:szCs w:val="22"/>
              </w:rPr>
              <w:t xml:space="preserve">výšenie hodnôt </w:t>
            </w:r>
            <w:r w:rsidR="00527BE1" w:rsidRPr="00694DB8">
              <w:rPr>
                <w:szCs w:val="22"/>
              </w:rPr>
              <w:t>transamináz</w:t>
            </w:r>
            <w:r w:rsidR="00AC556C" w:rsidRPr="00694DB8">
              <w:rPr>
                <w:szCs w:val="22"/>
              </w:rPr>
              <w:t xml:space="preserve"> </w:t>
            </w:r>
          </w:p>
        </w:tc>
      </w:tr>
      <w:tr w:rsidR="00AC556C" w:rsidRPr="00694DB8" w14:paraId="25A3AED5" w14:textId="77777777" w:rsidTr="00944735">
        <w:tc>
          <w:tcPr>
            <w:tcW w:w="567" w:type="dxa"/>
          </w:tcPr>
          <w:p w14:paraId="44E6CF85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65B3FF93" w14:textId="6F97DCBE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5953" w:type="dxa"/>
          </w:tcPr>
          <w:p w14:paraId="45609793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h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epatitída, žltačka, porucha </w:t>
            </w:r>
            <w:r w:rsidR="00634177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funkcie 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pečene</w:t>
            </w:r>
          </w:p>
        </w:tc>
      </w:tr>
      <w:tr w:rsidR="00AC556C" w:rsidRPr="00694DB8" w14:paraId="10075845" w14:textId="77777777" w:rsidTr="00944735">
        <w:tc>
          <w:tcPr>
            <w:tcW w:w="567" w:type="dxa"/>
          </w:tcPr>
          <w:p w14:paraId="1376DF59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2631520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</w:tcPr>
          <w:p w14:paraId="3E2E4484" w14:textId="79107124" w:rsidR="00AC556C" w:rsidRPr="00694DB8" w:rsidRDefault="00A52D9A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hepatálne zlyhanie</w:t>
            </w:r>
            <w:r w:rsidR="00BA316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="00BA3165" w:rsidRPr="00271F81">
              <w:rPr>
                <w:rFonts w:ascii="Times New Roman" w:hAnsi="Times New Roman"/>
                <w:sz w:val="22"/>
                <w:szCs w:val="22"/>
                <w:lang w:val="sk-SK"/>
              </w:rPr>
              <w:t>fulminantná hepatitída</w:t>
            </w:r>
            <w:r w:rsidR="00BA3165" w:rsidRPr="009C33B2">
              <w:rPr>
                <w:rFonts w:ascii="Times New Roman" w:hAnsi="Times New Roman"/>
                <w:sz w:val="22"/>
                <w:szCs w:val="22"/>
                <w:lang w:val="sk-SK"/>
              </w:rPr>
              <w:t>, hepatálna nekróza</w:t>
            </w:r>
          </w:p>
        </w:tc>
      </w:tr>
      <w:tr w:rsidR="00AC556C" w:rsidRPr="00694DB8" w14:paraId="087FD743" w14:textId="77777777" w:rsidTr="00944735">
        <w:trPr>
          <w:cantSplit/>
        </w:trPr>
        <w:tc>
          <w:tcPr>
            <w:tcW w:w="9072" w:type="dxa"/>
            <w:gridSpan w:val="3"/>
          </w:tcPr>
          <w:p w14:paraId="06766EA8" w14:textId="77777777" w:rsidR="00AC556C" w:rsidRPr="00694DB8" w:rsidRDefault="001744D1" w:rsidP="00AF110C">
            <w:pPr>
              <w:pStyle w:val="Table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Poruchy kože a podkožného tkaniva</w:t>
            </w:r>
          </w:p>
        </w:tc>
      </w:tr>
      <w:tr w:rsidR="00AC556C" w:rsidRPr="00694DB8" w14:paraId="03892686" w14:textId="77777777" w:rsidTr="00944735">
        <w:tc>
          <w:tcPr>
            <w:tcW w:w="567" w:type="dxa"/>
          </w:tcPr>
          <w:p w14:paraId="2B71C99B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475015DA" w14:textId="7E90CD29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Č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asté</w:t>
            </w:r>
          </w:p>
        </w:tc>
        <w:tc>
          <w:tcPr>
            <w:tcW w:w="5953" w:type="dxa"/>
          </w:tcPr>
          <w:p w14:paraId="66631E2A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xantém</w:t>
            </w:r>
          </w:p>
        </w:tc>
      </w:tr>
      <w:tr w:rsidR="00AC556C" w:rsidRPr="00694DB8" w14:paraId="68415629" w14:textId="77777777" w:rsidTr="000B4C97">
        <w:tc>
          <w:tcPr>
            <w:tcW w:w="567" w:type="dxa"/>
          </w:tcPr>
          <w:p w14:paraId="3F97A06C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6F21C7C" w14:textId="03D78809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5953" w:type="dxa"/>
            <w:tcBorders>
              <w:bottom w:val="nil"/>
            </w:tcBorders>
          </w:tcPr>
          <w:p w14:paraId="013BA54E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u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rti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ká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ria </w:t>
            </w:r>
          </w:p>
        </w:tc>
      </w:tr>
      <w:tr w:rsidR="00AC556C" w:rsidRPr="00694DB8" w14:paraId="682EAA6C" w14:textId="77777777" w:rsidTr="000B4C97">
        <w:trPr>
          <w:trHeight w:val="1489"/>
        </w:trPr>
        <w:tc>
          <w:tcPr>
            <w:tcW w:w="567" w:type="dxa"/>
          </w:tcPr>
          <w:p w14:paraId="2D933EE9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04E131B0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</w:tcBorders>
          </w:tcPr>
          <w:p w14:paraId="4E3BD386" w14:textId="35286C30" w:rsidR="00AC556C" w:rsidRPr="00694DB8" w:rsidRDefault="00BA3165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271F81">
              <w:rPr>
                <w:rFonts w:ascii="Times New Roman" w:hAnsi="Times New Roman"/>
                <w:sz w:val="22"/>
                <w:szCs w:val="22"/>
                <w:lang w:val="sk-SK"/>
              </w:rPr>
              <w:t>toxická epidermálna nekrolýza (Lyellov syndróm),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9C33B2">
              <w:rPr>
                <w:rFonts w:ascii="Times New Roman" w:hAnsi="Times New Roman"/>
                <w:sz w:val="22"/>
                <w:szCs w:val="22"/>
                <w:lang w:val="sk-SK"/>
              </w:rPr>
              <w:t>Stevensov</w:t>
            </w:r>
            <w:r w:rsidRPr="00271F81">
              <w:rPr>
                <w:rFonts w:ascii="Times New Roman" w:hAnsi="Times New Roman"/>
                <w:sz w:val="22"/>
                <w:szCs w:val="22"/>
                <w:lang w:val="sk-SK"/>
              </w:rPr>
              <w:t>-Johnsonov syndróm,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9C33B2">
              <w:rPr>
                <w:rFonts w:ascii="Times New Roman" w:hAnsi="Times New Roman"/>
                <w:sz w:val="22"/>
                <w:szCs w:val="22"/>
                <w:lang w:val="sk-SK"/>
              </w:rPr>
              <w:t>multiformný erytém,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271F81">
              <w:rPr>
                <w:rFonts w:ascii="Times New Roman" w:hAnsi="Times New Roman"/>
                <w:sz w:val="22"/>
                <w:szCs w:val="22"/>
                <w:lang w:val="sk-SK"/>
              </w:rPr>
              <w:t>Henochova-Schonleinova purpura,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2E327E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b</w:t>
            </w:r>
            <w:r w:rsidR="00723C14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ulózna dermatitída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r w:rsidRPr="00271F81">
              <w:rPr>
                <w:rFonts w:ascii="Times New Roman" w:hAnsi="Times New Roman"/>
                <w:sz w:val="22"/>
                <w:szCs w:val="22"/>
                <w:lang w:val="sk-SK"/>
              </w:rPr>
              <w:t>exfoliatívna dermatitída,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271F8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purpura, 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ekzém, erytém, </w:t>
            </w:r>
            <w:r w:rsidR="00723C14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alop</w:t>
            </w:r>
            <w:r w:rsidR="00704F90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="00723C14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cia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, reakcie</w:t>
            </w:r>
            <w:r w:rsidR="00AF110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 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fotosenzitivity, pruritus</w:t>
            </w:r>
          </w:p>
        </w:tc>
      </w:tr>
      <w:tr w:rsidR="00AC556C" w:rsidRPr="00694DB8" w14:paraId="5CC38ACB" w14:textId="77777777" w:rsidTr="000B4C97">
        <w:tc>
          <w:tcPr>
            <w:tcW w:w="907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CDCE8" w14:textId="77777777" w:rsidR="00AC556C" w:rsidRPr="00694DB8" w:rsidRDefault="001744D1" w:rsidP="00AF110C">
            <w:pPr>
              <w:pStyle w:val="Table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Poruchy obličiek a močových ciest</w:t>
            </w:r>
          </w:p>
        </w:tc>
      </w:tr>
      <w:tr w:rsidR="00AC556C" w:rsidRPr="00694DB8" w14:paraId="7F921D53" w14:textId="77777777" w:rsidTr="000B4C97">
        <w:tc>
          <w:tcPr>
            <w:tcW w:w="567" w:type="dxa"/>
          </w:tcPr>
          <w:p w14:paraId="54B077C5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</w:tcPr>
          <w:p w14:paraId="10EF9B3C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v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eľmi zriedkavé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</w:tcBorders>
          </w:tcPr>
          <w:p w14:paraId="5322F808" w14:textId="2E8D0C53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a</w:t>
            </w:r>
            <w:r w:rsidR="00A9416D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kútne zlyhanie obličiek, </w:t>
            </w:r>
            <w:r w:rsidR="00BA3165" w:rsidRPr="009C33B2">
              <w:rPr>
                <w:rFonts w:ascii="Times New Roman" w:hAnsi="Times New Roman"/>
                <w:sz w:val="22"/>
                <w:szCs w:val="22"/>
                <w:lang w:val="sk-SK"/>
              </w:rPr>
              <w:t>nekróza obličkovej papily</w:t>
            </w:r>
            <w:r w:rsidR="00BA3165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="00BA3165" w:rsidRPr="00271F81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tubulo</w:t>
            </w:r>
            <w:r w:rsidR="00BA3165" w:rsidRPr="009C33B2">
              <w:rPr>
                <w:rFonts w:ascii="Times New Roman" w:hAnsi="Times New Roman"/>
                <w:sz w:val="22"/>
                <w:szCs w:val="22"/>
                <w:lang w:val="sk-SK"/>
              </w:rPr>
              <w:t>intersticiálna nefritída,</w:t>
            </w:r>
            <w:r w:rsidR="00BA316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="00887BCF" w:rsidRPr="00694DB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nefrotický syndróm, </w:t>
            </w:r>
            <w:r w:rsidR="00BA3165" w:rsidRPr="00271F81">
              <w:rPr>
                <w:rFonts w:ascii="Times New Roman" w:hAnsi="Times New Roman"/>
                <w:sz w:val="22"/>
                <w:szCs w:val="22"/>
                <w:lang w:val="sk-SK"/>
              </w:rPr>
              <w:t>hematúria, proteinúria</w:t>
            </w:r>
          </w:p>
        </w:tc>
      </w:tr>
      <w:tr w:rsidR="00AC556C" w:rsidRPr="00694DB8" w14:paraId="64FA76BC" w14:textId="77777777" w:rsidTr="00944735">
        <w:trPr>
          <w:cantSplit/>
        </w:trPr>
        <w:tc>
          <w:tcPr>
            <w:tcW w:w="9072" w:type="dxa"/>
            <w:gridSpan w:val="3"/>
          </w:tcPr>
          <w:p w14:paraId="237BF1DD" w14:textId="77777777" w:rsidR="00AC556C" w:rsidRPr="00694DB8" w:rsidRDefault="001744D1" w:rsidP="00AF110C">
            <w:pPr>
              <w:pStyle w:val="Table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 xml:space="preserve">Celkové </w:t>
            </w:r>
            <w:r w:rsidR="00C62814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 xml:space="preserve">poruchy a </w:t>
            </w:r>
            <w:r w:rsidR="0028015C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reakcie</w:t>
            </w:r>
            <w:r w:rsidR="00AF110C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 xml:space="preserve"> v </w:t>
            </w:r>
            <w:r w:rsidR="0028015C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 xml:space="preserve">mieste </w:t>
            </w:r>
            <w:r w:rsidR="00C62814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podan</w:t>
            </w:r>
            <w:r w:rsidR="0028015C" w:rsidRPr="00694DB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ia</w:t>
            </w:r>
          </w:p>
        </w:tc>
      </w:tr>
      <w:tr w:rsidR="00AC556C" w:rsidRPr="00694DB8" w14:paraId="17CC36D9" w14:textId="77777777" w:rsidTr="00944735">
        <w:tc>
          <w:tcPr>
            <w:tcW w:w="567" w:type="dxa"/>
          </w:tcPr>
          <w:p w14:paraId="77AA0720" w14:textId="77777777" w:rsidR="00AC556C" w:rsidRPr="00694DB8" w:rsidRDefault="00AC556C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14:paraId="50E047FE" w14:textId="20AAB531" w:rsidR="00AC556C" w:rsidRPr="00694DB8" w:rsidRDefault="00800449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Z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riedkavé</w:t>
            </w:r>
          </w:p>
        </w:tc>
        <w:tc>
          <w:tcPr>
            <w:tcW w:w="5953" w:type="dxa"/>
          </w:tcPr>
          <w:p w14:paraId="4736AE5E" w14:textId="77777777" w:rsidR="00AC556C" w:rsidRPr="00694DB8" w:rsidRDefault="002E327E" w:rsidP="00AF110C">
            <w:pPr>
              <w:pStyle w:val="Table"/>
              <w:keepNext w:val="0"/>
              <w:keepLines w:val="0"/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694DB8">
              <w:rPr>
                <w:rFonts w:ascii="Times New Roman" w:hAnsi="Times New Roman"/>
                <w:sz w:val="22"/>
                <w:szCs w:val="22"/>
                <w:lang w:val="sk-SK"/>
              </w:rPr>
              <w:t>e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d</w:t>
            </w:r>
            <w:r w:rsidR="00887BCF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é</w:t>
            </w:r>
            <w:r w:rsidR="00AC556C" w:rsidRPr="00694DB8">
              <w:rPr>
                <w:rFonts w:ascii="Times New Roman" w:hAnsi="Times New Roman"/>
                <w:sz w:val="22"/>
                <w:szCs w:val="22"/>
                <w:lang w:val="sk-SK"/>
              </w:rPr>
              <w:t>m</w:t>
            </w:r>
          </w:p>
        </w:tc>
      </w:tr>
    </w:tbl>
    <w:p w14:paraId="1060EF7D" w14:textId="5BE40F7B" w:rsidR="00713969" w:rsidRPr="00694DB8" w:rsidRDefault="00713969" w:rsidP="002E327E">
      <w:pPr>
        <w:tabs>
          <w:tab w:val="left" w:pos="567"/>
        </w:tabs>
        <w:spacing w:before="120"/>
        <w:ind w:left="0" w:firstLine="0"/>
        <w:rPr>
          <w:szCs w:val="22"/>
        </w:rPr>
      </w:pPr>
      <w:r w:rsidRPr="00694DB8">
        <w:rPr>
          <w:bCs/>
          <w:szCs w:val="22"/>
        </w:rPr>
        <w:lastRenderedPageBreak/>
        <w:t>* Frekvencia odráža údaje dlhodobej liečby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>vysokou dávkou (150</w:t>
      </w:r>
      <w:r w:rsidR="00AF110C" w:rsidRPr="00694DB8">
        <w:rPr>
          <w:bCs/>
          <w:szCs w:val="22"/>
        </w:rPr>
        <w:t> mg</w:t>
      </w:r>
      <w:r w:rsidRPr="00694DB8">
        <w:rPr>
          <w:bCs/>
          <w:szCs w:val="22"/>
        </w:rPr>
        <w:t xml:space="preserve"> denne). </w:t>
      </w:r>
    </w:p>
    <w:p w14:paraId="71D03AEA" w14:textId="77777777" w:rsidR="002E327E" w:rsidRPr="00694DB8" w:rsidRDefault="002E327E" w:rsidP="002E327E">
      <w:pPr>
        <w:tabs>
          <w:tab w:val="left" w:pos="567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5C711F2A" w14:textId="77777777" w:rsidR="00A6670A" w:rsidRPr="00694DB8" w:rsidRDefault="00A6670A" w:rsidP="002E327E">
      <w:pPr>
        <w:tabs>
          <w:tab w:val="left" w:pos="567"/>
        </w:tabs>
        <w:autoSpaceDE w:val="0"/>
        <w:autoSpaceDN w:val="0"/>
        <w:adjustRightInd w:val="0"/>
        <w:ind w:left="0" w:firstLine="0"/>
        <w:rPr>
          <w:bCs/>
          <w:szCs w:val="22"/>
        </w:rPr>
      </w:pPr>
      <w:r w:rsidRPr="00694DB8">
        <w:rPr>
          <w:noProof/>
          <w:szCs w:val="22"/>
        </w:rPr>
        <w:t>Klinické štúdie a epidemiologické údaje stále poukazujú na zvýšené riziko arteriálnych trombotických</w:t>
      </w:r>
      <w:r w:rsidRPr="00694DB8">
        <w:rPr>
          <w:bCs/>
          <w:szCs w:val="22"/>
        </w:rPr>
        <w:t xml:space="preserve"> príhod (napríklad infarkt myokardu alebo mozgovocievna príhoda) spojených</w:t>
      </w:r>
      <w:r w:rsidR="00AF110C" w:rsidRPr="00694DB8">
        <w:rPr>
          <w:bCs/>
          <w:szCs w:val="22"/>
        </w:rPr>
        <w:t xml:space="preserve"> s </w:t>
      </w:r>
      <w:r w:rsidRPr="00694DB8">
        <w:rPr>
          <w:bCs/>
          <w:szCs w:val="22"/>
        </w:rPr>
        <w:t>použitím diklofenaku, najmä vo vysokej dávke (150</w:t>
      </w:r>
      <w:r w:rsidR="00AF110C" w:rsidRPr="00694DB8">
        <w:rPr>
          <w:bCs/>
          <w:szCs w:val="22"/>
        </w:rPr>
        <w:t> mg</w:t>
      </w:r>
      <w:r w:rsidRPr="00694DB8">
        <w:rPr>
          <w:bCs/>
          <w:szCs w:val="22"/>
        </w:rPr>
        <w:t xml:space="preserve"> denne) a pri dlhodobej liečbe (pozri časti </w:t>
      </w:r>
      <w:smartTag w:uri="urn:schemas-microsoft-com:office:smarttags" w:element="metricconverter">
        <w:smartTagPr>
          <w:attr w:name="ProductID" w:val="4.3 a"/>
        </w:smartTagPr>
        <w:r w:rsidRPr="00694DB8">
          <w:rPr>
            <w:bCs/>
            <w:szCs w:val="22"/>
          </w:rPr>
          <w:t>4.3 a</w:t>
        </w:r>
      </w:smartTag>
      <w:r w:rsidRPr="00694DB8">
        <w:rPr>
          <w:bCs/>
          <w:szCs w:val="22"/>
        </w:rPr>
        <w:t xml:space="preserve"> 4.4).</w:t>
      </w:r>
    </w:p>
    <w:p w14:paraId="7AC56758" w14:textId="77777777" w:rsidR="00A6670A" w:rsidRPr="00694DB8" w:rsidRDefault="00A6670A" w:rsidP="00AF110C">
      <w:pPr>
        <w:tabs>
          <w:tab w:val="left" w:pos="567"/>
        </w:tabs>
        <w:rPr>
          <w:szCs w:val="22"/>
        </w:rPr>
      </w:pPr>
    </w:p>
    <w:p w14:paraId="021A9A0D" w14:textId="77777777" w:rsidR="00A6670A" w:rsidRPr="00694DB8" w:rsidRDefault="00A6670A" w:rsidP="00AF110C">
      <w:pPr>
        <w:keepNext/>
        <w:tabs>
          <w:tab w:val="left" w:pos="567"/>
        </w:tabs>
        <w:autoSpaceDE w:val="0"/>
        <w:autoSpaceDN w:val="0"/>
        <w:adjustRightInd w:val="0"/>
        <w:rPr>
          <w:szCs w:val="22"/>
          <w:u w:val="single"/>
        </w:rPr>
      </w:pPr>
      <w:r w:rsidRPr="00694DB8">
        <w:rPr>
          <w:noProof/>
          <w:szCs w:val="22"/>
          <w:u w:val="single"/>
        </w:rPr>
        <w:t>Hlásenie podozrení na nežiaduce reakcie</w:t>
      </w:r>
    </w:p>
    <w:p w14:paraId="51949A98" w14:textId="4E657573" w:rsidR="00A6670A" w:rsidRPr="00F41B18" w:rsidRDefault="00A6670A" w:rsidP="00AF110C">
      <w:pPr>
        <w:tabs>
          <w:tab w:val="left" w:pos="567"/>
        </w:tabs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694DB8">
        <w:rPr>
          <w:noProof/>
          <w:szCs w:val="22"/>
        </w:rPr>
        <w:t>Hlásenie podozrení na nežiaduce reakcie po registrácii lieku je dôležité.</w:t>
      </w:r>
      <w:r w:rsidRPr="00694DB8">
        <w:rPr>
          <w:szCs w:val="22"/>
        </w:rPr>
        <w:t xml:space="preserve"> </w:t>
      </w:r>
      <w:r w:rsidRPr="00694DB8">
        <w:rPr>
          <w:noProof/>
          <w:szCs w:val="22"/>
        </w:rPr>
        <w:t>Umožňuje priebežné monitorovanie pomeru prínosu</w:t>
      </w:r>
      <w:r w:rsidRPr="00694DB8">
        <w:rPr>
          <w:szCs w:val="22"/>
        </w:rPr>
        <w:t xml:space="preserve"> a</w:t>
      </w:r>
      <w:r w:rsidRPr="00694DB8">
        <w:rPr>
          <w:noProof/>
          <w:szCs w:val="22"/>
        </w:rPr>
        <w:t> rizika lieku.</w:t>
      </w:r>
      <w:r w:rsidRPr="00694DB8">
        <w:rPr>
          <w:szCs w:val="22"/>
        </w:rPr>
        <w:t xml:space="preserve"> Od </w:t>
      </w:r>
      <w:r w:rsidRPr="00694DB8">
        <w:rPr>
          <w:noProof/>
          <w:szCs w:val="22"/>
        </w:rPr>
        <w:t xml:space="preserve">zdravotníckych pracovníkov sa vyžaduje, aby hlásili akékoľvek podozrenia na nežiaduce reakcie </w:t>
      </w:r>
      <w:r w:rsidR="0028015C" w:rsidRPr="00694DB8">
        <w:rPr>
          <w:noProof/>
          <w:szCs w:val="22"/>
        </w:rPr>
        <w:t xml:space="preserve">na </w:t>
      </w:r>
      <w:r w:rsidRPr="00694DB8">
        <w:rPr>
          <w:noProof/>
          <w:szCs w:val="22"/>
          <w:highlight w:val="lightGray"/>
        </w:rPr>
        <w:t>národné</w:t>
      </w:r>
      <w:r w:rsidR="0028015C" w:rsidRPr="00694DB8">
        <w:rPr>
          <w:noProof/>
          <w:szCs w:val="22"/>
          <w:highlight w:val="lightGray"/>
        </w:rPr>
        <w:t xml:space="preserve"> centrum</w:t>
      </w:r>
      <w:r w:rsidRPr="00694DB8">
        <w:rPr>
          <w:noProof/>
          <w:szCs w:val="22"/>
          <w:highlight w:val="lightGray"/>
        </w:rPr>
        <w:t xml:space="preserve"> hlásenia uvedené</w:t>
      </w:r>
      <w:r w:rsidR="00AF110C" w:rsidRPr="00694DB8">
        <w:rPr>
          <w:noProof/>
          <w:szCs w:val="22"/>
          <w:highlight w:val="lightGray"/>
        </w:rPr>
        <w:t xml:space="preserve"> v </w:t>
      </w:r>
      <w:hyperlink r:id="rId9" w:history="1">
        <w:r w:rsidRPr="00F41B18">
          <w:rPr>
            <w:rStyle w:val="Hypertextovprepojenie"/>
            <w:noProof/>
            <w:szCs w:val="22"/>
            <w:highlight w:val="lightGray"/>
          </w:rPr>
          <w:t>P</w:t>
        </w:r>
        <w:r w:rsidRPr="00F41B18">
          <w:rPr>
            <w:rStyle w:val="Hypertextovprepojenie"/>
            <w:szCs w:val="22"/>
            <w:highlight w:val="lightGray"/>
          </w:rPr>
          <w:t xml:space="preserve">rílohe </w:t>
        </w:r>
        <w:r w:rsidRPr="00694DB8">
          <w:rPr>
            <w:rStyle w:val="Hypertextovprepojenie"/>
            <w:noProof/>
            <w:szCs w:val="22"/>
            <w:highlight w:val="lightGray"/>
          </w:rPr>
          <w:t>V</w:t>
        </w:r>
      </w:hyperlink>
      <w:r w:rsidRPr="00F41B18">
        <w:rPr>
          <w:noProof/>
          <w:szCs w:val="22"/>
        </w:rPr>
        <w:t>.</w:t>
      </w:r>
    </w:p>
    <w:p w14:paraId="4CFBAA10" w14:textId="77777777" w:rsidR="00D5261D" w:rsidRPr="00694DB8" w:rsidRDefault="00D5261D" w:rsidP="00AF110C">
      <w:pPr>
        <w:tabs>
          <w:tab w:val="left" w:pos="567"/>
        </w:tabs>
        <w:ind w:left="0" w:firstLine="0"/>
        <w:rPr>
          <w:szCs w:val="22"/>
        </w:rPr>
      </w:pPr>
    </w:p>
    <w:p w14:paraId="6DB8076B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4.9</w:t>
      </w:r>
      <w:r w:rsidRPr="00694DB8">
        <w:rPr>
          <w:b/>
          <w:szCs w:val="22"/>
        </w:rPr>
        <w:tab/>
        <w:t>Predávkovanie</w:t>
      </w:r>
    </w:p>
    <w:p w14:paraId="48018B62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7E4CFDA6" w14:textId="77777777" w:rsidR="00221AD2" w:rsidRPr="00694DB8" w:rsidRDefault="00221AD2" w:rsidP="000B4C97">
      <w:pPr>
        <w:keepNext/>
        <w:tabs>
          <w:tab w:val="left" w:pos="567"/>
        </w:tabs>
        <w:autoSpaceDE w:val="0"/>
        <w:autoSpaceDN w:val="0"/>
        <w:adjustRightInd w:val="0"/>
        <w:rPr>
          <w:noProof/>
          <w:szCs w:val="22"/>
          <w:u w:val="single"/>
        </w:rPr>
      </w:pPr>
      <w:r w:rsidRPr="00694DB8">
        <w:rPr>
          <w:noProof/>
          <w:szCs w:val="22"/>
          <w:u w:val="single"/>
        </w:rPr>
        <w:t>Symptómy</w:t>
      </w:r>
    </w:p>
    <w:p w14:paraId="6AABBB58" w14:textId="77777777" w:rsidR="00221AD2" w:rsidRPr="00694DB8" w:rsidRDefault="00221AD2" w:rsidP="00AF110C">
      <w:pPr>
        <w:tabs>
          <w:tab w:val="left" w:pos="567"/>
        </w:tabs>
        <w:ind w:left="0" w:firstLine="0"/>
        <w:rPr>
          <w:bCs/>
          <w:szCs w:val="22"/>
        </w:rPr>
      </w:pPr>
      <w:r w:rsidRPr="00694DB8">
        <w:rPr>
          <w:bCs/>
          <w:szCs w:val="22"/>
        </w:rPr>
        <w:t>Predávkovanie diklofenak</w:t>
      </w:r>
      <w:r w:rsidR="00DF7807" w:rsidRPr="00694DB8">
        <w:rPr>
          <w:bCs/>
          <w:szCs w:val="22"/>
        </w:rPr>
        <w:t>om</w:t>
      </w:r>
      <w:r w:rsidRPr="00694DB8">
        <w:rPr>
          <w:bCs/>
          <w:szCs w:val="22"/>
        </w:rPr>
        <w:t xml:space="preserve"> nevyvoláva typický klinický obraz. Predávkovanie môže vyvolať symptómy ako vracanie, gastrointestinálne krvácanie, hnačk</w:t>
      </w:r>
      <w:r w:rsidR="00A921EC" w:rsidRPr="00694DB8">
        <w:rPr>
          <w:bCs/>
          <w:szCs w:val="22"/>
        </w:rPr>
        <w:t>u</w:t>
      </w:r>
      <w:r w:rsidRPr="00F41B18">
        <w:rPr>
          <w:bCs/>
          <w:szCs w:val="22"/>
        </w:rPr>
        <w:t>, závraty, tin</w:t>
      </w:r>
      <w:r w:rsidR="00D24A6F" w:rsidRPr="00F41B18">
        <w:rPr>
          <w:bCs/>
          <w:szCs w:val="22"/>
        </w:rPr>
        <w:t>n</w:t>
      </w:r>
      <w:r w:rsidRPr="00F41B18">
        <w:rPr>
          <w:bCs/>
          <w:szCs w:val="22"/>
        </w:rPr>
        <w:t>itus alebo kŕče.</w:t>
      </w:r>
      <w:r w:rsidR="000B4C97" w:rsidRPr="00694DB8">
        <w:rPr>
          <w:bCs/>
          <w:szCs w:val="22"/>
        </w:rPr>
        <w:t xml:space="preserve"> V</w:t>
      </w:r>
      <w:r w:rsidR="00AF110C" w:rsidRPr="00694DB8">
        <w:rPr>
          <w:bCs/>
          <w:szCs w:val="22"/>
        </w:rPr>
        <w:t> </w:t>
      </w:r>
      <w:r w:rsidR="00181685" w:rsidRPr="00694DB8">
        <w:rPr>
          <w:bCs/>
          <w:szCs w:val="22"/>
        </w:rPr>
        <w:t xml:space="preserve">prípade </w:t>
      </w:r>
      <w:r w:rsidRPr="00694DB8">
        <w:rPr>
          <w:bCs/>
          <w:szCs w:val="22"/>
        </w:rPr>
        <w:t>závažnej otrav</w:t>
      </w:r>
      <w:r w:rsidR="00181685" w:rsidRPr="00694DB8">
        <w:rPr>
          <w:bCs/>
          <w:szCs w:val="22"/>
        </w:rPr>
        <w:t>y</w:t>
      </w:r>
      <w:r w:rsidRPr="00694DB8">
        <w:rPr>
          <w:bCs/>
          <w:szCs w:val="22"/>
        </w:rPr>
        <w:t xml:space="preserve"> je možné akútne zlyhanie obličiek a poškodenie pečene. </w:t>
      </w:r>
    </w:p>
    <w:p w14:paraId="593F0A7D" w14:textId="77777777" w:rsidR="00221AD2" w:rsidRPr="00694DB8" w:rsidRDefault="00221AD2" w:rsidP="00AF110C">
      <w:pPr>
        <w:tabs>
          <w:tab w:val="left" w:pos="567"/>
        </w:tabs>
        <w:ind w:left="0" w:firstLine="0"/>
        <w:rPr>
          <w:szCs w:val="22"/>
        </w:rPr>
      </w:pPr>
    </w:p>
    <w:p w14:paraId="62825059" w14:textId="77777777" w:rsidR="00221AD2" w:rsidRPr="00694DB8" w:rsidRDefault="00221AD2" w:rsidP="000B4C97">
      <w:pPr>
        <w:keepNext/>
        <w:tabs>
          <w:tab w:val="left" w:pos="567"/>
        </w:tabs>
        <w:autoSpaceDE w:val="0"/>
        <w:autoSpaceDN w:val="0"/>
        <w:adjustRightInd w:val="0"/>
        <w:rPr>
          <w:noProof/>
          <w:szCs w:val="22"/>
          <w:u w:val="single"/>
        </w:rPr>
      </w:pPr>
      <w:r w:rsidRPr="00694DB8">
        <w:rPr>
          <w:noProof/>
          <w:szCs w:val="22"/>
          <w:u w:val="single"/>
        </w:rPr>
        <w:t>Terapeutické opatrenia</w:t>
      </w:r>
    </w:p>
    <w:p w14:paraId="3C515899" w14:textId="77777777" w:rsidR="006E7E7C" w:rsidRPr="00694DB8" w:rsidRDefault="00181685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Zvládnutie</w:t>
      </w:r>
      <w:r w:rsidR="008D74B3" w:rsidRPr="00694DB8">
        <w:rPr>
          <w:szCs w:val="22"/>
        </w:rPr>
        <w:t xml:space="preserve"> akútnej otravy </w:t>
      </w:r>
      <w:r w:rsidR="00221AD2" w:rsidRPr="00694DB8">
        <w:rPr>
          <w:szCs w:val="22"/>
        </w:rPr>
        <w:t>NSAID</w:t>
      </w:r>
      <w:r w:rsidR="00ED5C0F" w:rsidRPr="00694DB8">
        <w:rPr>
          <w:szCs w:val="22"/>
        </w:rPr>
        <w:t>,</w:t>
      </w:r>
      <w:r w:rsidR="00A52D9A" w:rsidRPr="00694DB8">
        <w:rPr>
          <w:szCs w:val="22"/>
        </w:rPr>
        <w:t xml:space="preserve"> vrátane diklofenaku</w:t>
      </w:r>
      <w:r w:rsidR="00221AD2" w:rsidRPr="00694DB8">
        <w:rPr>
          <w:szCs w:val="22"/>
        </w:rPr>
        <w:t xml:space="preserve"> </w:t>
      </w:r>
      <w:r w:rsidR="008D74B3" w:rsidRPr="00694DB8">
        <w:rPr>
          <w:szCs w:val="22"/>
        </w:rPr>
        <w:t>pozostáva predovšetkým</w:t>
      </w:r>
      <w:r w:rsidR="00AF110C" w:rsidRPr="00F41B18">
        <w:rPr>
          <w:szCs w:val="22"/>
        </w:rPr>
        <w:t xml:space="preserve"> z </w:t>
      </w:r>
      <w:r w:rsidR="008D74B3" w:rsidRPr="00F41B18">
        <w:rPr>
          <w:szCs w:val="22"/>
        </w:rPr>
        <w:t xml:space="preserve">podporných </w:t>
      </w:r>
      <w:r w:rsidR="00221AD2" w:rsidRPr="00694DB8">
        <w:rPr>
          <w:szCs w:val="22"/>
        </w:rPr>
        <w:t xml:space="preserve">opatrení </w:t>
      </w:r>
      <w:r w:rsidR="008D74B3" w:rsidRPr="00694DB8">
        <w:rPr>
          <w:szCs w:val="22"/>
        </w:rPr>
        <w:t>a</w:t>
      </w:r>
      <w:r w:rsidR="00221AD2" w:rsidRPr="00694DB8">
        <w:rPr>
          <w:szCs w:val="22"/>
        </w:rPr>
        <w:t> </w:t>
      </w:r>
      <w:r w:rsidR="008D74B3" w:rsidRPr="00694DB8">
        <w:rPr>
          <w:szCs w:val="22"/>
        </w:rPr>
        <w:t>symptomatick</w:t>
      </w:r>
      <w:r w:rsidR="00221AD2" w:rsidRPr="00694DB8">
        <w:rPr>
          <w:szCs w:val="22"/>
        </w:rPr>
        <w:t>ej liečby. Podporné opatrenia a symptomatická liečba sú indikované pri komplikáciách ako hypotenzia, zlyhanie obličiek, kŕče, gastrointestinálne poruchy a útlm dýchania.</w:t>
      </w:r>
      <w:r w:rsidR="000B4C97" w:rsidRPr="00694DB8">
        <w:rPr>
          <w:szCs w:val="22"/>
        </w:rPr>
        <w:t xml:space="preserve"> </w:t>
      </w:r>
    </w:p>
    <w:p w14:paraId="17C0BF80" w14:textId="77777777" w:rsidR="006E7E7C" w:rsidRPr="00694DB8" w:rsidRDefault="006E7E7C" w:rsidP="00AF110C">
      <w:pPr>
        <w:tabs>
          <w:tab w:val="left" w:pos="567"/>
        </w:tabs>
        <w:ind w:left="0" w:firstLine="0"/>
        <w:rPr>
          <w:szCs w:val="22"/>
        </w:rPr>
      </w:pPr>
    </w:p>
    <w:p w14:paraId="587F43C7" w14:textId="68D6554A" w:rsidR="00BA3165" w:rsidRPr="00271F81" w:rsidRDefault="00562B72" w:rsidP="00541A55">
      <w:pPr>
        <w:ind w:left="0" w:firstLine="0"/>
        <w:rPr>
          <w:szCs w:val="22"/>
        </w:rPr>
      </w:pPr>
      <w:r w:rsidRPr="00694DB8">
        <w:rPr>
          <w:szCs w:val="22"/>
        </w:rPr>
        <w:t>Mimoriadne</w:t>
      </w:r>
      <w:r w:rsidR="008D74B3" w:rsidRPr="00694DB8">
        <w:rPr>
          <w:szCs w:val="22"/>
        </w:rPr>
        <w:t xml:space="preserve"> opatrenia ako </w:t>
      </w:r>
      <w:r w:rsidR="00D24A6F" w:rsidRPr="00694DB8">
        <w:rPr>
          <w:szCs w:val="22"/>
        </w:rPr>
        <w:t>forsírovaná</w:t>
      </w:r>
      <w:r w:rsidR="008D74B3" w:rsidRPr="00694DB8">
        <w:rPr>
          <w:szCs w:val="22"/>
        </w:rPr>
        <w:t xml:space="preserve"> diuréza, dialýza alebo hemoperfúzia </w:t>
      </w:r>
      <w:r w:rsidRPr="00694DB8">
        <w:rPr>
          <w:szCs w:val="22"/>
        </w:rPr>
        <w:t xml:space="preserve">pravdepodobne </w:t>
      </w:r>
      <w:r w:rsidR="008D74B3" w:rsidRPr="00694DB8">
        <w:rPr>
          <w:szCs w:val="22"/>
        </w:rPr>
        <w:t xml:space="preserve">pri eliminácii </w:t>
      </w:r>
      <w:r w:rsidRPr="00694DB8">
        <w:rPr>
          <w:szCs w:val="22"/>
        </w:rPr>
        <w:t>NSAID</w:t>
      </w:r>
      <w:r w:rsidR="00ED5C0F" w:rsidRPr="00694DB8">
        <w:rPr>
          <w:szCs w:val="22"/>
        </w:rPr>
        <w:t>,</w:t>
      </w:r>
      <w:r w:rsidR="00A52D9A" w:rsidRPr="00694DB8">
        <w:rPr>
          <w:szCs w:val="22"/>
        </w:rPr>
        <w:t xml:space="preserve"> vrátane diklofenaku</w:t>
      </w:r>
      <w:r w:rsidR="006E7E7C" w:rsidRPr="00694DB8">
        <w:rPr>
          <w:szCs w:val="22"/>
        </w:rPr>
        <w:t>,</w:t>
      </w:r>
      <w:r w:rsidR="00634177" w:rsidRPr="00694DB8">
        <w:rPr>
          <w:szCs w:val="22"/>
        </w:rPr>
        <w:t xml:space="preserve"> </w:t>
      </w:r>
      <w:r w:rsidR="006E7E7C" w:rsidRPr="00694DB8">
        <w:rPr>
          <w:szCs w:val="22"/>
        </w:rPr>
        <w:t xml:space="preserve">nepomáhajú </w:t>
      </w:r>
      <w:r w:rsidR="00634177" w:rsidRPr="00694DB8">
        <w:rPr>
          <w:szCs w:val="22"/>
        </w:rPr>
        <w:t xml:space="preserve">vzhľadom na ich </w:t>
      </w:r>
      <w:r w:rsidR="008D74B3" w:rsidRPr="00694DB8">
        <w:rPr>
          <w:szCs w:val="22"/>
        </w:rPr>
        <w:t>vysok</w:t>
      </w:r>
      <w:r w:rsidR="006E7E7C" w:rsidRPr="00694DB8">
        <w:rPr>
          <w:szCs w:val="22"/>
        </w:rPr>
        <w:t>ú väzbu</w:t>
      </w:r>
      <w:r w:rsidR="008D74B3" w:rsidRPr="00694DB8">
        <w:rPr>
          <w:szCs w:val="22"/>
        </w:rPr>
        <w:t xml:space="preserve"> na bielkoviny </w:t>
      </w:r>
      <w:r w:rsidRPr="00694DB8">
        <w:rPr>
          <w:szCs w:val="22"/>
        </w:rPr>
        <w:t>a</w:t>
      </w:r>
      <w:r w:rsidR="00C46661" w:rsidRPr="00694DB8">
        <w:rPr>
          <w:szCs w:val="22"/>
        </w:rPr>
        <w:t> </w:t>
      </w:r>
      <w:r w:rsidR="00D24A6F" w:rsidRPr="00694DB8">
        <w:rPr>
          <w:szCs w:val="22"/>
        </w:rPr>
        <w:t>extenzívny</w:t>
      </w:r>
      <w:r w:rsidR="00C46661" w:rsidRPr="00694DB8">
        <w:rPr>
          <w:szCs w:val="22"/>
        </w:rPr>
        <w:t xml:space="preserve"> </w:t>
      </w:r>
      <w:r w:rsidR="008D74B3" w:rsidRPr="00694DB8">
        <w:rPr>
          <w:szCs w:val="22"/>
        </w:rPr>
        <w:t>metabolizmu</w:t>
      </w:r>
      <w:r w:rsidRPr="00694DB8">
        <w:rPr>
          <w:szCs w:val="22"/>
        </w:rPr>
        <w:t>s</w:t>
      </w:r>
      <w:r w:rsidR="000B4C97" w:rsidRPr="00694DB8">
        <w:rPr>
          <w:szCs w:val="22"/>
        </w:rPr>
        <w:t xml:space="preserve">. </w:t>
      </w:r>
      <w:bookmarkStart w:id="4" w:name="_Hlk9167124"/>
      <w:r w:rsidR="00E602D6">
        <w:rPr>
          <w:szCs w:val="22"/>
        </w:rPr>
        <w:t xml:space="preserve">Ďalšia liečba </w:t>
      </w:r>
      <w:r w:rsidR="007232B4">
        <w:rPr>
          <w:szCs w:val="22"/>
        </w:rPr>
        <w:t xml:space="preserve">sa </w:t>
      </w:r>
      <w:r w:rsidR="00E602D6">
        <w:rPr>
          <w:szCs w:val="22"/>
        </w:rPr>
        <w:t xml:space="preserve">má </w:t>
      </w:r>
      <w:r w:rsidR="007232B4">
        <w:rPr>
          <w:szCs w:val="22"/>
        </w:rPr>
        <w:t xml:space="preserve">riadiť </w:t>
      </w:r>
      <w:r w:rsidR="00E602D6">
        <w:rPr>
          <w:szCs w:val="22"/>
        </w:rPr>
        <w:t>klinick</w:t>
      </w:r>
      <w:r w:rsidR="007232B4">
        <w:rPr>
          <w:szCs w:val="22"/>
        </w:rPr>
        <w:t xml:space="preserve">ým </w:t>
      </w:r>
      <w:r w:rsidR="007A6184">
        <w:rPr>
          <w:szCs w:val="22"/>
        </w:rPr>
        <w:t>stav</w:t>
      </w:r>
      <w:r w:rsidR="007232B4">
        <w:rPr>
          <w:szCs w:val="22"/>
        </w:rPr>
        <w:t>om</w:t>
      </w:r>
      <w:r w:rsidR="007A6184">
        <w:rPr>
          <w:szCs w:val="22"/>
        </w:rPr>
        <w:t xml:space="preserve"> pacienta. </w:t>
      </w:r>
    </w:p>
    <w:bookmarkEnd w:id="4"/>
    <w:p w14:paraId="3BCDA8EA" w14:textId="77777777" w:rsidR="0047430C" w:rsidRPr="00694DB8" w:rsidRDefault="0047430C" w:rsidP="00AF110C">
      <w:pPr>
        <w:tabs>
          <w:tab w:val="left" w:pos="567"/>
        </w:tabs>
        <w:rPr>
          <w:szCs w:val="22"/>
        </w:rPr>
      </w:pPr>
    </w:p>
    <w:p w14:paraId="5BD5E13D" w14:textId="77777777" w:rsidR="0027754C" w:rsidRPr="00694DB8" w:rsidRDefault="0027754C" w:rsidP="00AF110C">
      <w:pPr>
        <w:tabs>
          <w:tab w:val="left" w:pos="567"/>
        </w:tabs>
        <w:ind w:left="0" w:firstLine="0"/>
        <w:rPr>
          <w:szCs w:val="22"/>
        </w:rPr>
      </w:pPr>
    </w:p>
    <w:p w14:paraId="372EBEE5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5.</w:t>
      </w:r>
      <w:r w:rsidRPr="00694DB8">
        <w:rPr>
          <w:b/>
          <w:szCs w:val="22"/>
        </w:rPr>
        <w:tab/>
        <w:t>FARMAKOLOGICKÉ VLASTNOSTI</w:t>
      </w:r>
    </w:p>
    <w:p w14:paraId="175E39F3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bCs/>
          <w:szCs w:val="22"/>
        </w:rPr>
      </w:pPr>
    </w:p>
    <w:p w14:paraId="14E1E231" w14:textId="77777777" w:rsidR="0022113C" w:rsidRPr="00694DB8" w:rsidRDefault="00634177" w:rsidP="00AF110C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694DB8">
        <w:rPr>
          <w:b/>
          <w:szCs w:val="22"/>
        </w:rPr>
        <w:t>5.1</w:t>
      </w:r>
      <w:r w:rsidRPr="00694DB8">
        <w:rPr>
          <w:b/>
          <w:szCs w:val="22"/>
        </w:rPr>
        <w:tab/>
      </w:r>
      <w:r w:rsidR="0022113C" w:rsidRPr="00694DB8">
        <w:rPr>
          <w:b/>
          <w:szCs w:val="22"/>
        </w:rPr>
        <w:t>Farmakodynamické vlastnosti</w:t>
      </w:r>
    </w:p>
    <w:p w14:paraId="38AF2D25" w14:textId="77777777" w:rsidR="000234D7" w:rsidRPr="00694DB8" w:rsidRDefault="000234D7" w:rsidP="000B4C97">
      <w:pPr>
        <w:keepNext/>
        <w:tabs>
          <w:tab w:val="left" w:pos="567"/>
        </w:tabs>
        <w:ind w:left="0" w:firstLine="0"/>
        <w:rPr>
          <w:b/>
          <w:szCs w:val="22"/>
        </w:rPr>
      </w:pPr>
    </w:p>
    <w:p w14:paraId="3363B8E3" w14:textId="77777777" w:rsidR="000B4C97" w:rsidRPr="00694DB8" w:rsidRDefault="0022113C" w:rsidP="00AF110C">
      <w:pPr>
        <w:pStyle w:val="Zkladntext"/>
        <w:tabs>
          <w:tab w:val="left" w:pos="567"/>
        </w:tabs>
        <w:rPr>
          <w:szCs w:val="22"/>
        </w:rPr>
      </w:pPr>
      <w:r w:rsidRPr="00694DB8">
        <w:rPr>
          <w:szCs w:val="22"/>
          <w:u w:val="single"/>
        </w:rPr>
        <w:t>Farmakoterapeutická skupina</w:t>
      </w:r>
      <w:r w:rsidRPr="00694DB8">
        <w:rPr>
          <w:szCs w:val="22"/>
        </w:rPr>
        <w:t xml:space="preserve">: </w:t>
      </w:r>
      <w:r w:rsidR="000B4C97" w:rsidRPr="00694DB8">
        <w:rPr>
          <w:szCs w:val="22"/>
        </w:rPr>
        <w:t>A</w:t>
      </w:r>
      <w:r w:rsidRPr="00694DB8">
        <w:rPr>
          <w:szCs w:val="22"/>
        </w:rPr>
        <w:t>ntiflogistik</w:t>
      </w:r>
      <w:r w:rsidR="00562B72" w:rsidRPr="00694DB8">
        <w:rPr>
          <w:szCs w:val="22"/>
        </w:rPr>
        <w:t>á a antireumatiká, nesteroid</w:t>
      </w:r>
      <w:r w:rsidR="00CE1E9D" w:rsidRPr="00694DB8">
        <w:rPr>
          <w:szCs w:val="22"/>
        </w:rPr>
        <w:t>ov</w:t>
      </w:r>
      <w:r w:rsidR="00562B72" w:rsidRPr="00694DB8">
        <w:rPr>
          <w:szCs w:val="22"/>
        </w:rPr>
        <w:t>é deriváty kyseliny octovej a pr</w:t>
      </w:r>
      <w:r w:rsidR="00562B72" w:rsidRPr="00F41B18">
        <w:rPr>
          <w:szCs w:val="22"/>
        </w:rPr>
        <w:t>íbuzné látky</w:t>
      </w:r>
      <w:r w:rsidR="000B4C97" w:rsidRPr="00F41B18">
        <w:rPr>
          <w:szCs w:val="22"/>
        </w:rPr>
        <w:t>.</w:t>
      </w:r>
    </w:p>
    <w:p w14:paraId="13B8AB25" w14:textId="77777777" w:rsidR="0022113C" w:rsidRPr="00694DB8" w:rsidRDefault="0022113C" w:rsidP="00AF110C">
      <w:pPr>
        <w:pStyle w:val="Zkladntext"/>
        <w:tabs>
          <w:tab w:val="left" w:pos="567"/>
        </w:tabs>
        <w:rPr>
          <w:szCs w:val="22"/>
        </w:rPr>
      </w:pPr>
      <w:r w:rsidRPr="00694DB8">
        <w:rPr>
          <w:szCs w:val="22"/>
          <w:u w:val="single"/>
        </w:rPr>
        <w:t>ATC kód</w:t>
      </w:r>
      <w:r w:rsidRPr="00694DB8">
        <w:rPr>
          <w:szCs w:val="22"/>
        </w:rPr>
        <w:t>: M01A</w:t>
      </w:r>
      <w:r w:rsidR="001A1957" w:rsidRPr="00694DB8">
        <w:rPr>
          <w:szCs w:val="22"/>
        </w:rPr>
        <w:t>B05</w:t>
      </w:r>
    </w:p>
    <w:p w14:paraId="2E8A5347" w14:textId="77777777" w:rsidR="001A1957" w:rsidRPr="00694DB8" w:rsidRDefault="001A1957" w:rsidP="000B4C97">
      <w:pPr>
        <w:pStyle w:val="Zkladntext"/>
        <w:tabs>
          <w:tab w:val="left" w:pos="567"/>
        </w:tabs>
        <w:rPr>
          <w:szCs w:val="22"/>
        </w:rPr>
      </w:pPr>
    </w:p>
    <w:p w14:paraId="0BA9A469" w14:textId="77777777" w:rsidR="00A6670A" w:rsidRPr="00694DB8" w:rsidRDefault="00A6670A" w:rsidP="00AF110C">
      <w:pPr>
        <w:pStyle w:val="Nadpis3"/>
        <w:tabs>
          <w:tab w:val="left" w:pos="567"/>
        </w:tabs>
        <w:spacing w:before="0" w:after="0"/>
        <w:ind w:left="0" w:firstLine="0"/>
        <w:rPr>
          <w:rFonts w:ascii="Times New Roman" w:hAnsi="Times New Roman"/>
          <w:b w:val="0"/>
          <w:bCs w:val="0"/>
          <w:iCs/>
          <w:sz w:val="22"/>
          <w:szCs w:val="22"/>
          <w:u w:val="single"/>
        </w:rPr>
      </w:pPr>
      <w:r w:rsidRPr="00694DB8">
        <w:rPr>
          <w:rFonts w:ascii="Times New Roman" w:hAnsi="Times New Roman"/>
          <w:b w:val="0"/>
          <w:bCs w:val="0"/>
          <w:iCs/>
          <w:sz w:val="22"/>
          <w:szCs w:val="22"/>
          <w:u w:val="single"/>
        </w:rPr>
        <w:t>Mechanizmus účinku</w:t>
      </w:r>
    </w:p>
    <w:p w14:paraId="06150CEA" w14:textId="77777777" w:rsidR="0022113C" w:rsidRPr="00694DB8" w:rsidRDefault="00095E67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Voltaren Rapid 25</w:t>
      </w:r>
      <w:r w:rsidR="00AF110C" w:rsidRPr="00F41B18">
        <w:rPr>
          <w:szCs w:val="22"/>
        </w:rPr>
        <w:t> mg</w:t>
      </w:r>
      <w:r w:rsidRPr="00F41B18">
        <w:rPr>
          <w:szCs w:val="22"/>
        </w:rPr>
        <w:t xml:space="preserve"> </w:t>
      </w:r>
      <w:r w:rsidR="0022113C" w:rsidRPr="00694DB8">
        <w:rPr>
          <w:szCs w:val="22"/>
        </w:rPr>
        <w:t>obsahuj</w:t>
      </w:r>
      <w:r w:rsidR="00170617" w:rsidRPr="00694DB8">
        <w:rPr>
          <w:szCs w:val="22"/>
        </w:rPr>
        <w:t>e</w:t>
      </w:r>
      <w:r w:rsidR="0022113C" w:rsidRPr="00694DB8">
        <w:rPr>
          <w:szCs w:val="22"/>
        </w:rPr>
        <w:t xml:space="preserve"> </w:t>
      </w:r>
      <w:r w:rsidR="00797554" w:rsidRPr="00694DB8">
        <w:rPr>
          <w:szCs w:val="22"/>
        </w:rPr>
        <w:t>drasel</w:t>
      </w:r>
      <w:r w:rsidR="0022113C" w:rsidRPr="00694DB8">
        <w:rPr>
          <w:szCs w:val="22"/>
        </w:rPr>
        <w:t xml:space="preserve">nú soľ diklofenaku, </w:t>
      </w:r>
      <w:r w:rsidR="00C3053C" w:rsidRPr="00694DB8">
        <w:rPr>
          <w:szCs w:val="22"/>
        </w:rPr>
        <w:t>nesteroid</w:t>
      </w:r>
      <w:r w:rsidR="00CE1E9D" w:rsidRPr="00694DB8">
        <w:rPr>
          <w:szCs w:val="22"/>
        </w:rPr>
        <w:t>ov</w:t>
      </w:r>
      <w:r w:rsidR="00C3053C" w:rsidRPr="00694DB8">
        <w:rPr>
          <w:szCs w:val="22"/>
        </w:rPr>
        <w:t>ú</w:t>
      </w:r>
      <w:r w:rsidR="0022113C" w:rsidRPr="00694DB8">
        <w:rPr>
          <w:szCs w:val="22"/>
        </w:rPr>
        <w:t xml:space="preserve"> zlúčeninu</w:t>
      </w:r>
      <w:r w:rsidR="00AF110C" w:rsidRPr="00694DB8">
        <w:rPr>
          <w:szCs w:val="22"/>
        </w:rPr>
        <w:t xml:space="preserve"> s </w:t>
      </w:r>
      <w:r w:rsidR="0022113C" w:rsidRPr="00694DB8">
        <w:rPr>
          <w:szCs w:val="22"/>
        </w:rPr>
        <w:t xml:space="preserve">výraznými </w:t>
      </w:r>
      <w:r w:rsidR="00797554" w:rsidRPr="00694DB8">
        <w:rPr>
          <w:szCs w:val="22"/>
        </w:rPr>
        <w:t xml:space="preserve">analgetickými, </w:t>
      </w:r>
      <w:r w:rsidR="0022113C" w:rsidRPr="00694DB8">
        <w:rPr>
          <w:szCs w:val="22"/>
        </w:rPr>
        <w:t>antiflogistic</w:t>
      </w:r>
      <w:r w:rsidR="00DF035C" w:rsidRPr="00694DB8">
        <w:rPr>
          <w:szCs w:val="22"/>
        </w:rPr>
        <w:t xml:space="preserve">kými </w:t>
      </w:r>
      <w:r w:rsidR="0022113C" w:rsidRPr="00694DB8">
        <w:rPr>
          <w:szCs w:val="22"/>
        </w:rPr>
        <w:t xml:space="preserve">a antipyretickými vlastnosťami. </w:t>
      </w:r>
      <w:r w:rsidR="00527BE1" w:rsidRPr="00694DB8">
        <w:rPr>
          <w:szCs w:val="22"/>
        </w:rPr>
        <w:t>I</w:t>
      </w:r>
      <w:r w:rsidR="0022113C" w:rsidRPr="00694DB8">
        <w:rPr>
          <w:szCs w:val="22"/>
        </w:rPr>
        <w:t xml:space="preserve">nhibícia biosyntézy prostaglandínov sa považuje za základnú zložku jeho mechanizmu účinku. Prostaglandíny zohrávajú </w:t>
      </w:r>
      <w:r w:rsidR="00527BE1" w:rsidRPr="00694DB8">
        <w:rPr>
          <w:szCs w:val="22"/>
        </w:rPr>
        <w:t xml:space="preserve">hlavnú </w:t>
      </w:r>
      <w:r w:rsidR="0022113C" w:rsidRPr="00694DB8">
        <w:rPr>
          <w:szCs w:val="22"/>
        </w:rPr>
        <w:t xml:space="preserve">úlohu pri </w:t>
      </w:r>
      <w:r w:rsidR="005065FA" w:rsidRPr="00694DB8">
        <w:rPr>
          <w:szCs w:val="22"/>
        </w:rPr>
        <w:t xml:space="preserve">vzniku </w:t>
      </w:r>
      <w:r w:rsidR="0022113C" w:rsidRPr="00694DB8">
        <w:rPr>
          <w:szCs w:val="22"/>
        </w:rPr>
        <w:t xml:space="preserve">zápalu, bolesti a horúčky. </w:t>
      </w:r>
    </w:p>
    <w:p w14:paraId="709D2C65" w14:textId="77777777" w:rsidR="000234D7" w:rsidRPr="00694DB8" w:rsidRDefault="000234D7" w:rsidP="00AF110C">
      <w:pPr>
        <w:tabs>
          <w:tab w:val="left" w:pos="567"/>
        </w:tabs>
        <w:ind w:left="0" w:firstLine="0"/>
        <w:rPr>
          <w:szCs w:val="22"/>
        </w:rPr>
      </w:pPr>
    </w:p>
    <w:p w14:paraId="58BD1228" w14:textId="77777777" w:rsidR="005065FA" w:rsidRPr="00694DB8" w:rsidRDefault="00095E67" w:rsidP="00AF110C">
      <w:pPr>
        <w:tabs>
          <w:tab w:val="left" w:pos="567"/>
        </w:tabs>
        <w:ind w:left="0" w:firstLine="0"/>
        <w:rPr>
          <w:color w:val="000000"/>
          <w:szCs w:val="22"/>
        </w:rPr>
      </w:pPr>
      <w:r w:rsidRPr="00694DB8">
        <w:rPr>
          <w:szCs w:val="22"/>
        </w:rPr>
        <w:t>Voltaren Rapid 25</w:t>
      </w:r>
      <w:r w:rsidR="00AF110C" w:rsidRPr="00694DB8">
        <w:rPr>
          <w:szCs w:val="22"/>
        </w:rPr>
        <w:t> mg</w:t>
      </w:r>
      <w:r w:rsidRPr="00694DB8">
        <w:rPr>
          <w:szCs w:val="22"/>
        </w:rPr>
        <w:t xml:space="preserve"> </w:t>
      </w:r>
      <w:r w:rsidR="00170617" w:rsidRPr="00694DB8">
        <w:rPr>
          <w:szCs w:val="22"/>
        </w:rPr>
        <w:t>má</w:t>
      </w:r>
      <w:r w:rsidR="00DF035C" w:rsidRPr="00694DB8">
        <w:rPr>
          <w:szCs w:val="22"/>
        </w:rPr>
        <w:t xml:space="preserve"> rýchly nástup účinku, preto </w:t>
      </w:r>
      <w:r w:rsidR="00BB771D" w:rsidRPr="00694DB8">
        <w:rPr>
          <w:szCs w:val="22"/>
        </w:rPr>
        <w:t>je</w:t>
      </w:r>
      <w:r w:rsidR="00DF035C" w:rsidRPr="00694DB8">
        <w:rPr>
          <w:szCs w:val="22"/>
        </w:rPr>
        <w:t xml:space="preserve"> zvlášť vhodn</w:t>
      </w:r>
      <w:r w:rsidR="00BB771D" w:rsidRPr="00694DB8">
        <w:rPr>
          <w:szCs w:val="22"/>
        </w:rPr>
        <w:t>ý</w:t>
      </w:r>
      <w:r w:rsidR="00DF035C" w:rsidRPr="00694DB8">
        <w:rPr>
          <w:szCs w:val="22"/>
        </w:rPr>
        <w:t xml:space="preserve"> na liečbu akútnych bolestivých </w:t>
      </w:r>
      <w:r w:rsidR="005065FA" w:rsidRPr="00694DB8">
        <w:rPr>
          <w:szCs w:val="22"/>
        </w:rPr>
        <w:t xml:space="preserve">stavov </w:t>
      </w:r>
      <w:r w:rsidR="00DF035C" w:rsidRPr="00694DB8">
        <w:rPr>
          <w:szCs w:val="22"/>
        </w:rPr>
        <w:t xml:space="preserve">a </w:t>
      </w:r>
      <w:r w:rsidR="005065FA" w:rsidRPr="00694DB8">
        <w:rPr>
          <w:szCs w:val="22"/>
        </w:rPr>
        <w:t>na zníženie horúčky</w:t>
      </w:r>
      <w:r w:rsidR="00DF035C" w:rsidRPr="00694DB8">
        <w:rPr>
          <w:szCs w:val="22"/>
        </w:rPr>
        <w:t>.</w:t>
      </w:r>
      <w:r w:rsidR="00F658FC" w:rsidRPr="00694DB8">
        <w:rPr>
          <w:szCs w:val="22"/>
        </w:rPr>
        <w:t xml:space="preserve"> </w:t>
      </w:r>
      <w:r w:rsidRPr="00694DB8">
        <w:rPr>
          <w:color w:val="000000"/>
          <w:szCs w:val="22"/>
        </w:rPr>
        <w:t>Voltaren Rapid 25</w:t>
      </w:r>
      <w:r w:rsidR="00AF110C" w:rsidRPr="00694DB8">
        <w:rPr>
          <w:color w:val="000000"/>
          <w:szCs w:val="22"/>
        </w:rPr>
        <w:t> mg</w:t>
      </w:r>
      <w:r w:rsidRPr="00694DB8">
        <w:rPr>
          <w:color w:val="000000"/>
          <w:szCs w:val="22"/>
        </w:rPr>
        <w:t xml:space="preserve"> mäkké kapsuly </w:t>
      </w:r>
      <w:r w:rsidR="008F269F" w:rsidRPr="00694DB8">
        <w:rPr>
          <w:color w:val="000000"/>
          <w:szCs w:val="22"/>
        </w:rPr>
        <w:t>sa</w:t>
      </w:r>
      <w:r w:rsidRPr="00694DB8">
        <w:rPr>
          <w:color w:val="000000"/>
          <w:szCs w:val="22"/>
        </w:rPr>
        <w:t xml:space="preserve"> </w:t>
      </w:r>
      <w:r w:rsidR="00A01B5A" w:rsidRPr="00694DB8">
        <w:rPr>
          <w:color w:val="000000"/>
          <w:szCs w:val="22"/>
        </w:rPr>
        <w:t>prejavujú</w:t>
      </w:r>
      <w:r w:rsidR="00F658FC" w:rsidRPr="00694DB8">
        <w:rPr>
          <w:color w:val="000000"/>
          <w:szCs w:val="22"/>
        </w:rPr>
        <w:t xml:space="preserve"> analgetickým účinkom</w:t>
      </w:r>
      <w:r w:rsidR="005065FA" w:rsidRPr="00694DB8">
        <w:rPr>
          <w:color w:val="000000"/>
          <w:szCs w:val="22"/>
        </w:rPr>
        <w:t xml:space="preserve"> a prináša</w:t>
      </w:r>
      <w:r w:rsidR="00A01B5A" w:rsidRPr="00694DB8">
        <w:rPr>
          <w:color w:val="000000"/>
          <w:szCs w:val="22"/>
        </w:rPr>
        <w:t>jú</w:t>
      </w:r>
      <w:r w:rsidR="005065FA" w:rsidRPr="00694DB8">
        <w:rPr>
          <w:color w:val="000000"/>
          <w:szCs w:val="22"/>
        </w:rPr>
        <w:t xml:space="preserve"> rýchlu úľav</w:t>
      </w:r>
      <w:r w:rsidR="00920F0E" w:rsidRPr="00694DB8">
        <w:rPr>
          <w:color w:val="000000"/>
          <w:szCs w:val="22"/>
        </w:rPr>
        <w:t>u</w:t>
      </w:r>
      <w:r w:rsidR="005065FA" w:rsidRPr="00694DB8">
        <w:rPr>
          <w:color w:val="000000"/>
          <w:szCs w:val="22"/>
        </w:rPr>
        <w:t xml:space="preserve"> od bolesti.</w:t>
      </w:r>
    </w:p>
    <w:p w14:paraId="686E5EEC" w14:textId="77777777" w:rsidR="0036355A" w:rsidRPr="00694DB8" w:rsidRDefault="0036355A" w:rsidP="00AF110C">
      <w:pPr>
        <w:pStyle w:val="Text"/>
        <w:tabs>
          <w:tab w:val="left" w:pos="567"/>
        </w:tabs>
        <w:jc w:val="left"/>
        <w:rPr>
          <w:sz w:val="22"/>
          <w:szCs w:val="22"/>
          <w:lang w:val="sk-SK"/>
        </w:rPr>
      </w:pPr>
      <w:r w:rsidRPr="00694DB8">
        <w:rPr>
          <w:sz w:val="22"/>
          <w:szCs w:val="22"/>
          <w:lang w:val="sk-SK"/>
        </w:rPr>
        <w:t xml:space="preserve">Klinické gastro-duodenálne endoskopické štúdie demonštrujú, že Voltaren Rapid mäkké kapsuly sú </w:t>
      </w:r>
      <w:r w:rsidR="001A5E5C" w:rsidRPr="00694DB8">
        <w:rPr>
          <w:sz w:val="22"/>
          <w:szCs w:val="22"/>
          <w:lang w:val="sk-SK"/>
        </w:rPr>
        <w:t xml:space="preserve">rovnako dobre </w:t>
      </w:r>
      <w:r w:rsidRPr="00694DB8">
        <w:rPr>
          <w:sz w:val="22"/>
          <w:szCs w:val="22"/>
          <w:lang w:val="sk-SK"/>
        </w:rPr>
        <w:t>tolerované ako Voltaren obalené tablety. Tieto endoskopické údaje tiež preukazujú, že Voltaren Rapid mäkké kapsuly sú</w:t>
      </w:r>
      <w:r w:rsidR="001A5E5C" w:rsidRPr="00694DB8">
        <w:rPr>
          <w:sz w:val="22"/>
          <w:szCs w:val="22"/>
          <w:lang w:val="sk-SK"/>
        </w:rPr>
        <w:t xml:space="preserve"> signifikantne</w:t>
      </w:r>
      <w:r w:rsidRPr="00694DB8">
        <w:rPr>
          <w:sz w:val="22"/>
          <w:szCs w:val="22"/>
          <w:lang w:val="sk-SK"/>
        </w:rPr>
        <w:t xml:space="preserve"> lepšie tolerované gastroduodenálnym traktom ako tablety obsahujúce kyselinu acetylsalicylovú a ako mäkké kapsuly obsahujúce ibuprof</w:t>
      </w:r>
      <w:r w:rsidR="00B006CC">
        <w:rPr>
          <w:sz w:val="22"/>
          <w:szCs w:val="22"/>
          <w:lang w:val="sk-SK"/>
        </w:rPr>
        <w:t>é</w:t>
      </w:r>
      <w:r w:rsidRPr="00694DB8">
        <w:rPr>
          <w:sz w:val="22"/>
          <w:szCs w:val="22"/>
          <w:lang w:val="sk-SK"/>
        </w:rPr>
        <w:t>n.</w:t>
      </w:r>
    </w:p>
    <w:p w14:paraId="6D3C6E21" w14:textId="77777777" w:rsidR="0036355A" w:rsidRPr="00694DB8" w:rsidRDefault="0036355A" w:rsidP="00AF110C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4259E57E" w14:textId="77777777" w:rsidR="0022113C" w:rsidRPr="00694DB8" w:rsidRDefault="00DF035C" w:rsidP="00AF110C">
      <w:pPr>
        <w:tabs>
          <w:tab w:val="left" w:pos="567"/>
        </w:tabs>
        <w:ind w:left="0" w:firstLine="0"/>
        <w:rPr>
          <w:szCs w:val="22"/>
        </w:rPr>
      </w:pPr>
      <w:r w:rsidRPr="00F41B18">
        <w:rPr>
          <w:szCs w:val="22"/>
        </w:rPr>
        <w:t>Drasel</w:t>
      </w:r>
      <w:r w:rsidR="0022113C" w:rsidRPr="00F41B18">
        <w:rPr>
          <w:szCs w:val="22"/>
        </w:rPr>
        <w:t xml:space="preserve">ná soľ diklofenaku </w:t>
      </w:r>
      <w:r w:rsidR="0022113C" w:rsidRPr="00694DB8">
        <w:rPr>
          <w:i/>
          <w:szCs w:val="22"/>
        </w:rPr>
        <w:t>in vitro</w:t>
      </w:r>
      <w:r w:rsidR="0022113C" w:rsidRPr="00694DB8">
        <w:rPr>
          <w:szCs w:val="22"/>
        </w:rPr>
        <w:t xml:space="preserve"> nepotláča biosyntézu </w:t>
      </w:r>
      <w:r w:rsidR="00527BE1" w:rsidRPr="00694DB8">
        <w:rPr>
          <w:szCs w:val="22"/>
        </w:rPr>
        <w:t>proteoglykánov</w:t>
      </w:r>
      <w:r w:rsidR="00AF110C" w:rsidRPr="00694DB8">
        <w:rPr>
          <w:szCs w:val="22"/>
        </w:rPr>
        <w:t xml:space="preserve"> v </w:t>
      </w:r>
      <w:r w:rsidR="0022113C" w:rsidRPr="00694DB8">
        <w:rPr>
          <w:szCs w:val="22"/>
        </w:rPr>
        <w:t>chrupavke</w:t>
      </w:r>
      <w:r w:rsidR="00AF110C" w:rsidRPr="00694DB8">
        <w:rPr>
          <w:szCs w:val="22"/>
        </w:rPr>
        <w:t xml:space="preserve"> v </w:t>
      </w:r>
      <w:r w:rsidR="0022113C" w:rsidRPr="00694DB8">
        <w:rPr>
          <w:szCs w:val="22"/>
        </w:rPr>
        <w:t>koncentráciách</w:t>
      </w:r>
      <w:r w:rsidR="00634177" w:rsidRPr="00694DB8">
        <w:rPr>
          <w:szCs w:val="22"/>
        </w:rPr>
        <w:t xml:space="preserve">, </w:t>
      </w:r>
      <w:r w:rsidR="0022113C" w:rsidRPr="00694DB8">
        <w:rPr>
          <w:szCs w:val="22"/>
        </w:rPr>
        <w:t>ktoré sa dosahujú</w:t>
      </w:r>
      <w:r w:rsidR="00AF110C" w:rsidRPr="00694DB8">
        <w:rPr>
          <w:szCs w:val="22"/>
        </w:rPr>
        <w:t xml:space="preserve"> u </w:t>
      </w:r>
      <w:r w:rsidR="00527BE1" w:rsidRPr="00694DB8">
        <w:rPr>
          <w:szCs w:val="22"/>
        </w:rPr>
        <w:t>ľudí.</w:t>
      </w:r>
    </w:p>
    <w:p w14:paraId="0DC5F635" w14:textId="77777777" w:rsidR="00EF4189" w:rsidRPr="00694DB8" w:rsidRDefault="00EF4189" w:rsidP="00AF110C">
      <w:pPr>
        <w:tabs>
          <w:tab w:val="left" w:pos="567"/>
        </w:tabs>
        <w:rPr>
          <w:b/>
          <w:szCs w:val="22"/>
        </w:rPr>
      </w:pPr>
    </w:p>
    <w:p w14:paraId="7E830426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lastRenderedPageBreak/>
        <w:t>5.2</w:t>
      </w:r>
      <w:r w:rsidRPr="00694DB8">
        <w:rPr>
          <w:b/>
          <w:szCs w:val="22"/>
        </w:rPr>
        <w:tab/>
        <w:t>Farmakokinetické vlastnosti</w:t>
      </w:r>
    </w:p>
    <w:p w14:paraId="03432F27" w14:textId="77777777" w:rsidR="001A1957" w:rsidRPr="00694DB8" w:rsidRDefault="001A1957" w:rsidP="00AF110C">
      <w:pPr>
        <w:pStyle w:val="Nadpis3"/>
        <w:tabs>
          <w:tab w:val="left" w:pos="567"/>
        </w:tabs>
        <w:spacing w:before="0" w:after="0"/>
        <w:ind w:left="0" w:firstLine="0"/>
        <w:rPr>
          <w:rFonts w:ascii="Times New Roman" w:hAnsi="Times New Roman"/>
          <w:sz w:val="22"/>
          <w:szCs w:val="22"/>
        </w:rPr>
      </w:pPr>
    </w:p>
    <w:p w14:paraId="43749CB2" w14:textId="77777777" w:rsidR="0022113C" w:rsidRPr="00694DB8" w:rsidRDefault="0022113C" w:rsidP="00AF110C">
      <w:pPr>
        <w:pStyle w:val="Nadpis3"/>
        <w:tabs>
          <w:tab w:val="left" w:pos="567"/>
        </w:tabs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u w:val="single"/>
        </w:rPr>
      </w:pPr>
      <w:r w:rsidRPr="00694DB8">
        <w:rPr>
          <w:rFonts w:ascii="Times New Roman" w:hAnsi="Times New Roman"/>
          <w:b w:val="0"/>
          <w:sz w:val="22"/>
          <w:szCs w:val="22"/>
          <w:u w:val="single"/>
        </w:rPr>
        <w:t>Absorpcia</w:t>
      </w:r>
    </w:p>
    <w:p w14:paraId="6BAC34FA" w14:textId="77777777" w:rsidR="00DE4622" w:rsidRPr="00694DB8" w:rsidRDefault="00001E70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 xml:space="preserve">Diklofenak sa rýchlo a úplne </w:t>
      </w:r>
      <w:r w:rsidR="00654617" w:rsidRPr="00694DB8">
        <w:rPr>
          <w:szCs w:val="22"/>
        </w:rPr>
        <w:t>ab</w:t>
      </w:r>
      <w:r w:rsidRPr="00694DB8">
        <w:rPr>
          <w:szCs w:val="22"/>
        </w:rPr>
        <w:t>sorbuje</w:t>
      </w:r>
      <w:r w:rsidR="000F14FB" w:rsidRPr="00694DB8">
        <w:rPr>
          <w:szCs w:val="22"/>
        </w:rPr>
        <w:t xml:space="preserve">. </w:t>
      </w:r>
      <w:r w:rsidR="005065FA" w:rsidRPr="00694DB8">
        <w:rPr>
          <w:color w:val="000000"/>
          <w:szCs w:val="22"/>
        </w:rPr>
        <w:t xml:space="preserve">Po užití </w:t>
      </w:r>
      <w:r w:rsidR="00A01B5A" w:rsidRPr="00694DB8">
        <w:rPr>
          <w:color w:val="000000"/>
          <w:szCs w:val="22"/>
        </w:rPr>
        <w:t xml:space="preserve">jednej </w:t>
      </w:r>
      <w:r w:rsidR="005065FA" w:rsidRPr="00694DB8">
        <w:rPr>
          <w:color w:val="000000"/>
          <w:szCs w:val="22"/>
        </w:rPr>
        <w:t>25</w:t>
      </w:r>
      <w:r w:rsidR="00AF110C" w:rsidRPr="00694DB8">
        <w:rPr>
          <w:color w:val="000000"/>
          <w:szCs w:val="22"/>
        </w:rPr>
        <w:t> mg</w:t>
      </w:r>
      <w:r w:rsidR="005065FA" w:rsidRPr="00694DB8">
        <w:rPr>
          <w:color w:val="000000"/>
          <w:szCs w:val="22"/>
        </w:rPr>
        <w:t xml:space="preserve"> mäkk</w:t>
      </w:r>
      <w:r w:rsidR="00A01B5A" w:rsidRPr="00694DB8">
        <w:rPr>
          <w:color w:val="000000"/>
          <w:szCs w:val="22"/>
        </w:rPr>
        <w:t>ej</w:t>
      </w:r>
      <w:r w:rsidR="005065FA" w:rsidRPr="00694DB8">
        <w:rPr>
          <w:color w:val="000000"/>
          <w:szCs w:val="22"/>
        </w:rPr>
        <w:t xml:space="preserve"> kaps</w:t>
      </w:r>
      <w:r w:rsidR="00A01B5A" w:rsidRPr="00694DB8">
        <w:rPr>
          <w:color w:val="000000"/>
          <w:szCs w:val="22"/>
        </w:rPr>
        <w:t>uly</w:t>
      </w:r>
      <w:r w:rsidR="00C20A76" w:rsidRPr="00694DB8">
        <w:rPr>
          <w:color w:val="000000"/>
          <w:szCs w:val="22"/>
        </w:rPr>
        <w:t xml:space="preserve"> nalačno</w:t>
      </w:r>
      <w:r w:rsidR="005065FA" w:rsidRPr="00694DB8">
        <w:rPr>
          <w:color w:val="000000"/>
          <w:szCs w:val="22"/>
        </w:rPr>
        <w:t xml:space="preserve"> sa stredná</w:t>
      </w:r>
      <w:r w:rsidR="005065FA" w:rsidRPr="00694DB8">
        <w:rPr>
          <w:szCs w:val="22"/>
        </w:rPr>
        <w:t xml:space="preserve"> vrcholová</w:t>
      </w:r>
      <w:r w:rsidRPr="00694DB8">
        <w:rPr>
          <w:szCs w:val="22"/>
        </w:rPr>
        <w:t xml:space="preserve"> </w:t>
      </w:r>
      <w:r w:rsidR="005065FA" w:rsidRPr="00694DB8">
        <w:rPr>
          <w:szCs w:val="22"/>
        </w:rPr>
        <w:t>plazmatická konce</w:t>
      </w:r>
      <w:r w:rsidRPr="00694DB8">
        <w:rPr>
          <w:szCs w:val="22"/>
        </w:rPr>
        <w:t>ntráci</w:t>
      </w:r>
      <w:r w:rsidR="005065FA" w:rsidRPr="00694DB8">
        <w:rPr>
          <w:szCs w:val="22"/>
        </w:rPr>
        <w:t xml:space="preserve">a </w:t>
      </w:r>
      <w:r w:rsidR="00C20A76" w:rsidRPr="00694DB8">
        <w:rPr>
          <w:szCs w:val="22"/>
        </w:rPr>
        <w:t>1</w:t>
      </w:r>
      <w:r w:rsidR="000B4C97" w:rsidRPr="00694DB8">
        <w:rPr>
          <w:szCs w:val="22"/>
        </w:rPr>
        <w:t> </w:t>
      </w:r>
      <w:r w:rsidR="00C20A76" w:rsidRPr="00694DB8">
        <w:rPr>
          <w:szCs w:val="22"/>
        </w:rPr>
        <w:t>12</w:t>
      </w:r>
      <w:r w:rsidR="009A2968" w:rsidRPr="00694DB8">
        <w:rPr>
          <w:szCs w:val="22"/>
        </w:rPr>
        <w:t>5</w:t>
      </w:r>
      <w:r w:rsidR="000B4C97" w:rsidRPr="00694DB8">
        <w:rPr>
          <w:szCs w:val="22"/>
        </w:rPr>
        <w:t> </w:t>
      </w:r>
      <w:r w:rsidR="00C20A76" w:rsidRPr="00694DB8">
        <w:rPr>
          <w:szCs w:val="22"/>
        </w:rPr>
        <w:t>ng/ml</w:t>
      </w:r>
      <w:r w:rsidRPr="00694DB8">
        <w:rPr>
          <w:szCs w:val="22"/>
        </w:rPr>
        <w:t xml:space="preserve"> dosiahn</w:t>
      </w:r>
      <w:r w:rsidR="005065FA" w:rsidRPr="00694DB8">
        <w:rPr>
          <w:szCs w:val="22"/>
        </w:rPr>
        <w:t>e</w:t>
      </w:r>
      <w:r w:rsidRPr="00694DB8">
        <w:rPr>
          <w:szCs w:val="22"/>
        </w:rPr>
        <w:t xml:space="preserve"> za </w:t>
      </w:r>
      <w:r w:rsidR="005065FA" w:rsidRPr="00694DB8">
        <w:rPr>
          <w:szCs w:val="22"/>
        </w:rPr>
        <w:t>2</w:t>
      </w:r>
      <w:r w:rsidR="007B73DC" w:rsidRPr="00694DB8">
        <w:rPr>
          <w:szCs w:val="22"/>
        </w:rPr>
        <w:t>5</w:t>
      </w:r>
      <w:r w:rsidR="000B4C97" w:rsidRPr="00694DB8">
        <w:rPr>
          <w:szCs w:val="22"/>
        </w:rPr>
        <w:t> </w:t>
      </w:r>
      <w:r w:rsidRPr="00694DB8">
        <w:rPr>
          <w:szCs w:val="22"/>
        </w:rPr>
        <w:t xml:space="preserve">minút </w:t>
      </w:r>
      <w:r w:rsidR="00CE1E9D" w:rsidRPr="00694DB8">
        <w:rPr>
          <w:szCs w:val="22"/>
        </w:rPr>
        <w:t xml:space="preserve">(stredná hodnota </w:t>
      </w:r>
      <w:r w:rsidR="00C919B6" w:rsidRPr="00694DB8">
        <w:rPr>
          <w:szCs w:val="22"/>
        </w:rPr>
        <w:t>t</w:t>
      </w:r>
      <w:r w:rsidR="00CE1E9D" w:rsidRPr="00694DB8">
        <w:rPr>
          <w:szCs w:val="22"/>
          <w:vertAlign w:val="subscript"/>
        </w:rPr>
        <w:t>max</w:t>
      </w:r>
      <w:r w:rsidR="00CE1E9D" w:rsidRPr="00694DB8">
        <w:rPr>
          <w:szCs w:val="22"/>
        </w:rPr>
        <w:t>)</w:t>
      </w:r>
      <w:r w:rsidR="0077005A" w:rsidRPr="00694DB8">
        <w:rPr>
          <w:szCs w:val="22"/>
        </w:rPr>
        <w:t>.</w:t>
      </w:r>
    </w:p>
    <w:p w14:paraId="48794345" w14:textId="77777777" w:rsidR="00140E39" w:rsidRPr="00694DB8" w:rsidRDefault="00140E39" w:rsidP="00AF110C">
      <w:pPr>
        <w:tabs>
          <w:tab w:val="left" w:pos="567"/>
        </w:tabs>
        <w:ind w:left="0" w:firstLine="0"/>
        <w:jc w:val="both"/>
        <w:rPr>
          <w:szCs w:val="22"/>
        </w:rPr>
      </w:pPr>
    </w:p>
    <w:p w14:paraId="6F168FFF" w14:textId="77777777" w:rsidR="00140E39" w:rsidRPr="00694DB8" w:rsidRDefault="00140E39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Klinické farmakokinetické údaje preukázali že rozsah absorpcie (AUC) je ekvivalentný pre Voltaren mäkké kapsuly aj tablety. Skorá expozícia je vyššia pre mäkké kapsuly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>porovnaní</w:t>
      </w:r>
      <w:r w:rsidR="00AF110C" w:rsidRPr="00694DB8">
        <w:rPr>
          <w:szCs w:val="22"/>
        </w:rPr>
        <w:t xml:space="preserve"> s </w:t>
      </w:r>
      <w:r w:rsidRPr="00694DB8">
        <w:rPr>
          <w:szCs w:val="22"/>
        </w:rPr>
        <w:t>tabletami a C</w:t>
      </w:r>
      <w:r w:rsidRPr="00694DB8">
        <w:rPr>
          <w:szCs w:val="22"/>
          <w:vertAlign w:val="subscript"/>
        </w:rPr>
        <w:t>max</w:t>
      </w:r>
      <w:r w:rsidRPr="00694DB8">
        <w:rPr>
          <w:szCs w:val="22"/>
        </w:rPr>
        <w:t xml:space="preserve"> pre mäkké kapsuly je vyššia</w:t>
      </w:r>
      <w:r w:rsidR="00AF110C" w:rsidRPr="00694DB8">
        <w:rPr>
          <w:szCs w:val="22"/>
        </w:rPr>
        <w:t xml:space="preserve"> s </w:t>
      </w:r>
      <w:r w:rsidRPr="00694DB8">
        <w:rPr>
          <w:szCs w:val="22"/>
        </w:rPr>
        <w:t xml:space="preserve">rýchlejším </w:t>
      </w:r>
      <w:r w:rsidR="00242BCF" w:rsidRPr="00694DB8">
        <w:rPr>
          <w:szCs w:val="22"/>
        </w:rPr>
        <w:t>t</w:t>
      </w:r>
      <w:r w:rsidRPr="00694DB8">
        <w:rPr>
          <w:szCs w:val="22"/>
          <w:vertAlign w:val="subscript"/>
        </w:rPr>
        <w:t>max</w:t>
      </w:r>
      <w:r w:rsidRPr="00694DB8">
        <w:rPr>
          <w:szCs w:val="22"/>
        </w:rPr>
        <w:t xml:space="preserve"> ako pre tablety</w:t>
      </w:r>
      <w:r w:rsidR="004961B6" w:rsidRPr="00694DB8">
        <w:rPr>
          <w:szCs w:val="22"/>
        </w:rPr>
        <w:t>.</w:t>
      </w:r>
    </w:p>
    <w:p w14:paraId="4F9F12FC" w14:textId="77777777" w:rsidR="004961B6" w:rsidRPr="00694DB8" w:rsidRDefault="004961B6" w:rsidP="00AF110C">
      <w:pPr>
        <w:tabs>
          <w:tab w:val="left" w:pos="567"/>
        </w:tabs>
        <w:ind w:left="0" w:firstLine="0"/>
        <w:rPr>
          <w:szCs w:val="22"/>
        </w:rPr>
      </w:pPr>
    </w:p>
    <w:p w14:paraId="24A83660" w14:textId="77777777" w:rsidR="00C20A76" w:rsidRPr="00694DB8" w:rsidRDefault="00C20A76" w:rsidP="00AF110C">
      <w:pPr>
        <w:tabs>
          <w:tab w:val="left" w:pos="567"/>
        </w:tabs>
        <w:ind w:left="0" w:firstLine="0"/>
        <w:jc w:val="both"/>
        <w:rPr>
          <w:color w:val="000000"/>
          <w:szCs w:val="22"/>
        </w:rPr>
      </w:pPr>
      <w:r w:rsidRPr="00694DB8">
        <w:rPr>
          <w:color w:val="000000"/>
          <w:szCs w:val="22"/>
        </w:rPr>
        <w:t>Rýchlosť absorpcie diklofenaku môže byť znížená pokiaľ je podaný po jedle (nižšia C</w:t>
      </w:r>
      <w:r w:rsidRPr="00694DB8">
        <w:rPr>
          <w:color w:val="000000"/>
          <w:szCs w:val="22"/>
          <w:vertAlign w:val="subscript"/>
        </w:rPr>
        <w:t>max</w:t>
      </w:r>
      <w:r w:rsidRPr="00694DB8">
        <w:rPr>
          <w:color w:val="000000"/>
          <w:szCs w:val="22"/>
        </w:rPr>
        <w:t>,</w:t>
      </w:r>
      <w:r w:rsidRPr="00694DB8">
        <w:rPr>
          <w:color w:val="000000"/>
          <w:szCs w:val="22"/>
          <w:vertAlign w:val="subscript"/>
        </w:rPr>
        <w:t xml:space="preserve"> </w:t>
      </w:r>
      <w:r w:rsidRPr="00694DB8">
        <w:rPr>
          <w:color w:val="000000"/>
          <w:szCs w:val="22"/>
        </w:rPr>
        <w:t>d</w:t>
      </w:r>
      <w:r w:rsidR="00C919B6" w:rsidRPr="00694DB8">
        <w:rPr>
          <w:color w:val="000000"/>
          <w:szCs w:val="22"/>
        </w:rPr>
        <w:t>l</w:t>
      </w:r>
      <w:r w:rsidRPr="00694DB8">
        <w:rPr>
          <w:color w:val="000000"/>
          <w:szCs w:val="22"/>
        </w:rPr>
        <w:t>hš</w:t>
      </w:r>
      <w:r w:rsidR="00C919B6" w:rsidRPr="00694DB8">
        <w:rPr>
          <w:color w:val="000000"/>
          <w:szCs w:val="22"/>
        </w:rPr>
        <w:t>í</w:t>
      </w:r>
      <w:r w:rsidRPr="00F41B18">
        <w:rPr>
          <w:color w:val="000000"/>
          <w:szCs w:val="22"/>
        </w:rPr>
        <w:t xml:space="preserve"> t</w:t>
      </w:r>
      <w:r w:rsidRPr="00F41B18">
        <w:rPr>
          <w:color w:val="000000"/>
          <w:szCs w:val="22"/>
          <w:vertAlign w:val="subscript"/>
        </w:rPr>
        <w:t>max</w:t>
      </w:r>
      <w:r w:rsidRPr="00F41B18">
        <w:rPr>
          <w:color w:val="000000"/>
          <w:szCs w:val="22"/>
        </w:rPr>
        <w:t>)</w:t>
      </w:r>
      <w:r w:rsidR="00AF110C" w:rsidRPr="00694DB8">
        <w:rPr>
          <w:color w:val="000000"/>
          <w:szCs w:val="22"/>
        </w:rPr>
        <w:t xml:space="preserve"> v </w:t>
      </w:r>
      <w:r w:rsidRPr="00694DB8">
        <w:rPr>
          <w:color w:val="000000"/>
          <w:szCs w:val="22"/>
        </w:rPr>
        <w:t>porovnaní</w:t>
      </w:r>
      <w:r w:rsidR="00AF110C" w:rsidRPr="00694DB8">
        <w:rPr>
          <w:color w:val="000000"/>
          <w:szCs w:val="22"/>
        </w:rPr>
        <w:t xml:space="preserve"> s </w:t>
      </w:r>
      <w:r w:rsidRPr="00694DB8">
        <w:rPr>
          <w:color w:val="000000"/>
          <w:szCs w:val="22"/>
        </w:rPr>
        <w:t>podaním nalačno</w:t>
      </w:r>
      <w:r w:rsidR="003A4CA1" w:rsidRPr="00694DB8">
        <w:rPr>
          <w:color w:val="000000"/>
          <w:szCs w:val="22"/>
        </w:rPr>
        <w:t>.</w:t>
      </w:r>
    </w:p>
    <w:p w14:paraId="643AB8C5" w14:textId="77777777" w:rsidR="00524A49" w:rsidRPr="00694DB8" w:rsidRDefault="00524A49" w:rsidP="00AF110C">
      <w:pPr>
        <w:pStyle w:val="Zkladntext"/>
        <w:tabs>
          <w:tab w:val="left" w:pos="567"/>
        </w:tabs>
        <w:rPr>
          <w:szCs w:val="22"/>
        </w:rPr>
      </w:pPr>
    </w:p>
    <w:p w14:paraId="3BCF4ABD" w14:textId="77777777" w:rsidR="00524A49" w:rsidRPr="00694DB8" w:rsidRDefault="00524A49" w:rsidP="00AF110C">
      <w:pPr>
        <w:pStyle w:val="Zkladntext"/>
        <w:tabs>
          <w:tab w:val="left" w:pos="567"/>
        </w:tabs>
        <w:rPr>
          <w:szCs w:val="22"/>
        </w:rPr>
      </w:pPr>
      <w:r w:rsidRPr="00694DB8">
        <w:rPr>
          <w:szCs w:val="22"/>
        </w:rPr>
        <w:t>Pretože asi polovica diklofenaku sa metabolizuje počas prvého prechodu pečeňou</w:t>
      </w:r>
      <w:r w:rsidR="000F14FB" w:rsidRPr="00694DB8">
        <w:rPr>
          <w:szCs w:val="22"/>
        </w:rPr>
        <w:t xml:space="preserve"> („first pass effect“)</w:t>
      </w:r>
      <w:r w:rsidRPr="00694DB8">
        <w:rPr>
          <w:szCs w:val="22"/>
        </w:rPr>
        <w:t xml:space="preserve">, plocha pod krivkou koncentrácie po perorálnom podaní je asi polovičná ako po </w:t>
      </w:r>
      <w:r w:rsidR="002C2F90" w:rsidRPr="00694DB8">
        <w:rPr>
          <w:szCs w:val="22"/>
        </w:rPr>
        <w:t>parenterálnom podaní rovnakej dávky.</w:t>
      </w:r>
      <w:r w:rsidRPr="00694DB8">
        <w:rPr>
          <w:szCs w:val="22"/>
        </w:rPr>
        <w:t xml:space="preserve"> </w:t>
      </w:r>
    </w:p>
    <w:p w14:paraId="1A730117" w14:textId="77777777" w:rsidR="00C943DB" w:rsidRPr="00694DB8" w:rsidRDefault="00C943DB" w:rsidP="00AF110C">
      <w:pPr>
        <w:tabs>
          <w:tab w:val="left" w:pos="567"/>
        </w:tabs>
        <w:ind w:left="0" w:firstLine="0"/>
        <w:rPr>
          <w:szCs w:val="22"/>
        </w:rPr>
      </w:pPr>
    </w:p>
    <w:p w14:paraId="48FD8D52" w14:textId="77777777" w:rsidR="00524A49" w:rsidRPr="00694DB8" w:rsidRDefault="00524A49" w:rsidP="00AF110C">
      <w:pPr>
        <w:pStyle w:val="Zkladntext"/>
        <w:tabs>
          <w:tab w:val="left" w:pos="567"/>
        </w:tabs>
        <w:rPr>
          <w:szCs w:val="22"/>
        </w:rPr>
      </w:pPr>
      <w:r w:rsidRPr="00694DB8">
        <w:rPr>
          <w:szCs w:val="22"/>
        </w:rPr>
        <w:t>Farmakokinetické vlastnosti sa nemenia po opakovanom podávaní.</w:t>
      </w:r>
      <w:r w:rsidR="00307135" w:rsidRPr="00694DB8">
        <w:rPr>
          <w:szCs w:val="22"/>
        </w:rPr>
        <w:t xml:space="preserve"> K</w:t>
      </w:r>
      <w:r w:rsidR="00AF110C" w:rsidRPr="00694DB8">
        <w:rPr>
          <w:szCs w:val="22"/>
        </w:rPr>
        <w:t> </w:t>
      </w:r>
      <w:r w:rsidRPr="00694DB8">
        <w:rPr>
          <w:szCs w:val="22"/>
        </w:rPr>
        <w:t xml:space="preserve">akumulácii liečiva nedochádza, ak sa dodržujú odporúčané intervaly medzi dávkami. </w:t>
      </w:r>
    </w:p>
    <w:p w14:paraId="422364F2" w14:textId="77777777" w:rsidR="00524A49" w:rsidRPr="00694DB8" w:rsidRDefault="00524A49" w:rsidP="00AF110C">
      <w:pPr>
        <w:tabs>
          <w:tab w:val="left" w:pos="567"/>
        </w:tabs>
        <w:ind w:left="0" w:firstLine="0"/>
        <w:rPr>
          <w:szCs w:val="22"/>
        </w:rPr>
      </w:pPr>
    </w:p>
    <w:p w14:paraId="62E46FCE" w14:textId="77777777" w:rsidR="0022113C" w:rsidRPr="00694DB8" w:rsidRDefault="0022113C" w:rsidP="00AF110C">
      <w:pPr>
        <w:pStyle w:val="Nadpis3"/>
        <w:tabs>
          <w:tab w:val="left" w:pos="567"/>
        </w:tabs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u w:val="single"/>
        </w:rPr>
      </w:pPr>
      <w:r w:rsidRPr="00694DB8">
        <w:rPr>
          <w:rFonts w:ascii="Times New Roman" w:hAnsi="Times New Roman"/>
          <w:b w:val="0"/>
          <w:sz w:val="22"/>
          <w:szCs w:val="22"/>
          <w:u w:val="single"/>
        </w:rPr>
        <w:t>Distribúcia</w:t>
      </w:r>
    </w:p>
    <w:p w14:paraId="70A20E25" w14:textId="77777777" w:rsidR="0022113C" w:rsidRPr="00694DB8" w:rsidRDefault="0022113C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99,7</w:t>
      </w:r>
      <w:r w:rsidR="00D84B5F" w:rsidRPr="00694DB8">
        <w:rPr>
          <w:szCs w:val="22"/>
        </w:rPr>
        <w:t> </w:t>
      </w:r>
      <w:r w:rsidRPr="00694DB8">
        <w:rPr>
          <w:szCs w:val="22"/>
        </w:rPr>
        <w:t>% diklofenaku sa viaže na sérové bielkoviny, hlavne na albumín (99,4</w:t>
      </w:r>
      <w:r w:rsidR="00D84B5F" w:rsidRPr="00694DB8">
        <w:rPr>
          <w:szCs w:val="22"/>
        </w:rPr>
        <w:t> </w:t>
      </w:r>
      <w:r w:rsidRPr="00694DB8">
        <w:rPr>
          <w:szCs w:val="22"/>
        </w:rPr>
        <w:t xml:space="preserve">%). Vypočítaný zdanlivý distribučný objem je 0,12 </w:t>
      </w:r>
      <w:r w:rsidR="001A1957" w:rsidRPr="00694DB8">
        <w:rPr>
          <w:szCs w:val="22"/>
        </w:rPr>
        <w:t>až</w:t>
      </w:r>
      <w:r w:rsidRPr="00694DB8">
        <w:rPr>
          <w:szCs w:val="22"/>
        </w:rPr>
        <w:t xml:space="preserve"> 0,17</w:t>
      </w:r>
      <w:r w:rsidR="00307135" w:rsidRPr="00694DB8">
        <w:rPr>
          <w:szCs w:val="22"/>
        </w:rPr>
        <w:t> </w:t>
      </w:r>
      <w:r w:rsidRPr="00694DB8">
        <w:rPr>
          <w:szCs w:val="22"/>
        </w:rPr>
        <w:t>l/kg.</w:t>
      </w:r>
    </w:p>
    <w:p w14:paraId="14059941" w14:textId="77777777" w:rsidR="000234D7" w:rsidRPr="00694DB8" w:rsidRDefault="000234D7" w:rsidP="00AF110C">
      <w:pPr>
        <w:tabs>
          <w:tab w:val="left" w:pos="567"/>
        </w:tabs>
        <w:ind w:left="0" w:firstLine="0"/>
        <w:rPr>
          <w:szCs w:val="22"/>
        </w:rPr>
      </w:pPr>
    </w:p>
    <w:p w14:paraId="35D5172C" w14:textId="77777777" w:rsidR="0022113C" w:rsidRPr="00694DB8" w:rsidRDefault="0022113C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 xml:space="preserve">Diklofenak preniká do synoviálnej tekutiny, kde sa maximálne koncentrácie namerajú 2 </w:t>
      </w:r>
      <w:r w:rsidR="001A1957" w:rsidRPr="00694DB8">
        <w:rPr>
          <w:szCs w:val="22"/>
        </w:rPr>
        <w:t>až</w:t>
      </w:r>
      <w:r w:rsidRPr="00694DB8">
        <w:rPr>
          <w:szCs w:val="22"/>
        </w:rPr>
        <w:t xml:space="preserve"> 4</w:t>
      </w:r>
      <w:r w:rsidR="00307135" w:rsidRPr="00694DB8">
        <w:rPr>
          <w:szCs w:val="22"/>
        </w:rPr>
        <w:t> </w:t>
      </w:r>
      <w:r w:rsidRPr="00694DB8">
        <w:rPr>
          <w:szCs w:val="22"/>
        </w:rPr>
        <w:t>hodiny po dosiahnutí maximálnych hladín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 xml:space="preserve">plazme. </w:t>
      </w:r>
      <w:r w:rsidR="00DE4622" w:rsidRPr="00694DB8">
        <w:rPr>
          <w:szCs w:val="22"/>
        </w:rPr>
        <w:t>P</w:t>
      </w:r>
      <w:r w:rsidRPr="00694DB8">
        <w:rPr>
          <w:szCs w:val="22"/>
        </w:rPr>
        <w:t xml:space="preserve">olčas eliminácie zo synoviálnej tekutiny je 3 </w:t>
      </w:r>
      <w:r w:rsidR="001A1957" w:rsidRPr="00694DB8">
        <w:rPr>
          <w:szCs w:val="22"/>
        </w:rPr>
        <w:t>až</w:t>
      </w:r>
      <w:r w:rsidRPr="00694DB8">
        <w:rPr>
          <w:szCs w:val="22"/>
        </w:rPr>
        <w:t xml:space="preserve"> 6</w:t>
      </w:r>
      <w:r w:rsidR="00934A7D" w:rsidRPr="00694DB8">
        <w:rPr>
          <w:szCs w:val="22"/>
        </w:rPr>
        <w:t> </w:t>
      </w:r>
      <w:r w:rsidRPr="00694DB8">
        <w:rPr>
          <w:szCs w:val="22"/>
        </w:rPr>
        <w:t>hodín. Dve hodiny po dosiahnutí maximálnych hladín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>plazme sú koncentrácie liečiva</w:t>
      </w:r>
      <w:r w:rsidR="00AF110C" w:rsidRPr="00694DB8">
        <w:rPr>
          <w:szCs w:val="22"/>
        </w:rPr>
        <w:t xml:space="preserve"> v </w:t>
      </w:r>
      <w:r w:rsidR="00DE4622" w:rsidRPr="00694DB8">
        <w:rPr>
          <w:szCs w:val="22"/>
        </w:rPr>
        <w:t xml:space="preserve">synoviálnej tekutine </w:t>
      </w:r>
      <w:r w:rsidRPr="00694DB8">
        <w:rPr>
          <w:szCs w:val="22"/>
        </w:rPr>
        <w:t>vyššie ako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 xml:space="preserve">plazme, </w:t>
      </w:r>
      <w:r w:rsidR="00495115" w:rsidRPr="00694DB8">
        <w:rPr>
          <w:szCs w:val="22"/>
        </w:rPr>
        <w:t xml:space="preserve">čo pretrváva </w:t>
      </w:r>
      <w:r w:rsidRPr="00694DB8">
        <w:rPr>
          <w:szCs w:val="22"/>
        </w:rPr>
        <w:t>až 12</w:t>
      </w:r>
      <w:r w:rsidR="00307135" w:rsidRPr="00694DB8">
        <w:rPr>
          <w:szCs w:val="22"/>
        </w:rPr>
        <w:t> </w:t>
      </w:r>
      <w:r w:rsidRPr="00694DB8">
        <w:rPr>
          <w:szCs w:val="22"/>
        </w:rPr>
        <w:t xml:space="preserve">hodín. </w:t>
      </w:r>
    </w:p>
    <w:p w14:paraId="4AE6D48A" w14:textId="77777777" w:rsidR="00D507BB" w:rsidRPr="00694DB8" w:rsidRDefault="00D507BB" w:rsidP="00AF110C">
      <w:pPr>
        <w:pStyle w:val="Nadpis3"/>
        <w:tabs>
          <w:tab w:val="left" w:pos="567"/>
        </w:tabs>
        <w:spacing w:before="0" w:after="0"/>
        <w:ind w:left="0" w:firstLine="0"/>
        <w:rPr>
          <w:rFonts w:ascii="Times New Roman" w:hAnsi="Times New Roman"/>
          <w:b w:val="0"/>
          <w:i/>
          <w:sz w:val="22"/>
          <w:szCs w:val="22"/>
        </w:rPr>
      </w:pPr>
    </w:p>
    <w:p w14:paraId="14749F02" w14:textId="77777777" w:rsidR="0022113C" w:rsidRPr="00694DB8" w:rsidRDefault="0022113C" w:rsidP="00AF110C">
      <w:pPr>
        <w:pStyle w:val="Nadpis3"/>
        <w:tabs>
          <w:tab w:val="left" w:pos="567"/>
        </w:tabs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u w:val="single"/>
        </w:rPr>
      </w:pPr>
      <w:r w:rsidRPr="00694DB8">
        <w:rPr>
          <w:rFonts w:ascii="Times New Roman" w:hAnsi="Times New Roman"/>
          <w:b w:val="0"/>
          <w:sz w:val="22"/>
          <w:szCs w:val="22"/>
          <w:u w:val="single"/>
        </w:rPr>
        <w:t>Biotransformácia</w:t>
      </w:r>
    </w:p>
    <w:p w14:paraId="5904C047" w14:textId="77777777" w:rsidR="0022113C" w:rsidRPr="00694DB8" w:rsidRDefault="0022113C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Biotransformácia diklofenaku prebieha čiastočne ako glukuronidácia neporušenej molekuly,</w:t>
      </w:r>
      <w:r w:rsidR="00182374" w:rsidRPr="00694DB8">
        <w:rPr>
          <w:szCs w:val="22"/>
        </w:rPr>
        <w:t xml:space="preserve"> </w:t>
      </w:r>
      <w:r w:rsidRPr="00694DB8">
        <w:rPr>
          <w:szCs w:val="22"/>
        </w:rPr>
        <w:t>ale hlavne ako jednorazová a viacnásobná hydroxylácia a metoxylácia, čím vzniká niekoľko fenolických metabolitov</w:t>
      </w:r>
      <w:r w:rsidR="00C107B2" w:rsidRPr="00694DB8">
        <w:rPr>
          <w:szCs w:val="22"/>
        </w:rPr>
        <w:t>,</w:t>
      </w:r>
      <w:r w:rsidR="00AF110C" w:rsidRPr="00694DB8">
        <w:rPr>
          <w:szCs w:val="22"/>
        </w:rPr>
        <w:t xml:space="preserve"> z </w:t>
      </w:r>
      <w:r w:rsidRPr="00694DB8">
        <w:rPr>
          <w:szCs w:val="22"/>
        </w:rPr>
        <w:t>ktorých sa väčšina premieňa na glukuronidové konjugáty. Dva</w:t>
      </w:r>
      <w:r w:rsidR="00AF110C" w:rsidRPr="00694DB8">
        <w:rPr>
          <w:szCs w:val="22"/>
        </w:rPr>
        <w:t xml:space="preserve"> z </w:t>
      </w:r>
      <w:r w:rsidRPr="00694DB8">
        <w:rPr>
          <w:szCs w:val="22"/>
        </w:rPr>
        <w:t xml:space="preserve">týchto fenolických metabolitov sú biologicky </w:t>
      </w:r>
      <w:r w:rsidR="00634177" w:rsidRPr="00694DB8">
        <w:rPr>
          <w:szCs w:val="22"/>
        </w:rPr>
        <w:t>aktívne</w:t>
      </w:r>
      <w:r w:rsidRPr="00694DB8">
        <w:rPr>
          <w:szCs w:val="22"/>
        </w:rPr>
        <w:t>, ale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 xml:space="preserve">oveľa menšej miere ako diklofenak. </w:t>
      </w:r>
    </w:p>
    <w:p w14:paraId="2651589C" w14:textId="77777777" w:rsidR="001A1957" w:rsidRPr="00694DB8" w:rsidRDefault="001A1957" w:rsidP="00307135">
      <w:pPr>
        <w:tabs>
          <w:tab w:val="left" w:pos="567"/>
        </w:tabs>
        <w:ind w:left="0" w:firstLine="0"/>
        <w:rPr>
          <w:szCs w:val="22"/>
        </w:rPr>
      </w:pPr>
    </w:p>
    <w:p w14:paraId="19C112F8" w14:textId="77777777" w:rsidR="0022113C" w:rsidRPr="00694DB8" w:rsidRDefault="0022113C" w:rsidP="00AF110C">
      <w:pPr>
        <w:pStyle w:val="Nadpis3"/>
        <w:tabs>
          <w:tab w:val="left" w:pos="567"/>
        </w:tabs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u w:val="single"/>
        </w:rPr>
      </w:pPr>
      <w:r w:rsidRPr="00694DB8">
        <w:rPr>
          <w:rFonts w:ascii="Times New Roman" w:hAnsi="Times New Roman"/>
          <w:b w:val="0"/>
          <w:sz w:val="22"/>
          <w:szCs w:val="22"/>
          <w:u w:val="single"/>
        </w:rPr>
        <w:t>Eliminácia</w:t>
      </w:r>
    </w:p>
    <w:p w14:paraId="1F0173B6" w14:textId="77777777" w:rsidR="0022113C" w:rsidRPr="00694DB8" w:rsidRDefault="0022113C" w:rsidP="00AF110C">
      <w:pPr>
        <w:pStyle w:val="Zkladntext"/>
        <w:tabs>
          <w:tab w:val="left" w:pos="567"/>
        </w:tabs>
        <w:rPr>
          <w:szCs w:val="22"/>
        </w:rPr>
      </w:pPr>
      <w:r w:rsidRPr="00694DB8">
        <w:rPr>
          <w:szCs w:val="22"/>
        </w:rPr>
        <w:t>Celkový systémový klírens diklofenaku</w:t>
      </w:r>
      <w:r w:rsidR="00AF110C" w:rsidRPr="00694DB8">
        <w:rPr>
          <w:szCs w:val="22"/>
        </w:rPr>
        <w:t xml:space="preserve"> z </w:t>
      </w:r>
      <w:r w:rsidRPr="00694DB8">
        <w:rPr>
          <w:szCs w:val="22"/>
        </w:rPr>
        <w:t>plazmy je 263</w:t>
      </w:r>
      <w:r w:rsidR="00307135" w:rsidRPr="00694DB8">
        <w:rPr>
          <w:szCs w:val="22"/>
        </w:rPr>
        <w:t> </w:t>
      </w:r>
      <w:r w:rsidRPr="00F41B18">
        <w:rPr>
          <w:szCs w:val="22"/>
        </w:rPr>
        <w:sym w:font="Symbol" w:char="F0B1"/>
      </w:r>
      <w:r w:rsidR="00307135" w:rsidRPr="00F41B18">
        <w:rPr>
          <w:szCs w:val="22"/>
        </w:rPr>
        <w:t> </w:t>
      </w:r>
      <w:r w:rsidRPr="00F41B18">
        <w:rPr>
          <w:szCs w:val="22"/>
        </w:rPr>
        <w:t>56</w:t>
      </w:r>
      <w:r w:rsidR="00307135" w:rsidRPr="00F41B18">
        <w:rPr>
          <w:szCs w:val="22"/>
        </w:rPr>
        <w:t> </w:t>
      </w:r>
      <w:r w:rsidRPr="00694DB8">
        <w:rPr>
          <w:szCs w:val="22"/>
        </w:rPr>
        <w:t>ml/min</w:t>
      </w:r>
      <w:r w:rsidR="00DE4622" w:rsidRPr="00694DB8">
        <w:rPr>
          <w:szCs w:val="22"/>
        </w:rPr>
        <w:t xml:space="preserve">. </w:t>
      </w:r>
      <w:r w:rsidRPr="00694DB8">
        <w:rPr>
          <w:szCs w:val="22"/>
        </w:rPr>
        <w:t>Konečný polčas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>plazme je 1</w:t>
      </w:r>
      <w:r w:rsidR="00934A7D" w:rsidRPr="00694DB8">
        <w:rPr>
          <w:szCs w:val="22"/>
        </w:rPr>
        <w:t> </w:t>
      </w:r>
      <w:r w:rsidR="001A1957" w:rsidRPr="00694DB8">
        <w:rPr>
          <w:szCs w:val="22"/>
        </w:rPr>
        <w:t>až</w:t>
      </w:r>
      <w:r w:rsidRPr="00694DB8">
        <w:rPr>
          <w:szCs w:val="22"/>
        </w:rPr>
        <w:t xml:space="preserve"> 2</w:t>
      </w:r>
      <w:r w:rsidR="00307135" w:rsidRPr="00694DB8">
        <w:rPr>
          <w:szCs w:val="22"/>
        </w:rPr>
        <w:t> </w:t>
      </w:r>
      <w:r w:rsidRPr="00694DB8">
        <w:rPr>
          <w:szCs w:val="22"/>
        </w:rPr>
        <w:t xml:space="preserve">hodiny. Štyri metabolity, vrátane dvoch </w:t>
      </w:r>
      <w:r w:rsidR="00634177" w:rsidRPr="00694DB8">
        <w:rPr>
          <w:szCs w:val="22"/>
        </w:rPr>
        <w:t>aktívny</w:t>
      </w:r>
      <w:r w:rsidRPr="00694DB8">
        <w:rPr>
          <w:szCs w:val="22"/>
        </w:rPr>
        <w:t>ch, majú tiež kratšie plazmatické polčasy, a to 1</w:t>
      </w:r>
      <w:r w:rsidR="00934A7D" w:rsidRPr="00694DB8">
        <w:rPr>
          <w:szCs w:val="22"/>
        </w:rPr>
        <w:t> </w:t>
      </w:r>
      <w:r w:rsidR="001A1957" w:rsidRPr="00694DB8">
        <w:rPr>
          <w:szCs w:val="22"/>
        </w:rPr>
        <w:t>až</w:t>
      </w:r>
      <w:r w:rsidRPr="00694DB8">
        <w:rPr>
          <w:szCs w:val="22"/>
        </w:rPr>
        <w:t xml:space="preserve"> 3</w:t>
      </w:r>
      <w:r w:rsidR="00307135" w:rsidRPr="00694DB8">
        <w:rPr>
          <w:szCs w:val="22"/>
        </w:rPr>
        <w:t> </w:t>
      </w:r>
      <w:r w:rsidRPr="00694DB8">
        <w:rPr>
          <w:szCs w:val="22"/>
        </w:rPr>
        <w:t xml:space="preserve">hodiny. </w:t>
      </w:r>
      <w:r w:rsidR="00E10ACA" w:rsidRPr="00694DB8">
        <w:rPr>
          <w:szCs w:val="22"/>
        </w:rPr>
        <w:t xml:space="preserve">Piaty </w:t>
      </w:r>
      <w:r w:rsidRPr="00694DB8">
        <w:rPr>
          <w:szCs w:val="22"/>
        </w:rPr>
        <w:t>metabolit, 3´-hydroxy-4´-met</w:t>
      </w:r>
      <w:r w:rsidR="001A5E5C" w:rsidRPr="00694DB8">
        <w:rPr>
          <w:szCs w:val="22"/>
        </w:rPr>
        <w:t>h</w:t>
      </w:r>
      <w:r w:rsidRPr="00694DB8">
        <w:rPr>
          <w:szCs w:val="22"/>
        </w:rPr>
        <w:t>oxy</w:t>
      </w:r>
      <w:r w:rsidR="00C107B2" w:rsidRPr="00694DB8">
        <w:rPr>
          <w:szCs w:val="22"/>
        </w:rPr>
        <w:t>-</w:t>
      </w:r>
      <w:r w:rsidRPr="00694DB8">
        <w:rPr>
          <w:szCs w:val="22"/>
        </w:rPr>
        <w:t>diklofenak, má oveľa dlhší plazmatický polčas. Tento metabolit je však prakticky ne</w:t>
      </w:r>
      <w:r w:rsidR="001A1957" w:rsidRPr="00694DB8">
        <w:rPr>
          <w:szCs w:val="22"/>
        </w:rPr>
        <w:t>aktívny</w:t>
      </w:r>
      <w:r w:rsidRPr="00694DB8">
        <w:rPr>
          <w:szCs w:val="22"/>
        </w:rPr>
        <w:t xml:space="preserve">. </w:t>
      </w:r>
    </w:p>
    <w:p w14:paraId="15C0C8C3" w14:textId="77777777" w:rsidR="000234D7" w:rsidRPr="00694DB8" w:rsidRDefault="000234D7" w:rsidP="00AF110C">
      <w:pPr>
        <w:tabs>
          <w:tab w:val="left" w:pos="567"/>
        </w:tabs>
        <w:ind w:left="0" w:firstLine="0"/>
        <w:rPr>
          <w:szCs w:val="22"/>
        </w:rPr>
      </w:pPr>
    </w:p>
    <w:p w14:paraId="1FE2AACC" w14:textId="77777777" w:rsidR="0022113C" w:rsidRPr="00694DB8" w:rsidRDefault="0022113C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Približne 60</w:t>
      </w:r>
      <w:r w:rsidR="00D84B5F" w:rsidRPr="00694DB8">
        <w:rPr>
          <w:szCs w:val="22"/>
        </w:rPr>
        <w:t> </w:t>
      </w:r>
      <w:r w:rsidRPr="00694DB8">
        <w:rPr>
          <w:szCs w:val="22"/>
        </w:rPr>
        <w:t>% podanej dávky sa vylúči močom ako glukuronidový konjugát intaktnej molekuly a ako metabolity,</w:t>
      </w:r>
      <w:r w:rsidR="00AF110C" w:rsidRPr="00694DB8">
        <w:rPr>
          <w:szCs w:val="22"/>
        </w:rPr>
        <w:t xml:space="preserve"> z </w:t>
      </w:r>
      <w:r w:rsidRPr="00694DB8">
        <w:rPr>
          <w:szCs w:val="22"/>
        </w:rPr>
        <w:t>ktorých väčšina sa tiež premieňa na glukuronidové konjugáty. Menej ako 1</w:t>
      </w:r>
      <w:r w:rsidR="00D84B5F" w:rsidRPr="00694DB8">
        <w:rPr>
          <w:szCs w:val="22"/>
        </w:rPr>
        <w:t> </w:t>
      </w:r>
      <w:r w:rsidRPr="00694DB8">
        <w:rPr>
          <w:szCs w:val="22"/>
        </w:rPr>
        <w:t>% sa vylúči ako nezmenená látka. Zvyšok dávky sa vylúči ako metabolity žlč</w:t>
      </w:r>
      <w:r w:rsidR="00E10ACA" w:rsidRPr="00694DB8">
        <w:rPr>
          <w:szCs w:val="22"/>
        </w:rPr>
        <w:t>ou</w:t>
      </w:r>
      <w:r w:rsidRPr="00694DB8">
        <w:rPr>
          <w:szCs w:val="22"/>
        </w:rPr>
        <w:t xml:space="preserve"> do stolice. </w:t>
      </w:r>
    </w:p>
    <w:p w14:paraId="55BF124D" w14:textId="77777777" w:rsidR="001A1957" w:rsidRPr="00694DB8" w:rsidRDefault="001A1957" w:rsidP="00307135">
      <w:pPr>
        <w:tabs>
          <w:tab w:val="left" w:pos="567"/>
        </w:tabs>
        <w:ind w:left="0" w:firstLine="0"/>
        <w:rPr>
          <w:szCs w:val="22"/>
        </w:rPr>
      </w:pPr>
    </w:p>
    <w:p w14:paraId="1E2DE4AC" w14:textId="77777777" w:rsidR="00723C14" w:rsidRPr="00694DB8" w:rsidRDefault="00723C14" w:rsidP="00AF110C">
      <w:pPr>
        <w:keepNext/>
        <w:tabs>
          <w:tab w:val="left" w:pos="567"/>
        </w:tabs>
        <w:rPr>
          <w:szCs w:val="22"/>
          <w:u w:val="single"/>
        </w:rPr>
      </w:pPr>
      <w:r w:rsidRPr="00694DB8">
        <w:rPr>
          <w:szCs w:val="22"/>
          <w:u w:val="single"/>
        </w:rPr>
        <w:t>Linearita</w:t>
      </w:r>
      <w:r w:rsidR="00307135" w:rsidRPr="00694DB8">
        <w:rPr>
          <w:szCs w:val="22"/>
          <w:u w:val="single"/>
        </w:rPr>
        <w:t> </w:t>
      </w:r>
      <w:r w:rsidRPr="00694DB8">
        <w:rPr>
          <w:szCs w:val="22"/>
          <w:u w:val="single"/>
        </w:rPr>
        <w:t>/</w:t>
      </w:r>
      <w:r w:rsidR="00307135" w:rsidRPr="00694DB8">
        <w:rPr>
          <w:szCs w:val="22"/>
          <w:u w:val="single"/>
        </w:rPr>
        <w:t> </w:t>
      </w:r>
      <w:r w:rsidR="00D17D35" w:rsidRPr="00694DB8">
        <w:rPr>
          <w:szCs w:val="22"/>
          <w:u w:val="single"/>
        </w:rPr>
        <w:t>N</w:t>
      </w:r>
      <w:r w:rsidR="00704F90" w:rsidRPr="00694DB8">
        <w:rPr>
          <w:szCs w:val="22"/>
          <w:u w:val="single"/>
        </w:rPr>
        <w:t>e</w:t>
      </w:r>
      <w:r w:rsidRPr="00694DB8">
        <w:rPr>
          <w:szCs w:val="22"/>
          <w:u w:val="single"/>
        </w:rPr>
        <w:t>linearita</w:t>
      </w:r>
    </w:p>
    <w:p w14:paraId="61AA6603" w14:textId="77777777" w:rsidR="00723C14" w:rsidRPr="00694DB8" w:rsidRDefault="00723C14" w:rsidP="00AF110C">
      <w:pPr>
        <w:tabs>
          <w:tab w:val="left" w:pos="567"/>
        </w:tabs>
        <w:rPr>
          <w:szCs w:val="22"/>
        </w:rPr>
      </w:pPr>
      <w:r w:rsidRPr="00694DB8">
        <w:rPr>
          <w:szCs w:val="22"/>
        </w:rPr>
        <w:t>Rozsah absorpcie (AUC) je</w:t>
      </w:r>
      <w:r w:rsidR="00AF110C" w:rsidRPr="00F41B18">
        <w:rPr>
          <w:szCs w:val="22"/>
        </w:rPr>
        <w:t xml:space="preserve"> v </w:t>
      </w:r>
      <w:r w:rsidRPr="00F41B18">
        <w:rPr>
          <w:szCs w:val="22"/>
        </w:rPr>
        <w:t>lineárnom pomere</w:t>
      </w:r>
      <w:r w:rsidR="00AF110C" w:rsidRPr="00694DB8">
        <w:rPr>
          <w:szCs w:val="22"/>
        </w:rPr>
        <w:t xml:space="preserve"> k </w:t>
      </w:r>
      <w:r w:rsidRPr="00694DB8">
        <w:rPr>
          <w:szCs w:val="22"/>
        </w:rPr>
        <w:t>veľkosti dávky.</w:t>
      </w:r>
    </w:p>
    <w:p w14:paraId="61185E86" w14:textId="77777777" w:rsidR="00723C14" w:rsidRPr="00694DB8" w:rsidRDefault="00723C14" w:rsidP="00AF110C">
      <w:pPr>
        <w:tabs>
          <w:tab w:val="left" w:pos="567"/>
        </w:tabs>
        <w:rPr>
          <w:szCs w:val="22"/>
        </w:rPr>
      </w:pPr>
    </w:p>
    <w:p w14:paraId="7EEF27EC" w14:textId="77777777" w:rsidR="0022113C" w:rsidRPr="00694DB8" w:rsidRDefault="0022113C" w:rsidP="00307135">
      <w:pPr>
        <w:keepNext/>
        <w:tabs>
          <w:tab w:val="left" w:pos="567"/>
        </w:tabs>
        <w:rPr>
          <w:i/>
          <w:szCs w:val="22"/>
          <w:u w:val="single"/>
        </w:rPr>
      </w:pPr>
      <w:r w:rsidRPr="00694DB8">
        <w:rPr>
          <w:i/>
          <w:szCs w:val="22"/>
          <w:u w:val="single"/>
        </w:rPr>
        <w:t>Charakteristik</w:t>
      </w:r>
      <w:r w:rsidR="00DE4622" w:rsidRPr="00694DB8">
        <w:rPr>
          <w:i/>
          <w:szCs w:val="22"/>
          <w:u w:val="single"/>
        </w:rPr>
        <w:t>y</w:t>
      </w:r>
      <w:r w:rsidR="00AF110C" w:rsidRPr="00694DB8">
        <w:rPr>
          <w:i/>
          <w:szCs w:val="22"/>
          <w:u w:val="single"/>
        </w:rPr>
        <w:t xml:space="preserve"> u </w:t>
      </w:r>
      <w:r w:rsidR="00C919B6" w:rsidRPr="00694DB8">
        <w:rPr>
          <w:i/>
          <w:szCs w:val="22"/>
          <w:u w:val="single"/>
        </w:rPr>
        <w:t xml:space="preserve">osobitných skupín </w:t>
      </w:r>
      <w:r w:rsidRPr="00694DB8">
        <w:rPr>
          <w:i/>
          <w:szCs w:val="22"/>
          <w:u w:val="single"/>
        </w:rPr>
        <w:t>pacientov</w:t>
      </w:r>
    </w:p>
    <w:p w14:paraId="37DB827E" w14:textId="77777777" w:rsidR="00661302" w:rsidRPr="00694DB8" w:rsidRDefault="00634177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N</w:t>
      </w:r>
      <w:r w:rsidR="0022113C" w:rsidRPr="00694DB8">
        <w:rPr>
          <w:szCs w:val="22"/>
        </w:rPr>
        <w:t xml:space="preserve">epozorovali </w:t>
      </w:r>
      <w:r w:rsidRPr="00694DB8">
        <w:rPr>
          <w:szCs w:val="22"/>
        </w:rPr>
        <w:t xml:space="preserve">sa </w:t>
      </w:r>
      <w:r w:rsidR="0022113C" w:rsidRPr="00694DB8">
        <w:rPr>
          <w:szCs w:val="22"/>
        </w:rPr>
        <w:t>významné rozdiely</w:t>
      </w:r>
      <w:r w:rsidR="00AF110C" w:rsidRPr="00F41B18">
        <w:rPr>
          <w:szCs w:val="22"/>
        </w:rPr>
        <w:t xml:space="preserve"> v </w:t>
      </w:r>
      <w:r w:rsidRPr="00F41B18">
        <w:rPr>
          <w:szCs w:val="22"/>
        </w:rPr>
        <w:t>ab</w:t>
      </w:r>
      <w:r w:rsidR="0022113C" w:rsidRPr="00F41B18">
        <w:rPr>
          <w:szCs w:val="22"/>
        </w:rPr>
        <w:t xml:space="preserve">sorpcii, metabolizme a vylučovaní </w:t>
      </w:r>
      <w:r w:rsidR="00C107B2" w:rsidRPr="00694DB8">
        <w:rPr>
          <w:szCs w:val="22"/>
        </w:rPr>
        <w:t>liečiva</w:t>
      </w:r>
      <w:r w:rsidR="00AF110C" w:rsidRPr="00694DB8">
        <w:rPr>
          <w:szCs w:val="22"/>
        </w:rPr>
        <w:t xml:space="preserve"> v </w:t>
      </w:r>
      <w:r w:rsidR="0022113C" w:rsidRPr="00694DB8">
        <w:rPr>
          <w:szCs w:val="22"/>
        </w:rPr>
        <w:t>závisl</w:t>
      </w:r>
      <w:r w:rsidR="00C107B2" w:rsidRPr="00694DB8">
        <w:rPr>
          <w:szCs w:val="22"/>
        </w:rPr>
        <w:t xml:space="preserve">osti </w:t>
      </w:r>
      <w:r w:rsidR="0022113C" w:rsidRPr="00694DB8">
        <w:rPr>
          <w:szCs w:val="22"/>
        </w:rPr>
        <w:t xml:space="preserve">od veku. </w:t>
      </w:r>
    </w:p>
    <w:p w14:paraId="7B29FC0E" w14:textId="77777777" w:rsidR="000234D7" w:rsidRPr="00694DB8" w:rsidRDefault="000234D7" w:rsidP="00AF110C">
      <w:pPr>
        <w:tabs>
          <w:tab w:val="left" w:pos="567"/>
        </w:tabs>
        <w:ind w:left="0" w:firstLine="0"/>
        <w:rPr>
          <w:szCs w:val="22"/>
        </w:rPr>
      </w:pPr>
    </w:p>
    <w:p w14:paraId="14B78E97" w14:textId="77777777" w:rsidR="0022113C" w:rsidRPr="00694DB8" w:rsidRDefault="0022113C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U</w:t>
      </w:r>
      <w:r w:rsidR="00307135" w:rsidRPr="00694DB8">
        <w:rPr>
          <w:szCs w:val="22"/>
        </w:rPr>
        <w:t> </w:t>
      </w:r>
      <w:r w:rsidRPr="00694DB8">
        <w:rPr>
          <w:szCs w:val="22"/>
        </w:rPr>
        <w:t>pacientov so zhoršenou funkciou obličiek nemožno usudzovať</w:t>
      </w:r>
      <w:r w:rsidR="00AF110C" w:rsidRPr="00694DB8">
        <w:rPr>
          <w:szCs w:val="22"/>
        </w:rPr>
        <w:t xml:space="preserve"> z </w:t>
      </w:r>
      <w:r w:rsidRPr="00694DB8">
        <w:rPr>
          <w:szCs w:val="22"/>
        </w:rPr>
        <w:t>kinetiky po jednorazovom podaní pri obvyklej dávkovacej schéme na akumuláciu nezmeneného liečiva. Pri klírense kreatinínu nižšom ako 10</w:t>
      </w:r>
      <w:r w:rsidR="00307135" w:rsidRPr="00694DB8">
        <w:rPr>
          <w:szCs w:val="22"/>
        </w:rPr>
        <w:t> </w:t>
      </w:r>
      <w:r w:rsidRPr="00694DB8">
        <w:rPr>
          <w:szCs w:val="22"/>
        </w:rPr>
        <w:t>ml/min sú vypočítané rovnovážne hladiny hydroxymetabolitov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>plazme asi 4-krát vyššie ako</w:t>
      </w:r>
      <w:r w:rsidR="00AF110C" w:rsidRPr="00694DB8">
        <w:rPr>
          <w:szCs w:val="22"/>
        </w:rPr>
        <w:t xml:space="preserve"> u </w:t>
      </w:r>
      <w:r w:rsidRPr="00694DB8">
        <w:rPr>
          <w:szCs w:val="22"/>
        </w:rPr>
        <w:t>zdravých jedincov. Metabolity sa však napokon vylúčia žlč</w:t>
      </w:r>
      <w:r w:rsidR="00C56171" w:rsidRPr="00694DB8">
        <w:rPr>
          <w:szCs w:val="22"/>
        </w:rPr>
        <w:t>ou</w:t>
      </w:r>
      <w:r w:rsidRPr="00694DB8">
        <w:rPr>
          <w:szCs w:val="22"/>
        </w:rPr>
        <w:t xml:space="preserve">. </w:t>
      </w:r>
    </w:p>
    <w:p w14:paraId="60E5E0BD" w14:textId="77777777" w:rsidR="00DC4516" w:rsidRPr="00694DB8" w:rsidRDefault="00DC4516" w:rsidP="00AF110C">
      <w:pPr>
        <w:tabs>
          <w:tab w:val="left" w:pos="567"/>
        </w:tabs>
        <w:ind w:left="0" w:firstLine="0"/>
        <w:rPr>
          <w:szCs w:val="22"/>
        </w:rPr>
      </w:pPr>
    </w:p>
    <w:p w14:paraId="6DEBA11A" w14:textId="77777777" w:rsidR="003A2E0D" w:rsidRPr="00694DB8" w:rsidRDefault="0022113C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U</w:t>
      </w:r>
      <w:r w:rsidR="00307135" w:rsidRPr="00694DB8">
        <w:rPr>
          <w:szCs w:val="22"/>
        </w:rPr>
        <w:t> </w:t>
      </w:r>
      <w:r w:rsidRPr="00694DB8">
        <w:rPr>
          <w:szCs w:val="22"/>
        </w:rPr>
        <w:t>pacientov</w:t>
      </w:r>
      <w:r w:rsidR="00AF110C" w:rsidRPr="00694DB8">
        <w:rPr>
          <w:szCs w:val="22"/>
        </w:rPr>
        <w:t xml:space="preserve"> s </w:t>
      </w:r>
      <w:r w:rsidRPr="00694DB8">
        <w:rPr>
          <w:szCs w:val="22"/>
        </w:rPr>
        <w:t>chronickou hepatitídou alebo kompenzovanou cirhózou pečene sú kinetika a</w:t>
      </w:r>
      <w:r w:rsidR="00D84B5F" w:rsidRPr="00694DB8">
        <w:rPr>
          <w:szCs w:val="22"/>
        </w:rPr>
        <w:t> </w:t>
      </w:r>
      <w:r w:rsidRPr="00694DB8">
        <w:rPr>
          <w:szCs w:val="22"/>
        </w:rPr>
        <w:t>metabolizmus diklofenaku rovnaké ako</w:t>
      </w:r>
      <w:r w:rsidR="00AF110C" w:rsidRPr="00694DB8">
        <w:rPr>
          <w:szCs w:val="22"/>
        </w:rPr>
        <w:t xml:space="preserve"> u </w:t>
      </w:r>
      <w:r w:rsidRPr="00694DB8">
        <w:rPr>
          <w:szCs w:val="22"/>
        </w:rPr>
        <w:t xml:space="preserve">pacientov bez ochorenia pečene. </w:t>
      </w:r>
    </w:p>
    <w:p w14:paraId="0390589C" w14:textId="77777777" w:rsidR="00F64284" w:rsidRPr="00694DB8" w:rsidRDefault="00F64284" w:rsidP="00AF110C">
      <w:pPr>
        <w:tabs>
          <w:tab w:val="left" w:pos="567"/>
        </w:tabs>
        <w:ind w:left="0" w:firstLine="0"/>
        <w:rPr>
          <w:szCs w:val="22"/>
        </w:rPr>
      </w:pPr>
    </w:p>
    <w:p w14:paraId="53A41D61" w14:textId="77777777" w:rsidR="003A2E0D" w:rsidRPr="00694DB8" w:rsidRDefault="000D62A9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5</w:t>
      </w:r>
      <w:r w:rsidR="003A2E0D" w:rsidRPr="00694DB8">
        <w:rPr>
          <w:b/>
          <w:szCs w:val="22"/>
        </w:rPr>
        <w:t>.3</w:t>
      </w:r>
      <w:r w:rsidR="003A2E0D" w:rsidRPr="00694DB8">
        <w:rPr>
          <w:b/>
          <w:szCs w:val="22"/>
        </w:rPr>
        <w:tab/>
        <w:t>Predklinické údaje</w:t>
      </w:r>
      <w:r w:rsidR="00AF110C" w:rsidRPr="00694DB8">
        <w:rPr>
          <w:b/>
          <w:szCs w:val="22"/>
        </w:rPr>
        <w:t xml:space="preserve"> o </w:t>
      </w:r>
      <w:r w:rsidR="003A2E0D" w:rsidRPr="00694DB8">
        <w:rPr>
          <w:b/>
          <w:szCs w:val="22"/>
        </w:rPr>
        <w:t>bezpečnosti</w:t>
      </w:r>
    </w:p>
    <w:p w14:paraId="5A0801BB" w14:textId="77777777" w:rsidR="000234D7" w:rsidRPr="00694DB8" w:rsidRDefault="000234D7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00374791" w14:textId="77777777" w:rsidR="001C034A" w:rsidRPr="00694DB8" w:rsidRDefault="0022113C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Predklinické údaje zo štúdií akútnej a chronickej toxicity, ako aj zo štúdií genotoxicity, mutagenity a karcinogeni</w:t>
      </w:r>
      <w:r w:rsidR="00DC4516" w:rsidRPr="00694DB8">
        <w:rPr>
          <w:szCs w:val="22"/>
        </w:rPr>
        <w:t>ci</w:t>
      </w:r>
      <w:r w:rsidRPr="00694DB8">
        <w:rPr>
          <w:szCs w:val="22"/>
        </w:rPr>
        <w:t xml:space="preserve">ty diklofenaku nepreukázali pri </w:t>
      </w:r>
      <w:r w:rsidR="001C034A" w:rsidRPr="00694DB8">
        <w:rPr>
          <w:szCs w:val="22"/>
        </w:rPr>
        <w:t>stanovených</w:t>
      </w:r>
      <w:r w:rsidRPr="00694DB8">
        <w:rPr>
          <w:szCs w:val="22"/>
        </w:rPr>
        <w:t xml:space="preserve"> terapeutických dávkach osobitné riziko pre ľudí.</w:t>
      </w:r>
      <w:r w:rsidR="00AF110C" w:rsidRPr="00694DB8">
        <w:rPr>
          <w:szCs w:val="22"/>
        </w:rPr>
        <w:t xml:space="preserve"> </w:t>
      </w:r>
      <w:r w:rsidR="00307135" w:rsidRPr="00694DB8">
        <w:rPr>
          <w:szCs w:val="22"/>
        </w:rPr>
        <w:t>V</w:t>
      </w:r>
      <w:r w:rsidR="00AF110C" w:rsidRPr="00694DB8">
        <w:rPr>
          <w:szCs w:val="22"/>
        </w:rPr>
        <w:t> </w:t>
      </w:r>
      <w:r w:rsidR="001C034A" w:rsidRPr="00694DB8">
        <w:rPr>
          <w:szCs w:val="22"/>
        </w:rPr>
        <w:t xml:space="preserve">štandardných predklinických štúdiách na zvieratách, neboli zistené </w:t>
      </w:r>
      <w:r w:rsidRPr="00694DB8">
        <w:rPr>
          <w:szCs w:val="22"/>
        </w:rPr>
        <w:t>dôkazy</w:t>
      </w:r>
      <w:r w:rsidR="00AF110C" w:rsidRPr="00694DB8">
        <w:rPr>
          <w:szCs w:val="22"/>
        </w:rPr>
        <w:t xml:space="preserve"> o </w:t>
      </w:r>
      <w:r w:rsidR="001A5E5C" w:rsidRPr="00694DB8">
        <w:rPr>
          <w:szCs w:val="22"/>
        </w:rPr>
        <w:t xml:space="preserve">jeho </w:t>
      </w:r>
      <w:r w:rsidRPr="00694DB8">
        <w:rPr>
          <w:szCs w:val="22"/>
        </w:rPr>
        <w:t>teratogénnom potenciále</w:t>
      </w:r>
      <w:r w:rsidR="00AF110C" w:rsidRPr="00694DB8">
        <w:rPr>
          <w:szCs w:val="22"/>
        </w:rPr>
        <w:t xml:space="preserve"> u </w:t>
      </w:r>
      <w:r w:rsidRPr="00694DB8">
        <w:rPr>
          <w:szCs w:val="22"/>
        </w:rPr>
        <w:t>myší, potkanov alebo králikov.</w:t>
      </w:r>
      <w:r w:rsidR="000D62A9" w:rsidRPr="00694DB8">
        <w:rPr>
          <w:szCs w:val="22"/>
        </w:rPr>
        <w:t xml:space="preserve"> </w:t>
      </w:r>
      <w:r w:rsidRPr="00694DB8">
        <w:rPr>
          <w:szCs w:val="22"/>
        </w:rPr>
        <w:t>Diklofenak nemal vplyv na fertilitu potkanov</w:t>
      </w:r>
      <w:r w:rsidR="00541D2B" w:rsidRPr="00694DB8">
        <w:rPr>
          <w:szCs w:val="22"/>
        </w:rPr>
        <w:t>.</w:t>
      </w:r>
      <w:r w:rsidR="00307135" w:rsidRPr="00694DB8">
        <w:rPr>
          <w:szCs w:val="22"/>
        </w:rPr>
        <w:t xml:space="preserve"> S</w:t>
      </w:r>
      <w:r w:rsidR="00AF110C" w:rsidRPr="00694DB8">
        <w:rPr>
          <w:szCs w:val="22"/>
        </w:rPr>
        <w:t> </w:t>
      </w:r>
      <w:r w:rsidR="001C034A" w:rsidRPr="00694DB8">
        <w:rPr>
          <w:szCs w:val="22"/>
        </w:rPr>
        <w:t>výnimkou minimálnych účinkov na plod pri dávkach toxických pre matku nedošlo</w:t>
      </w:r>
      <w:r w:rsidR="00AF110C" w:rsidRPr="00694DB8">
        <w:rPr>
          <w:szCs w:val="22"/>
        </w:rPr>
        <w:t xml:space="preserve"> k </w:t>
      </w:r>
      <w:r w:rsidR="001C034A" w:rsidRPr="00694DB8">
        <w:rPr>
          <w:szCs w:val="22"/>
        </w:rPr>
        <w:t xml:space="preserve">ovplyvneniu prenatálneho, perinatálneho a postnatálneho vývoja ich potomstva. </w:t>
      </w:r>
    </w:p>
    <w:p w14:paraId="63C136FA" w14:textId="77777777" w:rsidR="001C034A" w:rsidRPr="00694DB8" w:rsidRDefault="001C034A" w:rsidP="00AF110C">
      <w:pPr>
        <w:tabs>
          <w:tab w:val="left" w:pos="567"/>
        </w:tabs>
        <w:rPr>
          <w:szCs w:val="22"/>
        </w:rPr>
      </w:pPr>
    </w:p>
    <w:p w14:paraId="06670298" w14:textId="77777777" w:rsidR="00B760AE" w:rsidRPr="00694DB8" w:rsidRDefault="001C034A" w:rsidP="00AF110C">
      <w:pPr>
        <w:tabs>
          <w:tab w:val="left" w:pos="567"/>
        </w:tabs>
        <w:ind w:left="0" w:firstLine="0"/>
        <w:rPr>
          <w:szCs w:val="22"/>
        </w:rPr>
      </w:pPr>
      <w:r w:rsidRPr="00694DB8" w:rsidDel="001C034A">
        <w:rPr>
          <w:szCs w:val="22"/>
        </w:rPr>
        <w:t xml:space="preserve"> </w:t>
      </w:r>
    </w:p>
    <w:p w14:paraId="38DB470D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694DB8">
        <w:rPr>
          <w:b/>
          <w:szCs w:val="22"/>
        </w:rPr>
        <w:t>6.</w:t>
      </w:r>
      <w:r w:rsidRPr="00694DB8">
        <w:rPr>
          <w:b/>
          <w:szCs w:val="22"/>
        </w:rPr>
        <w:tab/>
        <w:t>FARMACEUTICKÉ INFORMÁCIE</w:t>
      </w:r>
    </w:p>
    <w:p w14:paraId="4F41A2A7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2409ADD9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6.1</w:t>
      </w:r>
      <w:r w:rsidRPr="00694DB8">
        <w:rPr>
          <w:b/>
          <w:szCs w:val="22"/>
        </w:rPr>
        <w:tab/>
        <w:t>Zoznam pomocných látok</w:t>
      </w:r>
    </w:p>
    <w:p w14:paraId="225F14C2" w14:textId="77777777" w:rsidR="000234D7" w:rsidRPr="00694DB8" w:rsidRDefault="000234D7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34AC0F6C" w14:textId="77777777" w:rsidR="0061476E" w:rsidRPr="00694DB8" w:rsidRDefault="00DE4622" w:rsidP="00AF110C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694DB8">
        <w:rPr>
          <w:szCs w:val="22"/>
          <w:u w:val="single"/>
        </w:rPr>
        <w:t>Náplň kapsuly</w:t>
      </w:r>
    </w:p>
    <w:p w14:paraId="47D87DDF" w14:textId="77777777" w:rsidR="0061476E" w:rsidRPr="00694DB8" w:rsidRDefault="00DE4622" w:rsidP="00AF110C">
      <w:pPr>
        <w:tabs>
          <w:tab w:val="left" w:pos="567"/>
        </w:tabs>
        <w:ind w:left="0" w:firstLine="0"/>
        <w:rPr>
          <w:color w:val="000000"/>
          <w:szCs w:val="22"/>
        </w:rPr>
      </w:pPr>
      <w:r w:rsidRPr="00694DB8">
        <w:rPr>
          <w:color w:val="000000"/>
          <w:szCs w:val="22"/>
        </w:rPr>
        <w:t>makrogol 600</w:t>
      </w:r>
    </w:p>
    <w:p w14:paraId="5761B378" w14:textId="77777777" w:rsidR="0061476E" w:rsidRPr="00694DB8" w:rsidRDefault="00DE4622" w:rsidP="00AF110C">
      <w:pPr>
        <w:tabs>
          <w:tab w:val="left" w:pos="567"/>
        </w:tabs>
        <w:ind w:left="0" w:firstLine="0"/>
        <w:rPr>
          <w:color w:val="000000"/>
          <w:szCs w:val="22"/>
        </w:rPr>
      </w:pPr>
      <w:r w:rsidRPr="00694DB8">
        <w:rPr>
          <w:color w:val="000000"/>
          <w:szCs w:val="22"/>
        </w:rPr>
        <w:t xml:space="preserve">glycerol </w:t>
      </w:r>
      <w:r w:rsidR="003C45E8" w:rsidRPr="00F41B18">
        <w:rPr>
          <w:color w:val="000000"/>
          <w:szCs w:val="22"/>
        </w:rPr>
        <w:t>85</w:t>
      </w:r>
      <w:r w:rsidR="0077005A" w:rsidRPr="00F41B18">
        <w:rPr>
          <w:color w:val="000000"/>
          <w:szCs w:val="22"/>
        </w:rPr>
        <w:t> </w:t>
      </w:r>
      <w:r w:rsidR="003C45E8" w:rsidRPr="00F41B18">
        <w:rPr>
          <w:color w:val="000000"/>
          <w:szCs w:val="22"/>
        </w:rPr>
        <w:t xml:space="preserve">% </w:t>
      </w:r>
      <w:r w:rsidRPr="00694DB8">
        <w:rPr>
          <w:color w:val="000000"/>
          <w:szCs w:val="22"/>
        </w:rPr>
        <w:t>(E</w:t>
      </w:r>
      <w:r w:rsidR="00D84B5F" w:rsidRPr="00694DB8">
        <w:rPr>
          <w:color w:val="000000"/>
          <w:szCs w:val="22"/>
        </w:rPr>
        <w:t> </w:t>
      </w:r>
      <w:r w:rsidRPr="00694DB8">
        <w:rPr>
          <w:color w:val="000000"/>
          <w:szCs w:val="22"/>
        </w:rPr>
        <w:t>422)</w:t>
      </w:r>
    </w:p>
    <w:p w14:paraId="5A2EEC2B" w14:textId="77777777" w:rsidR="00C9491D" w:rsidRPr="00694DB8" w:rsidRDefault="003E1413" w:rsidP="00AF110C">
      <w:pPr>
        <w:tabs>
          <w:tab w:val="left" w:pos="567"/>
        </w:tabs>
        <w:ind w:left="0" w:firstLine="0"/>
        <w:rPr>
          <w:rStyle w:val="Odkaznakomentr"/>
          <w:sz w:val="22"/>
          <w:szCs w:val="22"/>
        </w:rPr>
      </w:pPr>
      <w:r w:rsidRPr="00694DB8">
        <w:rPr>
          <w:color w:val="000000"/>
          <w:szCs w:val="22"/>
        </w:rPr>
        <w:t>čistená voda</w:t>
      </w:r>
    </w:p>
    <w:p w14:paraId="552704D6" w14:textId="77777777" w:rsidR="003E1413" w:rsidRPr="00694DB8" w:rsidRDefault="003E1413" w:rsidP="00AF110C">
      <w:pPr>
        <w:tabs>
          <w:tab w:val="left" w:pos="567"/>
        </w:tabs>
        <w:ind w:left="0" w:firstLine="0"/>
        <w:rPr>
          <w:color w:val="000000"/>
          <w:szCs w:val="22"/>
        </w:rPr>
      </w:pPr>
    </w:p>
    <w:p w14:paraId="54F17011" w14:textId="77777777" w:rsidR="0061476E" w:rsidRPr="00694DB8" w:rsidRDefault="00DE4622" w:rsidP="00AF110C">
      <w:pPr>
        <w:keepNext/>
        <w:tabs>
          <w:tab w:val="left" w:pos="567"/>
        </w:tabs>
        <w:ind w:left="0" w:firstLine="0"/>
        <w:rPr>
          <w:color w:val="000000"/>
          <w:szCs w:val="22"/>
          <w:u w:val="single"/>
        </w:rPr>
      </w:pPr>
      <w:r w:rsidRPr="00694DB8">
        <w:rPr>
          <w:color w:val="000000"/>
          <w:szCs w:val="22"/>
          <w:u w:val="single"/>
        </w:rPr>
        <w:t>Obal kapsuly</w:t>
      </w:r>
    </w:p>
    <w:p w14:paraId="4D650C59" w14:textId="77777777" w:rsidR="0061476E" w:rsidRPr="00694DB8" w:rsidRDefault="00DE4622" w:rsidP="00AF110C">
      <w:pPr>
        <w:tabs>
          <w:tab w:val="left" w:pos="567"/>
        </w:tabs>
        <w:ind w:left="0" w:firstLine="0"/>
        <w:rPr>
          <w:color w:val="000000"/>
          <w:szCs w:val="22"/>
        </w:rPr>
      </w:pPr>
      <w:r w:rsidRPr="00694DB8">
        <w:rPr>
          <w:color w:val="000000"/>
          <w:szCs w:val="22"/>
        </w:rPr>
        <w:t>želat</w:t>
      </w:r>
      <w:r w:rsidR="00AF0646" w:rsidRPr="00694DB8">
        <w:rPr>
          <w:color w:val="000000"/>
          <w:szCs w:val="22"/>
        </w:rPr>
        <w:t>í</w:t>
      </w:r>
      <w:r w:rsidRPr="00694DB8">
        <w:rPr>
          <w:color w:val="000000"/>
          <w:szCs w:val="22"/>
        </w:rPr>
        <w:t>na</w:t>
      </w:r>
    </w:p>
    <w:p w14:paraId="389799CF" w14:textId="77777777" w:rsidR="0061476E" w:rsidRPr="00694DB8" w:rsidRDefault="00DE4622" w:rsidP="00AF110C">
      <w:pPr>
        <w:tabs>
          <w:tab w:val="left" w:pos="567"/>
        </w:tabs>
        <w:ind w:left="0" w:firstLine="0"/>
        <w:rPr>
          <w:color w:val="000000"/>
          <w:szCs w:val="22"/>
        </w:rPr>
      </w:pPr>
      <w:r w:rsidRPr="00694DB8">
        <w:rPr>
          <w:color w:val="000000"/>
          <w:szCs w:val="22"/>
        </w:rPr>
        <w:t xml:space="preserve">glycerol </w:t>
      </w:r>
      <w:r w:rsidR="00F40951" w:rsidRPr="00F41B18">
        <w:rPr>
          <w:color w:val="000000"/>
          <w:szCs w:val="22"/>
        </w:rPr>
        <w:t>85</w:t>
      </w:r>
      <w:r w:rsidR="0077005A" w:rsidRPr="00F41B18">
        <w:rPr>
          <w:color w:val="000000"/>
          <w:szCs w:val="22"/>
        </w:rPr>
        <w:t> </w:t>
      </w:r>
      <w:r w:rsidR="00F40951" w:rsidRPr="00F41B18">
        <w:rPr>
          <w:color w:val="000000"/>
          <w:szCs w:val="22"/>
        </w:rPr>
        <w:t xml:space="preserve">% </w:t>
      </w:r>
      <w:r w:rsidRPr="00694DB8">
        <w:rPr>
          <w:color w:val="000000"/>
          <w:szCs w:val="22"/>
        </w:rPr>
        <w:t>(E</w:t>
      </w:r>
      <w:r w:rsidR="00D84B5F" w:rsidRPr="00694DB8">
        <w:rPr>
          <w:color w:val="000000"/>
          <w:szCs w:val="22"/>
        </w:rPr>
        <w:t> </w:t>
      </w:r>
      <w:r w:rsidRPr="00694DB8">
        <w:rPr>
          <w:color w:val="000000"/>
          <w:szCs w:val="22"/>
        </w:rPr>
        <w:t>422)</w:t>
      </w:r>
    </w:p>
    <w:p w14:paraId="1159512B" w14:textId="0CA9A955" w:rsidR="000A778B" w:rsidRPr="00541A55" w:rsidRDefault="000A778B" w:rsidP="00AF110C">
      <w:pPr>
        <w:tabs>
          <w:tab w:val="left" w:pos="567"/>
        </w:tabs>
        <w:ind w:left="0" w:firstLine="0"/>
        <w:rPr>
          <w:bCs/>
        </w:rPr>
      </w:pPr>
      <w:r w:rsidRPr="00541A55">
        <w:rPr>
          <w:bCs/>
        </w:rPr>
        <w:t>čiastočne dehydratovaný tekutý sorbitol</w:t>
      </w:r>
    </w:p>
    <w:p w14:paraId="7E315F85" w14:textId="77777777" w:rsidR="00DE4622" w:rsidRPr="00694DB8" w:rsidRDefault="00DE4622" w:rsidP="00AF110C">
      <w:pPr>
        <w:tabs>
          <w:tab w:val="left" w:pos="567"/>
        </w:tabs>
        <w:ind w:left="0" w:firstLine="0"/>
        <w:rPr>
          <w:color w:val="000000"/>
          <w:szCs w:val="22"/>
        </w:rPr>
      </w:pPr>
      <w:r w:rsidRPr="00694DB8">
        <w:rPr>
          <w:color w:val="000000"/>
          <w:szCs w:val="22"/>
        </w:rPr>
        <w:t>chinol</w:t>
      </w:r>
      <w:r w:rsidR="00AF0646" w:rsidRPr="00694DB8">
        <w:rPr>
          <w:color w:val="000000"/>
          <w:szCs w:val="22"/>
        </w:rPr>
        <w:t>í</w:t>
      </w:r>
      <w:r w:rsidRPr="00694DB8">
        <w:rPr>
          <w:color w:val="000000"/>
          <w:szCs w:val="22"/>
        </w:rPr>
        <w:t>nová žl</w:t>
      </w:r>
      <w:r w:rsidR="00490CAE" w:rsidRPr="00694DB8">
        <w:rPr>
          <w:color w:val="000000"/>
          <w:szCs w:val="22"/>
        </w:rPr>
        <w:t>ť</w:t>
      </w:r>
      <w:r w:rsidR="003C45E8" w:rsidRPr="00694DB8">
        <w:rPr>
          <w:color w:val="000000"/>
          <w:szCs w:val="22"/>
        </w:rPr>
        <w:t xml:space="preserve"> 70</w:t>
      </w:r>
      <w:r w:rsidR="0077005A" w:rsidRPr="00694DB8">
        <w:rPr>
          <w:color w:val="000000"/>
          <w:szCs w:val="22"/>
        </w:rPr>
        <w:t> </w:t>
      </w:r>
      <w:r w:rsidR="003C45E8" w:rsidRPr="00694DB8">
        <w:rPr>
          <w:color w:val="000000"/>
          <w:szCs w:val="22"/>
        </w:rPr>
        <w:t>%</w:t>
      </w:r>
      <w:r w:rsidR="00F64284" w:rsidRPr="00694DB8">
        <w:rPr>
          <w:color w:val="000000"/>
          <w:szCs w:val="22"/>
        </w:rPr>
        <w:t xml:space="preserve"> </w:t>
      </w:r>
      <w:r w:rsidRPr="00694DB8">
        <w:rPr>
          <w:color w:val="000000"/>
          <w:szCs w:val="22"/>
        </w:rPr>
        <w:t>(E</w:t>
      </w:r>
      <w:r w:rsidR="00D84B5F" w:rsidRPr="00694DB8">
        <w:rPr>
          <w:color w:val="000000"/>
          <w:szCs w:val="22"/>
        </w:rPr>
        <w:t> </w:t>
      </w:r>
      <w:r w:rsidRPr="00694DB8">
        <w:rPr>
          <w:color w:val="000000"/>
          <w:szCs w:val="22"/>
        </w:rPr>
        <w:t>104)</w:t>
      </w:r>
    </w:p>
    <w:p w14:paraId="472A5D5D" w14:textId="77777777" w:rsidR="00DE4622" w:rsidRPr="00694DB8" w:rsidRDefault="00DE4622" w:rsidP="00AF110C">
      <w:pPr>
        <w:tabs>
          <w:tab w:val="left" w:pos="567"/>
        </w:tabs>
        <w:ind w:left="0" w:firstLine="0"/>
        <w:rPr>
          <w:szCs w:val="22"/>
        </w:rPr>
      </w:pPr>
    </w:p>
    <w:p w14:paraId="3F4C8FED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6.2</w:t>
      </w:r>
      <w:r w:rsidRPr="00694DB8">
        <w:rPr>
          <w:b/>
          <w:szCs w:val="22"/>
        </w:rPr>
        <w:tab/>
        <w:t>Inkompatibility</w:t>
      </w:r>
    </w:p>
    <w:p w14:paraId="773A5A73" w14:textId="77777777" w:rsidR="000234D7" w:rsidRPr="00694DB8" w:rsidRDefault="000234D7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14ACE870" w14:textId="77777777" w:rsidR="00D46EF1" w:rsidRPr="00694DB8" w:rsidRDefault="00D46EF1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Neaplikovateľné.</w:t>
      </w:r>
    </w:p>
    <w:p w14:paraId="485DD180" w14:textId="77777777" w:rsidR="003A2E0D" w:rsidRPr="00694DB8" w:rsidRDefault="003A2E0D" w:rsidP="00AF110C">
      <w:pPr>
        <w:tabs>
          <w:tab w:val="left" w:pos="567"/>
        </w:tabs>
        <w:rPr>
          <w:szCs w:val="22"/>
        </w:rPr>
      </w:pPr>
    </w:p>
    <w:p w14:paraId="523AF9E9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6.3</w:t>
      </w:r>
      <w:r w:rsidRPr="00694DB8">
        <w:rPr>
          <w:b/>
          <w:szCs w:val="22"/>
        </w:rPr>
        <w:tab/>
        <w:t>Čas použiteľnosti</w:t>
      </w:r>
    </w:p>
    <w:p w14:paraId="3B923464" w14:textId="77777777" w:rsidR="00554CE7" w:rsidRPr="00694DB8" w:rsidRDefault="00554CE7" w:rsidP="00AF110C">
      <w:pPr>
        <w:pStyle w:val="Zkladntext"/>
        <w:keepNext/>
        <w:tabs>
          <w:tab w:val="left" w:pos="567"/>
        </w:tabs>
        <w:rPr>
          <w:szCs w:val="22"/>
        </w:rPr>
      </w:pPr>
    </w:p>
    <w:p w14:paraId="72F0A483" w14:textId="77777777" w:rsidR="00E32888" w:rsidRPr="00694DB8" w:rsidRDefault="001B323B" w:rsidP="00AF110C">
      <w:pPr>
        <w:pStyle w:val="Zkladntext"/>
        <w:tabs>
          <w:tab w:val="left" w:pos="567"/>
        </w:tabs>
        <w:rPr>
          <w:szCs w:val="22"/>
        </w:rPr>
      </w:pPr>
      <w:r w:rsidRPr="00694DB8">
        <w:rPr>
          <w:szCs w:val="22"/>
        </w:rPr>
        <w:t>3 roky</w:t>
      </w:r>
    </w:p>
    <w:p w14:paraId="14E41AAC" w14:textId="77777777" w:rsidR="001A1957" w:rsidRPr="00694DB8" w:rsidRDefault="001A1957" w:rsidP="00AF110C">
      <w:pPr>
        <w:pStyle w:val="Zkladntext"/>
        <w:tabs>
          <w:tab w:val="left" w:pos="567"/>
        </w:tabs>
        <w:rPr>
          <w:szCs w:val="22"/>
        </w:rPr>
      </w:pPr>
    </w:p>
    <w:p w14:paraId="0DDFED50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t>6.4</w:t>
      </w:r>
      <w:r w:rsidRPr="00694DB8">
        <w:rPr>
          <w:b/>
          <w:szCs w:val="22"/>
        </w:rPr>
        <w:tab/>
        <w:t>Špeciálne upozornenia na uchovávanie</w:t>
      </w:r>
    </w:p>
    <w:p w14:paraId="629FCBB6" w14:textId="77777777" w:rsidR="001A1957" w:rsidRPr="00694DB8" w:rsidRDefault="001A1957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2756E10E" w14:textId="77777777" w:rsidR="0027754C" w:rsidRPr="00694DB8" w:rsidRDefault="001A1957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 xml:space="preserve">Uchovávajte pri teplote </w:t>
      </w:r>
      <w:r w:rsidR="00B42752" w:rsidRPr="00694DB8">
        <w:rPr>
          <w:szCs w:val="22"/>
        </w:rPr>
        <w:t xml:space="preserve">do </w:t>
      </w:r>
      <w:smartTag w:uri="urn:schemas-microsoft-com:office:smarttags" w:element="metricconverter">
        <w:smartTagPr>
          <w:attr w:name="ProductID" w:val="30ﾠﾰC"/>
        </w:smartTagPr>
        <w:r w:rsidR="009F147E" w:rsidRPr="00694DB8">
          <w:rPr>
            <w:szCs w:val="22"/>
          </w:rPr>
          <w:t>30</w:t>
        </w:r>
        <w:r w:rsidR="0077005A" w:rsidRPr="00694DB8">
          <w:rPr>
            <w:szCs w:val="22"/>
          </w:rPr>
          <w:t> </w:t>
        </w:r>
        <w:r w:rsidR="00E32888" w:rsidRPr="00694DB8">
          <w:rPr>
            <w:szCs w:val="22"/>
          </w:rPr>
          <w:t>°C</w:t>
        </w:r>
      </w:smartTag>
      <w:r w:rsidR="00C919B6" w:rsidRPr="00694DB8">
        <w:rPr>
          <w:szCs w:val="22"/>
        </w:rPr>
        <w:t xml:space="preserve">. </w:t>
      </w:r>
    </w:p>
    <w:p w14:paraId="4B04AB0E" w14:textId="77777777" w:rsidR="00490CAE" w:rsidRPr="00694DB8" w:rsidRDefault="00C16136" w:rsidP="00AF110C">
      <w:pPr>
        <w:tabs>
          <w:tab w:val="left" w:pos="567"/>
        </w:tabs>
        <w:outlineLvl w:val="0"/>
        <w:rPr>
          <w:color w:val="000000"/>
          <w:szCs w:val="22"/>
        </w:rPr>
      </w:pPr>
      <w:r w:rsidRPr="00694DB8">
        <w:rPr>
          <w:szCs w:val="22"/>
        </w:rPr>
        <w:t>Uchovávajte</w:t>
      </w:r>
      <w:r w:rsidR="00AF110C" w:rsidRPr="00694DB8">
        <w:rPr>
          <w:szCs w:val="22"/>
        </w:rPr>
        <w:t xml:space="preserve"> v </w:t>
      </w:r>
      <w:r w:rsidRPr="00694DB8">
        <w:rPr>
          <w:szCs w:val="22"/>
        </w:rPr>
        <w:t>pôvodnom obale</w:t>
      </w:r>
      <w:r w:rsidR="00490CAE" w:rsidRPr="00694DB8">
        <w:rPr>
          <w:szCs w:val="22"/>
        </w:rPr>
        <w:t xml:space="preserve"> </w:t>
      </w:r>
      <w:r w:rsidR="00490CAE" w:rsidRPr="00694DB8">
        <w:rPr>
          <w:color w:val="000000"/>
          <w:szCs w:val="22"/>
        </w:rPr>
        <w:t>na ochranu pred svetlom.</w:t>
      </w:r>
    </w:p>
    <w:p w14:paraId="0D23112E" w14:textId="77777777" w:rsidR="00490CAE" w:rsidRPr="00694DB8" w:rsidRDefault="00490CAE" w:rsidP="00AF110C">
      <w:pPr>
        <w:tabs>
          <w:tab w:val="left" w:pos="567"/>
        </w:tabs>
        <w:ind w:left="0" w:firstLine="0"/>
        <w:rPr>
          <w:szCs w:val="22"/>
        </w:rPr>
      </w:pPr>
    </w:p>
    <w:p w14:paraId="1556C411" w14:textId="77777777" w:rsidR="003A2E0D" w:rsidRPr="00541A55" w:rsidRDefault="003A2E0D" w:rsidP="00AF110C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694DB8">
        <w:rPr>
          <w:b/>
          <w:szCs w:val="22"/>
        </w:rPr>
        <w:t>6.5</w:t>
      </w:r>
      <w:r w:rsidRPr="00694DB8">
        <w:rPr>
          <w:b/>
          <w:szCs w:val="22"/>
        </w:rPr>
        <w:tab/>
        <w:t xml:space="preserve">Druh obalu a obsah </w:t>
      </w:r>
      <w:r w:rsidRPr="00D752AD">
        <w:rPr>
          <w:b/>
          <w:szCs w:val="22"/>
        </w:rPr>
        <w:t>balenia</w:t>
      </w:r>
      <w:r w:rsidRPr="00541A55">
        <w:rPr>
          <w:b/>
          <w:szCs w:val="22"/>
        </w:rPr>
        <w:t xml:space="preserve"> </w:t>
      </w:r>
    </w:p>
    <w:p w14:paraId="3CAC760D" w14:textId="77777777" w:rsidR="00C94ED9" w:rsidRPr="00694DB8" w:rsidRDefault="00C94ED9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3F399B34" w14:textId="77777777" w:rsidR="00B42752" w:rsidRPr="00694DB8" w:rsidRDefault="00B42752" w:rsidP="00AF110C">
      <w:pPr>
        <w:tabs>
          <w:tab w:val="left" w:pos="567"/>
        </w:tabs>
        <w:ind w:left="0" w:firstLine="0"/>
        <w:jc w:val="both"/>
        <w:rPr>
          <w:color w:val="000000"/>
          <w:szCs w:val="22"/>
        </w:rPr>
      </w:pPr>
      <w:r w:rsidRPr="00694DB8">
        <w:rPr>
          <w:color w:val="000000"/>
          <w:szCs w:val="22"/>
        </w:rPr>
        <w:t>PVC/PVDC/Al blister</w:t>
      </w:r>
      <w:r w:rsidR="00307135" w:rsidRPr="00694DB8">
        <w:rPr>
          <w:color w:val="000000"/>
          <w:szCs w:val="22"/>
        </w:rPr>
        <w:t>.</w:t>
      </w:r>
    </w:p>
    <w:p w14:paraId="2003E280" w14:textId="77777777" w:rsidR="00307135" w:rsidRPr="00694DB8" w:rsidRDefault="00307135" w:rsidP="00AF110C">
      <w:pPr>
        <w:tabs>
          <w:tab w:val="left" w:pos="567"/>
        </w:tabs>
        <w:ind w:left="0" w:firstLine="0"/>
        <w:jc w:val="both"/>
        <w:rPr>
          <w:color w:val="000000"/>
          <w:szCs w:val="22"/>
        </w:rPr>
      </w:pPr>
    </w:p>
    <w:p w14:paraId="5014FC5A" w14:textId="77777777" w:rsidR="0027754C" w:rsidRPr="00694DB8" w:rsidRDefault="00B42752" w:rsidP="00AF110C">
      <w:pPr>
        <w:tabs>
          <w:tab w:val="left" w:pos="567"/>
        </w:tabs>
        <w:ind w:left="0" w:firstLine="0"/>
        <w:jc w:val="both"/>
        <w:rPr>
          <w:color w:val="000000"/>
          <w:szCs w:val="22"/>
        </w:rPr>
      </w:pPr>
      <w:r w:rsidRPr="00694DB8">
        <w:rPr>
          <w:color w:val="000000"/>
          <w:szCs w:val="22"/>
        </w:rPr>
        <w:t>Veľkosť balenia: 10, 20, 30, 40 mäkkých kapsúl</w:t>
      </w:r>
      <w:r w:rsidR="00C919B6" w:rsidRPr="00694DB8">
        <w:rPr>
          <w:color w:val="000000"/>
          <w:szCs w:val="22"/>
        </w:rPr>
        <w:t xml:space="preserve">. </w:t>
      </w:r>
    </w:p>
    <w:p w14:paraId="5021D6D8" w14:textId="77777777" w:rsidR="00307135" w:rsidRPr="00694DB8" w:rsidRDefault="00307135" w:rsidP="00AF110C">
      <w:pPr>
        <w:tabs>
          <w:tab w:val="left" w:pos="567"/>
        </w:tabs>
        <w:ind w:left="0" w:firstLine="0"/>
        <w:jc w:val="both"/>
        <w:rPr>
          <w:szCs w:val="22"/>
        </w:rPr>
      </w:pPr>
    </w:p>
    <w:p w14:paraId="3D3C079E" w14:textId="77777777" w:rsidR="00A52D9A" w:rsidRPr="00694DB8" w:rsidRDefault="00A52D9A" w:rsidP="00AF110C">
      <w:pPr>
        <w:tabs>
          <w:tab w:val="left" w:pos="567"/>
        </w:tabs>
        <w:ind w:left="0" w:firstLine="0"/>
        <w:jc w:val="both"/>
        <w:rPr>
          <w:szCs w:val="22"/>
        </w:rPr>
      </w:pPr>
      <w:r w:rsidRPr="00694DB8">
        <w:rPr>
          <w:szCs w:val="22"/>
        </w:rPr>
        <w:t>N</w:t>
      </w:r>
      <w:r w:rsidR="00762EB3" w:rsidRPr="00694DB8">
        <w:rPr>
          <w:szCs w:val="22"/>
        </w:rPr>
        <w:t xml:space="preserve">a trh nemusia byť uvedené </w:t>
      </w:r>
      <w:r w:rsidR="00BA4345" w:rsidRPr="00694DB8">
        <w:rPr>
          <w:szCs w:val="22"/>
        </w:rPr>
        <w:t>všetky veľkosti balenia.</w:t>
      </w:r>
    </w:p>
    <w:p w14:paraId="42FD087F" w14:textId="77777777" w:rsidR="00BA4345" w:rsidRPr="00694DB8" w:rsidRDefault="00BA4345" w:rsidP="00AF110C">
      <w:pPr>
        <w:tabs>
          <w:tab w:val="left" w:pos="567"/>
        </w:tabs>
        <w:ind w:left="0" w:firstLine="0"/>
        <w:rPr>
          <w:szCs w:val="22"/>
        </w:rPr>
      </w:pPr>
    </w:p>
    <w:p w14:paraId="003BD0A6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694DB8">
        <w:rPr>
          <w:b/>
          <w:szCs w:val="22"/>
        </w:rPr>
        <w:t>6.6</w:t>
      </w:r>
      <w:r w:rsidRPr="00694DB8">
        <w:rPr>
          <w:b/>
          <w:szCs w:val="22"/>
        </w:rPr>
        <w:tab/>
      </w:r>
      <w:r w:rsidRPr="00694DB8">
        <w:rPr>
          <w:b/>
          <w:bCs/>
          <w:szCs w:val="22"/>
        </w:rPr>
        <w:t>Špeciálne opatrenia na likvidáciu</w:t>
      </w:r>
    </w:p>
    <w:p w14:paraId="11C021FC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12E48470" w14:textId="77777777" w:rsidR="003A2E0D" w:rsidRPr="00694DB8" w:rsidRDefault="004627A4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Žiadne zvláštne požiadavky.</w:t>
      </w:r>
    </w:p>
    <w:p w14:paraId="63B96DE5" w14:textId="77777777" w:rsidR="002178FD" w:rsidRPr="00694DB8" w:rsidRDefault="002178FD" w:rsidP="00AF110C">
      <w:pPr>
        <w:tabs>
          <w:tab w:val="left" w:pos="567"/>
        </w:tabs>
        <w:ind w:left="0" w:firstLine="0"/>
        <w:rPr>
          <w:szCs w:val="22"/>
        </w:rPr>
      </w:pPr>
    </w:p>
    <w:p w14:paraId="5BB9D8D7" w14:textId="77777777" w:rsidR="0027754C" w:rsidRPr="00694DB8" w:rsidRDefault="0027754C" w:rsidP="00AF110C">
      <w:pPr>
        <w:tabs>
          <w:tab w:val="left" w:pos="567"/>
        </w:tabs>
        <w:ind w:left="0" w:firstLine="0"/>
        <w:rPr>
          <w:szCs w:val="22"/>
        </w:rPr>
      </w:pPr>
    </w:p>
    <w:p w14:paraId="03C09CAE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  <w:r w:rsidRPr="00694DB8">
        <w:rPr>
          <w:b/>
          <w:szCs w:val="22"/>
        </w:rPr>
        <w:lastRenderedPageBreak/>
        <w:t>7.</w:t>
      </w:r>
      <w:r w:rsidRPr="00694DB8">
        <w:rPr>
          <w:b/>
          <w:szCs w:val="22"/>
        </w:rPr>
        <w:tab/>
        <w:t>DRŽITEĽ ROZHODNUTIA</w:t>
      </w:r>
      <w:r w:rsidR="00AF110C" w:rsidRPr="00694DB8">
        <w:rPr>
          <w:b/>
          <w:szCs w:val="22"/>
        </w:rPr>
        <w:t xml:space="preserve"> </w:t>
      </w:r>
      <w:r w:rsidR="00694DB8" w:rsidRPr="00694DB8">
        <w:rPr>
          <w:b/>
          <w:szCs w:val="22"/>
        </w:rPr>
        <w:t>O</w:t>
      </w:r>
      <w:r w:rsidR="00AF110C" w:rsidRPr="00694DB8">
        <w:rPr>
          <w:b/>
          <w:szCs w:val="22"/>
        </w:rPr>
        <w:t> </w:t>
      </w:r>
      <w:r w:rsidRPr="00694DB8">
        <w:rPr>
          <w:b/>
          <w:szCs w:val="22"/>
        </w:rPr>
        <w:t>REGISTRÁCII</w:t>
      </w:r>
    </w:p>
    <w:p w14:paraId="0F477A42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4429EE8C" w14:textId="77777777" w:rsidR="00980DEB" w:rsidRPr="00694DB8" w:rsidRDefault="00980DEB" w:rsidP="00AF110C">
      <w:pPr>
        <w:tabs>
          <w:tab w:val="left" w:pos="567"/>
        </w:tabs>
        <w:rPr>
          <w:szCs w:val="22"/>
        </w:rPr>
      </w:pPr>
      <w:r w:rsidRPr="00694DB8">
        <w:rPr>
          <w:szCs w:val="22"/>
        </w:rPr>
        <w:t>GlaxoSmithKline Consumer Healthcare Czech Republic s.r.o.</w:t>
      </w:r>
    </w:p>
    <w:p w14:paraId="17B15005" w14:textId="77777777" w:rsidR="00980DEB" w:rsidRPr="00694DB8" w:rsidRDefault="00980DEB" w:rsidP="00AF110C">
      <w:pPr>
        <w:tabs>
          <w:tab w:val="left" w:pos="567"/>
        </w:tabs>
        <w:rPr>
          <w:szCs w:val="22"/>
        </w:rPr>
      </w:pPr>
      <w:r w:rsidRPr="00694DB8">
        <w:rPr>
          <w:szCs w:val="22"/>
        </w:rPr>
        <w:t>Hvězdova 1734/2c</w:t>
      </w:r>
    </w:p>
    <w:p w14:paraId="08579D85" w14:textId="77777777" w:rsidR="00980DEB" w:rsidRPr="00694DB8" w:rsidRDefault="00980DEB" w:rsidP="00AF110C">
      <w:pPr>
        <w:tabs>
          <w:tab w:val="left" w:pos="567"/>
        </w:tabs>
        <w:rPr>
          <w:szCs w:val="22"/>
        </w:rPr>
      </w:pPr>
      <w:r w:rsidRPr="00694DB8">
        <w:rPr>
          <w:szCs w:val="22"/>
        </w:rPr>
        <w:t>140 00 Praha 4 – Nusle</w:t>
      </w:r>
    </w:p>
    <w:p w14:paraId="2442B8A8" w14:textId="77777777" w:rsidR="00980DEB" w:rsidRPr="00694DB8" w:rsidRDefault="00980DEB" w:rsidP="00AF110C">
      <w:pPr>
        <w:tabs>
          <w:tab w:val="left" w:pos="567"/>
        </w:tabs>
        <w:rPr>
          <w:szCs w:val="22"/>
        </w:rPr>
      </w:pPr>
      <w:r w:rsidRPr="00694DB8">
        <w:rPr>
          <w:szCs w:val="22"/>
        </w:rPr>
        <w:t xml:space="preserve">Česká republika </w:t>
      </w:r>
    </w:p>
    <w:p w14:paraId="2EB2C77E" w14:textId="77777777" w:rsidR="00934A7D" w:rsidRPr="00694DB8" w:rsidRDefault="00934A7D" w:rsidP="00AF110C">
      <w:pPr>
        <w:tabs>
          <w:tab w:val="left" w:pos="567"/>
        </w:tabs>
        <w:ind w:left="0" w:firstLine="0"/>
        <w:rPr>
          <w:szCs w:val="22"/>
        </w:rPr>
      </w:pPr>
    </w:p>
    <w:p w14:paraId="1B9C0B09" w14:textId="77777777" w:rsidR="0027754C" w:rsidRPr="00694DB8" w:rsidRDefault="0027754C" w:rsidP="00AF110C">
      <w:pPr>
        <w:tabs>
          <w:tab w:val="left" w:pos="567"/>
        </w:tabs>
        <w:ind w:left="0" w:firstLine="0"/>
        <w:rPr>
          <w:szCs w:val="22"/>
        </w:rPr>
      </w:pPr>
    </w:p>
    <w:p w14:paraId="4C601F14" w14:textId="77777777" w:rsidR="003A2E0D" w:rsidRPr="00F41B18" w:rsidRDefault="003A2E0D" w:rsidP="00AF110C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F41B18">
        <w:rPr>
          <w:b/>
          <w:szCs w:val="22"/>
        </w:rPr>
        <w:t>8.</w:t>
      </w:r>
      <w:r w:rsidRPr="00F41B18">
        <w:rPr>
          <w:b/>
          <w:szCs w:val="22"/>
        </w:rPr>
        <w:tab/>
        <w:t xml:space="preserve">REGISTRAČNÉ ČÍSLO </w:t>
      </w:r>
    </w:p>
    <w:p w14:paraId="1E950EB2" w14:textId="77777777" w:rsidR="00F64284" w:rsidRPr="00694DB8" w:rsidRDefault="00F64284" w:rsidP="00AF110C">
      <w:pPr>
        <w:keepNext/>
        <w:tabs>
          <w:tab w:val="left" w:pos="567"/>
        </w:tabs>
        <w:ind w:left="0" w:firstLine="0"/>
        <w:rPr>
          <w:b/>
          <w:szCs w:val="22"/>
        </w:rPr>
      </w:pPr>
    </w:p>
    <w:p w14:paraId="576180A1" w14:textId="77777777" w:rsidR="0027754C" w:rsidRPr="00694DB8" w:rsidRDefault="0077005A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29/0709/10-S</w:t>
      </w:r>
    </w:p>
    <w:p w14:paraId="529082A5" w14:textId="77777777" w:rsidR="00E42045" w:rsidRPr="00694DB8" w:rsidRDefault="00E42045" w:rsidP="00AF110C">
      <w:pPr>
        <w:tabs>
          <w:tab w:val="left" w:pos="567"/>
        </w:tabs>
        <w:ind w:left="0" w:firstLine="0"/>
        <w:rPr>
          <w:szCs w:val="22"/>
        </w:rPr>
      </w:pPr>
    </w:p>
    <w:p w14:paraId="0CF0CBD6" w14:textId="77777777" w:rsidR="00F75C3F" w:rsidRPr="00694DB8" w:rsidRDefault="00F75C3F" w:rsidP="00AF110C">
      <w:pPr>
        <w:tabs>
          <w:tab w:val="left" w:pos="567"/>
        </w:tabs>
        <w:ind w:left="0" w:firstLine="0"/>
        <w:rPr>
          <w:szCs w:val="22"/>
        </w:rPr>
      </w:pPr>
    </w:p>
    <w:p w14:paraId="0CC886B2" w14:textId="77777777" w:rsidR="003A2E0D" w:rsidRPr="00694DB8" w:rsidRDefault="003A2E0D" w:rsidP="00AF110C">
      <w:pPr>
        <w:keepNext/>
        <w:tabs>
          <w:tab w:val="left" w:pos="567"/>
        </w:tabs>
        <w:ind w:left="0" w:firstLine="0"/>
        <w:rPr>
          <w:b/>
          <w:szCs w:val="22"/>
        </w:rPr>
      </w:pPr>
      <w:r w:rsidRPr="00694DB8">
        <w:rPr>
          <w:b/>
          <w:szCs w:val="22"/>
        </w:rPr>
        <w:t>9.</w:t>
      </w:r>
      <w:r w:rsidRPr="00694DB8">
        <w:rPr>
          <w:b/>
          <w:szCs w:val="22"/>
        </w:rPr>
        <w:tab/>
        <w:t>DÁTUM PRVEJ REGISTRÁCIE</w:t>
      </w:r>
      <w:r w:rsidR="00307135" w:rsidRPr="00694DB8">
        <w:rPr>
          <w:b/>
          <w:szCs w:val="22"/>
        </w:rPr>
        <w:t xml:space="preserve"> </w:t>
      </w:r>
      <w:r w:rsidRPr="00694DB8">
        <w:rPr>
          <w:b/>
          <w:szCs w:val="22"/>
        </w:rPr>
        <w:t>/</w:t>
      </w:r>
      <w:r w:rsidR="00307135" w:rsidRPr="00694DB8">
        <w:rPr>
          <w:b/>
          <w:szCs w:val="22"/>
        </w:rPr>
        <w:t xml:space="preserve"> </w:t>
      </w:r>
      <w:r w:rsidRPr="00694DB8">
        <w:rPr>
          <w:b/>
          <w:szCs w:val="22"/>
        </w:rPr>
        <w:t>PREDĹŽENIA REGISTRÁCIE</w:t>
      </w:r>
    </w:p>
    <w:p w14:paraId="03E405C0" w14:textId="77777777" w:rsidR="000D62A9" w:rsidRPr="00694DB8" w:rsidRDefault="000D62A9" w:rsidP="00AF110C">
      <w:pPr>
        <w:keepNext/>
        <w:tabs>
          <w:tab w:val="left" w:pos="567"/>
        </w:tabs>
        <w:ind w:left="0" w:firstLine="0"/>
        <w:rPr>
          <w:szCs w:val="22"/>
        </w:rPr>
      </w:pPr>
    </w:p>
    <w:p w14:paraId="5DBD5B3C" w14:textId="65F056CE" w:rsidR="0061476E" w:rsidRPr="00694DB8" w:rsidRDefault="0061476E" w:rsidP="00AF110C">
      <w:pPr>
        <w:tabs>
          <w:tab w:val="left" w:pos="567"/>
        </w:tabs>
        <w:rPr>
          <w:szCs w:val="22"/>
        </w:rPr>
      </w:pPr>
      <w:r w:rsidRPr="00694DB8">
        <w:rPr>
          <w:szCs w:val="22"/>
        </w:rPr>
        <w:t>Dátum prvej registrácie: 12. októbra 2010</w:t>
      </w:r>
    </w:p>
    <w:p w14:paraId="4461E763" w14:textId="503F1C37" w:rsidR="0027754C" w:rsidRPr="00694DB8" w:rsidRDefault="0061476E" w:rsidP="00AF110C">
      <w:pPr>
        <w:tabs>
          <w:tab w:val="left" w:pos="567"/>
        </w:tabs>
        <w:ind w:left="0" w:firstLine="0"/>
        <w:rPr>
          <w:szCs w:val="22"/>
        </w:rPr>
      </w:pPr>
      <w:r w:rsidRPr="00694DB8">
        <w:rPr>
          <w:szCs w:val="22"/>
        </w:rPr>
        <w:t>Dátum posledného predĺženia registrácie: 22. mája 201</w:t>
      </w:r>
      <w:r w:rsidR="0041247D" w:rsidRPr="00694DB8">
        <w:rPr>
          <w:szCs w:val="22"/>
        </w:rPr>
        <w:t>2</w:t>
      </w:r>
    </w:p>
    <w:p w14:paraId="7AF68B97" w14:textId="77777777" w:rsidR="00E42045" w:rsidRPr="00694DB8" w:rsidRDefault="00E42045" w:rsidP="00AF110C">
      <w:pPr>
        <w:tabs>
          <w:tab w:val="left" w:pos="567"/>
        </w:tabs>
        <w:ind w:left="0" w:firstLine="0"/>
        <w:rPr>
          <w:szCs w:val="22"/>
        </w:rPr>
      </w:pPr>
    </w:p>
    <w:p w14:paraId="5F561CC2" w14:textId="77777777" w:rsidR="00B167E0" w:rsidRPr="00694DB8" w:rsidRDefault="00B167E0" w:rsidP="00AF110C">
      <w:pPr>
        <w:tabs>
          <w:tab w:val="left" w:pos="567"/>
        </w:tabs>
        <w:ind w:left="0" w:firstLine="0"/>
        <w:rPr>
          <w:b/>
          <w:szCs w:val="22"/>
        </w:rPr>
      </w:pPr>
    </w:p>
    <w:p w14:paraId="059A36E4" w14:textId="77777777" w:rsidR="00B42752" w:rsidRPr="00694DB8" w:rsidRDefault="003A2E0D" w:rsidP="00AF110C">
      <w:pPr>
        <w:keepNext/>
        <w:numPr>
          <w:ilvl w:val="0"/>
          <w:numId w:val="27"/>
        </w:numPr>
        <w:tabs>
          <w:tab w:val="clear" w:pos="1065"/>
          <w:tab w:val="num" w:pos="540"/>
          <w:tab w:val="left" w:pos="567"/>
        </w:tabs>
        <w:ind w:left="0" w:right="-2" w:firstLine="0"/>
        <w:outlineLvl w:val="0"/>
        <w:rPr>
          <w:b/>
          <w:szCs w:val="22"/>
        </w:rPr>
      </w:pPr>
      <w:r w:rsidRPr="00694DB8">
        <w:rPr>
          <w:b/>
          <w:szCs w:val="22"/>
        </w:rPr>
        <w:t>DÁTUM REVÍZIE TEXTU</w:t>
      </w:r>
    </w:p>
    <w:p w14:paraId="08387856" w14:textId="77777777" w:rsidR="00293D80" w:rsidRPr="00694DB8" w:rsidRDefault="00293D80" w:rsidP="00AF110C">
      <w:pPr>
        <w:keepNext/>
        <w:tabs>
          <w:tab w:val="left" w:pos="567"/>
        </w:tabs>
        <w:ind w:left="0" w:right="-2" w:firstLine="0"/>
        <w:outlineLvl w:val="0"/>
        <w:rPr>
          <w:szCs w:val="22"/>
        </w:rPr>
      </w:pPr>
    </w:p>
    <w:p w14:paraId="796D34DC" w14:textId="202A3BBB" w:rsidR="008F25A9" w:rsidRPr="00F41B18" w:rsidRDefault="00C31AEB" w:rsidP="00AF110C">
      <w:pPr>
        <w:tabs>
          <w:tab w:val="left" w:pos="567"/>
        </w:tabs>
        <w:ind w:left="0" w:right="-2" w:firstLine="0"/>
        <w:outlineLvl w:val="0"/>
        <w:rPr>
          <w:szCs w:val="22"/>
        </w:rPr>
      </w:pPr>
      <w:r>
        <w:rPr>
          <w:szCs w:val="22"/>
        </w:rPr>
        <w:t>0</w:t>
      </w:r>
      <w:r w:rsidR="009B2E19">
        <w:rPr>
          <w:szCs w:val="22"/>
        </w:rPr>
        <w:t>2</w:t>
      </w:r>
      <w:r>
        <w:rPr>
          <w:szCs w:val="22"/>
        </w:rPr>
        <w:t>/20</w:t>
      </w:r>
      <w:r w:rsidR="003F3942">
        <w:rPr>
          <w:szCs w:val="22"/>
        </w:rPr>
        <w:t>20</w:t>
      </w:r>
      <w:bookmarkStart w:id="5" w:name="_GoBack"/>
      <w:bookmarkEnd w:id="5"/>
    </w:p>
    <w:sectPr w:rsidR="008F25A9" w:rsidRPr="00F41B18" w:rsidSect="00E64DE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224152" w15:done="0"/>
  <w15:commentEx w15:paraId="6BCA13D6" w15:done="0"/>
  <w15:commentEx w15:paraId="20BDF651" w15:done="0"/>
  <w15:commentEx w15:paraId="39FA9845" w15:paraIdParent="20BDF651" w15:done="0"/>
  <w15:commentEx w15:paraId="49B820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224152" w16cid:durableId="209645BA"/>
  <w16cid:commentId w16cid:paraId="6BCA13D6" w16cid:durableId="210FB212"/>
  <w16cid:commentId w16cid:paraId="20BDF651" w16cid:durableId="20EBFC41"/>
  <w16cid:commentId w16cid:paraId="39FA9845" w16cid:durableId="210779BA"/>
  <w16cid:commentId w16cid:paraId="49B82080" w16cid:durableId="21E690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7FE0A" w14:textId="77777777" w:rsidR="00A014A9" w:rsidRDefault="00A014A9">
      <w:r>
        <w:separator/>
      </w:r>
    </w:p>
  </w:endnote>
  <w:endnote w:type="continuationSeparator" w:id="0">
    <w:p w14:paraId="5AC49C98" w14:textId="77777777" w:rsidR="00A014A9" w:rsidRDefault="00A0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on">
    <w:altName w:val="Constantia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AYFV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0178C" w14:textId="010CEBA6" w:rsidR="004152A8" w:rsidRDefault="004152A8" w:rsidP="00C041E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C31AEB">
      <w:rPr>
        <w:rStyle w:val="slostrany"/>
        <w:noProof/>
      </w:rPr>
      <w:t>1</w:t>
    </w:r>
    <w:r>
      <w:rPr>
        <w:rStyle w:val="slostrany"/>
      </w:rPr>
      <w:fldChar w:fldCharType="end"/>
    </w:r>
  </w:p>
  <w:p w14:paraId="139444E8" w14:textId="77777777" w:rsidR="004152A8" w:rsidRDefault="004152A8" w:rsidP="000D159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EF638" w14:textId="77777777" w:rsidR="004152A8" w:rsidRPr="00C83922" w:rsidRDefault="004152A8" w:rsidP="00C22D02">
    <w:pPr>
      <w:pStyle w:val="Pta"/>
      <w:framePr w:w="245" w:wrap="around" w:vAnchor="text" w:hAnchor="page" w:x="5674" w:y="39"/>
      <w:rPr>
        <w:rStyle w:val="slostrany"/>
        <w:sz w:val="18"/>
        <w:szCs w:val="18"/>
      </w:rPr>
    </w:pPr>
    <w:r w:rsidRPr="00C83922">
      <w:rPr>
        <w:rStyle w:val="slostrany"/>
        <w:sz w:val="18"/>
        <w:szCs w:val="18"/>
      </w:rPr>
      <w:fldChar w:fldCharType="begin"/>
    </w:r>
    <w:r w:rsidRPr="00C83922">
      <w:rPr>
        <w:rStyle w:val="slostrany"/>
        <w:sz w:val="18"/>
        <w:szCs w:val="18"/>
      </w:rPr>
      <w:instrText xml:space="preserve">PAGE  </w:instrText>
    </w:r>
    <w:r w:rsidRPr="00C83922">
      <w:rPr>
        <w:rStyle w:val="slostrany"/>
        <w:sz w:val="18"/>
        <w:szCs w:val="18"/>
      </w:rPr>
      <w:fldChar w:fldCharType="separate"/>
    </w:r>
    <w:r w:rsidR="00541A55">
      <w:rPr>
        <w:rStyle w:val="slostrany"/>
        <w:noProof/>
        <w:sz w:val="18"/>
        <w:szCs w:val="18"/>
      </w:rPr>
      <w:t>2</w:t>
    </w:r>
    <w:r w:rsidRPr="00C83922">
      <w:rPr>
        <w:rStyle w:val="slostrany"/>
        <w:sz w:val="18"/>
        <w:szCs w:val="18"/>
      </w:rPr>
      <w:fldChar w:fldCharType="end"/>
    </w:r>
  </w:p>
  <w:p w14:paraId="33C87F43" w14:textId="77777777" w:rsidR="004152A8" w:rsidRDefault="004152A8" w:rsidP="000D1591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B36FB" w14:textId="77777777" w:rsidR="004152A8" w:rsidRPr="00C22D02" w:rsidRDefault="004152A8">
    <w:pPr>
      <w:pStyle w:val="Pta"/>
      <w:jc w:val="center"/>
      <w:rPr>
        <w:sz w:val="18"/>
        <w:szCs w:val="18"/>
      </w:rPr>
    </w:pPr>
    <w:r w:rsidRPr="00C22D02">
      <w:rPr>
        <w:sz w:val="18"/>
        <w:szCs w:val="18"/>
      </w:rPr>
      <w:fldChar w:fldCharType="begin"/>
    </w:r>
    <w:r w:rsidRPr="00C22D02">
      <w:rPr>
        <w:sz w:val="18"/>
        <w:szCs w:val="18"/>
      </w:rPr>
      <w:instrText>PAGE   \* MERGEFORMAT</w:instrText>
    </w:r>
    <w:r w:rsidRPr="00C22D02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C22D02">
      <w:rPr>
        <w:sz w:val="18"/>
        <w:szCs w:val="18"/>
      </w:rPr>
      <w:fldChar w:fldCharType="end"/>
    </w:r>
  </w:p>
  <w:p w14:paraId="08C91241" w14:textId="77777777" w:rsidR="004152A8" w:rsidRDefault="004152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FC833" w14:textId="77777777" w:rsidR="00A014A9" w:rsidRDefault="00A014A9">
      <w:r>
        <w:separator/>
      </w:r>
    </w:p>
  </w:footnote>
  <w:footnote w:type="continuationSeparator" w:id="0">
    <w:p w14:paraId="664BE892" w14:textId="77777777" w:rsidR="00A014A9" w:rsidRDefault="00A01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94E15" w14:textId="5312FAF0" w:rsidR="00C31AEB" w:rsidRDefault="00C31AEB" w:rsidP="00C31AEB">
    <w:pPr>
      <w:pStyle w:val="Hlavika"/>
    </w:pPr>
    <w:r>
      <w:rPr>
        <w:bCs/>
        <w:sz w:val="18"/>
        <w:szCs w:val="18"/>
      </w:rPr>
      <w:t xml:space="preserve">Schválený text k rozhodnutiu o zmene, ev. č. </w:t>
    </w:r>
    <w:r w:rsidRPr="00B90B52">
      <w:rPr>
        <w:bCs/>
        <w:sz w:val="18"/>
        <w:szCs w:val="18"/>
      </w:rPr>
      <w:t>2019/0341</w:t>
    </w:r>
    <w:r>
      <w:rPr>
        <w:bCs/>
        <w:sz w:val="18"/>
        <w:szCs w:val="18"/>
      </w:rPr>
      <w:t>3</w:t>
    </w:r>
    <w:r w:rsidRPr="00B90B52">
      <w:rPr>
        <w:bCs/>
        <w:sz w:val="18"/>
        <w:szCs w:val="18"/>
      </w:rPr>
      <w:t>-ZME</w:t>
    </w:r>
  </w:p>
  <w:p w14:paraId="12DFD601" w14:textId="7C438E8F" w:rsidR="00CD2080" w:rsidRPr="00803CA6" w:rsidRDefault="00CD2080" w:rsidP="00CD2080">
    <w:pPr>
      <w:pStyle w:val="Hlavika"/>
      <w:rPr>
        <w:sz w:val="18"/>
        <w:szCs w:val="18"/>
      </w:rPr>
    </w:pPr>
    <w:r w:rsidRPr="00803CA6">
      <w:rPr>
        <w:sz w:val="18"/>
        <w:szCs w:val="18"/>
      </w:rPr>
      <w:t>Príloha č. 1 k notifikácii o zmene, ev. č.</w:t>
    </w:r>
    <w:r w:rsidR="008C0C01">
      <w:rPr>
        <w:sz w:val="18"/>
        <w:szCs w:val="18"/>
      </w:rPr>
      <w:t xml:space="preserve"> </w:t>
    </w:r>
    <w:r w:rsidR="008C0C01" w:rsidRPr="008C0C01">
      <w:rPr>
        <w:sz w:val="18"/>
        <w:szCs w:val="18"/>
      </w:rPr>
      <w:t>2019/05137-Z1A</w:t>
    </w:r>
  </w:p>
  <w:p w14:paraId="47372397" w14:textId="0F422EEE" w:rsidR="004152A8" w:rsidRDefault="004152A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00F35"/>
    <w:multiLevelType w:val="hybridMultilevel"/>
    <w:tmpl w:val="31AC1EB0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DA3D49"/>
    <w:multiLevelType w:val="hybridMultilevel"/>
    <w:tmpl w:val="95AECA4A"/>
    <w:lvl w:ilvl="0" w:tplc="09A07A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4248D9"/>
    <w:multiLevelType w:val="hybridMultilevel"/>
    <w:tmpl w:val="BB9493C8"/>
    <w:lvl w:ilvl="0" w:tplc="AFDAB33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536A55"/>
    <w:multiLevelType w:val="hybridMultilevel"/>
    <w:tmpl w:val="246A78F8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D370F6"/>
    <w:multiLevelType w:val="hybridMultilevel"/>
    <w:tmpl w:val="9FA06BC0"/>
    <w:lvl w:ilvl="0" w:tplc="A4DAD1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A338BA"/>
    <w:multiLevelType w:val="hybridMultilevel"/>
    <w:tmpl w:val="03A89DBE"/>
    <w:lvl w:ilvl="0" w:tplc="09A07A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84E5180"/>
    <w:multiLevelType w:val="hybridMultilevel"/>
    <w:tmpl w:val="AA3C45A8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9BB73B4"/>
    <w:multiLevelType w:val="hybridMultilevel"/>
    <w:tmpl w:val="2286B4F0"/>
    <w:lvl w:ilvl="0" w:tplc="AFDAB33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B429FA"/>
    <w:multiLevelType w:val="hybridMultilevel"/>
    <w:tmpl w:val="3A4A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B3253"/>
    <w:multiLevelType w:val="hybridMultilevel"/>
    <w:tmpl w:val="CA0223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834F6"/>
    <w:multiLevelType w:val="hybridMultilevel"/>
    <w:tmpl w:val="5672DE7A"/>
    <w:lvl w:ilvl="0" w:tplc="D7A0B8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E56C1"/>
    <w:multiLevelType w:val="hybridMultilevel"/>
    <w:tmpl w:val="DED2D3CC"/>
    <w:lvl w:ilvl="0" w:tplc="C62E8BAC">
      <w:numFmt w:val="bullet"/>
      <w:lvlText w:val="-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63B21B2"/>
    <w:multiLevelType w:val="hybridMultilevel"/>
    <w:tmpl w:val="AD3452A4"/>
    <w:lvl w:ilvl="0" w:tplc="97449C8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6A48AE"/>
    <w:multiLevelType w:val="multilevel"/>
    <w:tmpl w:val="BB9493C8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abon" w:eastAsia="Times New Roman" w:hAnsi="Sabon" w:cs="Times New Roman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24044A"/>
    <w:multiLevelType w:val="hybridMultilevel"/>
    <w:tmpl w:val="85E2AC98"/>
    <w:lvl w:ilvl="0" w:tplc="5C1893B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85630A"/>
    <w:multiLevelType w:val="hybridMultilevel"/>
    <w:tmpl w:val="649C412A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0B7CB6"/>
    <w:multiLevelType w:val="hybridMultilevel"/>
    <w:tmpl w:val="1D28D1E6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631F4"/>
    <w:multiLevelType w:val="hybridMultilevel"/>
    <w:tmpl w:val="238ACF22"/>
    <w:lvl w:ilvl="0" w:tplc="31C477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196AD5"/>
    <w:multiLevelType w:val="multilevel"/>
    <w:tmpl w:val="85E2AC98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6C09D7"/>
    <w:multiLevelType w:val="hybridMultilevel"/>
    <w:tmpl w:val="DD548588"/>
    <w:lvl w:ilvl="0" w:tplc="F91087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491CC0"/>
    <w:multiLevelType w:val="hybridMultilevel"/>
    <w:tmpl w:val="423A13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510A7"/>
    <w:multiLevelType w:val="multilevel"/>
    <w:tmpl w:val="238ACF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372984"/>
    <w:multiLevelType w:val="hybridMultilevel"/>
    <w:tmpl w:val="B1C8CC88"/>
    <w:lvl w:ilvl="0" w:tplc="C62E8BA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1200CA"/>
    <w:multiLevelType w:val="hybridMultilevel"/>
    <w:tmpl w:val="F28EC2E2"/>
    <w:lvl w:ilvl="0" w:tplc="AFDAB33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066660"/>
    <w:multiLevelType w:val="hybridMultilevel"/>
    <w:tmpl w:val="CA2A60D2"/>
    <w:lvl w:ilvl="0" w:tplc="F68266D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E73D4D"/>
    <w:multiLevelType w:val="hybridMultilevel"/>
    <w:tmpl w:val="FFD4EB12"/>
    <w:lvl w:ilvl="0" w:tplc="97449C8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abon" w:eastAsia="Times New Roman" w:hAnsi="Sabo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3E0319"/>
    <w:multiLevelType w:val="multilevel"/>
    <w:tmpl w:val="6D023F0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7B45B9"/>
    <w:multiLevelType w:val="hybridMultilevel"/>
    <w:tmpl w:val="BA60A3CA"/>
    <w:lvl w:ilvl="0" w:tplc="D5301D76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F050F1"/>
    <w:multiLevelType w:val="hybridMultilevel"/>
    <w:tmpl w:val="4162BA80"/>
    <w:lvl w:ilvl="0" w:tplc="9B102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3A7F59"/>
    <w:multiLevelType w:val="hybridMultilevel"/>
    <w:tmpl w:val="823821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CB3DA9"/>
    <w:multiLevelType w:val="hybridMultilevel"/>
    <w:tmpl w:val="6D023F04"/>
    <w:lvl w:ilvl="0" w:tplc="09A07A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9"/>
  </w:num>
  <w:num w:numId="5">
    <w:abstractNumId w:val="18"/>
  </w:num>
  <w:num w:numId="6">
    <w:abstractNumId w:val="22"/>
  </w:num>
  <w:num w:numId="7">
    <w:abstractNumId w:val="2"/>
  </w:num>
  <w:num w:numId="8">
    <w:abstractNumId w:val="31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3"/>
  </w:num>
  <w:num w:numId="12">
    <w:abstractNumId w:val="17"/>
  </w:num>
  <w:num w:numId="13">
    <w:abstractNumId w:val="12"/>
  </w:num>
  <w:num w:numId="14">
    <w:abstractNumId w:val="16"/>
  </w:num>
  <w:num w:numId="15">
    <w:abstractNumId w:val="1"/>
  </w:num>
  <w:num w:numId="16">
    <w:abstractNumId w:val="4"/>
  </w:num>
  <w:num w:numId="17">
    <w:abstractNumId w:val="7"/>
  </w:num>
  <w:num w:numId="18">
    <w:abstractNumId w:val="25"/>
  </w:num>
  <w:num w:numId="19">
    <w:abstractNumId w:val="27"/>
  </w:num>
  <w:num w:numId="20">
    <w:abstractNumId w:val="8"/>
  </w:num>
  <w:num w:numId="21">
    <w:abstractNumId w:val="3"/>
  </w:num>
  <w:num w:numId="22">
    <w:abstractNumId w:val="13"/>
  </w:num>
  <w:num w:numId="23">
    <w:abstractNumId w:val="24"/>
  </w:num>
  <w:num w:numId="24">
    <w:abstractNumId w:val="26"/>
  </w:num>
  <w:num w:numId="25">
    <w:abstractNumId w:val="14"/>
  </w:num>
  <w:num w:numId="26">
    <w:abstractNumId w:val="5"/>
  </w:num>
  <w:num w:numId="27">
    <w:abstractNumId w:val="28"/>
  </w:num>
  <w:num w:numId="28">
    <w:abstractNumId w:val="29"/>
  </w:num>
  <w:num w:numId="29">
    <w:abstractNumId w:val="9"/>
  </w:num>
  <w:num w:numId="30">
    <w:abstractNumId w:val="10"/>
  </w:num>
  <w:num w:numId="31">
    <w:abstractNumId w:val="21"/>
  </w:num>
  <w:num w:numId="32">
    <w:abstractNumId w:val="11"/>
  </w:num>
  <w:num w:numId="33">
    <w:abstractNumId w:val="20"/>
  </w:num>
  <w:num w:numId="34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  <w15:person w15:author="Zuzana Orszaghova">
    <w15:presenceInfo w15:providerId="None" w15:userId="Zuzana Orszaghova"/>
  </w15:person>
  <w15:person w15:author="Lucia Svecova">
    <w15:presenceInfo w15:providerId="None" w15:userId="Lucia Svec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0D"/>
    <w:rsid w:val="00000C70"/>
    <w:rsid w:val="00001765"/>
    <w:rsid w:val="00001E70"/>
    <w:rsid w:val="00004E6C"/>
    <w:rsid w:val="000110F8"/>
    <w:rsid w:val="000202D0"/>
    <w:rsid w:val="0002163F"/>
    <w:rsid w:val="00022065"/>
    <w:rsid w:val="000234D7"/>
    <w:rsid w:val="00025BCF"/>
    <w:rsid w:val="00030D9A"/>
    <w:rsid w:val="000347E9"/>
    <w:rsid w:val="00044C76"/>
    <w:rsid w:val="00050D43"/>
    <w:rsid w:val="00053AA0"/>
    <w:rsid w:val="00057805"/>
    <w:rsid w:val="000578E1"/>
    <w:rsid w:val="000620AD"/>
    <w:rsid w:val="000635F2"/>
    <w:rsid w:val="00065CCB"/>
    <w:rsid w:val="00066A47"/>
    <w:rsid w:val="00067642"/>
    <w:rsid w:val="00070A8A"/>
    <w:rsid w:val="000727F3"/>
    <w:rsid w:val="000800AA"/>
    <w:rsid w:val="00083156"/>
    <w:rsid w:val="00084177"/>
    <w:rsid w:val="00085047"/>
    <w:rsid w:val="00087DF9"/>
    <w:rsid w:val="00090275"/>
    <w:rsid w:val="00090D09"/>
    <w:rsid w:val="0009434A"/>
    <w:rsid w:val="00095341"/>
    <w:rsid w:val="00095AC2"/>
    <w:rsid w:val="00095E67"/>
    <w:rsid w:val="000A2848"/>
    <w:rsid w:val="000A50CC"/>
    <w:rsid w:val="000A5A7F"/>
    <w:rsid w:val="000A778B"/>
    <w:rsid w:val="000B0AD2"/>
    <w:rsid w:val="000B0FB1"/>
    <w:rsid w:val="000B2DC4"/>
    <w:rsid w:val="000B4B22"/>
    <w:rsid w:val="000B4C97"/>
    <w:rsid w:val="000B5DEB"/>
    <w:rsid w:val="000C1E5D"/>
    <w:rsid w:val="000C3EEE"/>
    <w:rsid w:val="000C7F70"/>
    <w:rsid w:val="000D1591"/>
    <w:rsid w:val="000D1634"/>
    <w:rsid w:val="000D35C4"/>
    <w:rsid w:val="000D4CD7"/>
    <w:rsid w:val="000D62A9"/>
    <w:rsid w:val="000E0556"/>
    <w:rsid w:val="000E080F"/>
    <w:rsid w:val="000E1978"/>
    <w:rsid w:val="000E4B70"/>
    <w:rsid w:val="000E4B7B"/>
    <w:rsid w:val="000E649A"/>
    <w:rsid w:val="000E7E2B"/>
    <w:rsid w:val="000F14FB"/>
    <w:rsid w:val="000F1B4A"/>
    <w:rsid w:val="000F599E"/>
    <w:rsid w:val="000F6E58"/>
    <w:rsid w:val="000F79CC"/>
    <w:rsid w:val="00100E14"/>
    <w:rsid w:val="00102D16"/>
    <w:rsid w:val="001045F1"/>
    <w:rsid w:val="00104CC3"/>
    <w:rsid w:val="0011541C"/>
    <w:rsid w:val="00116624"/>
    <w:rsid w:val="00120D75"/>
    <w:rsid w:val="001231AE"/>
    <w:rsid w:val="001235C0"/>
    <w:rsid w:val="001276A0"/>
    <w:rsid w:val="00132375"/>
    <w:rsid w:val="00133C28"/>
    <w:rsid w:val="00137791"/>
    <w:rsid w:val="001400B9"/>
    <w:rsid w:val="00140E39"/>
    <w:rsid w:val="00143CBE"/>
    <w:rsid w:val="0014432D"/>
    <w:rsid w:val="0014502A"/>
    <w:rsid w:val="001530B2"/>
    <w:rsid w:val="00154300"/>
    <w:rsid w:val="00160556"/>
    <w:rsid w:val="00161AC2"/>
    <w:rsid w:val="0016257F"/>
    <w:rsid w:val="00170121"/>
    <w:rsid w:val="00170617"/>
    <w:rsid w:val="00173CF3"/>
    <w:rsid w:val="001744D1"/>
    <w:rsid w:val="001805B2"/>
    <w:rsid w:val="00181685"/>
    <w:rsid w:val="00182374"/>
    <w:rsid w:val="00186E12"/>
    <w:rsid w:val="001A1957"/>
    <w:rsid w:val="001A5E5C"/>
    <w:rsid w:val="001A7CF5"/>
    <w:rsid w:val="001B14E0"/>
    <w:rsid w:val="001B323B"/>
    <w:rsid w:val="001B4D61"/>
    <w:rsid w:val="001B5213"/>
    <w:rsid w:val="001B77AD"/>
    <w:rsid w:val="001B7CA0"/>
    <w:rsid w:val="001C034A"/>
    <w:rsid w:val="001C2EA8"/>
    <w:rsid w:val="001D125A"/>
    <w:rsid w:val="001D1ABD"/>
    <w:rsid w:val="001E460F"/>
    <w:rsid w:val="001E5989"/>
    <w:rsid w:val="001E5FC4"/>
    <w:rsid w:val="001F355D"/>
    <w:rsid w:val="001F3A43"/>
    <w:rsid w:val="00200A4C"/>
    <w:rsid w:val="00200FD3"/>
    <w:rsid w:val="002013F3"/>
    <w:rsid w:val="00211071"/>
    <w:rsid w:val="002178B5"/>
    <w:rsid w:val="002178FD"/>
    <w:rsid w:val="00217A53"/>
    <w:rsid w:val="0022113C"/>
    <w:rsid w:val="00221AD2"/>
    <w:rsid w:val="00221FD1"/>
    <w:rsid w:val="00233593"/>
    <w:rsid w:val="0023676A"/>
    <w:rsid w:val="002368A9"/>
    <w:rsid w:val="002420C6"/>
    <w:rsid w:val="00242BCF"/>
    <w:rsid w:val="00244DEC"/>
    <w:rsid w:val="0024620E"/>
    <w:rsid w:val="0024621E"/>
    <w:rsid w:val="00250F08"/>
    <w:rsid w:val="00251D96"/>
    <w:rsid w:val="002524DD"/>
    <w:rsid w:val="0025289E"/>
    <w:rsid w:val="002529F1"/>
    <w:rsid w:val="00253D82"/>
    <w:rsid w:val="0025713A"/>
    <w:rsid w:val="002607F4"/>
    <w:rsid w:val="00266A6D"/>
    <w:rsid w:val="002718CB"/>
    <w:rsid w:val="00271FB9"/>
    <w:rsid w:val="00272051"/>
    <w:rsid w:val="0027754C"/>
    <w:rsid w:val="0028015C"/>
    <w:rsid w:val="00280CD0"/>
    <w:rsid w:val="00284B6A"/>
    <w:rsid w:val="00285068"/>
    <w:rsid w:val="00285851"/>
    <w:rsid w:val="0028642D"/>
    <w:rsid w:val="0029087E"/>
    <w:rsid w:val="00293D80"/>
    <w:rsid w:val="002B35A8"/>
    <w:rsid w:val="002B5B94"/>
    <w:rsid w:val="002B707E"/>
    <w:rsid w:val="002C1B06"/>
    <w:rsid w:val="002C2F90"/>
    <w:rsid w:val="002D65D2"/>
    <w:rsid w:val="002D6C0C"/>
    <w:rsid w:val="002D6D1F"/>
    <w:rsid w:val="002E0D91"/>
    <w:rsid w:val="002E2D90"/>
    <w:rsid w:val="002E327E"/>
    <w:rsid w:val="002F4750"/>
    <w:rsid w:val="00307135"/>
    <w:rsid w:val="003139CA"/>
    <w:rsid w:val="00315BC7"/>
    <w:rsid w:val="00316280"/>
    <w:rsid w:val="00321EA6"/>
    <w:rsid w:val="00322C70"/>
    <w:rsid w:val="00327371"/>
    <w:rsid w:val="00330A0F"/>
    <w:rsid w:val="003316BA"/>
    <w:rsid w:val="00333393"/>
    <w:rsid w:val="0033448D"/>
    <w:rsid w:val="0033458A"/>
    <w:rsid w:val="00336F2E"/>
    <w:rsid w:val="00337EA0"/>
    <w:rsid w:val="003414B4"/>
    <w:rsid w:val="003421AB"/>
    <w:rsid w:val="00345E0A"/>
    <w:rsid w:val="00346DC6"/>
    <w:rsid w:val="0034781A"/>
    <w:rsid w:val="00351219"/>
    <w:rsid w:val="00351277"/>
    <w:rsid w:val="003543AB"/>
    <w:rsid w:val="00356A6D"/>
    <w:rsid w:val="00356DF1"/>
    <w:rsid w:val="0036085E"/>
    <w:rsid w:val="00360ED5"/>
    <w:rsid w:val="0036292A"/>
    <w:rsid w:val="0036355A"/>
    <w:rsid w:val="00366662"/>
    <w:rsid w:val="00366FEA"/>
    <w:rsid w:val="0037244D"/>
    <w:rsid w:val="0037246A"/>
    <w:rsid w:val="00386A3F"/>
    <w:rsid w:val="003967A8"/>
    <w:rsid w:val="003A0D4D"/>
    <w:rsid w:val="003A2E0D"/>
    <w:rsid w:val="003A4CA1"/>
    <w:rsid w:val="003A74CA"/>
    <w:rsid w:val="003B31E9"/>
    <w:rsid w:val="003B5528"/>
    <w:rsid w:val="003B6FB1"/>
    <w:rsid w:val="003C2255"/>
    <w:rsid w:val="003C2461"/>
    <w:rsid w:val="003C45E8"/>
    <w:rsid w:val="003D1769"/>
    <w:rsid w:val="003D1C76"/>
    <w:rsid w:val="003D2A48"/>
    <w:rsid w:val="003D2D88"/>
    <w:rsid w:val="003D44E9"/>
    <w:rsid w:val="003D4C5A"/>
    <w:rsid w:val="003D5211"/>
    <w:rsid w:val="003D6383"/>
    <w:rsid w:val="003E1413"/>
    <w:rsid w:val="003E4216"/>
    <w:rsid w:val="003E4AC0"/>
    <w:rsid w:val="003E6434"/>
    <w:rsid w:val="003E650F"/>
    <w:rsid w:val="003F137D"/>
    <w:rsid w:val="003F3833"/>
    <w:rsid w:val="003F3864"/>
    <w:rsid w:val="003F3942"/>
    <w:rsid w:val="003F6981"/>
    <w:rsid w:val="00400998"/>
    <w:rsid w:val="00403191"/>
    <w:rsid w:val="004064D9"/>
    <w:rsid w:val="0041247D"/>
    <w:rsid w:val="004128C6"/>
    <w:rsid w:val="004152A8"/>
    <w:rsid w:val="00415D8C"/>
    <w:rsid w:val="004163D5"/>
    <w:rsid w:val="00424F55"/>
    <w:rsid w:val="004262FC"/>
    <w:rsid w:val="00427A43"/>
    <w:rsid w:val="004303BD"/>
    <w:rsid w:val="00433F31"/>
    <w:rsid w:val="004436F3"/>
    <w:rsid w:val="00451DD1"/>
    <w:rsid w:val="00452BF9"/>
    <w:rsid w:val="00454C7E"/>
    <w:rsid w:val="00454D55"/>
    <w:rsid w:val="00454FDC"/>
    <w:rsid w:val="00455430"/>
    <w:rsid w:val="004602C2"/>
    <w:rsid w:val="004627A4"/>
    <w:rsid w:val="004631D7"/>
    <w:rsid w:val="00463F17"/>
    <w:rsid w:val="004649B7"/>
    <w:rsid w:val="0047430C"/>
    <w:rsid w:val="0047467E"/>
    <w:rsid w:val="004753D6"/>
    <w:rsid w:val="0048106C"/>
    <w:rsid w:val="004834CA"/>
    <w:rsid w:val="00483673"/>
    <w:rsid w:val="004837ED"/>
    <w:rsid w:val="00490CAE"/>
    <w:rsid w:val="004916C3"/>
    <w:rsid w:val="00494430"/>
    <w:rsid w:val="00495115"/>
    <w:rsid w:val="00496156"/>
    <w:rsid w:val="004961B6"/>
    <w:rsid w:val="00497C8A"/>
    <w:rsid w:val="004A1E3D"/>
    <w:rsid w:val="004A33D1"/>
    <w:rsid w:val="004A3675"/>
    <w:rsid w:val="004B5DD3"/>
    <w:rsid w:val="004C007D"/>
    <w:rsid w:val="004C0E71"/>
    <w:rsid w:val="004C17C3"/>
    <w:rsid w:val="004C3943"/>
    <w:rsid w:val="004C4E10"/>
    <w:rsid w:val="004C6CBB"/>
    <w:rsid w:val="004C784C"/>
    <w:rsid w:val="004D31B3"/>
    <w:rsid w:val="004D35A8"/>
    <w:rsid w:val="004D69EF"/>
    <w:rsid w:val="004E2FE0"/>
    <w:rsid w:val="004E4040"/>
    <w:rsid w:val="004E65F3"/>
    <w:rsid w:val="004E7FC9"/>
    <w:rsid w:val="004F0BE4"/>
    <w:rsid w:val="004F36B3"/>
    <w:rsid w:val="004F4E3D"/>
    <w:rsid w:val="004F7358"/>
    <w:rsid w:val="005065FA"/>
    <w:rsid w:val="005127BD"/>
    <w:rsid w:val="00513345"/>
    <w:rsid w:val="00516C27"/>
    <w:rsid w:val="005174EB"/>
    <w:rsid w:val="00524A49"/>
    <w:rsid w:val="00527043"/>
    <w:rsid w:val="00527BE1"/>
    <w:rsid w:val="005315CF"/>
    <w:rsid w:val="00533512"/>
    <w:rsid w:val="00533910"/>
    <w:rsid w:val="0053692A"/>
    <w:rsid w:val="00541A55"/>
    <w:rsid w:val="00541D2B"/>
    <w:rsid w:val="0054301D"/>
    <w:rsid w:val="0054515A"/>
    <w:rsid w:val="00545B32"/>
    <w:rsid w:val="00546725"/>
    <w:rsid w:val="00546DBF"/>
    <w:rsid w:val="00547932"/>
    <w:rsid w:val="00547C04"/>
    <w:rsid w:val="00554CE7"/>
    <w:rsid w:val="00561D1D"/>
    <w:rsid w:val="00562B72"/>
    <w:rsid w:val="00564747"/>
    <w:rsid w:val="005706D9"/>
    <w:rsid w:val="005824B7"/>
    <w:rsid w:val="005837E7"/>
    <w:rsid w:val="00590ABC"/>
    <w:rsid w:val="00591148"/>
    <w:rsid w:val="00596FFC"/>
    <w:rsid w:val="005A0503"/>
    <w:rsid w:val="005A21C3"/>
    <w:rsid w:val="005A52CA"/>
    <w:rsid w:val="005A6E2F"/>
    <w:rsid w:val="005A6ECA"/>
    <w:rsid w:val="005B1647"/>
    <w:rsid w:val="005B1A25"/>
    <w:rsid w:val="005B3B8E"/>
    <w:rsid w:val="005B7B44"/>
    <w:rsid w:val="005B7CFD"/>
    <w:rsid w:val="005C48C1"/>
    <w:rsid w:val="005D0921"/>
    <w:rsid w:val="005D17BE"/>
    <w:rsid w:val="005D4C34"/>
    <w:rsid w:val="005D548F"/>
    <w:rsid w:val="005E059A"/>
    <w:rsid w:val="005E1727"/>
    <w:rsid w:val="005E4F5A"/>
    <w:rsid w:val="005E546B"/>
    <w:rsid w:val="005E75C3"/>
    <w:rsid w:val="005F52BB"/>
    <w:rsid w:val="006016A9"/>
    <w:rsid w:val="00611C73"/>
    <w:rsid w:val="0061258F"/>
    <w:rsid w:val="00612D1B"/>
    <w:rsid w:val="0061476E"/>
    <w:rsid w:val="006168B0"/>
    <w:rsid w:val="006215A5"/>
    <w:rsid w:val="00621BDD"/>
    <w:rsid w:val="0062372C"/>
    <w:rsid w:val="00627552"/>
    <w:rsid w:val="00631D24"/>
    <w:rsid w:val="00631FC3"/>
    <w:rsid w:val="00633C49"/>
    <w:rsid w:val="00633D76"/>
    <w:rsid w:val="00634177"/>
    <w:rsid w:val="0063468A"/>
    <w:rsid w:val="00634CCB"/>
    <w:rsid w:val="00634F59"/>
    <w:rsid w:val="00635585"/>
    <w:rsid w:val="00636CF5"/>
    <w:rsid w:val="0063780B"/>
    <w:rsid w:val="00640CF8"/>
    <w:rsid w:val="006416C6"/>
    <w:rsid w:val="006421E1"/>
    <w:rsid w:val="00645019"/>
    <w:rsid w:val="00645B78"/>
    <w:rsid w:val="0065071B"/>
    <w:rsid w:val="00654617"/>
    <w:rsid w:val="00654AE0"/>
    <w:rsid w:val="0065690C"/>
    <w:rsid w:val="00661302"/>
    <w:rsid w:val="00666A0A"/>
    <w:rsid w:val="00666D87"/>
    <w:rsid w:val="00667007"/>
    <w:rsid w:val="006670DF"/>
    <w:rsid w:val="00667E8D"/>
    <w:rsid w:val="006700C3"/>
    <w:rsid w:val="00676C95"/>
    <w:rsid w:val="0067746B"/>
    <w:rsid w:val="0068143F"/>
    <w:rsid w:val="00682264"/>
    <w:rsid w:val="00682DC5"/>
    <w:rsid w:val="00683159"/>
    <w:rsid w:val="006867F6"/>
    <w:rsid w:val="00690403"/>
    <w:rsid w:val="00694DB8"/>
    <w:rsid w:val="00697C2D"/>
    <w:rsid w:val="006B4D42"/>
    <w:rsid w:val="006B55FB"/>
    <w:rsid w:val="006B5C99"/>
    <w:rsid w:val="006C3175"/>
    <w:rsid w:val="006C3E28"/>
    <w:rsid w:val="006D7FAD"/>
    <w:rsid w:val="006E49C6"/>
    <w:rsid w:val="006E4DD3"/>
    <w:rsid w:val="006E7B0E"/>
    <w:rsid w:val="006E7E7C"/>
    <w:rsid w:val="006F0961"/>
    <w:rsid w:val="006F16B7"/>
    <w:rsid w:val="006F17AA"/>
    <w:rsid w:val="006F2043"/>
    <w:rsid w:val="006F2D3C"/>
    <w:rsid w:val="006F593B"/>
    <w:rsid w:val="006F5FD6"/>
    <w:rsid w:val="00701F49"/>
    <w:rsid w:val="00702F07"/>
    <w:rsid w:val="00704F90"/>
    <w:rsid w:val="007063F3"/>
    <w:rsid w:val="00707BBF"/>
    <w:rsid w:val="0071303C"/>
    <w:rsid w:val="0071304F"/>
    <w:rsid w:val="00713969"/>
    <w:rsid w:val="0071414B"/>
    <w:rsid w:val="0072030E"/>
    <w:rsid w:val="00720811"/>
    <w:rsid w:val="00722CD6"/>
    <w:rsid w:val="00723242"/>
    <w:rsid w:val="007232B4"/>
    <w:rsid w:val="00723674"/>
    <w:rsid w:val="00723C14"/>
    <w:rsid w:val="00723E3D"/>
    <w:rsid w:val="007245C9"/>
    <w:rsid w:val="00727393"/>
    <w:rsid w:val="007304DD"/>
    <w:rsid w:val="007318BC"/>
    <w:rsid w:val="00733229"/>
    <w:rsid w:val="00736F27"/>
    <w:rsid w:val="0073794D"/>
    <w:rsid w:val="007405CC"/>
    <w:rsid w:val="0074341B"/>
    <w:rsid w:val="00745D28"/>
    <w:rsid w:val="007503CA"/>
    <w:rsid w:val="0075512C"/>
    <w:rsid w:val="0075556F"/>
    <w:rsid w:val="0075643F"/>
    <w:rsid w:val="007609CC"/>
    <w:rsid w:val="00762EB3"/>
    <w:rsid w:val="007633A4"/>
    <w:rsid w:val="0077005A"/>
    <w:rsid w:val="00770D08"/>
    <w:rsid w:val="00782AA5"/>
    <w:rsid w:val="007865E5"/>
    <w:rsid w:val="00787A1D"/>
    <w:rsid w:val="00795494"/>
    <w:rsid w:val="00797554"/>
    <w:rsid w:val="007A4E1A"/>
    <w:rsid w:val="007A6184"/>
    <w:rsid w:val="007A63E9"/>
    <w:rsid w:val="007B13E8"/>
    <w:rsid w:val="007B35C5"/>
    <w:rsid w:val="007B46F7"/>
    <w:rsid w:val="007B73DC"/>
    <w:rsid w:val="007C6181"/>
    <w:rsid w:val="007D33A6"/>
    <w:rsid w:val="007E0582"/>
    <w:rsid w:val="007E2DF2"/>
    <w:rsid w:val="007E3891"/>
    <w:rsid w:val="007E4650"/>
    <w:rsid w:val="007E58D1"/>
    <w:rsid w:val="007E625F"/>
    <w:rsid w:val="007E6380"/>
    <w:rsid w:val="007F28E1"/>
    <w:rsid w:val="007F4713"/>
    <w:rsid w:val="007F6579"/>
    <w:rsid w:val="00800449"/>
    <w:rsid w:val="0080207C"/>
    <w:rsid w:val="00812706"/>
    <w:rsid w:val="00824A1E"/>
    <w:rsid w:val="00830272"/>
    <w:rsid w:val="00835F2A"/>
    <w:rsid w:val="008372F9"/>
    <w:rsid w:val="00837F3C"/>
    <w:rsid w:val="008448C8"/>
    <w:rsid w:val="00844C05"/>
    <w:rsid w:val="00845178"/>
    <w:rsid w:val="00845952"/>
    <w:rsid w:val="0084725C"/>
    <w:rsid w:val="00851400"/>
    <w:rsid w:val="0085515F"/>
    <w:rsid w:val="008552A3"/>
    <w:rsid w:val="008554C6"/>
    <w:rsid w:val="008601ED"/>
    <w:rsid w:val="00860984"/>
    <w:rsid w:val="0086236A"/>
    <w:rsid w:val="008623EA"/>
    <w:rsid w:val="00862EB2"/>
    <w:rsid w:val="00865385"/>
    <w:rsid w:val="0086603C"/>
    <w:rsid w:val="008671E5"/>
    <w:rsid w:val="00867EC1"/>
    <w:rsid w:val="00870FD3"/>
    <w:rsid w:val="008732FD"/>
    <w:rsid w:val="00874DAF"/>
    <w:rsid w:val="00876815"/>
    <w:rsid w:val="00877B30"/>
    <w:rsid w:val="00883533"/>
    <w:rsid w:val="00883759"/>
    <w:rsid w:val="008850CD"/>
    <w:rsid w:val="00885C2F"/>
    <w:rsid w:val="00887BCF"/>
    <w:rsid w:val="00890204"/>
    <w:rsid w:val="00891F6B"/>
    <w:rsid w:val="00892455"/>
    <w:rsid w:val="00893711"/>
    <w:rsid w:val="008A332A"/>
    <w:rsid w:val="008A3331"/>
    <w:rsid w:val="008A3B7B"/>
    <w:rsid w:val="008A5DED"/>
    <w:rsid w:val="008A7A3E"/>
    <w:rsid w:val="008B37BF"/>
    <w:rsid w:val="008B7EE1"/>
    <w:rsid w:val="008C01AA"/>
    <w:rsid w:val="008C0C01"/>
    <w:rsid w:val="008C0C02"/>
    <w:rsid w:val="008C2BC9"/>
    <w:rsid w:val="008C3F28"/>
    <w:rsid w:val="008C4949"/>
    <w:rsid w:val="008C6175"/>
    <w:rsid w:val="008C6BDB"/>
    <w:rsid w:val="008C7E99"/>
    <w:rsid w:val="008D0337"/>
    <w:rsid w:val="008D411F"/>
    <w:rsid w:val="008D74B3"/>
    <w:rsid w:val="008D753D"/>
    <w:rsid w:val="008E2B34"/>
    <w:rsid w:val="008E3F83"/>
    <w:rsid w:val="008E588D"/>
    <w:rsid w:val="008E795A"/>
    <w:rsid w:val="008E7A96"/>
    <w:rsid w:val="008F25A9"/>
    <w:rsid w:val="008F269F"/>
    <w:rsid w:val="008F512C"/>
    <w:rsid w:val="008F52B7"/>
    <w:rsid w:val="00901C76"/>
    <w:rsid w:val="00905C28"/>
    <w:rsid w:val="00906485"/>
    <w:rsid w:val="00907D07"/>
    <w:rsid w:val="00914DFA"/>
    <w:rsid w:val="009172EA"/>
    <w:rsid w:val="00920F0E"/>
    <w:rsid w:val="009225D4"/>
    <w:rsid w:val="0092395A"/>
    <w:rsid w:val="00923F04"/>
    <w:rsid w:val="00924B5D"/>
    <w:rsid w:val="00924EA1"/>
    <w:rsid w:val="009342FD"/>
    <w:rsid w:val="00934A7D"/>
    <w:rsid w:val="00935590"/>
    <w:rsid w:val="00936688"/>
    <w:rsid w:val="00937013"/>
    <w:rsid w:val="00942199"/>
    <w:rsid w:val="00942794"/>
    <w:rsid w:val="00944735"/>
    <w:rsid w:val="009561D5"/>
    <w:rsid w:val="0095677D"/>
    <w:rsid w:val="00956BAC"/>
    <w:rsid w:val="00957152"/>
    <w:rsid w:val="0095735F"/>
    <w:rsid w:val="00963A61"/>
    <w:rsid w:val="0097156D"/>
    <w:rsid w:val="00975BB0"/>
    <w:rsid w:val="00975D43"/>
    <w:rsid w:val="00975F81"/>
    <w:rsid w:val="00977EA7"/>
    <w:rsid w:val="00980DEB"/>
    <w:rsid w:val="009825E1"/>
    <w:rsid w:val="00983AA8"/>
    <w:rsid w:val="00995334"/>
    <w:rsid w:val="009A1C4C"/>
    <w:rsid w:val="009A2968"/>
    <w:rsid w:val="009A30A0"/>
    <w:rsid w:val="009A4719"/>
    <w:rsid w:val="009A63D3"/>
    <w:rsid w:val="009B09B5"/>
    <w:rsid w:val="009B13AC"/>
    <w:rsid w:val="009B2A58"/>
    <w:rsid w:val="009B2E19"/>
    <w:rsid w:val="009B7802"/>
    <w:rsid w:val="009C3597"/>
    <w:rsid w:val="009C3B71"/>
    <w:rsid w:val="009D0C33"/>
    <w:rsid w:val="009D65FE"/>
    <w:rsid w:val="009E0156"/>
    <w:rsid w:val="009E0A5D"/>
    <w:rsid w:val="009E16C1"/>
    <w:rsid w:val="009E2B7E"/>
    <w:rsid w:val="009E4883"/>
    <w:rsid w:val="009E59F1"/>
    <w:rsid w:val="009E6CDA"/>
    <w:rsid w:val="009F147E"/>
    <w:rsid w:val="009F503F"/>
    <w:rsid w:val="009F7D39"/>
    <w:rsid w:val="00A001E0"/>
    <w:rsid w:val="00A00A4A"/>
    <w:rsid w:val="00A014A9"/>
    <w:rsid w:val="00A01B5A"/>
    <w:rsid w:val="00A20220"/>
    <w:rsid w:val="00A23DE5"/>
    <w:rsid w:val="00A244E1"/>
    <w:rsid w:val="00A26A7E"/>
    <w:rsid w:val="00A30853"/>
    <w:rsid w:val="00A30FFD"/>
    <w:rsid w:val="00A3162B"/>
    <w:rsid w:val="00A337FB"/>
    <w:rsid w:val="00A3761A"/>
    <w:rsid w:val="00A428D4"/>
    <w:rsid w:val="00A50403"/>
    <w:rsid w:val="00A506BD"/>
    <w:rsid w:val="00A51377"/>
    <w:rsid w:val="00A521C8"/>
    <w:rsid w:val="00A52D9A"/>
    <w:rsid w:val="00A54008"/>
    <w:rsid w:val="00A54B03"/>
    <w:rsid w:val="00A60E84"/>
    <w:rsid w:val="00A6670A"/>
    <w:rsid w:val="00A67EC4"/>
    <w:rsid w:val="00A705B5"/>
    <w:rsid w:val="00A70BDB"/>
    <w:rsid w:val="00A726CB"/>
    <w:rsid w:val="00A72F26"/>
    <w:rsid w:val="00A74AF8"/>
    <w:rsid w:val="00A75FE3"/>
    <w:rsid w:val="00A827E5"/>
    <w:rsid w:val="00A8429C"/>
    <w:rsid w:val="00A87072"/>
    <w:rsid w:val="00A872B5"/>
    <w:rsid w:val="00A921EC"/>
    <w:rsid w:val="00A9372A"/>
    <w:rsid w:val="00A9416D"/>
    <w:rsid w:val="00A97B1A"/>
    <w:rsid w:val="00AA14D6"/>
    <w:rsid w:val="00AA33D8"/>
    <w:rsid w:val="00AA7180"/>
    <w:rsid w:val="00AB00AE"/>
    <w:rsid w:val="00AC556C"/>
    <w:rsid w:val="00AC60A3"/>
    <w:rsid w:val="00AC668E"/>
    <w:rsid w:val="00AC6CCA"/>
    <w:rsid w:val="00AD67F5"/>
    <w:rsid w:val="00AE3B90"/>
    <w:rsid w:val="00AF0646"/>
    <w:rsid w:val="00AF110C"/>
    <w:rsid w:val="00AF1491"/>
    <w:rsid w:val="00AF3DD9"/>
    <w:rsid w:val="00AF65B3"/>
    <w:rsid w:val="00AF65BD"/>
    <w:rsid w:val="00B006CC"/>
    <w:rsid w:val="00B02656"/>
    <w:rsid w:val="00B06D6E"/>
    <w:rsid w:val="00B167E0"/>
    <w:rsid w:val="00B171A7"/>
    <w:rsid w:val="00B26733"/>
    <w:rsid w:val="00B3236B"/>
    <w:rsid w:val="00B3529E"/>
    <w:rsid w:val="00B368BA"/>
    <w:rsid w:val="00B41DF2"/>
    <w:rsid w:val="00B42752"/>
    <w:rsid w:val="00B4319B"/>
    <w:rsid w:val="00B4353A"/>
    <w:rsid w:val="00B44613"/>
    <w:rsid w:val="00B50451"/>
    <w:rsid w:val="00B5348C"/>
    <w:rsid w:val="00B54F25"/>
    <w:rsid w:val="00B61533"/>
    <w:rsid w:val="00B63A97"/>
    <w:rsid w:val="00B653C2"/>
    <w:rsid w:val="00B66CD0"/>
    <w:rsid w:val="00B72416"/>
    <w:rsid w:val="00B760AE"/>
    <w:rsid w:val="00B763B4"/>
    <w:rsid w:val="00B76749"/>
    <w:rsid w:val="00B82C18"/>
    <w:rsid w:val="00B8602D"/>
    <w:rsid w:val="00B90DF6"/>
    <w:rsid w:val="00B91315"/>
    <w:rsid w:val="00B933B9"/>
    <w:rsid w:val="00B93D41"/>
    <w:rsid w:val="00B96671"/>
    <w:rsid w:val="00B97614"/>
    <w:rsid w:val="00B9780B"/>
    <w:rsid w:val="00BA1B27"/>
    <w:rsid w:val="00BA3165"/>
    <w:rsid w:val="00BA4345"/>
    <w:rsid w:val="00BB23AC"/>
    <w:rsid w:val="00BB3DD9"/>
    <w:rsid w:val="00BB771D"/>
    <w:rsid w:val="00BC77F2"/>
    <w:rsid w:val="00BD23B4"/>
    <w:rsid w:val="00BD292D"/>
    <w:rsid w:val="00BD5DE1"/>
    <w:rsid w:val="00BD725E"/>
    <w:rsid w:val="00BF0AB7"/>
    <w:rsid w:val="00BF0C1C"/>
    <w:rsid w:val="00BF427D"/>
    <w:rsid w:val="00C00405"/>
    <w:rsid w:val="00C030AC"/>
    <w:rsid w:val="00C034AF"/>
    <w:rsid w:val="00C041EB"/>
    <w:rsid w:val="00C05260"/>
    <w:rsid w:val="00C107B2"/>
    <w:rsid w:val="00C10918"/>
    <w:rsid w:val="00C12CFF"/>
    <w:rsid w:val="00C139D9"/>
    <w:rsid w:val="00C16136"/>
    <w:rsid w:val="00C16DD5"/>
    <w:rsid w:val="00C20A76"/>
    <w:rsid w:val="00C21B23"/>
    <w:rsid w:val="00C22D02"/>
    <w:rsid w:val="00C25A7A"/>
    <w:rsid w:val="00C264F6"/>
    <w:rsid w:val="00C27112"/>
    <w:rsid w:val="00C3053C"/>
    <w:rsid w:val="00C31AEB"/>
    <w:rsid w:val="00C34B24"/>
    <w:rsid w:val="00C4180F"/>
    <w:rsid w:val="00C41993"/>
    <w:rsid w:val="00C4294B"/>
    <w:rsid w:val="00C44F48"/>
    <w:rsid w:val="00C451DC"/>
    <w:rsid w:val="00C46661"/>
    <w:rsid w:val="00C50291"/>
    <w:rsid w:val="00C50F42"/>
    <w:rsid w:val="00C559BC"/>
    <w:rsid w:val="00C56171"/>
    <w:rsid w:val="00C56977"/>
    <w:rsid w:val="00C6079B"/>
    <w:rsid w:val="00C60AF3"/>
    <w:rsid w:val="00C62814"/>
    <w:rsid w:val="00C64630"/>
    <w:rsid w:val="00C650BE"/>
    <w:rsid w:val="00C65E0A"/>
    <w:rsid w:val="00C776EC"/>
    <w:rsid w:val="00C80388"/>
    <w:rsid w:val="00C81505"/>
    <w:rsid w:val="00C83922"/>
    <w:rsid w:val="00C84762"/>
    <w:rsid w:val="00C919B6"/>
    <w:rsid w:val="00C943DB"/>
    <w:rsid w:val="00C9491D"/>
    <w:rsid w:val="00C94ED9"/>
    <w:rsid w:val="00C966D9"/>
    <w:rsid w:val="00CA186A"/>
    <w:rsid w:val="00CA4E76"/>
    <w:rsid w:val="00CA70CE"/>
    <w:rsid w:val="00CB4033"/>
    <w:rsid w:val="00CB455C"/>
    <w:rsid w:val="00CC10AF"/>
    <w:rsid w:val="00CC24FB"/>
    <w:rsid w:val="00CC3447"/>
    <w:rsid w:val="00CC403B"/>
    <w:rsid w:val="00CC460A"/>
    <w:rsid w:val="00CD2080"/>
    <w:rsid w:val="00CD3563"/>
    <w:rsid w:val="00CE1E9D"/>
    <w:rsid w:val="00CE7669"/>
    <w:rsid w:val="00CF1D9F"/>
    <w:rsid w:val="00CF27B3"/>
    <w:rsid w:val="00CF5CC4"/>
    <w:rsid w:val="00D02462"/>
    <w:rsid w:val="00D0298D"/>
    <w:rsid w:val="00D04E75"/>
    <w:rsid w:val="00D17D2C"/>
    <w:rsid w:val="00D17D35"/>
    <w:rsid w:val="00D235FE"/>
    <w:rsid w:val="00D24A6F"/>
    <w:rsid w:val="00D26290"/>
    <w:rsid w:val="00D270CE"/>
    <w:rsid w:val="00D276E7"/>
    <w:rsid w:val="00D3117B"/>
    <w:rsid w:val="00D311FB"/>
    <w:rsid w:val="00D32021"/>
    <w:rsid w:val="00D32D9C"/>
    <w:rsid w:val="00D340AA"/>
    <w:rsid w:val="00D368AF"/>
    <w:rsid w:val="00D37341"/>
    <w:rsid w:val="00D41087"/>
    <w:rsid w:val="00D4482F"/>
    <w:rsid w:val="00D46EF1"/>
    <w:rsid w:val="00D47D0E"/>
    <w:rsid w:val="00D507BB"/>
    <w:rsid w:val="00D5261D"/>
    <w:rsid w:val="00D545A7"/>
    <w:rsid w:val="00D5586B"/>
    <w:rsid w:val="00D5779C"/>
    <w:rsid w:val="00D60C7C"/>
    <w:rsid w:val="00D65C69"/>
    <w:rsid w:val="00D7424F"/>
    <w:rsid w:val="00D752AD"/>
    <w:rsid w:val="00D768C5"/>
    <w:rsid w:val="00D8034B"/>
    <w:rsid w:val="00D80850"/>
    <w:rsid w:val="00D82014"/>
    <w:rsid w:val="00D83DE0"/>
    <w:rsid w:val="00D84B5F"/>
    <w:rsid w:val="00D84F77"/>
    <w:rsid w:val="00D86A42"/>
    <w:rsid w:val="00D91665"/>
    <w:rsid w:val="00D92E36"/>
    <w:rsid w:val="00D94126"/>
    <w:rsid w:val="00D94460"/>
    <w:rsid w:val="00D95458"/>
    <w:rsid w:val="00DA180A"/>
    <w:rsid w:val="00DA1B80"/>
    <w:rsid w:val="00DA6D8B"/>
    <w:rsid w:val="00DB2345"/>
    <w:rsid w:val="00DC3DCE"/>
    <w:rsid w:val="00DC4516"/>
    <w:rsid w:val="00DC7C63"/>
    <w:rsid w:val="00DD0C64"/>
    <w:rsid w:val="00DD4103"/>
    <w:rsid w:val="00DD5004"/>
    <w:rsid w:val="00DE10FD"/>
    <w:rsid w:val="00DE1234"/>
    <w:rsid w:val="00DE1BA3"/>
    <w:rsid w:val="00DE4622"/>
    <w:rsid w:val="00DE497B"/>
    <w:rsid w:val="00DE71F5"/>
    <w:rsid w:val="00DF035C"/>
    <w:rsid w:val="00DF5CFD"/>
    <w:rsid w:val="00DF665F"/>
    <w:rsid w:val="00DF7807"/>
    <w:rsid w:val="00E009FE"/>
    <w:rsid w:val="00E04C60"/>
    <w:rsid w:val="00E07B1A"/>
    <w:rsid w:val="00E10ACA"/>
    <w:rsid w:val="00E13342"/>
    <w:rsid w:val="00E13690"/>
    <w:rsid w:val="00E14B74"/>
    <w:rsid w:val="00E1542C"/>
    <w:rsid w:val="00E174AD"/>
    <w:rsid w:val="00E225B3"/>
    <w:rsid w:val="00E22758"/>
    <w:rsid w:val="00E24983"/>
    <w:rsid w:val="00E25371"/>
    <w:rsid w:val="00E270E8"/>
    <w:rsid w:val="00E2762D"/>
    <w:rsid w:val="00E27CB2"/>
    <w:rsid w:val="00E304F5"/>
    <w:rsid w:val="00E30E09"/>
    <w:rsid w:val="00E32017"/>
    <w:rsid w:val="00E32888"/>
    <w:rsid w:val="00E33419"/>
    <w:rsid w:val="00E3525D"/>
    <w:rsid w:val="00E35276"/>
    <w:rsid w:val="00E41837"/>
    <w:rsid w:val="00E42045"/>
    <w:rsid w:val="00E43AEC"/>
    <w:rsid w:val="00E44C44"/>
    <w:rsid w:val="00E45474"/>
    <w:rsid w:val="00E45D8A"/>
    <w:rsid w:val="00E462A1"/>
    <w:rsid w:val="00E46E72"/>
    <w:rsid w:val="00E46EDF"/>
    <w:rsid w:val="00E51078"/>
    <w:rsid w:val="00E534FD"/>
    <w:rsid w:val="00E602D6"/>
    <w:rsid w:val="00E64DEB"/>
    <w:rsid w:val="00E6738D"/>
    <w:rsid w:val="00E71F62"/>
    <w:rsid w:val="00E74E6B"/>
    <w:rsid w:val="00E7626B"/>
    <w:rsid w:val="00E84562"/>
    <w:rsid w:val="00E91F91"/>
    <w:rsid w:val="00E93006"/>
    <w:rsid w:val="00EA4E56"/>
    <w:rsid w:val="00EA782B"/>
    <w:rsid w:val="00EB0A97"/>
    <w:rsid w:val="00EB17CE"/>
    <w:rsid w:val="00EB1CAB"/>
    <w:rsid w:val="00EB76E9"/>
    <w:rsid w:val="00EC1E4E"/>
    <w:rsid w:val="00ED242C"/>
    <w:rsid w:val="00ED4449"/>
    <w:rsid w:val="00ED5C0F"/>
    <w:rsid w:val="00ED5CFD"/>
    <w:rsid w:val="00ED620D"/>
    <w:rsid w:val="00ED7DC2"/>
    <w:rsid w:val="00EE0FC5"/>
    <w:rsid w:val="00EE2F5E"/>
    <w:rsid w:val="00EE366B"/>
    <w:rsid w:val="00EE595F"/>
    <w:rsid w:val="00EF1B27"/>
    <w:rsid w:val="00EF4189"/>
    <w:rsid w:val="00F00E73"/>
    <w:rsid w:val="00F0267D"/>
    <w:rsid w:val="00F04EA9"/>
    <w:rsid w:val="00F062E9"/>
    <w:rsid w:val="00F06416"/>
    <w:rsid w:val="00F073A6"/>
    <w:rsid w:val="00F23285"/>
    <w:rsid w:val="00F268B7"/>
    <w:rsid w:val="00F26935"/>
    <w:rsid w:val="00F36F13"/>
    <w:rsid w:val="00F40951"/>
    <w:rsid w:val="00F41B18"/>
    <w:rsid w:val="00F43B41"/>
    <w:rsid w:val="00F53A00"/>
    <w:rsid w:val="00F61E71"/>
    <w:rsid w:val="00F64284"/>
    <w:rsid w:val="00F65718"/>
    <w:rsid w:val="00F658FC"/>
    <w:rsid w:val="00F6675B"/>
    <w:rsid w:val="00F75C3F"/>
    <w:rsid w:val="00F76279"/>
    <w:rsid w:val="00F76A2E"/>
    <w:rsid w:val="00F810D3"/>
    <w:rsid w:val="00F82210"/>
    <w:rsid w:val="00F8295E"/>
    <w:rsid w:val="00F82DB2"/>
    <w:rsid w:val="00F83FC6"/>
    <w:rsid w:val="00F8643A"/>
    <w:rsid w:val="00F90EF7"/>
    <w:rsid w:val="00F910B8"/>
    <w:rsid w:val="00F931DF"/>
    <w:rsid w:val="00F965DA"/>
    <w:rsid w:val="00F96E27"/>
    <w:rsid w:val="00F97B82"/>
    <w:rsid w:val="00FA1B47"/>
    <w:rsid w:val="00FA5FDE"/>
    <w:rsid w:val="00FA6F19"/>
    <w:rsid w:val="00FA7E98"/>
    <w:rsid w:val="00FB4E51"/>
    <w:rsid w:val="00FC7F44"/>
    <w:rsid w:val="00FD2323"/>
    <w:rsid w:val="00FD3A78"/>
    <w:rsid w:val="00FD4348"/>
    <w:rsid w:val="00FD7E4E"/>
    <w:rsid w:val="00FE27AC"/>
    <w:rsid w:val="00FE2852"/>
    <w:rsid w:val="00FE2E8F"/>
    <w:rsid w:val="00FE57CD"/>
    <w:rsid w:val="00FE603D"/>
    <w:rsid w:val="00FE6FA4"/>
    <w:rsid w:val="00FF16D8"/>
    <w:rsid w:val="00FF1823"/>
    <w:rsid w:val="00FF2EB4"/>
    <w:rsid w:val="00FF583B"/>
    <w:rsid w:val="00FF65E1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B9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7CFD"/>
    <w:pPr>
      <w:ind w:left="567" w:hanging="567"/>
    </w:pPr>
    <w:rPr>
      <w:sz w:val="22"/>
      <w:szCs w:val="24"/>
    </w:rPr>
  </w:style>
  <w:style w:type="paragraph" w:styleId="Nadpis2">
    <w:name w:val="heading 2"/>
    <w:basedOn w:val="Normlny"/>
    <w:next w:val="Normlny"/>
    <w:qFormat/>
    <w:rsid w:val="00133C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8D74B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8D74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customStyle="1" w:styleId="Text">
    <w:name w:val="Text"/>
    <w:basedOn w:val="Normlny"/>
    <w:link w:val="TextChar"/>
    <w:rsid w:val="00D5586B"/>
    <w:pPr>
      <w:spacing w:before="120"/>
      <w:ind w:left="0" w:firstLine="0"/>
      <w:jc w:val="both"/>
    </w:pPr>
    <w:rPr>
      <w:color w:val="000000"/>
      <w:sz w:val="24"/>
      <w:lang w:val="en-US" w:eastAsia="en-US"/>
    </w:rPr>
  </w:style>
  <w:style w:type="character" w:customStyle="1" w:styleId="TextChar">
    <w:name w:val="Text Char"/>
    <w:link w:val="Text"/>
    <w:rsid w:val="00D5586B"/>
    <w:rPr>
      <w:color w:val="000000"/>
      <w:sz w:val="24"/>
      <w:szCs w:val="24"/>
      <w:lang w:val="en-US" w:eastAsia="en-US" w:bidi="ar-SA"/>
    </w:rPr>
  </w:style>
  <w:style w:type="paragraph" w:customStyle="1" w:styleId="Table">
    <w:name w:val="Table"/>
    <w:basedOn w:val="Normlny"/>
    <w:rsid w:val="00AC556C"/>
    <w:pPr>
      <w:keepNext/>
      <w:keepLines/>
      <w:tabs>
        <w:tab w:val="left" w:pos="284"/>
      </w:tabs>
      <w:spacing w:before="40" w:after="20"/>
      <w:ind w:left="0" w:firstLine="0"/>
    </w:pPr>
    <w:rPr>
      <w:rFonts w:ascii="Arial" w:hAnsi="Arial"/>
      <w:sz w:val="20"/>
      <w:szCs w:val="20"/>
      <w:lang w:val="en-US" w:eastAsia="en-US"/>
    </w:rPr>
  </w:style>
  <w:style w:type="character" w:customStyle="1" w:styleId="TableChar">
    <w:name w:val="Table Char"/>
    <w:rsid w:val="00AC556C"/>
    <w:rPr>
      <w:rFonts w:ascii="Arial" w:hAnsi="Arial"/>
      <w:lang w:val="en-US" w:eastAsia="en-US" w:bidi="ar-SA"/>
    </w:rPr>
  </w:style>
  <w:style w:type="paragraph" w:styleId="Pta">
    <w:name w:val="footer"/>
    <w:basedOn w:val="Normlny"/>
    <w:link w:val="PtaChar"/>
    <w:uiPriority w:val="99"/>
    <w:rsid w:val="000D159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0D1591"/>
  </w:style>
  <w:style w:type="paragraph" w:styleId="Hlavika">
    <w:name w:val="header"/>
    <w:basedOn w:val="Normlny"/>
    <w:link w:val="HlavikaChar"/>
    <w:uiPriority w:val="99"/>
    <w:rsid w:val="0037246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3D1C76"/>
    <w:pPr>
      <w:spacing w:after="120" w:line="480" w:lineRule="auto"/>
    </w:pPr>
  </w:style>
  <w:style w:type="paragraph" w:customStyle="1" w:styleId="Texttelo">
    <w:name w:val="Text telo"/>
    <w:rsid w:val="000A2848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 w:eastAsia="en-US"/>
    </w:rPr>
  </w:style>
  <w:style w:type="paragraph" w:styleId="Textbubliny">
    <w:name w:val="Balloon Text"/>
    <w:basedOn w:val="Normlny"/>
    <w:semiHidden/>
    <w:rsid w:val="009342F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9F147E"/>
    <w:rPr>
      <w:b/>
      <w:bCs/>
    </w:rPr>
  </w:style>
  <w:style w:type="paragraph" w:customStyle="1" w:styleId="CharCharChar">
    <w:name w:val="Char Char Char"/>
    <w:basedOn w:val="Normlny"/>
    <w:rsid w:val="00F8295E"/>
    <w:pPr>
      <w:spacing w:after="160" w:line="240" w:lineRule="exact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1CharChar">
    <w:name w:val="Char Char1 Char Char Char1 Char Char"/>
    <w:basedOn w:val="Normlny"/>
    <w:rsid w:val="00C20A76"/>
    <w:pPr>
      <w:spacing w:after="160" w:line="240" w:lineRule="exact"/>
      <w:ind w:left="0" w:firstLine="0"/>
    </w:pPr>
    <w:rPr>
      <w:rFonts w:ascii="Verdana" w:hAnsi="Verdana" w:cs="Verdana"/>
      <w:sz w:val="20"/>
      <w:szCs w:val="20"/>
      <w:lang w:val="en-GB" w:eastAsia="en-US"/>
    </w:rPr>
  </w:style>
  <w:style w:type="character" w:customStyle="1" w:styleId="ZkladntextChar">
    <w:name w:val="Základný text Char"/>
    <w:link w:val="Zkladntext"/>
    <w:rsid w:val="0036355A"/>
    <w:rPr>
      <w:sz w:val="22"/>
      <w:szCs w:val="24"/>
      <w:lang w:val="sk-SK" w:eastAsia="sk-SK"/>
    </w:rPr>
  </w:style>
  <w:style w:type="paragraph" w:customStyle="1" w:styleId="Default">
    <w:name w:val="Default"/>
    <w:rsid w:val="005B7CFD"/>
    <w:pPr>
      <w:widowControl w:val="0"/>
      <w:autoSpaceDE w:val="0"/>
      <w:autoSpaceDN w:val="0"/>
      <w:adjustRightInd w:val="0"/>
    </w:pPr>
    <w:rPr>
      <w:rFonts w:ascii="IAYFVK+TimesNewRoman" w:hAnsi="IAYFVK+TimesNewRoman" w:cs="IAYFVK+TimesNewRoman"/>
      <w:color w:val="000000"/>
      <w:sz w:val="24"/>
      <w:szCs w:val="24"/>
      <w:lang w:val="en-US" w:eastAsia="en-US"/>
    </w:rPr>
  </w:style>
  <w:style w:type="paragraph" w:customStyle="1" w:styleId="CM7">
    <w:name w:val="CM7"/>
    <w:basedOn w:val="Normlny"/>
    <w:next w:val="Normlny"/>
    <w:uiPriority w:val="99"/>
    <w:rsid w:val="002E0D91"/>
    <w:pPr>
      <w:widowControl w:val="0"/>
      <w:autoSpaceDE w:val="0"/>
      <w:autoSpaceDN w:val="0"/>
      <w:adjustRightInd w:val="0"/>
      <w:spacing w:after="265"/>
      <w:ind w:left="0" w:firstLine="0"/>
    </w:pPr>
    <w:rPr>
      <w:rFonts w:ascii="IAYFVK+TimesNewRoman" w:hAnsi="IAYFVK+TimesNewRoman"/>
      <w:sz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0D91"/>
    <w:pPr>
      <w:spacing w:line="26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54008"/>
    <w:pPr>
      <w:spacing w:after="52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5400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54008"/>
    <w:rPr>
      <w:rFonts w:cs="Times New Roman"/>
      <w:color w:val="auto"/>
    </w:rPr>
  </w:style>
  <w:style w:type="character" w:customStyle="1" w:styleId="HlavikaChar">
    <w:name w:val="Hlavička Char"/>
    <w:link w:val="Hlavika"/>
    <w:uiPriority w:val="99"/>
    <w:rsid w:val="0075512C"/>
    <w:rPr>
      <w:sz w:val="22"/>
      <w:szCs w:val="24"/>
      <w:lang w:val="sk-SK" w:eastAsia="sk-SK"/>
    </w:rPr>
  </w:style>
  <w:style w:type="character" w:customStyle="1" w:styleId="shorttext">
    <w:name w:val="short_text"/>
    <w:rsid w:val="001C034A"/>
  </w:style>
  <w:style w:type="character" w:customStyle="1" w:styleId="hps">
    <w:name w:val="hps"/>
    <w:rsid w:val="001C034A"/>
  </w:style>
  <w:style w:type="character" w:customStyle="1" w:styleId="Nadpis7Char">
    <w:name w:val="Nadpis 7 Char"/>
    <w:link w:val="Nadpis7"/>
    <w:rsid w:val="00A6670A"/>
    <w:rPr>
      <w:i/>
      <w:sz w:val="22"/>
      <w:lang w:val="cs-CZ"/>
    </w:rPr>
  </w:style>
  <w:style w:type="character" w:customStyle="1" w:styleId="Nadpis3Char">
    <w:name w:val="Nadpis 3 Char"/>
    <w:link w:val="Nadpis3"/>
    <w:rsid w:val="00A6670A"/>
    <w:rPr>
      <w:rFonts w:ascii="Arial" w:hAnsi="Arial" w:cs="Arial"/>
      <w:b/>
      <w:bCs/>
      <w:sz w:val="26"/>
      <w:szCs w:val="26"/>
      <w:lang w:val="sk-SK" w:eastAsia="sk-SK"/>
    </w:rPr>
  </w:style>
  <w:style w:type="character" w:customStyle="1" w:styleId="PtaChar">
    <w:name w:val="Päta Char"/>
    <w:link w:val="Pta"/>
    <w:uiPriority w:val="99"/>
    <w:rsid w:val="0028015C"/>
    <w:rPr>
      <w:sz w:val="22"/>
      <w:szCs w:val="24"/>
    </w:rPr>
  </w:style>
  <w:style w:type="character" w:customStyle="1" w:styleId="TextkomentraChar">
    <w:name w:val="Text komentára Char"/>
    <w:link w:val="Textkomentra"/>
    <w:semiHidden/>
    <w:rsid w:val="003E1413"/>
  </w:style>
  <w:style w:type="character" w:styleId="PouitHypertextovPrepojenie">
    <w:name w:val="FollowedHyperlink"/>
    <w:basedOn w:val="Predvolenpsmoodseku"/>
    <w:uiPriority w:val="99"/>
    <w:semiHidden/>
    <w:unhideWhenUsed/>
    <w:rsid w:val="00E64DEB"/>
    <w:rPr>
      <w:color w:val="800080"/>
      <w:u w:val="single"/>
    </w:rPr>
  </w:style>
  <w:style w:type="paragraph" w:styleId="Revzia">
    <w:name w:val="Revision"/>
    <w:hidden/>
    <w:uiPriority w:val="99"/>
    <w:semiHidden/>
    <w:rsid w:val="00702F07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7CFD"/>
    <w:pPr>
      <w:ind w:left="567" w:hanging="567"/>
    </w:pPr>
    <w:rPr>
      <w:sz w:val="22"/>
      <w:szCs w:val="24"/>
    </w:rPr>
  </w:style>
  <w:style w:type="paragraph" w:styleId="Nadpis2">
    <w:name w:val="heading 2"/>
    <w:basedOn w:val="Normlny"/>
    <w:next w:val="Normlny"/>
    <w:qFormat/>
    <w:rsid w:val="00133C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8D74B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8D74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customStyle="1" w:styleId="Text">
    <w:name w:val="Text"/>
    <w:basedOn w:val="Normlny"/>
    <w:link w:val="TextChar"/>
    <w:rsid w:val="00D5586B"/>
    <w:pPr>
      <w:spacing w:before="120"/>
      <w:ind w:left="0" w:firstLine="0"/>
      <w:jc w:val="both"/>
    </w:pPr>
    <w:rPr>
      <w:color w:val="000000"/>
      <w:sz w:val="24"/>
      <w:lang w:val="en-US" w:eastAsia="en-US"/>
    </w:rPr>
  </w:style>
  <w:style w:type="character" w:customStyle="1" w:styleId="TextChar">
    <w:name w:val="Text Char"/>
    <w:link w:val="Text"/>
    <w:rsid w:val="00D5586B"/>
    <w:rPr>
      <w:color w:val="000000"/>
      <w:sz w:val="24"/>
      <w:szCs w:val="24"/>
      <w:lang w:val="en-US" w:eastAsia="en-US" w:bidi="ar-SA"/>
    </w:rPr>
  </w:style>
  <w:style w:type="paragraph" w:customStyle="1" w:styleId="Table">
    <w:name w:val="Table"/>
    <w:basedOn w:val="Normlny"/>
    <w:rsid w:val="00AC556C"/>
    <w:pPr>
      <w:keepNext/>
      <w:keepLines/>
      <w:tabs>
        <w:tab w:val="left" w:pos="284"/>
      </w:tabs>
      <w:spacing w:before="40" w:after="20"/>
      <w:ind w:left="0" w:firstLine="0"/>
    </w:pPr>
    <w:rPr>
      <w:rFonts w:ascii="Arial" w:hAnsi="Arial"/>
      <w:sz w:val="20"/>
      <w:szCs w:val="20"/>
      <w:lang w:val="en-US" w:eastAsia="en-US"/>
    </w:rPr>
  </w:style>
  <w:style w:type="character" w:customStyle="1" w:styleId="TableChar">
    <w:name w:val="Table Char"/>
    <w:rsid w:val="00AC556C"/>
    <w:rPr>
      <w:rFonts w:ascii="Arial" w:hAnsi="Arial"/>
      <w:lang w:val="en-US" w:eastAsia="en-US" w:bidi="ar-SA"/>
    </w:rPr>
  </w:style>
  <w:style w:type="paragraph" w:styleId="Pta">
    <w:name w:val="footer"/>
    <w:basedOn w:val="Normlny"/>
    <w:link w:val="PtaChar"/>
    <w:uiPriority w:val="99"/>
    <w:rsid w:val="000D159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0D1591"/>
  </w:style>
  <w:style w:type="paragraph" w:styleId="Hlavika">
    <w:name w:val="header"/>
    <w:basedOn w:val="Normlny"/>
    <w:link w:val="HlavikaChar"/>
    <w:uiPriority w:val="99"/>
    <w:rsid w:val="0037246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rsid w:val="003D1C76"/>
    <w:pPr>
      <w:spacing w:after="120" w:line="480" w:lineRule="auto"/>
    </w:pPr>
  </w:style>
  <w:style w:type="paragraph" w:customStyle="1" w:styleId="Texttelo">
    <w:name w:val="Text telo"/>
    <w:rsid w:val="000A2848"/>
    <w:pPr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val="cs-CZ" w:eastAsia="en-US"/>
    </w:rPr>
  </w:style>
  <w:style w:type="paragraph" w:styleId="Textbubliny">
    <w:name w:val="Balloon Text"/>
    <w:basedOn w:val="Normlny"/>
    <w:semiHidden/>
    <w:rsid w:val="009342FD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9F147E"/>
    <w:rPr>
      <w:b/>
      <w:bCs/>
    </w:rPr>
  </w:style>
  <w:style w:type="paragraph" w:customStyle="1" w:styleId="CharCharChar">
    <w:name w:val="Char Char Char"/>
    <w:basedOn w:val="Normlny"/>
    <w:rsid w:val="00F8295E"/>
    <w:pPr>
      <w:spacing w:after="160" w:line="240" w:lineRule="exact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1CharChar">
    <w:name w:val="Char Char1 Char Char Char1 Char Char"/>
    <w:basedOn w:val="Normlny"/>
    <w:rsid w:val="00C20A76"/>
    <w:pPr>
      <w:spacing w:after="160" w:line="240" w:lineRule="exact"/>
      <w:ind w:left="0" w:firstLine="0"/>
    </w:pPr>
    <w:rPr>
      <w:rFonts w:ascii="Verdana" w:hAnsi="Verdana" w:cs="Verdana"/>
      <w:sz w:val="20"/>
      <w:szCs w:val="20"/>
      <w:lang w:val="en-GB" w:eastAsia="en-US"/>
    </w:rPr>
  </w:style>
  <w:style w:type="character" w:customStyle="1" w:styleId="ZkladntextChar">
    <w:name w:val="Základný text Char"/>
    <w:link w:val="Zkladntext"/>
    <w:rsid w:val="0036355A"/>
    <w:rPr>
      <w:sz w:val="22"/>
      <w:szCs w:val="24"/>
      <w:lang w:val="sk-SK" w:eastAsia="sk-SK"/>
    </w:rPr>
  </w:style>
  <w:style w:type="paragraph" w:customStyle="1" w:styleId="Default">
    <w:name w:val="Default"/>
    <w:rsid w:val="005B7CFD"/>
    <w:pPr>
      <w:widowControl w:val="0"/>
      <w:autoSpaceDE w:val="0"/>
      <w:autoSpaceDN w:val="0"/>
      <w:adjustRightInd w:val="0"/>
    </w:pPr>
    <w:rPr>
      <w:rFonts w:ascii="IAYFVK+TimesNewRoman" w:hAnsi="IAYFVK+TimesNewRoman" w:cs="IAYFVK+TimesNewRoman"/>
      <w:color w:val="000000"/>
      <w:sz w:val="24"/>
      <w:szCs w:val="24"/>
      <w:lang w:val="en-US" w:eastAsia="en-US"/>
    </w:rPr>
  </w:style>
  <w:style w:type="paragraph" w:customStyle="1" w:styleId="CM7">
    <w:name w:val="CM7"/>
    <w:basedOn w:val="Normlny"/>
    <w:next w:val="Normlny"/>
    <w:uiPriority w:val="99"/>
    <w:rsid w:val="002E0D91"/>
    <w:pPr>
      <w:widowControl w:val="0"/>
      <w:autoSpaceDE w:val="0"/>
      <w:autoSpaceDN w:val="0"/>
      <w:adjustRightInd w:val="0"/>
      <w:spacing w:after="265"/>
      <w:ind w:left="0" w:firstLine="0"/>
    </w:pPr>
    <w:rPr>
      <w:rFonts w:ascii="IAYFVK+TimesNewRoman" w:hAnsi="IAYFVK+TimesNewRoman"/>
      <w:sz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0D91"/>
    <w:pPr>
      <w:spacing w:line="266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54008"/>
    <w:pPr>
      <w:spacing w:after="52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54008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54008"/>
    <w:rPr>
      <w:rFonts w:cs="Times New Roman"/>
      <w:color w:val="auto"/>
    </w:rPr>
  </w:style>
  <w:style w:type="character" w:customStyle="1" w:styleId="HlavikaChar">
    <w:name w:val="Hlavička Char"/>
    <w:link w:val="Hlavika"/>
    <w:uiPriority w:val="99"/>
    <w:rsid w:val="0075512C"/>
    <w:rPr>
      <w:sz w:val="22"/>
      <w:szCs w:val="24"/>
      <w:lang w:val="sk-SK" w:eastAsia="sk-SK"/>
    </w:rPr>
  </w:style>
  <w:style w:type="character" w:customStyle="1" w:styleId="shorttext">
    <w:name w:val="short_text"/>
    <w:rsid w:val="001C034A"/>
  </w:style>
  <w:style w:type="character" w:customStyle="1" w:styleId="hps">
    <w:name w:val="hps"/>
    <w:rsid w:val="001C034A"/>
  </w:style>
  <w:style w:type="character" w:customStyle="1" w:styleId="Nadpis7Char">
    <w:name w:val="Nadpis 7 Char"/>
    <w:link w:val="Nadpis7"/>
    <w:rsid w:val="00A6670A"/>
    <w:rPr>
      <w:i/>
      <w:sz w:val="22"/>
      <w:lang w:val="cs-CZ"/>
    </w:rPr>
  </w:style>
  <w:style w:type="character" w:customStyle="1" w:styleId="Nadpis3Char">
    <w:name w:val="Nadpis 3 Char"/>
    <w:link w:val="Nadpis3"/>
    <w:rsid w:val="00A6670A"/>
    <w:rPr>
      <w:rFonts w:ascii="Arial" w:hAnsi="Arial" w:cs="Arial"/>
      <w:b/>
      <w:bCs/>
      <w:sz w:val="26"/>
      <w:szCs w:val="26"/>
      <w:lang w:val="sk-SK" w:eastAsia="sk-SK"/>
    </w:rPr>
  </w:style>
  <w:style w:type="character" w:customStyle="1" w:styleId="PtaChar">
    <w:name w:val="Päta Char"/>
    <w:link w:val="Pta"/>
    <w:uiPriority w:val="99"/>
    <w:rsid w:val="0028015C"/>
    <w:rPr>
      <w:sz w:val="22"/>
      <w:szCs w:val="24"/>
    </w:rPr>
  </w:style>
  <w:style w:type="character" w:customStyle="1" w:styleId="TextkomentraChar">
    <w:name w:val="Text komentára Char"/>
    <w:link w:val="Textkomentra"/>
    <w:semiHidden/>
    <w:rsid w:val="003E1413"/>
  </w:style>
  <w:style w:type="character" w:styleId="PouitHypertextovPrepojenie">
    <w:name w:val="FollowedHyperlink"/>
    <w:basedOn w:val="Predvolenpsmoodseku"/>
    <w:uiPriority w:val="99"/>
    <w:semiHidden/>
    <w:unhideWhenUsed/>
    <w:rsid w:val="00E64DEB"/>
    <w:rPr>
      <w:color w:val="800080"/>
      <w:u w:val="single"/>
    </w:rPr>
  </w:style>
  <w:style w:type="paragraph" w:styleId="Revzia">
    <w:name w:val="Revision"/>
    <w:hidden/>
    <w:uiPriority w:val="99"/>
    <w:semiHidden/>
    <w:rsid w:val="00702F0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3BF4-AD85-4D94-AFC1-99F3CE8F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3883</Words>
  <Characters>25876</Characters>
  <Application>Microsoft Office Word</Application>
  <DocSecurity>0</DocSecurity>
  <Lines>215</Lines>
  <Paragraphs>59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[Version 7, 07/2005]</vt:lpstr>
      <vt:lpstr>[Version 7, 07/2005]</vt:lpstr>
      <vt:lpstr>[Version 7, 07/2005]</vt:lpstr>
    </vt:vector>
  </TitlesOfParts>
  <Company>Štátny ústav pre kontrolu liečiv</Company>
  <LinksUpToDate>false</LinksUpToDate>
  <CharactersWithSpaces>29700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7, 07/2005]</dc:title>
  <dc:subject>General-EMEA/230916/2005</dc:subject>
  <dc:creator>Buzova, Zuzana</dc:creator>
  <cp:lastModifiedBy>Uhnáková Milota</cp:lastModifiedBy>
  <cp:revision>2</cp:revision>
  <cp:lastPrinted>2016-10-03T18:41:00Z</cp:lastPrinted>
  <dcterms:created xsi:type="dcterms:W3CDTF">2020-02-06T12:58:00Z</dcterms:created>
  <dcterms:modified xsi:type="dcterms:W3CDTF">2020-02-06T12:58:00Z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General-EMEA/230916/2005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v.7 final 250705</vt:lpwstr>
  </property>
  <property fmtid="{D5CDD505-2E9C-101B-9397-08002B2CF9AE}" pid="9" name="DM_Owner">
    <vt:lpwstr>Prizzi Monica</vt:lpwstr>
  </property>
  <property fmtid="{D5CDD505-2E9C-101B-9397-08002B2CF9AE}" pid="10" name="DM_Creation_Date">
    <vt:lpwstr>25/07/2005 11:43:36</vt:lpwstr>
  </property>
  <property fmtid="{D5CDD505-2E9C-101B-9397-08002B2CF9AE}" pid="11" name="DM_Creator_Name">
    <vt:lpwstr>Prizzi Monica</vt:lpwstr>
  </property>
  <property fmtid="{D5CDD505-2E9C-101B-9397-08002B2CF9AE}" pid="12" name="DM_Modifer_Name">
    <vt:lpwstr>Prizzi Monica</vt:lpwstr>
  </property>
  <property fmtid="{D5CDD505-2E9C-101B-9397-08002B2CF9AE}" pid="13" name="DM_Modified_Date">
    <vt:lpwstr>25/07/2005 11:44:01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EMEA/230916/2005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230916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