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56DA1" w14:textId="77777777" w:rsidR="006605D1" w:rsidRPr="008930FF" w:rsidRDefault="006605D1" w:rsidP="00792238">
      <w:pPr>
        <w:pStyle w:val="Vchoz"/>
        <w:ind w:left="0" w:firstLine="0"/>
        <w:jc w:val="lef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222BA144" w14:textId="77777777" w:rsidR="00792238" w:rsidRPr="008930FF" w:rsidRDefault="00792238" w:rsidP="00792238">
      <w:pPr>
        <w:pStyle w:val="Vchoz"/>
        <w:ind w:left="0" w:firstLine="0"/>
        <w:jc w:val="lef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7ED67721" w14:textId="77777777" w:rsidR="0043264C" w:rsidRPr="008930FF" w:rsidRDefault="00844F7E" w:rsidP="00792238">
      <w:pPr>
        <w:pStyle w:val="Vchoz"/>
        <w:ind w:left="0" w:firstLine="0"/>
        <w:jc w:val="center"/>
        <w:outlineLvl w:val="0"/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  <w:t>Súhrn charakteristických vlastností lieku</w:t>
      </w:r>
    </w:p>
    <w:p w14:paraId="04A52D7F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caps/>
          <w:sz w:val="22"/>
          <w:szCs w:val="22"/>
          <w:lang w:val="sk-SK"/>
        </w:rPr>
      </w:pPr>
    </w:p>
    <w:p w14:paraId="4FCF0208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538DBCC7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  <w:t>1.</w:t>
      </w:r>
      <w:r w:rsidRPr="008930FF"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  <w:tab/>
        <w:t>názov lieku</w:t>
      </w:r>
    </w:p>
    <w:p w14:paraId="7F901041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54CC9861" w14:textId="61D178C9" w:rsidR="00673158" w:rsidRPr="008930FF" w:rsidRDefault="006A7E93" w:rsidP="00792238">
      <w:pPr>
        <w:pStyle w:val="Vchoz"/>
        <w:ind w:left="0" w:firstLine="0"/>
        <w:jc w:val="left"/>
        <w:outlineLvl w:val="0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bCs/>
          <w:sz w:val="22"/>
          <w:szCs w:val="22"/>
          <w:lang w:val="sk-SK"/>
        </w:rPr>
        <w:t>DEXKETOPROFEN ADAMED</w:t>
      </w:r>
      <w:r w:rsidR="00673158" w:rsidRPr="008930FF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50 mg/2 ml</w:t>
      </w:r>
    </w:p>
    <w:p w14:paraId="47FEAA5D" w14:textId="5B1167BF" w:rsidR="00673158" w:rsidRPr="008930FF" w:rsidRDefault="0005755B" w:rsidP="00673158">
      <w:pPr>
        <w:suppressAutoHyphens/>
        <w:autoSpaceDE/>
        <w:autoSpaceDN/>
        <w:adjustRightInd/>
        <w:rPr>
          <w:i/>
          <w:color w:val="000000"/>
          <w:sz w:val="22"/>
          <w:lang w:eastAsia="zh-CN"/>
        </w:rPr>
      </w:pPr>
      <w:r w:rsidRPr="008930FF">
        <w:rPr>
          <w:sz w:val="22"/>
          <w:lang w:eastAsia="zh-CN"/>
        </w:rPr>
        <w:t>i</w:t>
      </w:r>
      <w:r w:rsidR="00673158" w:rsidRPr="008930FF">
        <w:rPr>
          <w:sz w:val="22"/>
          <w:lang w:eastAsia="zh-CN"/>
        </w:rPr>
        <w:t>njekčný</w:t>
      </w:r>
      <w:r w:rsidR="00E10D4E" w:rsidRPr="008930FF">
        <w:rPr>
          <w:sz w:val="22"/>
          <w:lang w:eastAsia="zh-CN"/>
        </w:rPr>
        <w:t>/</w:t>
      </w:r>
      <w:r w:rsidR="00673158" w:rsidRPr="008930FF">
        <w:rPr>
          <w:sz w:val="22"/>
          <w:lang w:eastAsia="zh-CN"/>
        </w:rPr>
        <w:t>infúzny roztok</w:t>
      </w:r>
    </w:p>
    <w:p w14:paraId="0FDA858F" w14:textId="77777777" w:rsidR="0043264C" w:rsidRPr="008930FF" w:rsidRDefault="005B1BEA" w:rsidP="00792238">
      <w:pPr>
        <w:pStyle w:val="Vchoz"/>
        <w:tabs>
          <w:tab w:val="left" w:pos="5376"/>
        </w:tabs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ab/>
      </w:r>
    </w:p>
    <w:p w14:paraId="4D427546" w14:textId="77777777" w:rsidR="00201621" w:rsidRPr="008930FF" w:rsidRDefault="00201621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0999CC5C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2.</w:t>
      </w: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8930FF"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  <w:t>kvalitatívne a kvantitatívne zloženie</w:t>
      </w:r>
    </w:p>
    <w:p w14:paraId="6C41954C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2B098770" w14:textId="11542E27" w:rsidR="00536E4E" w:rsidRPr="008930FF" w:rsidRDefault="002A4719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Každá</w:t>
      </w:r>
      <w:r w:rsidR="006605D1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E4C5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ampulka </w:t>
      </w:r>
      <w:r w:rsidR="00AF51D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s 2 ml </w:t>
      </w:r>
      <w:r w:rsidR="00201621" w:rsidRPr="008930FF">
        <w:rPr>
          <w:rFonts w:ascii="Times New Roman" w:hAnsi="Times New Roman" w:cs="Times New Roman"/>
          <w:sz w:val="22"/>
          <w:szCs w:val="22"/>
          <w:lang w:val="sk-SK"/>
        </w:rPr>
        <w:t>obsahuje</w:t>
      </w:r>
      <w:r w:rsidR="008A6FE5" w:rsidRPr="008930FF">
        <w:rPr>
          <w:rFonts w:ascii="Times New Roman" w:hAnsi="Times New Roman" w:cs="Times New Roman"/>
          <w:sz w:val="22"/>
          <w:szCs w:val="22"/>
          <w:lang w:val="sk-SK"/>
        </w:rPr>
        <w:t>:</w:t>
      </w:r>
      <w:r w:rsidR="00201621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5730F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50 mg </w:t>
      </w:r>
      <w:proofErr w:type="spellStart"/>
      <w:r w:rsidR="006E3546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="005730F9" w:rsidRPr="008930FF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="00590AF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(ako </w:t>
      </w:r>
      <w:proofErr w:type="spellStart"/>
      <w:r w:rsidR="006E3546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="00E10D4E" w:rsidRPr="008930FF">
        <w:rPr>
          <w:rFonts w:ascii="Times New Roman" w:hAnsi="Times New Roman" w:cs="Times New Roman"/>
          <w:sz w:val="22"/>
          <w:szCs w:val="22"/>
          <w:lang w:val="sk-SK"/>
        </w:rPr>
        <w:t>-</w:t>
      </w:r>
      <w:r w:rsidR="00590AF6" w:rsidRPr="008930FF">
        <w:rPr>
          <w:rFonts w:ascii="Times New Roman" w:hAnsi="Times New Roman" w:cs="Times New Roman"/>
          <w:sz w:val="22"/>
          <w:szCs w:val="22"/>
          <w:lang w:val="sk-SK"/>
        </w:rPr>
        <w:t>trometamol</w:t>
      </w:r>
      <w:proofErr w:type="spellEnd"/>
      <w:r w:rsidR="00590AF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). </w:t>
      </w:r>
    </w:p>
    <w:p w14:paraId="279D8CDC" w14:textId="657B3C3F" w:rsidR="00536E4E" w:rsidRPr="008930FF" w:rsidRDefault="0001621D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Každý </w:t>
      </w:r>
      <w:r w:rsidR="006605D1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1 </w:t>
      </w:r>
      <w:r w:rsidR="00590AF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ml </w:t>
      </w:r>
      <w:r w:rsidR="00730638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injekčného </w:t>
      </w:r>
      <w:r w:rsidR="00590AF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roztoku obsahuje </w:t>
      </w:r>
      <w:r w:rsidR="00730638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25 mg </w:t>
      </w:r>
      <w:proofErr w:type="spellStart"/>
      <w:r w:rsidR="006E3546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="00CF74FA" w:rsidRPr="008930FF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="008A6FE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590AF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(ako </w:t>
      </w:r>
      <w:proofErr w:type="spellStart"/>
      <w:r w:rsidR="006E3546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="00E10D4E" w:rsidRPr="008930FF">
        <w:rPr>
          <w:rFonts w:ascii="Times New Roman" w:hAnsi="Times New Roman" w:cs="Times New Roman"/>
          <w:sz w:val="22"/>
          <w:szCs w:val="22"/>
          <w:lang w:val="sk-SK"/>
        </w:rPr>
        <w:t>-</w:t>
      </w:r>
      <w:r w:rsidR="00590AF6" w:rsidRPr="008930FF">
        <w:rPr>
          <w:rFonts w:ascii="Times New Roman" w:hAnsi="Times New Roman" w:cs="Times New Roman"/>
          <w:sz w:val="22"/>
          <w:szCs w:val="22"/>
          <w:lang w:val="sk-SK"/>
        </w:rPr>
        <w:t>trometa</w:t>
      </w:r>
      <w:r w:rsidR="00B837E0" w:rsidRPr="008930FF">
        <w:rPr>
          <w:rFonts w:ascii="Times New Roman" w:hAnsi="Times New Roman" w:cs="Times New Roman"/>
          <w:sz w:val="22"/>
          <w:szCs w:val="22"/>
          <w:lang w:val="sk-SK"/>
        </w:rPr>
        <w:t>m</w:t>
      </w:r>
      <w:r w:rsidR="00142FC8" w:rsidRPr="008930FF">
        <w:rPr>
          <w:rFonts w:ascii="Times New Roman" w:hAnsi="Times New Roman" w:cs="Times New Roman"/>
          <w:sz w:val="22"/>
          <w:szCs w:val="22"/>
          <w:lang w:val="sk-SK"/>
        </w:rPr>
        <w:t>ol</w:t>
      </w:r>
      <w:proofErr w:type="spellEnd"/>
      <w:r w:rsidR="00142FC8" w:rsidRPr="008930FF">
        <w:rPr>
          <w:rFonts w:ascii="Times New Roman" w:hAnsi="Times New Roman" w:cs="Times New Roman"/>
          <w:sz w:val="22"/>
          <w:szCs w:val="22"/>
          <w:lang w:val="sk-SK"/>
        </w:rPr>
        <w:t>)</w:t>
      </w:r>
      <w:r w:rsidR="00536E4E"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62319E19" w14:textId="77777777" w:rsidR="006F4ECB" w:rsidRPr="008930FF" w:rsidRDefault="006F4ECB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248B1E8B" w14:textId="3331839F" w:rsidR="0043264C" w:rsidRPr="008930FF" w:rsidRDefault="00536E4E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u w:val="single"/>
          <w:lang w:val="sk-SK"/>
        </w:rPr>
        <w:t>P</w:t>
      </w:r>
      <w:r w:rsidR="00CF74FA" w:rsidRPr="008930FF">
        <w:rPr>
          <w:rFonts w:ascii="Times New Roman" w:hAnsi="Times New Roman" w:cs="Times New Roman"/>
          <w:sz w:val="22"/>
          <w:szCs w:val="22"/>
          <w:u w:val="single"/>
          <w:lang w:val="sk-SK"/>
        </w:rPr>
        <w:t>omocné látky</w:t>
      </w:r>
      <w:r w:rsidR="00E83735" w:rsidRPr="008930FF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 so známym účinkom</w:t>
      </w:r>
      <w:r w:rsidR="00142FC8" w:rsidRPr="008930FF">
        <w:rPr>
          <w:rFonts w:ascii="Times New Roman" w:hAnsi="Times New Roman" w:cs="Times New Roman"/>
          <w:sz w:val="22"/>
          <w:szCs w:val="22"/>
          <w:u w:val="single"/>
          <w:lang w:val="sk-SK"/>
        </w:rPr>
        <w:t>:</w:t>
      </w:r>
      <w:r w:rsidR="00142FC8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97657" w:rsidRPr="008930FF">
        <w:rPr>
          <w:rFonts w:ascii="Times New Roman" w:hAnsi="Times New Roman" w:cs="Times New Roman"/>
          <w:sz w:val="22"/>
          <w:szCs w:val="22"/>
          <w:lang w:val="sk-SK"/>
        </w:rPr>
        <w:t>2</w:t>
      </w:r>
      <w:r w:rsidR="00142FC8" w:rsidRPr="008930FF">
        <w:rPr>
          <w:rFonts w:ascii="Times New Roman" w:hAnsi="Times New Roman" w:cs="Times New Roman"/>
          <w:sz w:val="22"/>
          <w:szCs w:val="22"/>
          <w:lang w:val="sk-SK"/>
        </w:rPr>
        <w:t>00 mg etanolu 96</w:t>
      </w:r>
      <w:r w:rsidR="00CF74F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42FC8" w:rsidRPr="008930FF">
        <w:rPr>
          <w:rFonts w:ascii="Times New Roman" w:hAnsi="Times New Roman" w:cs="Times New Roman"/>
          <w:sz w:val="22"/>
          <w:szCs w:val="22"/>
          <w:lang w:val="sk-SK"/>
        </w:rPr>
        <w:t>% a</w:t>
      </w:r>
      <w:r w:rsidR="00DD4239" w:rsidRPr="008930FF">
        <w:rPr>
          <w:rFonts w:ascii="Times New Roman" w:hAnsi="Times New Roman" w:cs="Times New Roman"/>
          <w:sz w:val="22"/>
          <w:szCs w:val="22"/>
          <w:lang w:val="sk-SK"/>
        </w:rPr>
        <w:t> menej ako 23</w:t>
      </w:r>
      <w:r w:rsidR="00142FC8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mg </w:t>
      </w:r>
      <w:r w:rsidR="00DD4239" w:rsidRPr="008930FF">
        <w:rPr>
          <w:rFonts w:ascii="Times New Roman" w:hAnsi="Times New Roman" w:cs="Times New Roman"/>
          <w:sz w:val="22"/>
          <w:szCs w:val="22"/>
          <w:lang w:val="sk-SK"/>
        </w:rPr>
        <w:t>(0,147 mmol) sodíka (</w:t>
      </w:r>
      <w:r w:rsidR="00E10D4E" w:rsidRPr="008930FF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DD423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42FC8" w:rsidRPr="008930FF">
        <w:rPr>
          <w:rFonts w:ascii="Times New Roman" w:hAnsi="Times New Roman" w:cs="Times New Roman"/>
          <w:sz w:val="22"/>
          <w:szCs w:val="22"/>
          <w:lang w:val="sk-SK"/>
        </w:rPr>
        <w:t>chlorid</w:t>
      </w:r>
      <w:r w:rsidR="00E10D4E" w:rsidRPr="008930FF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142FC8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sodn</w:t>
      </w:r>
      <w:r w:rsidR="00E10D4E" w:rsidRPr="008930FF">
        <w:rPr>
          <w:rFonts w:ascii="Times New Roman" w:hAnsi="Times New Roman" w:cs="Times New Roman"/>
          <w:sz w:val="22"/>
          <w:szCs w:val="22"/>
          <w:lang w:val="sk-SK"/>
        </w:rPr>
        <w:t>om</w:t>
      </w:r>
      <w:r w:rsidR="00DD423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="00DD4239" w:rsidRPr="008930FF">
        <w:rPr>
          <w:rFonts w:ascii="Times New Roman" w:hAnsi="Times New Roman" w:cs="Times New Roman"/>
          <w:sz w:val="22"/>
          <w:szCs w:val="22"/>
          <w:lang w:val="sk-SK"/>
        </w:rPr>
        <w:t>disiričitan</w:t>
      </w:r>
      <w:r w:rsidR="00E10D4E" w:rsidRPr="008930FF">
        <w:rPr>
          <w:rFonts w:ascii="Times New Roman" w:hAnsi="Times New Roman" w:cs="Times New Roman"/>
          <w:sz w:val="22"/>
          <w:szCs w:val="22"/>
          <w:lang w:val="sk-SK"/>
        </w:rPr>
        <w:t>e</w:t>
      </w:r>
      <w:proofErr w:type="spellEnd"/>
      <w:r w:rsidR="00DD423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sodn</w:t>
      </w:r>
      <w:r w:rsidR="00E10D4E" w:rsidRPr="008930FF">
        <w:rPr>
          <w:rFonts w:ascii="Times New Roman" w:hAnsi="Times New Roman" w:cs="Times New Roman"/>
          <w:sz w:val="22"/>
          <w:szCs w:val="22"/>
          <w:lang w:val="sk-SK"/>
        </w:rPr>
        <w:t>om</w:t>
      </w:r>
      <w:r w:rsidR="00DD423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) </w:t>
      </w:r>
      <w:r w:rsidR="00F127B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v </w:t>
      </w:r>
      <w:r w:rsidR="00DD4239" w:rsidRPr="008930FF">
        <w:rPr>
          <w:rFonts w:ascii="Times New Roman" w:hAnsi="Times New Roman" w:cs="Times New Roman"/>
          <w:sz w:val="22"/>
          <w:szCs w:val="22"/>
          <w:lang w:val="sk-SK"/>
        </w:rPr>
        <w:t>ampulke</w:t>
      </w:r>
      <w:r w:rsidR="00142FC8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14:paraId="081F7ED6" w14:textId="77777777" w:rsidR="006605D1" w:rsidRPr="008930FF" w:rsidRDefault="006605D1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3B517E08" w14:textId="77777777" w:rsidR="0043264C" w:rsidRPr="008930FF" w:rsidRDefault="008A6FE5" w:rsidP="00792238">
      <w:pPr>
        <w:pStyle w:val="Vchoz"/>
        <w:ind w:left="0" w:firstLine="0"/>
        <w:jc w:val="left"/>
        <w:outlineLvl w:val="0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Úplný zoznam p</w:t>
      </w:r>
      <w:r w:rsidR="00201621" w:rsidRPr="008930FF">
        <w:rPr>
          <w:rFonts w:ascii="Times New Roman" w:hAnsi="Times New Roman" w:cs="Times New Roman"/>
          <w:sz w:val="22"/>
          <w:szCs w:val="22"/>
          <w:lang w:val="sk-SK"/>
        </w:rPr>
        <w:t>omocn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ých</w:t>
      </w:r>
      <w:r w:rsidR="00201621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lát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ok, pozri</w:t>
      </w:r>
      <w:r w:rsidR="00201621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D7070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časť </w:t>
      </w:r>
      <w:r w:rsidR="00201621" w:rsidRPr="008930FF">
        <w:rPr>
          <w:rFonts w:ascii="Times New Roman" w:hAnsi="Times New Roman" w:cs="Times New Roman"/>
          <w:sz w:val="22"/>
          <w:szCs w:val="22"/>
          <w:lang w:val="sk-SK"/>
        </w:rPr>
        <w:t>6.1.</w:t>
      </w:r>
    </w:p>
    <w:p w14:paraId="405CCBC7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43026716" w14:textId="77777777" w:rsidR="00137855" w:rsidRPr="008930FF" w:rsidRDefault="00137855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4E399002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3.</w:t>
      </w: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8930FF"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  <w:t>lieková forma</w:t>
      </w:r>
    </w:p>
    <w:p w14:paraId="11566E7A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3BD8F851" w14:textId="671A37B9" w:rsidR="00201621" w:rsidRPr="008930FF" w:rsidRDefault="0076772A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Injekčný</w:t>
      </w:r>
      <w:r w:rsidR="00E10D4E" w:rsidRPr="008930FF">
        <w:rPr>
          <w:rFonts w:ascii="Times New Roman" w:hAnsi="Times New Roman" w:cs="Times New Roman"/>
          <w:sz w:val="22"/>
          <w:szCs w:val="22"/>
          <w:lang w:val="sk-SK"/>
        </w:rPr>
        <w:t>/</w:t>
      </w:r>
      <w:r w:rsidR="00142FC8" w:rsidRPr="008930FF">
        <w:rPr>
          <w:rFonts w:ascii="Times New Roman" w:hAnsi="Times New Roman" w:cs="Times New Roman"/>
          <w:sz w:val="22"/>
          <w:szCs w:val="22"/>
          <w:lang w:val="sk-SK"/>
        </w:rPr>
        <w:t>i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nfúzny </w:t>
      </w:r>
      <w:r w:rsidR="00DD4239" w:rsidRPr="008930FF">
        <w:rPr>
          <w:rFonts w:ascii="Times New Roman" w:hAnsi="Times New Roman" w:cs="Times New Roman"/>
          <w:sz w:val="22"/>
          <w:szCs w:val="22"/>
          <w:lang w:val="sk-SK"/>
        </w:rPr>
        <w:t>roztok</w:t>
      </w:r>
    </w:p>
    <w:p w14:paraId="0DBB0589" w14:textId="6D2CA782" w:rsidR="00590AF6" w:rsidRPr="008930FF" w:rsidRDefault="00CE4C5F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Číry</w:t>
      </w:r>
      <w:r w:rsidR="00E10D4E" w:rsidRPr="008930FF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DA442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590AF6" w:rsidRPr="008930FF">
        <w:rPr>
          <w:rFonts w:ascii="Times New Roman" w:hAnsi="Times New Roman" w:cs="Times New Roman"/>
          <w:sz w:val="22"/>
          <w:szCs w:val="22"/>
          <w:lang w:val="sk-SK"/>
        </w:rPr>
        <w:t>bezfarebný roztok.</w:t>
      </w:r>
    </w:p>
    <w:p w14:paraId="5ACFFE88" w14:textId="77777777" w:rsidR="0043264C" w:rsidRPr="008930FF" w:rsidRDefault="00821128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pH (</w:t>
      </w:r>
      <w:r w:rsidR="00DD423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6,5 -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8,</w:t>
      </w:r>
      <w:r w:rsidR="00DD4239" w:rsidRPr="008930FF">
        <w:rPr>
          <w:rFonts w:ascii="Times New Roman" w:hAnsi="Times New Roman" w:cs="Times New Roman"/>
          <w:sz w:val="22"/>
          <w:szCs w:val="22"/>
          <w:lang w:val="sk-SK"/>
        </w:rPr>
        <w:t>5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78649639" w14:textId="77777777" w:rsidR="00821128" w:rsidRPr="008930FF" w:rsidRDefault="00821128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Osmolarita</w:t>
      </w:r>
      <w:proofErr w:type="spellEnd"/>
      <w:r w:rsidR="00DD4239" w:rsidRPr="008930FF">
        <w:rPr>
          <w:rFonts w:ascii="Times New Roman" w:hAnsi="Times New Roman" w:cs="Times New Roman"/>
          <w:sz w:val="22"/>
          <w:szCs w:val="22"/>
          <w:lang w:val="sk-SK"/>
        </w:rPr>
        <w:t>: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270</w:t>
      </w:r>
      <w:r w:rsidR="00D9765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42FC8" w:rsidRPr="008930FF">
        <w:rPr>
          <w:rFonts w:ascii="Times New Roman" w:hAnsi="Times New Roman" w:cs="Times New Roman"/>
          <w:sz w:val="22"/>
          <w:szCs w:val="22"/>
          <w:lang w:val="sk-SK"/>
        </w:rPr>
        <w:t>-</w:t>
      </w:r>
      <w:r w:rsidR="00D9765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D423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328 </w:t>
      </w:r>
      <w:proofErr w:type="spellStart"/>
      <w:r w:rsidR="00DD4239" w:rsidRPr="008930FF">
        <w:rPr>
          <w:rFonts w:ascii="Times New Roman" w:hAnsi="Times New Roman" w:cs="Times New Roman"/>
          <w:sz w:val="22"/>
          <w:szCs w:val="22"/>
          <w:lang w:val="sk-SK"/>
        </w:rPr>
        <w:t>mOsmol</w:t>
      </w:r>
      <w:proofErr w:type="spellEnd"/>
      <w:r w:rsidR="00DD4239" w:rsidRPr="008930FF">
        <w:rPr>
          <w:rFonts w:ascii="Times New Roman" w:hAnsi="Times New Roman" w:cs="Times New Roman"/>
          <w:sz w:val="22"/>
          <w:szCs w:val="22"/>
          <w:lang w:val="sk-SK"/>
        </w:rPr>
        <w:t>/l</w:t>
      </w:r>
    </w:p>
    <w:p w14:paraId="45E3FB59" w14:textId="77777777" w:rsidR="0001621D" w:rsidRPr="008930FF" w:rsidRDefault="0001621D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562E5BE0" w14:textId="77777777" w:rsidR="00137855" w:rsidRPr="008930FF" w:rsidRDefault="00137855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4B877259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4.</w:t>
      </w: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8930FF"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  <w:t>klinické údaje</w:t>
      </w:r>
    </w:p>
    <w:p w14:paraId="263A8F3C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14:paraId="2F95AE8A" w14:textId="77777777" w:rsidR="0043264C" w:rsidRPr="008930FF" w:rsidRDefault="0043264C" w:rsidP="00792238">
      <w:pPr>
        <w:pStyle w:val="Vchoz"/>
        <w:numPr>
          <w:ilvl w:val="1"/>
          <w:numId w:val="16"/>
        </w:numPr>
        <w:jc w:val="lef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Terapeutické indikácie</w:t>
      </w:r>
    </w:p>
    <w:p w14:paraId="1C55B163" w14:textId="77777777" w:rsidR="003D686A" w:rsidRPr="008930FF" w:rsidRDefault="003D686A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7967501C" w14:textId="2A91DC7E" w:rsidR="00C82863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Symptomatická liečba </w:t>
      </w:r>
      <w:r w:rsidR="00590AF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akútnej bolesti strednej až </w:t>
      </w:r>
      <w:r w:rsidR="009D61E2" w:rsidRPr="008930FF">
        <w:rPr>
          <w:rFonts w:ascii="Times New Roman" w:hAnsi="Times New Roman" w:cs="Times New Roman"/>
          <w:sz w:val="22"/>
          <w:szCs w:val="22"/>
          <w:lang w:val="sk-SK"/>
        </w:rPr>
        <w:t>silnej</w:t>
      </w:r>
      <w:r w:rsidR="0087492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590AF6" w:rsidRPr="008930FF">
        <w:rPr>
          <w:rFonts w:ascii="Times New Roman" w:hAnsi="Times New Roman" w:cs="Times New Roman"/>
          <w:sz w:val="22"/>
          <w:szCs w:val="22"/>
          <w:lang w:val="sk-SK"/>
        </w:rPr>
        <w:t>intenzity</w:t>
      </w:r>
      <w:r w:rsidR="00E10D4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napr. pri pooperačných bolestiach, </w:t>
      </w:r>
      <w:proofErr w:type="spellStart"/>
      <w:r w:rsidR="00E10D4E" w:rsidRPr="008930FF">
        <w:rPr>
          <w:rFonts w:ascii="Times New Roman" w:hAnsi="Times New Roman" w:cs="Times New Roman"/>
          <w:sz w:val="22"/>
          <w:szCs w:val="22"/>
          <w:lang w:val="sk-SK"/>
        </w:rPr>
        <w:t>renálnej</w:t>
      </w:r>
      <w:proofErr w:type="spellEnd"/>
      <w:r w:rsidR="00E10D4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kolike a bolesti v dolnej časti chrbta</w:t>
      </w:r>
      <w:r w:rsidR="009D61E2" w:rsidRPr="008930FF">
        <w:rPr>
          <w:rFonts w:ascii="Times New Roman" w:hAnsi="Times New Roman" w:cs="Times New Roman"/>
          <w:sz w:val="22"/>
          <w:szCs w:val="22"/>
          <w:lang w:val="sk-SK"/>
        </w:rPr>
        <w:t>, ak</w:t>
      </w:r>
      <w:r w:rsidR="00590AF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perorálne </w:t>
      </w:r>
      <w:r w:rsidR="00E10D4E" w:rsidRPr="008930FF">
        <w:rPr>
          <w:rFonts w:ascii="Times New Roman" w:hAnsi="Times New Roman" w:cs="Times New Roman"/>
          <w:sz w:val="22"/>
          <w:szCs w:val="22"/>
          <w:lang w:val="sk-SK"/>
        </w:rPr>
        <w:t>podanie</w:t>
      </w:r>
      <w:r w:rsidR="00590AF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nie je </w:t>
      </w:r>
      <w:r w:rsidR="00A86C4E" w:rsidRPr="008930FF">
        <w:rPr>
          <w:rFonts w:ascii="Times New Roman" w:hAnsi="Times New Roman" w:cs="Times New Roman"/>
          <w:sz w:val="22"/>
          <w:szCs w:val="22"/>
          <w:lang w:val="sk-SK"/>
        </w:rPr>
        <w:t>vhodné</w:t>
      </w:r>
      <w:r w:rsidR="00E10D4E"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1DF90CC0" w14:textId="77777777" w:rsidR="00590AF6" w:rsidRPr="008930FF" w:rsidRDefault="00590AF6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766AD765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4.2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Dávkovanie a spôsob </w:t>
      </w:r>
      <w:r w:rsidR="0049781C"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podávania</w:t>
      </w:r>
    </w:p>
    <w:p w14:paraId="7BD63FFD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6561C851" w14:textId="77777777" w:rsidR="00F710E6" w:rsidRPr="008930FF" w:rsidRDefault="00F710E6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u w:val="single"/>
          <w:lang w:val="sk-SK"/>
        </w:rPr>
        <w:t>Dávkovanie</w:t>
      </w:r>
    </w:p>
    <w:p w14:paraId="734EAB8E" w14:textId="77777777" w:rsidR="00AC5CDC" w:rsidRPr="008930FF" w:rsidRDefault="00AC5CD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14:paraId="2C186883" w14:textId="77777777" w:rsidR="0043264C" w:rsidRPr="008930FF" w:rsidRDefault="00590AF6" w:rsidP="00792238">
      <w:pPr>
        <w:pStyle w:val="Vchoz"/>
        <w:ind w:left="0" w:firstLine="0"/>
        <w:jc w:val="left"/>
        <w:rPr>
          <w:rFonts w:ascii="Times New Roman" w:hAnsi="Times New Roman" w:cs="Times New Roman"/>
          <w:i/>
          <w:iCs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i/>
          <w:iCs/>
          <w:sz w:val="22"/>
          <w:szCs w:val="22"/>
          <w:lang w:val="sk-SK"/>
        </w:rPr>
        <w:t>Dospelí</w:t>
      </w:r>
      <w:r w:rsidR="00F70FF6" w:rsidRPr="008930FF">
        <w:rPr>
          <w:rFonts w:ascii="Times New Roman" w:hAnsi="Times New Roman" w:cs="Times New Roman"/>
          <w:i/>
          <w:iCs/>
          <w:sz w:val="22"/>
          <w:szCs w:val="22"/>
          <w:lang w:val="sk-SK"/>
        </w:rPr>
        <w:t>:</w:t>
      </w:r>
    </w:p>
    <w:p w14:paraId="3F6E423B" w14:textId="69D5356C" w:rsidR="00B7278F" w:rsidRPr="008930FF" w:rsidRDefault="00590AF6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O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dporúča</w:t>
      </w:r>
      <w:r w:rsidR="005F3342" w:rsidRPr="008930FF">
        <w:rPr>
          <w:rFonts w:ascii="Times New Roman" w:hAnsi="Times New Roman" w:cs="Times New Roman"/>
          <w:sz w:val="22"/>
          <w:szCs w:val="22"/>
          <w:lang w:val="sk-SK"/>
        </w:rPr>
        <w:t>ná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dávka </w:t>
      </w:r>
      <w:r w:rsidR="005F334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je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50</w:t>
      </w:r>
      <w:r w:rsidR="00201621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mg každých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8</w:t>
      </w:r>
      <w:r w:rsidR="00201621" w:rsidRPr="008930FF">
        <w:rPr>
          <w:rFonts w:ascii="Times New Roman" w:hAnsi="Times New Roman" w:cs="Times New Roman"/>
          <w:sz w:val="22"/>
          <w:szCs w:val="22"/>
          <w:lang w:val="sk-SK"/>
        </w:rPr>
        <w:t>-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12</w:t>
      </w:r>
      <w:r w:rsidR="00201621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hodín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87492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5F334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Ak je </w:t>
      </w:r>
      <w:r w:rsidR="00B7278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to </w:t>
      </w:r>
      <w:r w:rsidR="005F334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potrebné, ďalšia dávka sa môže opakovať po 6 hodinách. 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Celková denná dávka nemá prekročiť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150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mg. </w:t>
      </w:r>
    </w:p>
    <w:p w14:paraId="03EFA6B5" w14:textId="53873DE3" w:rsidR="0043264C" w:rsidRPr="008930FF" w:rsidRDefault="006A7E93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DEXKETOPROFEN ADAMED</w:t>
      </w:r>
      <w:r w:rsidR="00673158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9F44B2" w:rsidRPr="008930FF">
        <w:rPr>
          <w:rFonts w:ascii="Times New Roman" w:hAnsi="Times New Roman" w:cs="Times New Roman"/>
          <w:sz w:val="22"/>
          <w:szCs w:val="22"/>
          <w:lang w:val="sk-SK"/>
        </w:rPr>
        <w:t>injekčný</w:t>
      </w:r>
      <w:r w:rsidR="00686116" w:rsidRPr="008930FF">
        <w:rPr>
          <w:rFonts w:ascii="Times New Roman" w:hAnsi="Times New Roman" w:cs="Times New Roman"/>
          <w:sz w:val="22"/>
          <w:szCs w:val="22"/>
          <w:lang w:val="sk-SK"/>
        </w:rPr>
        <w:t>/</w:t>
      </w:r>
      <w:r w:rsidR="009F44B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infúzny </w:t>
      </w:r>
      <w:r w:rsidR="00F70FF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roztok </w:t>
      </w:r>
      <w:r w:rsidR="00874926" w:rsidRPr="008930FF">
        <w:rPr>
          <w:rFonts w:ascii="Times New Roman" w:hAnsi="Times New Roman" w:cs="Times New Roman"/>
          <w:sz w:val="22"/>
          <w:szCs w:val="22"/>
          <w:lang w:val="sk-SK"/>
        </w:rPr>
        <w:t>je určený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na </w:t>
      </w:r>
      <w:r w:rsidR="00590AF6" w:rsidRPr="008930FF">
        <w:rPr>
          <w:rFonts w:ascii="Times New Roman" w:hAnsi="Times New Roman" w:cs="Times New Roman"/>
          <w:sz w:val="22"/>
          <w:szCs w:val="22"/>
          <w:lang w:val="sk-SK"/>
        </w:rPr>
        <w:t>krátkodobé užívanie</w:t>
      </w:r>
      <w:r w:rsidR="0087492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liečba musí byť limitovaná na obdobie </w:t>
      </w:r>
      <w:r w:rsidR="00B7278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pretrvávania 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akútnych symptómov (nie viac ako 2 dni). </w:t>
      </w:r>
      <w:r w:rsidR="00B7278F" w:rsidRPr="008930FF">
        <w:rPr>
          <w:rFonts w:ascii="Times New Roman" w:hAnsi="Times New Roman" w:cs="Times New Roman"/>
          <w:sz w:val="22"/>
          <w:szCs w:val="22"/>
          <w:lang w:val="sk-SK"/>
        </w:rPr>
        <w:t>Liečba sa má p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acient</w:t>
      </w:r>
      <w:r w:rsidR="00B7278F" w:rsidRPr="008930FF">
        <w:rPr>
          <w:rFonts w:ascii="Times New Roman" w:hAnsi="Times New Roman" w:cs="Times New Roman"/>
          <w:sz w:val="22"/>
          <w:szCs w:val="22"/>
          <w:lang w:val="sk-SK"/>
        </w:rPr>
        <w:t>om</w:t>
      </w:r>
      <w:r w:rsidR="008A6FE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B7278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zmeniť </w:t>
      </w:r>
      <w:r w:rsidR="008A6FE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na </w:t>
      </w:r>
      <w:r w:rsidR="0040130E" w:rsidRPr="008930FF">
        <w:rPr>
          <w:rFonts w:ascii="Times New Roman" w:hAnsi="Times New Roman" w:cs="Times New Roman"/>
          <w:sz w:val="22"/>
          <w:szCs w:val="22"/>
          <w:lang w:val="sk-SK"/>
        </w:rPr>
        <w:t>per</w:t>
      </w:r>
      <w:r w:rsidR="008A6FE5" w:rsidRPr="008930FF">
        <w:rPr>
          <w:rFonts w:ascii="Times New Roman" w:hAnsi="Times New Roman" w:cs="Times New Roman"/>
          <w:sz w:val="22"/>
          <w:szCs w:val="22"/>
          <w:lang w:val="sk-SK"/>
        </w:rPr>
        <w:t>orálnu analgetickú liečbu hneď, ako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je to možné</w:t>
      </w:r>
      <w:r w:rsidR="002C45CD"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3C07F322" w14:textId="77777777" w:rsidR="001874AC" w:rsidRPr="008930FF" w:rsidRDefault="001874AC" w:rsidP="00792238">
      <w:pPr>
        <w:pStyle w:val="Vchoz"/>
        <w:tabs>
          <w:tab w:val="left" w:pos="5380"/>
        </w:tabs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1BDB15FE" w14:textId="77777777" w:rsidR="007E15A8" w:rsidRPr="008930FF" w:rsidRDefault="008E34E5" w:rsidP="00792238">
      <w:pPr>
        <w:pStyle w:val="Vchoz"/>
        <w:tabs>
          <w:tab w:val="left" w:pos="5380"/>
        </w:tabs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Nežiaduce účinky sa môžu minimalizovať použitím najnižšej účinnej dávky počas čo najkratšieho obdobia, ktoré je potrebné na kontrolu symptómov (pozri časť 4.4).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ab/>
      </w:r>
    </w:p>
    <w:p w14:paraId="3EE77981" w14:textId="77777777" w:rsidR="008E34E5" w:rsidRPr="008930FF" w:rsidRDefault="008E34E5" w:rsidP="00792238">
      <w:pPr>
        <w:pStyle w:val="Vchoz"/>
        <w:tabs>
          <w:tab w:val="left" w:pos="5380"/>
        </w:tabs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512D2799" w14:textId="20A68D7A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V prípade pooperačnej bolesti </w:t>
      </w:r>
      <w:r w:rsidR="00DF0064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strednej </w:t>
      </w:r>
      <w:r w:rsidR="008A6FE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až </w:t>
      </w:r>
      <w:r w:rsidR="00A97209" w:rsidRPr="008930FF">
        <w:rPr>
          <w:rFonts w:ascii="Times New Roman" w:hAnsi="Times New Roman" w:cs="Times New Roman"/>
          <w:sz w:val="22"/>
          <w:szCs w:val="22"/>
          <w:lang w:val="sk-SK"/>
        </w:rPr>
        <w:t>silnej</w:t>
      </w:r>
      <w:r w:rsidR="00DF0064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8A6FE5" w:rsidRPr="008930FF">
        <w:rPr>
          <w:rFonts w:ascii="Times New Roman" w:hAnsi="Times New Roman" w:cs="Times New Roman"/>
          <w:sz w:val="22"/>
          <w:szCs w:val="22"/>
          <w:lang w:val="sk-SK"/>
        </w:rPr>
        <w:t>intenzity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33387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môže byť </w:t>
      </w:r>
      <w:r w:rsidR="006A7E93" w:rsidRPr="008930FF">
        <w:rPr>
          <w:rFonts w:ascii="Times New Roman" w:hAnsi="Times New Roman" w:cs="Times New Roman"/>
          <w:sz w:val="22"/>
          <w:szCs w:val="22"/>
          <w:lang w:val="sk-SK"/>
        </w:rPr>
        <w:t>DEXKETOPROFEN ADAMED</w:t>
      </w:r>
      <w:r w:rsidR="009F44B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2C45CD" w:rsidRPr="008930FF">
        <w:rPr>
          <w:rFonts w:ascii="Times New Roman" w:hAnsi="Times New Roman" w:cs="Times New Roman"/>
          <w:sz w:val="22"/>
          <w:szCs w:val="22"/>
          <w:lang w:val="sk-SK"/>
        </w:rPr>
        <w:t>injekčný</w:t>
      </w:r>
      <w:r w:rsidR="00686116" w:rsidRPr="008930FF">
        <w:rPr>
          <w:rFonts w:ascii="Times New Roman" w:hAnsi="Times New Roman" w:cs="Times New Roman"/>
          <w:sz w:val="22"/>
          <w:szCs w:val="22"/>
          <w:lang w:val="sk-SK"/>
        </w:rPr>
        <w:t>/</w:t>
      </w:r>
      <w:r w:rsidR="002C45C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infúzny roztok </w:t>
      </w:r>
      <w:r w:rsidR="00F42B24" w:rsidRPr="008930FF">
        <w:rPr>
          <w:rFonts w:ascii="Times New Roman" w:hAnsi="Times New Roman" w:cs="Times New Roman"/>
          <w:sz w:val="22"/>
          <w:szCs w:val="22"/>
          <w:lang w:val="sk-SK"/>
        </w:rPr>
        <w:t>pod</w:t>
      </w:r>
      <w:r w:rsidR="0033387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ávaný </w:t>
      </w:r>
      <w:r w:rsidR="00F42B24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u dospelých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v kombinácii s </w:t>
      </w:r>
      <w:proofErr w:type="spellStart"/>
      <w:r w:rsidR="006605D1" w:rsidRPr="008930FF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pioidnými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analgetikami</w:t>
      </w:r>
      <w:r w:rsidR="00F42B24" w:rsidRPr="008930FF">
        <w:rPr>
          <w:rFonts w:ascii="Times New Roman" w:hAnsi="Times New Roman" w:cs="Times New Roman"/>
          <w:sz w:val="22"/>
          <w:szCs w:val="22"/>
          <w:lang w:val="sk-SK"/>
        </w:rPr>
        <w:t>, ak je to indikované,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v rovnakých o</w:t>
      </w:r>
      <w:r w:rsidR="006605D1" w:rsidRPr="008930FF">
        <w:rPr>
          <w:rFonts w:ascii="Times New Roman" w:hAnsi="Times New Roman" w:cs="Times New Roman"/>
          <w:sz w:val="22"/>
          <w:szCs w:val="22"/>
          <w:lang w:val="sk-SK"/>
        </w:rPr>
        <w:t>d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por</w:t>
      </w:r>
      <w:r w:rsidR="006605D1" w:rsidRPr="008930FF">
        <w:rPr>
          <w:rFonts w:ascii="Times New Roman" w:hAnsi="Times New Roman" w:cs="Times New Roman"/>
          <w:sz w:val="22"/>
          <w:szCs w:val="22"/>
          <w:lang w:val="sk-SK"/>
        </w:rPr>
        <w:t>ú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č</w:t>
      </w:r>
      <w:r w:rsidR="006605D1" w:rsidRPr="008930FF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ných dávkach (</w:t>
      </w:r>
      <w:r w:rsidR="008A6FE5" w:rsidRPr="008930FF">
        <w:rPr>
          <w:rFonts w:ascii="Times New Roman" w:hAnsi="Times New Roman" w:cs="Times New Roman"/>
          <w:sz w:val="22"/>
          <w:szCs w:val="22"/>
          <w:lang w:val="sk-SK"/>
        </w:rPr>
        <w:t>pozri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778C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časť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5.1)</w:t>
      </w:r>
      <w:r w:rsidR="00616B61"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4C54FB56" w14:textId="77777777" w:rsidR="0013391B" w:rsidRPr="008930FF" w:rsidRDefault="0013391B" w:rsidP="00792238">
      <w:pPr>
        <w:pStyle w:val="Vchoz"/>
        <w:ind w:left="0" w:firstLine="0"/>
        <w:jc w:val="left"/>
        <w:outlineLvl w:val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14:paraId="733AFB83" w14:textId="77777777" w:rsidR="0043264C" w:rsidRPr="008930FF" w:rsidRDefault="0043264C" w:rsidP="00792238">
      <w:pPr>
        <w:pStyle w:val="Vchoz"/>
        <w:ind w:left="0" w:firstLine="0"/>
        <w:jc w:val="left"/>
        <w:outlineLvl w:val="0"/>
        <w:rPr>
          <w:rFonts w:ascii="Times New Roman" w:hAnsi="Times New Roman" w:cs="Times New Roman"/>
          <w:i/>
          <w:iCs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i/>
          <w:iCs/>
          <w:sz w:val="22"/>
          <w:szCs w:val="22"/>
          <w:lang w:val="sk-SK"/>
        </w:rPr>
        <w:t xml:space="preserve">Starší </w:t>
      </w:r>
      <w:r w:rsidR="003A3D5C" w:rsidRPr="008930FF">
        <w:rPr>
          <w:rFonts w:ascii="Times New Roman" w:hAnsi="Times New Roman" w:cs="Times New Roman"/>
          <w:i/>
          <w:iCs/>
          <w:sz w:val="22"/>
          <w:szCs w:val="22"/>
          <w:lang w:val="sk-SK"/>
        </w:rPr>
        <w:t>ľudia</w:t>
      </w:r>
      <w:r w:rsidR="009F44B2" w:rsidRPr="008930FF">
        <w:rPr>
          <w:rFonts w:ascii="Times New Roman" w:hAnsi="Times New Roman" w:cs="Times New Roman"/>
          <w:i/>
          <w:iCs/>
          <w:sz w:val="22"/>
          <w:szCs w:val="22"/>
          <w:lang w:val="sk-SK"/>
        </w:rPr>
        <w:t>:</w:t>
      </w:r>
    </w:p>
    <w:p w14:paraId="38CFD8A9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U starších pacientov nie je vo všeobecnosti potrebn</w:t>
      </w:r>
      <w:r w:rsidR="00C779E0" w:rsidRPr="008930FF">
        <w:rPr>
          <w:rFonts w:ascii="Times New Roman" w:hAnsi="Times New Roman" w:cs="Times New Roman"/>
          <w:sz w:val="22"/>
          <w:szCs w:val="22"/>
          <w:lang w:val="sk-SK"/>
        </w:rPr>
        <w:t>á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779E0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žiadna úprava </w:t>
      </w:r>
      <w:r w:rsidR="008A6FE5" w:rsidRPr="008930FF">
        <w:rPr>
          <w:rFonts w:ascii="Times New Roman" w:hAnsi="Times New Roman" w:cs="Times New Roman"/>
          <w:sz w:val="22"/>
          <w:szCs w:val="22"/>
          <w:lang w:val="sk-SK"/>
        </w:rPr>
        <w:t>dávk</w:t>
      </w:r>
      <w:r w:rsidR="00AF0612" w:rsidRPr="008930FF">
        <w:rPr>
          <w:rFonts w:ascii="Times New Roman" w:hAnsi="Times New Roman" w:cs="Times New Roman"/>
          <w:sz w:val="22"/>
          <w:szCs w:val="22"/>
          <w:lang w:val="sk-SK"/>
        </w:rPr>
        <w:t>ov</w:t>
      </w:r>
      <w:r w:rsidR="00C779E0" w:rsidRPr="008930FF">
        <w:rPr>
          <w:rFonts w:ascii="Times New Roman" w:hAnsi="Times New Roman" w:cs="Times New Roman"/>
          <w:sz w:val="22"/>
          <w:szCs w:val="22"/>
          <w:lang w:val="sk-SK"/>
        </w:rPr>
        <w:t>ania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. Vzhľadom na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fyziologický pokles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renálnej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funkcie u starších pacientov sa u nich </w:t>
      </w:r>
      <w:r w:rsidR="006605D1" w:rsidRPr="008930FF">
        <w:rPr>
          <w:rFonts w:ascii="Times New Roman" w:hAnsi="Times New Roman" w:cs="Times New Roman"/>
          <w:sz w:val="22"/>
          <w:szCs w:val="22"/>
          <w:lang w:val="sk-SK"/>
        </w:rPr>
        <w:t>od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por</w:t>
      </w:r>
      <w:r w:rsidR="006605D1" w:rsidRPr="008930FF">
        <w:rPr>
          <w:rFonts w:ascii="Times New Roman" w:hAnsi="Times New Roman" w:cs="Times New Roman"/>
          <w:sz w:val="22"/>
          <w:szCs w:val="22"/>
          <w:lang w:val="sk-SK"/>
        </w:rPr>
        <w:t>úča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nižšia dávka v prípade mierne zhoršenej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renálnej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funkcie: </w:t>
      </w:r>
      <w:r w:rsidR="00297DB4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celková denná dávka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50 mg (</w:t>
      </w:r>
      <w:r w:rsidR="00CB535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pozri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časť 4.4)</w:t>
      </w:r>
      <w:r w:rsidR="00616B61"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18B79FD7" w14:textId="77777777" w:rsidR="008F3C1C" w:rsidRPr="008930FF" w:rsidRDefault="008F3C1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577BC9C7" w14:textId="77777777" w:rsidR="0043264C" w:rsidRPr="008930FF" w:rsidRDefault="00BF6FDD" w:rsidP="00792238">
      <w:pPr>
        <w:pStyle w:val="Vchoz"/>
        <w:ind w:left="0" w:firstLine="0"/>
        <w:jc w:val="left"/>
        <w:outlineLvl w:val="0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i/>
          <w:sz w:val="22"/>
          <w:szCs w:val="22"/>
          <w:lang w:val="sk-SK"/>
        </w:rPr>
        <w:t>P</w:t>
      </w:r>
      <w:r w:rsidR="0043264C" w:rsidRPr="008930FF">
        <w:rPr>
          <w:rFonts w:ascii="Times New Roman" w:hAnsi="Times New Roman" w:cs="Times New Roman"/>
          <w:i/>
          <w:sz w:val="22"/>
          <w:szCs w:val="22"/>
          <w:lang w:val="sk-SK"/>
        </w:rPr>
        <w:t xml:space="preserve">oruchy </w:t>
      </w:r>
      <w:r w:rsidRPr="008930FF">
        <w:rPr>
          <w:rFonts w:ascii="Times New Roman" w:hAnsi="Times New Roman" w:cs="Times New Roman"/>
          <w:i/>
          <w:sz w:val="22"/>
          <w:szCs w:val="22"/>
          <w:lang w:val="sk-SK"/>
        </w:rPr>
        <w:t xml:space="preserve">funkcie </w:t>
      </w:r>
      <w:r w:rsidR="0043264C" w:rsidRPr="008930FF">
        <w:rPr>
          <w:rFonts w:ascii="Times New Roman" w:hAnsi="Times New Roman" w:cs="Times New Roman"/>
          <w:i/>
          <w:sz w:val="22"/>
          <w:szCs w:val="22"/>
          <w:lang w:val="sk-SK"/>
        </w:rPr>
        <w:t>pečene</w:t>
      </w:r>
      <w:r w:rsidR="009F44B2" w:rsidRPr="008930FF">
        <w:rPr>
          <w:rFonts w:ascii="Times New Roman" w:hAnsi="Times New Roman" w:cs="Times New Roman"/>
          <w:i/>
          <w:sz w:val="22"/>
          <w:szCs w:val="22"/>
          <w:lang w:val="sk-SK"/>
        </w:rPr>
        <w:t>:</w:t>
      </w:r>
    </w:p>
    <w:p w14:paraId="42F8CCDB" w14:textId="77777777" w:rsidR="0043264C" w:rsidRPr="008930FF" w:rsidRDefault="008A6FE5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U pacientov s miern</w:t>
      </w:r>
      <w:r w:rsidR="004A5D8A" w:rsidRPr="008930FF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až stredn</w:t>
      </w:r>
      <w:r w:rsidR="004A5D8A" w:rsidRPr="008930FF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závažnou </w:t>
      </w:r>
      <w:r w:rsidR="004A5D8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poruchou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funk</w:t>
      </w:r>
      <w:r w:rsidR="004A5D8A" w:rsidRPr="008930FF">
        <w:rPr>
          <w:rFonts w:ascii="Times New Roman" w:hAnsi="Times New Roman" w:cs="Times New Roman"/>
          <w:sz w:val="22"/>
          <w:szCs w:val="22"/>
          <w:lang w:val="sk-SK"/>
        </w:rPr>
        <w:t>cie pečene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Child</w:t>
      </w:r>
      <w:r w:rsidR="00D7561C" w:rsidRPr="008930FF">
        <w:rPr>
          <w:rFonts w:ascii="Times New Roman" w:hAnsi="Times New Roman" w:cs="Times New Roman"/>
          <w:sz w:val="22"/>
          <w:szCs w:val="22"/>
          <w:lang w:val="sk-SK"/>
        </w:rPr>
        <w:t>ovo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-Pugh</w:t>
      </w:r>
      <w:r w:rsidR="00D7561C" w:rsidRPr="008930FF">
        <w:rPr>
          <w:rFonts w:ascii="Times New Roman" w:hAnsi="Times New Roman" w:cs="Times New Roman"/>
          <w:sz w:val="22"/>
          <w:szCs w:val="22"/>
          <w:lang w:val="sk-SK"/>
        </w:rPr>
        <w:t>ovo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skóre 5-9) </w:t>
      </w:r>
      <w:r w:rsidR="00175F44" w:rsidRPr="008930FF">
        <w:rPr>
          <w:rFonts w:ascii="Times New Roman" w:hAnsi="Times New Roman" w:cs="Times New Roman"/>
          <w:sz w:val="22"/>
          <w:szCs w:val="22"/>
          <w:lang w:val="sk-SK"/>
        </w:rPr>
        <w:t>sa má dávka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znížiť na </w:t>
      </w:r>
      <w:r w:rsidR="008055D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celkovú dennú dávku 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50 mg a je potrebné starostlivo monitorovať hepat</w:t>
      </w:r>
      <w:r w:rsidR="006605D1" w:rsidRPr="008930FF">
        <w:rPr>
          <w:rFonts w:ascii="Times New Roman" w:hAnsi="Times New Roman" w:cs="Times New Roman"/>
          <w:sz w:val="22"/>
          <w:szCs w:val="22"/>
          <w:lang w:val="sk-SK"/>
        </w:rPr>
        <w:t>álne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funkci</w:t>
      </w:r>
      <w:r w:rsidR="006605D1" w:rsidRPr="008930FF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r w:rsidR="004A5D8A" w:rsidRPr="008930FF">
        <w:rPr>
          <w:rFonts w:ascii="Times New Roman" w:hAnsi="Times New Roman" w:cs="Times New Roman"/>
          <w:sz w:val="22"/>
          <w:szCs w:val="22"/>
          <w:lang w:val="sk-SK"/>
        </w:rPr>
        <w:t>pozri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časť 4.4). </w:t>
      </w:r>
    </w:p>
    <w:p w14:paraId="5DD7C72C" w14:textId="3B78B6B5" w:rsidR="0043264C" w:rsidRPr="008930FF" w:rsidRDefault="006A7E93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DEXKETOPROFEN ADAMED</w:t>
      </w:r>
      <w:r w:rsidR="00673158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BC06E7" w:rsidRPr="008930FF">
        <w:rPr>
          <w:rFonts w:ascii="Times New Roman" w:hAnsi="Times New Roman" w:cs="Times New Roman"/>
          <w:sz w:val="22"/>
          <w:szCs w:val="22"/>
          <w:lang w:val="sk-SK"/>
        </w:rPr>
        <w:t>injekčný/infúzny</w:t>
      </w:r>
      <w:r w:rsidR="002C45C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roztok </w:t>
      </w:r>
      <w:r w:rsidR="004005C5" w:rsidRPr="008930FF">
        <w:rPr>
          <w:rFonts w:ascii="Times New Roman" w:hAnsi="Times New Roman" w:cs="Times New Roman"/>
          <w:sz w:val="22"/>
          <w:szCs w:val="22"/>
          <w:lang w:val="sk-SK"/>
        </w:rPr>
        <w:t>sa nemá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používať u pacientov </w:t>
      </w:r>
      <w:r w:rsidR="002D497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so </w:t>
      </w:r>
      <w:r w:rsidR="004A5D8A" w:rsidRPr="008930FF">
        <w:rPr>
          <w:rFonts w:ascii="Times New Roman" w:hAnsi="Times New Roman" w:cs="Times New Roman"/>
          <w:sz w:val="22"/>
          <w:szCs w:val="22"/>
          <w:lang w:val="sk-SK"/>
        </w:rPr>
        <w:t>závažnou</w:t>
      </w:r>
      <w:r w:rsidR="002D497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2D4977" w:rsidRPr="008930FF">
        <w:rPr>
          <w:rFonts w:ascii="Times New Roman" w:hAnsi="Times New Roman" w:cs="Times New Roman"/>
          <w:sz w:val="22"/>
          <w:szCs w:val="22"/>
          <w:lang w:val="sk-SK"/>
        </w:rPr>
        <w:t>hepat</w:t>
      </w:r>
      <w:r w:rsidR="006605D1" w:rsidRPr="008930FF">
        <w:rPr>
          <w:rFonts w:ascii="Times New Roman" w:hAnsi="Times New Roman" w:cs="Times New Roman"/>
          <w:sz w:val="22"/>
          <w:szCs w:val="22"/>
          <w:lang w:val="sk-SK"/>
        </w:rPr>
        <w:t>áln</w:t>
      </w:r>
      <w:r w:rsidR="002D4977" w:rsidRPr="008930FF">
        <w:rPr>
          <w:rFonts w:ascii="Times New Roman" w:hAnsi="Times New Roman" w:cs="Times New Roman"/>
          <w:sz w:val="22"/>
          <w:szCs w:val="22"/>
          <w:lang w:val="sk-SK"/>
        </w:rPr>
        <w:t>ou</w:t>
      </w:r>
      <w:proofErr w:type="spellEnd"/>
      <w:r w:rsidR="002D497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dysfunkciou (</w:t>
      </w:r>
      <w:proofErr w:type="spellStart"/>
      <w:r w:rsidR="002D4977" w:rsidRPr="008930FF">
        <w:rPr>
          <w:rFonts w:ascii="Times New Roman" w:hAnsi="Times New Roman" w:cs="Times New Roman"/>
          <w:sz w:val="22"/>
          <w:szCs w:val="22"/>
          <w:lang w:val="sk-SK"/>
        </w:rPr>
        <w:t>Child</w:t>
      </w:r>
      <w:r w:rsidR="00D7561C" w:rsidRPr="008930FF">
        <w:rPr>
          <w:rFonts w:ascii="Times New Roman" w:hAnsi="Times New Roman" w:cs="Times New Roman"/>
          <w:sz w:val="22"/>
          <w:szCs w:val="22"/>
          <w:lang w:val="sk-SK"/>
        </w:rPr>
        <w:t>ovo</w:t>
      </w:r>
      <w:r w:rsidR="002D4977" w:rsidRPr="008930FF">
        <w:rPr>
          <w:rFonts w:ascii="Times New Roman" w:hAnsi="Times New Roman" w:cs="Times New Roman"/>
          <w:sz w:val="22"/>
          <w:szCs w:val="22"/>
          <w:lang w:val="sk-SK"/>
        </w:rPr>
        <w:t>-Pugh</w:t>
      </w:r>
      <w:r w:rsidR="00D7561C" w:rsidRPr="008930FF">
        <w:rPr>
          <w:rFonts w:ascii="Times New Roman" w:hAnsi="Times New Roman" w:cs="Times New Roman"/>
          <w:sz w:val="22"/>
          <w:szCs w:val="22"/>
          <w:lang w:val="sk-SK"/>
        </w:rPr>
        <w:t>ovo</w:t>
      </w:r>
      <w:proofErr w:type="spellEnd"/>
      <w:r w:rsidR="002D497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skóre 10-15) (</w:t>
      </w:r>
      <w:r w:rsidR="004A5D8A" w:rsidRPr="008930FF">
        <w:rPr>
          <w:rFonts w:ascii="Times New Roman" w:hAnsi="Times New Roman" w:cs="Times New Roman"/>
          <w:sz w:val="22"/>
          <w:szCs w:val="22"/>
          <w:lang w:val="sk-SK"/>
        </w:rPr>
        <w:t>pozri</w:t>
      </w:r>
      <w:r w:rsidR="002D497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605D1" w:rsidRPr="008930FF">
        <w:rPr>
          <w:rFonts w:ascii="Times New Roman" w:hAnsi="Times New Roman" w:cs="Times New Roman"/>
          <w:sz w:val="22"/>
          <w:szCs w:val="22"/>
          <w:lang w:val="sk-SK"/>
        </w:rPr>
        <w:t>časť 4.</w:t>
      </w:r>
      <w:r w:rsidR="00A3580A" w:rsidRPr="008930FF">
        <w:rPr>
          <w:rFonts w:ascii="Times New Roman" w:hAnsi="Times New Roman" w:cs="Times New Roman"/>
          <w:sz w:val="22"/>
          <w:szCs w:val="22"/>
          <w:lang w:val="sk-SK"/>
        </w:rPr>
        <w:t>3</w:t>
      </w:r>
      <w:r w:rsidR="002D4977" w:rsidRPr="008930FF">
        <w:rPr>
          <w:rFonts w:ascii="Times New Roman" w:hAnsi="Times New Roman" w:cs="Times New Roman"/>
          <w:sz w:val="22"/>
          <w:szCs w:val="22"/>
          <w:lang w:val="sk-SK"/>
        </w:rPr>
        <w:t>).</w:t>
      </w:r>
    </w:p>
    <w:p w14:paraId="3A00C61D" w14:textId="77777777" w:rsidR="00BF3F25" w:rsidRPr="008930FF" w:rsidRDefault="00BF3F25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14:paraId="4ABD2C4A" w14:textId="77777777" w:rsidR="0043264C" w:rsidRPr="008930FF" w:rsidRDefault="00BF6FDD" w:rsidP="00792238">
      <w:pPr>
        <w:pStyle w:val="Vchoz"/>
        <w:ind w:left="0" w:firstLine="0"/>
        <w:jc w:val="left"/>
        <w:outlineLvl w:val="0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i/>
          <w:sz w:val="22"/>
          <w:szCs w:val="22"/>
          <w:lang w:val="sk-SK"/>
        </w:rPr>
        <w:t>P</w:t>
      </w:r>
      <w:r w:rsidR="0043264C" w:rsidRPr="008930FF">
        <w:rPr>
          <w:rFonts w:ascii="Times New Roman" w:hAnsi="Times New Roman" w:cs="Times New Roman"/>
          <w:i/>
          <w:sz w:val="22"/>
          <w:szCs w:val="22"/>
          <w:lang w:val="sk-SK"/>
        </w:rPr>
        <w:t xml:space="preserve">oruchy </w:t>
      </w:r>
      <w:r w:rsidRPr="008930FF">
        <w:rPr>
          <w:rFonts w:ascii="Times New Roman" w:hAnsi="Times New Roman" w:cs="Times New Roman"/>
          <w:i/>
          <w:sz w:val="22"/>
          <w:szCs w:val="22"/>
          <w:lang w:val="sk-SK"/>
        </w:rPr>
        <w:t xml:space="preserve">funkcie </w:t>
      </w:r>
      <w:r w:rsidR="0043264C" w:rsidRPr="008930FF">
        <w:rPr>
          <w:rFonts w:ascii="Times New Roman" w:hAnsi="Times New Roman" w:cs="Times New Roman"/>
          <w:i/>
          <w:sz w:val="22"/>
          <w:szCs w:val="22"/>
          <w:lang w:val="sk-SK"/>
        </w:rPr>
        <w:t>obličiek</w:t>
      </w:r>
      <w:r w:rsidR="009F44B2" w:rsidRPr="008930FF">
        <w:rPr>
          <w:rFonts w:ascii="Times New Roman" w:hAnsi="Times New Roman" w:cs="Times New Roman"/>
          <w:i/>
          <w:sz w:val="22"/>
          <w:szCs w:val="22"/>
          <w:lang w:val="sk-SK"/>
        </w:rPr>
        <w:t>:</w:t>
      </w:r>
    </w:p>
    <w:p w14:paraId="5658DFFC" w14:textId="5766828C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U pacientov s miern</w:t>
      </w:r>
      <w:r w:rsidR="009163E6" w:rsidRPr="008930FF">
        <w:rPr>
          <w:rFonts w:ascii="Times New Roman" w:hAnsi="Times New Roman" w:cs="Times New Roman"/>
          <w:sz w:val="22"/>
          <w:szCs w:val="22"/>
          <w:lang w:val="sk-SK"/>
        </w:rPr>
        <w:t>ou</w:t>
      </w:r>
      <w:r w:rsidR="004A5D8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poruchou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renáln</w:t>
      </w:r>
      <w:r w:rsidR="004A5D8A" w:rsidRPr="008930FF">
        <w:rPr>
          <w:rFonts w:ascii="Times New Roman" w:hAnsi="Times New Roman" w:cs="Times New Roman"/>
          <w:sz w:val="22"/>
          <w:szCs w:val="22"/>
          <w:lang w:val="sk-SK"/>
        </w:rPr>
        <w:t>ej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funkci</w:t>
      </w:r>
      <w:r w:rsidR="004A5D8A" w:rsidRPr="008930FF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82B5D" w:rsidRPr="008930FF">
        <w:rPr>
          <w:rFonts w:ascii="Times New Roman" w:hAnsi="Times New Roman" w:cs="Times New Roman"/>
          <w:sz w:val="22"/>
          <w:szCs w:val="22"/>
          <w:lang w:val="sk-SK"/>
        </w:rPr>
        <w:t>(klírens kreatin</w:t>
      </w:r>
      <w:r w:rsidR="006605D1" w:rsidRPr="008930FF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="00482B5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nu </w:t>
      </w:r>
      <w:r w:rsidR="00026FEF" w:rsidRPr="008930FF">
        <w:rPr>
          <w:rFonts w:ascii="Times New Roman" w:hAnsi="Times New Roman" w:cs="Times New Roman"/>
          <w:sz w:val="22"/>
          <w:szCs w:val="22"/>
          <w:lang w:val="sk-SK"/>
        </w:rPr>
        <w:t>60</w:t>
      </w:r>
      <w:r w:rsidR="00482B5D" w:rsidRPr="008930FF">
        <w:rPr>
          <w:rFonts w:ascii="Times New Roman" w:hAnsi="Times New Roman" w:cs="Times New Roman"/>
          <w:sz w:val="22"/>
          <w:szCs w:val="22"/>
          <w:lang w:val="sk-SK"/>
        </w:rPr>
        <w:t>-</w:t>
      </w:r>
      <w:r w:rsidR="00026FEF" w:rsidRPr="008930FF">
        <w:rPr>
          <w:rFonts w:ascii="Times New Roman" w:hAnsi="Times New Roman" w:cs="Times New Roman"/>
          <w:sz w:val="22"/>
          <w:szCs w:val="22"/>
          <w:lang w:val="sk-SK"/>
        </w:rPr>
        <w:t>89</w:t>
      </w:r>
      <w:r w:rsidR="00482B5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ml/min) </w:t>
      </w:r>
      <w:r w:rsidR="00367939" w:rsidRPr="008930FF">
        <w:rPr>
          <w:rFonts w:ascii="Times New Roman" w:hAnsi="Times New Roman" w:cs="Times New Roman"/>
          <w:sz w:val="22"/>
          <w:szCs w:val="22"/>
          <w:lang w:val="sk-SK"/>
        </w:rPr>
        <w:t>sa má dávka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znížiť na </w:t>
      </w:r>
      <w:r w:rsidR="00656BA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celkovú dennú dávku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50 mg</w:t>
      </w:r>
      <w:r w:rsidR="00482B5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r w:rsidR="00656BA6" w:rsidRPr="008930FF">
        <w:rPr>
          <w:rFonts w:ascii="Times New Roman" w:hAnsi="Times New Roman" w:cs="Times New Roman"/>
          <w:sz w:val="22"/>
          <w:szCs w:val="22"/>
          <w:lang w:val="sk-SK"/>
        </w:rPr>
        <w:t>pozri</w:t>
      </w:r>
      <w:r w:rsidR="00482B5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605D1" w:rsidRPr="008930FF">
        <w:rPr>
          <w:rFonts w:ascii="Times New Roman" w:hAnsi="Times New Roman" w:cs="Times New Roman"/>
          <w:sz w:val="22"/>
          <w:szCs w:val="22"/>
          <w:lang w:val="sk-SK"/>
        </w:rPr>
        <w:t>časť</w:t>
      </w:r>
      <w:r w:rsidR="00482B5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4.4)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r w:rsidR="006A7E93" w:rsidRPr="008930FF">
        <w:rPr>
          <w:rFonts w:ascii="Times New Roman" w:hAnsi="Times New Roman" w:cs="Times New Roman"/>
          <w:sz w:val="22"/>
          <w:szCs w:val="22"/>
          <w:lang w:val="sk-SK"/>
        </w:rPr>
        <w:t>DEXKETOPROFEN ADAMED</w:t>
      </w:r>
      <w:r w:rsidR="00C8286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BC06E7" w:rsidRPr="008930FF">
        <w:rPr>
          <w:rFonts w:ascii="Times New Roman" w:hAnsi="Times New Roman" w:cs="Times New Roman"/>
          <w:sz w:val="22"/>
          <w:szCs w:val="22"/>
          <w:lang w:val="sk-SK"/>
        </w:rPr>
        <w:t>injekčný/infúzny</w:t>
      </w:r>
      <w:r w:rsidR="00C8286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roztok</w:t>
      </w:r>
      <w:r w:rsidR="00F24D5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82B5D" w:rsidRPr="008930FF">
        <w:rPr>
          <w:rFonts w:ascii="Times New Roman" w:hAnsi="Times New Roman" w:cs="Times New Roman"/>
          <w:sz w:val="22"/>
          <w:szCs w:val="22"/>
          <w:lang w:val="sk-SK"/>
        </w:rPr>
        <w:t>sa ne</w:t>
      </w:r>
      <w:r w:rsidR="00656BA6" w:rsidRPr="008930FF">
        <w:rPr>
          <w:rFonts w:ascii="Times New Roman" w:hAnsi="Times New Roman" w:cs="Times New Roman"/>
          <w:sz w:val="22"/>
          <w:szCs w:val="22"/>
          <w:lang w:val="sk-SK"/>
        </w:rPr>
        <w:t>má používať u</w:t>
      </w:r>
      <w:r w:rsidR="005D071D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201621" w:rsidRPr="008930FF">
        <w:rPr>
          <w:rFonts w:ascii="Times New Roman" w:hAnsi="Times New Roman" w:cs="Times New Roman"/>
          <w:sz w:val="22"/>
          <w:szCs w:val="22"/>
          <w:lang w:val="sk-SK"/>
        </w:rPr>
        <w:t>paciento</w:t>
      </w:r>
      <w:r w:rsidR="00656BA6" w:rsidRPr="008930FF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201621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so </w:t>
      </w:r>
      <w:r w:rsidR="00616B61" w:rsidRPr="008930FF">
        <w:rPr>
          <w:rFonts w:ascii="Times New Roman" w:hAnsi="Times New Roman" w:cs="Times New Roman"/>
          <w:sz w:val="22"/>
          <w:szCs w:val="22"/>
          <w:lang w:val="sk-SK"/>
        </w:rPr>
        <w:t>stredn</w:t>
      </w:r>
      <w:r w:rsidR="00F53AA1" w:rsidRPr="008930FF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616B61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F53AA1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závažnou </w:t>
      </w:r>
      <w:r w:rsidR="00616B61" w:rsidRPr="008930FF">
        <w:rPr>
          <w:rFonts w:ascii="Times New Roman" w:hAnsi="Times New Roman" w:cs="Times New Roman"/>
          <w:sz w:val="22"/>
          <w:szCs w:val="22"/>
          <w:lang w:val="sk-SK"/>
        </w:rPr>
        <w:t>až závažnou</w:t>
      </w:r>
      <w:r w:rsidR="00F67A58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16B61" w:rsidRPr="008930FF">
        <w:rPr>
          <w:rFonts w:ascii="Times New Roman" w:hAnsi="Times New Roman" w:cs="Times New Roman"/>
          <w:sz w:val="22"/>
          <w:szCs w:val="22"/>
          <w:lang w:val="sk-SK"/>
        </w:rPr>
        <w:t>obličk</w:t>
      </w:r>
      <w:r w:rsidR="002C423A" w:rsidRPr="008930FF">
        <w:rPr>
          <w:rFonts w:ascii="Times New Roman" w:hAnsi="Times New Roman" w:cs="Times New Roman"/>
          <w:sz w:val="22"/>
          <w:szCs w:val="22"/>
          <w:lang w:val="sk-SK"/>
        </w:rPr>
        <w:t>ovou dysfunkciou (</w:t>
      </w:r>
      <w:r w:rsidR="00482B5D" w:rsidRPr="008930FF">
        <w:rPr>
          <w:rFonts w:ascii="Times New Roman" w:hAnsi="Times New Roman" w:cs="Times New Roman"/>
          <w:sz w:val="22"/>
          <w:szCs w:val="22"/>
          <w:lang w:val="sk-SK"/>
        </w:rPr>
        <w:t>klírens kreatin</w:t>
      </w:r>
      <w:r w:rsidR="00142FC8" w:rsidRPr="008930FF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="00482B5D" w:rsidRPr="008930FF">
        <w:rPr>
          <w:rFonts w:ascii="Times New Roman" w:hAnsi="Times New Roman" w:cs="Times New Roman"/>
          <w:sz w:val="22"/>
          <w:szCs w:val="22"/>
          <w:lang w:val="sk-SK"/>
        </w:rPr>
        <w:t>nu &lt;</w:t>
      </w:r>
      <w:r w:rsidR="005D071D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026FEF" w:rsidRPr="008930FF">
        <w:rPr>
          <w:rFonts w:ascii="Times New Roman" w:hAnsi="Times New Roman" w:cs="Times New Roman"/>
          <w:sz w:val="22"/>
          <w:szCs w:val="22"/>
          <w:lang w:val="sk-SK"/>
        </w:rPr>
        <w:t>59</w:t>
      </w:r>
      <w:r w:rsidR="005D071D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482B5D" w:rsidRPr="008930FF">
        <w:rPr>
          <w:rFonts w:ascii="Times New Roman" w:hAnsi="Times New Roman" w:cs="Times New Roman"/>
          <w:sz w:val="22"/>
          <w:szCs w:val="22"/>
          <w:lang w:val="sk-SK"/>
        </w:rPr>
        <w:t>ml/min)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82B5D" w:rsidRPr="008930FF">
        <w:rPr>
          <w:rFonts w:ascii="Times New Roman" w:hAnsi="Times New Roman" w:cs="Times New Roman"/>
          <w:sz w:val="22"/>
          <w:szCs w:val="22"/>
          <w:lang w:val="sk-SK"/>
        </w:rPr>
        <w:t>(</w:t>
      </w:r>
      <w:r w:rsidR="004A5D8A" w:rsidRPr="008930FF">
        <w:rPr>
          <w:rFonts w:ascii="Times New Roman" w:hAnsi="Times New Roman" w:cs="Times New Roman"/>
          <w:sz w:val="22"/>
          <w:szCs w:val="22"/>
          <w:lang w:val="sk-SK"/>
        </w:rPr>
        <w:t>pozri</w:t>
      </w:r>
      <w:r w:rsidR="00482B5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F24D5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časť </w:t>
      </w:r>
      <w:r w:rsidR="00482B5D" w:rsidRPr="008930FF">
        <w:rPr>
          <w:rFonts w:ascii="Times New Roman" w:hAnsi="Times New Roman" w:cs="Times New Roman"/>
          <w:sz w:val="22"/>
          <w:szCs w:val="22"/>
          <w:lang w:val="sk-SK"/>
        </w:rPr>
        <w:t>4.3).</w:t>
      </w:r>
    </w:p>
    <w:p w14:paraId="2A959CDE" w14:textId="77777777" w:rsidR="00B51B27" w:rsidRPr="008930FF" w:rsidRDefault="00B51B27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48AFADB7" w14:textId="77777777" w:rsidR="009F44B2" w:rsidRPr="008930FF" w:rsidRDefault="009F44B2" w:rsidP="009F44B2">
      <w:pPr>
        <w:pStyle w:val="Vchoz"/>
        <w:ind w:left="0" w:firstLine="0"/>
        <w:jc w:val="left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i/>
          <w:sz w:val="22"/>
          <w:szCs w:val="22"/>
          <w:lang w:val="sk-SK"/>
        </w:rPr>
        <w:t>Pediatrická populácia:</w:t>
      </w:r>
    </w:p>
    <w:p w14:paraId="16A820BF" w14:textId="538CF586" w:rsidR="009F44B2" w:rsidRPr="008930FF" w:rsidRDefault="00C82863" w:rsidP="009F44B2">
      <w:pPr>
        <w:pStyle w:val="Vchoz"/>
        <w:ind w:left="0" w:firstLine="0"/>
        <w:jc w:val="left"/>
        <w:rPr>
          <w:rFonts w:ascii="Times New Roman" w:hAnsi="Times New Roman" w:cs="Times New Roman"/>
          <w:color w:val="222222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DEXKETOPROFEN ADAMED </w:t>
      </w:r>
      <w:r w:rsidR="00BC06E7" w:rsidRPr="008930FF">
        <w:rPr>
          <w:rFonts w:ascii="Times New Roman" w:hAnsi="Times New Roman" w:cs="Times New Roman"/>
          <w:sz w:val="22"/>
          <w:szCs w:val="22"/>
          <w:lang w:val="sk-SK"/>
        </w:rPr>
        <w:t>injekčný/infúzny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roztok</w:t>
      </w:r>
      <w:r w:rsidR="009F44B2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="00C661B0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sa </w:t>
      </w:r>
      <w:r w:rsidR="009F44B2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u</w:t>
      </w:r>
      <w:r w:rsidR="009F44B2"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="009F44B2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detí</w:t>
      </w:r>
      <w:r w:rsidR="009F44B2"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="009F44B2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a</w:t>
      </w:r>
      <w:r w:rsidR="009F44B2"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="009F44B2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dospievajúcich ne</w:t>
      </w:r>
      <w:r w:rsidR="009F44B2" w:rsidRPr="008930FF">
        <w:rPr>
          <w:rFonts w:ascii="Times New Roman" w:hAnsi="Times New Roman" w:cs="Times New Roman"/>
          <w:sz w:val="22"/>
          <w:szCs w:val="22"/>
          <w:lang w:val="sk-SK"/>
        </w:rPr>
        <w:t>š</w:t>
      </w:r>
      <w:r w:rsidR="009F44B2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tudoval</w:t>
      </w:r>
      <w:r w:rsidR="002C45CD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. Z tohto dôvodu </w:t>
      </w:r>
      <w:r w:rsidR="007F6C3E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nebola doteraz jeho</w:t>
      </w:r>
      <w:r w:rsidR="005F3FBB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="009F44B2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bezpečnosť</w:t>
      </w:r>
      <w:r w:rsidR="009F44B2"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="009F44B2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a</w:t>
      </w:r>
      <w:r w:rsidR="009F44B2"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="009F44B2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účinnosť stanovená</w:t>
      </w:r>
      <w:r w:rsidR="009F44B2"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="009F44B2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a liek</w:t>
      </w:r>
      <w:r w:rsidR="009F44B2"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="009F44B2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sa nemá používať</w:t>
      </w:r>
      <w:r w:rsidR="009F44B2"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="009F44B2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u detí</w:t>
      </w:r>
      <w:r w:rsidR="009F44B2"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="009F44B2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a</w:t>
      </w:r>
      <w:r w:rsidR="009F44B2"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="009F44B2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dospievajúcich</w:t>
      </w:r>
      <w:r w:rsidR="009F44B2"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>.</w:t>
      </w:r>
    </w:p>
    <w:p w14:paraId="4AFCFC01" w14:textId="77777777" w:rsidR="009F44B2" w:rsidRPr="008930FF" w:rsidRDefault="009F44B2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665C8A2D" w14:textId="77777777" w:rsidR="00F360C7" w:rsidRPr="008930FF" w:rsidRDefault="00482B5D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Spôsob </w:t>
      </w:r>
      <w:r w:rsidR="009E6E4A" w:rsidRPr="008930FF">
        <w:rPr>
          <w:rFonts w:ascii="Times New Roman" w:hAnsi="Times New Roman" w:cs="Times New Roman"/>
          <w:sz w:val="22"/>
          <w:szCs w:val="22"/>
          <w:u w:val="single"/>
          <w:lang w:val="sk-SK"/>
        </w:rPr>
        <w:t>podávania</w:t>
      </w:r>
    </w:p>
    <w:p w14:paraId="055FDAA8" w14:textId="4213ECD0" w:rsidR="0043264C" w:rsidRPr="008930FF" w:rsidRDefault="00C82863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DEXKETOPROFEN ADAMED </w:t>
      </w:r>
      <w:r w:rsidR="00BC06E7" w:rsidRPr="008930FF">
        <w:rPr>
          <w:rFonts w:ascii="Times New Roman" w:hAnsi="Times New Roman" w:cs="Times New Roman"/>
          <w:sz w:val="22"/>
          <w:szCs w:val="22"/>
          <w:lang w:val="sk-SK"/>
        </w:rPr>
        <w:t>injekčný/infúzny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roztok</w:t>
      </w:r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="00482B5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sa </w:t>
      </w:r>
      <w:r w:rsidR="002E05C9" w:rsidRPr="008930FF">
        <w:rPr>
          <w:rFonts w:ascii="Times New Roman" w:hAnsi="Times New Roman" w:cs="Times New Roman"/>
          <w:sz w:val="22"/>
          <w:szCs w:val="22"/>
          <w:lang w:val="sk-SK"/>
        </w:rPr>
        <w:t>môže podávať</w:t>
      </w:r>
      <w:r w:rsidR="00482B5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buď </w:t>
      </w:r>
      <w:proofErr w:type="spellStart"/>
      <w:r w:rsidR="00482B5D" w:rsidRPr="008930FF">
        <w:rPr>
          <w:rFonts w:ascii="Times New Roman" w:hAnsi="Times New Roman" w:cs="Times New Roman"/>
          <w:sz w:val="22"/>
          <w:szCs w:val="22"/>
          <w:lang w:val="sk-SK"/>
        </w:rPr>
        <w:t>intramuskulárne</w:t>
      </w:r>
      <w:proofErr w:type="spellEnd"/>
      <w:r w:rsidR="00482B5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alebo intravenózne:</w:t>
      </w:r>
    </w:p>
    <w:p w14:paraId="49542324" w14:textId="281D75B6" w:rsidR="00482B5D" w:rsidRPr="008930FF" w:rsidRDefault="00482B5D" w:rsidP="00F360C7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Intramuskulárne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po</w:t>
      </w:r>
      <w:r w:rsidR="004A5D8A" w:rsidRPr="008930FF">
        <w:rPr>
          <w:rFonts w:ascii="Times New Roman" w:hAnsi="Times New Roman" w:cs="Times New Roman"/>
          <w:sz w:val="22"/>
          <w:szCs w:val="22"/>
          <w:lang w:val="sk-SK"/>
        </w:rPr>
        <w:t>danie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: obsah jednej ampul</w:t>
      </w:r>
      <w:r w:rsidR="00D7561C" w:rsidRPr="008930FF">
        <w:rPr>
          <w:rFonts w:ascii="Times New Roman" w:hAnsi="Times New Roman" w:cs="Times New Roman"/>
          <w:sz w:val="22"/>
          <w:szCs w:val="22"/>
          <w:lang w:val="sk-SK"/>
        </w:rPr>
        <w:t>k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y (2 ml)</w:t>
      </w:r>
      <w:r w:rsidR="00C8286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DEXKETOPROFEN</w:t>
      </w:r>
      <w:r w:rsidR="00BC06E7" w:rsidRPr="008930FF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C8286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ADAMED </w:t>
      </w:r>
      <w:r w:rsidR="00BC06E7" w:rsidRPr="008930FF">
        <w:rPr>
          <w:rFonts w:ascii="Times New Roman" w:hAnsi="Times New Roman" w:cs="Times New Roman"/>
          <w:sz w:val="22"/>
          <w:szCs w:val="22"/>
          <w:lang w:val="sk-SK"/>
        </w:rPr>
        <w:t>injekčného/infúzneho</w:t>
      </w:r>
      <w:r w:rsidR="00C8286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roztok</w:t>
      </w:r>
      <w:r w:rsidR="00BC06E7" w:rsidRPr="008930FF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C82863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="00367939" w:rsidRPr="008930FF">
        <w:rPr>
          <w:rFonts w:ascii="Times New Roman" w:hAnsi="Times New Roman" w:cs="Times New Roman"/>
          <w:sz w:val="22"/>
          <w:szCs w:val="22"/>
          <w:lang w:val="sk-SK"/>
        </w:rPr>
        <w:t>sa má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podávať</w:t>
      </w:r>
      <w:r w:rsidR="003D686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pomal</w:t>
      </w:r>
      <w:r w:rsidR="00D13741" w:rsidRPr="008930FF">
        <w:rPr>
          <w:rFonts w:ascii="Times New Roman" w:hAnsi="Times New Roman" w:cs="Times New Roman"/>
          <w:sz w:val="22"/>
          <w:szCs w:val="22"/>
          <w:lang w:val="sk-SK"/>
        </w:rPr>
        <w:t>ým</w:t>
      </w:r>
      <w:r w:rsidR="003D686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13741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podaním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injekci</w:t>
      </w:r>
      <w:r w:rsidR="00D13741" w:rsidRPr="008930FF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hlboko do svalu.</w:t>
      </w:r>
    </w:p>
    <w:p w14:paraId="3BD4FA30" w14:textId="77777777" w:rsidR="00482B5D" w:rsidRPr="008930FF" w:rsidRDefault="00482B5D" w:rsidP="00792238">
      <w:pPr>
        <w:pStyle w:val="Vchoz"/>
        <w:numPr>
          <w:ilvl w:val="0"/>
          <w:numId w:val="18"/>
        </w:numPr>
        <w:tabs>
          <w:tab w:val="left" w:pos="0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Intravenózne po</w:t>
      </w:r>
      <w:r w:rsidR="004A5D8A" w:rsidRPr="008930FF">
        <w:rPr>
          <w:rFonts w:ascii="Times New Roman" w:hAnsi="Times New Roman" w:cs="Times New Roman"/>
          <w:sz w:val="22"/>
          <w:szCs w:val="22"/>
          <w:lang w:val="sk-SK"/>
        </w:rPr>
        <w:t>danie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:</w:t>
      </w:r>
    </w:p>
    <w:p w14:paraId="748EE2AB" w14:textId="77777777" w:rsidR="00482B5D" w:rsidRPr="008930FF" w:rsidRDefault="003D686A" w:rsidP="00D1674C">
      <w:pPr>
        <w:pStyle w:val="Vchoz"/>
        <w:ind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- </w:t>
      </w:r>
      <w:r w:rsidR="00123F3A" w:rsidRPr="008930FF">
        <w:rPr>
          <w:rFonts w:ascii="Times New Roman" w:hAnsi="Times New Roman" w:cs="Times New Roman"/>
          <w:sz w:val="22"/>
          <w:szCs w:val="22"/>
          <w:lang w:val="sk-SK"/>
        </w:rPr>
        <w:tab/>
      </w:r>
      <w:r w:rsidR="00482B5D" w:rsidRPr="008930FF">
        <w:rPr>
          <w:rFonts w:ascii="Times New Roman" w:hAnsi="Times New Roman" w:cs="Times New Roman"/>
          <w:sz w:val="22"/>
          <w:szCs w:val="22"/>
          <w:lang w:val="sk-SK"/>
        </w:rPr>
        <w:t>Intravenózna infúzia: zriedený roztok, pripravený podľa popisu v </w:t>
      </w:r>
      <w:r w:rsidR="00D13741" w:rsidRPr="008930FF">
        <w:rPr>
          <w:rFonts w:ascii="Times New Roman" w:hAnsi="Times New Roman" w:cs="Times New Roman"/>
          <w:sz w:val="22"/>
          <w:szCs w:val="22"/>
          <w:lang w:val="sk-SK"/>
        </w:rPr>
        <w:t>časti</w:t>
      </w:r>
      <w:r w:rsidR="00482B5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6.6</w:t>
      </w:r>
      <w:r w:rsidR="00A71F11" w:rsidRPr="008930FF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482B5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367939" w:rsidRPr="008930FF">
        <w:rPr>
          <w:rFonts w:ascii="Times New Roman" w:hAnsi="Times New Roman" w:cs="Times New Roman"/>
          <w:sz w:val="22"/>
          <w:szCs w:val="22"/>
          <w:lang w:val="sk-SK"/>
        </w:rPr>
        <w:t>sa má</w:t>
      </w:r>
      <w:r w:rsidR="00482B5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podávať ako pomalá intravenózna infúzia s trvaním 10</w:t>
      </w:r>
      <w:r w:rsidR="009A1440" w:rsidRPr="008930FF">
        <w:rPr>
          <w:rFonts w:ascii="Times New Roman" w:hAnsi="Times New Roman" w:cs="Times New Roman"/>
          <w:sz w:val="22"/>
          <w:szCs w:val="22"/>
          <w:lang w:val="sk-SK"/>
        </w:rPr>
        <w:t>-</w:t>
      </w:r>
      <w:r w:rsidR="00482B5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30 minút. Roztok </w:t>
      </w:r>
      <w:r w:rsidR="00367939" w:rsidRPr="008930FF">
        <w:rPr>
          <w:rFonts w:ascii="Times New Roman" w:hAnsi="Times New Roman" w:cs="Times New Roman"/>
          <w:sz w:val="22"/>
          <w:szCs w:val="22"/>
          <w:lang w:val="sk-SK"/>
        </w:rPr>
        <w:t>sa musí</w:t>
      </w:r>
      <w:r w:rsidR="00482B5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vždy chrániť pred denným svetlom.</w:t>
      </w:r>
    </w:p>
    <w:p w14:paraId="289AB528" w14:textId="6939E3EC" w:rsidR="00482B5D" w:rsidRPr="008930FF" w:rsidRDefault="00123F3A" w:rsidP="00D1674C">
      <w:pPr>
        <w:pStyle w:val="Vchoz"/>
        <w:ind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-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ab/>
      </w:r>
      <w:r w:rsidR="00482B5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Intravenózny bolus: </w:t>
      </w:r>
      <w:r w:rsidR="00AE7B2D" w:rsidRPr="008930FF">
        <w:rPr>
          <w:rFonts w:ascii="Times New Roman" w:hAnsi="Times New Roman" w:cs="Times New Roman"/>
          <w:sz w:val="22"/>
          <w:szCs w:val="22"/>
          <w:lang w:val="sk-SK"/>
        </w:rPr>
        <w:t>ak je to potrebné,</w:t>
      </w:r>
      <w:r w:rsidR="00BF3F2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E7B2D" w:rsidRPr="008930FF">
        <w:rPr>
          <w:rFonts w:ascii="Times New Roman" w:hAnsi="Times New Roman" w:cs="Times New Roman"/>
          <w:sz w:val="22"/>
          <w:szCs w:val="22"/>
          <w:lang w:val="sk-SK"/>
        </w:rPr>
        <w:t>obsah jednej ampul</w:t>
      </w:r>
      <w:r w:rsidR="00D7561C" w:rsidRPr="008930FF">
        <w:rPr>
          <w:rFonts w:ascii="Times New Roman" w:hAnsi="Times New Roman" w:cs="Times New Roman"/>
          <w:sz w:val="22"/>
          <w:szCs w:val="22"/>
          <w:lang w:val="sk-SK"/>
        </w:rPr>
        <w:t>k</w:t>
      </w:r>
      <w:r w:rsidR="00AE7B2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y </w:t>
      </w:r>
      <w:r w:rsidR="00D105B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(2 ml) </w:t>
      </w:r>
      <w:r w:rsidR="00C82863" w:rsidRPr="008930FF">
        <w:rPr>
          <w:rFonts w:ascii="Times New Roman" w:hAnsi="Times New Roman" w:cs="Times New Roman"/>
          <w:sz w:val="22"/>
          <w:szCs w:val="22"/>
          <w:lang w:val="sk-SK"/>
        </w:rPr>
        <w:t>DEXKETOPROFEN</w:t>
      </w:r>
      <w:r w:rsidR="00BC06E7" w:rsidRPr="008930FF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C8286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ADAMED </w:t>
      </w:r>
      <w:r w:rsidR="00BC06E7" w:rsidRPr="008930FF">
        <w:rPr>
          <w:rFonts w:ascii="Times New Roman" w:hAnsi="Times New Roman" w:cs="Times New Roman"/>
          <w:sz w:val="22"/>
          <w:szCs w:val="22"/>
          <w:lang w:val="sk-SK"/>
        </w:rPr>
        <w:t>injekčného/infúzneho</w:t>
      </w:r>
      <w:r w:rsidR="00C8286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roztok</w:t>
      </w:r>
      <w:r w:rsidR="00BC06E7" w:rsidRPr="008930FF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C82863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="004E07F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sa môže podať </w:t>
      </w:r>
      <w:r w:rsidR="00BF3F2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pomalým intravenóznym bolusom </w:t>
      </w:r>
      <w:r w:rsidR="0036426A" w:rsidRPr="008930FF">
        <w:rPr>
          <w:rFonts w:ascii="Times New Roman" w:hAnsi="Times New Roman" w:cs="Times New Roman"/>
          <w:sz w:val="22"/>
          <w:szCs w:val="22"/>
          <w:lang w:val="sk-SK"/>
        </w:rPr>
        <w:t>počas</w:t>
      </w:r>
      <w:r w:rsidR="00BF3F2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</w:t>
      </w:r>
      <w:r w:rsidR="00F24D53" w:rsidRPr="008930FF">
        <w:rPr>
          <w:rFonts w:ascii="Times New Roman" w:hAnsi="Times New Roman" w:cs="Times New Roman"/>
          <w:sz w:val="22"/>
          <w:szCs w:val="22"/>
          <w:lang w:val="sk-SK"/>
        </w:rPr>
        <w:t>i</w:t>
      </w:r>
      <w:r w:rsidR="00BF3F2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e menej </w:t>
      </w:r>
      <w:r w:rsidR="004E07FA" w:rsidRPr="008930FF">
        <w:rPr>
          <w:rFonts w:ascii="Times New Roman" w:hAnsi="Times New Roman" w:cs="Times New Roman"/>
          <w:sz w:val="22"/>
          <w:szCs w:val="22"/>
          <w:lang w:val="sk-SK"/>
        </w:rPr>
        <w:t>ako</w:t>
      </w:r>
      <w:r w:rsidR="00BF3F2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15 sekúnd.</w:t>
      </w:r>
    </w:p>
    <w:p w14:paraId="52247CE6" w14:textId="77777777" w:rsidR="004A7106" w:rsidRPr="008930FF" w:rsidRDefault="004A7106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14:paraId="5CD85453" w14:textId="60B1F755" w:rsidR="00482B5D" w:rsidRPr="008930FF" w:rsidRDefault="00D23B91" w:rsidP="00792238">
      <w:pPr>
        <w:pStyle w:val="Vchoz"/>
        <w:ind w:left="0" w:firstLine="0"/>
        <w:jc w:val="left"/>
        <w:outlineLvl w:val="0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i/>
          <w:sz w:val="22"/>
          <w:szCs w:val="22"/>
          <w:lang w:val="sk-SK"/>
        </w:rPr>
        <w:t>Pokyny na zaobchádzanie</w:t>
      </w:r>
      <w:r w:rsidR="00F24D53" w:rsidRPr="008930FF">
        <w:rPr>
          <w:rFonts w:ascii="Times New Roman" w:hAnsi="Times New Roman" w:cs="Times New Roman"/>
          <w:i/>
          <w:sz w:val="22"/>
          <w:szCs w:val="22"/>
          <w:lang w:val="sk-SK"/>
        </w:rPr>
        <w:t xml:space="preserve"> s</w:t>
      </w:r>
      <w:r w:rsidR="00AE7B2D" w:rsidRPr="008930FF">
        <w:rPr>
          <w:rFonts w:ascii="Times New Roman" w:hAnsi="Times New Roman" w:cs="Times New Roman"/>
          <w:i/>
          <w:sz w:val="22"/>
          <w:szCs w:val="22"/>
          <w:lang w:val="sk-SK"/>
        </w:rPr>
        <w:t> </w:t>
      </w:r>
      <w:r w:rsidR="00F24D53" w:rsidRPr="008930FF">
        <w:rPr>
          <w:rFonts w:ascii="Times New Roman" w:hAnsi="Times New Roman" w:cs="Times New Roman"/>
          <w:i/>
          <w:sz w:val="22"/>
          <w:szCs w:val="22"/>
          <w:lang w:val="sk-SK"/>
        </w:rPr>
        <w:t>lieko</w:t>
      </w:r>
      <w:r w:rsidR="00BF3F25" w:rsidRPr="008930FF">
        <w:rPr>
          <w:rFonts w:ascii="Times New Roman" w:hAnsi="Times New Roman" w:cs="Times New Roman"/>
          <w:i/>
          <w:sz w:val="22"/>
          <w:szCs w:val="22"/>
          <w:lang w:val="sk-SK"/>
        </w:rPr>
        <w:t>m</w:t>
      </w:r>
      <w:r w:rsidR="00AE7B2D" w:rsidRPr="008930FF">
        <w:rPr>
          <w:rFonts w:ascii="Times New Roman" w:hAnsi="Times New Roman" w:cs="Times New Roman"/>
          <w:i/>
          <w:sz w:val="22"/>
          <w:szCs w:val="22"/>
          <w:lang w:val="sk-SK"/>
        </w:rPr>
        <w:t>:</w:t>
      </w:r>
    </w:p>
    <w:p w14:paraId="7227ED02" w14:textId="1573CE91" w:rsidR="00482B5D" w:rsidRPr="008930FF" w:rsidRDefault="00013216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Ak</w:t>
      </w:r>
      <w:r w:rsidR="00BF3F2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sa</w:t>
      </w:r>
      <w:r w:rsidR="00BC06E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DEXKETOPROF</w:t>
      </w:r>
      <w:r w:rsidR="006B20D1" w:rsidRPr="008930FF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BC06E7" w:rsidRPr="008930FF">
        <w:rPr>
          <w:rFonts w:ascii="Times New Roman" w:hAnsi="Times New Roman" w:cs="Times New Roman"/>
          <w:sz w:val="22"/>
          <w:szCs w:val="22"/>
          <w:lang w:val="sk-SK"/>
        </w:rPr>
        <w:t>N</w:t>
      </w:r>
      <w:r w:rsidR="006B20D1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ADAMED injekčný/infúzny roztok</w:t>
      </w:r>
      <w:r w:rsidR="00BC06E7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podáva </w:t>
      </w:r>
      <w:proofErr w:type="spellStart"/>
      <w:r w:rsidR="00BF3F25" w:rsidRPr="008930FF">
        <w:rPr>
          <w:rFonts w:ascii="Times New Roman" w:hAnsi="Times New Roman" w:cs="Times New Roman"/>
          <w:sz w:val="22"/>
          <w:szCs w:val="22"/>
          <w:lang w:val="sk-SK"/>
        </w:rPr>
        <w:t>intramuskulárne</w:t>
      </w:r>
      <w:proofErr w:type="spellEnd"/>
      <w:r w:rsidR="00BF3F2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alebo ako intravenózny bolus, roztok </w:t>
      </w:r>
      <w:r w:rsidR="00F943AF" w:rsidRPr="008930FF">
        <w:rPr>
          <w:rFonts w:ascii="Times New Roman" w:hAnsi="Times New Roman" w:cs="Times New Roman"/>
          <w:sz w:val="22"/>
          <w:szCs w:val="22"/>
          <w:lang w:val="sk-SK"/>
        </w:rPr>
        <w:t>sa má</w:t>
      </w:r>
      <w:r w:rsidR="00BF3F2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EC3FE3" w:rsidRPr="008930FF">
        <w:rPr>
          <w:rFonts w:ascii="Times New Roman" w:hAnsi="Times New Roman" w:cs="Times New Roman"/>
          <w:sz w:val="22"/>
          <w:szCs w:val="22"/>
          <w:lang w:val="sk-SK"/>
        </w:rPr>
        <w:t>podať</w:t>
      </w:r>
      <w:r w:rsidR="00BF3F2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okamžite po </w:t>
      </w:r>
      <w:r w:rsidR="001D60A4" w:rsidRPr="008930FF">
        <w:rPr>
          <w:rFonts w:ascii="Times New Roman" w:hAnsi="Times New Roman" w:cs="Times New Roman"/>
          <w:sz w:val="22"/>
          <w:szCs w:val="22"/>
          <w:lang w:val="sk-SK"/>
        </w:rPr>
        <w:t>odbere z ampulky</w:t>
      </w:r>
      <w:r w:rsidR="00F24D5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EC3FE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do injekčnej striekačky </w:t>
      </w:r>
      <w:r w:rsidR="00BF3F25" w:rsidRPr="008930FF">
        <w:rPr>
          <w:rFonts w:ascii="Times New Roman" w:hAnsi="Times New Roman" w:cs="Times New Roman"/>
          <w:sz w:val="22"/>
          <w:szCs w:val="22"/>
          <w:lang w:val="sk-SK"/>
        </w:rPr>
        <w:t>(</w:t>
      </w:r>
      <w:r w:rsidR="00F943A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pozri </w:t>
      </w:r>
      <w:r w:rsidR="00EC3FE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tiež </w:t>
      </w:r>
      <w:r w:rsidR="00F24D5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časti </w:t>
      </w:r>
      <w:r w:rsidR="00BF3F25" w:rsidRPr="008930FF">
        <w:rPr>
          <w:rFonts w:ascii="Times New Roman" w:hAnsi="Times New Roman" w:cs="Times New Roman"/>
          <w:sz w:val="22"/>
          <w:szCs w:val="22"/>
          <w:lang w:val="sk-SK"/>
        </w:rPr>
        <w:t>6.2</w:t>
      </w:r>
      <w:r w:rsidR="00F360C7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BF3F25" w:rsidRPr="008930FF">
        <w:rPr>
          <w:rFonts w:ascii="Times New Roman" w:hAnsi="Times New Roman" w:cs="Times New Roman"/>
          <w:sz w:val="22"/>
          <w:szCs w:val="22"/>
          <w:lang w:val="sk-SK"/>
        </w:rPr>
        <w:t>a 6.6).</w:t>
      </w:r>
    </w:p>
    <w:p w14:paraId="539A166B" w14:textId="77777777" w:rsidR="00013216" w:rsidRPr="008930FF" w:rsidRDefault="00013216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00BC6569" w14:textId="6EC05B32" w:rsidR="00BF3F25" w:rsidRPr="008930FF" w:rsidRDefault="00BF3F25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Pri </w:t>
      </w:r>
      <w:r w:rsidR="00013216" w:rsidRPr="008930FF">
        <w:rPr>
          <w:rFonts w:ascii="Times New Roman" w:hAnsi="Times New Roman" w:cs="Times New Roman"/>
          <w:sz w:val="22"/>
          <w:szCs w:val="22"/>
          <w:lang w:val="sk-SK"/>
        </w:rPr>
        <w:t>podaní vo forme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intravenózn</w:t>
      </w:r>
      <w:r w:rsidR="00013216" w:rsidRPr="008930FF">
        <w:rPr>
          <w:rFonts w:ascii="Times New Roman" w:hAnsi="Times New Roman" w:cs="Times New Roman"/>
          <w:sz w:val="22"/>
          <w:szCs w:val="22"/>
          <w:lang w:val="sk-SK"/>
        </w:rPr>
        <w:t>ej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infúzi</w:t>
      </w:r>
      <w:r w:rsidR="00013216" w:rsidRPr="008930FF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F943AF" w:rsidRPr="008930FF">
        <w:rPr>
          <w:rFonts w:ascii="Times New Roman" w:hAnsi="Times New Roman" w:cs="Times New Roman"/>
          <w:sz w:val="22"/>
          <w:szCs w:val="22"/>
          <w:lang w:val="sk-SK"/>
        </w:rPr>
        <w:t>sa má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roztok asepticky zriediť a chrániť pred denným svetlom (</w:t>
      </w:r>
      <w:r w:rsidR="00547EE5" w:rsidRPr="008930FF">
        <w:rPr>
          <w:rFonts w:ascii="Times New Roman" w:hAnsi="Times New Roman" w:cs="Times New Roman"/>
          <w:sz w:val="22"/>
          <w:szCs w:val="22"/>
          <w:lang w:val="sk-SK"/>
        </w:rPr>
        <w:t>pozri tiež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F24D5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časti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6.3 a 6.6).</w:t>
      </w:r>
      <w:r w:rsidR="002765B4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013216" w:rsidRPr="008930FF"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2765B4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okyny na </w:t>
      </w:r>
      <w:r w:rsidR="00013216" w:rsidRPr="008930FF">
        <w:rPr>
          <w:rFonts w:ascii="Times New Roman" w:hAnsi="Times New Roman" w:cs="Times New Roman"/>
          <w:sz w:val="22"/>
          <w:szCs w:val="22"/>
          <w:lang w:val="sk-SK"/>
        </w:rPr>
        <w:t>z</w:t>
      </w:r>
      <w:r w:rsidR="002765B4" w:rsidRPr="008930FF">
        <w:rPr>
          <w:rFonts w:ascii="Times New Roman" w:hAnsi="Times New Roman" w:cs="Times New Roman"/>
          <w:sz w:val="22"/>
          <w:szCs w:val="22"/>
          <w:lang w:val="sk-SK"/>
        </w:rPr>
        <w:t>riedenie lieku pred podaním, pozri</w:t>
      </w:r>
      <w:r w:rsidR="00013216" w:rsidRPr="008930FF">
        <w:rPr>
          <w:rFonts w:ascii="Times New Roman" w:hAnsi="Times New Roman" w:cs="Times New Roman"/>
          <w:sz w:val="22"/>
          <w:szCs w:val="22"/>
          <w:lang w:val="sk-SK"/>
        </w:rPr>
        <w:t>te</w:t>
      </w:r>
      <w:r w:rsidR="002765B4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01321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v </w:t>
      </w:r>
      <w:r w:rsidR="002765B4" w:rsidRPr="008930FF">
        <w:rPr>
          <w:rFonts w:ascii="Times New Roman" w:hAnsi="Times New Roman" w:cs="Times New Roman"/>
          <w:sz w:val="22"/>
          <w:szCs w:val="22"/>
          <w:lang w:val="sk-SK"/>
        </w:rPr>
        <w:t>čas</w:t>
      </w:r>
      <w:r w:rsidR="00013216" w:rsidRPr="008930FF">
        <w:rPr>
          <w:rFonts w:ascii="Times New Roman" w:hAnsi="Times New Roman" w:cs="Times New Roman"/>
          <w:sz w:val="22"/>
          <w:szCs w:val="22"/>
          <w:lang w:val="sk-SK"/>
        </w:rPr>
        <w:t>ti</w:t>
      </w:r>
      <w:r w:rsidR="002765B4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6.</w:t>
      </w:r>
      <w:r w:rsidR="00177959" w:rsidRPr="008930FF">
        <w:rPr>
          <w:rFonts w:ascii="Times New Roman" w:hAnsi="Times New Roman" w:cs="Times New Roman"/>
          <w:sz w:val="22"/>
          <w:szCs w:val="22"/>
          <w:lang w:val="sk-SK"/>
        </w:rPr>
        <w:t>6.</w:t>
      </w:r>
    </w:p>
    <w:p w14:paraId="568B0E09" w14:textId="77777777" w:rsidR="00BF3F25" w:rsidRPr="008930FF" w:rsidRDefault="00BF3F25" w:rsidP="00792238">
      <w:pPr>
        <w:pStyle w:val="Vchoz"/>
        <w:ind w:left="0" w:firstLine="0"/>
        <w:jc w:val="lef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2FA66582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4.3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Kontraindikácie</w:t>
      </w:r>
    </w:p>
    <w:p w14:paraId="1D91034C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5F3830A2" w14:textId="6BDE56F0" w:rsidR="0043264C" w:rsidRPr="008930FF" w:rsidRDefault="00C82863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DEXKETOPROFEN ADAMED </w:t>
      </w:r>
      <w:r w:rsidR="00BC06E7" w:rsidRPr="008930FF">
        <w:rPr>
          <w:rFonts w:ascii="Times New Roman" w:hAnsi="Times New Roman" w:cs="Times New Roman"/>
          <w:sz w:val="22"/>
          <w:szCs w:val="22"/>
          <w:lang w:val="sk-SK"/>
        </w:rPr>
        <w:t>injekčný/infúzny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roztok</w:t>
      </w:r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="00F24D5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sa </w:t>
      </w:r>
      <w:r w:rsidR="00BF3F25" w:rsidRPr="008930FF">
        <w:rPr>
          <w:rFonts w:ascii="Times New Roman" w:hAnsi="Times New Roman" w:cs="Times New Roman"/>
          <w:sz w:val="22"/>
          <w:szCs w:val="22"/>
          <w:lang w:val="sk-SK"/>
        </w:rPr>
        <w:t>nesmie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podávať v </w:t>
      </w:r>
      <w:r w:rsidR="009A1440" w:rsidRPr="008930FF">
        <w:rPr>
          <w:rFonts w:ascii="Times New Roman" w:hAnsi="Times New Roman" w:cs="Times New Roman"/>
          <w:sz w:val="22"/>
          <w:szCs w:val="22"/>
          <w:lang w:val="sk-SK"/>
        </w:rPr>
        <w:t>nasled</w:t>
      </w:r>
      <w:r w:rsidR="00696F73" w:rsidRPr="008930FF">
        <w:rPr>
          <w:rFonts w:ascii="Times New Roman" w:hAnsi="Times New Roman" w:cs="Times New Roman"/>
          <w:sz w:val="22"/>
          <w:szCs w:val="22"/>
          <w:lang w:val="sk-SK"/>
        </w:rPr>
        <w:t>ujúcich</w:t>
      </w:r>
      <w:r w:rsidR="009A1440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prípadoch:</w:t>
      </w:r>
    </w:p>
    <w:p w14:paraId="09AE8F45" w14:textId="3FD8E382" w:rsidR="0043264C" w:rsidRPr="008930FF" w:rsidRDefault="0043264C" w:rsidP="00801E2D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pacientom s</w:t>
      </w:r>
      <w:r w:rsidR="00042574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precitlivenosťou na </w:t>
      </w:r>
      <w:proofErr w:type="spellStart"/>
      <w:r w:rsidR="00C738B8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proofErr w:type="spellEnd"/>
      <w:r w:rsidR="00AC5CD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D76577" w:rsidRPr="008930FF">
        <w:rPr>
          <w:rFonts w:ascii="Times New Roman" w:hAnsi="Times New Roman" w:cs="Times New Roman"/>
          <w:sz w:val="22"/>
          <w:szCs w:val="22"/>
          <w:lang w:val="sk-SK"/>
        </w:rPr>
        <w:t>na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A5D8A" w:rsidRPr="008930FF">
        <w:rPr>
          <w:rFonts w:ascii="Times New Roman" w:hAnsi="Times New Roman" w:cs="Times New Roman"/>
          <w:sz w:val="22"/>
          <w:szCs w:val="22"/>
          <w:lang w:val="sk-SK"/>
        </w:rPr>
        <w:t>iné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NSAID alebo na</w:t>
      </w:r>
      <w:r w:rsidR="00D7657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ktorúkoľvek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E63B9" w:rsidRPr="008930FF">
        <w:rPr>
          <w:rFonts w:ascii="Times New Roman" w:hAnsi="Times New Roman" w:cs="Times New Roman"/>
          <w:sz w:val="22"/>
          <w:szCs w:val="22"/>
          <w:lang w:val="sk-SK"/>
        </w:rPr>
        <w:t>z pomocných látok</w:t>
      </w:r>
      <w:r w:rsidR="003D686A" w:rsidRPr="008930FF">
        <w:rPr>
          <w:rFonts w:ascii="Times New Roman" w:hAnsi="Times New Roman" w:cs="Times New Roman"/>
          <w:sz w:val="22"/>
          <w:szCs w:val="22"/>
          <w:lang w:val="sk-SK"/>
        </w:rPr>
        <w:t> uvedených v časti 6.1.</w:t>
      </w:r>
    </w:p>
    <w:p w14:paraId="08BB0A6F" w14:textId="77777777" w:rsidR="008D46D4" w:rsidRPr="008930FF" w:rsidRDefault="0043264C" w:rsidP="00801E2D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pacientom, u ktorých liečivá s podobným účinkom (</w:t>
      </w:r>
      <w:r w:rsidR="008A2988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napr. </w:t>
      </w:r>
      <w:r w:rsidR="00E0383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kyselina </w:t>
      </w:r>
      <w:proofErr w:type="spellStart"/>
      <w:r w:rsidR="00E0383F" w:rsidRPr="008930FF">
        <w:rPr>
          <w:rFonts w:ascii="Times New Roman" w:hAnsi="Times New Roman" w:cs="Times New Roman"/>
          <w:sz w:val="22"/>
          <w:szCs w:val="22"/>
          <w:lang w:val="sk-SK"/>
        </w:rPr>
        <w:t>acetylsalicylová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 iné NSAID) vyvolali</w:t>
      </w:r>
      <w:r w:rsidR="0019417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záchvaty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astmy, bronchospazmus, akútnu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rinitídu</w:t>
      </w:r>
      <w:proofErr w:type="spellEnd"/>
      <w:r w:rsidR="0019417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alebo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spôsobili nos</w:t>
      </w:r>
      <w:r w:rsidR="00903D84" w:rsidRPr="008930FF">
        <w:rPr>
          <w:rFonts w:ascii="Times New Roman" w:hAnsi="Times New Roman" w:cs="Times New Roman"/>
          <w:sz w:val="22"/>
          <w:szCs w:val="22"/>
          <w:lang w:val="sk-SK"/>
        </w:rPr>
        <w:t>ové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polypy,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urtikáriu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angioneurotický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edém,</w:t>
      </w:r>
    </w:p>
    <w:p w14:paraId="0A8BF8ED" w14:textId="7E9CD188" w:rsidR="008D46D4" w:rsidRPr="008930FF" w:rsidRDefault="008D46D4" w:rsidP="00801E2D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známe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fotoalergické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fototoxické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reakcie počas liečby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ketoprof</w:t>
      </w:r>
      <w:r w:rsidR="00B0404E" w:rsidRPr="008930FF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nom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fibrátmi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36D96335" w14:textId="611F5068" w:rsidR="006114B9" w:rsidRPr="008930FF" w:rsidRDefault="008D46D4" w:rsidP="00801E2D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pacientom s gastrointestinálnym krvácaním alebo perforáciou v anamnéze v súvislosti s predchádzajúcou </w:t>
      </w:r>
      <w:r w:rsidR="00424DE7" w:rsidRPr="008930FF">
        <w:rPr>
          <w:rFonts w:ascii="Times New Roman" w:hAnsi="Times New Roman" w:cs="Times New Roman"/>
          <w:sz w:val="22"/>
          <w:szCs w:val="22"/>
          <w:lang w:val="sk-SK"/>
        </w:rPr>
        <w:t>liečbou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NSAID,</w:t>
      </w:r>
      <w:r w:rsidR="006114B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4CBFAA31" w14:textId="77777777" w:rsidR="009411D5" w:rsidRPr="008930FF" w:rsidRDefault="0043264C" w:rsidP="00801E2D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pacientom s aktívnym </w:t>
      </w:r>
      <w:proofErr w:type="spellStart"/>
      <w:r w:rsidR="008E7378" w:rsidRPr="008930FF">
        <w:rPr>
          <w:rFonts w:ascii="Times New Roman" w:hAnsi="Times New Roman" w:cs="Times New Roman"/>
          <w:sz w:val="22"/>
          <w:szCs w:val="22"/>
          <w:lang w:val="sk-SK"/>
        </w:rPr>
        <w:t>peptickým</w:t>
      </w:r>
      <w:proofErr w:type="spellEnd"/>
      <w:r w:rsidR="009A1440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vredom</w:t>
      </w:r>
      <w:r w:rsidR="008E7378" w:rsidRPr="008930FF">
        <w:rPr>
          <w:rFonts w:ascii="Times New Roman" w:hAnsi="Times New Roman" w:cs="Times New Roman"/>
          <w:sz w:val="22"/>
          <w:szCs w:val="22"/>
          <w:lang w:val="sk-SK"/>
        </w:rPr>
        <w:t>/</w:t>
      </w:r>
      <w:proofErr w:type="spellStart"/>
      <w:r w:rsidR="008D46D4" w:rsidRPr="008930FF">
        <w:rPr>
          <w:rFonts w:ascii="Times New Roman" w:hAnsi="Times New Roman" w:cs="Times New Roman"/>
          <w:sz w:val="22"/>
          <w:szCs w:val="22"/>
          <w:lang w:val="sk-SK"/>
        </w:rPr>
        <w:t>gastrointestinálnym</w:t>
      </w:r>
      <w:proofErr w:type="spellEnd"/>
      <w:r w:rsidR="008D46D4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krvácaním </w:t>
      </w:r>
      <w:r w:rsidR="00AC5CD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alebo </w:t>
      </w:r>
      <w:r w:rsidR="009411D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akýmkoľvek </w:t>
      </w:r>
      <w:proofErr w:type="spellStart"/>
      <w:r w:rsidR="009411D5" w:rsidRPr="008930FF">
        <w:rPr>
          <w:rFonts w:ascii="Times New Roman" w:hAnsi="Times New Roman" w:cs="Times New Roman"/>
          <w:sz w:val="22"/>
          <w:szCs w:val="22"/>
          <w:lang w:val="sk-SK"/>
        </w:rPr>
        <w:t>gastrointestinálnym</w:t>
      </w:r>
      <w:proofErr w:type="spellEnd"/>
      <w:r w:rsidR="009411D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krvácaním, </w:t>
      </w:r>
      <w:proofErr w:type="spellStart"/>
      <w:r w:rsidR="009411D5" w:rsidRPr="008930FF">
        <w:rPr>
          <w:rFonts w:ascii="Times New Roman" w:hAnsi="Times New Roman" w:cs="Times New Roman"/>
          <w:sz w:val="22"/>
          <w:szCs w:val="22"/>
          <w:lang w:val="sk-SK"/>
        </w:rPr>
        <w:t>ulceráciou</w:t>
      </w:r>
      <w:proofErr w:type="spellEnd"/>
      <w:r w:rsidR="008E7378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alebo</w:t>
      </w:r>
      <w:r w:rsidR="009411D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perforáciou v anamnéze,</w:t>
      </w:r>
    </w:p>
    <w:p w14:paraId="6FF0EDA5" w14:textId="77777777" w:rsidR="00D81DEA" w:rsidRPr="008930FF" w:rsidRDefault="009411D5" w:rsidP="00801E2D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pacientom</w:t>
      </w:r>
      <w:r w:rsidR="008E7378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9822B3" w:rsidRPr="008930FF">
        <w:rPr>
          <w:rFonts w:ascii="Times New Roman" w:hAnsi="Times New Roman" w:cs="Times New Roman"/>
          <w:sz w:val="22"/>
          <w:szCs w:val="22"/>
          <w:lang w:val="sk-SK"/>
        </w:rPr>
        <w:t>s</w:t>
      </w:r>
      <w:r w:rsidR="00AC5CDC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8E7378" w:rsidRPr="008930FF">
        <w:rPr>
          <w:rFonts w:ascii="Times New Roman" w:hAnsi="Times New Roman" w:cs="Times New Roman"/>
          <w:sz w:val="22"/>
          <w:szCs w:val="22"/>
          <w:lang w:val="sk-SK"/>
        </w:rPr>
        <w:t>chronick</w:t>
      </w:r>
      <w:r w:rsidR="009822B3" w:rsidRPr="008930FF">
        <w:rPr>
          <w:rFonts w:ascii="Times New Roman" w:hAnsi="Times New Roman" w:cs="Times New Roman"/>
          <w:sz w:val="22"/>
          <w:szCs w:val="22"/>
          <w:lang w:val="sk-SK"/>
        </w:rPr>
        <w:t>ou</w:t>
      </w:r>
      <w:r w:rsidR="00AC5CD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8E7378" w:rsidRPr="008930FF">
        <w:rPr>
          <w:rFonts w:ascii="Times New Roman" w:hAnsi="Times New Roman" w:cs="Times New Roman"/>
          <w:sz w:val="22"/>
          <w:szCs w:val="22"/>
          <w:lang w:val="sk-SK"/>
        </w:rPr>
        <w:t>dyspepsi</w:t>
      </w:r>
      <w:r w:rsidR="009822B3" w:rsidRPr="008930FF">
        <w:rPr>
          <w:rFonts w:ascii="Times New Roman" w:hAnsi="Times New Roman" w:cs="Times New Roman"/>
          <w:sz w:val="22"/>
          <w:szCs w:val="22"/>
          <w:lang w:val="sk-SK"/>
        </w:rPr>
        <w:t>ou</w:t>
      </w:r>
      <w:proofErr w:type="spellEnd"/>
      <w:r w:rsidR="001B22DB" w:rsidRPr="008930FF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08D9B69A" w14:textId="77777777" w:rsidR="0043264C" w:rsidRPr="008930FF" w:rsidRDefault="0043264C" w:rsidP="00801E2D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lastRenderedPageBreak/>
        <w:t>pacientom s iným aktívnym krvácaním</w:t>
      </w:r>
      <w:r w:rsidR="008E7378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alebo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poruch</w:t>
      </w:r>
      <w:r w:rsidR="008E7378" w:rsidRPr="008930FF">
        <w:rPr>
          <w:rFonts w:ascii="Times New Roman" w:hAnsi="Times New Roman" w:cs="Times New Roman"/>
          <w:sz w:val="22"/>
          <w:szCs w:val="22"/>
          <w:lang w:val="sk-SK"/>
        </w:rPr>
        <w:t>ou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zrážavosti krvi,</w:t>
      </w:r>
    </w:p>
    <w:p w14:paraId="233ED58A" w14:textId="095C8552" w:rsidR="0043264C" w:rsidRPr="008930FF" w:rsidRDefault="0043264C" w:rsidP="00801E2D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pacientom s 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Crohnovou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chorobou</w:t>
      </w:r>
      <w:r w:rsidR="008E7378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alebo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ulcer</w:t>
      </w:r>
      <w:r w:rsidR="00424DE7" w:rsidRPr="008930FF">
        <w:rPr>
          <w:rFonts w:ascii="Times New Roman" w:hAnsi="Times New Roman" w:cs="Times New Roman"/>
          <w:sz w:val="22"/>
          <w:szCs w:val="22"/>
          <w:lang w:val="sk-SK"/>
        </w:rPr>
        <w:t>óznou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kolitídou,</w:t>
      </w:r>
    </w:p>
    <w:p w14:paraId="3C92CD53" w14:textId="77777777" w:rsidR="0043264C" w:rsidRPr="008930FF" w:rsidRDefault="0043264C" w:rsidP="00801E2D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pacientom </w:t>
      </w:r>
      <w:r w:rsidR="00616B61" w:rsidRPr="008930FF">
        <w:rPr>
          <w:rFonts w:ascii="Times New Roman" w:hAnsi="Times New Roman" w:cs="Times New Roman"/>
          <w:sz w:val="22"/>
          <w:szCs w:val="22"/>
          <w:lang w:val="sk-SK"/>
        </w:rPr>
        <w:t>so závažným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zlyh</w:t>
      </w:r>
      <w:r w:rsidR="007E15A8" w:rsidRPr="008930FF">
        <w:rPr>
          <w:rFonts w:ascii="Times New Roman" w:hAnsi="Times New Roman" w:cs="Times New Roman"/>
          <w:sz w:val="22"/>
          <w:szCs w:val="22"/>
          <w:lang w:val="sk-SK"/>
        </w:rPr>
        <w:t>ávaním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srdca,</w:t>
      </w:r>
    </w:p>
    <w:p w14:paraId="66DBB9D9" w14:textId="77777777" w:rsidR="004A7106" w:rsidRPr="008930FF" w:rsidRDefault="0043264C" w:rsidP="00801E2D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pacientom so stredn</w:t>
      </w:r>
      <w:r w:rsidR="008E7378" w:rsidRPr="008930FF">
        <w:rPr>
          <w:rFonts w:ascii="Times New Roman" w:hAnsi="Times New Roman" w:cs="Times New Roman"/>
          <w:sz w:val="22"/>
          <w:szCs w:val="22"/>
          <w:lang w:val="sk-SK"/>
        </w:rPr>
        <w:t>e záva</w:t>
      </w:r>
      <w:r w:rsidR="00EC1B1E" w:rsidRPr="008930FF">
        <w:rPr>
          <w:rFonts w:ascii="Times New Roman" w:hAnsi="Times New Roman" w:cs="Times New Roman"/>
          <w:sz w:val="22"/>
          <w:szCs w:val="22"/>
          <w:lang w:val="sk-SK"/>
        </w:rPr>
        <w:t>žnou</w:t>
      </w:r>
      <w:r w:rsidR="00E0383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02441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až </w:t>
      </w:r>
      <w:r w:rsidR="00E0383F" w:rsidRPr="008930FF">
        <w:rPr>
          <w:rFonts w:ascii="Times New Roman" w:hAnsi="Times New Roman" w:cs="Times New Roman"/>
          <w:sz w:val="22"/>
          <w:szCs w:val="22"/>
          <w:lang w:val="sk-SK"/>
        </w:rPr>
        <w:t>závažnou dysfunkciou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obličiek</w:t>
      </w:r>
      <w:r w:rsidR="004A710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(klírens kreatin</w:t>
      </w:r>
      <w:r w:rsidR="00F24D53" w:rsidRPr="008930FF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="004A7106" w:rsidRPr="008930FF">
        <w:rPr>
          <w:rFonts w:ascii="Times New Roman" w:hAnsi="Times New Roman" w:cs="Times New Roman"/>
          <w:sz w:val="22"/>
          <w:szCs w:val="22"/>
          <w:lang w:val="sk-SK"/>
        </w:rPr>
        <w:t>nu &lt;</w:t>
      </w:r>
      <w:r w:rsidR="00F360C7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9411D5" w:rsidRPr="008930FF">
        <w:rPr>
          <w:rFonts w:ascii="Times New Roman" w:hAnsi="Times New Roman" w:cs="Times New Roman"/>
          <w:sz w:val="22"/>
          <w:szCs w:val="22"/>
          <w:lang w:val="sk-SK"/>
        </w:rPr>
        <w:t>59</w:t>
      </w:r>
      <w:r w:rsidR="00F360C7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4A7106" w:rsidRPr="008930FF">
        <w:rPr>
          <w:rFonts w:ascii="Times New Roman" w:hAnsi="Times New Roman" w:cs="Times New Roman"/>
          <w:sz w:val="22"/>
          <w:szCs w:val="22"/>
          <w:lang w:val="sk-SK"/>
        </w:rPr>
        <w:t>ml/min)</w:t>
      </w:r>
      <w:r w:rsidR="00F24D53" w:rsidRPr="008930FF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4A710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1675ABBA" w14:textId="77777777" w:rsidR="0043264C" w:rsidRPr="008930FF" w:rsidRDefault="00E0383F" w:rsidP="00801E2D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pacientom so závažn</w:t>
      </w:r>
      <w:r w:rsidR="00F360C7" w:rsidRPr="008930FF">
        <w:rPr>
          <w:rFonts w:ascii="Times New Roman" w:hAnsi="Times New Roman" w:cs="Times New Roman"/>
          <w:sz w:val="22"/>
          <w:szCs w:val="22"/>
          <w:lang w:val="sk-SK"/>
        </w:rPr>
        <w:t>ou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po</w:t>
      </w:r>
      <w:r w:rsidR="00F360C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ruchou </w:t>
      </w:r>
      <w:r w:rsidR="008335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funkcie 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pečene</w:t>
      </w:r>
      <w:r w:rsidR="004A710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proofErr w:type="spellStart"/>
      <w:r w:rsidR="004A7106" w:rsidRPr="008930FF">
        <w:rPr>
          <w:rFonts w:ascii="Times New Roman" w:hAnsi="Times New Roman" w:cs="Times New Roman"/>
          <w:sz w:val="22"/>
          <w:szCs w:val="22"/>
          <w:lang w:val="sk-SK"/>
        </w:rPr>
        <w:t>Child</w:t>
      </w:r>
      <w:r w:rsidR="00D7561C" w:rsidRPr="008930FF">
        <w:rPr>
          <w:rFonts w:ascii="Times New Roman" w:hAnsi="Times New Roman" w:cs="Times New Roman"/>
          <w:sz w:val="22"/>
          <w:szCs w:val="22"/>
          <w:lang w:val="sk-SK"/>
        </w:rPr>
        <w:t>ovo</w:t>
      </w:r>
      <w:r w:rsidR="004A7106" w:rsidRPr="008930FF">
        <w:rPr>
          <w:rFonts w:ascii="Times New Roman" w:hAnsi="Times New Roman" w:cs="Times New Roman"/>
          <w:sz w:val="22"/>
          <w:szCs w:val="22"/>
          <w:lang w:val="sk-SK"/>
        </w:rPr>
        <w:t>-Pugh</w:t>
      </w:r>
      <w:r w:rsidR="00D7561C" w:rsidRPr="008930FF">
        <w:rPr>
          <w:rFonts w:ascii="Times New Roman" w:hAnsi="Times New Roman" w:cs="Times New Roman"/>
          <w:sz w:val="22"/>
          <w:szCs w:val="22"/>
          <w:lang w:val="sk-SK"/>
        </w:rPr>
        <w:t>ovo</w:t>
      </w:r>
      <w:proofErr w:type="spellEnd"/>
      <w:r w:rsidR="004A710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skóre 10-15)</w:t>
      </w:r>
      <w:r w:rsidR="00F24D53" w:rsidRPr="008930FF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3B49B5A5" w14:textId="09359368" w:rsidR="00201621" w:rsidRPr="008930FF" w:rsidRDefault="0043264C" w:rsidP="00801E2D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pacientom s 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hemoragick</w:t>
      </w:r>
      <w:r w:rsidR="00424DE7" w:rsidRPr="008930FF">
        <w:rPr>
          <w:rFonts w:ascii="Times New Roman" w:hAnsi="Times New Roman" w:cs="Times New Roman"/>
          <w:sz w:val="22"/>
          <w:szCs w:val="22"/>
          <w:lang w:val="sk-SK"/>
        </w:rPr>
        <w:t>ými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diatéz</w:t>
      </w:r>
      <w:r w:rsidR="00424DE7" w:rsidRPr="008930FF">
        <w:rPr>
          <w:rFonts w:ascii="Times New Roman" w:hAnsi="Times New Roman" w:cs="Times New Roman"/>
          <w:sz w:val="22"/>
          <w:szCs w:val="22"/>
          <w:lang w:val="sk-SK"/>
        </w:rPr>
        <w:t>ami</w:t>
      </w:r>
      <w:r w:rsidR="008E7378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="00F24D5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inými koagulačnými poruchami, </w:t>
      </w:r>
    </w:p>
    <w:p w14:paraId="15CA41D4" w14:textId="77777777" w:rsidR="009411D5" w:rsidRPr="008930FF" w:rsidRDefault="009411D5" w:rsidP="00801E2D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pacientom s ťažkou dehydratáciou (spôsobenou vracaním, hnačkou alebo nedostatočným príjmom tekutín), </w:t>
      </w:r>
    </w:p>
    <w:p w14:paraId="0B4C0F0D" w14:textId="1F51688D" w:rsidR="0043264C" w:rsidRPr="008930FF" w:rsidRDefault="0043264C" w:rsidP="00801E2D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počas </w:t>
      </w:r>
      <w:r w:rsidR="00A3580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tretieho trimestra </w:t>
      </w:r>
      <w:r w:rsidR="008E7378" w:rsidRPr="008930FF">
        <w:rPr>
          <w:rFonts w:ascii="Times New Roman" w:hAnsi="Times New Roman" w:cs="Times New Roman"/>
          <w:sz w:val="22"/>
          <w:szCs w:val="22"/>
          <w:lang w:val="sk-SK"/>
        </w:rPr>
        <w:t>gravidity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="008E7378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 počas </w:t>
      </w:r>
      <w:r w:rsidR="00424DE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dojčenia </w:t>
      </w:r>
      <w:r w:rsidR="00024417" w:rsidRPr="008930FF">
        <w:rPr>
          <w:rFonts w:ascii="Times New Roman" w:hAnsi="Times New Roman" w:cs="Times New Roman"/>
          <w:sz w:val="22"/>
          <w:szCs w:val="22"/>
          <w:lang w:val="sk-SK"/>
        </w:rPr>
        <w:t>(pozri časť 4.6)</w:t>
      </w:r>
      <w:r w:rsidR="00F24D53"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7FEA1F90" w14:textId="77777777" w:rsidR="0043264C" w:rsidRPr="008930FF" w:rsidRDefault="0043264C" w:rsidP="00792238">
      <w:pPr>
        <w:pStyle w:val="Vchoz"/>
        <w:tabs>
          <w:tab w:val="num" w:pos="426"/>
        </w:tabs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53C9E035" w14:textId="6D772BBD" w:rsidR="0043264C" w:rsidRPr="008930FF" w:rsidRDefault="00B81CC3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DEXKETOPROFEN ADAMED injekčný/infúzny roztok</w:t>
      </w:r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="004A710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je kontraindikovaný pre </w:t>
      </w:r>
      <w:proofErr w:type="spellStart"/>
      <w:r w:rsidR="004A7106" w:rsidRPr="008930FF">
        <w:rPr>
          <w:rFonts w:ascii="Times New Roman" w:hAnsi="Times New Roman" w:cs="Times New Roman"/>
          <w:sz w:val="22"/>
          <w:szCs w:val="22"/>
          <w:lang w:val="sk-SK"/>
        </w:rPr>
        <w:t>neur</w:t>
      </w:r>
      <w:r w:rsidR="00875C62" w:rsidRPr="008930FF">
        <w:rPr>
          <w:rFonts w:ascii="Times New Roman" w:hAnsi="Times New Roman" w:cs="Times New Roman"/>
          <w:sz w:val="22"/>
          <w:szCs w:val="22"/>
          <w:lang w:val="sk-SK"/>
        </w:rPr>
        <w:t>o</w:t>
      </w:r>
      <w:r w:rsidR="004A7106" w:rsidRPr="008930FF">
        <w:rPr>
          <w:rFonts w:ascii="Times New Roman" w:hAnsi="Times New Roman" w:cs="Times New Roman"/>
          <w:sz w:val="22"/>
          <w:szCs w:val="22"/>
          <w:lang w:val="sk-SK"/>
        </w:rPr>
        <w:t>axiáln</w:t>
      </w:r>
      <w:r w:rsidR="009D305A" w:rsidRPr="008930FF">
        <w:rPr>
          <w:rFonts w:ascii="Times New Roman" w:hAnsi="Times New Roman" w:cs="Times New Roman"/>
          <w:sz w:val="22"/>
          <w:szCs w:val="22"/>
          <w:lang w:val="sk-SK"/>
        </w:rPr>
        <w:t>e</w:t>
      </w:r>
      <w:proofErr w:type="spellEnd"/>
      <w:r w:rsidR="004A710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proofErr w:type="spellStart"/>
      <w:r w:rsidR="004A7106" w:rsidRPr="008930FF">
        <w:rPr>
          <w:rFonts w:ascii="Times New Roman" w:hAnsi="Times New Roman" w:cs="Times New Roman"/>
          <w:sz w:val="22"/>
          <w:szCs w:val="22"/>
          <w:lang w:val="sk-SK"/>
        </w:rPr>
        <w:t>intratekáln</w:t>
      </w:r>
      <w:r w:rsidR="009D305A" w:rsidRPr="008930FF">
        <w:rPr>
          <w:rFonts w:ascii="Times New Roman" w:hAnsi="Times New Roman" w:cs="Times New Roman"/>
          <w:sz w:val="22"/>
          <w:szCs w:val="22"/>
          <w:lang w:val="sk-SK"/>
        </w:rPr>
        <w:t>e</w:t>
      </w:r>
      <w:proofErr w:type="spellEnd"/>
      <w:r w:rsidR="004A710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proofErr w:type="spellStart"/>
      <w:r w:rsidR="004A7106" w:rsidRPr="008930FF">
        <w:rPr>
          <w:rFonts w:ascii="Times New Roman" w:hAnsi="Times New Roman" w:cs="Times New Roman"/>
          <w:sz w:val="22"/>
          <w:szCs w:val="22"/>
          <w:lang w:val="sk-SK"/>
        </w:rPr>
        <w:t>epiduráln</w:t>
      </w:r>
      <w:r w:rsidR="009D305A" w:rsidRPr="008930FF">
        <w:rPr>
          <w:rFonts w:ascii="Times New Roman" w:hAnsi="Times New Roman" w:cs="Times New Roman"/>
          <w:sz w:val="22"/>
          <w:szCs w:val="22"/>
          <w:lang w:val="sk-SK"/>
        </w:rPr>
        <w:t>e</w:t>
      </w:r>
      <w:proofErr w:type="spellEnd"/>
      <w:r w:rsidR="004A710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) </w:t>
      </w:r>
      <w:r w:rsidR="009D305A" w:rsidRPr="008930FF">
        <w:rPr>
          <w:rFonts w:ascii="Times New Roman" w:hAnsi="Times New Roman" w:cs="Times New Roman"/>
          <w:sz w:val="22"/>
          <w:szCs w:val="22"/>
          <w:lang w:val="sk-SK"/>
        </w:rPr>
        <w:t>podanie</w:t>
      </w:r>
      <w:r w:rsidR="004A710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9D305A" w:rsidRPr="008930FF">
        <w:rPr>
          <w:rFonts w:ascii="Times New Roman" w:hAnsi="Times New Roman" w:cs="Times New Roman"/>
          <w:sz w:val="22"/>
          <w:szCs w:val="22"/>
          <w:lang w:val="sk-SK"/>
        </w:rPr>
        <w:t>kvôli</w:t>
      </w:r>
      <w:r w:rsidR="004A710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obsah</w:t>
      </w:r>
      <w:r w:rsidR="009D305A" w:rsidRPr="008930FF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4A710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etanolu.</w:t>
      </w:r>
    </w:p>
    <w:p w14:paraId="02AB25B4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7AD212B3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4.4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ab/>
      </w:r>
      <w:r w:rsidR="00E0383F"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Osobitné</w:t>
      </w: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upozornenia</w:t>
      </w:r>
      <w:r w:rsidR="00C95CC3"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a</w:t>
      </w:r>
      <w:r w:rsidR="006B7F07"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 </w:t>
      </w:r>
      <w:r w:rsidR="00E0383F"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opatrenia</w:t>
      </w:r>
      <w:r w:rsidR="006B7F07"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pri použí</w:t>
      </w:r>
      <w:r w:rsidR="00E0383F"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vaní</w:t>
      </w:r>
    </w:p>
    <w:p w14:paraId="68245297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54815B79" w14:textId="77777777" w:rsidR="00816557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U pacientov, ktorí majú v anamnéze alergické ochorenia, je nutné podávať liek s opatrnosťou.</w:t>
      </w:r>
    </w:p>
    <w:p w14:paraId="019F0B06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4D76A565" w14:textId="34F04F24" w:rsidR="008E34E5" w:rsidRPr="008930FF" w:rsidRDefault="008E34E5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Je potrebné sa vyhnúť sú</w:t>
      </w:r>
      <w:r w:rsidR="00DC2B51" w:rsidRPr="008930FF">
        <w:rPr>
          <w:rFonts w:ascii="Times New Roman" w:hAnsi="Times New Roman" w:cs="Times New Roman"/>
          <w:sz w:val="22"/>
          <w:szCs w:val="22"/>
          <w:lang w:val="sk-SK"/>
        </w:rPr>
        <w:t>bež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nému pod</w:t>
      </w:r>
      <w:r w:rsidR="00CC1BB1" w:rsidRPr="008930FF">
        <w:rPr>
          <w:rFonts w:ascii="Times New Roman" w:hAnsi="Times New Roman" w:cs="Times New Roman"/>
          <w:sz w:val="22"/>
          <w:szCs w:val="22"/>
          <w:lang w:val="sk-SK"/>
        </w:rPr>
        <w:t>áv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aniu </w:t>
      </w:r>
      <w:proofErr w:type="spellStart"/>
      <w:r w:rsidR="007F3CDD" w:rsidRPr="008930FF">
        <w:rPr>
          <w:rFonts w:ascii="Times New Roman" w:hAnsi="Times New Roman" w:cs="Times New Roman"/>
          <w:sz w:val="22"/>
          <w:szCs w:val="22"/>
          <w:lang w:val="sk-SK"/>
        </w:rPr>
        <w:t>dexketoprofénu</w:t>
      </w:r>
      <w:proofErr w:type="spellEnd"/>
      <w:r w:rsidR="00A079A1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s inými NSAID, vrátane selektívnych inhibítorov cyklooxygenázy-2.</w:t>
      </w:r>
    </w:p>
    <w:p w14:paraId="5BB3E0B8" w14:textId="77777777" w:rsidR="001D7070" w:rsidRPr="008930FF" w:rsidRDefault="001D7070" w:rsidP="00792238">
      <w:pPr>
        <w:pStyle w:val="Vchoz"/>
        <w:ind w:left="0" w:firstLine="0"/>
        <w:jc w:val="left"/>
        <w:rPr>
          <w:rFonts w:ascii="Times New Roman" w:hAnsi="Times New Roman" w:cs="Times New Roman"/>
          <w:color w:val="0000FF"/>
          <w:sz w:val="22"/>
          <w:szCs w:val="22"/>
          <w:lang w:val="sk-SK"/>
        </w:rPr>
      </w:pPr>
    </w:p>
    <w:p w14:paraId="1EC0CDA9" w14:textId="77777777" w:rsidR="00C51A2A" w:rsidRPr="008930FF" w:rsidRDefault="00671F4E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Nežiaduce účinky </w:t>
      </w:r>
      <w:r w:rsidR="007E15A8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sa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m</w:t>
      </w:r>
      <w:r w:rsidR="007E15A8" w:rsidRPr="008930FF">
        <w:rPr>
          <w:rFonts w:ascii="Times New Roman" w:hAnsi="Times New Roman" w:cs="Times New Roman"/>
          <w:sz w:val="22"/>
          <w:szCs w:val="22"/>
          <w:lang w:val="sk-SK"/>
        </w:rPr>
        <w:t>ôžu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minimalizovať po</w:t>
      </w:r>
      <w:r w:rsidR="007E15A8" w:rsidRPr="008930FF">
        <w:rPr>
          <w:rFonts w:ascii="Times New Roman" w:hAnsi="Times New Roman" w:cs="Times New Roman"/>
          <w:sz w:val="22"/>
          <w:szCs w:val="22"/>
          <w:lang w:val="sk-SK"/>
        </w:rPr>
        <w:t>užitím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E15A8" w:rsidRPr="008930FF">
        <w:rPr>
          <w:rFonts w:ascii="Times New Roman" w:hAnsi="Times New Roman" w:cs="Times New Roman"/>
          <w:sz w:val="22"/>
          <w:szCs w:val="22"/>
          <w:lang w:val="sk-SK"/>
        </w:rPr>
        <w:t>naj</w:t>
      </w:r>
      <w:r w:rsidR="00E106B6" w:rsidRPr="008930FF">
        <w:rPr>
          <w:rFonts w:ascii="Times New Roman" w:hAnsi="Times New Roman" w:cs="Times New Roman"/>
          <w:sz w:val="22"/>
          <w:szCs w:val="22"/>
          <w:lang w:val="sk-SK"/>
        </w:rPr>
        <w:t>nižšej</w:t>
      </w:r>
      <w:r w:rsidR="007E15A8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účinnej dávky počas</w:t>
      </w:r>
      <w:r w:rsidR="00E106B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čo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najkratš</w:t>
      </w:r>
      <w:r w:rsidR="007E15A8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ieho obdobia, ktoré je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potrebn</w:t>
      </w:r>
      <w:r w:rsidR="007E15A8" w:rsidRPr="008930FF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na </w:t>
      </w:r>
      <w:r w:rsidR="008861A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kontrolu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symptómov</w:t>
      </w:r>
      <w:r w:rsidR="008861A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(pozri časť 4.</w:t>
      </w:r>
      <w:r w:rsidR="00E106B6" w:rsidRPr="008930FF">
        <w:rPr>
          <w:rFonts w:ascii="Times New Roman" w:hAnsi="Times New Roman" w:cs="Times New Roman"/>
          <w:sz w:val="22"/>
          <w:szCs w:val="22"/>
          <w:lang w:val="sk-SK"/>
        </w:rPr>
        <w:t>2</w:t>
      </w:r>
      <w:r w:rsidR="00F360C7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8861AF" w:rsidRPr="008930FF">
        <w:rPr>
          <w:rFonts w:ascii="Times New Roman" w:hAnsi="Times New Roman" w:cs="Times New Roman"/>
          <w:sz w:val="22"/>
          <w:szCs w:val="22"/>
          <w:lang w:val="sk-SK"/>
        </w:rPr>
        <w:t>a </w:t>
      </w:r>
      <w:r w:rsidR="00821A19" w:rsidRPr="008930FF">
        <w:rPr>
          <w:rFonts w:ascii="Times New Roman" w:hAnsi="Times New Roman" w:cs="Times New Roman"/>
          <w:sz w:val="22"/>
          <w:szCs w:val="22"/>
          <w:lang w:val="sk-SK"/>
        </w:rPr>
        <w:t>gastrointestinálne</w:t>
      </w:r>
      <w:r w:rsidR="008861A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 kardiovaskulárne rizik</w:t>
      </w:r>
      <w:r w:rsidR="00E106B6" w:rsidRPr="008930FF">
        <w:rPr>
          <w:rFonts w:ascii="Times New Roman" w:hAnsi="Times New Roman" w:cs="Times New Roman"/>
          <w:sz w:val="22"/>
          <w:szCs w:val="22"/>
          <w:lang w:val="sk-SK"/>
        </w:rPr>
        <w:t>á</w:t>
      </w:r>
      <w:r w:rsidR="00821A1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C2B51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uvedené </w:t>
      </w:r>
      <w:r w:rsidR="00821A19" w:rsidRPr="008930FF">
        <w:rPr>
          <w:rFonts w:ascii="Times New Roman" w:hAnsi="Times New Roman" w:cs="Times New Roman"/>
          <w:sz w:val="22"/>
          <w:szCs w:val="22"/>
          <w:lang w:val="sk-SK"/>
        </w:rPr>
        <w:t>nižšie</w:t>
      </w:r>
      <w:r w:rsidR="008861AF" w:rsidRPr="008930FF">
        <w:rPr>
          <w:rFonts w:ascii="Times New Roman" w:hAnsi="Times New Roman" w:cs="Times New Roman"/>
          <w:sz w:val="22"/>
          <w:szCs w:val="22"/>
          <w:lang w:val="sk-SK"/>
        </w:rPr>
        <w:t>)</w:t>
      </w:r>
      <w:r w:rsidR="00EC2313"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659E8590" w14:textId="77777777" w:rsidR="008E34E5" w:rsidRPr="008930FF" w:rsidRDefault="008E34E5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0D76D5DC" w14:textId="77777777" w:rsidR="00816557" w:rsidRPr="008930FF" w:rsidRDefault="00816557" w:rsidP="00792238">
      <w:pPr>
        <w:pStyle w:val="Vchoz"/>
        <w:ind w:left="0" w:firstLine="0"/>
        <w:jc w:val="left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i/>
          <w:sz w:val="22"/>
          <w:szCs w:val="22"/>
          <w:lang w:val="sk-SK"/>
        </w:rPr>
        <w:t>Gastrointestinálna bezpečnosť</w:t>
      </w:r>
      <w:r w:rsidR="00801E2D" w:rsidRPr="008930FF">
        <w:rPr>
          <w:rFonts w:ascii="Times New Roman" w:hAnsi="Times New Roman" w:cs="Times New Roman"/>
          <w:i/>
          <w:sz w:val="22"/>
          <w:szCs w:val="22"/>
          <w:lang w:val="sk-SK"/>
        </w:rPr>
        <w:t>:</w:t>
      </w:r>
    </w:p>
    <w:p w14:paraId="22F705A8" w14:textId="6B8DF31D" w:rsidR="00C51A2A" w:rsidRPr="008930FF" w:rsidRDefault="00C51A2A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Gastrointestinálne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krvácanie,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ulcerácia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alebo perforácia, ktoré môžu byť fatálne, boli hlásené pre všetky NSAID kedykoľvek počas liečby s alebo bez </w:t>
      </w:r>
      <w:r w:rsidR="00424C6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varovných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symptómov alebo predchádzajúce</w:t>
      </w:r>
      <w:r w:rsidR="00424C6D" w:rsidRPr="008930FF">
        <w:rPr>
          <w:rFonts w:ascii="Times New Roman" w:hAnsi="Times New Roman" w:cs="Times New Roman"/>
          <w:sz w:val="22"/>
          <w:szCs w:val="22"/>
          <w:lang w:val="sk-SK"/>
        </w:rPr>
        <w:t>j anamnézy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závažných gastrointestinálnych príhod. </w:t>
      </w:r>
      <w:r w:rsidR="00424C6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Ak sa u pacientov užívajúcich </w:t>
      </w:r>
      <w:proofErr w:type="spellStart"/>
      <w:r w:rsidR="000F44E6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proofErr w:type="spellEnd"/>
      <w:r w:rsidR="00673158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24C6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vyskytne </w:t>
      </w:r>
      <w:proofErr w:type="spellStart"/>
      <w:r w:rsidR="00DE7F0B" w:rsidRPr="008930FF">
        <w:rPr>
          <w:rFonts w:ascii="Times New Roman" w:hAnsi="Times New Roman" w:cs="Times New Roman"/>
          <w:sz w:val="22"/>
          <w:szCs w:val="22"/>
          <w:lang w:val="sk-SK"/>
        </w:rPr>
        <w:t>g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astrointestinálne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krvácanie alebo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ulcerácia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liečbu </w:t>
      </w:r>
      <w:r w:rsidR="00301BDF" w:rsidRPr="008930FF">
        <w:rPr>
          <w:rFonts w:ascii="Times New Roman" w:hAnsi="Times New Roman" w:cs="Times New Roman"/>
          <w:sz w:val="22"/>
          <w:szCs w:val="22"/>
          <w:lang w:val="sk-SK"/>
        </w:rPr>
        <w:t>je po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treb</w:t>
      </w:r>
      <w:r w:rsidR="00301BDF" w:rsidRPr="008930FF">
        <w:rPr>
          <w:rFonts w:ascii="Times New Roman" w:hAnsi="Times New Roman" w:cs="Times New Roman"/>
          <w:sz w:val="22"/>
          <w:szCs w:val="22"/>
          <w:lang w:val="sk-SK"/>
        </w:rPr>
        <w:t>né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ukončiť.</w:t>
      </w:r>
    </w:p>
    <w:p w14:paraId="546544D0" w14:textId="77777777" w:rsidR="00301BDF" w:rsidRPr="008930FF" w:rsidRDefault="00301BDF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79A0C25D" w14:textId="77777777" w:rsidR="00A3580A" w:rsidRPr="008930FF" w:rsidRDefault="00C51A2A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Riziko gastrointestinálneho krvácania,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ulcerácie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alebo perforácie je vyššie</w:t>
      </w:r>
      <w:r w:rsidR="00AA761B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so zvyšujúcimi sa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dávk</w:t>
      </w:r>
      <w:r w:rsidR="00AA761B" w:rsidRPr="008930FF">
        <w:rPr>
          <w:rFonts w:ascii="Times New Roman" w:hAnsi="Times New Roman" w:cs="Times New Roman"/>
          <w:sz w:val="22"/>
          <w:szCs w:val="22"/>
          <w:lang w:val="sk-SK"/>
        </w:rPr>
        <w:t>ami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NSAID u pacientov s</w:t>
      </w:r>
      <w:r w:rsidR="00903D84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vredom</w:t>
      </w:r>
      <w:r w:rsidR="00903D84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v</w:t>
      </w:r>
      <w:r w:rsidR="00A3580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anamnéze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hlavne </w:t>
      </w:r>
      <w:r w:rsidR="00A3580A" w:rsidRPr="008930FF">
        <w:rPr>
          <w:rFonts w:ascii="Times New Roman" w:hAnsi="Times New Roman" w:cs="Times New Roman"/>
          <w:sz w:val="22"/>
          <w:szCs w:val="22"/>
          <w:lang w:val="sk-SK"/>
        </w:rPr>
        <w:t>ak bol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skomplikovaný 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hemor</w:t>
      </w:r>
      <w:r w:rsidR="009355C7" w:rsidRPr="008930FF">
        <w:rPr>
          <w:rFonts w:ascii="Times New Roman" w:hAnsi="Times New Roman" w:cs="Times New Roman"/>
          <w:sz w:val="22"/>
          <w:szCs w:val="22"/>
          <w:lang w:val="sk-SK"/>
        </w:rPr>
        <w:t>á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giou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alebo perforáciou (pozri časť 4.3) a u starších </w:t>
      </w:r>
      <w:r w:rsidR="00177959" w:rsidRPr="008930FF">
        <w:rPr>
          <w:rFonts w:ascii="Times New Roman" w:hAnsi="Times New Roman" w:cs="Times New Roman"/>
          <w:sz w:val="22"/>
          <w:szCs w:val="22"/>
          <w:lang w:val="sk-SK"/>
        </w:rPr>
        <w:t>ľudí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274D5CCD" w14:textId="77777777" w:rsidR="00801E2D" w:rsidRPr="008930FF" w:rsidRDefault="00801E2D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5DEDF76B" w14:textId="77777777" w:rsidR="00801E2D" w:rsidRPr="008930FF" w:rsidRDefault="00801E2D" w:rsidP="00801E2D">
      <w:pPr>
        <w:pStyle w:val="Vchoz"/>
        <w:ind w:left="0" w:firstLine="0"/>
        <w:jc w:val="left"/>
        <w:outlineLvl w:val="0"/>
        <w:rPr>
          <w:rFonts w:ascii="Times New Roman" w:hAnsi="Times New Roman" w:cs="Times New Roman"/>
          <w:i/>
          <w:iCs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i/>
          <w:iCs/>
          <w:sz w:val="22"/>
          <w:szCs w:val="22"/>
          <w:lang w:val="sk-SK"/>
        </w:rPr>
        <w:t>Starší ľudia:</w:t>
      </w:r>
    </w:p>
    <w:p w14:paraId="0D39A0A3" w14:textId="269F331A" w:rsidR="00816557" w:rsidRPr="008930FF" w:rsidRDefault="00816557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U starších pacientov je všeobecne zvýšený sklon k výskytu nežiaducich reakcií na NSAID, ako sú predovšetkým gastrointestinálne krvácanie a perforácia, ktoré môžu byť fatálne (pozri časť 4.2). U týchto pacientov sa má liečba začať najnižšou možnou dávkou.</w:t>
      </w:r>
    </w:p>
    <w:p w14:paraId="76D43BBE" w14:textId="77777777" w:rsidR="00816557" w:rsidRPr="008930FF" w:rsidRDefault="00816557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4704E082" w14:textId="44783474" w:rsidR="008E34E5" w:rsidRPr="008930FF" w:rsidRDefault="008E34E5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NSAID sa majú podávať s opatrnosťou u pacientov s anamnézou gastrointestinálnych ochorení (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ulcer</w:t>
      </w:r>
      <w:r w:rsidR="00301BDF" w:rsidRPr="008930FF">
        <w:rPr>
          <w:rFonts w:ascii="Times New Roman" w:hAnsi="Times New Roman" w:cs="Times New Roman"/>
          <w:sz w:val="22"/>
          <w:szCs w:val="22"/>
          <w:lang w:val="sk-SK"/>
        </w:rPr>
        <w:t>ózna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kolitída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Crohnova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choroba)</w:t>
      </w:r>
      <w:r w:rsidR="00D43B02" w:rsidRPr="008930FF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pretože</w:t>
      </w:r>
      <w:r w:rsidR="00D43B0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ich stav sa môže zhoršiť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(pozri časť 4.8). </w:t>
      </w:r>
    </w:p>
    <w:p w14:paraId="450A3C0A" w14:textId="77777777" w:rsidR="00301BDF" w:rsidRPr="008930FF" w:rsidRDefault="00301BDF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2125B811" w14:textId="52810EF8" w:rsidR="00177959" w:rsidRPr="008930FF" w:rsidRDefault="005057B4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Ako </w:t>
      </w:r>
      <w:r w:rsidR="00301BDF" w:rsidRPr="008930FF">
        <w:rPr>
          <w:rFonts w:ascii="Times New Roman" w:hAnsi="Times New Roman" w:cs="Times New Roman"/>
          <w:sz w:val="22"/>
          <w:szCs w:val="22"/>
          <w:lang w:val="sk-SK"/>
        </w:rPr>
        <w:t>pri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všetkých</w:t>
      </w:r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NSAID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, je potrebné preveriť akúkoľvek anamnézu</w:t>
      </w:r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>ezofagitíd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y</w:t>
      </w:r>
      <w:proofErr w:type="spellEnd"/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>, gastritíd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y</w:t>
      </w:r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a/alebo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peptického</w:t>
      </w:r>
      <w:proofErr w:type="spellEnd"/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vred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u,</w:t>
      </w:r>
      <w:r w:rsidR="00D7561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aby sa zabezpečilo ich úplné doliečenie ešte </w:t>
      </w:r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pred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začatím</w:t>
      </w:r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liečby</w:t>
      </w:r>
      <w:r w:rsidR="007E69C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6E3546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proofErr w:type="spellEnd"/>
      <w:r w:rsidR="00301BDF" w:rsidRPr="008930FF">
        <w:rPr>
          <w:rFonts w:ascii="Times New Roman" w:hAnsi="Times New Roman" w:cs="Times New Roman"/>
          <w:sz w:val="22"/>
          <w:szCs w:val="22"/>
          <w:lang w:val="sk-SK"/>
        </w:rPr>
        <w:t>-</w:t>
      </w:r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>trometamolom</w:t>
      </w:r>
      <w:proofErr w:type="spellEnd"/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r w:rsidR="003B0E69" w:rsidRPr="008930FF"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>acientov s gastrointestinálnymi symptómami alebo</w:t>
      </w:r>
      <w:r w:rsidR="003B0E6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</w:t>
      </w:r>
      <w:r w:rsidR="00F360C7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gastrointestinálnym ochorením v anamnéze </w:t>
      </w:r>
      <w:r w:rsidR="003B0E69" w:rsidRPr="008930FF">
        <w:rPr>
          <w:rFonts w:ascii="Times New Roman" w:hAnsi="Times New Roman" w:cs="Times New Roman"/>
          <w:sz w:val="22"/>
          <w:szCs w:val="22"/>
          <w:lang w:val="sk-SK"/>
        </w:rPr>
        <w:t>je potrebné</w:t>
      </w:r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sledova</w:t>
      </w:r>
      <w:r w:rsidR="003B0E69" w:rsidRPr="008930FF">
        <w:rPr>
          <w:rFonts w:ascii="Times New Roman" w:hAnsi="Times New Roman" w:cs="Times New Roman"/>
          <w:sz w:val="22"/>
          <w:szCs w:val="22"/>
          <w:lang w:val="sk-SK"/>
        </w:rPr>
        <w:t>ť, či u nich nedochádza k tráviacim poruchám</w:t>
      </w:r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hlavne </w:t>
      </w:r>
      <w:r w:rsidR="003B0E6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ku </w:t>
      </w:r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>gastrointestinálne</w:t>
      </w:r>
      <w:r w:rsidR="003B0E69" w:rsidRPr="008930FF">
        <w:rPr>
          <w:rFonts w:ascii="Times New Roman" w:hAnsi="Times New Roman" w:cs="Times New Roman"/>
          <w:sz w:val="22"/>
          <w:szCs w:val="22"/>
          <w:lang w:val="sk-SK"/>
        </w:rPr>
        <w:t>mu</w:t>
      </w:r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krvácani</w:t>
      </w:r>
      <w:r w:rsidR="003B0E69" w:rsidRPr="008930FF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4C765B"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1778E94A" w14:textId="77777777" w:rsidR="00301BDF" w:rsidRPr="008930FF" w:rsidRDefault="00301BDF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3F1319AD" w14:textId="13DE6EEF" w:rsidR="00177959" w:rsidRPr="008930FF" w:rsidRDefault="00C51A2A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U týchto pacientov sa m</w:t>
      </w:r>
      <w:r w:rsidR="009D712F" w:rsidRPr="008930FF">
        <w:rPr>
          <w:rFonts w:ascii="Times New Roman" w:hAnsi="Times New Roman" w:cs="Times New Roman"/>
          <w:sz w:val="22"/>
          <w:szCs w:val="22"/>
          <w:lang w:val="sk-SK"/>
        </w:rPr>
        <w:t>á zvážiť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kombinovaná liečba ochrannými l</w:t>
      </w:r>
      <w:r w:rsidR="00301BDF" w:rsidRPr="008930FF">
        <w:rPr>
          <w:rFonts w:ascii="Times New Roman" w:hAnsi="Times New Roman" w:cs="Times New Roman"/>
          <w:sz w:val="22"/>
          <w:szCs w:val="22"/>
          <w:lang w:val="sk-SK"/>
        </w:rPr>
        <w:t>iečivami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(napr.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mi</w:t>
      </w:r>
      <w:r w:rsidR="00301BDF" w:rsidRPr="008930FF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oprostol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alebo inhibítory protónovej pumpy)</w:t>
      </w:r>
      <w:r w:rsidR="00251B1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 tiež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u pacientov, ktor</w:t>
      </w:r>
      <w:r w:rsidR="00251B16" w:rsidRPr="008930FF">
        <w:rPr>
          <w:rFonts w:ascii="Times New Roman" w:hAnsi="Times New Roman" w:cs="Times New Roman"/>
          <w:sz w:val="22"/>
          <w:szCs w:val="22"/>
          <w:lang w:val="sk-SK"/>
        </w:rPr>
        <w:t>í vyžadujú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sú</w:t>
      </w:r>
      <w:r w:rsidR="00251B16" w:rsidRPr="008930FF">
        <w:rPr>
          <w:rFonts w:ascii="Times New Roman" w:hAnsi="Times New Roman" w:cs="Times New Roman"/>
          <w:sz w:val="22"/>
          <w:szCs w:val="22"/>
          <w:lang w:val="sk-SK"/>
        </w:rPr>
        <w:t>bežnú liečbu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nízk</w:t>
      </w:r>
      <w:r w:rsidR="00251B16" w:rsidRPr="008930FF">
        <w:rPr>
          <w:rFonts w:ascii="Times New Roman" w:hAnsi="Times New Roman" w:cs="Times New Roman"/>
          <w:sz w:val="22"/>
          <w:szCs w:val="22"/>
          <w:lang w:val="sk-SK"/>
        </w:rPr>
        <w:t>ymi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dávk</w:t>
      </w:r>
      <w:r w:rsidR="00251B16" w:rsidRPr="008930FF">
        <w:rPr>
          <w:rFonts w:ascii="Times New Roman" w:hAnsi="Times New Roman" w:cs="Times New Roman"/>
          <w:sz w:val="22"/>
          <w:szCs w:val="22"/>
          <w:lang w:val="sk-SK"/>
        </w:rPr>
        <w:t>ami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kyseliny acetylsalicylovej </w:t>
      </w:r>
      <w:r w:rsidR="00251B1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(aspirín)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alebo</w:t>
      </w:r>
      <w:r w:rsidR="00251B1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inými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lie</w:t>
      </w:r>
      <w:r w:rsidR="00301BDF" w:rsidRPr="008930FF">
        <w:rPr>
          <w:rFonts w:ascii="Times New Roman" w:hAnsi="Times New Roman" w:cs="Times New Roman"/>
          <w:sz w:val="22"/>
          <w:szCs w:val="22"/>
          <w:lang w:val="sk-SK"/>
        </w:rPr>
        <w:t>čivami</w:t>
      </w:r>
      <w:r w:rsidR="00251B16" w:rsidRPr="008930FF">
        <w:rPr>
          <w:rFonts w:ascii="Times New Roman" w:hAnsi="Times New Roman" w:cs="Times New Roman"/>
          <w:sz w:val="22"/>
          <w:szCs w:val="22"/>
          <w:lang w:val="sk-SK"/>
        </w:rPr>
        <w:t>, ktoré môžu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zv</w:t>
      </w:r>
      <w:r w:rsidR="00251B16" w:rsidRPr="008930FF">
        <w:rPr>
          <w:rFonts w:ascii="Times New Roman" w:hAnsi="Times New Roman" w:cs="Times New Roman"/>
          <w:sz w:val="22"/>
          <w:szCs w:val="22"/>
          <w:lang w:val="sk-SK"/>
        </w:rPr>
        <w:t>y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š</w:t>
      </w:r>
      <w:r w:rsidR="00251B16" w:rsidRPr="008930FF">
        <w:rPr>
          <w:rFonts w:ascii="Times New Roman" w:hAnsi="Times New Roman" w:cs="Times New Roman"/>
          <w:sz w:val="22"/>
          <w:szCs w:val="22"/>
          <w:lang w:val="sk-SK"/>
        </w:rPr>
        <w:t>ovať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gastrointestináln</w:t>
      </w:r>
      <w:r w:rsidR="00251B16" w:rsidRPr="008930FF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riziko (pozri </w:t>
      </w:r>
      <w:r w:rsidR="00251B1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nižšie a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časť 4.5).</w:t>
      </w:r>
    </w:p>
    <w:p w14:paraId="08964C34" w14:textId="77777777" w:rsidR="00301BDF" w:rsidRPr="008930FF" w:rsidRDefault="00301BDF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5ACCCFD9" w14:textId="77777777" w:rsidR="00C51A2A" w:rsidRPr="008930FF" w:rsidRDefault="00C51A2A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Pacienti, u ktorých sa </w:t>
      </w:r>
      <w:r w:rsidR="001B14A1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v minulosti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vyskytla gastrointestinálna toxicita, najmä </w:t>
      </w:r>
      <w:r w:rsidR="00265757" w:rsidRPr="008930FF">
        <w:rPr>
          <w:rFonts w:ascii="Times New Roman" w:hAnsi="Times New Roman" w:cs="Times New Roman"/>
          <w:sz w:val="22"/>
          <w:szCs w:val="22"/>
          <w:lang w:val="sk-SK"/>
        </w:rPr>
        <w:t>ak sú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 starší, majú hlásiť akékoľvek nezvyčajné abdominálne príznaky (najmä gastrointestinálne krvácanie) obzvlášť na začiatku liečby.</w:t>
      </w:r>
    </w:p>
    <w:p w14:paraId="7E4E950A" w14:textId="77777777" w:rsidR="00265757" w:rsidRPr="008930FF" w:rsidRDefault="00265757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27B89F57" w14:textId="5752707C" w:rsidR="00C51A2A" w:rsidRPr="008930FF" w:rsidRDefault="00C51A2A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Opatrnosť je </w:t>
      </w:r>
      <w:r w:rsidR="008E34E5" w:rsidRPr="008930FF">
        <w:rPr>
          <w:rFonts w:ascii="Times New Roman" w:hAnsi="Times New Roman" w:cs="Times New Roman"/>
          <w:sz w:val="22"/>
          <w:szCs w:val="22"/>
          <w:lang w:val="sk-SK"/>
        </w:rPr>
        <w:t>potrebná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u pacientov</w:t>
      </w:r>
      <w:r w:rsidR="0026575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užívajúcich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súbežn</w:t>
      </w:r>
      <w:r w:rsidR="00265757" w:rsidRPr="008930FF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lie</w:t>
      </w:r>
      <w:r w:rsidR="00265757" w:rsidRPr="008930FF">
        <w:rPr>
          <w:rFonts w:ascii="Times New Roman" w:hAnsi="Times New Roman" w:cs="Times New Roman"/>
          <w:sz w:val="22"/>
          <w:szCs w:val="22"/>
          <w:lang w:val="sk-SK"/>
        </w:rPr>
        <w:t>ky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, ktor</w:t>
      </w:r>
      <w:r w:rsidR="00265757" w:rsidRPr="008930FF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môž</w:t>
      </w:r>
      <w:r w:rsidR="00265757" w:rsidRPr="008930FF"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zvýšiť riziko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ulcerácie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alebo krvácania ako sú perorálne kortikosteroidy,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antikoagulanciá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ako je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warfarín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selektívne inhibítory spätného vychytávania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s</w:t>
      </w:r>
      <w:r w:rsidR="00F360C7" w:rsidRPr="008930FF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rotonínu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proofErr w:type="spellStart"/>
      <w:r w:rsidR="00301BDF" w:rsidRPr="008930FF">
        <w:rPr>
          <w:rFonts w:ascii="Times New Roman" w:hAnsi="Times New Roman" w:cs="Times New Roman"/>
          <w:sz w:val="22"/>
          <w:szCs w:val="22"/>
          <w:lang w:val="sk-SK"/>
        </w:rPr>
        <w:t>antitrombotiká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ako je kyselina acetylsalicylová (pozri časť 4.5).</w:t>
      </w:r>
    </w:p>
    <w:p w14:paraId="70C58613" w14:textId="77777777" w:rsidR="00265757" w:rsidRPr="008930FF" w:rsidRDefault="00265757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64B56CF4" w14:textId="77777777" w:rsidR="00816557" w:rsidRPr="008930FF" w:rsidRDefault="00816557" w:rsidP="00792238">
      <w:pPr>
        <w:rPr>
          <w:i/>
          <w:sz w:val="22"/>
          <w:szCs w:val="22"/>
        </w:rPr>
      </w:pPr>
      <w:r w:rsidRPr="008930FF">
        <w:rPr>
          <w:i/>
          <w:sz w:val="22"/>
          <w:szCs w:val="22"/>
        </w:rPr>
        <w:t>Renálna bezpečnosť</w:t>
      </w:r>
      <w:r w:rsidR="00801E2D" w:rsidRPr="008930FF">
        <w:rPr>
          <w:i/>
          <w:sz w:val="22"/>
          <w:szCs w:val="22"/>
        </w:rPr>
        <w:t>:</w:t>
      </w:r>
    </w:p>
    <w:p w14:paraId="1F21B5C4" w14:textId="74C460FD" w:rsidR="00816557" w:rsidRPr="008930FF" w:rsidRDefault="00816557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Opatrnosť je potrebná u pacientov s po</w:t>
      </w:r>
      <w:r w:rsidR="00F360C7" w:rsidRPr="008930FF">
        <w:rPr>
          <w:rFonts w:ascii="Times New Roman" w:hAnsi="Times New Roman" w:cs="Times New Roman"/>
          <w:sz w:val="22"/>
          <w:szCs w:val="22"/>
          <w:lang w:val="sk-SK"/>
        </w:rPr>
        <w:t>ruchou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funkci</w:t>
      </w:r>
      <w:r w:rsidR="00F360C7" w:rsidRPr="008930FF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9B4EC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pečene a/alebo funkcie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obličiek</w:t>
      </w:r>
      <w:r w:rsidR="009B4EC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 tiež u pacientov s anamnézou hypertenzie a/alebo </w:t>
      </w:r>
      <w:r w:rsidR="00226875" w:rsidRPr="008930FF">
        <w:rPr>
          <w:rFonts w:ascii="Times New Roman" w:hAnsi="Times New Roman" w:cs="Times New Roman"/>
          <w:sz w:val="22"/>
          <w:szCs w:val="22"/>
          <w:lang w:val="sk-SK"/>
        </w:rPr>
        <w:t>zlyhávania srdca</w:t>
      </w:r>
      <w:r w:rsidR="009B4EC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r w:rsidR="00301BDF" w:rsidRPr="008930FF"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žívanie NSAID môže mať </w:t>
      </w:r>
      <w:r w:rsidR="00301BD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u týchto pacientov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za následok zhoršenie funkcie obličiek,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retenciu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tekutín a edém. Opatrnosť je tiež potrebná u pacientov, ktorí užívajú diuretiká alebo u tých, u ktorých môže vzniknúť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hypovolémia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keďže u nich existuje zvýšené riziko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nefrotoxicity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3ED6150B" w14:textId="77777777" w:rsidR="00226875" w:rsidRPr="008930FF" w:rsidRDefault="00226875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6B46F3F8" w14:textId="77777777" w:rsidR="00816557" w:rsidRPr="008930FF" w:rsidRDefault="00816557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Počas liečby sa má zabezpečiť dostatočný príjem tekutín, aby sa zabránilo dehydratácii a</w:t>
      </w:r>
      <w:r w:rsidR="00F360C7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prípadne súvisiacej zvýšenej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renálnej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toxicite.</w:t>
      </w:r>
    </w:p>
    <w:p w14:paraId="1C0A7425" w14:textId="77777777" w:rsidR="00816557" w:rsidRPr="008930FF" w:rsidRDefault="00816557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58167D71" w14:textId="63CB37FE" w:rsidR="003836B3" w:rsidRPr="008930FF" w:rsidRDefault="00C51A2A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Rovnako ako </w:t>
      </w:r>
      <w:r w:rsidR="00226875" w:rsidRPr="008930FF">
        <w:rPr>
          <w:rFonts w:ascii="Times New Roman" w:hAnsi="Times New Roman" w:cs="Times New Roman"/>
          <w:sz w:val="22"/>
          <w:szCs w:val="22"/>
          <w:lang w:val="sk-SK"/>
        </w:rPr>
        <w:t>pri</w:t>
      </w:r>
      <w:r w:rsidR="00903D84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všetk</w:t>
      </w:r>
      <w:r w:rsidR="008E34E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ých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NSAID</w:t>
      </w:r>
      <w:r w:rsidR="00704930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sa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môže zv</w:t>
      </w:r>
      <w:r w:rsidR="008E34E5" w:rsidRPr="008930FF">
        <w:rPr>
          <w:rFonts w:ascii="Times New Roman" w:hAnsi="Times New Roman" w:cs="Times New Roman"/>
          <w:sz w:val="22"/>
          <w:szCs w:val="22"/>
          <w:lang w:val="sk-SK"/>
        </w:rPr>
        <w:t>ýšiť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hladin</w:t>
      </w:r>
      <w:r w:rsidR="008E34E5" w:rsidRPr="008930FF">
        <w:rPr>
          <w:rFonts w:ascii="Times New Roman" w:hAnsi="Times New Roman" w:cs="Times New Roman"/>
          <w:sz w:val="22"/>
          <w:szCs w:val="22"/>
          <w:lang w:val="sk-SK"/>
        </w:rPr>
        <w:t>a dusíka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8E34E5" w:rsidRPr="008930FF">
        <w:rPr>
          <w:rFonts w:ascii="Times New Roman" w:hAnsi="Times New Roman" w:cs="Times New Roman"/>
          <w:sz w:val="22"/>
          <w:szCs w:val="22"/>
          <w:lang w:val="sk-SK"/>
        </w:rPr>
        <w:t>močoviny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 kreatinínu v plazme.</w:t>
      </w:r>
      <w:r w:rsidR="007D596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43199" w:rsidRPr="008930FF">
        <w:rPr>
          <w:rFonts w:ascii="Times New Roman" w:hAnsi="Times New Roman" w:cs="Times New Roman"/>
          <w:sz w:val="22"/>
          <w:szCs w:val="22"/>
          <w:lang w:val="sk-SK"/>
        </w:rPr>
        <w:t>Rovnako a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ko </w:t>
      </w:r>
      <w:r w:rsidR="00226875" w:rsidRPr="008930FF">
        <w:rPr>
          <w:rFonts w:ascii="Times New Roman" w:hAnsi="Times New Roman" w:cs="Times New Roman"/>
          <w:sz w:val="22"/>
          <w:szCs w:val="22"/>
          <w:lang w:val="sk-SK"/>
        </w:rPr>
        <w:t>pri</w:t>
      </w:r>
      <w:r w:rsidR="00431D3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iných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inhibítor</w:t>
      </w:r>
      <w:r w:rsidR="00226875" w:rsidRPr="008930FF">
        <w:rPr>
          <w:rFonts w:ascii="Times New Roman" w:hAnsi="Times New Roman" w:cs="Times New Roman"/>
          <w:sz w:val="22"/>
          <w:szCs w:val="22"/>
          <w:lang w:val="sk-SK"/>
        </w:rPr>
        <w:t>och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syntézy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prostaglandínov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431D3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liečba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môže </w:t>
      </w:r>
      <w:r w:rsidR="00431D37" w:rsidRPr="008930FF">
        <w:rPr>
          <w:rFonts w:ascii="Times New Roman" w:hAnsi="Times New Roman" w:cs="Times New Roman"/>
          <w:sz w:val="22"/>
          <w:szCs w:val="22"/>
          <w:lang w:val="sk-SK"/>
        </w:rPr>
        <w:t>byť spojená s</w:t>
      </w:r>
      <w:r w:rsidR="00FE5C1E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nežiaduc</w:t>
      </w:r>
      <w:r w:rsidR="00431D37" w:rsidRPr="008930FF">
        <w:rPr>
          <w:rFonts w:ascii="Times New Roman" w:hAnsi="Times New Roman" w:cs="Times New Roman"/>
          <w:sz w:val="22"/>
          <w:szCs w:val="22"/>
          <w:lang w:val="sk-SK"/>
        </w:rPr>
        <w:t>imi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účink</w:t>
      </w:r>
      <w:r w:rsidR="00431D37" w:rsidRPr="008930FF">
        <w:rPr>
          <w:rFonts w:ascii="Times New Roman" w:hAnsi="Times New Roman" w:cs="Times New Roman"/>
          <w:sz w:val="22"/>
          <w:szCs w:val="22"/>
          <w:lang w:val="sk-SK"/>
        </w:rPr>
        <w:t>ami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na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renálny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systém, </w:t>
      </w:r>
      <w:r w:rsidR="00431D37" w:rsidRPr="008930FF">
        <w:rPr>
          <w:rFonts w:ascii="Times New Roman" w:hAnsi="Times New Roman" w:cs="Times New Roman"/>
          <w:sz w:val="22"/>
          <w:szCs w:val="22"/>
          <w:lang w:val="sk-SK"/>
        </w:rPr>
        <w:t>čo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môž</w:t>
      </w:r>
      <w:r w:rsidR="00431D37" w:rsidRPr="008930FF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viesť ku glomerulárnej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nefritíde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intersticiálnej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nefritíde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renálnej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papilárnej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nekróze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nefrotickému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syndrómu a akútnemu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renálnemu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zlyhaniu.</w:t>
      </w:r>
    </w:p>
    <w:p w14:paraId="71D73542" w14:textId="77777777" w:rsidR="003836B3" w:rsidRPr="008930FF" w:rsidRDefault="003836B3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682323AE" w14:textId="6C1C27F5" w:rsidR="00816557" w:rsidRPr="008930FF" w:rsidRDefault="00816557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U starších pacientov je vyššia pravdepodobnosť zhoršenia funkcie obličiek (pozri časť 4.2). </w:t>
      </w:r>
    </w:p>
    <w:p w14:paraId="00DE1C04" w14:textId="77777777" w:rsidR="009B4EC5" w:rsidRPr="008930FF" w:rsidRDefault="009B4EC5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11B44E0D" w14:textId="77777777" w:rsidR="00816557" w:rsidRPr="008930FF" w:rsidRDefault="00816557" w:rsidP="00792238">
      <w:pPr>
        <w:pStyle w:val="Vchoz"/>
        <w:ind w:hanging="567"/>
        <w:jc w:val="left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i/>
          <w:sz w:val="22"/>
          <w:szCs w:val="22"/>
          <w:lang w:val="sk-SK"/>
        </w:rPr>
        <w:t>Hepatálna bezpečnosť</w:t>
      </w:r>
      <w:r w:rsidR="00E13D9D" w:rsidRPr="008930FF">
        <w:rPr>
          <w:rFonts w:ascii="Times New Roman" w:hAnsi="Times New Roman" w:cs="Times New Roman"/>
          <w:i/>
          <w:sz w:val="22"/>
          <w:szCs w:val="22"/>
          <w:lang w:val="sk-SK"/>
        </w:rPr>
        <w:t>:</w:t>
      </w:r>
    </w:p>
    <w:p w14:paraId="4D230B55" w14:textId="47FE0AEB" w:rsidR="00C51A2A" w:rsidRPr="008930FF" w:rsidRDefault="00816557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Opatrnosť je potrebná u pacientov s po</w:t>
      </w:r>
      <w:r w:rsidR="00FE5C1E" w:rsidRPr="008930FF">
        <w:rPr>
          <w:rFonts w:ascii="Times New Roman" w:hAnsi="Times New Roman" w:cs="Times New Roman"/>
          <w:sz w:val="22"/>
          <w:szCs w:val="22"/>
          <w:lang w:val="sk-SK"/>
        </w:rPr>
        <w:t>ruchou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funkci</w:t>
      </w:r>
      <w:r w:rsidR="00FE5C1E" w:rsidRPr="008930FF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pečene.</w:t>
      </w:r>
      <w:r w:rsidR="0013331B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8E34E5" w:rsidRPr="008930FF">
        <w:rPr>
          <w:rFonts w:ascii="Times New Roman" w:hAnsi="Times New Roman" w:cs="Times New Roman"/>
          <w:sz w:val="22"/>
          <w:szCs w:val="22"/>
          <w:lang w:val="sk-SK"/>
        </w:rPr>
        <w:t>Rovnako</w:t>
      </w:r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ako </w:t>
      </w:r>
      <w:r w:rsidR="008E34E5" w:rsidRPr="008930FF">
        <w:rPr>
          <w:rFonts w:ascii="Times New Roman" w:hAnsi="Times New Roman" w:cs="Times New Roman"/>
          <w:sz w:val="22"/>
          <w:szCs w:val="22"/>
          <w:lang w:val="sk-SK"/>
        </w:rPr>
        <w:t>iné</w:t>
      </w:r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NSAID, môže spôsobiť prechodné mierne zvýšenie niektorých par</w:t>
      </w:r>
      <w:r w:rsidR="00306F31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ametrov </w:t>
      </w:r>
      <w:r w:rsidR="00C22E7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funkcie pečene </w:t>
      </w:r>
      <w:r w:rsidR="00306F31" w:rsidRPr="008930FF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C22E7F" w:rsidRPr="008930FF">
        <w:rPr>
          <w:rFonts w:ascii="Times New Roman" w:hAnsi="Times New Roman" w:cs="Times New Roman"/>
          <w:sz w:val="22"/>
          <w:szCs w:val="22"/>
          <w:lang w:val="sk-SK"/>
        </w:rPr>
        <w:t> tiež významné</w:t>
      </w:r>
      <w:r w:rsidR="00306F31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zvýšenia</w:t>
      </w:r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301BDF" w:rsidRPr="008930FF">
        <w:rPr>
          <w:rFonts w:ascii="Times New Roman" w:hAnsi="Times New Roman" w:cs="Times New Roman"/>
          <w:sz w:val="22"/>
          <w:szCs w:val="22"/>
          <w:lang w:val="sk-SK"/>
        </w:rPr>
        <w:t>alanínaminotransferázy</w:t>
      </w:r>
      <w:proofErr w:type="spellEnd"/>
      <w:r w:rsidR="00301BD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(ALT)</w:t>
      </w:r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="00301BDF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proofErr w:type="spellStart"/>
      <w:r w:rsidR="00301BDF" w:rsidRPr="008930FF">
        <w:rPr>
          <w:rFonts w:ascii="Times New Roman" w:hAnsi="Times New Roman" w:cs="Times New Roman"/>
          <w:sz w:val="22"/>
          <w:szCs w:val="22"/>
          <w:lang w:val="sk-SK"/>
        </w:rPr>
        <w:t>aspartáaminotransferázy</w:t>
      </w:r>
      <w:proofErr w:type="spellEnd"/>
      <w:r w:rsidR="00301BD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(AST)</w:t>
      </w:r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>. V prípade relevantného zvýšenia týchto parametrov sa musí liečba ukončiť.</w:t>
      </w:r>
    </w:p>
    <w:p w14:paraId="17C753D3" w14:textId="77777777" w:rsidR="00301BDF" w:rsidRPr="008930FF" w:rsidRDefault="00301BDF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5476A813" w14:textId="77777777" w:rsidR="004E5656" w:rsidRPr="008930FF" w:rsidRDefault="004E5656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U starších pacientov je vyššia pravdepodobnosť zhoršenia funkcie pečene (pozri časť 4.2). </w:t>
      </w:r>
    </w:p>
    <w:p w14:paraId="671AC5D4" w14:textId="77777777" w:rsidR="004E5656" w:rsidRPr="008930FF" w:rsidRDefault="004E5656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0924498F" w14:textId="77777777" w:rsidR="004E5656" w:rsidRPr="008930FF" w:rsidRDefault="004E5656" w:rsidP="00E13D9D">
      <w:pPr>
        <w:pStyle w:val="Vchoz"/>
        <w:ind w:hanging="567"/>
        <w:jc w:val="left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i/>
          <w:sz w:val="22"/>
          <w:szCs w:val="22"/>
          <w:lang w:val="sk-SK"/>
        </w:rPr>
        <w:t>Kardiovaskulárna a </w:t>
      </w:r>
      <w:proofErr w:type="spellStart"/>
      <w:r w:rsidRPr="008930FF">
        <w:rPr>
          <w:rFonts w:ascii="Times New Roman" w:hAnsi="Times New Roman" w:cs="Times New Roman"/>
          <w:i/>
          <w:sz w:val="22"/>
          <w:szCs w:val="22"/>
          <w:lang w:val="sk-SK"/>
        </w:rPr>
        <w:t>cerebrovaskulárna</w:t>
      </w:r>
      <w:proofErr w:type="spellEnd"/>
      <w:r w:rsidRPr="008930FF">
        <w:rPr>
          <w:rFonts w:ascii="Times New Roman" w:hAnsi="Times New Roman" w:cs="Times New Roman"/>
          <w:i/>
          <w:sz w:val="22"/>
          <w:szCs w:val="22"/>
          <w:lang w:val="sk-SK"/>
        </w:rPr>
        <w:t xml:space="preserve"> bezpečnosť</w:t>
      </w:r>
      <w:r w:rsidR="00E13D9D" w:rsidRPr="008930FF">
        <w:rPr>
          <w:rFonts w:ascii="Times New Roman" w:hAnsi="Times New Roman" w:cs="Times New Roman"/>
          <w:i/>
          <w:sz w:val="22"/>
          <w:szCs w:val="22"/>
          <w:lang w:val="sk-SK"/>
        </w:rPr>
        <w:t>:</w:t>
      </w:r>
    </w:p>
    <w:p w14:paraId="5026A9DF" w14:textId="271CD979" w:rsidR="00E13D9D" w:rsidRPr="008930FF" w:rsidRDefault="004E5656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Vhodné monitorovanie a poradenstvo je potrebné u pacientov s hypertenziou a/alebo s mierne závažným až stredne závažným zlyhaním srdca v</w:t>
      </w:r>
      <w:r w:rsidR="00FE5C1E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anamnéze</w:t>
      </w:r>
      <w:r w:rsidR="00FE5C1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14881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pretože v súvislosti s liečbou NSAID bola hlásená </w:t>
      </w:r>
      <w:proofErr w:type="spellStart"/>
      <w:r w:rsidR="00C14881" w:rsidRPr="008930FF">
        <w:rPr>
          <w:rFonts w:ascii="Times New Roman" w:hAnsi="Times New Roman" w:cs="Times New Roman"/>
          <w:sz w:val="22"/>
          <w:szCs w:val="22"/>
          <w:lang w:val="sk-SK"/>
        </w:rPr>
        <w:t>retencia</w:t>
      </w:r>
      <w:proofErr w:type="spellEnd"/>
      <w:r w:rsidR="00C14881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tekutín a edém.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580D9450" w14:textId="77777777" w:rsidR="00301BDF" w:rsidRPr="008930FF" w:rsidRDefault="00301BDF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764FAF51" w14:textId="77777777" w:rsidR="004E5656" w:rsidRPr="008930FF" w:rsidRDefault="004E5656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Osobitná opatrnosť je potrebná u pacientov so srdcovým ochorením v anamnéze, najmä u tých s predchádzajúcimi epizódami srdcového zlyhania, keďže u nich existuje zvýšené riziko srdcového zlyhania</w:t>
      </w:r>
      <w:r w:rsidR="00C14881"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6A05B86D" w14:textId="77777777" w:rsidR="004E5656" w:rsidRPr="008930FF" w:rsidRDefault="004E5656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78810D21" w14:textId="75568D20" w:rsidR="004E5656" w:rsidRPr="008930FF" w:rsidRDefault="004E5656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Klinické skú</w:t>
      </w:r>
      <w:r w:rsidR="00301BDF" w:rsidRPr="008930FF">
        <w:rPr>
          <w:rFonts w:ascii="Times New Roman" w:hAnsi="Times New Roman" w:cs="Times New Roman"/>
          <w:sz w:val="22"/>
          <w:szCs w:val="22"/>
          <w:lang w:val="sk-SK"/>
        </w:rPr>
        <w:t>šania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 epidemiologické údaje naznačujú, že užívanie niektorých NSAID (obzvlášť pri vysokých dávkach a pri dlhodobej liečbe) môže byť spojené s miernym zvýšením rizika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arteriálnych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trombotických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príhod (napr. infarkt myokardu alebo mozgová mŕtvica). Nie sú dostatočné údaje na vylúčenie takéhoto rizika pri </w:t>
      </w:r>
      <w:proofErr w:type="spellStart"/>
      <w:r w:rsidR="006E3546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="00301BDF" w:rsidRPr="008930FF">
        <w:rPr>
          <w:rFonts w:ascii="Times New Roman" w:hAnsi="Times New Roman" w:cs="Times New Roman"/>
          <w:sz w:val="22"/>
          <w:szCs w:val="22"/>
          <w:lang w:val="sk-SK"/>
        </w:rPr>
        <w:t>-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trometamole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09E19B89" w14:textId="77777777" w:rsidR="004E5656" w:rsidRPr="008930FF" w:rsidRDefault="004E5656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2F1883A7" w14:textId="61F11A3A" w:rsidR="004E5656" w:rsidRPr="008930FF" w:rsidRDefault="00301BDF" w:rsidP="00792238">
      <w:pPr>
        <w:rPr>
          <w:sz w:val="22"/>
          <w:szCs w:val="22"/>
        </w:rPr>
      </w:pPr>
      <w:r w:rsidRPr="008930FF">
        <w:rPr>
          <w:sz w:val="22"/>
          <w:szCs w:val="22"/>
        </w:rPr>
        <w:t>P</w:t>
      </w:r>
      <w:r w:rsidR="004E5656" w:rsidRPr="008930FF">
        <w:rPr>
          <w:sz w:val="22"/>
          <w:szCs w:val="22"/>
        </w:rPr>
        <w:t xml:space="preserve">acienti s nekontrolovanou hypertenziou, </w:t>
      </w:r>
      <w:proofErr w:type="spellStart"/>
      <w:r w:rsidR="004E5656" w:rsidRPr="008930FF">
        <w:rPr>
          <w:sz w:val="22"/>
          <w:szCs w:val="22"/>
        </w:rPr>
        <w:t>kongestívnym</w:t>
      </w:r>
      <w:proofErr w:type="spellEnd"/>
      <w:r w:rsidR="004E5656" w:rsidRPr="008930FF">
        <w:rPr>
          <w:sz w:val="22"/>
          <w:szCs w:val="22"/>
        </w:rPr>
        <w:t xml:space="preserve"> zlyh</w:t>
      </w:r>
      <w:r w:rsidRPr="008930FF">
        <w:rPr>
          <w:sz w:val="22"/>
          <w:szCs w:val="22"/>
        </w:rPr>
        <w:t>ávaním srdca</w:t>
      </w:r>
      <w:r w:rsidR="004E5656" w:rsidRPr="008930FF">
        <w:rPr>
          <w:sz w:val="22"/>
          <w:szCs w:val="22"/>
        </w:rPr>
        <w:t xml:space="preserve">, s </w:t>
      </w:r>
      <w:r w:rsidR="00627672" w:rsidRPr="008930FF">
        <w:rPr>
          <w:sz w:val="22"/>
          <w:szCs w:val="22"/>
        </w:rPr>
        <w:t>potvrdenou</w:t>
      </w:r>
      <w:r w:rsidRPr="008930FF">
        <w:rPr>
          <w:sz w:val="22"/>
          <w:szCs w:val="22"/>
        </w:rPr>
        <w:t xml:space="preserve"> </w:t>
      </w:r>
      <w:r w:rsidR="004E5656" w:rsidRPr="008930FF">
        <w:rPr>
          <w:sz w:val="22"/>
          <w:szCs w:val="22"/>
        </w:rPr>
        <w:t xml:space="preserve">ischemickou chorobou srdca, chorobami periférnych ciev a/alebo cerebrovaskulárnym ochorením majú byť </w:t>
      </w:r>
      <w:r w:rsidR="00361329" w:rsidRPr="008930FF">
        <w:rPr>
          <w:sz w:val="22"/>
          <w:szCs w:val="22"/>
        </w:rPr>
        <w:t xml:space="preserve">preto </w:t>
      </w:r>
      <w:r w:rsidR="004E5656" w:rsidRPr="008930FF">
        <w:rPr>
          <w:sz w:val="22"/>
          <w:szCs w:val="22"/>
        </w:rPr>
        <w:t xml:space="preserve">liečení </w:t>
      </w:r>
      <w:proofErr w:type="spellStart"/>
      <w:r w:rsidR="006E3546" w:rsidRPr="008930FF">
        <w:rPr>
          <w:sz w:val="22"/>
          <w:szCs w:val="22"/>
        </w:rPr>
        <w:t>dexketoprofén</w:t>
      </w:r>
      <w:r w:rsidRPr="008930FF">
        <w:rPr>
          <w:sz w:val="22"/>
          <w:szCs w:val="22"/>
        </w:rPr>
        <w:t>-</w:t>
      </w:r>
      <w:r w:rsidR="004E5656" w:rsidRPr="008930FF">
        <w:rPr>
          <w:sz w:val="22"/>
          <w:szCs w:val="22"/>
        </w:rPr>
        <w:t>trometamolom</w:t>
      </w:r>
      <w:proofErr w:type="spellEnd"/>
      <w:r w:rsidR="004E5656" w:rsidRPr="008930FF">
        <w:rPr>
          <w:sz w:val="22"/>
          <w:szCs w:val="22"/>
        </w:rPr>
        <w:t xml:space="preserve"> len po starostlivom zvážení. Podobne by sa malo zvážiť začatie dlhodob</w:t>
      </w:r>
      <w:r w:rsidR="00361329" w:rsidRPr="008930FF">
        <w:rPr>
          <w:sz w:val="22"/>
          <w:szCs w:val="22"/>
        </w:rPr>
        <w:t>ej</w:t>
      </w:r>
      <w:r w:rsidR="004E5656" w:rsidRPr="008930FF">
        <w:rPr>
          <w:sz w:val="22"/>
          <w:szCs w:val="22"/>
        </w:rPr>
        <w:t xml:space="preserve"> liečby u pacientov s rizikovými faktormi pre kardiovaskulárne ochorenie (napr. hypertenzia, </w:t>
      </w:r>
      <w:proofErr w:type="spellStart"/>
      <w:r w:rsidR="004E5656" w:rsidRPr="008930FF">
        <w:rPr>
          <w:sz w:val="22"/>
          <w:szCs w:val="22"/>
        </w:rPr>
        <w:t>hyperlipidémia</w:t>
      </w:r>
      <w:proofErr w:type="spellEnd"/>
      <w:r w:rsidR="004E5656" w:rsidRPr="008930FF">
        <w:rPr>
          <w:sz w:val="22"/>
          <w:szCs w:val="22"/>
        </w:rPr>
        <w:t>, diabetes mellitus, fajčenie).</w:t>
      </w:r>
    </w:p>
    <w:p w14:paraId="5A7F6FF0" w14:textId="77777777" w:rsidR="004E5656" w:rsidRPr="008930FF" w:rsidRDefault="004E5656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65F634F5" w14:textId="1C8554A0" w:rsidR="004E5656" w:rsidRPr="008930FF" w:rsidRDefault="004E5656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Všetky neselektívne NSAID môžu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inhibovať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agregáciu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krvných doštičiek a predlžovať čas krvácania cez inhibíciu syntézy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prostaglandín</w:t>
      </w:r>
      <w:r w:rsidR="00361329" w:rsidRPr="008930FF">
        <w:rPr>
          <w:rFonts w:ascii="Times New Roman" w:hAnsi="Times New Roman" w:cs="Times New Roman"/>
          <w:sz w:val="22"/>
          <w:szCs w:val="22"/>
          <w:lang w:val="sk-SK"/>
        </w:rPr>
        <w:t>ov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r w:rsidR="007B5FCF" w:rsidRPr="008930FF">
        <w:rPr>
          <w:rFonts w:ascii="Times New Roman" w:hAnsi="Times New Roman" w:cs="Times New Roman"/>
          <w:sz w:val="22"/>
          <w:szCs w:val="22"/>
          <w:lang w:val="sk-SK"/>
        </w:rPr>
        <w:t>Sú</w:t>
      </w:r>
      <w:r w:rsidR="007D2CC5" w:rsidRPr="008930FF">
        <w:rPr>
          <w:rFonts w:ascii="Times New Roman" w:hAnsi="Times New Roman" w:cs="Times New Roman"/>
          <w:sz w:val="22"/>
          <w:szCs w:val="22"/>
          <w:lang w:val="sk-SK"/>
        </w:rPr>
        <w:t>bežné</w:t>
      </w:r>
      <w:r w:rsidR="007B5FC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užívanie </w:t>
      </w:r>
      <w:proofErr w:type="spellStart"/>
      <w:r w:rsidR="006E3546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="00361329" w:rsidRPr="008930FF">
        <w:rPr>
          <w:rFonts w:ascii="Times New Roman" w:hAnsi="Times New Roman" w:cs="Times New Roman"/>
          <w:sz w:val="22"/>
          <w:szCs w:val="22"/>
          <w:lang w:val="sk-SK"/>
        </w:rPr>
        <w:t>-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trometamolu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B5FC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a profylaktických dávok </w:t>
      </w:r>
      <w:proofErr w:type="spellStart"/>
      <w:r w:rsidR="007B5FCF" w:rsidRPr="008930FF">
        <w:rPr>
          <w:rFonts w:ascii="Times New Roman" w:hAnsi="Times New Roman" w:cs="Times New Roman"/>
          <w:sz w:val="22"/>
          <w:szCs w:val="22"/>
          <w:lang w:val="sk-SK"/>
        </w:rPr>
        <w:t>nízkomolekulárn</w:t>
      </w:r>
      <w:r w:rsidR="00361329" w:rsidRPr="008930FF">
        <w:rPr>
          <w:rFonts w:ascii="Times New Roman" w:hAnsi="Times New Roman" w:cs="Times New Roman"/>
          <w:sz w:val="22"/>
          <w:szCs w:val="22"/>
          <w:lang w:val="sk-SK"/>
        </w:rPr>
        <w:t>ych</w:t>
      </w:r>
      <w:proofErr w:type="spellEnd"/>
      <w:r w:rsidR="007B5FC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7B5FCF" w:rsidRPr="008930FF">
        <w:rPr>
          <w:rFonts w:ascii="Times New Roman" w:hAnsi="Times New Roman" w:cs="Times New Roman"/>
          <w:sz w:val="22"/>
          <w:szCs w:val="22"/>
          <w:lang w:val="sk-SK"/>
        </w:rPr>
        <w:t>heparín</w:t>
      </w:r>
      <w:r w:rsidR="00361329" w:rsidRPr="008930FF">
        <w:rPr>
          <w:rFonts w:ascii="Times New Roman" w:hAnsi="Times New Roman" w:cs="Times New Roman"/>
          <w:sz w:val="22"/>
          <w:szCs w:val="22"/>
          <w:lang w:val="sk-SK"/>
        </w:rPr>
        <w:t>ov</w:t>
      </w:r>
      <w:proofErr w:type="spellEnd"/>
      <w:r w:rsidR="007B5FC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v po</w:t>
      </w:r>
      <w:r w:rsidR="007D2CC5" w:rsidRPr="008930FF">
        <w:rPr>
          <w:rFonts w:ascii="Times New Roman" w:hAnsi="Times New Roman" w:cs="Times New Roman"/>
          <w:sz w:val="22"/>
          <w:szCs w:val="22"/>
          <w:lang w:val="sk-SK"/>
        </w:rPr>
        <w:t>o</w:t>
      </w:r>
      <w:r w:rsidR="007B5FC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peračnom období bolo hodnotené v kontrolovaných klinických </w:t>
      </w:r>
      <w:r w:rsidR="00361329" w:rsidRPr="008930FF">
        <w:rPr>
          <w:rFonts w:ascii="Times New Roman" w:hAnsi="Times New Roman" w:cs="Times New Roman"/>
          <w:sz w:val="22"/>
          <w:szCs w:val="22"/>
          <w:lang w:val="sk-SK"/>
        </w:rPr>
        <w:t>skúšaniach</w:t>
      </w:r>
      <w:r w:rsidR="007B5FCF" w:rsidRPr="008930FF">
        <w:rPr>
          <w:rFonts w:ascii="Times New Roman" w:hAnsi="Times New Roman" w:cs="Times New Roman"/>
          <w:sz w:val="22"/>
          <w:szCs w:val="22"/>
          <w:lang w:val="sk-SK"/>
        </w:rPr>
        <w:t>, pričom nebol pozorovaný žiadny účinok na koagulačné parametre.</w:t>
      </w:r>
      <w:r w:rsidR="00C14881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361329" w:rsidRPr="008930FF"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C14881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acienti,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ktorí </w:t>
      </w:r>
      <w:r w:rsidR="0036132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však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užívajú iné lieky, ktoré </w:t>
      </w:r>
      <w:r w:rsidR="00A138F8" w:rsidRPr="008930FF">
        <w:rPr>
          <w:rFonts w:ascii="Times New Roman" w:hAnsi="Times New Roman" w:cs="Times New Roman"/>
          <w:sz w:val="22"/>
          <w:szCs w:val="22"/>
          <w:lang w:val="sk-SK"/>
        </w:rPr>
        <w:t>zasahujú do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hemostáz</w:t>
      </w:r>
      <w:r w:rsidR="00A138F8" w:rsidRPr="008930FF">
        <w:rPr>
          <w:rFonts w:ascii="Times New Roman" w:hAnsi="Times New Roman" w:cs="Times New Roman"/>
          <w:sz w:val="22"/>
          <w:szCs w:val="22"/>
          <w:lang w:val="sk-SK"/>
        </w:rPr>
        <w:t>y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ako je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warfarín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alebo iné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kumaríny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heparíny</w:t>
      </w:r>
      <w:proofErr w:type="spellEnd"/>
      <w:r w:rsidR="007B5FCF" w:rsidRPr="008930FF">
        <w:rPr>
          <w:rFonts w:ascii="Times New Roman" w:hAnsi="Times New Roman" w:cs="Times New Roman"/>
          <w:sz w:val="22"/>
          <w:szCs w:val="22"/>
          <w:lang w:val="sk-SK"/>
        </w:rPr>
        <w:t>, musia byť starostlivo sledovaní</w:t>
      </w:r>
      <w:r w:rsidR="00A138F8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ak im je podávaný </w:t>
      </w:r>
      <w:proofErr w:type="spellStart"/>
      <w:r w:rsidR="006E3546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="00361329" w:rsidRPr="008930FF">
        <w:rPr>
          <w:rFonts w:ascii="Times New Roman" w:hAnsi="Times New Roman" w:cs="Times New Roman"/>
          <w:sz w:val="22"/>
          <w:szCs w:val="22"/>
          <w:lang w:val="sk-SK"/>
        </w:rPr>
        <w:t>-</w:t>
      </w:r>
      <w:r w:rsidR="005F3FBB" w:rsidRPr="008930FF">
        <w:rPr>
          <w:rFonts w:ascii="Times New Roman" w:hAnsi="Times New Roman" w:cs="Times New Roman"/>
          <w:sz w:val="22"/>
          <w:szCs w:val="22"/>
          <w:lang w:val="sk-SK"/>
        </w:rPr>
        <w:t>t</w:t>
      </w:r>
      <w:r w:rsidR="00A138F8" w:rsidRPr="008930FF">
        <w:rPr>
          <w:rFonts w:ascii="Times New Roman" w:hAnsi="Times New Roman" w:cs="Times New Roman"/>
          <w:sz w:val="22"/>
          <w:szCs w:val="22"/>
          <w:lang w:val="sk-SK"/>
        </w:rPr>
        <w:t>rometamol</w:t>
      </w:r>
      <w:proofErr w:type="spellEnd"/>
      <w:r w:rsidR="00A138F8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(pozri časť 4.5).</w:t>
      </w:r>
    </w:p>
    <w:p w14:paraId="315A94FD" w14:textId="77777777" w:rsidR="007B5FCF" w:rsidRPr="008930FF" w:rsidRDefault="007B5FCF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7B127CA8" w14:textId="57FA0386" w:rsidR="003836B3" w:rsidRPr="008930FF" w:rsidRDefault="003836B3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U starších pacientov je vyššia pravdepodobnosť po</w:t>
      </w:r>
      <w:r w:rsidR="007D2CC5" w:rsidRPr="008930FF">
        <w:rPr>
          <w:rFonts w:ascii="Times New Roman" w:hAnsi="Times New Roman" w:cs="Times New Roman"/>
          <w:sz w:val="22"/>
          <w:szCs w:val="22"/>
          <w:lang w:val="sk-SK"/>
        </w:rPr>
        <w:t>ruchy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B81CC3" w:rsidRPr="008930FF">
        <w:rPr>
          <w:rFonts w:ascii="Times New Roman" w:hAnsi="Times New Roman" w:cs="Times New Roman"/>
          <w:sz w:val="22"/>
          <w:szCs w:val="22"/>
          <w:lang w:val="sk-SK"/>
        </w:rPr>
        <w:t>obličkových</w:t>
      </w:r>
      <w:r w:rsidR="00C74B8E" w:rsidRPr="008930FF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B81CC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kardiovaskulárnych </w:t>
      </w:r>
      <w:r w:rsidR="00B81CC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alebo pečeňových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funkcií (pozri časť 4.2).</w:t>
      </w:r>
    </w:p>
    <w:p w14:paraId="0F453591" w14:textId="77777777" w:rsidR="003836B3" w:rsidRPr="008930FF" w:rsidRDefault="003836B3" w:rsidP="00792238">
      <w:pPr>
        <w:pStyle w:val="Vchoz"/>
        <w:ind w:left="0" w:firstLine="0"/>
        <w:jc w:val="left"/>
        <w:rPr>
          <w:rFonts w:ascii="Times New Roman" w:hAnsi="Times New Roman" w:cs="Times New Roman"/>
          <w:strike/>
          <w:sz w:val="22"/>
          <w:szCs w:val="22"/>
          <w:lang w:val="sk-SK"/>
        </w:rPr>
      </w:pPr>
    </w:p>
    <w:p w14:paraId="6D24AAF4" w14:textId="77777777" w:rsidR="004E5656" w:rsidRPr="008930FF" w:rsidRDefault="004E5656" w:rsidP="00792238">
      <w:pPr>
        <w:tabs>
          <w:tab w:val="left" w:pos="0"/>
        </w:tabs>
        <w:spacing w:line="288" w:lineRule="auto"/>
        <w:rPr>
          <w:i/>
          <w:color w:val="FF0000"/>
          <w:sz w:val="22"/>
          <w:szCs w:val="22"/>
        </w:rPr>
      </w:pPr>
      <w:r w:rsidRPr="008930FF">
        <w:rPr>
          <w:i/>
          <w:snapToGrid w:val="0"/>
          <w:sz w:val="22"/>
          <w:szCs w:val="22"/>
          <w:lang w:eastAsia="it-IT"/>
        </w:rPr>
        <w:t>Kožné reakcie</w:t>
      </w:r>
      <w:r w:rsidR="00E13D9D" w:rsidRPr="008930FF">
        <w:rPr>
          <w:i/>
          <w:snapToGrid w:val="0"/>
          <w:sz w:val="22"/>
          <w:szCs w:val="22"/>
          <w:lang w:eastAsia="it-IT"/>
        </w:rPr>
        <w:t>:</w:t>
      </w:r>
    </w:p>
    <w:p w14:paraId="32BF4415" w14:textId="062FFE5E" w:rsidR="004E5656" w:rsidRPr="008930FF" w:rsidRDefault="004E5656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V súvislosti s užívaním NSAID boli v</w:t>
      </w:r>
      <w:r w:rsidR="0038519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eľmi zriedkavo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hlásené závažné kožné reakcie</w:t>
      </w:r>
      <w:r w:rsidR="005F3FBB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niek</w:t>
      </w:r>
      <w:r w:rsidR="00385192" w:rsidRPr="008930FF">
        <w:rPr>
          <w:rFonts w:ascii="Times New Roman" w:hAnsi="Times New Roman" w:cs="Times New Roman"/>
          <w:sz w:val="22"/>
          <w:szCs w:val="22"/>
          <w:lang w:val="sk-SK"/>
        </w:rPr>
        <w:t>toré z nich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 fatálne, vrátane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exfoliatívnej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dermatitídy,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Stevensovho-Johnsonovho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syndrómu a toxickej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epidermálnej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nekrolýzy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>. Najväčšie riziko týchto reakcií sa objavuje u pacientov na začiatku liečby</w:t>
      </w:r>
      <w:r w:rsidR="005B1C58" w:rsidRPr="008930FF">
        <w:rPr>
          <w:rFonts w:ascii="Times New Roman" w:hAnsi="Times New Roman" w:cs="Times New Roman"/>
          <w:sz w:val="22"/>
          <w:szCs w:val="22"/>
          <w:lang w:val="sk-SK"/>
        </w:rPr>
        <w:t>: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tieto reakcie sa vo väčšine prípadov vyskytujú v prvom mesiaci liečby. </w:t>
      </w:r>
      <w:r w:rsidR="006D1649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="00A079A1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sa </w:t>
      </w:r>
      <w:r w:rsidR="0038519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musí vysadiť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pri objavení prvých príznakov kožnej vyrážky, lézií na slizniciach alebo akýchkoľvek iných pr</w:t>
      </w:r>
      <w:r w:rsidR="005B1C58" w:rsidRPr="008930FF">
        <w:rPr>
          <w:rFonts w:ascii="Times New Roman" w:hAnsi="Times New Roman" w:cs="Times New Roman"/>
          <w:sz w:val="22"/>
          <w:szCs w:val="22"/>
          <w:lang w:val="sk-SK"/>
        </w:rPr>
        <w:t>ejavov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hypersenzitivity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6EA3B3C4" w14:textId="77777777" w:rsidR="004E5656" w:rsidRPr="008930FF" w:rsidRDefault="004E5656" w:rsidP="00792238">
      <w:pPr>
        <w:pStyle w:val="Vchoz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193453C0" w14:textId="77777777" w:rsidR="004E5656" w:rsidRPr="008930FF" w:rsidRDefault="004E5656" w:rsidP="00792238">
      <w:pPr>
        <w:pStyle w:val="Vchoz"/>
        <w:ind w:left="0" w:firstLine="0"/>
        <w:jc w:val="left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i/>
          <w:sz w:val="22"/>
          <w:szCs w:val="22"/>
          <w:lang w:val="sk-SK"/>
        </w:rPr>
        <w:t>Ďalšie informácie</w:t>
      </w:r>
      <w:r w:rsidR="00E13D9D" w:rsidRPr="008930FF">
        <w:rPr>
          <w:rFonts w:ascii="Times New Roman" w:hAnsi="Times New Roman" w:cs="Times New Roman"/>
          <w:i/>
          <w:sz w:val="22"/>
          <w:szCs w:val="22"/>
          <w:lang w:val="sk-SK"/>
        </w:rPr>
        <w:t>:</w:t>
      </w:r>
    </w:p>
    <w:p w14:paraId="077DB5CF" w14:textId="77777777" w:rsidR="004E5656" w:rsidRPr="008930FF" w:rsidRDefault="004E5656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Osobitná opatrnosť je potrebná u pacientov:</w:t>
      </w:r>
    </w:p>
    <w:p w14:paraId="7CB47D7E" w14:textId="77777777" w:rsidR="00385192" w:rsidRPr="008930FF" w:rsidRDefault="004E5656" w:rsidP="00D24D49">
      <w:pPr>
        <w:pStyle w:val="Vchoz"/>
        <w:numPr>
          <w:ilvl w:val="0"/>
          <w:numId w:val="21"/>
        </w:numPr>
        <w:ind w:left="426" w:hanging="426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s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kongenitálnou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poruchou metabolizmu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porfyrínu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(napr. akútna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intermitentná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porfýria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333F4CED" w14:textId="77777777" w:rsidR="00385192" w:rsidRPr="008930FF" w:rsidRDefault="004E5656" w:rsidP="00D24D49">
      <w:pPr>
        <w:pStyle w:val="Vchoz"/>
        <w:numPr>
          <w:ilvl w:val="0"/>
          <w:numId w:val="21"/>
        </w:numPr>
        <w:ind w:left="426" w:hanging="426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s dehydratáciou </w:t>
      </w:r>
    </w:p>
    <w:p w14:paraId="1E76E735" w14:textId="4ED11610" w:rsidR="004E5656" w:rsidRPr="008930FF" w:rsidRDefault="00717580" w:rsidP="00D24D49">
      <w:pPr>
        <w:pStyle w:val="Vchoz"/>
        <w:numPr>
          <w:ilvl w:val="0"/>
          <w:numId w:val="21"/>
        </w:numPr>
        <w:ind w:left="426" w:hanging="426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hneď</w:t>
      </w:r>
      <w:r w:rsidR="004E565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po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rozsiahlom</w:t>
      </w:r>
      <w:r w:rsidR="004E565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chirurgickom zákroku</w:t>
      </w:r>
    </w:p>
    <w:p w14:paraId="52909E31" w14:textId="77777777" w:rsidR="004E5656" w:rsidRPr="008930FF" w:rsidRDefault="004E5656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111191A6" w14:textId="77777777" w:rsidR="004E5656" w:rsidRPr="008930FF" w:rsidRDefault="004E5656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Ak lekár rozhodne, že dlhodobá liečba </w:t>
      </w:r>
      <w:proofErr w:type="spellStart"/>
      <w:r w:rsidR="006E3546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om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je nevyhnutná, majú byť pravidelne kontrolované pečeňové a </w:t>
      </w:r>
      <w:r w:rsidR="00385192" w:rsidRPr="008930FF">
        <w:rPr>
          <w:rFonts w:ascii="Times New Roman" w:hAnsi="Times New Roman" w:cs="Times New Roman"/>
          <w:sz w:val="22"/>
          <w:szCs w:val="22"/>
          <w:lang w:val="sk-SK"/>
        </w:rPr>
        <w:t>obličkové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funkcie a krvný obraz.</w:t>
      </w:r>
    </w:p>
    <w:p w14:paraId="6A0D4A98" w14:textId="77777777" w:rsidR="004E5656" w:rsidRPr="008930FF" w:rsidRDefault="004E5656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1AF39964" w14:textId="13A55655" w:rsidR="004E5656" w:rsidRPr="008930FF" w:rsidRDefault="004E5656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Vo veľmi zriedkavých prípadoch sa pozorovali závažné akútne reakcie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hypersenzitivity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(napr. anafylaktický šok). Pri prvých pr</w:t>
      </w:r>
      <w:r w:rsidR="00DB109A" w:rsidRPr="008930FF">
        <w:rPr>
          <w:rFonts w:ascii="Times New Roman" w:hAnsi="Times New Roman" w:cs="Times New Roman"/>
          <w:sz w:val="22"/>
          <w:szCs w:val="22"/>
          <w:lang w:val="sk-SK"/>
        </w:rPr>
        <w:t>ejavoch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závažných reakcií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hypersenzitivity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po podaní</w:t>
      </w:r>
      <w:r w:rsidR="006F42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DEXKETOPROFENU ADAMED injekčn</w:t>
      </w:r>
      <w:r w:rsidR="00BC06E7" w:rsidRPr="008930FF">
        <w:rPr>
          <w:rFonts w:ascii="Times New Roman" w:hAnsi="Times New Roman" w:cs="Times New Roman"/>
          <w:sz w:val="22"/>
          <w:szCs w:val="22"/>
          <w:lang w:val="sk-SK"/>
        </w:rPr>
        <w:t>ého</w:t>
      </w:r>
      <w:r w:rsidR="006F422A" w:rsidRPr="008930FF">
        <w:rPr>
          <w:rFonts w:ascii="Times New Roman" w:hAnsi="Times New Roman" w:cs="Times New Roman"/>
          <w:sz w:val="22"/>
          <w:szCs w:val="22"/>
          <w:lang w:val="sk-SK"/>
        </w:rPr>
        <w:t>/infúzn</w:t>
      </w:r>
      <w:r w:rsidR="00BC06E7" w:rsidRPr="008930FF">
        <w:rPr>
          <w:rFonts w:ascii="Times New Roman" w:hAnsi="Times New Roman" w:cs="Times New Roman"/>
          <w:sz w:val="22"/>
          <w:szCs w:val="22"/>
          <w:lang w:val="sk-SK"/>
        </w:rPr>
        <w:t>eho</w:t>
      </w:r>
      <w:r w:rsidR="006F42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roztoku</w:t>
      </w:r>
      <w:r w:rsidR="006F422A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sa liečba musí ukončiť. V závislosti od príznakov musí byť medicínsk</w:t>
      </w:r>
      <w:r w:rsidR="00DB109A" w:rsidRPr="008930FF">
        <w:rPr>
          <w:rFonts w:ascii="Times New Roman" w:hAnsi="Times New Roman" w:cs="Times New Roman"/>
          <w:sz w:val="22"/>
          <w:szCs w:val="22"/>
          <w:lang w:val="sk-SK"/>
        </w:rPr>
        <w:t>a intervencia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za</w:t>
      </w:r>
      <w:r w:rsidR="00DB109A" w:rsidRPr="008930FF">
        <w:rPr>
          <w:rFonts w:ascii="Times New Roman" w:hAnsi="Times New Roman" w:cs="Times New Roman"/>
          <w:sz w:val="22"/>
          <w:szCs w:val="22"/>
          <w:lang w:val="sk-SK"/>
        </w:rPr>
        <w:t>čatá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odbornými zdravotníckymi pracovníkmi. </w:t>
      </w:r>
    </w:p>
    <w:p w14:paraId="0E504196" w14:textId="77777777" w:rsidR="004E5656" w:rsidRPr="008930FF" w:rsidRDefault="004E5656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37F0CA12" w14:textId="77777777" w:rsidR="004E5656" w:rsidRPr="008930FF" w:rsidRDefault="004E5656" w:rsidP="00DA4426">
      <w:pPr>
        <w:pStyle w:val="Vchoz"/>
        <w:ind w:left="0" w:firstLine="0"/>
        <w:jc w:val="left"/>
        <w:rPr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U pacientov s astmou kombinovanou s chronickou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rinitídou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chronickou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sinusitídou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a/alebo nazálnou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polypózou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je vyššie riziko alergie na kyselinu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acetylsalicylovú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a/alebo NSAID ako u</w:t>
      </w:r>
      <w:r w:rsidR="00385192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ostatnej populácie. Užívanie tohto lieku môže vyvolať astmatické záchvaty alebo bronchospazmus, najmä u ľudí alergických na kyselinu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acetylsalicylovú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alebo NSAID (pozri časť 4.3).</w:t>
      </w:r>
    </w:p>
    <w:p w14:paraId="2B84DF52" w14:textId="77777777" w:rsidR="0013331B" w:rsidRPr="008930FF" w:rsidRDefault="0013331B" w:rsidP="00DA4426">
      <w:pPr>
        <w:pStyle w:val="Vchoz"/>
        <w:ind w:left="0" w:firstLine="0"/>
        <w:jc w:val="left"/>
        <w:rPr>
          <w:sz w:val="22"/>
          <w:szCs w:val="22"/>
          <w:lang w:val="sk-SK"/>
        </w:rPr>
      </w:pPr>
    </w:p>
    <w:p w14:paraId="23780AE8" w14:textId="0B4ED82A" w:rsidR="004E5656" w:rsidRPr="008930FF" w:rsidRDefault="004E5656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Vo výnimočných prípadoch môžu byť ovčie kiahne </w:t>
      </w:r>
      <w:r w:rsidR="00DB109A" w:rsidRPr="008930FF">
        <w:rPr>
          <w:rFonts w:ascii="Times New Roman" w:hAnsi="Times New Roman" w:cs="Times New Roman"/>
          <w:sz w:val="22"/>
          <w:szCs w:val="22"/>
          <w:lang w:val="sk-SK"/>
        </w:rPr>
        <w:t>dôvodom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vzniku závažných infekčných komplikácií kože a mäkkých tkanív. Doteraz nemožno vylúčiť, </w:t>
      </w:r>
      <w:r w:rsidR="00DB109A" w:rsidRPr="008930FF">
        <w:rPr>
          <w:rFonts w:ascii="Times New Roman" w:hAnsi="Times New Roman" w:cs="Times New Roman"/>
          <w:sz w:val="22"/>
          <w:szCs w:val="22"/>
          <w:lang w:val="sk-SK"/>
        </w:rPr>
        <w:t>či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NSAID neprispievajú k</w:t>
      </w:r>
      <w:r w:rsidR="00C7373F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zhoršeniu týchto infekcií. Preto sa odporúča, aby sa </w:t>
      </w:r>
      <w:r w:rsidR="006F422A" w:rsidRPr="008930FF">
        <w:rPr>
          <w:rFonts w:ascii="Times New Roman" w:hAnsi="Times New Roman" w:cs="Times New Roman"/>
          <w:sz w:val="22"/>
          <w:szCs w:val="22"/>
          <w:lang w:val="sk-SK"/>
        </w:rPr>
        <w:t>DEXKETOPROFEN ADAMED injekčný/infúzny roztok</w:t>
      </w:r>
      <w:r w:rsidR="006F422A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ne</w:t>
      </w:r>
      <w:r w:rsidR="00DB109A" w:rsidRPr="008930FF">
        <w:rPr>
          <w:rFonts w:ascii="Times New Roman" w:hAnsi="Times New Roman" w:cs="Times New Roman"/>
          <w:sz w:val="22"/>
          <w:szCs w:val="22"/>
          <w:lang w:val="sk-SK"/>
        </w:rPr>
        <w:t>po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užíval v prípade ovčích kiahní. </w:t>
      </w:r>
    </w:p>
    <w:p w14:paraId="4F473003" w14:textId="77777777" w:rsidR="004E5656" w:rsidRPr="008930FF" w:rsidRDefault="004E5656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7909B2BC" w14:textId="69BAE5A8" w:rsidR="00C51A2A" w:rsidRPr="008930FF" w:rsidRDefault="00C82863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DEXKETOPROFEN ADAMED </w:t>
      </w:r>
      <w:r w:rsidR="00BC06E7" w:rsidRPr="008930FF">
        <w:rPr>
          <w:rFonts w:ascii="Times New Roman" w:hAnsi="Times New Roman" w:cs="Times New Roman"/>
          <w:sz w:val="22"/>
          <w:szCs w:val="22"/>
          <w:lang w:val="sk-SK"/>
        </w:rPr>
        <w:t>injekčný/infúzny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roztok</w:t>
      </w:r>
      <w:r w:rsidRPr="008930FF">
        <w:rPr>
          <w:rStyle w:val="Odkaznakomentr"/>
          <w:rFonts w:ascii="Times New Roman" w:hAnsi="Times New Roman"/>
          <w:lang w:val="sk-SK"/>
        </w:rPr>
        <w:t xml:space="preserve"> </w:t>
      </w:r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>sa má podávať s opatrnosťou u</w:t>
      </w:r>
      <w:r w:rsidR="006D1649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>paciento</w:t>
      </w:r>
      <w:r w:rsidR="00DB109A" w:rsidRPr="008930FF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6D164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5134CB" w:rsidRPr="008930FF">
        <w:rPr>
          <w:rFonts w:ascii="Times New Roman" w:hAnsi="Times New Roman" w:cs="Times New Roman"/>
          <w:sz w:val="22"/>
          <w:szCs w:val="22"/>
          <w:lang w:val="sk-SK"/>
        </w:rPr>
        <w:t>s poruchami krvotvorby</w:t>
      </w:r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>, systémový</w:t>
      </w:r>
      <w:r w:rsidR="005134CB" w:rsidRPr="008930FF">
        <w:rPr>
          <w:rFonts w:ascii="Times New Roman" w:hAnsi="Times New Roman" w:cs="Times New Roman"/>
          <w:sz w:val="22"/>
          <w:szCs w:val="22"/>
          <w:lang w:val="sk-SK"/>
        </w:rPr>
        <w:t>m</w:t>
      </w:r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>lupus</w:t>
      </w:r>
      <w:proofErr w:type="spellEnd"/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>eryt</w:t>
      </w:r>
      <w:r w:rsidR="00A15DF1" w:rsidRPr="008930FF">
        <w:rPr>
          <w:rFonts w:ascii="Times New Roman" w:hAnsi="Times New Roman" w:cs="Times New Roman"/>
          <w:sz w:val="22"/>
          <w:szCs w:val="22"/>
          <w:lang w:val="sk-SK"/>
        </w:rPr>
        <w:t>h</w:t>
      </w:r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>ematosus</w:t>
      </w:r>
      <w:proofErr w:type="spellEnd"/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r w:rsidR="005134CB" w:rsidRPr="008930FF">
        <w:rPr>
          <w:rFonts w:ascii="Times New Roman" w:hAnsi="Times New Roman" w:cs="Times New Roman"/>
          <w:sz w:val="22"/>
          <w:szCs w:val="22"/>
          <w:lang w:val="sk-SK"/>
        </w:rPr>
        <w:t>zmiešan</w:t>
      </w:r>
      <w:r w:rsidR="006E3881" w:rsidRPr="008930FF">
        <w:rPr>
          <w:rFonts w:ascii="Times New Roman" w:hAnsi="Times New Roman" w:cs="Times New Roman"/>
          <w:sz w:val="22"/>
          <w:szCs w:val="22"/>
          <w:lang w:val="sk-SK"/>
        </w:rPr>
        <w:t>ým</w:t>
      </w:r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ochoren</w:t>
      </w:r>
      <w:r w:rsidR="006E3881" w:rsidRPr="008930FF">
        <w:rPr>
          <w:rFonts w:ascii="Times New Roman" w:hAnsi="Times New Roman" w:cs="Times New Roman"/>
          <w:sz w:val="22"/>
          <w:szCs w:val="22"/>
          <w:lang w:val="sk-SK"/>
        </w:rPr>
        <w:t>ím</w:t>
      </w:r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spojivového tkaniva.</w:t>
      </w:r>
    </w:p>
    <w:p w14:paraId="041AD9BA" w14:textId="77777777" w:rsidR="006B3C7F" w:rsidRPr="008930FF" w:rsidRDefault="006B3C7F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151F58C3" w14:textId="420957CA" w:rsidR="00C51A2A" w:rsidRPr="008930FF" w:rsidRDefault="00C51A2A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Rovnako ako iné NSAID</w:t>
      </w:r>
      <w:r w:rsidR="00DB109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aj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6E3546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môže maskovať symptómy infekčných ochorení. V ojedinelých prípadoch bolo </w:t>
      </w:r>
      <w:r w:rsidR="006B3C7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popísané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zhoršenie infekcie mäkkých tkanív </w:t>
      </w:r>
      <w:r w:rsidR="006B3C7F" w:rsidRPr="008930FF">
        <w:rPr>
          <w:rFonts w:ascii="Times New Roman" w:hAnsi="Times New Roman" w:cs="Times New Roman"/>
          <w:sz w:val="22"/>
          <w:szCs w:val="22"/>
          <w:lang w:val="sk-SK"/>
        </w:rPr>
        <w:t>v časovej súvislosti s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 podávaní</w:t>
      </w:r>
      <w:r w:rsidR="006B3C7F" w:rsidRPr="008930FF">
        <w:rPr>
          <w:rFonts w:ascii="Times New Roman" w:hAnsi="Times New Roman" w:cs="Times New Roman"/>
          <w:sz w:val="22"/>
          <w:szCs w:val="22"/>
          <w:lang w:val="sk-SK"/>
        </w:rPr>
        <w:t>m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NSAID. Preto sa odporúča pacientom</w:t>
      </w:r>
      <w:r w:rsidR="006B3C7F" w:rsidRPr="008930FF">
        <w:rPr>
          <w:rFonts w:ascii="Times New Roman" w:hAnsi="Times New Roman" w:cs="Times New Roman"/>
          <w:sz w:val="22"/>
          <w:szCs w:val="22"/>
          <w:lang w:val="sk-SK"/>
        </w:rPr>
        <w:t>, aby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B3C7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sa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pri prejavoch </w:t>
      </w:r>
      <w:r w:rsidR="006B3C7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výskytu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bakteriálnej infekcie alebo zhoršen</w:t>
      </w:r>
      <w:r w:rsidR="006B3C7F" w:rsidRPr="008930FF">
        <w:rPr>
          <w:rFonts w:ascii="Times New Roman" w:hAnsi="Times New Roman" w:cs="Times New Roman"/>
          <w:sz w:val="22"/>
          <w:szCs w:val="22"/>
          <w:lang w:val="sk-SK"/>
        </w:rPr>
        <w:t>ia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stavu počas liečby </w:t>
      </w:r>
      <w:r w:rsidR="006B3C7F" w:rsidRPr="008930FF">
        <w:rPr>
          <w:rFonts w:ascii="Times New Roman" w:hAnsi="Times New Roman" w:cs="Times New Roman"/>
          <w:sz w:val="22"/>
          <w:szCs w:val="22"/>
          <w:lang w:val="sk-SK"/>
        </w:rPr>
        <w:t>ihneď poradili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 lekárom.</w:t>
      </w:r>
    </w:p>
    <w:p w14:paraId="6E9D0069" w14:textId="77777777" w:rsidR="006D5B40" w:rsidRPr="008930FF" w:rsidRDefault="006D5B40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1825B89A" w14:textId="08DE4364" w:rsidR="001D7070" w:rsidRPr="008930FF" w:rsidRDefault="004C5240" w:rsidP="00792238">
      <w:pPr>
        <w:pStyle w:val="Vchoz"/>
        <w:ind w:left="0" w:firstLine="0"/>
        <w:jc w:val="left"/>
        <w:outlineLvl w:val="0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Každá ampulka </w:t>
      </w:r>
      <w:r w:rsidR="00C8286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DEXKETOPROFENU ADAMED </w:t>
      </w:r>
      <w:r w:rsidR="00BC06E7" w:rsidRPr="008930FF">
        <w:rPr>
          <w:rFonts w:ascii="Times New Roman" w:hAnsi="Times New Roman" w:cs="Times New Roman"/>
          <w:sz w:val="22"/>
          <w:szCs w:val="22"/>
          <w:lang w:val="sk-SK"/>
        </w:rPr>
        <w:t>injekčn</w:t>
      </w:r>
      <w:r w:rsidR="00B81CC3" w:rsidRPr="008930FF">
        <w:rPr>
          <w:rFonts w:ascii="Times New Roman" w:hAnsi="Times New Roman" w:cs="Times New Roman"/>
          <w:sz w:val="22"/>
          <w:szCs w:val="22"/>
          <w:lang w:val="sk-SK"/>
        </w:rPr>
        <w:t>ého</w:t>
      </w:r>
      <w:r w:rsidR="00BC06E7" w:rsidRPr="008930FF">
        <w:rPr>
          <w:rFonts w:ascii="Times New Roman" w:hAnsi="Times New Roman" w:cs="Times New Roman"/>
          <w:sz w:val="22"/>
          <w:szCs w:val="22"/>
          <w:lang w:val="sk-SK"/>
        </w:rPr>
        <w:t>/infúzn</w:t>
      </w:r>
      <w:r w:rsidR="00B81CC3" w:rsidRPr="008930FF">
        <w:rPr>
          <w:rFonts w:ascii="Times New Roman" w:hAnsi="Times New Roman" w:cs="Times New Roman"/>
          <w:sz w:val="22"/>
          <w:szCs w:val="22"/>
          <w:lang w:val="sk-SK"/>
        </w:rPr>
        <w:t>eho</w:t>
      </w:r>
      <w:r w:rsidR="00C8286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roztoku</w:t>
      </w:r>
      <w:r w:rsidR="00C82863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="0050107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obsahuje 200 mg etanolu, </w:t>
      </w:r>
      <w:r w:rsidR="00B768D3" w:rsidRPr="008930FF">
        <w:rPr>
          <w:rFonts w:ascii="Times New Roman" w:hAnsi="Times New Roman" w:cs="Times New Roman"/>
          <w:sz w:val="22"/>
          <w:szCs w:val="22"/>
          <w:lang w:val="sk-SK"/>
        </w:rPr>
        <w:t>čo zodpovedá</w:t>
      </w:r>
      <w:r w:rsidR="0050107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5 ml piva alebo 2,08 ml vína</w:t>
      </w:r>
      <w:r w:rsidR="00B768D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v jednej dávke</w:t>
      </w:r>
      <w:r w:rsidR="008B48E9"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E94138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B768D3" w:rsidRPr="008930FF">
        <w:rPr>
          <w:rFonts w:ascii="Times New Roman" w:hAnsi="Times New Roman" w:cs="Times New Roman"/>
          <w:sz w:val="22"/>
          <w:szCs w:val="22"/>
          <w:lang w:val="sk-SK"/>
        </w:rPr>
        <w:t>Škodliv</w:t>
      </w:r>
      <w:r w:rsidR="003A0F1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é </w:t>
      </w:r>
      <w:r w:rsidR="00B768D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pre </w:t>
      </w:r>
      <w:r w:rsidR="003A0F1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tých, ktorí </w:t>
      </w:r>
      <w:r w:rsidR="00B768D3" w:rsidRPr="008930FF">
        <w:rPr>
          <w:rFonts w:ascii="Times New Roman" w:hAnsi="Times New Roman" w:cs="Times New Roman"/>
          <w:sz w:val="22"/>
          <w:szCs w:val="22"/>
          <w:lang w:val="sk-SK"/>
        </w:rPr>
        <w:t>trpia alkoholizmom</w:t>
      </w:r>
      <w:r w:rsidR="008B48E9"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1D7070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7A27BA8B" w14:textId="77777777" w:rsidR="00E94138" w:rsidRPr="008930FF" w:rsidRDefault="00E94138" w:rsidP="003A0F1E">
      <w:pPr>
        <w:pStyle w:val="Vchoz"/>
        <w:ind w:left="0" w:firstLine="0"/>
        <w:outlineLvl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612C5517" w14:textId="77777777" w:rsidR="003A0F1E" w:rsidRPr="008930FF" w:rsidRDefault="003A0F1E" w:rsidP="003A0F1E">
      <w:pPr>
        <w:pStyle w:val="Vchoz"/>
        <w:ind w:left="0" w:firstLine="0"/>
        <w:outlineLvl w:val="0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Musí sa vziať do úvahy u dojčiacich a tehotných žien, detí a vysoko rizikových skupín ako sú pacienti s poruchou funkcie pečene alebo epilepsiou.</w:t>
      </w:r>
    </w:p>
    <w:p w14:paraId="7CC93116" w14:textId="77777777" w:rsidR="001D7070" w:rsidRPr="008930FF" w:rsidRDefault="001D7070" w:rsidP="00792238">
      <w:pPr>
        <w:pStyle w:val="Vchoz"/>
        <w:ind w:left="0" w:firstLine="0"/>
        <w:jc w:val="left"/>
        <w:outlineLvl w:val="0"/>
        <w:rPr>
          <w:rFonts w:ascii="Times New Roman" w:hAnsi="Times New Roman" w:cs="Times New Roman"/>
          <w:color w:val="FF0000"/>
          <w:sz w:val="22"/>
          <w:szCs w:val="22"/>
          <w:lang w:val="sk-SK"/>
        </w:rPr>
      </w:pPr>
    </w:p>
    <w:p w14:paraId="4D6D221C" w14:textId="77777777" w:rsidR="004A0AD9" w:rsidRPr="008930FF" w:rsidRDefault="0050107E" w:rsidP="00792238">
      <w:pPr>
        <w:pStyle w:val="Vchoz"/>
        <w:ind w:left="0" w:firstLine="0"/>
        <w:jc w:val="left"/>
        <w:outlineLvl w:val="0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Tento liek obsahuje menej ako 1 mmol sodíka (23 mg) v jednej dávke</w:t>
      </w:r>
      <w:r w:rsidR="004A0AD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t.j. v podstate </w:t>
      </w:r>
      <w:r w:rsidR="00C7373F" w:rsidRPr="008930FF">
        <w:rPr>
          <w:rFonts w:ascii="Times New Roman" w:hAnsi="Times New Roman" w:cs="Times New Roman"/>
          <w:sz w:val="22"/>
          <w:szCs w:val="22"/>
          <w:lang w:val="sk-SK"/>
        </w:rPr>
        <w:t>zanedbateľné množstvo</w:t>
      </w:r>
      <w:r w:rsidR="004A0AD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sodíka.</w:t>
      </w:r>
    </w:p>
    <w:p w14:paraId="6EC27598" w14:textId="77777777" w:rsidR="00B349A5" w:rsidRPr="008930FF" w:rsidRDefault="00B349A5" w:rsidP="00792238">
      <w:pPr>
        <w:pStyle w:val="Vchoz"/>
        <w:ind w:left="0" w:firstLine="0"/>
        <w:jc w:val="left"/>
        <w:outlineLvl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352637DD" w14:textId="77777777" w:rsidR="000327EB" w:rsidRPr="008930FF" w:rsidRDefault="000327EB" w:rsidP="00792238">
      <w:pPr>
        <w:pStyle w:val="Vchoz"/>
        <w:ind w:left="0" w:firstLine="0"/>
        <w:jc w:val="left"/>
        <w:outlineLvl w:val="0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i/>
          <w:sz w:val="22"/>
          <w:szCs w:val="22"/>
          <w:lang w:val="sk-SK"/>
        </w:rPr>
        <w:t>Pediatrická populácia</w:t>
      </w:r>
      <w:r w:rsidR="00E94138" w:rsidRPr="008930FF">
        <w:rPr>
          <w:rFonts w:ascii="Times New Roman" w:hAnsi="Times New Roman" w:cs="Times New Roman"/>
          <w:i/>
          <w:sz w:val="22"/>
          <w:szCs w:val="22"/>
          <w:lang w:val="sk-SK"/>
        </w:rPr>
        <w:t>:</w:t>
      </w:r>
    </w:p>
    <w:p w14:paraId="1639E5A4" w14:textId="77777777" w:rsidR="000327EB" w:rsidRPr="008930FF" w:rsidRDefault="000327EB" w:rsidP="00792238">
      <w:pPr>
        <w:pStyle w:val="Vchoz"/>
        <w:ind w:left="0" w:firstLine="0"/>
        <w:jc w:val="left"/>
        <w:outlineLvl w:val="0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Bezpečnosť použitia u detí a dospievajúcich nebol</w:t>
      </w:r>
      <w:r w:rsidR="00C7373F" w:rsidRPr="008930FF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stanovená.</w:t>
      </w:r>
    </w:p>
    <w:p w14:paraId="462B7B93" w14:textId="77777777" w:rsidR="00B349A5" w:rsidRPr="008930FF" w:rsidRDefault="00B349A5" w:rsidP="00792238">
      <w:pPr>
        <w:pStyle w:val="Vchoz"/>
        <w:ind w:left="0" w:firstLine="0"/>
        <w:jc w:val="left"/>
        <w:outlineLvl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0D309CAF" w14:textId="77777777" w:rsidR="0043264C" w:rsidRPr="008930FF" w:rsidRDefault="0043264C" w:rsidP="00792238">
      <w:pPr>
        <w:pStyle w:val="Vchoz"/>
        <w:numPr>
          <w:ilvl w:val="1"/>
          <w:numId w:val="9"/>
        </w:numPr>
        <w:ind w:left="0" w:firstLine="0"/>
        <w:jc w:val="lef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Liekové a iné interakcie</w:t>
      </w:r>
    </w:p>
    <w:p w14:paraId="1CF796BB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615E3D67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Nasledujúce interakcie platia všeobecne pre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nesteroid</w:t>
      </w:r>
      <w:r w:rsidR="00A15DF1" w:rsidRPr="008930FF">
        <w:rPr>
          <w:rFonts w:ascii="Times New Roman" w:hAnsi="Times New Roman" w:cs="Times New Roman"/>
          <w:sz w:val="22"/>
          <w:szCs w:val="22"/>
          <w:lang w:val="sk-SK"/>
        </w:rPr>
        <w:t>n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é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protizápalové lieky</w:t>
      </w:r>
      <w:r w:rsidR="006D5B40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F416E1" w:rsidRPr="008930FF">
        <w:rPr>
          <w:rFonts w:ascii="Times New Roman" w:hAnsi="Times New Roman" w:cs="Times New Roman"/>
          <w:sz w:val="22"/>
          <w:szCs w:val="22"/>
          <w:lang w:val="sk-SK"/>
        </w:rPr>
        <w:t>(</w:t>
      </w:r>
      <w:r w:rsidR="006D5B40" w:rsidRPr="008930FF">
        <w:rPr>
          <w:rFonts w:ascii="Times New Roman" w:hAnsi="Times New Roman" w:cs="Times New Roman"/>
          <w:sz w:val="22"/>
          <w:szCs w:val="22"/>
          <w:lang w:val="sk-SK"/>
        </w:rPr>
        <w:t>NSAID):</w:t>
      </w:r>
    </w:p>
    <w:p w14:paraId="77667E78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320EAA92" w14:textId="77777777" w:rsidR="0043264C" w:rsidRPr="008930FF" w:rsidRDefault="00DB63C4" w:rsidP="00792238">
      <w:pPr>
        <w:pStyle w:val="Vchoz"/>
        <w:ind w:left="0" w:firstLine="0"/>
        <w:jc w:val="left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i/>
          <w:sz w:val="22"/>
          <w:szCs w:val="22"/>
          <w:lang w:val="sk-SK"/>
        </w:rPr>
        <w:t>K</w:t>
      </w:r>
      <w:r w:rsidR="0043264C" w:rsidRPr="008930FF">
        <w:rPr>
          <w:rFonts w:ascii="Times New Roman" w:hAnsi="Times New Roman" w:cs="Times New Roman"/>
          <w:i/>
          <w:sz w:val="22"/>
          <w:szCs w:val="22"/>
          <w:lang w:val="sk-SK"/>
        </w:rPr>
        <w:t>ombinácie</w:t>
      </w:r>
      <w:r w:rsidRPr="008930FF">
        <w:rPr>
          <w:rFonts w:ascii="Times New Roman" w:hAnsi="Times New Roman" w:cs="Times New Roman"/>
          <w:i/>
          <w:sz w:val="22"/>
          <w:szCs w:val="22"/>
          <w:lang w:val="sk-SK"/>
        </w:rPr>
        <w:t>, ktoré sa neodporúčajú</w:t>
      </w:r>
      <w:r w:rsidR="0043264C" w:rsidRPr="008930FF">
        <w:rPr>
          <w:rFonts w:ascii="Times New Roman" w:hAnsi="Times New Roman" w:cs="Times New Roman"/>
          <w:i/>
          <w:sz w:val="22"/>
          <w:szCs w:val="22"/>
          <w:lang w:val="sk-SK"/>
        </w:rPr>
        <w:t>:</w:t>
      </w:r>
    </w:p>
    <w:p w14:paraId="77B268F2" w14:textId="45F0327D" w:rsidR="0043264C" w:rsidRPr="008930FF" w:rsidRDefault="006B7F07" w:rsidP="0055286A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Iné 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NSAID</w:t>
      </w:r>
      <w:r w:rsidR="00F446D5" w:rsidRPr="008930FF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vrátane vysokých dávok </w:t>
      </w:r>
      <w:proofErr w:type="spellStart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salicyl</w:t>
      </w:r>
      <w:r w:rsidR="002A2904" w:rsidRPr="008930FF">
        <w:rPr>
          <w:rFonts w:ascii="Times New Roman" w:hAnsi="Times New Roman" w:cs="Times New Roman"/>
          <w:sz w:val="22"/>
          <w:szCs w:val="22"/>
          <w:lang w:val="sk-SK"/>
        </w:rPr>
        <w:t>át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ov</w:t>
      </w:r>
      <w:proofErr w:type="spellEnd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sym w:font="Symbol" w:char="F0B3"/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3 g/deň): </w:t>
      </w:r>
      <w:r w:rsidR="00FE2F34" w:rsidRPr="008930FF">
        <w:rPr>
          <w:rFonts w:ascii="Times New Roman" w:hAnsi="Times New Roman" w:cs="Times New Roman"/>
          <w:sz w:val="22"/>
          <w:szCs w:val="22"/>
          <w:lang w:val="sk-SK"/>
        </w:rPr>
        <w:t>podanie</w:t>
      </w:r>
      <w:r w:rsidR="002A2904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niekoľkých NSAID </w:t>
      </w:r>
      <w:r w:rsidR="004C5240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súbežne 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môže zvýšiť riziko gastrointestináln</w:t>
      </w:r>
      <w:r w:rsidR="00FE2F34" w:rsidRPr="008930FF">
        <w:rPr>
          <w:rFonts w:ascii="Times New Roman" w:hAnsi="Times New Roman" w:cs="Times New Roman"/>
          <w:sz w:val="22"/>
          <w:szCs w:val="22"/>
          <w:lang w:val="sk-SK"/>
        </w:rPr>
        <w:t>ych vredov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="00FE2F34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krvácania </w:t>
      </w:r>
      <w:r w:rsidR="003314C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kvôli 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synergické</w:t>
      </w:r>
      <w:r w:rsidR="003314C5" w:rsidRPr="008930FF">
        <w:rPr>
          <w:rFonts w:ascii="Times New Roman" w:hAnsi="Times New Roman" w:cs="Times New Roman"/>
          <w:sz w:val="22"/>
          <w:szCs w:val="22"/>
          <w:lang w:val="sk-SK"/>
        </w:rPr>
        <w:t>mu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FE2F34" w:rsidRPr="008930FF">
        <w:rPr>
          <w:rFonts w:ascii="Times New Roman" w:hAnsi="Times New Roman" w:cs="Times New Roman"/>
          <w:sz w:val="22"/>
          <w:szCs w:val="22"/>
          <w:lang w:val="sk-SK"/>
        </w:rPr>
        <w:t>účinku</w:t>
      </w:r>
      <w:r w:rsidR="004C5240"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1270F7D0" w14:textId="77777777" w:rsidR="000A69F8" w:rsidRPr="008930FF" w:rsidRDefault="00E106B6" w:rsidP="0055286A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0A69F8" w:rsidRPr="008930FF">
        <w:rPr>
          <w:rFonts w:ascii="Times New Roman" w:hAnsi="Times New Roman" w:cs="Times New Roman"/>
          <w:sz w:val="22"/>
          <w:szCs w:val="22"/>
          <w:lang w:val="sk-SK"/>
        </w:rPr>
        <w:t>ntikoagulanci</w:t>
      </w:r>
      <w:r w:rsidR="002A2904" w:rsidRPr="008930FF">
        <w:rPr>
          <w:rFonts w:ascii="Times New Roman" w:hAnsi="Times New Roman" w:cs="Times New Roman"/>
          <w:sz w:val="22"/>
          <w:szCs w:val="22"/>
          <w:lang w:val="sk-SK"/>
        </w:rPr>
        <w:t>á</w:t>
      </w:r>
      <w:proofErr w:type="spellEnd"/>
      <w:r w:rsidR="002A2904" w:rsidRPr="008930FF">
        <w:rPr>
          <w:rFonts w:ascii="Times New Roman" w:hAnsi="Times New Roman" w:cs="Times New Roman"/>
          <w:sz w:val="22"/>
          <w:szCs w:val="22"/>
          <w:lang w:val="sk-SK"/>
        </w:rPr>
        <w:t>: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NSAID môžu 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zv</w:t>
      </w:r>
      <w:r w:rsidR="000B2046" w:rsidRPr="008930FF">
        <w:rPr>
          <w:rFonts w:ascii="Times New Roman" w:hAnsi="Times New Roman" w:cs="Times New Roman"/>
          <w:sz w:val="22"/>
          <w:szCs w:val="22"/>
          <w:lang w:val="sk-SK"/>
        </w:rPr>
        <w:t>ý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š</w:t>
      </w:r>
      <w:r w:rsidR="000B2046" w:rsidRPr="008930FF">
        <w:rPr>
          <w:rFonts w:ascii="Times New Roman" w:hAnsi="Times New Roman" w:cs="Times New Roman"/>
          <w:sz w:val="22"/>
          <w:szCs w:val="22"/>
          <w:lang w:val="sk-SK"/>
        </w:rPr>
        <w:t>i</w:t>
      </w:r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>ť ú</w:t>
      </w:r>
      <w:r w:rsidR="006B7F07" w:rsidRPr="008930FF">
        <w:rPr>
          <w:rFonts w:ascii="Times New Roman" w:hAnsi="Times New Roman" w:cs="Times New Roman"/>
          <w:sz w:val="22"/>
          <w:szCs w:val="22"/>
          <w:lang w:val="sk-SK"/>
        </w:rPr>
        <w:t>čink</w:t>
      </w:r>
      <w:r w:rsidR="00E2035D" w:rsidRPr="008930FF">
        <w:rPr>
          <w:rFonts w:ascii="Times New Roman" w:hAnsi="Times New Roman" w:cs="Times New Roman"/>
          <w:sz w:val="22"/>
          <w:szCs w:val="22"/>
          <w:lang w:val="sk-SK"/>
        </w:rPr>
        <w:t>y</w:t>
      </w:r>
      <w:r w:rsidR="006B7F0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0A69F8" w:rsidRPr="008930FF">
        <w:rPr>
          <w:rFonts w:ascii="Times New Roman" w:hAnsi="Times New Roman" w:cs="Times New Roman"/>
          <w:sz w:val="22"/>
          <w:szCs w:val="22"/>
          <w:lang w:val="sk-SK"/>
        </w:rPr>
        <w:t>antikoagulan</w:t>
      </w:r>
      <w:r w:rsidR="00E2035D" w:rsidRPr="008930FF">
        <w:rPr>
          <w:rFonts w:ascii="Times New Roman" w:hAnsi="Times New Roman" w:cs="Times New Roman"/>
          <w:sz w:val="22"/>
          <w:szCs w:val="22"/>
          <w:lang w:val="sk-SK"/>
        </w:rPr>
        <w:t>cií</w:t>
      </w:r>
      <w:proofErr w:type="spellEnd"/>
      <w:r w:rsidR="000A69F8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ako </w:t>
      </w:r>
      <w:r w:rsidR="00E2035D" w:rsidRPr="008930FF">
        <w:rPr>
          <w:rFonts w:ascii="Times New Roman" w:hAnsi="Times New Roman" w:cs="Times New Roman"/>
          <w:sz w:val="22"/>
          <w:szCs w:val="22"/>
          <w:lang w:val="sk-SK"/>
        </w:rPr>
        <w:t>je</w:t>
      </w:r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>warfarín</w:t>
      </w:r>
      <w:proofErr w:type="spellEnd"/>
      <w:r w:rsidR="00C51A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F22AE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(pozri časť 4.4) </w:t>
      </w:r>
      <w:r w:rsidR="00E2035D" w:rsidRPr="008930FF">
        <w:rPr>
          <w:rFonts w:ascii="Times New Roman" w:hAnsi="Times New Roman" w:cs="Times New Roman"/>
          <w:sz w:val="22"/>
          <w:szCs w:val="22"/>
          <w:lang w:val="sk-SK"/>
        </w:rPr>
        <w:t>v dôsledku výrazného</w:t>
      </w:r>
      <w:r w:rsidR="00F22AE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E2035D" w:rsidRPr="008930FF">
        <w:rPr>
          <w:rFonts w:ascii="Times New Roman" w:hAnsi="Times New Roman" w:cs="Times New Roman"/>
          <w:sz w:val="22"/>
          <w:szCs w:val="22"/>
          <w:lang w:val="sk-SK"/>
        </w:rPr>
        <w:t>viazania</w:t>
      </w:r>
      <w:r w:rsidR="00F22AE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6E3546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="00F22AEF" w:rsidRPr="008930FF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="00F22AE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na plazmatické bielkoviny a inh</w:t>
      </w:r>
      <w:r w:rsidR="007920EB" w:rsidRPr="008930FF">
        <w:rPr>
          <w:rFonts w:ascii="Times New Roman" w:hAnsi="Times New Roman" w:cs="Times New Roman"/>
          <w:sz w:val="22"/>
          <w:szCs w:val="22"/>
          <w:lang w:val="sk-SK"/>
        </w:rPr>
        <w:t>i</w:t>
      </w:r>
      <w:r w:rsidR="00F22AEF" w:rsidRPr="008930FF">
        <w:rPr>
          <w:rFonts w:ascii="Times New Roman" w:hAnsi="Times New Roman" w:cs="Times New Roman"/>
          <w:sz w:val="22"/>
          <w:szCs w:val="22"/>
          <w:lang w:val="sk-SK"/>
        </w:rPr>
        <w:t>bíci</w:t>
      </w:r>
      <w:r w:rsidR="00E2035D" w:rsidRPr="008930FF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F22AE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funkcie krvných doštičiek a poškodenia </w:t>
      </w:r>
      <w:proofErr w:type="spellStart"/>
      <w:r w:rsidR="00F22AEF" w:rsidRPr="008930FF">
        <w:rPr>
          <w:rFonts w:ascii="Times New Roman" w:hAnsi="Times New Roman" w:cs="Times New Roman"/>
          <w:sz w:val="22"/>
          <w:szCs w:val="22"/>
          <w:lang w:val="sk-SK"/>
        </w:rPr>
        <w:t>gastroduodenálnej</w:t>
      </w:r>
      <w:proofErr w:type="spellEnd"/>
      <w:r w:rsidR="00F22AE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920EB" w:rsidRPr="008930FF">
        <w:rPr>
          <w:rFonts w:ascii="Times New Roman" w:hAnsi="Times New Roman" w:cs="Times New Roman"/>
          <w:sz w:val="22"/>
          <w:szCs w:val="22"/>
          <w:lang w:val="sk-SK"/>
        </w:rPr>
        <w:t>sliznice</w:t>
      </w:r>
      <w:r w:rsidR="00F22AE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. Ak sa nedá </w:t>
      </w:r>
      <w:r w:rsidR="007920EB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predísť </w:t>
      </w:r>
      <w:r w:rsidR="00F22AEF" w:rsidRPr="008930FF">
        <w:rPr>
          <w:rFonts w:ascii="Times New Roman" w:hAnsi="Times New Roman" w:cs="Times New Roman"/>
          <w:sz w:val="22"/>
          <w:szCs w:val="22"/>
          <w:lang w:val="sk-SK"/>
        </w:rPr>
        <w:t>tejto kombinácii</w:t>
      </w:r>
      <w:r w:rsidR="007920EB" w:rsidRPr="008930FF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F22AE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je potrebné starostlivé klinické sledovanie a monitorovanie laboratórnych hodnôt. </w:t>
      </w:r>
    </w:p>
    <w:p w14:paraId="12DFAF9F" w14:textId="77777777" w:rsidR="0043264C" w:rsidRPr="008930FF" w:rsidRDefault="006B7F07" w:rsidP="0055286A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Heparíny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: zvýšené riziko krvácania (následkom inhibície funkcie </w:t>
      </w:r>
      <w:r w:rsidR="008C0E7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krvných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doštičiek a poškodenia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gastroduodenálnej</w:t>
      </w:r>
      <w:proofErr w:type="spellEnd"/>
      <w:r w:rsidR="008348D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920EB" w:rsidRPr="008930FF">
        <w:rPr>
          <w:rFonts w:ascii="Times New Roman" w:hAnsi="Times New Roman" w:cs="Times New Roman"/>
          <w:sz w:val="22"/>
          <w:szCs w:val="22"/>
          <w:lang w:val="sk-SK"/>
        </w:rPr>
        <w:t>sliznice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). Ak sa nedá</w:t>
      </w:r>
      <w:r w:rsidR="007920EB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predísť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tejto kombinácii, je potrebné starostlivé klinické sledovani</w:t>
      </w:r>
      <w:r w:rsidR="002A2904" w:rsidRPr="008930FF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 monitorovanie laboratórnych hodnôt.</w:t>
      </w:r>
    </w:p>
    <w:p w14:paraId="2A611E0F" w14:textId="77777777" w:rsidR="00B423A6" w:rsidRPr="008930FF" w:rsidRDefault="00F22AEF" w:rsidP="0055286A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Kortikosteroidy: zv</w:t>
      </w:r>
      <w:r w:rsidR="008C0E73" w:rsidRPr="008930FF">
        <w:rPr>
          <w:rFonts w:ascii="Times New Roman" w:hAnsi="Times New Roman" w:cs="Times New Roman"/>
          <w:sz w:val="22"/>
          <w:szCs w:val="22"/>
          <w:lang w:val="sk-SK"/>
        </w:rPr>
        <w:t>ý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š</w:t>
      </w:r>
      <w:r w:rsidR="008C0E73" w:rsidRPr="008930FF">
        <w:rPr>
          <w:rFonts w:ascii="Times New Roman" w:hAnsi="Times New Roman" w:cs="Times New Roman"/>
          <w:sz w:val="22"/>
          <w:szCs w:val="22"/>
          <w:lang w:val="sk-SK"/>
        </w:rPr>
        <w:t>ené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riziko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gastrointestinálnej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ulcerácie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alebo krvácania (pozri časť 4.4).</w:t>
      </w:r>
    </w:p>
    <w:p w14:paraId="6ACB013C" w14:textId="2ACDBF07" w:rsidR="0043264C" w:rsidRPr="008930FF" w:rsidRDefault="006B7F07" w:rsidP="0055286A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Lítium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r w:rsidR="00A86D21" w:rsidRPr="008930FF"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opísané s niek</w:t>
      </w:r>
      <w:r w:rsidR="00A86D21" w:rsidRPr="008930FF">
        <w:rPr>
          <w:rFonts w:ascii="Times New Roman" w:hAnsi="Times New Roman" w:cs="Times New Roman"/>
          <w:sz w:val="22"/>
          <w:szCs w:val="22"/>
          <w:lang w:val="sk-SK"/>
        </w:rPr>
        <w:t>oľk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ými NSAI</w:t>
      </w:r>
      <w:r w:rsidR="002A2904" w:rsidRPr="008930FF">
        <w:rPr>
          <w:rFonts w:ascii="Times New Roman" w:hAnsi="Times New Roman" w:cs="Times New Roman"/>
          <w:sz w:val="22"/>
          <w:szCs w:val="22"/>
          <w:lang w:val="sk-SK"/>
        </w:rPr>
        <w:t>D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)</w:t>
      </w:r>
      <w:r w:rsidR="004B3CCE" w:rsidRPr="008930FF">
        <w:rPr>
          <w:rFonts w:ascii="Times New Roman" w:hAnsi="Times New Roman" w:cs="Times New Roman"/>
          <w:sz w:val="22"/>
          <w:szCs w:val="22"/>
          <w:lang w:val="sk-SK"/>
        </w:rPr>
        <w:t>: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NSAID zvyšujú hladinu lítia v krvi, ktorá môže dosiahnuť toxické hodnoty (zníženie </w:t>
      </w:r>
      <w:proofErr w:type="spellStart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renálnej</w:t>
      </w:r>
      <w:proofErr w:type="spellEnd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exkrécie lítia). Tento parameter sa </w:t>
      </w:r>
      <w:r w:rsidR="008A357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preto 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musí monitorovať na začiatku </w:t>
      </w:r>
      <w:r w:rsidR="003314C5" w:rsidRPr="008930FF">
        <w:rPr>
          <w:rFonts w:ascii="Times New Roman" w:hAnsi="Times New Roman" w:cs="Times New Roman"/>
          <w:sz w:val="22"/>
          <w:szCs w:val="22"/>
          <w:lang w:val="sk-SK"/>
        </w:rPr>
        <w:t>liečby</w:t>
      </w:r>
      <w:r w:rsidR="006D5B40" w:rsidRPr="008930FF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8A357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počas</w:t>
      </w:r>
      <w:r w:rsidR="006D5B40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úprav</w:t>
      </w:r>
      <w:r w:rsidR="008A3573" w:rsidRPr="008930FF">
        <w:rPr>
          <w:rFonts w:ascii="Times New Roman" w:hAnsi="Times New Roman" w:cs="Times New Roman"/>
          <w:sz w:val="22"/>
          <w:szCs w:val="22"/>
          <w:lang w:val="sk-SK"/>
        </w:rPr>
        <w:t>y liečby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 pri ukončení liečby </w:t>
      </w:r>
      <w:proofErr w:type="spellStart"/>
      <w:r w:rsidR="006E3546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om</w:t>
      </w:r>
      <w:proofErr w:type="spellEnd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14:paraId="08FB4832" w14:textId="32262C50" w:rsidR="0043264C" w:rsidRPr="008930FF" w:rsidRDefault="006B7F07" w:rsidP="0055286A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Metotrexát</w:t>
      </w:r>
      <w:proofErr w:type="spellEnd"/>
      <w:r w:rsidR="00530C68" w:rsidRPr="008930FF">
        <w:rPr>
          <w:rFonts w:ascii="Times New Roman" w:hAnsi="Times New Roman" w:cs="Times New Roman"/>
          <w:sz w:val="22"/>
          <w:szCs w:val="22"/>
          <w:lang w:val="sk-SK"/>
        </w:rPr>
        <w:t>, používaný</w:t>
      </w:r>
      <w:r w:rsidR="003314C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vo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D5B40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vysokých 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dávkach 15 mg/týždeň a</w:t>
      </w:r>
      <w:r w:rsidR="00530C68" w:rsidRPr="008930FF">
        <w:rPr>
          <w:rFonts w:ascii="Times New Roman" w:hAnsi="Times New Roman" w:cs="Times New Roman"/>
          <w:sz w:val="22"/>
          <w:szCs w:val="22"/>
          <w:lang w:val="sk-SK"/>
        </w:rPr>
        <w:t>lebo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vyšších: zv</w:t>
      </w:r>
      <w:r w:rsidR="00530C68" w:rsidRPr="008930FF">
        <w:rPr>
          <w:rFonts w:ascii="Times New Roman" w:hAnsi="Times New Roman" w:cs="Times New Roman"/>
          <w:sz w:val="22"/>
          <w:szCs w:val="22"/>
          <w:lang w:val="sk-SK"/>
        </w:rPr>
        <w:t>ý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še</w:t>
      </w:r>
      <w:r w:rsidR="00530C68" w:rsidRPr="008930FF">
        <w:rPr>
          <w:rFonts w:ascii="Times New Roman" w:hAnsi="Times New Roman" w:cs="Times New Roman"/>
          <w:sz w:val="22"/>
          <w:szCs w:val="22"/>
          <w:lang w:val="sk-SK"/>
        </w:rPr>
        <w:t>ná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hematologická toxicita </w:t>
      </w:r>
      <w:proofErr w:type="spellStart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metotrexátu</w:t>
      </w:r>
      <w:proofErr w:type="spellEnd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pretože </w:t>
      </w:r>
      <w:r w:rsidR="005D33C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protizápalové liečivá </w:t>
      </w:r>
      <w:r w:rsidR="00530C68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vo 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všeobecn</w:t>
      </w:r>
      <w:r w:rsidR="00530C68" w:rsidRPr="008930FF">
        <w:rPr>
          <w:rFonts w:ascii="Times New Roman" w:hAnsi="Times New Roman" w:cs="Times New Roman"/>
          <w:sz w:val="22"/>
          <w:szCs w:val="22"/>
          <w:lang w:val="sk-SK"/>
        </w:rPr>
        <w:t>osti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znižujú jeho </w:t>
      </w:r>
      <w:proofErr w:type="spellStart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renálny</w:t>
      </w:r>
      <w:proofErr w:type="spellEnd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klírens. </w:t>
      </w:r>
    </w:p>
    <w:p w14:paraId="2B0D6122" w14:textId="77777777" w:rsidR="0043264C" w:rsidRPr="008930FF" w:rsidRDefault="006B7F07" w:rsidP="0055286A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Hydantoíny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a sulf</w:t>
      </w:r>
      <w:r w:rsidR="002A2904" w:rsidRPr="008930FF">
        <w:rPr>
          <w:rFonts w:ascii="Times New Roman" w:hAnsi="Times New Roman" w:cs="Times New Roman"/>
          <w:sz w:val="22"/>
          <w:szCs w:val="22"/>
          <w:lang w:val="sk-SK"/>
        </w:rPr>
        <w:t>ó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namidy: toxické účinky týchto liečiv sa môžu zvýšiť. </w:t>
      </w:r>
    </w:p>
    <w:p w14:paraId="3B542D51" w14:textId="77777777" w:rsidR="000956DF" w:rsidRPr="008930FF" w:rsidRDefault="000956DF" w:rsidP="00C7373F">
      <w:pPr>
        <w:pStyle w:val="Vchoz"/>
        <w:tabs>
          <w:tab w:val="num" w:pos="426"/>
        </w:tabs>
        <w:ind w:left="426" w:hanging="426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275B5FB5" w14:textId="77777777" w:rsidR="0043264C" w:rsidRPr="008930FF" w:rsidRDefault="0043264C" w:rsidP="00C7373F">
      <w:pPr>
        <w:pStyle w:val="Vchoz"/>
        <w:tabs>
          <w:tab w:val="num" w:pos="426"/>
        </w:tabs>
        <w:ind w:left="426" w:hanging="426"/>
        <w:jc w:val="left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i/>
          <w:sz w:val="22"/>
          <w:szCs w:val="22"/>
          <w:lang w:val="sk-SK"/>
        </w:rPr>
        <w:t>Kombinácie</w:t>
      </w:r>
      <w:r w:rsidR="00DB63C4" w:rsidRPr="008930FF">
        <w:rPr>
          <w:rFonts w:ascii="Times New Roman" w:hAnsi="Times New Roman" w:cs="Times New Roman"/>
          <w:i/>
          <w:sz w:val="22"/>
          <w:szCs w:val="22"/>
          <w:lang w:val="sk-SK"/>
        </w:rPr>
        <w:t>, ktoré</w:t>
      </w:r>
      <w:r w:rsidRPr="008930FF">
        <w:rPr>
          <w:rFonts w:ascii="Times New Roman" w:hAnsi="Times New Roman" w:cs="Times New Roman"/>
          <w:i/>
          <w:sz w:val="22"/>
          <w:szCs w:val="22"/>
          <w:lang w:val="sk-SK"/>
        </w:rPr>
        <w:t xml:space="preserve"> vyžadujú opatrnosť:</w:t>
      </w:r>
    </w:p>
    <w:p w14:paraId="77737014" w14:textId="5EAAB34D" w:rsidR="00E636D9" w:rsidRPr="008930FF" w:rsidRDefault="00F22AEF" w:rsidP="0055286A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D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iuretiká, inhibítory</w:t>
      </w:r>
      <w:r w:rsidR="0080285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enzýmu konvertujúceho angiotenzín (ACE)</w:t>
      </w:r>
      <w:r w:rsidR="00980D2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antibakteriálne </w:t>
      </w:r>
      <w:proofErr w:type="spellStart"/>
      <w:r w:rsidR="00980D23" w:rsidRPr="008930FF">
        <w:rPr>
          <w:rFonts w:ascii="Times New Roman" w:hAnsi="Times New Roman" w:cs="Times New Roman"/>
          <w:sz w:val="22"/>
          <w:szCs w:val="22"/>
          <w:lang w:val="sk-SK"/>
        </w:rPr>
        <w:t>aminoglykozidy</w:t>
      </w:r>
      <w:proofErr w:type="spellEnd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B7F07" w:rsidRPr="008930FF">
        <w:rPr>
          <w:rFonts w:ascii="Times New Roman" w:hAnsi="Times New Roman" w:cs="Times New Roman"/>
          <w:sz w:val="22"/>
          <w:szCs w:val="22"/>
          <w:lang w:val="sk-SK"/>
        </w:rPr>
        <w:t>a </w:t>
      </w:r>
      <w:r w:rsidR="00195215" w:rsidRPr="008930FF">
        <w:rPr>
          <w:rFonts w:ascii="Times New Roman" w:hAnsi="Times New Roman" w:cs="Times New Roman"/>
          <w:sz w:val="22"/>
          <w:szCs w:val="22"/>
          <w:lang w:val="sk-SK"/>
        </w:rPr>
        <w:t>antagonist</w:t>
      </w:r>
      <w:r w:rsidR="0072571C" w:rsidRPr="008930FF">
        <w:rPr>
          <w:rFonts w:ascii="Times New Roman" w:hAnsi="Times New Roman" w:cs="Times New Roman"/>
          <w:sz w:val="22"/>
          <w:szCs w:val="22"/>
          <w:lang w:val="sk-SK"/>
        </w:rPr>
        <w:t>y</w:t>
      </w:r>
      <w:r w:rsidR="0019521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530B6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receptorov </w:t>
      </w:r>
      <w:r w:rsidR="00195215" w:rsidRPr="008930FF">
        <w:rPr>
          <w:rFonts w:ascii="Times New Roman" w:hAnsi="Times New Roman" w:cs="Times New Roman"/>
          <w:sz w:val="22"/>
          <w:szCs w:val="22"/>
          <w:lang w:val="sk-SK"/>
        </w:rPr>
        <w:t>angiotenzí</w:t>
      </w:r>
      <w:r w:rsidR="006B7F07" w:rsidRPr="008930FF">
        <w:rPr>
          <w:rFonts w:ascii="Times New Roman" w:hAnsi="Times New Roman" w:cs="Times New Roman"/>
          <w:sz w:val="22"/>
          <w:szCs w:val="22"/>
          <w:lang w:val="sk-SK"/>
        </w:rPr>
        <w:t>nu</w:t>
      </w:r>
      <w:r w:rsidR="005D33C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II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: </w:t>
      </w:r>
      <w:proofErr w:type="spellStart"/>
      <w:r w:rsidR="006E3546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proofErr w:type="spellEnd"/>
      <w:r w:rsidR="006B7F0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môže znížiť účinok </w:t>
      </w:r>
      <w:r w:rsidR="006D5B40" w:rsidRPr="008930FF">
        <w:rPr>
          <w:rFonts w:ascii="Times New Roman" w:hAnsi="Times New Roman" w:cs="Times New Roman"/>
          <w:sz w:val="22"/>
          <w:szCs w:val="22"/>
          <w:lang w:val="sk-SK"/>
        </w:rPr>
        <w:t>diuretík</w:t>
      </w:r>
      <w:r w:rsidR="006B7F0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="005D33C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 iných </w:t>
      </w:r>
      <w:proofErr w:type="spellStart"/>
      <w:r w:rsidR="006B7F07" w:rsidRPr="008930FF">
        <w:rPr>
          <w:rFonts w:ascii="Times New Roman" w:hAnsi="Times New Roman" w:cs="Times New Roman"/>
          <w:sz w:val="22"/>
          <w:szCs w:val="22"/>
          <w:lang w:val="sk-SK"/>
        </w:rPr>
        <w:t>antihypertenz</w:t>
      </w:r>
      <w:r w:rsidR="00413561" w:rsidRPr="008930FF">
        <w:rPr>
          <w:rFonts w:ascii="Times New Roman" w:hAnsi="Times New Roman" w:cs="Times New Roman"/>
          <w:sz w:val="22"/>
          <w:szCs w:val="22"/>
          <w:lang w:val="sk-SK"/>
        </w:rPr>
        <w:t>ív</w:t>
      </w:r>
      <w:proofErr w:type="spellEnd"/>
      <w:r w:rsidR="006B7F07" w:rsidRPr="008930FF">
        <w:rPr>
          <w:rFonts w:ascii="Times New Roman" w:hAnsi="Times New Roman" w:cs="Times New Roman"/>
          <w:sz w:val="22"/>
          <w:szCs w:val="22"/>
          <w:lang w:val="sk-SK"/>
        </w:rPr>
        <w:t>. U niektorých pacientov s</w:t>
      </w:r>
      <w:r w:rsidR="00212895" w:rsidRPr="008930FF">
        <w:rPr>
          <w:rFonts w:ascii="Times New Roman" w:hAnsi="Times New Roman" w:cs="Times New Roman"/>
          <w:sz w:val="22"/>
          <w:szCs w:val="22"/>
          <w:lang w:val="sk-SK"/>
        </w:rPr>
        <w:t>o zníženou</w:t>
      </w:r>
      <w:r w:rsidR="006B7F0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6B7F07" w:rsidRPr="008930FF">
        <w:rPr>
          <w:rFonts w:ascii="Times New Roman" w:hAnsi="Times New Roman" w:cs="Times New Roman"/>
          <w:sz w:val="22"/>
          <w:szCs w:val="22"/>
          <w:lang w:val="sk-SK"/>
        </w:rPr>
        <w:t>renálnou</w:t>
      </w:r>
      <w:proofErr w:type="spellEnd"/>
      <w:r w:rsidR="006B7F0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funkciou (napr. 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u dehydrovaných pacientov </w:t>
      </w:r>
      <w:r w:rsidR="006B7F07" w:rsidRPr="008930FF">
        <w:rPr>
          <w:rFonts w:ascii="Times New Roman" w:hAnsi="Times New Roman" w:cs="Times New Roman"/>
          <w:sz w:val="22"/>
          <w:szCs w:val="22"/>
          <w:lang w:val="sk-SK"/>
        </w:rPr>
        <w:t>alebo starších pacientov s</w:t>
      </w:r>
      <w:r w:rsidR="00212895" w:rsidRPr="008930FF">
        <w:rPr>
          <w:rFonts w:ascii="Times New Roman" w:hAnsi="Times New Roman" w:cs="Times New Roman"/>
          <w:sz w:val="22"/>
          <w:szCs w:val="22"/>
          <w:lang w:val="sk-SK"/>
        </w:rPr>
        <w:t>o zníženou</w:t>
      </w:r>
      <w:r w:rsidR="006B7F0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6B7F07" w:rsidRPr="008930FF">
        <w:rPr>
          <w:rFonts w:ascii="Times New Roman" w:hAnsi="Times New Roman" w:cs="Times New Roman"/>
          <w:sz w:val="22"/>
          <w:szCs w:val="22"/>
          <w:lang w:val="sk-SK"/>
        </w:rPr>
        <w:t>renálnou</w:t>
      </w:r>
      <w:proofErr w:type="spellEnd"/>
      <w:r w:rsidR="006B7F0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funkciou)</w:t>
      </w:r>
      <w:r w:rsidR="00530B6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môže </w:t>
      </w:r>
      <w:r w:rsidR="005D33C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súbežné </w:t>
      </w:r>
      <w:r w:rsidR="00530B69" w:rsidRPr="008930FF">
        <w:rPr>
          <w:rFonts w:ascii="Times New Roman" w:hAnsi="Times New Roman" w:cs="Times New Roman"/>
          <w:sz w:val="22"/>
          <w:szCs w:val="22"/>
          <w:lang w:val="sk-SK"/>
        </w:rPr>
        <w:t>podávanie l</w:t>
      </w:r>
      <w:r w:rsidR="0080285F" w:rsidRPr="008930FF">
        <w:rPr>
          <w:rFonts w:ascii="Times New Roman" w:hAnsi="Times New Roman" w:cs="Times New Roman"/>
          <w:sz w:val="22"/>
          <w:szCs w:val="22"/>
          <w:lang w:val="sk-SK"/>
        </w:rPr>
        <w:t>iečiv</w:t>
      </w:r>
      <w:r w:rsidR="00530B69" w:rsidRPr="008930FF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530B6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ktoré </w:t>
      </w:r>
      <w:proofErr w:type="spellStart"/>
      <w:r w:rsidR="00530B69" w:rsidRPr="008930FF">
        <w:rPr>
          <w:rFonts w:ascii="Times New Roman" w:hAnsi="Times New Roman" w:cs="Times New Roman"/>
          <w:sz w:val="22"/>
          <w:szCs w:val="22"/>
          <w:lang w:val="sk-SK"/>
        </w:rPr>
        <w:t>inhibujú</w:t>
      </w:r>
      <w:proofErr w:type="spellEnd"/>
      <w:r w:rsidR="00530B6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530B69" w:rsidRPr="008930FF">
        <w:rPr>
          <w:rFonts w:ascii="Times New Roman" w:hAnsi="Times New Roman" w:cs="Times New Roman"/>
          <w:sz w:val="22"/>
          <w:szCs w:val="22"/>
          <w:lang w:val="sk-SK"/>
        </w:rPr>
        <w:t>cyklooxygenázu</w:t>
      </w:r>
      <w:proofErr w:type="spellEnd"/>
      <w:r w:rsidR="00530B6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 inhibítor</w:t>
      </w:r>
      <w:r w:rsidR="007920EB" w:rsidRPr="008930FF">
        <w:rPr>
          <w:rFonts w:ascii="Times New Roman" w:hAnsi="Times New Roman" w:cs="Times New Roman"/>
          <w:sz w:val="22"/>
          <w:szCs w:val="22"/>
          <w:lang w:val="sk-SK"/>
        </w:rPr>
        <w:t>ov</w:t>
      </w:r>
      <w:r w:rsidR="0080285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ACE</w:t>
      </w:r>
      <w:r w:rsidR="00212895" w:rsidRPr="008930FF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19521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antagonistov </w:t>
      </w:r>
      <w:r w:rsidR="0021289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receptorov </w:t>
      </w:r>
      <w:r w:rsidR="00195215" w:rsidRPr="008930FF">
        <w:rPr>
          <w:rFonts w:ascii="Times New Roman" w:hAnsi="Times New Roman" w:cs="Times New Roman"/>
          <w:sz w:val="22"/>
          <w:szCs w:val="22"/>
          <w:lang w:val="sk-SK"/>
        </w:rPr>
        <w:t>angiotenzí</w:t>
      </w:r>
      <w:r w:rsidR="00530B69" w:rsidRPr="008930FF">
        <w:rPr>
          <w:rFonts w:ascii="Times New Roman" w:hAnsi="Times New Roman" w:cs="Times New Roman"/>
          <w:sz w:val="22"/>
          <w:szCs w:val="22"/>
          <w:lang w:val="sk-SK"/>
        </w:rPr>
        <w:t>n</w:t>
      </w:r>
      <w:r w:rsidR="00212895" w:rsidRPr="008930FF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530B6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II </w:t>
      </w:r>
      <w:r w:rsidR="0021289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alebo antibakteriálnych </w:t>
      </w:r>
      <w:proofErr w:type="spellStart"/>
      <w:r w:rsidR="00212895" w:rsidRPr="008930FF">
        <w:rPr>
          <w:rFonts w:ascii="Times New Roman" w:hAnsi="Times New Roman" w:cs="Times New Roman"/>
          <w:sz w:val="22"/>
          <w:szCs w:val="22"/>
          <w:lang w:val="sk-SK"/>
        </w:rPr>
        <w:t>aminoglykozidov</w:t>
      </w:r>
      <w:proofErr w:type="spellEnd"/>
      <w:r w:rsidR="0021289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530B6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spôsobiť ďalšie zhoršenie </w:t>
      </w:r>
      <w:proofErr w:type="spellStart"/>
      <w:r w:rsidR="00530B69" w:rsidRPr="008930FF">
        <w:rPr>
          <w:rFonts w:ascii="Times New Roman" w:hAnsi="Times New Roman" w:cs="Times New Roman"/>
          <w:sz w:val="22"/>
          <w:szCs w:val="22"/>
          <w:lang w:val="sk-SK"/>
        </w:rPr>
        <w:t>renálnej</w:t>
      </w:r>
      <w:proofErr w:type="spellEnd"/>
      <w:r w:rsidR="00530B6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funkcie, ktoré je zvyčajne reverzibilné. 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Pri kombinovanej liečbe </w:t>
      </w:r>
      <w:proofErr w:type="spellStart"/>
      <w:r w:rsidR="006E3546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om</w:t>
      </w:r>
      <w:proofErr w:type="spellEnd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 diuretikami je </w:t>
      </w:r>
      <w:r w:rsidR="00043C7C" w:rsidRPr="008930FF">
        <w:rPr>
          <w:rFonts w:ascii="Times New Roman" w:hAnsi="Times New Roman" w:cs="Times New Roman"/>
          <w:sz w:val="22"/>
          <w:szCs w:val="22"/>
          <w:lang w:val="sk-SK"/>
        </w:rPr>
        <w:t>nevyh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nutné zabezpečiť adekvátnu hydratáciu pacienta a monitorovani</w:t>
      </w:r>
      <w:r w:rsidR="00530B69" w:rsidRPr="008930FF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jeho </w:t>
      </w:r>
      <w:proofErr w:type="spellStart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renálny</w:t>
      </w:r>
      <w:r w:rsidR="00530B69" w:rsidRPr="008930FF">
        <w:rPr>
          <w:rFonts w:ascii="Times New Roman" w:hAnsi="Times New Roman" w:cs="Times New Roman"/>
          <w:sz w:val="22"/>
          <w:szCs w:val="22"/>
          <w:lang w:val="sk-SK"/>
        </w:rPr>
        <w:t>ch</w:t>
      </w:r>
      <w:proofErr w:type="spellEnd"/>
      <w:r w:rsidR="00530B6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funkcií na začiatku </w:t>
      </w:r>
      <w:r w:rsidR="0080285F" w:rsidRPr="008930FF">
        <w:rPr>
          <w:rFonts w:ascii="Times New Roman" w:hAnsi="Times New Roman" w:cs="Times New Roman"/>
          <w:sz w:val="22"/>
          <w:szCs w:val="22"/>
          <w:lang w:val="sk-SK"/>
        </w:rPr>
        <w:t>liečby</w:t>
      </w:r>
      <w:r w:rsidR="00530B6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r w:rsidR="005D33C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pozri </w:t>
      </w:r>
      <w:r w:rsidR="002A2904" w:rsidRPr="008930FF">
        <w:rPr>
          <w:rFonts w:ascii="Times New Roman" w:hAnsi="Times New Roman" w:cs="Times New Roman"/>
          <w:sz w:val="22"/>
          <w:szCs w:val="22"/>
          <w:lang w:val="sk-SK"/>
        </w:rPr>
        <w:t>časť</w:t>
      </w:r>
      <w:r w:rsidR="00530B6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4.4 </w:t>
      </w:r>
      <w:r w:rsidR="005D33C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Osobitné </w:t>
      </w:r>
      <w:r w:rsidR="00530B69" w:rsidRPr="008930FF">
        <w:rPr>
          <w:rFonts w:ascii="Times New Roman" w:hAnsi="Times New Roman" w:cs="Times New Roman"/>
          <w:sz w:val="22"/>
          <w:szCs w:val="22"/>
          <w:lang w:val="sk-SK"/>
        </w:rPr>
        <w:t>upozornenia a </w:t>
      </w:r>
      <w:r w:rsidR="005D33CD" w:rsidRPr="008930FF">
        <w:rPr>
          <w:rFonts w:ascii="Times New Roman" w:hAnsi="Times New Roman" w:cs="Times New Roman"/>
          <w:sz w:val="22"/>
          <w:szCs w:val="22"/>
          <w:lang w:val="sk-SK"/>
        </w:rPr>
        <w:t>opatrenia pr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i</w:t>
      </w:r>
      <w:r w:rsidR="005D33C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používaní</w:t>
      </w:r>
      <w:r w:rsidR="00530B69" w:rsidRPr="008930FF">
        <w:rPr>
          <w:rFonts w:ascii="Times New Roman" w:hAnsi="Times New Roman" w:cs="Times New Roman"/>
          <w:sz w:val="22"/>
          <w:szCs w:val="22"/>
          <w:lang w:val="sk-SK"/>
        </w:rPr>
        <w:t>)</w:t>
      </w:r>
      <w:r w:rsidR="00E636D9"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7920EB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229F9A7D" w14:textId="012BE8AF" w:rsidR="0043264C" w:rsidRPr="008930FF" w:rsidRDefault="00F22AEF" w:rsidP="0055286A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Metotrexát</w:t>
      </w:r>
      <w:proofErr w:type="spellEnd"/>
      <w:r w:rsidR="00CF4F34" w:rsidRPr="008930FF">
        <w:rPr>
          <w:rFonts w:ascii="Times New Roman" w:hAnsi="Times New Roman" w:cs="Times New Roman"/>
          <w:sz w:val="22"/>
          <w:szCs w:val="22"/>
          <w:lang w:val="sk-SK"/>
        </w:rPr>
        <w:t>, užívaný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6D5B40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 nízkych 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dávkach</w:t>
      </w:r>
      <w:r w:rsidR="00CF4F34" w:rsidRPr="008930FF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F4F34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menej ako 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15 mg</w:t>
      </w:r>
      <w:r w:rsidR="002A2904" w:rsidRPr="008930FF">
        <w:rPr>
          <w:rFonts w:ascii="Times New Roman" w:hAnsi="Times New Roman" w:cs="Times New Roman"/>
          <w:sz w:val="22"/>
          <w:szCs w:val="22"/>
          <w:lang w:val="sk-SK"/>
        </w:rPr>
        <w:t>/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týždeň: </w:t>
      </w:r>
      <w:r w:rsidR="000B428D" w:rsidRPr="008930FF">
        <w:rPr>
          <w:rFonts w:ascii="Times New Roman" w:hAnsi="Times New Roman" w:cs="Times New Roman"/>
          <w:sz w:val="22"/>
          <w:szCs w:val="22"/>
          <w:lang w:val="sk-SK"/>
        </w:rPr>
        <w:t>zvýšená hematologická toxicita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metotrexátu</w:t>
      </w:r>
      <w:proofErr w:type="spellEnd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znížením jeho renálneho </w:t>
      </w:r>
      <w:proofErr w:type="spellStart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klírensu</w:t>
      </w:r>
      <w:proofErr w:type="spellEnd"/>
      <w:r w:rsidR="000B428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protizápalovými l</w:t>
      </w:r>
      <w:r w:rsidR="0080285F" w:rsidRPr="008930FF">
        <w:rPr>
          <w:rFonts w:ascii="Times New Roman" w:hAnsi="Times New Roman" w:cs="Times New Roman"/>
          <w:sz w:val="22"/>
          <w:szCs w:val="22"/>
          <w:lang w:val="sk-SK"/>
        </w:rPr>
        <w:t>iečivami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r w:rsidR="00530B69" w:rsidRPr="008930FF">
        <w:rPr>
          <w:rFonts w:ascii="Times New Roman" w:hAnsi="Times New Roman" w:cs="Times New Roman"/>
          <w:sz w:val="22"/>
          <w:szCs w:val="22"/>
          <w:lang w:val="sk-SK"/>
        </w:rPr>
        <w:t>Počas prvých týždňo</w:t>
      </w:r>
      <w:r w:rsidR="002A2904" w:rsidRPr="008930FF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530B6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liečby 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takouto kombináciou je potrebné týždenne monitorovať krvný obraz</w:t>
      </w:r>
      <w:r w:rsidR="00530B69" w:rsidRPr="008930FF">
        <w:rPr>
          <w:rFonts w:ascii="Times New Roman" w:hAnsi="Times New Roman" w:cs="Times New Roman"/>
          <w:sz w:val="22"/>
          <w:szCs w:val="22"/>
          <w:lang w:val="sk-SK"/>
        </w:rPr>
        <w:t>. Z</w:t>
      </w:r>
      <w:r w:rsidR="005D33C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výšený dohľad je potrebný 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u pacientov </w:t>
      </w:r>
      <w:r w:rsidR="00530B6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aj 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s miern</w:t>
      </w:r>
      <w:r w:rsidR="001E186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ou </w:t>
      </w:r>
      <w:r w:rsidR="00161579" w:rsidRPr="008930FF">
        <w:rPr>
          <w:rFonts w:ascii="Times New Roman" w:hAnsi="Times New Roman" w:cs="Times New Roman"/>
          <w:sz w:val="22"/>
          <w:szCs w:val="22"/>
          <w:lang w:val="sk-SK"/>
        </w:rPr>
        <w:t>po</w:t>
      </w:r>
      <w:r w:rsidR="001E186E" w:rsidRPr="008930FF">
        <w:rPr>
          <w:rFonts w:ascii="Times New Roman" w:hAnsi="Times New Roman" w:cs="Times New Roman"/>
          <w:sz w:val="22"/>
          <w:szCs w:val="22"/>
          <w:lang w:val="sk-SK"/>
        </w:rPr>
        <w:t>ruchou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renálny</w:t>
      </w:r>
      <w:r w:rsidR="00161579" w:rsidRPr="008930FF">
        <w:rPr>
          <w:rFonts w:ascii="Times New Roman" w:hAnsi="Times New Roman" w:cs="Times New Roman"/>
          <w:sz w:val="22"/>
          <w:szCs w:val="22"/>
          <w:lang w:val="sk-SK"/>
        </w:rPr>
        <w:t>ch</w:t>
      </w:r>
      <w:proofErr w:type="spellEnd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funkci</w:t>
      </w:r>
      <w:r w:rsidR="00161579" w:rsidRPr="008930FF">
        <w:rPr>
          <w:rFonts w:ascii="Times New Roman" w:hAnsi="Times New Roman" w:cs="Times New Roman"/>
          <w:sz w:val="22"/>
          <w:szCs w:val="22"/>
          <w:lang w:val="sk-SK"/>
        </w:rPr>
        <w:t>í, rovnako ako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u starších pacientov. </w:t>
      </w:r>
    </w:p>
    <w:p w14:paraId="5FF6848D" w14:textId="77777777" w:rsidR="0043264C" w:rsidRPr="008930FF" w:rsidRDefault="00F22AEF" w:rsidP="0055286A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Pentoxifylín</w:t>
      </w:r>
      <w:proofErr w:type="spellEnd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: zvýšené riziko krvácania</w:t>
      </w:r>
      <w:r w:rsidR="00E53EEA"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E53EEA" w:rsidRPr="008930FF"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otreb</w:t>
      </w:r>
      <w:r w:rsidR="00E53EEA" w:rsidRPr="008930FF">
        <w:rPr>
          <w:rFonts w:ascii="Times New Roman" w:hAnsi="Times New Roman" w:cs="Times New Roman"/>
          <w:sz w:val="22"/>
          <w:szCs w:val="22"/>
          <w:lang w:val="sk-SK"/>
        </w:rPr>
        <w:t>né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zvýšené klinické monitorovani</w:t>
      </w:r>
      <w:r w:rsidR="00E53EEA" w:rsidRPr="008930FF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 častejšia kontrola </w:t>
      </w:r>
      <w:r w:rsidR="00AF17BA" w:rsidRPr="008930FF">
        <w:rPr>
          <w:rFonts w:ascii="Times New Roman" w:hAnsi="Times New Roman" w:cs="Times New Roman"/>
          <w:sz w:val="22"/>
          <w:szCs w:val="22"/>
          <w:lang w:val="sk-SK"/>
        </w:rPr>
        <w:t>doby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krvácania. </w:t>
      </w:r>
    </w:p>
    <w:p w14:paraId="0F47F895" w14:textId="4682D91D" w:rsidR="0043264C" w:rsidRPr="008930FF" w:rsidRDefault="00F22AEF" w:rsidP="0055286A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Zidovudín</w:t>
      </w:r>
      <w:proofErr w:type="spellEnd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: riziko </w:t>
      </w:r>
      <w:r w:rsidR="00C97A01" w:rsidRPr="008930FF">
        <w:rPr>
          <w:rFonts w:ascii="Times New Roman" w:hAnsi="Times New Roman" w:cs="Times New Roman"/>
          <w:sz w:val="22"/>
          <w:szCs w:val="22"/>
          <w:lang w:val="sk-SK"/>
        </w:rPr>
        <w:t>zvýšen</w:t>
      </w:r>
      <w:r w:rsidR="0080285F" w:rsidRPr="008930FF">
        <w:rPr>
          <w:rFonts w:ascii="Times New Roman" w:hAnsi="Times New Roman" w:cs="Times New Roman"/>
          <w:sz w:val="22"/>
          <w:szCs w:val="22"/>
          <w:lang w:val="sk-SK"/>
        </w:rPr>
        <w:t>ého</w:t>
      </w:r>
      <w:r w:rsidR="00C97A01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0A06FA" w:rsidRPr="008930FF">
        <w:rPr>
          <w:rFonts w:ascii="Times New Roman" w:hAnsi="Times New Roman" w:cs="Times New Roman"/>
          <w:sz w:val="22"/>
          <w:szCs w:val="22"/>
          <w:lang w:val="sk-SK"/>
        </w:rPr>
        <w:t>toxic</w:t>
      </w:r>
      <w:r w:rsidR="0080285F" w:rsidRPr="008930FF">
        <w:rPr>
          <w:rFonts w:ascii="Times New Roman" w:hAnsi="Times New Roman" w:cs="Times New Roman"/>
          <w:sz w:val="22"/>
          <w:szCs w:val="22"/>
          <w:lang w:val="sk-SK"/>
        </w:rPr>
        <w:t>kého účinku</w:t>
      </w:r>
      <w:r w:rsidR="000A06F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na erytrocyty</w:t>
      </w:r>
      <w:r w:rsidR="00C97A01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v dôsledku pôsobenia na </w:t>
      </w:r>
      <w:proofErr w:type="spellStart"/>
      <w:r w:rsidR="00C97A01" w:rsidRPr="008930FF">
        <w:rPr>
          <w:rFonts w:ascii="Times New Roman" w:hAnsi="Times New Roman" w:cs="Times New Roman"/>
          <w:sz w:val="22"/>
          <w:szCs w:val="22"/>
          <w:lang w:val="sk-SK"/>
        </w:rPr>
        <w:t>retikulocyty</w:t>
      </w:r>
      <w:proofErr w:type="spellEnd"/>
      <w:r w:rsidR="000A06FA" w:rsidRPr="008930FF">
        <w:rPr>
          <w:rFonts w:ascii="Times New Roman" w:hAnsi="Times New Roman" w:cs="Times New Roman"/>
          <w:sz w:val="22"/>
          <w:szCs w:val="22"/>
          <w:lang w:val="sk-SK"/>
        </w:rPr>
        <w:t>, s</w:t>
      </w:r>
      <w:r w:rsidR="00264663" w:rsidRPr="008930FF">
        <w:rPr>
          <w:rFonts w:ascii="Times New Roman" w:hAnsi="Times New Roman" w:cs="Times New Roman"/>
          <w:sz w:val="22"/>
          <w:szCs w:val="22"/>
          <w:lang w:val="sk-SK"/>
        </w:rPr>
        <w:t>o</w:t>
      </w:r>
      <w:r w:rsidR="000A06FA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závažn</w:t>
      </w:r>
      <w:r w:rsidR="00264663" w:rsidRPr="008930FF">
        <w:rPr>
          <w:rFonts w:ascii="Times New Roman" w:hAnsi="Times New Roman" w:cs="Times New Roman"/>
          <w:sz w:val="22"/>
          <w:szCs w:val="22"/>
          <w:lang w:val="sk-SK"/>
        </w:rPr>
        <w:t>ou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anémi</w:t>
      </w:r>
      <w:r w:rsidR="00264663" w:rsidRPr="008930FF">
        <w:rPr>
          <w:rFonts w:ascii="Times New Roman" w:hAnsi="Times New Roman" w:cs="Times New Roman"/>
          <w:sz w:val="22"/>
          <w:szCs w:val="22"/>
          <w:lang w:val="sk-SK"/>
        </w:rPr>
        <w:t>o</w:t>
      </w:r>
      <w:r w:rsidR="00A30FE3" w:rsidRPr="008930FF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6D164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97A01" w:rsidRPr="008930FF">
        <w:rPr>
          <w:rFonts w:ascii="Times New Roman" w:hAnsi="Times New Roman" w:cs="Times New Roman"/>
          <w:sz w:val="22"/>
          <w:szCs w:val="22"/>
          <w:lang w:val="sk-SK"/>
        </w:rPr>
        <w:t>vyskytujúcou sa jeden</w:t>
      </w:r>
      <w:r w:rsidR="00A654A0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týžd</w:t>
      </w:r>
      <w:r w:rsidR="00C97A01" w:rsidRPr="008930FF">
        <w:rPr>
          <w:rFonts w:ascii="Times New Roman" w:hAnsi="Times New Roman" w:cs="Times New Roman"/>
          <w:sz w:val="22"/>
          <w:szCs w:val="22"/>
          <w:lang w:val="sk-SK"/>
        </w:rPr>
        <w:t>eň</w:t>
      </w:r>
      <w:r w:rsidR="00A654A0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97A01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po začatí </w:t>
      </w:r>
      <w:r w:rsidR="0080285F" w:rsidRPr="008930FF">
        <w:rPr>
          <w:rFonts w:ascii="Times New Roman" w:hAnsi="Times New Roman" w:cs="Times New Roman"/>
          <w:sz w:val="22"/>
          <w:szCs w:val="22"/>
          <w:lang w:val="sk-SK"/>
        </w:rPr>
        <w:t>liečby</w:t>
      </w:r>
      <w:r w:rsidR="006E77C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NSAID</w:t>
      </w:r>
      <w:r w:rsidR="00A654A0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. Kontrola </w:t>
      </w:r>
      <w:r w:rsidR="006E77CF" w:rsidRPr="008930FF">
        <w:rPr>
          <w:rFonts w:ascii="Times New Roman" w:hAnsi="Times New Roman" w:cs="Times New Roman"/>
          <w:sz w:val="22"/>
          <w:szCs w:val="22"/>
          <w:lang w:val="sk-SK"/>
        </w:rPr>
        <w:t>celkového krvného obrazu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 počtu </w:t>
      </w:r>
      <w:proofErr w:type="spellStart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retikulocytov</w:t>
      </w:r>
      <w:proofErr w:type="spellEnd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je nutná v priebehu prvého až druhého týždňa po začiatku terapie s NSAID. </w:t>
      </w:r>
    </w:p>
    <w:p w14:paraId="57181A0F" w14:textId="4C724082" w:rsidR="0043264C" w:rsidRPr="008930FF" w:rsidRDefault="0080285F" w:rsidP="0055286A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Deriváty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sulfonylmočoviny</w:t>
      </w:r>
      <w:proofErr w:type="spellEnd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: NSAID môžu zvyšovať </w:t>
      </w:r>
      <w:proofErr w:type="spellStart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hypoglykemický</w:t>
      </w:r>
      <w:proofErr w:type="spellEnd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264663" w:rsidRPr="008930FF">
        <w:rPr>
          <w:rFonts w:ascii="Times New Roman" w:hAnsi="Times New Roman" w:cs="Times New Roman"/>
          <w:sz w:val="22"/>
          <w:szCs w:val="22"/>
          <w:lang w:val="sk-SK"/>
        </w:rPr>
        <w:t>účinok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derivátov </w:t>
      </w:r>
      <w:proofErr w:type="spellStart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sulfonyl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močoviny</w:t>
      </w:r>
      <w:proofErr w:type="spellEnd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vytesnením z väz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bových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miest na plazmatických proteínoch. </w:t>
      </w:r>
    </w:p>
    <w:p w14:paraId="52AC988D" w14:textId="77777777" w:rsidR="0043264C" w:rsidRPr="008930FF" w:rsidRDefault="0043264C" w:rsidP="00C7373F">
      <w:pPr>
        <w:pStyle w:val="Vchoz"/>
        <w:tabs>
          <w:tab w:val="num" w:pos="426"/>
        </w:tabs>
        <w:ind w:left="426" w:hanging="426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426530AA" w14:textId="77777777" w:rsidR="0043264C" w:rsidRPr="008930FF" w:rsidRDefault="00C044FB" w:rsidP="00C7373F">
      <w:pPr>
        <w:pStyle w:val="Vchoz"/>
        <w:tabs>
          <w:tab w:val="num" w:pos="426"/>
        </w:tabs>
        <w:ind w:left="426" w:hanging="426"/>
        <w:jc w:val="left"/>
        <w:rPr>
          <w:rFonts w:ascii="Times New Roman" w:hAnsi="Times New Roman" w:cs="Times New Roman"/>
          <w:b/>
          <w:bCs/>
          <w:i/>
          <w:iCs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i/>
          <w:sz w:val="22"/>
          <w:szCs w:val="22"/>
          <w:lang w:val="sk-SK"/>
        </w:rPr>
        <w:t>Kombinácie</w:t>
      </w:r>
      <w:r w:rsidR="0043264C" w:rsidRPr="008930FF">
        <w:rPr>
          <w:rFonts w:ascii="Times New Roman" w:hAnsi="Times New Roman" w:cs="Times New Roman"/>
          <w:i/>
          <w:sz w:val="22"/>
          <w:szCs w:val="22"/>
          <w:lang w:val="sk-SK"/>
        </w:rPr>
        <w:t xml:space="preserve">, ktoré je </w:t>
      </w:r>
      <w:r w:rsidR="00DB63C4" w:rsidRPr="008930FF">
        <w:rPr>
          <w:rFonts w:ascii="Times New Roman" w:hAnsi="Times New Roman" w:cs="Times New Roman"/>
          <w:i/>
          <w:sz w:val="22"/>
          <w:szCs w:val="22"/>
          <w:lang w:val="sk-SK"/>
        </w:rPr>
        <w:t>potrebné zvážiť</w:t>
      </w:r>
      <w:r w:rsidR="0043264C" w:rsidRPr="008930FF">
        <w:rPr>
          <w:rFonts w:ascii="Times New Roman" w:hAnsi="Times New Roman" w:cs="Times New Roman"/>
          <w:b/>
          <w:bCs/>
          <w:i/>
          <w:iCs/>
          <w:sz w:val="22"/>
          <w:szCs w:val="22"/>
          <w:lang w:val="sk-SK"/>
        </w:rPr>
        <w:t>:</w:t>
      </w:r>
    </w:p>
    <w:p w14:paraId="3F08C2A0" w14:textId="5FD0F0D3" w:rsidR="0043264C" w:rsidRPr="008930FF" w:rsidRDefault="0043264C" w:rsidP="0055286A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Betablokátory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: </w:t>
      </w:r>
      <w:r w:rsidR="00A30FE3" w:rsidRPr="008930FF">
        <w:rPr>
          <w:rFonts w:ascii="Times New Roman" w:hAnsi="Times New Roman" w:cs="Times New Roman"/>
          <w:sz w:val="22"/>
          <w:szCs w:val="22"/>
          <w:lang w:val="sk-SK"/>
        </w:rPr>
        <w:t>liečba</w:t>
      </w:r>
      <w:r w:rsidR="00FC34D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NSAID </w:t>
      </w:r>
      <w:r w:rsidR="00DE3B3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môže znížiť ich </w:t>
      </w:r>
      <w:proofErr w:type="spellStart"/>
      <w:r w:rsidR="00DE3B35" w:rsidRPr="008930FF">
        <w:rPr>
          <w:rFonts w:ascii="Times New Roman" w:hAnsi="Times New Roman" w:cs="Times New Roman"/>
          <w:sz w:val="22"/>
          <w:szCs w:val="22"/>
          <w:lang w:val="sk-SK"/>
        </w:rPr>
        <w:t>antihypertenz</w:t>
      </w:r>
      <w:r w:rsidR="0072571C" w:rsidRPr="008930FF">
        <w:rPr>
          <w:rFonts w:ascii="Times New Roman" w:hAnsi="Times New Roman" w:cs="Times New Roman"/>
          <w:sz w:val="22"/>
          <w:szCs w:val="22"/>
          <w:lang w:val="sk-SK"/>
        </w:rPr>
        <w:t>n</w:t>
      </w:r>
      <w:r w:rsidR="00571322" w:rsidRPr="008930FF">
        <w:rPr>
          <w:rFonts w:ascii="Times New Roman" w:hAnsi="Times New Roman" w:cs="Times New Roman"/>
          <w:sz w:val="22"/>
          <w:szCs w:val="22"/>
          <w:lang w:val="sk-SK"/>
        </w:rPr>
        <w:t>ý</w:t>
      </w:r>
      <w:proofErr w:type="spellEnd"/>
      <w:r w:rsidR="0072571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E3B3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účinok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inhibíciou syntézy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prostaglandínov</w:t>
      </w:r>
      <w:proofErr w:type="spellEnd"/>
      <w:r w:rsidR="007920EB"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4E1F37EF" w14:textId="6DB3A56B" w:rsidR="0043264C" w:rsidRPr="008930FF" w:rsidRDefault="00282412" w:rsidP="0055286A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Cyklosporín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a </w:t>
      </w:r>
      <w:proofErr w:type="spellStart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takrolimus</w:t>
      </w:r>
      <w:proofErr w:type="spellEnd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: NSAID </w:t>
      </w:r>
      <w:r w:rsidR="00BE557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môžu 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zvýšiť </w:t>
      </w:r>
      <w:proofErr w:type="spellStart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nefrotoxicitu</w:t>
      </w:r>
      <w:proofErr w:type="spellEnd"/>
      <w:r w:rsidR="00BE557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v dôsledku účinkov sprostredkovaný</w:t>
      </w:r>
      <w:r w:rsidR="00663A66" w:rsidRPr="008930FF">
        <w:rPr>
          <w:rFonts w:ascii="Times New Roman" w:hAnsi="Times New Roman" w:cs="Times New Roman"/>
          <w:sz w:val="22"/>
          <w:szCs w:val="22"/>
          <w:lang w:val="sk-SK"/>
        </w:rPr>
        <w:t>ch</w:t>
      </w:r>
      <w:r w:rsidR="00BE557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BE5577" w:rsidRPr="008930FF">
        <w:rPr>
          <w:rFonts w:ascii="Times New Roman" w:hAnsi="Times New Roman" w:cs="Times New Roman"/>
          <w:sz w:val="22"/>
          <w:szCs w:val="22"/>
          <w:lang w:val="sk-SK"/>
        </w:rPr>
        <w:t>renálnymi</w:t>
      </w:r>
      <w:proofErr w:type="spellEnd"/>
      <w:r w:rsidR="00BE557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BE5577" w:rsidRPr="008930FF">
        <w:rPr>
          <w:rFonts w:ascii="Times New Roman" w:hAnsi="Times New Roman" w:cs="Times New Roman"/>
          <w:sz w:val="22"/>
          <w:szCs w:val="22"/>
          <w:lang w:val="sk-SK"/>
        </w:rPr>
        <w:t>prostaglandínmi</w:t>
      </w:r>
      <w:proofErr w:type="spellEnd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. Počas kombinovanej </w:t>
      </w:r>
      <w:r w:rsidR="00D77202" w:rsidRPr="008930FF">
        <w:rPr>
          <w:rFonts w:ascii="Times New Roman" w:hAnsi="Times New Roman" w:cs="Times New Roman"/>
          <w:sz w:val="22"/>
          <w:szCs w:val="22"/>
          <w:lang w:val="sk-SK"/>
        </w:rPr>
        <w:t>liečby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sa musia sledovať renálne funkcie. </w:t>
      </w:r>
    </w:p>
    <w:p w14:paraId="1EB1B46D" w14:textId="77777777" w:rsidR="0043264C" w:rsidRPr="008930FF" w:rsidRDefault="00282412" w:rsidP="0055286A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Trombolytiká</w:t>
      </w:r>
      <w:proofErr w:type="spellEnd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: zvýšené </w:t>
      </w:r>
      <w:r w:rsidR="00330C3C" w:rsidRPr="008930FF">
        <w:rPr>
          <w:rFonts w:ascii="Times New Roman" w:hAnsi="Times New Roman" w:cs="Times New Roman"/>
          <w:sz w:val="22"/>
          <w:szCs w:val="22"/>
          <w:lang w:val="sk-SK"/>
        </w:rPr>
        <w:t>riziko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krvácania.</w:t>
      </w:r>
    </w:p>
    <w:p w14:paraId="226382F4" w14:textId="16F5FD9F" w:rsidR="00517B4C" w:rsidRPr="008930FF" w:rsidRDefault="00D77202" w:rsidP="0055286A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Antiagreganciá</w:t>
      </w:r>
      <w:proofErr w:type="spellEnd"/>
      <w:r w:rsidR="00DE3B3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r w:rsidR="00D32C0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selektívne </w:t>
      </w:r>
      <w:r w:rsidR="00DE3B3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inhibítory spätného vychytávania </w:t>
      </w:r>
      <w:proofErr w:type="spellStart"/>
      <w:r w:rsidR="00DE3B35" w:rsidRPr="008930FF">
        <w:rPr>
          <w:rFonts w:ascii="Times New Roman" w:hAnsi="Times New Roman" w:cs="Times New Roman"/>
          <w:sz w:val="22"/>
          <w:szCs w:val="22"/>
          <w:lang w:val="sk-SK"/>
        </w:rPr>
        <w:t>s</w:t>
      </w:r>
      <w:r w:rsidR="001E186E" w:rsidRPr="008930FF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="00DE3B35" w:rsidRPr="008930FF">
        <w:rPr>
          <w:rFonts w:ascii="Times New Roman" w:hAnsi="Times New Roman" w:cs="Times New Roman"/>
          <w:sz w:val="22"/>
          <w:szCs w:val="22"/>
          <w:lang w:val="sk-SK"/>
        </w:rPr>
        <w:t>rotonínu</w:t>
      </w:r>
      <w:proofErr w:type="spellEnd"/>
      <w:r w:rsidR="00D32C0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(SSRI)</w:t>
      </w:r>
      <w:r w:rsidR="00DE3B35" w:rsidRPr="008930FF">
        <w:rPr>
          <w:rFonts w:ascii="Times New Roman" w:hAnsi="Times New Roman" w:cs="Times New Roman"/>
          <w:sz w:val="22"/>
          <w:szCs w:val="22"/>
          <w:lang w:val="sk-SK"/>
        </w:rPr>
        <w:t>: zv</w:t>
      </w:r>
      <w:r w:rsidR="00DE48B8" w:rsidRPr="008930FF">
        <w:rPr>
          <w:rFonts w:ascii="Times New Roman" w:hAnsi="Times New Roman" w:cs="Times New Roman"/>
          <w:sz w:val="22"/>
          <w:szCs w:val="22"/>
          <w:lang w:val="sk-SK"/>
        </w:rPr>
        <w:t>ýšené</w:t>
      </w:r>
      <w:r w:rsidR="00DE3B3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riziko gastrointestinálneho krvácania (pozri časť 4.4).</w:t>
      </w:r>
    </w:p>
    <w:p w14:paraId="5EA39DCF" w14:textId="4AFB12B1" w:rsidR="007920EB" w:rsidRPr="008930FF" w:rsidRDefault="00282412" w:rsidP="0055286A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Probenecid</w:t>
      </w:r>
      <w:proofErr w:type="spellEnd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: plazmatická koncentrácia </w:t>
      </w:r>
      <w:proofErr w:type="spellStart"/>
      <w:r w:rsidR="006E3546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="00370D34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môže byť zvýšená;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370D34" w:rsidRPr="008930FF">
        <w:rPr>
          <w:rFonts w:ascii="Times New Roman" w:hAnsi="Times New Roman" w:cs="Times New Roman"/>
          <w:sz w:val="22"/>
          <w:szCs w:val="22"/>
          <w:lang w:val="sk-SK"/>
        </w:rPr>
        <w:t>táto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interakci</w:t>
      </w:r>
      <w:r w:rsidR="00370D34" w:rsidRPr="008930FF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môže </w:t>
      </w:r>
      <w:r w:rsidR="00370D34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byt </w:t>
      </w:r>
      <w:r w:rsidR="00370D34" w:rsidRPr="008930FF">
        <w:rPr>
          <w:rFonts w:ascii="Times New Roman" w:hAnsi="Times New Roman" w:cs="Times New Roman"/>
          <w:sz w:val="22"/>
          <w:szCs w:val="22"/>
          <w:lang w:val="sk-SK"/>
        </w:rPr>
        <w:lastRenderedPageBreak/>
        <w:t>spôsobená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inhibičným mechanizmom na mieste </w:t>
      </w:r>
      <w:proofErr w:type="spellStart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renálnej</w:t>
      </w:r>
      <w:proofErr w:type="spellEnd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tubulárnej</w:t>
      </w:r>
      <w:proofErr w:type="spellEnd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sekrécie a</w:t>
      </w:r>
      <w:r w:rsidR="00D77202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pri</w:t>
      </w:r>
      <w:r w:rsidR="00D7720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D77202" w:rsidRPr="008930FF">
        <w:rPr>
          <w:rFonts w:ascii="Times New Roman" w:hAnsi="Times New Roman" w:cs="Times New Roman"/>
          <w:sz w:val="22"/>
          <w:szCs w:val="22"/>
          <w:lang w:val="sk-SK"/>
        </w:rPr>
        <w:t>glukuronidovej</w:t>
      </w:r>
      <w:proofErr w:type="spellEnd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konjugácii</w:t>
      </w:r>
      <w:r w:rsidR="00370D34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 vyžaduje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370D34" w:rsidRPr="008930FF">
        <w:rPr>
          <w:rFonts w:ascii="Times New Roman" w:hAnsi="Times New Roman" w:cs="Times New Roman"/>
          <w:sz w:val="22"/>
          <w:szCs w:val="22"/>
          <w:lang w:val="sk-SK"/>
        </w:rPr>
        <w:t>ú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prav</w:t>
      </w:r>
      <w:r w:rsidR="00370D34" w:rsidRPr="008930FF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dávky </w:t>
      </w:r>
      <w:proofErr w:type="spellStart"/>
      <w:r w:rsidR="006E3546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14:paraId="45E9FFDE" w14:textId="77777777" w:rsidR="00903D84" w:rsidRPr="008930FF" w:rsidRDefault="008859BE" w:rsidP="0055286A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Srdcové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g</w:t>
      </w:r>
      <w:r w:rsidR="00282412" w:rsidRPr="008930FF">
        <w:rPr>
          <w:rFonts w:ascii="Times New Roman" w:hAnsi="Times New Roman" w:cs="Times New Roman"/>
          <w:sz w:val="22"/>
          <w:szCs w:val="22"/>
          <w:lang w:val="sk-SK"/>
        </w:rPr>
        <w:t>lykozidy</w:t>
      </w:r>
      <w:proofErr w:type="spellEnd"/>
      <w:r w:rsidR="0028241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: NSAID môžu zvýšiť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plazmatickú </w:t>
      </w:r>
      <w:r w:rsidR="0028241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koncentráciu </w:t>
      </w:r>
      <w:proofErr w:type="spellStart"/>
      <w:r w:rsidR="00282412" w:rsidRPr="008930FF">
        <w:rPr>
          <w:rFonts w:ascii="Times New Roman" w:hAnsi="Times New Roman" w:cs="Times New Roman"/>
          <w:sz w:val="22"/>
          <w:szCs w:val="22"/>
          <w:lang w:val="sk-SK"/>
        </w:rPr>
        <w:t>glykozid</w:t>
      </w:r>
      <w:r w:rsidR="002A2904" w:rsidRPr="008930FF">
        <w:rPr>
          <w:rFonts w:ascii="Times New Roman" w:hAnsi="Times New Roman" w:cs="Times New Roman"/>
          <w:sz w:val="22"/>
          <w:szCs w:val="22"/>
          <w:lang w:val="sk-SK"/>
        </w:rPr>
        <w:t>ov</w:t>
      </w:r>
      <w:proofErr w:type="spellEnd"/>
      <w:r w:rsidR="00282412"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3D09B02E" w14:textId="7A95328A" w:rsidR="00282412" w:rsidRPr="008930FF" w:rsidRDefault="00282412" w:rsidP="0055286A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Mifeprist</w:t>
      </w:r>
      <w:r w:rsidR="001E186E" w:rsidRPr="008930FF">
        <w:rPr>
          <w:rFonts w:ascii="Times New Roman" w:hAnsi="Times New Roman" w:cs="Times New Roman"/>
          <w:sz w:val="22"/>
          <w:szCs w:val="22"/>
          <w:lang w:val="sk-SK"/>
        </w:rPr>
        <w:t>ó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n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: </w:t>
      </w:r>
      <w:r w:rsidR="0080052B" w:rsidRPr="008930FF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zhľadom na teoretické riziko, že inhibítory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prostaglandín</w:t>
      </w:r>
      <w:r w:rsidR="009644F2" w:rsidRPr="008930FF">
        <w:rPr>
          <w:rFonts w:ascii="Times New Roman" w:hAnsi="Times New Roman" w:cs="Times New Roman"/>
          <w:sz w:val="22"/>
          <w:szCs w:val="22"/>
          <w:lang w:val="sk-SK"/>
        </w:rPr>
        <w:t>-syntetázy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môžu zmeniť účinnosť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mifeprist</w:t>
      </w:r>
      <w:r w:rsidR="001E186E" w:rsidRPr="008930FF">
        <w:rPr>
          <w:rFonts w:ascii="Times New Roman" w:hAnsi="Times New Roman" w:cs="Times New Roman"/>
          <w:sz w:val="22"/>
          <w:szCs w:val="22"/>
          <w:lang w:val="sk-SK"/>
        </w:rPr>
        <w:t>ó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nu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NSAID </w:t>
      </w:r>
      <w:r w:rsidR="008859BE" w:rsidRPr="008930FF">
        <w:rPr>
          <w:rFonts w:ascii="Times New Roman" w:hAnsi="Times New Roman" w:cs="Times New Roman"/>
          <w:sz w:val="22"/>
          <w:szCs w:val="22"/>
          <w:lang w:val="sk-SK"/>
        </w:rPr>
        <w:t>sa nemajú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používať 8-12 dní po podaní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mifeprist</w:t>
      </w:r>
      <w:r w:rsidR="001E186E" w:rsidRPr="008930FF">
        <w:rPr>
          <w:rFonts w:ascii="Times New Roman" w:hAnsi="Times New Roman" w:cs="Times New Roman"/>
          <w:sz w:val="22"/>
          <w:szCs w:val="22"/>
          <w:lang w:val="sk-SK"/>
        </w:rPr>
        <w:t>ó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nu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37B8A7F5" w14:textId="77777777" w:rsidR="0043264C" w:rsidRPr="008930FF" w:rsidRDefault="008859BE" w:rsidP="0055286A">
      <w:pPr>
        <w:pStyle w:val="Vchoz"/>
        <w:numPr>
          <w:ilvl w:val="0"/>
          <w:numId w:val="18"/>
        </w:numPr>
        <w:tabs>
          <w:tab w:val="left" w:pos="-142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Chinolón</w:t>
      </w:r>
      <w:r w:rsidR="00743D38" w:rsidRPr="008930FF">
        <w:rPr>
          <w:rFonts w:ascii="Times New Roman" w:hAnsi="Times New Roman" w:cs="Times New Roman"/>
          <w:sz w:val="22"/>
          <w:szCs w:val="22"/>
          <w:lang w:val="sk-SK"/>
        </w:rPr>
        <w:t>ové</w:t>
      </w:r>
      <w:proofErr w:type="spellEnd"/>
      <w:r w:rsidR="00743D38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antibiotiká</w:t>
      </w:r>
      <w:r w:rsidR="0028241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: údaje zo štúdií na zvieratách </w:t>
      </w:r>
      <w:r w:rsidR="009D399F" w:rsidRPr="008930FF">
        <w:rPr>
          <w:rFonts w:ascii="Times New Roman" w:hAnsi="Times New Roman" w:cs="Times New Roman"/>
          <w:sz w:val="22"/>
          <w:szCs w:val="22"/>
          <w:lang w:val="sk-SK"/>
        </w:rPr>
        <w:t>ukazujú</w:t>
      </w:r>
      <w:r w:rsidR="0028241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že vysoké dávky </w:t>
      </w:r>
      <w:proofErr w:type="spellStart"/>
      <w:r w:rsidR="00195215" w:rsidRPr="008930FF">
        <w:rPr>
          <w:rFonts w:ascii="Times New Roman" w:hAnsi="Times New Roman" w:cs="Times New Roman"/>
          <w:sz w:val="22"/>
          <w:szCs w:val="22"/>
          <w:lang w:val="sk-SK"/>
        </w:rPr>
        <w:t>chinolónov</w:t>
      </w:r>
      <w:proofErr w:type="spellEnd"/>
      <w:r w:rsidR="0028241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v kombinácii s NSAID môžu zvýšiť riziko</w:t>
      </w:r>
      <w:r w:rsidR="009D399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vzniku kŕčov</w:t>
      </w:r>
      <w:r w:rsidR="0028241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14:paraId="42103446" w14:textId="77777777" w:rsidR="0043264C" w:rsidRPr="008930FF" w:rsidRDefault="0043264C" w:rsidP="00C7373F">
      <w:pPr>
        <w:pStyle w:val="Vchoz"/>
        <w:tabs>
          <w:tab w:val="num" w:pos="426"/>
        </w:tabs>
        <w:ind w:left="426" w:hanging="426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02B24C35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4.6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ab/>
      </w:r>
      <w:r w:rsidR="00CB3347"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Fertilita, g</w:t>
      </w:r>
      <w:r w:rsidR="00F416E1"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ravidita</w:t>
      </w: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a laktáci</w:t>
      </w:r>
      <w:r w:rsidR="00F416E1"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a</w:t>
      </w:r>
    </w:p>
    <w:p w14:paraId="0D223A84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752B8257" w14:textId="147A1DBC" w:rsidR="00DE3B35" w:rsidRPr="008930FF" w:rsidRDefault="006F422A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DEXKETOPROFEN ADAMED </w:t>
      </w:r>
      <w:r w:rsidR="00BC06E7" w:rsidRPr="008930FF">
        <w:rPr>
          <w:rFonts w:ascii="Times New Roman" w:hAnsi="Times New Roman" w:cs="Times New Roman"/>
          <w:sz w:val="22"/>
          <w:szCs w:val="22"/>
          <w:lang w:val="sk-SK"/>
        </w:rPr>
        <w:t>injekčný/infúzny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roztok</w:t>
      </w:r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="00DE3B3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je počas </w:t>
      </w:r>
      <w:r w:rsidR="003D214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tretieho trimestra </w:t>
      </w:r>
      <w:r w:rsidR="00DE3B35" w:rsidRPr="008930FF">
        <w:rPr>
          <w:rFonts w:ascii="Times New Roman" w:hAnsi="Times New Roman" w:cs="Times New Roman"/>
          <w:sz w:val="22"/>
          <w:szCs w:val="22"/>
          <w:lang w:val="sk-SK"/>
        </w:rPr>
        <w:t>gravidity a </w:t>
      </w:r>
      <w:r w:rsidR="007B6E8B" w:rsidRPr="008930FF">
        <w:rPr>
          <w:rFonts w:ascii="Times New Roman" w:hAnsi="Times New Roman" w:cs="Times New Roman"/>
          <w:sz w:val="22"/>
          <w:szCs w:val="22"/>
          <w:lang w:val="sk-SK"/>
        </w:rPr>
        <w:t>dojčenia</w:t>
      </w:r>
      <w:r w:rsidR="00DE3B3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kontraindikovan</w:t>
      </w:r>
      <w:r w:rsidR="004F5CC4" w:rsidRPr="008930FF">
        <w:rPr>
          <w:rFonts w:ascii="Times New Roman" w:hAnsi="Times New Roman" w:cs="Times New Roman"/>
          <w:sz w:val="22"/>
          <w:szCs w:val="22"/>
          <w:lang w:val="sk-SK"/>
        </w:rPr>
        <w:t>ý</w:t>
      </w:r>
      <w:r w:rsidR="00DE3B3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(pozri časť 4.3).</w:t>
      </w:r>
    </w:p>
    <w:p w14:paraId="213430C5" w14:textId="77777777" w:rsidR="00DE3B35" w:rsidRPr="008930FF" w:rsidRDefault="00DE3B35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14:paraId="6A3FB2C8" w14:textId="77777777" w:rsidR="00DE3B35" w:rsidRPr="008930FF" w:rsidRDefault="00DE3B35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u w:val="single"/>
          <w:lang w:val="sk-SK"/>
        </w:rPr>
        <w:t>Gravidita</w:t>
      </w:r>
    </w:p>
    <w:p w14:paraId="28BA8BDB" w14:textId="71079359" w:rsidR="00DE3B35" w:rsidRPr="008930FF" w:rsidRDefault="00DE3B35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Inhibícia syntézy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prostaglandínov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môže negatívne ovplyvniť </w:t>
      </w:r>
      <w:r w:rsidR="00BE27E5" w:rsidRPr="008930FF">
        <w:rPr>
          <w:rFonts w:ascii="Times New Roman" w:hAnsi="Times New Roman" w:cs="Times New Roman"/>
          <w:sz w:val="22"/>
          <w:szCs w:val="22"/>
          <w:lang w:val="sk-SK"/>
        </w:rPr>
        <w:t>graviditu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a/alebo vývin embrya/plodu. </w:t>
      </w:r>
      <w:r w:rsidR="00BE27E5" w:rsidRPr="008930FF">
        <w:rPr>
          <w:rFonts w:ascii="Times New Roman" w:hAnsi="Times New Roman" w:cs="Times New Roman"/>
          <w:sz w:val="22"/>
          <w:szCs w:val="22"/>
          <w:lang w:val="sk-SK"/>
        </w:rPr>
        <w:t>Údaje z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epidemiologických štúdií naznačujú zvýšené riziko </w:t>
      </w:r>
      <w:r w:rsidR="00BE27E5" w:rsidRPr="008930FF">
        <w:rPr>
          <w:rFonts w:ascii="Times New Roman" w:hAnsi="Times New Roman" w:cs="Times New Roman"/>
          <w:sz w:val="22"/>
          <w:szCs w:val="22"/>
          <w:lang w:val="sk-SK"/>
        </w:rPr>
        <w:t>potratu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 srdcových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malformácií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gastroschízy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po užívaní inhibítorov syntézy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prostaglandínov</w:t>
      </w:r>
      <w:proofErr w:type="spellEnd"/>
      <w:r w:rsidR="00BE27E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na začiatku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gravidity. </w:t>
      </w:r>
      <w:r w:rsidR="003D2149" w:rsidRPr="008930FF">
        <w:rPr>
          <w:rFonts w:ascii="Times New Roman" w:hAnsi="Times New Roman" w:cs="Times New Roman"/>
          <w:sz w:val="22"/>
          <w:szCs w:val="22"/>
          <w:lang w:val="sk-SK"/>
        </w:rPr>
        <w:t>Absolútne r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iziko kardiovaskulárnych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malformácií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bolo zvýšené</w:t>
      </w:r>
      <w:r w:rsidR="00190590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z menej ako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1</w:t>
      </w:r>
      <w:r w:rsidR="0025510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%</w:t>
      </w:r>
      <w:r w:rsidR="00190590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na približne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1,5 %. </w:t>
      </w:r>
      <w:r w:rsidR="00190590" w:rsidRPr="008930FF">
        <w:rPr>
          <w:rFonts w:ascii="Times New Roman" w:hAnsi="Times New Roman" w:cs="Times New Roman"/>
          <w:sz w:val="22"/>
          <w:szCs w:val="22"/>
          <w:lang w:val="sk-SK"/>
        </w:rPr>
        <w:t>Zdá sa, že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riziko</w:t>
      </w:r>
      <w:r w:rsidR="00190590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sa zvyšuje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</w:t>
      </w:r>
      <w:r w:rsidR="00190590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 dávkou a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dĺžkou </w:t>
      </w:r>
      <w:r w:rsidR="007B6E8B" w:rsidRPr="008930FF">
        <w:rPr>
          <w:rFonts w:ascii="Times New Roman" w:hAnsi="Times New Roman" w:cs="Times New Roman"/>
          <w:sz w:val="22"/>
          <w:szCs w:val="22"/>
          <w:lang w:val="sk-SK"/>
        </w:rPr>
        <w:t>liečby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. U zvierat podávanie inhibítorov syntézy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prostaglandínov</w:t>
      </w:r>
      <w:proofErr w:type="spellEnd"/>
      <w:r w:rsidR="008C7974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malo za následok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zvýšenie pre- a 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postimplantačných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strát a </w:t>
      </w:r>
      <w:r w:rsidR="008C7974" w:rsidRPr="008930FF">
        <w:rPr>
          <w:rFonts w:ascii="Times New Roman" w:hAnsi="Times New Roman" w:cs="Times New Roman"/>
          <w:sz w:val="22"/>
          <w:szCs w:val="22"/>
          <w:lang w:val="sk-SK"/>
        </w:rPr>
        <w:t>letality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embrya/plodu. Navyše, zvýšen</w:t>
      </w:r>
      <w:r w:rsidR="000243F2" w:rsidRPr="008930FF">
        <w:rPr>
          <w:rFonts w:ascii="Times New Roman" w:hAnsi="Times New Roman" w:cs="Times New Roman"/>
          <w:sz w:val="22"/>
          <w:szCs w:val="22"/>
          <w:lang w:val="sk-SK"/>
        </w:rPr>
        <w:t>ý výskyt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rôznych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malformácií</w:t>
      </w:r>
      <w:proofErr w:type="spellEnd"/>
      <w:r w:rsidR="000243F2" w:rsidRPr="008930FF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vrátane kardiovaskulárnych, bol</w:t>
      </w:r>
      <w:r w:rsidR="000243F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hlásený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v súvislosti s podávaním inhibítorov syntézy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prostaglandínov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0243F2" w:rsidRPr="008930FF">
        <w:rPr>
          <w:rFonts w:ascii="Times New Roman" w:hAnsi="Times New Roman" w:cs="Times New Roman"/>
          <w:sz w:val="22"/>
          <w:szCs w:val="22"/>
          <w:lang w:val="sk-SK"/>
        </w:rPr>
        <w:t>zvieratá</w:t>
      </w:r>
      <w:r w:rsidR="00306C81" w:rsidRPr="008930FF">
        <w:rPr>
          <w:rFonts w:ascii="Times New Roman" w:hAnsi="Times New Roman" w:cs="Times New Roman"/>
          <w:sz w:val="22"/>
          <w:szCs w:val="22"/>
          <w:lang w:val="sk-SK"/>
        </w:rPr>
        <w:t>m</w:t>
      </w:r>
      <w:r w:rsidR="000243F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počas </w:t>
      </w:r>
      <w:r w:rsidR="000243F2" w:rsidRPr="008930FF">
        <w:rPr>
          <w:rFonts w:ascii="Times New Roman" w:hAnsi="Times New Roman" w:cs="Times New Roman"/>
          <w:sz w:val="22"/>
          <w:szCs w:val="22"/>
          <w:lang w:val="sk-SK"/>
        </w:rPr>
        <w:t>obdobia organogenézy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. Napriek tomu, štúdie na zvieratách s</w:t>
      </w:r>
      <w:r w:rsidR="007B6E8B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proofErr w:type="spellStart"/>
      <w:r w:rsidR="006E3546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="007B6E8B" w:rsidRPr="008930FF">
        <w:rPr>
          <w:rFonts w:ascii="Times New Roman" w:hAnsi="Times New Roman" w:cs="Times New Roman"/>
          <w:sz w:val="22"/>
          <w:szCs w:val="22"/>
          <w:lang w:val="sk-SK"/>
        </w:rPr>
        <w:t>-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trometamolom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nepreukázali reprodukčnú toxicitu (pozri </w:t>
      </w:r>
      <w:r w:rsidR="009E196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časť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5.3). </w:t>
      </w:r>
      <w:proofErr w:type="spellStart"/>
      <w:r w:rsidR="006E3546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="007B6E8B" w:rsidRPr="008930FF">
        <w:rPr>
          <w:rFonts w:ascii="Times New Roman" w:hAnsi="Times New Roman" w:cs="Times New Roman"/>
          <w:sz w:val="22"/>
          <w:szCs w:val="22"/>
          <w:lang w:val="sk-SK"/>
        </w:rPr>
        <w:t>-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trometamol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BD2489" w:rsidRPr="008930FF">
        <w:rPr>
          <w:rFonts w:ascii="Times New Roman" w:hAnsi="Times New Roman" w:cs="Times New Roman"/>
          <w:sz w:val="22"/>
          <w:szCs w:val="22"/>
          <w:lang w:val="sk-SK"/>
        </w:rPr>
        <w:t>ne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má byť podávaný počas prvého a druhého trimestra gravidity</w:t>
      </w:r>
      <w:r w:rsidR="00BD2489" w:rsidRPr="008930FF">
        <w:rPr>
          <w:rFonts w:ascii="Times New Roman" w:hAnsi="Times New Roman" w:cs="Times New Roman"/>
          <w:sz w:val="22"/>
          <w:szCs w:val="22"/>
          <w:lang w:val="sk-SK"/>
        </w:rPr>
        <w:t>, pokiaľ to nie je vyslovene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 nevyhnutn</w:t>
      </w:r>
      <w:r w:rsidR="00BD2489" w:rsidRPr="008930FF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55286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Ak </w:t>
      </w:r>
      <w:proofErr w:type="spellStart"/>
      <w:r w:rsidR="006E3546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="007B6E8B" w:rsidRPr="008930FF">
        <w:rPr>
          <w:rFonts w:ascii="Times New Roman" w:hAnsi="Times New Roman" w:cs="Times New Roman"/>
          <w:sz w:val="22"/>
          <w:szCs w:val="22"/>
          <w:lang w:val="sk-SK"/>
        </w:rPr>
        <w:t>-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trometamol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užívajú ženy, ktoré </w:t>
      </w:r>
      <w:r w:rsidR="007A30F8" w:rsidRPr="008930FF">
        <w:rPr>
          <w:rFonts w:ascii="Times New Roman" w:hAnsi="Times New Roman" w:cs="Times New Roman"/>
          <w:sz w:val="22"/>
          <w:szCs w:val="22"/>
          <w:lang w:val="sk-SK"/>
        </w:rPr>
        <w:t>sa pokúšajú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otehotnieť alebo počas </w:t>
      </w:r>
      <w:r w:rsidR="00E636D9" w:rsidRPr="008930FF">
        <w:rPr>
          <w:rFonts w:ascii="Times New Roman" w:hAnsi="Times New Roman" w:cs="Times New Roman"/>
          <w:sz w:val="22"/>
          <w:szCs w:val="22"/>
          <w:lang w:val="sk-SK"/>
        </w:rPr>
        <w:t>prvého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r w:rsidR="00E636D9" w:rsidRPr="008930FF">
        <w:rPr>
          <w:rFonts w:ascii="Times New Roman" w:hAnsi="Times New Roman" w:cs="Times New Roman"/>
          <w:sz w:val="22"/>
          <w:szCs w:val="22"/>
          <w:lang w:val="sk-SK"/>
        </w:rPr>
        <w:t>druhého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trimestra</w:t>
      </w:r>
      <w:r w:rsidR="007A30F8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gravidity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7A30F8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dávka má byť čo najnižšia a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dĺžka </w:t>
      </w:r>
      <w:r w:rsidR="007B6E8B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liečby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čo najkratšia</w:t>
      </w:r>
      <w:r w:rsidR="007B6E8B"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17942B4D" w14:textId="77777777" w:rsidR="00DE3B35" w:rsidRPr="008930FF" w:rsidRDefault="00DE3B35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2A4DDB2D" w14:textId="77777777" w:rsidR="0040222A" w:rsidRPr="008930FF" w:rsidRDefault="00DE3B35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Počas </w:t>
      </w:r>
      <w:r w:rsidR="003D2149" w:rsidRPr="008930FF">
        <w:rPr>
          <w:rFonts w:ascii="Times New Roman" w:hAnsi="Times New Roman" w:cs="Times New Roman"/>
          <w:sz w:val="22"/>
          <w:szCs w:val="22"/>
          <w:lang w:val="sk-SK"/>
        </w:rPr>
        <w:t>tretieho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trimestra </w:t>
      </w:r>
      <w:r w:rsidR="007A30F8" w:rsidRPr="008930FF">
        <w:rPr>
          <w:rFonts w:ascii="Times New Roman" w:hAnsi="Times New Roman" w:cs="Times New Roman"/>
          <w:sz w:val="22"/>
          <w:szCs w:val="22"/>
          <w:lang w:val="sk-SK"/>
        </w:rPr>
        <w:t>gravidity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môžu všetky inhibítory syntézy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prostaglandínov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A30F8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vystaviť </w:t>
      </w:r>
    </w:p>
    <w:p w14:paraId="07DE1BA7" w14:textId="77777777" w:rsidR="00DE3B35" w:rsidRPr="008930FF" w:rsidRDefault="00DE3B35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plod:</w:t>
      </w:r>
    </w:p>
    <w:p w14:paraId="6ED78206" w14:textId="77777777" w:rsidR="00DE3B35" w:rsidRPr="008930FF" w:rsidRDefault="00DE3B35" w:rsidP="0040222A">
      <w:pPr>
        <w:pStyle w:val="Vchoz"/>
        <w:numPr>
          <w:ilvl w:val="0"/>
          <w:numId w:val="8"/>
        </w:numPr>
        <w:tabs>
          <w:tab w:val="clear" w:pos="927"/>
          <w:tab w:val="num" w:pos="426"/>
        </w:tabs>
        <w:ind w:left="426" w:hanging="426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kardiopulmonáln</w:t>
      </w:r>
      <w:r w:rsidR="00B6421D" w:rsidRPr="008930FF">
        <w:rPr>
          <w:rFonts w:ascii="Times New Roman" w:hAnsi="Times New Roman" w:cs="Times New Roman"/>
          <w:sz w:val="22"/>
          <w:szCs w:val="22"/>
          <w:lang w:val="sk-SK"/>
        </w:rPr>
        <w:t>ej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toxicit</w:t>
      </w:r>
      <w:r w:rsidR="00B6421D" w:rsidRPr="008930FF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(s predčasným uzavretím </w:t>
      </w:r>
      <w:proofErr w:type="spellStart"/>
      <w:r w:rsidRPr="008930FF">
        <w:rPr>
          <w:rFonts w:ascii="Times New Roman" w:hAnsi="Times New Roman" w:cs="Times New Roman"/>
          <w:i/>
          <w:sz w:val="22"/>
          <w:szCs w:val="22"/>
          <w:lang w:val="sk-SK"/>
        </w:rPr>
        <w:t>ductus</w:t>
      </w:r>
      <w:proofErr w:type="spellEnd"/>
      <w:r w:rsidRPr="008930FF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8930FF">
        <w:rPr>
          <w:rFonts w:ascii="Times New Roman" w:hAnsi="Times New Roman" w:cs="Times New Roman"/>
          <w:i/>
          <w:sz w:val="22"/>
          <w:szCs w:val="22"/>
          <w:lang w:val="sk-SK"/>
        </w:rPr>
        <w:t>arteriosus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 pľúcnou hypertenziou);</w:t>
      </w:r>
    </w:p>
    <w:p w14:paraId="5CA40E66" w14:textId="4AACB418" w:rsidR="00DE3B35" w:rsidRPr="008930FF" w:rsidRDefault="00DE3B35" w:rsidP="00792238">
      <w:pPr>
        <w:pStyle w:val="Vchoz"/>
        <w:numPr>
          <w:ilvl w:val="0"/>
          <w:numId w:val="8"/>
        </w:numPr>
        <w:tabs>
          <w:tab w:val="clear" w:pos="927"/>
          <w:tab w:val="num" w:pos="426"/>
        </w:tabs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renáln</w:t>
      </w:r>
      <w:r w:rsidR="00B6421D" w:rsidRPr="008930FF">
        <w:rPr>
          <w:rFonts w:ascii="Times New Roman" w:hAnsi="Times New Roman" w:cs="Times New Roman"/>
          <w:sz w:val="22"/>
          <w:szCs w:val="22"/>
          <w:lang w:val="sk-SK"/>
        </w:rPr>
        <w:t>ej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dysfunkci</w:t>
      </w:r>
      <w:r w:rsidR="00B6421D" w:rsidRPr="008930FF">
        <w:rPr>
          <w:rFonts w:ascii="Times New Roman" w:hAnsi="Times New Roman" w:cs="Times New Roman"/>
          <w:sz w:val="22"/>
          <w:szCs w:val="22"/>
          <w:lang w:val="sk-SK"/>
        </w:rPr>
        <w:t>i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, ktorá môže vyústiť do renálneho zlyhania s 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oligohydroamnió</w:t>
      </w:r>
      <w:r w:rsidR="00883BA5" w:rsidRPr="008930FF">
        <w:rPr>
          <w:rFonts w:ascii="Times New Roman" w:hAnsi="Times New Roman" w:cs="Times New Roman"/>
          <w:sz w:val="22"/>
          <w:szCs w:val="22"/>
          <w:lang w:val="sk-SK"/>
        </w:rPr>
        <w:t>nom</w:t>
      </w:r>
      <w:proofErr w:type="spellEnd"/>
    </w:p>
    <w:p w14:paraId="1CC94064" w14:textId="77777777" w:rsidR="00DE3B35" w:rsidRPr="008930FF" w:rsidRDefault="00DE3B35" w:rsidP="00792238">
      <w:pPr>
        <w:pStyle w:val="Vchoz"/>
        <w:tabs>
          <w:tab w:val="num" w:pos="426"/>
        </w:tabs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6FB7EDEE" w14:textId="77777777" w:rsidR="00DE3B35" w:rsidRPr="008930FF" w:rsidRDefault="00DE3B35" w:rsidP="00792238">
      <w:pPr>
        <w:pStyle w:val="Vchoz"/>
        <w:tabs>
          <w:tab w:val="num" w:pos="426"/>
        </w:tabs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matku a novorodenca na konci </w:t>
      </w:r>
      <w:r w:rsidR="00B6421D" w:rsidRPr="008930FF">
        <w:rPr>
          <w:rFonts w:ascii="Times New Roman" w:hAnsi="Times New Roman" w:cs="Times New Roman"/>
          <w:sz w:val="22"/>
          <w:szCs w:val="22"/>
          <w:lang w:val="sk-SK"/>
        </w:rPr>
        <w:t>gravidity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:</w:t>
      </w:r>
    </w:p>
    <w:p w14:paraId="7E2FA6BD" w14:textId="77777777" w:rsidR="00DE3B35" w:rsidRPr="008930FF" w:rsidRDefault="00DE3B35" w:rsidP="0040222A">
      <w:pPr>
        <w:pStyle w:val="Vchoz"/>
        <w:numPr>
          <w:ilvl w:val="0"/>
          <w:numId w:val="8"/>
        </w:numPr>
        <w:tabs>
          <w:tab w:val="clear" w:pos="927"/>
          <w:tab w:val="num" w:pos="426"/>
        </w:tabs>
        <w:ind w:left="426" w:hanging="426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možné</w:t>
      </w:r>
      <w:r w:rsidR="008F0319" w:rsidRPr="008930FF">
        <w:rPr>
          <w:rFonts w:ascii="Times New Roman" w:hAnsi="Times New Roman" w:cs="Times New Roman"/>
          <w:sz w:val="22"/>
          <w:szCs w:val="22"/>
          <w:lang w:val="sk-SK"/>
        </w:rPr>
        <w:t>mu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predĺženi</w:t>
      </w:r>
      <w:r w:rsidR="008F0319" w:rsidRPr="008930FF"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doby krvácania,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antiagregačn</w:t>
      </w:r>
      <w:r w:rsidR="008F0319" w:rsidRPr="008930FF">
        <w:rPr>
          <w:rFonts w:ascii="Times New Roman" w:hAnsi="Times New Roman" w:cs="Times New Roman"/>
          <w:sz w:val="22"/>
          <w:szCs w:val="22"/>
          <w:lang w:val="sk-SK"/>
        </w:rPr>
        <w:t>ému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účink</w:t>
      </w:r>
      <w:r w:rsidR="008F0319" w:rsidRPr="008930FF"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, ktorý sa môže vyskytnúť aj pri veľmi nízkych dávkach</w:t>
      </w:r>
    </w:p>
    <w:p w14:paraId="051C946E" w14:textId="5E85D2CF" w:rsidR="00DE3B35" w:rsidRPr="008930FF" w:rsidRDefault="00DE3B35" w:rsidP="00792238">
      <w:pPr>
        <w:pStyle w:val="Vchoz"/>
        <w:numPr>
          <w:ilvl w:val="0"/>
          <w:numId w:val="8"/>
        </w:numPr>
        <w:tabs>
          <w:tab w:val="clear" w:pos="927"/>
          <w:tab w:val="num" w:pos="426"/>
        </w:tabs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inhibíci</w:t>
      </w:r>
      <w:r w:rsidR="008F0319" w:rsidRPr="008930FF">
        <w:rPr>
          <w:rFonts w:ascii="Times New Roman" w:hAnsi="Times New Roman" w:cs="Times New Roman"/>
          <w:sz w:val="22"/>
          <w:szCs w:val="22"/>
          <w:lang w:val="sk-SK"/>
        </w:rPr>
        <w:t>i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883BA5" w:rsidRPr="008930FF">
        <w:rPr>
          <w:rFonts w:ascii="Times New Roman" w:hAnsi="Times New Roman" w:cs="Times New Roman"/>
          <w:sz w:val="22"/>
          <w:szCs w:val="22"/>
          <w:lang w:val="sk-SK"/>
        </w:rPr>
        <w:t>kontrakcií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maternice, </w:t>
      </w:r>
      <w:r w:rsidR="008F0319" w:rsidRPr="008930FF">
        <w:rPr>
          <w:rFonts w:ascii="Times New Roman" w:hAnsi="Times New Roman" w:cs="Times New Roman"/>
          <w:sz w:val="22"/>
          <w:szCs w:val="22"/>
          <w:lang w:val="sk-SK"/>
        </w:rPr>
        <w:t>čo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môže viesť k oneskorenému alebo predĺženému pôrodu</w:t>
      </w:r>
      <w:r w:rsidR="003D2149"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3476E580" w14:textId="77777777" w:rsidR="00DE3B35" w:rsidRPr="008930FF" w:rsidRDefault="00DE3B35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504F396A" w14:textId="77777777" w:rsidR="007E7F7F" w:rsidRPr="008930FF" w:rsidRDefault="001E186E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u w:val="single"/>
          <w:lang w:val="sk-SK"/>
        </w:rPr>
        <w:t>Dojčenie</w:t>
      </w:r>
    </w:p>
    <w:p w14:paraId="0A5A7027" w14:textId="77777777" w:rsidR="008B11AF" w:rsidRPr="008930FF" w:rsidRDefault="006652AC" w:rsidP="00792238">
      <w:pPr>
        <w:pStyle w:val="Vchoz"/>
        <w:ind w:left="0" w:firstLine="0"/>
        <w:jc w:val="left"/>
        <w:rPr>
          <w:rFonts w:ascii="Times New Roman" w:hAnsi="Times New Roman" w:cs="Times New Roman"/>
          <w:color w:val="FF0000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Nie je známe, či sa </w:t>
      </w:r>
      <w:proofErr w:type="spellStart"/>
      <w:r w:rsidR="006E3546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8F031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u ľudí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vylučuje do materského mlieka</w:t>
      </w:r>
      <w:r w:rsidR="00E636D9"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4A8D3713" w14:textId="77777777" w:rsidR="008B11AF" w:rsidRPr="008930FF" w:rsidRDefault="008B11AF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2686A281" w14:textId="0776A47E" w:rsidR="00A34C4F" w:rsidRPr="008930FF" w:rsidRDefault="00A34C4F" w:rsidP="00792238">
      <w:pPr>
        <w:pStyle w:val="Vchoz"/>
        <w:ind w:left="0" w:firstLine="0"/>
        <w:jc w:val="left"/>
        <w:rPr>
          <w:rFonts w:ascii="Times New Roman" w:hAnsi="Times New Roman" w:cs="Times New Roman"/>
          <w:color w:val="222222"/>
          <w:sz w:val="22"/>
          <w:szCs w:val="22"/>
          <w:lang w:val="sk-SK"/>
        </w:rPr>
      </w:pPr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u w:val="single"/>
          <w:lang w:val="sk-SK"/>
        </w:rPr>
        <w:t>Fertilita</w:t>
      </w:r>
      <w:r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br/>
      </w:r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Rovnako ako </w:t>
      </w:r>
      <w:r w:rsidR="00883BA5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pri</w:t>
      </w:r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iných</w:t>
      </w:r>
      <w:r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NSAID</w:t>
      </w:r>
      <w:r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, </w:t>
      </w:r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u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žívanie</w:t>
      </w:r>
      <w:r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proofErr w:type="spellStart"/>
      <w:r w:rsidR="006E3546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dexketoprofén</w:t>
      </w:r>
      <w:r w:rsidR="00883BA5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-</w:t>
      </w:r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trometamolu</w:t>
      </w:r>
      <w:proofErr w:type="spellEnd"/>
      <w:r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môže</w:t>
      </w:r>
      <w:r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zhoršiť</w:t>
      </w:r>
      <w:r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plodnosť žien</w:t>
      </w:r>
      <w:r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a</w:t>
      </w:r>
      <w:r w:rsidR="0040222A"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> </w:t>
      </w:r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neodporúča</w:t>
      </w:r>
      <w:r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sa ž</w:t>
      </w:r>
      <w:r w:rsidR="00883BA5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enám</w:t>
      </w:r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, ktoré</w:t>
      </w:r>
      <w:r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sa</w:t>
      </w:r>
      <w:r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pokúšajú</w:t>
      </w:r>
      <w:r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otehotnieť</w:t>
      </w:r>
      <w:r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. </w:t>
      </w:r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U</w:t>
      </w:r>
      <w:r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žien, ktoré</w:t>
      </w:r>
      <w:r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majú problémy</w:t>
      </w:r>
      <w:r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s</w:t>
      </w:r>
      <w:r w:rsidR="001E186E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 </w:t>
      </w:r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otehotnením</w:t>
      </w:r>
      <w:r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alebo podstupujú vyšetrenie na neplodnosť</w:t>
      </w:r>
      <w:r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, </w:t>
      </w:r>
      <w:r w:rsidR="00883BA5"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>je po</w:t>
      </w:r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treb</w:t>
      </w:r>
      <w:r w:rsidR="00883BA5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né</w:t>
      </w:r>
      <w:r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zvážiť</w:t>
      </w:r>
      <w:r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ukončenie liečby</w:t>
      </w:r>
      <w:r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proofErr w:type="spellStart"/>
      <w:r w:rsidR="006E3546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dexketoprofén</w:t>
      </w:r>
      <w:proofErr w:type="spellEnd"/>
      <w:r w:rsidR="00883BA5"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-</w:t>
      </w:r>
      <w:r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proofErr w:type="spellStart"/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trometamolom</w:t>
      </w:r>
      <w:proofErr w:type="spellEnd"/>
      <w:r w:rsidRPr="008930FF">
        <w:rPr>
          <w:rFonts w:ascii="Times New Roman" w:hAnsi="Times New Roman" w:cs="Times New Roman"/>
          <w:color w:val="222222"/>
          <w:sz w:val="22"/>
          <w:szCs w:val="22"/>
          <w:lang w:val="sk-SK"/>
        </w:rPr>
        <w:t>.</w:t>
      </w:r>
    </w:p>
    <w:p w14:paraId="1614F719" w14:textId="77777777" w:rsidR="007E7F7F" w:rsidRPr="008930FF" w:rsidRDefault="007E7F7F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3D583174" w14:textId="77777777" w:rsidR="00B837E0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color w:val="FF0000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4.7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Ovplyvnenie schopnosti viesť vozidlá a obsluhovať stroje</w:t>
      </w:r>
    </w:p>
    <w:p w14:paraId="7B6E11E5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48B16777" w14:textId="465410CE" w:rsidR="0043264C" w:rsidRPr="008930FF" w:rsidRDefault="006F422A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DEXKETOPROFEN ADAMED </w:t>
      </w:r>
      <w:r w:rsidR="00BC06E7" w:rsidRPr="008930FF">
        <w:rPr>
          <w:rFonts w:ascii="Times New Roman" w:hAnsi="Times New Roman" w:cs="Times New Roman"/>
          <w:sz w:val="22"/>
          <w:szCs w:val="22"/>
          <w:lang w:val="sk-SK"/>
        </w:rPr>
        <w:t>injekčný/infúzny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roztok</w:t>
      </w:r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="00F43B1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má </w:t>
      </w:r>
      <w:r w:rsidR="00F416E1" w:rsidRPr="008930FF">
        <w:rPr>
          <w:rFonts w:ascii="Times New Roman" w:hAnsi="Times New Roman" w:cs="Times New Roman"/>
          <w:sz w:val="22"/>
          <w:szCs w:val="22"/>
          <w:lang w:val="sk-SK"/>
        </w:rPr>
        <w:t>miern</w:t>
      </w:r>
      <w:r w:rsidR="00F43B1E" w:rsidRPr="008930FF">
        <w:rPr>
          <w:rFonts w:ascii="Times New Roman" w:hAnsi="Times New Roman" w:cs="Times New Roman"/>
          <w:sz w:val="22"/>
          <w:szCs w:val="22"/>
          <w:lang w:val="sk-SK"/>
        </w:rPr>
        <w:t>y</w:t>
      </w:r>
      <w:r w:rsidR="00F416E1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="00157926" w:rsidRPr="008930FF">
        <w:rPr>
          <w:rFonts w:ascii="Times New Roman" w:hAnsi="Times New Roman" w:cs="Times New Roman"/>
          <w:sz w:val="22"/>
          <w:szCs w:val="22"/>
          <w:lang w:val="sk-SK"/>
        </w:rPr>
        <w:t>lebo</w:t>
      </w:r>
      <w:r w:rsidR="00F416E1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stredne</w:t>
      </w:r>
      <w:r w:rsidR="0028241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F416E1" w:rsidRPr="008930FF">
        <w:rPr>
          <w:rFonts w:ascii="Times New Roman" w:hAnsi="Times New Roman" w:cs="Times New Roman"/>
          <w:sz w:val="22"/>
          <w:szCs w:val="22"/>
          <w:lang w:val="sk-SK"/>
        </w:rPr>
        <w:t>závažn</w:t>
      </w:r>
      <w:r w:rsidR="00157926" w:rsidRPr="008930FF">
        <w:rPr>
          <w:rFonts w:ascii="Times New Roman" w:hAnsi="Times New Roman" w:cs="Times New Roman"/>
          <w:sz w:val="22"/>
          <w:szCs w:val="22"/>
          <w:lang w:val="sk-SK"/>
        </w:rPr>
        <w:t>ý vplyv</w:t>
      </w:r>
      <w:r w:rsidR="00FC6204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28241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na schopnosť </w:t>
      </w:r>
      <w:r w:rsidR="00C3435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viesť </w:t>
      </w:r>
      <w:r w:rsidR="00282412" w:rsidRPr="008930FF">
        <w:rPr>
          <w:rFonts w:ascii="Times New Roman" w:hAnsi="Times New Roman" w:cs="Times New Roman"/>
          <w:sz w:val="22"/>
          <w:szCs w:val="22"/>
          <w:lang w:val="sk-SK"/>
        </w:rPr>
        <w:t>vozidlá a</w:t>
      </w:r>
      <w:r w:rsidR="0015792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obsluhovať</w:t>
      </w:r>
      <w:r w:rsidR="0028241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stroje vzhľadom na možnosť výskytu závratov a</w:t>
      </w:r>
      <w:r w:rsidR="00157926" w:rsidRPr="008930FF">
        <w:rPr>
          <w:rFonts w:ascii="Times New Roman" w:hAnsi="Times New Roman" w:cs="Times New Roman"/>
          <w:sz w:val="22"/>
          <w:szCs w:val="22"/>
          <w:lang w:val="sk-SK"/>
        </w:rPr>
        <w:t>lebo</w:t>
      </w:r>
      <w:r w:rsidR="00282412" w:rsidRPr="008930FF">
        <w:rPr>
          <w:rFonts w:ascii="Times New Roman" w:hAnsi="Times New Roman" w:cs="Times New Roman"/>
          <w:sz w:val="22"/>
          <w:szCs w:val="22"/>
          <w:lang w:val="sk-SK"/>
        </w:rPr>
        <w:t> ospalosti.</w:t>
      </w:r>
    </w:p>
    <w:p w14:paraId="58DB2203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69B4A880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4.8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Nežiad</w:t>
      </w:r>
      <w:r w:rsidR="002A2904"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u</w:t>
      </w: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ce účinky</w:t>
      </w:r>
    </w:p>
    <w:p w14:paraId="52B1276B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71420371" w14:textId="61513886" w:rsidR="00F67A58" w:rsidRPr="008930FF" w:rsidRDefault="0035163D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N</w:t>
      </w:r>
      <w:r w:rsidR="00FC6204" w:rsidRPr="008930FF">
        <w:rPr>
          <w:rFonts w:ascii="Times New Roman" w:hAnsi="Times New Roman" w:cs="Times New Roman"/>
          <w:sz w:val="22"/>
          <w:szCs w:val="22"/>
          <w:lang w:val="sk-SK"/>
        </w:rPr>
        <w:t>ežiaduc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FC6204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účink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y</w:t>
      </w:r>
      <w:r w:rsidR="009D270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hlásené s možnou súvislosťou s </w:t>
      </w:r>
      <w:proofErr w:type="spellStart"/>
      <w:r w:rsidR="006E3546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="009D2707" w:rsidRPr="008930FF">
        <w:rPr>
          <w:rFonts w:ascii="Times New Roman" w:hAnsi="Times New Roman" w:cs="Times New Roman"/>
          <w:sz w:val="22"/>
          <w:szCs w:val="22"/>
          <w:lang w:val="sk-SK"/>
        </w:rPr>
        <w:t>-</w:t>
      </w:r>
      <w:r w:rsidR="00FC6204" w:rsidRPr="008930FF">
        <w:rPr>
          <w:rFonts w:ascii="Times New Roman" w:hAnsi="Times New Roman" w:cs="Times New Roman"/>
          <w:sz w:val="22"/>
          <w:szCs w:val="22"/>
          <w:lang w:val="sk-SK"/>
        </w:rPr>
        <w:t>trometamolom</w:t>
      </w:r>
      <w:proofErr w:type="spellEnd"/>
      <w:r w:rsidR="009D270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počas klinických skúšaní</w:t>
      </w:r>
      <w:r w:rsidR="00FC6204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ako aj nežiaduce účinky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hlásené </w:t>
      </w:r>
      <w:r w:rsidR="009D2707" w:rsidRPr="008930FF">
        <w:rPr>
          <w:rFonts w:ascii="Times New Roman" w:hAnsi="Times New Roman" w:cs="Times New Roman"/>
          <w:sz w:val="22"/>
          <w:szCs w:val="22"/>
          <w:lang w:val="sk-SK"/>
        </w:rPr>
        <w:t>po uvedení </w:t>
      </w:r>
      <w:proofErr w:type="spellStart"/>
      <w:r w:rsidR="00D5791C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="009D2707" w:rsidRPr="008930FF">
        <w:rPr>
          <w:rFonts w:ascii="Times New Roman" w:hAnsi="Times New Roman" w:cs="Times New Roman"/>
          <w:sz w:val="22"/>
          <w:szCs w:val="22"/>
          <w:lang w:val="sk-SK"/>
        </w:rPr>
        <w:t>-</w:t>
      </w:r>
      <w:r w:rsidR="00D5791C" w:rsidRPr="008930FF">
        <w:rPr>
          <w:rFonts w:ascii="Times New Roman" w:hAnsi="Times New Roman" w:cs="Times New Roman"/>
          <w:sz w:val="22"/>
          <w:szCs w:val="22"/>
          <w:lang w:val="sk-SK"/>
        </w:rPr>
        <w:t>trometamol</w:t>
      </w:r>
      <w:r w:rsidR="009D2707" w:rsidRPr="008930FF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="009D270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na trh,</w:t>
      </w:r>
      <w:r w:rsidR="00673158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FC6204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sú uvedené v nasledujúcej tabuľke, </w:t>
      </w:r>
      <w:r w:rsidR="009D2707" w:rsidRPr="008930FF">
        <w:rPr>
          <w:rFonts w:ascii="Times New Roman" w:hAnsi="Times New Roman" w:cs="Times New Roman"/>
          <w:sz w:val="22"/>
          <w:szCs w:val="22"/>
          <w:lang w:val="sk-SK"/>
        </w:rPr>
        <w:t>v ktorej</w:t>
      </w:r>
      <w:r w:rsidR="00FC6204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sú rozdelené podľa tried orgánových systémov a</w:t>
      </w:r>
      <w:r w:rsidR="001556CB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FC6204" w:rsidRPr="008930FF">
        <w:rPr>
          <w:rFonts w:ascii="Times New Roman" w:hAnsi="Times New Roman" w:cs="Times New Roman"/>
          <w:sz w:val="22"/>
          <w:szCs w:val="22"/>
          <w:lang w:val="sk-SK"/>
        </w:rPr>
        <w:t>frekvencie</w:t>
      </w:r>
      <w:r w:rsidR="001556CB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ich výskytu</w:t>
      </w:r>
      <w:r w:rsidR="00FC6204" w:rsidRPr="008930FF">
        <w:rPr>
          <w:rFonts w:ascii="Times New Roman" w:hAnsi="Times New Roman" w:cs="Times New Roman"/>
          <w:sz w:val="22"/>
          <w:szCs w:val="22"/>
          <w:lang w:val="sk-SK"/>
        </w:rPr>
        <w:t>:</w:t>
      </w:r>
    </w:p>
    <w:p w14:paraId="0C8B0283" w14:textId="77777777" w:rsidR="00C258CE" w:rsidRPr="008930FF" w:rsidRDefault="00C258CE" w:rsidP="00792238">
      <w:pPr>
        <w:pStyle w:val="Vchoz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1559"/>
        <w:gridCol w:w="1951"/>
        <w:gridCol w:w="2019"/>
      </w:tblGrid>
      <w:tr w:rsidR="00225D16" w:rsidRPr="008930FF" w14:paraId="2204F8AB" w14:textId="77777777" w:rsidTr="001314B9">
        <w:tc>
          <w:tcPr>
            <w:tcW w:w="1985" w:type="dxa"/>
          </w:tcPr>
          <w:p w14:paraId="4BEC03D3" w14:textId="03F24CF8" w:rsidR="00225D16" w:rsidRPr="008930FF" w:rsidRDefault="00225D16" w:rsidP="00792238">
            <w:pPr>
              <w:pStyle w:val="Vchoz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Tried</w:t>
            </w:r>
            <w:r w:rsidR="00690147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a</w:t>
            </w: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 orgánových systémov</w:t>
            </w:r>
          </w:p>
        </w:tc>
        <w:tc>
          <w:tcPr>
            <w:tcW w:w="1559" w:type="dxa"/>
          </w:tcPr>
          <w:p w14:paraId="385BA43F" w14:textId="77777777" w:rsidR="00225D16" w:rsidRPr="008930FF" w:rsidRDefault="00225D16" w:rsidP="00BB089F">
            <w:pPr>
              <w:pStyle w:val="Vchoz"/>
              <w:ind w:left="142" w:firstLine="0"/>
              <w:jc w:val="left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Časté </w:t>
            </w:r>
          </w:p>
          <w:p w14:paraId="2EB8E2A0" w14:textId="77777777" w:rsidR="00225D16" w:rsidRPr="008930FF" w:rsidRDefault="00225D16" w:rsidP="00BB089F">
            <w:pPr>
              <w:pStyle w:val="Vchoz"/>
              <w:ind w:left="142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(≥</w:t>
            </w:r>
            <w:r w:rsidR="00A60B69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 </w:t>
            </w:r>
            <w:r w:rsidR="00AC749D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1/100 až</w:t>
            </w: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 &lt;</w:t>
            </w:r>
            <w:r w:rsidR="00A60B69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 </w:t>
            </w: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1/10)</w:t>
            </w:r>
          </w:p>
        </w:tc>
        <w:tc>
          <w:tcPr>
            <w:tcW w:w="1559" w:type="dxa"/>
          </w:tcPr>
          <w:p w14:paraId="05DAD085" w14:textId="77777777" w:rsidR="00225D16" w:rsidRPr="008930FF" w:rsidRDefault="00225D16" w:rsidP="00BB089F">
            <w:pPr>
              <w:pStyle w:val="Vchoz"/>
              <w:ind w:left="142" w:firstLine="0"/>
              <w:jc w:val="left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Menej časté </w:t>
            </w:r>
          </w:p>
          <w:p w14:paraId="367E413A" w14:textId="77777777" w:rsidR="00225D16" w:rsidRPr="008930FF" w:rsidRDefault="00225D16" w:rsidP="00BB089F">
            <w:pPr>
              <w:pStyle w:val="Vchoz"/>
              <w:ind w:left="142" w:firstLine="0"/>
              <w:jc w:val="left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(≥</w:t>
            </w:r>
            <w:r w:rsidR="00A60B69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 </w:t>
            </w: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1/1</w:t>
            </w:r>
            <w:r w:rsidR="00A60B69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 </w:t>
            </w: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000 </w:t>
            </w:r>
            <w:r w:rsidR="00AC749D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až</w:t>
            </w: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 &lt;</w:t>
            </w:r>
            <w:r w:rsidR="00A60B69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 </w:t>
            </w: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1/100)</w:t>
            </w:r>
          </w:p>
        </w:tc>
        <w:tc>
          <w:tcPr>
            <w:tcW w:w="1951" w:type="dxa"/>
          </w:tcPr>
          <w:p w14:paraId="24992FC7" w14:textId="77777777" w:rsidR="00225D16" w:rsidRPr="008930FF" w:rsidRDefault="00225D16" w:rsidP="00BB089F">
            <w:pPr>
              <w:pStyle w:val="Vchoz"/>
              <w:ind w:left="142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Zriedkavé</w:t>
            </w:r>
          </w:p>
          <w:p w14:paraId="23CAB9BD" w14:textId="77777777" w:rsidR="00225D16" w:rsidRPr="008930FF" w:rsidRDefault="00225D16" w:rsidP="00BB089F">
            <w:pPr>
              <w:pStyle w:val="Vchoz"/>
              <w:ind w:left="142" w:firstLine="0"/>
              <w:jc w:val="left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(≥</w:t>
            </w:r>
            <w:r w:rsidR="00A60B69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 </w:t>
            </w: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1/10</w:t>
            </w:r>
            <w:r w:rsidR="00A60B69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 </w:t>
            </w: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000 </w:t>
            </w:r>
            <w:r w:rsidR="00AC749D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až</w:t>
            </w: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 &lt;</w:t>
            </w:r>
            <w:r w:rsidR="00A60B69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 </w:t>
            </w: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1/1</w:t>
            </w:r>
            <w:r w:rsidR="00C144FD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 </w:t>
            </w: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00</w:t>
            </w:r>
            <w:r w:rsidR="00903D84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0</w:t>
            </w: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)</w:t>
            </w:r>
          </w:p>
        </w:tc>
        <w:tc>
          <w:tcPr>
            <w:tcW w:w="2019" w:type="dxa"/>
          </w:tcPr>
          <w:p w14:paraId="33445656" w14:textId="77777777" w:rsidR="00225D16" w:rsidRPr="008930FF" w:rsidRDefault="00225D16" w:rsidP="00BB089F">
            <w:pPr>
              <w:pStyle w:val="Vchoz"/>
              <w:ind w:left="141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Veľmi zriedkavé </w:t>
            </w:r>
            <w:r w:rsidR="004E6298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(&lt;</w:t>
            </w:r>
            <w:r w:rsidR="00A60B69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 </w:t>
            </w:r>
            <w:r w:rsidR="004E6298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1/10</w:t>
            </w:r>
            <w:r w:rsidR="00C144FD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 </w:t>
            </w:r>
            <w:r w:rsidR="004E6298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000)</w:t>
            </w:r>
          </w:p>
          <w:p w14:paraId="5FB0F071" w14:textId="77777777" w:rsidR="00225D16" w:rsidRPr="008930FF" w:rsidRDefault="00225D16" w:rsidP="00792238">
            <w:pPr>
              <w:pStyle w:val="Vchoz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  <w:lang w:val="sk-SK"/>
              </w:rPr>
            </w:pPr>
          </w:p>
        </w:tc>
      </w:tr>
      <w:tr w:rsidR="00225D16" w:rsidRPr="008930FF" w14:paraId="41F7ED57" w14:textId="77777777" w:rsidTr="001314B9">
        <w:tc>
          <w:tcPr>
            <w:tcW w:w="1985" w:type="dxa"/>
          </w:tcPr>
          <w:p w14:paraId="33C474E4" w14:textId="77777777" w:rsidR="00225D16" w:rsidRPr="008930FF" w:rsidRDefault="00225D16" w:rsidP="00792238">
            <w:pPr>
              <w:pStyle w:val="Vchoz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Poruchy krvi a lymfatického systému</w:t>
            </w:r>
          </w:p>
        </w:tc>
        <w:tc>
          <w:tcPr>
            <w:tcW w:w="1559" w:type="dxa"/>
          </w:tcPr>
          <w:p w14:paraId="12C50E38" w14:textId="77777777" w:rsidR="00225D16" w:rsidRPr="008930FF" w:rsidRDefault="00225D16" w:rsidP="008B5D58">
            <w:pPr>
              <w:pStyle w:val="Vchoz"/>
              <w:ind w:left="129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2CBF4772" w14:textId="77777777" w:rsidR="00225D16" w:rsidRPr="008930FF" w:rsidRDefault="00225D16" w:rsidP="00DA4426">
            <w:pPr>
              <w:pStyle w:val="Vchoz"/>
              <w:ind w:left="26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Anémia</w:t>
            </w:r>
          </w:p>
        </w:tc>
        <w:tc>
          <w:tcPr>
            <w:tcW w:w="1951" w:type="dxa"/>
          </w:tcPr>
          <w:p w14:paraId="4124B6BB" w14:textId="77777777" w:rsidR="00225D16" w:rsidRPr="008930FF" w:rsidRDefault="00225D16" w:rsidP="00DA4426">
            <w:pPr>
              <w:pStyle w:val="Vchoz"/>
              <w:ind w:left="38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019" w:type="dxa"/>
          </w:tcPr>
          <w:p w14:paraId="3883075D" w14:textId="77777777" w:rsidR="00225D16" w:rsidRPr="008930FF" w:rsidRDefault="00225D16" w:rsidP="00DA4426">
            <w:pPr>
              <w:pStyle w:val="Vchoz"/>
              <w:ind w:left="62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Neutropénia</w:t>
            </w:r>
            <w:proofErr w:type="spellEnd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,</w:t>
            </w:r>
          </w:p>
          <w:p w14:paraId="15BE560D" w14:textId="77777777" w:rsidR="00225D16" w:rsidRPr="008930FF" w:rsidRDefault="00225D16" w:rsidP="00DA4426">
            <w:pPr>
              <w:pStyle w:val="Vchoz"/>
              <w:ind w:left="62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trombocytopénia</w:t>
            </w:r>
            <w:proofErr w:type="spellEnd"/>
          </w:p>
        </w:tc>
      </w:tr>
      <w:tr w:rsidR="00225D16" w:rsidRPr="008930FF" w14:paraId="3D6127DA" w14:textId="77777777" w:rsidTr="001314B9">
        <w:tc>
          <w:tcPr>
            <w:tcW w:w="1985" w:type="dxa"/>
          </w:tcPr>
          <w:p w14:paraId="5F58FA6B" w14:textId="77777777" w:rsidR="00225D16" w:rsidRPr="008930FF" w:rsidRDefault="00225D16" w:rsidP="00792238">
            <w:pPr>
              <w:pStyle w:val="Vchoz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559" w:type="dxa"/>
          </w:tcPr>
          <w:p w14:paraId="738BD693" w14:textId="77777777" w:rsidR="00225D16" w:rsidRPr="008930FF" w:rsidRDefault="00225D16" w:rsidP="008B5D58">
            <w:pPr>
              <w:pStyle w:val="Vchoz"/>
              <w:ind w:left="129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56B3C155" w14:textId="77777777" w:rsidR="00225D16" w:rsidRPr="008930FF" w:rsidRDefault="00225D16" w:rsidP="00DA4426">
            <w:pPr>
              <w:pStyle w:val="Vchoz"/>
              <w:ind w:left="26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51" w:type="dxa"/>
          </w:tcPr>
          <w:p w14:paraId="490CC480" w14:textId="12732732" w:rsidR="00225D16" w:rsidRPr="008930FF" w:rsidRDefault="002E034E" w:rsidP="00DA4426">
            <w:pPr>
              <w:pStyle w:val="Vchoz"/>
              <w:ind w:left="38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</w:t>
            </w:r>
            <w:r w:rsidRPr="008930FF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puch hrtan</w:t>
            </w:r>
            <w:r w:rsidR="00690147" w:rsidRPr="008930FF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a</w:t>
            </w:r>
          </w:p>
        </w:tc>
        <w:tc>
          <w:tcPr>
            <w:tcW w:w="2019" w:type="dxa"/>
          </w:tcPr>
          <w:p w14:paraId="09DB4E8D" w14:textId="66B37212" w:rsidR="00225D16" w:rsidRPr="008930FF" w:rsidRDefault="00225D16" w:rsidP="00DA4426">
            <w:pPr>
              <w:pStyle w:val="Vchoz"/>
              <w:ind w:left="62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Anafylaktická</w:t>
            </w:r>
            <w:proofErr w:type="spellEnd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reakcia vrátane </w:t>
            </w:r>
            <w:proofErr w:type="spellStart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anafylaktického</w:t>
            </w:r>
            <w:proofErr w:type="spellEnd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šoku</w:t>
            </w:r>
          </w:p>
        </w:tc>
      </w:tr>
      <w:tr w:rsidR="00225D16" w:rsidRPr="008930FF" w14:paraId="2AEC1DDC" w14:textId="77777777" w:rsidTr="001314B9">
        <w:tc>
          <w:tcPr>
            <w:tcW w:w="1985" w:type="dxa"/>
          </w:tcPr>
          <w:p w14:paraId="5342AB9D" w14:textId="77777777" w:rsidR="00225D16" w:rsidRPr="008930FF" w:rsidRDefault="00225D16" w:rsidP="00792238">
            <w:pPr>
              <w:pStyle w:val="Vchoz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Poruchy metabolizmu a</w:t>
            </w:r>
            <w:r w:rsidR="008B5D58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 </w:t>
            </w: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výživy</w:t>
            </w:r>
          </w:p>
        </w:tc>
        <w:tc>
          <w:tcPr>
            <w:tcW w:w="1559" w:type="dxa"/>
          </w:tcPr>
          <w:p w14:paraId="3FBE8292" w14:textId="77777777" w:rsidR="00225D16" w:rsidRPr="008930FF" w:rsidRDefault="00225D16" w:rsidP="008B5D58">
            <w:pPr>
              <w:pStyle w:val="Vchoz"/>
              <w:ind w:left="129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0AA40165" w14:textId="77777777" w:rsidR="00225D16" w:rsidRPr="008930FF" w:rsidRDefault="00225D16" w:rsidP="00DA4426">
            <w:pPr>
              <w:pStyle w:val="Vchoz"/>
              <w:ind w:left="26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51" w:type="dxa"/>
          </w:tcPr>
          <w:p w14:paraId="50D637D0" w14:textId="0D2BF7C5" w:rsidR="00225D16" w:rsidRPr="008930FF" w:rsidRDefault="00225D16" w:rsidP="00DA4426">
            <w:pPr>
              <w:pStyle w:val="Vchoz"/>
              <w:ind w:left="38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Hyperglykémia, </w:t>
            </w:r>
            <w:proofErr w:type="spellStart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hypoglykémia</w:t>
            </w:r>
            <w:proofErr w:type="spellEnd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hypertr</w:t>
            </w:r>
            <w:r w:rsidR="00690147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iacylglycerolémia</w:t>
            </w:r>
            <w:proofErr w:type="spellEnd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anorexia</w:t>
            </w:r>
            <w:proofErr w:type="spellEnd"/>
          </w:p>
        </w:tc>
        <w:tc>
          <w:tcPr>
            <w:tcW w:w="2019" w:type="dxa"/>
          </w:tcPr>
          <w:p w14:paraId="45280246" w14:textId="77777777" w:rsidR="00225D16" w:rsidRPr="008930FF" w:rsidRDefault="00225D16" w:rsidP="00DA4426">
            <w:pPr>
              <w:pStyle w:val="Vchoz"/>
              <w:ind w:left="62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225D16" w:rsidRPr="008930FF" w14:paraId="655FE1EE" w14:textId="77777777" w:rsidTr="001314B9">
        <w:tc>
          <w:tcPr>
            <w:tcW w:w="1985" w:type="dxa"/>
          </w:tcPr>
          <w:p w14:paraId="3F424003" w14:textId="77777777" w:rsidR="00225D16" w:rsidRPr="008930FF" w:rsidRDefault="00225D16" w:rsidP="00792238">
            <w:pPr>
              <w:pStyle w:val="Vchoz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Psychické poruchy </w:t>
            </w:r>
          </w:p>
        </w:tc>
        <w:tc>
          <w:tcPr>
            <w:tcW w:w="1559" w:type="dxa"/>
          </w:tcPr>
          <w:p w14:paraId="6B9E8AAE" w14:textId="77777777" w:rsidR="00225D16" w:rsidRPr="008930FF" w:rsidRDefault="00225D16" w:rsidP="008B5D58">
            <w:pPr>
              <w:pStyle w:val="Vchoz"/>
              <w:ind w:left="129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3C3B1C03" w14:textId="77777777" w:rsidR="00225D16" w:rsidRPr="008930FF" w:rsidRDefault="00225D16" w:rsidP="00DA4426">
            <w:pPr>
              <w:pStyle w:val="Vchoz"/>
              <w:ind w:left="26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Nespavosť</w:t>
            </w:r>
          </w:p>
        </w:tc>
        <w:tc>
          <w:tcPr>
            <w:tcW w:w="1951" w:type="dxa"/>
          </w:tcPr>
          <w:p w14:paraId="42AE8105" w14:textId="77777777" w:rsidR="00225D16" w:rsidRPr="008930FF" w:rsidRDefault="00225D16" w:rsidP="007A20D6">
            <w:pPr>
              <w:pStyle w:val="Vchoz"/>
              <w:ind w:left="141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019" w:type="dxa"/>
          </w:tcPr>
          <w:p w14:paraId="3B98862B" w14:textId="77777777" w:rsidR="00225D16" w:rsidRPr="008930FF" w:rsidRDefault="00225D16" w:rsidP="007A20D6">
            <w:pPr>
              <w:pStyle w:val="Vchoz"/>
              <w:ind w:left="142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225D16" w:rsidRPr="008930FF" w14:paraId="5F2994A3" w14:textId="77777777" w:rsidTr="001314B9">
        <w:tc>
          <w:tcPr>
            <w:tcW w:w="1985" w:type="dxa"/>
          </w:tcPr>
          <w:p w14:paraId="2A6B5E26" w14:textId="77777777" w:rsidR="00225D16" w:rsidRPr="008930FF" w:rsidRDefault="00225D16" w:rsidP="00792238">
            <w:pPr>
              <w:pStyle w:val="Vchoz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1559" w:type="dxa"/>
          </w:tcPr>
          <w:p w14:paraId="7407A6DA" w14:textId="77777777" w:rsidR="00225D16" w:rsidRPr="008930FF" w:rsidRDefault="00225D16" w:rsidP="00DA4426">
            <w:pPr>
              <w:pStyle w:val="Vchoz"/>
              <w:ind w:left="30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6498EB3C" w14:textId="77777777" w:rsidR="00225D16" w:rsidRPr="008930FF" w:rsidRDefault="00225D16" w:rsidP="00DA4426">
            <w:pPr>
              <w:pStyle w:val="Vchoz"/>
              <w:ind w:left="26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Boles</w:t>
            </w:r>
            <w:r w:rsidR="0045003A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ť</w:t>
            </w: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hlavy, závraty, </w:t>
            </w:r>
            <w:r w:rsidR="0045003A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</w:t>
            </w: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spa</w:t>
            </w:r>
            <w:r w:rsidR="0045003A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l</w:t>
            </w: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osť</w:t>
            </w:r>
          </w:p>
        </w:tc>
        <w:tc>
          <w:tcPr>
            <w:tcW w:w="1951" w:type="dxa"/>
          </w:tcPr>
          <w:p w14:paraId="59854851" w14:textId="6ACCE67A" w:rsidR="00225D16" w:rsidRPr="008930FF" w:rsidRDefault="00225D16" w:rsidP="00DA4426">
            <w:pPr>
              <w:pStyle w:val="Vchoz"/>
              <w:ind w:left="38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Parestézi</w:t>
            </w:r>
            <w:r w:rsidR="00690147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</w:t>
            </w:r>
            <w:proofErr w:type="spellEnd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,</w:t>
            </w:r>
          </w:p>
          <w:p w14:paraId="69343E5D" w14:textId="77777777" w:rsidR="00225D16" w:rsidRPr="008930FF" w:rsidRDefault="00225D16" w:rsidP="00DA4426">
            <w:pPr>
              <w:pStyle w:val="Vchoz"/>
              <w:ind w:left="38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synkopa</w:t>
            </w:r>
          </w:p>
        </w:tc>
        <w:tc>
          <w:tcPr>
            <w:tcW w:w="2019" w:type="dxa"/>
          </w:tcPr>
          <w:p w14:paraId="1449680E" w14:textId="77777777" w:rsidR="00225D16" w:rsidRPr="008930FF" w:rsidRDefault="00225D16" w:rsidP="00DA4426">
            <w:pPr>
              <w:pStyle w:val="Vchoz"/>
              <w:ind w:left="62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225D16" w:rsidRPr="008930FF" w14:paraId="297C4A8A" w14:textId="77777777" w:rsidTr="001314B9">
        <w:tc>
          <w:tcPr>
            <w:tcW w:w="1985" w:type="dxa"/>
          </w:tcPr>
          <w:p w14:paraId="593809DB" w14:textId="77777777" w:rsidR="00225D16" w:rsidRPr="008930FF" w:rsidRDefault="007F7873" w:rsidP="00792238">
            <w:pPr>
              <w:pStyle w:val="Vchoz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Poruchy</w:t>
            </w:r>
            <w:r w:rsidR="00225D16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 oka</w:t>
            </w:r>
          </w:p>
        </w:tc>
        <w:tc>
          <w:tcPr>
            <w:tcW w:w="1559" w:type="dxa"/>
          </w:tcPr>
          <w:p w14:paraId="55DEEBD3" w14:textId="77777777" w:rsidR="00225D16" w:rsidRPr="008930FF" w:rsidRDefault="00225D16" w:rsidP="00DA4426">
            <w:pPr>
              <w:pStyle w:val="Vchoz"/>
              <w:ind w:left="30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6409F29D" w14:textId="77777777" w:rsidR="00225D16" w:rsidRPr="008930FF" w:rsidRDefault="00225D16" w:rsidP="00DA4426">
            <w:pPr>
              <w:pStyle w:val="Vchoz"/>
              <w:ind w:left="26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Rozmazané videnie</w:t>
            </w:r>
          </w:p>
        </w:tc>
        <w:tc>
          <w:tcPr>
            <w:tcW w:w="1951" w:type="dxa"/>
          </w:tcPr>
          <w:p w14:paraId="6CAD5FA0" w14:textId="77777777" w:rsidR="00225D16" w:rsidRPr="008930FF" w:rsidRDefault="00225D16" w:rsidP="00DA4426">
            <w:pPr>
              <w:pStyle w:val="Vchoz"/>
              <w:ind w:left="38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019" w:type="dxa"/>
          </w:tcPr>
          <w:p w14:paraId="523A8139" w14:textId="77777777" w:rsidR="00225D16" w:rsidRPr="008930FF" w:rsidRDefault="00225D16" w:rsidP="00DA4426">
            <w:pPr>
              <w:pStyle w:val="Vchoz"/>
              <w:ind w:left="62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225D16" w:rsidRPr="008930FF" w14:paraId="7DAD4173" w14:textId="77777777" w:rsidTr="001314B9">
        <w:tc>
          <w:tcPr>
            <w:tcW w:w="1985" w:type="dxa"/>
          </w:tcPr>
          <w:p w14:paraId="20445A04" w14:textId="77777777" w:rsidR="00225D16" w:rsidRPr="008930FF" w:rsidRDefault="00225D16" w:rsidP="00792238">
            <w:pPr>
              <w:pStyle w:val="Vchoz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Poruchy ucha a </w:t>
            </w:r>
            <w:r w:rsidR="007F7873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labyrintu</w:t>
            </w:r>
          </w:p>
        </w:tc>
        <w:tc>
          <w:tcPr>
            <w:tcW w:w="1559" w:type="dxa"/>
          </w:tcPr>
          <w:p w14:paraId="793E02AC" w14:textId="77777777" w:rsidR="00225D16" w:rsidRPr="008930FF" w:rsidRDefault="00225D16" w:rsidP="00DA4426">
            <w:pPr>
              <w:pStyle w:val="Vchoz"/>
              <w:ind w:left="30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5AF97BAA" w14:textId="77777777" w:rsidR="00225D16" w:rsidRPr="008930FF" w:rsidRDefault="00225D16" w:rsidP="00DA4426">
            <w:pPr>
              <w:pStyle w:val="Vchoz"/>
              <w:ind w:left="26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51" w:type="dxa"/>
          </w:tcPr>
          <w:p w14:paraId="300A1A47" w14:textId="77777777" w:rsidR="00225D16" w:rsidRPr="008930FF" w:rsidRDefault="00225D16" w:rsidP="00DA4426">
            <w:pPr>
              <w:pStyle w:val="Vchoz"/>
              <w:ind w:left="38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Tinitus</w:t>
            </w:r>
            <w:proofErr w:type="spellEnd"/>
          </w:p>
        </w:tc>
        <w:tc>
          <w:tcPr>
            <w:tcW w:w="2019" w:type="dxa"/>
          </w:tcPr>
          <w:p w14:paraId="0E9ED064" w14:textId="77777777" w:rsidR="00225D16" w:rsidRPr="008930FF" w:rsidRDefault="00225D16" w:rsidP="00DA4426">
            <w:pPr>
              <w:pStyle w:val="Vchoz"/>
              <w:ind w:left="62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225D16" w:rsidRPr="008930FF" w14:paraId="1AB076F7" w14:textId="77777777" w:rsidTr="001314B9">
        <w:tc>
          <w:tcPr>
            <w:tcW w:w="1985" w:type="dxa"/>
          </w:tcPr>
          <w:p w14:paraId="7AB4D0A9" w14:textId="77777777" w:rsidR="00225D16" w:rsidRPr="008930FF" w:rsidRDefault="00225D16" w:rsidP="00792238">
            <w:pPr>
              <w:pStyle w:val="Vchoz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Poruchy srdca </w:t>
            </w:r>
            <w:r w:rsidR="007F7873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a srdcovej činnosti</w:t>
            </w:r>
          </w:p>
        </w:tc>
        <w:tc>
          <w:tcPr>
            <w:tcW w:w="1559" w:type="dxa"/>
          </w:tcPr>
          <w:p w14:paraId="05B5D537" w14:textId="77777777" w:rsidR="00225D16" w:rsidRPr="008930FF" w:rsidRDefault="00225D16" w:rsidP="00DA4426">
            <w:pPr>
              <w:pStyle w:val="Vchoz"/>
              <w:ind w:left="30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2BC14F29" w14:textId="77777777" w:rsidR="00225D16" w:rsidRPr="008930FF" w:rsidRDefault="00225D16" w:rsidP="00DA4426">
            <w:pPr>
              <w:pStyle w:val="Vchoz"/>
              <w:ind w:left="26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51" w:type="dxa"/>
          </w:tcPr>
          <w:p w14:paraId="3206A9DE" w14:textId="77777777" w:rsidR="00225D16" w:rsidRPr="008930FF" w:rsidRDefault="00225D16" w:rsidP="00DA4426">
            <w:pPr>
              <w:pStyle w:val="Vchoz"/>
              <w:ind w:left="38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Extrasystola</w:t>
            </w:r>
            <w:proofErr w:type="spellEnd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tachykardia</w:t>
            </w:r>
            <w:proofErr w:type="spellEnd"/>
          </w:p>
        </w:tc>
        <w:tc>
          <w:tcPr>
            <w:tcW w:w="2019" w:type="dxa"/>
          </w:tcPr>
          <w:p w14:paraId="44AF788C" w14:textId="77777777" w:rsidR="00225D16" w:rsidRPr="008930FF" w:rsidRDefault="00225D16" w:rsidP="00DA4426">
            <w:pPr>
              <w:pStyle w:val="Vchoz"/>
              <w:ind w:left="62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225D16" w:rsidRPr="008930FF" w14:paraId="15A66214" w14:textId="77777777" w:rsidTr="001314B9">
        <w:tc>
          <w:tcPr>
            <w:tcW w:w="1985" w:type="dxa"/>
          </w:tcPr>
          <w:p w14:paraId="7ED0AEFA" w14:textId="77777777" w:rsidR="00225D16" w:rsidRPr="008930FF" w:rsidRDefault="007B703C" w:rsidP="00792238">
            <w:pPr>
              <w:pStyle w:val="Vchoz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P</w:t>
            </w:r>
            <w:r w:rsidR="00225D16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oruchy</w:t>
            </w: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 ciev</w:t>
            </w:r>
          </w:p>
        </w:tc>
        <w:tc>
          <w:tcPr>
            <w:tcW w:w="1559" w:type="dxa"/>
          </w:tcPr>
          <w:p w14:paraId="26D5B771" w14:textId="77777777" w:rsidR="00225D16" w:rsidRPr="008930FF" w:rsidRDefault="00225D16" w:rsidP="00DA4426">
            <w:pPr>
              <w:pStyle w:val="Vchoz"/>
              <w:ind w:left="30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6FEB1F06" w14:textId="51B2D313" w:rsidR="00225D16" w:rsidRPr="008930FF" w:rsidRDefault="00225D16" w:rsidP="00DA4426">
            <w:pPr>
              <w:pStyle w:val="Vchoz"/>
              <w:ind w:left="26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Hypotenzia, </w:t>
            </w:r>
            <w:r w:rsidR="00690147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návaly tepla</w:t>
            </w:r>
          </w:p>
        </w:tc>
        <w:tc>
          <w:tcPr>
            <w:tcW w:w="1951" w:type="dxa"/>
          </w:tcPr>
          <w:p w14:paraId="2A121321" w14:textId="77777777" w:rsidR="00225D16" w:rsidRPr="008930FF" w:rsidRDefault="00225D16" w:rsidP="00DA4426">
            <w:pPr>
              <w:pStyle w:val="Vchoz"/>
              <w:ind w:left="38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Hypertenzia, </w:t>
            </w:r>
          </w:p>
          <w:p w14:paraId="1274ACD6" w14:textId="77777777" w:rsidR="00225D16" w:rsidRPr="008930FF" w:rsidRDefault="00225D16" w:rsidP="00DA4426">
            <w:pPr>
              <w:pStyle w:val="Vchoz"/>
              <w:ind w:left="38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povrchová tromboflebitída</w:t>
            </w:r>
          </w:p>
        </w:tc>
        <w:tc>
          <w:tcPr>
            <w:tcW w:w="2019" w:type="dxa"/>
          </w:tcPr>
          <w:p w14:paraId="21174B09" w14:textId="77777777" w:rsidR="00225D16" w:rsidRPr="008930FF" w:rsidRDefault="00225D16" w:rsidP="00DA4426">
            <w:pPr>
              <w:pStyle w:val="Vchoz"/>
              <w:ind w:left="62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225D16" w:rsidRPr="008930FF" w14:paraId="48B3A029" w14:textId="77777777" w:rsidTr="001314B9">
        <w:tc>
          <w:tcPr>
            <w:tcW w:w="1985" w:type="dxa"/>
          </w:tcPr>
          <w:p w14:paraId="2B0D4985" w14:textId="77777777" w:rsidR="00225D16" w:rsidRPr="008930FF" w:rsidRDefault="00225D16" w:rsidP="00792238">
            <w:pPr>
              <w:pStyle w:val="Vchoz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Poruchy dýchacej sústavy, hrudníka a</w:t>
            </w:r>
            <w:r w:rsidR="008B5D58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 </w:t>
            </w:r>
            <w:proofErr w:type="spellStart"/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1559" w:type="dxa"/>
          </w:tcPr>
          <w:p w14:paraId="37CA4C42" w14:textId="77777777" w:rsidR="00225D16" w:rsidRPr="008930FF" w:rsidRDefault="00225D16" w:rsidP="00DA4426">
            <w:pPr>
              <w:pStyle w:val="Vchoz"/>
              <w:ind w:left="30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66DC4AC1" w14:textId="77777777" w:rsidR="00225D16" w:rsidRPr="008930FF" w:rsidRDefault="00225D16" w:rsidP="00DA4426">
            <w:pPr>
              <w:pStyle w:val="Vchoz"/>
              <w:ind w:left="26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51" w:type="dxa"/>
          </w:tcPr>
          <w:p w14:paraId="2C2CB298" w14:textId="77777777" w:rsidR="00225D16" w:rsidRPr="008930FF" w:rsidRDefault="00225D16" w:rsidP="00DA4426">
            <w:pPr>
              <w:pStyle w:val="Vchoz"/>
              <w:ind w:left="38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Bradypnoe</w:t>
            </w:r>
            <w:proofErr w:type="spellEnd"/>
          </w:p>
        </w:tc>
        <w:tc>
          <w:tcPr>
            <w:tcW w:w="2019" w:type="dxa"/>
          </w:tcPr>
          <w:p w14:paraId="49CC3AF3" w14:textId="77777777" w:rsidR="00225D16" w:rsidRPr="008930FF" w:rsidRDefault="00225D16" w:rsidP="00DA4426">
            <w:pPr>
              <w:pStyle w:val="Vchoz"/>
              <w:ind w:left="62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Bronchospazmus,</w:t>
            </w:r>
          </w:p>
          <w:p w14:paraId="3AFE4BED" w14:textId="77777777" w:rsidR="00225D16" w:rsidRPr="008930FF" w:rsidRDefault="00225D16" w:rsidP="00DA4426">
            <w:pPr>
              <w:pStyle w:val="Vchoz"/>
              <w:ind w:left="62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dyspnoe</w:t>
            </w:r>
            <w:proofErr w:type="spellEnd"/>
          </w:p>
        </w:tc>
      </w:tr>
      <w:tr w:rsidR="00225D16" w:rsidRPr="008930FF" w14:paraId="58BBFA8F" w14:textId="77777777" w:rsidTr="001314B9">
        <w:tc>
          <w:tcPr>
            <w:tcW w:w="1985" w:type="dxa"/>
          </w:tcPr>
          <w:p w14:paraId="2E140F4D" w14:textId="77777777" w:rsidR="00225D16" w:rsidRPr="008930FF" w:rsidRDefault="007F7873" w:rsidP="00792238">
            <w:pPr>
              <w:pStyle w:val="Vchoz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Poruchy g</w:t>
            </w:r>
            <w:r w:rsidR="00225D16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astrointestinálne</w:t>
            </w: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ho traktu</w:t>
            </w:r>
            <w:r w:rsidR="00225D16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559" w:type="dxa"/>
          </w:tcPr>
          <w:p w14:paraId="529BBE9C" w14:textId="77777777" w:rsidR="00225D16" w:rsidRPr="008930FF" w:rsidRDefault="00225D16" w:rsidP="00DA4426">
            <w:pPr>
              <w:pStyle w:val="Vchoz"/>
              <w:ind w:left="30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Nauzea, vracanie </w:t>
            </w:r>
          </w:p>
          <w:p w14:paraId="3BEC4502" w14:textId="77777777" w:rsidR="00225D16" w:rsidRPr="008930FF" w:rsidRDefault="00225D16" w:rsidP="00DA4426">
            <w:pPr>
              <w:pStyle w:val="Vchoz"/>
              <w:ind w:left="30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72202B80" w14:textId="77777777" w:rsidR="00225D16" w:rsidRPr="008930FF" w:rsidRDefault="00225D16" w:rsidP="00DA4426">
            <w:pPr>
              <w:pStyle w:val="Vchoz"/>
              <w:ind w:left="26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Abdominálna</w:t>
            </w:r>
            <w:proofErr w:type="spellEnd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bolesť, </w:t>
            </w:r>
            <w:proofErr w:type="spellStart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dyspepsia</w:t>
            </w:r>
            <w:proofErr w:type="spellEnd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, hnačka, zápcha,</w:t>
            </w:r>
            <w:r w:rsidR="002E034E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="002E034E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hemateméza</w:t>
            </w:r>
            <w:proofErr w:type="spellEnd"/>
            <w:r w:rsidR="002E034E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</w:p>
          <w:p w14:paraId="5731BC2B" w14:textId="77777777" w:rsidR="00225D16" w:rsidRPr="008930FF" w:rsidRDefault="00225D16" w:rsidP="00DA4426">
            <w:pPr>
              <w:pStyle w:val="Vchoz"/>
              <w:ind w:left="26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sucho v ústach</w:t>
            </w:r>
          </w:p>
        </w:tc>
        <w:tc>
          <w:tcPr>
            <w:tcW w:w="1951" w:type="dxa"/>
          </w:tcPr>
          <w:p w14:paraId="2A0CA267" w14:textId="54586A60" w:rsidR="00225D16" w:rsidRPr="008930FF" w:rsidRDefault="00225D16" w:rsidP="00DA4426">
            <w:pPr>
              <w:pStyle w:val="Vchoz"/>
              <w:ind w:left="38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Peptický</w:t>
            </w:r>
            <w:proofErr w:type="spellEnd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vred, krvácanie </w:t>
            </w:r>
            <w:proofErr w:type="spellStart"/>
            <w:r w:rsidR="002E034E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peptického</w:t>
            </w:r>
            <w:proofErr w:type="spellEnd"/>
            <w:r w:rsidR="002E034E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vredu </w:t>
            </w: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alebo perforácia</w:t>
            </w:r>
            <w:r w:rsidR="002E034E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="002E034E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peptického</w:t>
            </w:r>
            <w:proofErr w:type="spellEnd"/>
            <w:r w:rsidR="002E034E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vredu</w:t>
            </w: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(pozri časť 4.4</w:t>
            </w:r>
            <w:r w:rsidR="00CD70E4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2019" w:type="dxa"/>
          </w:tcPr>
          <w:p w14:paraId="41BF08A8" w14:textId="77777777" w:rsidR="00225D16" w:rsidRPr="008930FF" w:rsidRDefault="00225D16" w:rsidP="00DA4426">
            <w:pPr>
              <w:pStyle w:val="Vchoz"/>
              <w:ind w:left="62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Pankreatitída</w:t>
            </w:r>
          </w:p>
        </w:tc>
      </w:tr>
      <w:tr w:rsidR="00225D16" w:rsidRPr="008930FF" w14:paraId="56C2A444" w14:textId="77777777" w:rsidTr="001314B9">
        <w:tc>
          <w:tcPr>
            <w:tcW w:w="1985" w:type="dxa"/>
          </w:tcPr>
          <w:p w14:paraId="3E881E82" w14:textId="77777777" w:rsidR="00225D16" w:rsidRPr="008930FF" w:rsidRDefault="00225D16" w:rsidP="00792238">
            <w:pPr>
              <w:pStyle w:val="Vchoz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Poruchy pečene a žlčových ciest</w:t>
            </w:r>
          </w:p>
        </w:tc>
        <w:tc>
          <w:tcPr>
            <w:tcW w:w="1559" w:type="dxa"/>
          </w:tcPr>
          <w:p w14:paraId="070743E9" w14:textId="77777777" w:rsidR="00225D16" w:rsidRPr="008930FF" w:rsidRDefault="00225D16" w:rsidP="00DA4426">
            <w:pPr>
              <w:pStyle w:val="Vchoz"/>
              <w:ind w:left="30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3CC4FD96" w14:textId="77777777" w:rsidR="00225D16" w:rsidRPr="008930FF" w:rsidRDefault="00225D16" w:rsidP="00DA4426">
            <w:pPr>
              <w:pStyle w:val="Vchoz"/>
              <w:ind w:left="26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51" w:type="dxa"/>
          </w:tcPr>
          <w:p w14:paraId="6C414951" w14:textId="77777777" w:rsidR="00225D16" w:rsidRPr="008930FF" w:rsidRDefault="002E034E" w:rsidP="00DA4426">
            <w:pPr>
              <w:pStyle w:val="Vchoz"/>
              <w:ind w:left="38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Hepatitída, ž</w:t>
            </w:r>
            <w:r w:rsidR="00225D16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ltačka</w:t>
            </w:r>
          </w:p>
        </w:tc>
        <w:tc>
          <w:tcPr>
            <w:tcW w:w="2019" w:type="dxa"/>
          </w:tcPr>
          <w:p w14:paraId="1FA6A2DC" w14:textId="77777777" w:rsidR="00225D16" w:rsidRPr="008930FF" w:rsidRDefault="00225D16" w:rsidP="00DA4426">
            <w:pPr>
              <w:pStyle w:val="Vchoz"/>
              <w:ind w:left="62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Poškodenie buniek pečene</w:t>
            </w:r>
          </w:p>
        </w:tc>
      </w:tr>
      <w:tr w:rsidR="00225D16" w:rsidRPr="008930FF" w14:paraId="5C982ED7" w14:textId="77777777" w:rsidTr="001314B9">
        <w:tc>
          <w:tcPr>
            <w:tcW w:w="1985" w:type="dxa"/>
          </w:tcPr>
          <w:p w14:paraId="0424B673" w14:textId="77777777" w:rsidR="00225D16" w:rsidRPr="008930FF" w:rsidRDefault="00225D16" w:rsidP="00792238">
            <w:pPr>
              <w:pStyle w:val="Vchoz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Poruchy kože a</w:t>
            </w:r>
            <w:r w:rsidR="008B5D58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 </w:t>
            </w: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podkožného tkaniva</w:t>
            </w:r>
          </w:p>
        </w:tc>
        <w:tc>
          <w:tcPr>
            <w:tcW w:w="1559" w:type="dxa"/>
          </w:tcPr>
          <w:p w14:paraId="0F7802EB" w14:textId="77777777" w:rsidR="00225D16" w:rsidRPr="008930FF" w:rsidRDefault="00225D16" w:rsidP="00DA4426">
            <w:pPr>
              <w:pStyle w:val="Vchoz"/>
              <w:ind w:left="30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0A149A23" w14:textId="77777777" w:rsidR="00225D16" w:rsidRPr="008930FF" w:rsidRDefault="00225D16" w:rsidP="00DA4426">
            <w:pPr>
              <w:pStyle w:val="Vchoz"/>
              <w:ind w:left="26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Dermatitída, </w:t>
            </w:r>
            <w:proofErr w:type="spellStart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pruritus</w:t>
            </w:r>
            <w:proofErr w:type="spellEnd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, vyrážka, zvýšené potenie</w:t>
            </w:r>
          </w:p>
        </w:tc>
        <w:tc>
          <w:tcPr>
            <w:tcW w:w="1951" w:type="dxa"/>
          </w:tcPr>
          <w:p w14:paraId="5369DCFF" w14:textId="5EF5C2FC" w:rsidR="00225D16" w:rsidRPr="008930FF" w:rsidRDefault="002E034E" w:rsidP="00DA4426">
            <w:pPr>
              <w:pStyle w:val="Vchoz"/>
              <w:ind w:left="38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Žihľavka</w:t>
            </w:r>
            <w:r w:rsidR="00225D16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, akn</w:t>
            </w:r>
            <w:r w:rsidR="00CD70E4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é</w:t>
            </w:r>
          </w:p>
        </w:tc>
        <w:tc>
          <w:tcPr>
            <w:tcW w:w="2019" w:type="dxa"/>
          </w:tcPr>
          <w:p w14:paraId="1F5009E4" w14:textId="3DCAF953" w:rsidR="00225D16" w:rsidRPr="008930FF" w:rsidRDefault="00225D16" w:rsidP="00DA4426">
            <w:pPr>
              <w:pStyle w:val="Vchoz"/>
              <w:ind w:left="62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Stevens</w:t>
            </w:r>
            <w:r w:rsidR="00725A28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ov</w:t>
            </w:r>
            <w:r w:rsidR="00F8660A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-</w:t>
            </w: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Johnsonov</w:t>
            </w:r>
            <w:proofErr w:type="spellEnd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syndróm, toxická </w:t>
            </w:r>
            <w:proofErr w:type="spellStart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epidermálna</w:t>
            </w:r>
            <w:proofErr w:type="spellEnd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nekrolýza</w:t>
            </w:r>
            <w:proofErr w:type="spellEnd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Lyellov</w:t>
            </w:r>
            <w:proofErr w:type="spellEnd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syndróm), </w:t>
            </w:r>
            <w:proofErr w:type="spellStart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angioedém</w:t>
            </w:r>
            <w:proofErr w:type="spellEnd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, edém</w:t>
            </w:r>
            <w:r w:rsidR="00F8660A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tváre</w:t>
            </w: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fotosenzit</w:t>
            </w:r>
            <w:r w:rsidR="00F8660A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í</w:t>
            </w: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</w:t>
            </w:r>
            <w:r w:rsidR="00F8660A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</w:t>
            </w:r>
            <w:r w:rsidR="00CD70E4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</w:t>
            </w:r>
            <w:proofErr w:type="spellEnd"/>
            <w:r w:rsidR="00F8660A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reakci</w:t>
            </w:r>
            <w:r w:rsidR="00CD70E4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</w:t>
            </w:r>
          </w:p>
        </w:tc>
      </w:tr>
      <w:tr w:rsidR="00225D16" w:rsidRPr="008930FF" w14:paraId="5D5F72A6" w14:textId="77777777" w:rsidTr="001314B9">
        <w:tc>
          <w:tcPr>
            <w:tcW w:w="1985" w:type="dxa"/>
          </w:tcPr>
          <w:p w14:paraId="5549E517" w14:textId="77777777" w:rsidR="00225D16" w:rsidRPr="008930FF" w:rsidRDefault="00225D16" w:rsidP="00792238">
            <w:pPr>
              <w:pStyle w:val="Vchoz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3366FF"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Poruchy kostrov</w:t>
            </w:r>
            <w:r w:rsidR="007F7873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ej</w:t>
            </w: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 </w:t>
            </w:r>
            <w:r w:rsidR="007F7873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a</w:t>
            </w: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 sval</w:t>
            </w:r>
            <w:r w:rsidR="007F7873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ovej sústavy a</w:t>
            </w:r>
            <w:r w:rsidR="008B5D58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 </w:t>
            </w: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spojivov</w:t>
            </w:r>
            <w:r w:rsidR="007F7873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ého</w:t>
            </w: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 tkan</w:t>
            </w:r>
            <w:r w:rsidR="007F7873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i</w:t>
            </w: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v</w:t>
            </w:r>
            <w:r w:rsidR="007F7873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a</w:t>
            </w:r>
          </w:p>
        </w:tc>
        <w:tc>
          <w:tcPr>
            <w:tcW w:w="1559" w:type="dxa"/>
          </w:tcPr>
          <w:p w14:paraId="0EE68E48" w14:textId="77777777" w:rsidR="00225D16" w:rsidRPr="008930FF" w:rsidRDefault="00225D16" w:rsidP="00DA4426">
            <w:pPr>
              <w:pStyle w:val="Vchoz"/>
              <w:ind w:left="30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3DED1B5A" w14:textId="77777777" w:rsidR="00225D16" w:rsidRPr="008930FF" w:rsidRDefault="00225D16" w:rsidP="00DA4426">
            <w:pPr>
              <w:pStyle w:val="Vchoz"/>
              <w:ind w:left="26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51" w:type="dxa"/>
          </w:tcPr>
          <w:p w14:paraId="4C3F1234" w14:textId="77777777" w:rsidR="00225D16" w:rsidRPr="008930FF" w:rsidRDefault="006C6774" w:rsidP="00DA4426">
            <w:pPr>
              <w:pStyle w:val="Vchoz"/>
              <w:ind w:left="38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St</w:t>
            </w:r>
            <w:r w:rsidR="00225D16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uhnut</w:t>
            </w: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osť</w:t>
            </w:r>
            <w:r w:rsidR="00225D16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svalov</w:t>
            </w:r>
            <w:r w:rsidR="00F8660A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</w:t>
            </w:r>
            <w:r w:rsidR="00F8660A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tuhnut</w:t>
            </w: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osť</w:t>
            </w:r>
            <w:r w:rsidR="00225D16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kĺbov, svalové kŕče, bolesť chrbta</w:t>
            </w:r>
          </w:p>
        </w:tc>
        <w:tc>
          <w:tcPr>
            <w:tcW w:w="2019" w:type="dxa"/>
          </w:tcPr>
          <w:p w14:paraId="2AAA2BCF" w14:textId="77777777" w:rsidR="00225D16" w:rsidRPr="008930FF" w:rsidRDefault="00225D16" w:rsidP="00DA4426">
            <w:pPr>
              <w:pStyle w:val="Vchoz"/>
              <w:ind w:left="62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225D16" w:rsidRPr="008930FF" w14:paraId="3F6E5FBF" w14:textId="77777777" w:rsidTr="001314B9">
        <w:tc>
          <w:tcPr>
            <w:tcW w:w="1985" w:type="dxa"/>
          </w:tcPr>
          <w:p w14:paraId="31BE2AF7" w14:textId="77777777" w:rsidR="00225D16" w:rsidRPr="008930FF" w:rsidRDefault="00225D16" w:rsidP="00792238">
            <w:pPr>
              <w:pStyle w:val="Vchoz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Poruchy obličiek a močových ciest</w:t>
            </w:r>
          </w:p>
        </w:tc>
        <w:tc>
          <w:tcPr>
            <w:tcW w:w="1559" w:type="dxa"/>
          </w:tcPr>
          <w:p w14:paraId="67830558" w14:textId="77777777" w:rsidR="00225D16" w:rsidRPr="008930FF" w:rsidRDefault="00225D16" w:rsidP="00DA4426">
            <w:pPr>
              <w:pStyle w:val="Vchoz"/>
              <w:ind w:left="30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2870E2FA" w14:textId="77777777" w:rsidR="00225D16" w:rsidRPr="008930FF" w:rsidRDefault="00225D16" w:rsidP="00DA4426">
            <w:pPr>
              <w:pStyle w:val="Vchoz"/>
              <w:ind w:left="26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51" w:type="dxa"/>
          </w:tcPr>
          <w:p w14:paraId="0DC05AC7" w14:textId="77777777" w:rsidR="00225D16" w:rsidRPr="008930FF" w:rsidRDefault="002471AD" w:rsidP="00DA4426">
            <w:pPr>
              <w:pStyle w:val="Vchoz"/>
              <w:ind w:left="38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Akútne renálne zlyhanie, </w:t>
            </w:r>
            <w:proofErr w:type="spellStart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</w:t>
            </w:r>
            <w:r w:rsidR="00225D16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olyúria</w:t>
            </w:r>
            <w:proofErr w:type="spellEnd"/>
            <w:r w:rsidR="00225D16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r w:rsidR="00225D16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lastRenderedPageBreak/>
              <w:t xml:space="preserve">renálna bolesť, </w:t>
            </w:r>
            <w:proofErr w:type="spellStart"/>
            <w:r w:rsidR="00225D16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ketonúria</w:t>
            </w:r>
            <w:proofErr w:type="spellEnd"/>
            <w:r w:rsidR="00225D16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="00225D16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prote</w:t>
            </w:r>
            <w:r w:rsidR="00A15DF1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</w:t>
            </w:r>
            <w:r w:rsidR="00225D16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núria</w:t>
            </w:r>
            <w:proofErr w:type="spellEnd"/>
          </w:p>
        </w:tc>
        <w:tc>
          <w:tcPr>
            <w:tcW w:w="2019" w:type="dxa"/>
          </w:tcPr>
          <w:p w14:paraId="2767427C" w14:textId="77777777" w:rsidR="00225D16" w:rsidRPr="008930FF" w:rsidRDefault="00225D16" w:rsidP="00DA4426">
            <w:pPr>
              <w:pStyle w:val="Vchoz"/>
              <w:ind w:left="62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lastRenderedPageBreak/>
              <w:t>Nefritída</w:t>
            </w:r>
            <w:proofErr w:type="spellEnd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alebo </w:t>
            </w:r>
            <w:proofErr w:type="spellStart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nefrotický</w:t>
            </w:r>
            <w:proofErr w:type="spellEnd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syndróm</w:t>
            </w:r>
          </w:p>
        </w:tc>
      </w:tr>
      <w:tr w:rsidR="00225D16" w:rsidRPr="008930FF" w14:paraId="4CDF2392" w14:textId="77777777" w:rsidTr="001314B9">
        <w:tc>
          <w:tcPr>
            <w:tcW w:w="1985" w:type="dxa"/>
          </w:tcPr>
          <w:p w14:paraId="085BEDEB" w14:textId="77777777" w:rsidR="00225D16" w:rsidRPr="008930FF" w:rsidRDefault="00225D16" w:rsidP="00792238">
            <w:pPr>
              <w:pStyle w:val="Vchoz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Poruchy reprodukčného systému a</w:t>
            </w:r>
            <w:r w:rsidR="008B5D58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 </w:t>
            </w: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prsníkov</w:t>
            </w:r>
          </w:p>
        </w:tc>
        <w:tc>
          <w:tcPr>
            <w:tcW w:w="1559" w:type="dxa"/>
          </w:tcPr>
          <w:p w14:paraId="49C30771" w14:textId="77777777" w:rsidR="00225D16" w:rsidRPr="008930FF" w:rsidRDefault="00225D16" w:rsidP="00DA4426">
            <w:pPr>
              <w:pStyle w:val="Vchoz"/>
              <w:ind w:left="30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5A01674C" w14:textId="77777777" w:rsidR="00225D16" w:rsidRPr="008930FF" w:rsidRDefault="00225D16" w:rsidP="00DA4426">
            <w:pPr>
              <w:pStyle w:val="Vchoz"/>
              <w:ind w:left="26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51" w:type="dxa"/>
          </w:tcPr>
          <w:p w14:paraId="02E4A202" w14:textId="77777777" w:rsidR="00225D16" w:rsidRPr="008930FF" w:rsidRDefault="00225D16" w:rsidP="00DA4426">
            <w:pPr>
              <w:pStyle w:val="Vchoz"/>
              <w:ind w:left="38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Menštruačné poruchy, poruchy pro</w:t>
            </w:r>
            <w:r w:rsidR="00903D84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</w:t>
            </w: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taty </w:t>
            </w:r>
          </w:p>
        </w:tc>
        <w:tc>
          <w:tcPr>
            <w:tcW w:w="2019" w:type="dxa"/>
          </w:tcPr>
          <w:p w14:paraId="1827E093" w14:textId="77777777" w:rsidR="00225D16" w:rsidRPr="008930FF" w:rsidRDefault="00225D16" w:rsidP="00DA4426">
            <w:pPr>
              <w:pStyle w:val="Vchoz"/>
              <w:ind w:left="62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225D16" w:rsidRPr="008930FF" w14:paraId="1805A9BE" w14:textId="77777777" w:rsidTr="001314B9">
        <w:tc>
          <w:tcPr>
            <w:tcW w:w="1985" w:type="dxa"/>
          </w:tcPr>
          <w:p w14:paraId="2764836A" w14:textId="77777777" w:rsidR="00225D16" w:rsidRPr="008930FF" w:rsidRDefault="00225D16" w:rsidP="00792238">
            <w:pPr>
              <w:pStyle w:val="Vchoz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Celkové poruchy a reakcie v mieste podania</w:t>
            </w:r>
          </w:p>
        </w:tc>
        <w:tc>
          <w:tcPr>
            <w:tcW w:w="1559" w:type="dxa"/>
          </w:tcPr>
          <w:p w14:paraId="56123826" w14:textId="2ECBC8BC" w:rsidR="00225D16" w:rsidRPr="008930FF" w:rsidRDefault="00225D16" w:rsidP="00DA4426">
            <w:pPr>
              <w:pStyle w:val="Vchoz"/>
              <w:ind w:left="30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Bolesť v mieste </w:t>
            </w:r>
            <w:r w:rsidR="00CD70E4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podania </w:t>
            </w: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injekcie,</w:t>
            </w:r>
          </w:p>
          <w:p w14:paraId="1400DDF4" w14:textId="5AE09722" w:rsidR="00225D16" w:rsidRPr="008930FF" w:rsidRDefault="00225D16" w:rsidP="00DA4426">
            <w:pPr>
              <w:pStyle w:val="Vchoz"/>
              <w:ind w:left="30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reakcia </w:t>
            </w:r>
            <w:r w:rsidR="00F9500A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</w:t>
            </w:r>
            <w:r w:rsidR="00BB089F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miest</w:t>
            </w:r>
            <w:r w:rsidR="00F9500A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</w:t>
            </w: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r w:rsidR="00F9500A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podania </w:t>
            </w: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injekcie vrátane zápalu, </w:t>
            </w:r>
            <w:r w:rsidR="00F9500A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modrín</w:t>
            </w: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alebo krvácania</w:t>
            </w:r>
          </w:p>
        </w:tc>
        <w:tc>
          <w:tcPr>
            <w:tcW w:w="1559" w:type="dxa"/>
          </w:tcPr>
          <w:p w14:paraId="004F8C72" w14:textId="77777777" w:rsidR="00225D16" w:rsidRPr="008930FF" w:rsidRDefault="00225D16" w:rsidP="00DA4426">
            <w:pPr>
              <w:pStyle w:val="Vchoz"/>
              <w:ind w:left="26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Pyrexia</w:t>
            </w:r>
            <w:proofErr w:type="spellEnd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únava, bolesť, pocit chladu </w:t>
            </w:r>
          </w:p>
        </w:tc>
        <w:tc>
          <w:tcPr>
            <w:tcW w:w="1951" w:type="dxa"/>
          </w:tcPr>
          <w:p w14:paraId="06CBAABD" w14:textId="77777777" w:rsidR="00225D16" w:rsidRPr="008930FF" w:rsidRDefault="00225D16" w:rsidP="00DA4426">
            <w:pPr>
              <w:pStyle w:val="Vchoz"/>
              <w:ind w:left="38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Rigor</w:t>
            </w:r>
            <w:proofErr w:type="spellEnd"/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, periférny edém</w:t>
            </w:r>
          </w:p>
        </w:tc>
        <w:tc>
          <w:tcPr>
            <w:tcW w:w="2019" w:type="dxa"/>
          </w:tcPr>
          <w:p w14:paraId="4E61C66A" w14:textId="77777777" w:rsidR="00225D16" w:rsidRPr="008930FF" w:rsidRDefault="00225D16" w:rsidP="00DA4426">
            <w:pPr>
              <w:pStyle w:val="Vchoz"/>
              <w:ind w:left="62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225D16" w:rsidRPr="008930FF" w14:paraId="3F7178A6" w14:textId="77777777" w:rsidTr="001314B9">
        <w:tc>
          <w:tcPr>
            <w:tcW w:w="1985" w:type="dxa"/>
          </w:tcPr>
          <w:p w14:paraId="2C4D8F07" w14:textId="77777777" w:rsidR="00225D16" w:rsidRPr="008930FF" w:rsidRDefault="008B5D58" w:rsidP="00792238">
            <w:pPr>
              <w:pStyle w:val="Vchoz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L</w:t>
            </w:r>
            <w:r w:rsidR="007B703C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aboratórne a funkčné v</w:t>
            </w:r>
            <w:r w:rsidR="00225D16" w:rsidRPr="008930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yšetrenia</w:t>
            </w:r>
          </w:p>
        </w:tc>
        <w:tc>
          <w:tcPr>
            <w:tcW w:w="1559" w:type="dxa"/>
          </w:tcPr>
          <w:p w14:paraId="3674D171" w14:textId="77777777" w:rsidR="00225D16" w:rsidRPr="008930FF" w:rsidRDefault="00225D16" w:rsidP="00DA4426">
            <w:pPr>
              <w:pStyle w:val="Vchoz"/>
              <w:ind w:left="30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3A93A3FC" w14:textId="77777777" w:rsidR="00225D16" w:rsidRPr="008930FF" w:rsidRDefault="00225D16" w:rsidP="00DA4426">
            <w:pPr>
              <w:pStyle w:val="Vchoz"/>
              <w:ind w:left="26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51" w:type="dxa"/>
          </w:tcPr>
          <w:p w14:paraId="4D06BC69" w14:textId="62D607CE" w:rsidR="00225D16" w:rsidRPr="008930FF" w:rsidRDefault="00CD70E4" w:rsidP="00DA4426">
            <w:pPr>
              <w:pStyle w:val="Vchoz"/>
              <w:ind w:left="38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</w:t>
            </w:r>
            <w:r w:rsidR="00F9500A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ýsledky</w:t>
            </w:r>
            <w:r w:rsidR="00225D16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test</w:t>
            </w:r>
            <w:r w:rsidR="00F9500A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ov</w:t>
            </w:r>
            <w:r w:rsidR="00225D16"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funkcie pečene</w:t>
            </w:r>
            <w:r w:rsidRPr="008930F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mimo normy</w:t>
            </w:r>
          </w:p>
          <w:p w14:paraId="1676D506" w14:textId="77777777" w:rsidR="00225D16" w:rsidRPr="008930FF" w:rsidRDefault="00225D16" w:rsidP="00DA4426">
            <w:pPr>
              <w:pStyle w:val="Vchoz"/>
              <w:ind w:left="38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019" w:type="dxa"/>
          </w:tcPr>
          <w:p w14:paraId="67D70897" w14:textId="77777777" w:rsidR="00225D16" w:rsidRPr="008930FF" w:rsidRDefault="00225D16" w:rsidP="00DA4426">
            <w:pPr>
              <w:pStyle w:val="Vchoz"/>
              <w:ind w:left="62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</w:tbl>
    <w:p w14:paraId="7F2E5271" w14:textId="77777777" w:rsidR="001556CB" w:rsidRPr="008930FF" w:rsidRDefault="001556CB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2F1DA699" w14:textId="77777777" w:rsidR="00315894" w:rsidRPr="008930FF" w:rsidRDefault="00C258CE" w:rsidP="00792238">
      <w:pPr>
        <w:pStyle w:val="Vchoz"/>
        <w:ind w:left="0" w:firstLine="0"/>
        <w:jc w:val="left"/>
        <w:rPr>
          <w:rFonts w:ascii="Times New Roman" w:hAnsi="Times New Roman" w:cs="Times New Roman"/>
          <w:color w:val="0000FF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i/>
          <w:sz w:val="22"/>
          <w:szCs w:val="22"/>
          <w:u w:val="single"/>
          <w:lang w:val="sk-SK"/>
        </w:rPr>
        <w:t>Gastrointestinálne</w:t>
      </w:r>
      <w:r w:rsidRPr="008930FF">
        <w:rPr>
          <w:rFonts w:ascii="Times New Roman" w:hAnsi="Times New Roman" w:cs="Times New Roman"/>
          <w:i/>
          <w:sz w:val="22"/>
          <w:szCs w:val="22"/>
          <w:lang w:val="sk-SK"/>
        </w:rPr>
        <w:t>:</w:t>
      </w:r>
      <w:r w:rsidRPr="008930FF">
        <w:rPr>
          <w:rFonts w:ascii="Times New Roman" w:hAnsi="Times New Roman" w:cs="Times New Roman"/>
          <w:color w:val="0000FF"/>
          <w:sz w:val="22"/>
          <w:szCs w:val="22"/>
          <w:lang w:val="sk-SK"/>
        </w:rPr>
        <w:t xml:space="preserve"> </w:t>
      </w:r>
    </w:p>
    <w:p w14:paraId="1F8D04A4" w14:textId="5D5CE2D3" w:rsidR="006E298F" w:rsidRPr="008930FF" w:rsidRDefault="006E298F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Najčastejšie </w:t>
      </w:r>
      <w:r w:rsidR="00CD354F" w:rsidRPr="008930FF">
        <w:rPr>
          <w:rFonts w:ascii="Times New Roman" w:hAnsi="Times New Roman" w:cs="Times New Roman"/>
          <w:sz w:val="22"/>
          <w:szCs w:val="22"/>
          <w:lang w:val="sk-SK"/>
        </w:rPr>
        <w:t>pozorované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nežiaduce účinky sú gastrointestinálne. Najmä u starších pacientov sa môže vyskytnúť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peptický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vred, perforácia alebo gastrointestinálne krvácanie</w:t>
      </w:r>
      <w:r w:rsidR="00583C3F" w:rsidRPr="008930FF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niekedy s fatálnym</w:t>
      </w:r>
      <w:r w:rsidR="00CD354F" w:rsidRPr="008930FF">
        <w:rPr>
          <w:rFonts w:ascii="Times New Roman" w:hAnsi="Times New Roman" w:cs="Times New Roman"/>
          <w:sz w:val="22"/>
          <w:szCs w:val="22"/>
          <w:lang w:val="sk-SK"/>
        </w:rPr>
        <w:t>i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D354F" w:rsidRPr="008930FF">
        <w:rPr>
          <w:rFonts w:ascii="Times New Roman" w:hAnsi="Times New Roman" w:cs="Times New Roman"/>
          <w:sz w:val="22"/>
          <w:szCs w:val="22"/>
          <w:lang w:val="sk-SK"/>
        </w:rPr>
        <w:t>následkami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(pozri časť 4.4). Po podaní lieku bola hlásená nauzea, vracanie, hnačka, nadúvanie, zápcha,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dyspepsia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bolesť brucha,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meléna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hemateméza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ulcer</w:t>
      </w:r>
      <w:r w:rsidR="00CD354F" w:rsidRPr="008930FF">
        <w:rPr>
          <w:rFonts w:ascii="Times New Roman" w:hAnsi="Times New Roman" w:cs="Times New Roman"/>
          <w:sz w:val="22"/>
          <w:szCs w:val="22"/>
          <w:lang w:val="sk-SK"/>
        </w:rPr>
        <w:t>ózna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stomatitída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583C3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zhoršenie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kolitídy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Crohnovej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choroby (pozri časť 4.4</w:t>
      </w:r>
      <w:r w:rsidR="0013785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Osobitné upozornenia a opatrenia pre používaní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)</w:t>
      </w:r>
      <w:r w:rsidR="00FD477B"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583C3F" w:rsidRPr="008930FF">
        <w:rPr>
          <w:rFonts w:ascii="Times New Roman" w:hAnsi="Times New Roman" w:cs="Times New Roman"/>
          <w:sz w:val="22"/>
          <w:szCs w:val="22"/>
          <w:lang w:val="sk-SK"/>
        </w:rPr>
        <w:t>Menej často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sa vyskytla gastritída. </w:t>
      </w:r>
    </w:p>
    <w:p w14:paraId="48F83FD9" w14:textId="77777777" w:rsidR="00CD354F" w:rsidRPr="008930FF" w:rsidRDefault="00CD354F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7FF7BEDF" w14:textId="13F2B108" w:rsidR="006E298F" w:rsidRPr="008930FF" w:rsidRDefault="006E298F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V spojitosti s liečbou NSAID bol hlásený edém, hypertenzia a zlyhanie</w:t>
      </w:r>
      <w:r w:rsidR="00CD354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srdca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76B6329C" w14:textId="77777777" w:rsidR="00CD354F" w:rsidRPr="008930FF" w:rsidRDefault="00CD354F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5E627329" w14:textId="607E4D4E" w:rsidR="006E298F" w:rsidRPr="008930FF" w:rsidRDefault="006E298F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Tak ako </w:t>
      </w:r>
      <w:r w:rsidR="00CD354F" w:rsidRPr="008930FF">
        <w:rPr>
          <w:rFonts w:ascii="Times New Roman" w:hAnsi="Times New Roman" w:cs="Times New Roman"/>
          <w:sz w:val="22"/>
          <w:szCs w:val="22"/>
          <w:lang w:val="sk-SK"/>
        </w:rPr>
        <w:t>pri</w:t>
      </w:r>
      <w:r w:rsidR="00583C3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iných NSAID sa môžu vyskyt</w:t>
      </w:r>
      <w:r w:rsidR="00583C3F" w:rsidRPr="008930FF">
        <w:rPr>
          <w:rFonts w:ascii="Times New Roman" w:hAnsi="Times New Roman" w:cs="Times New Roman"/>
          <w:sz w:val="22"/>
          <w:szCs w:val="22"/>
          <w:lang w:val="sk-SK"/>
        </w:rPr>
        <w:t>nú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ť nasledovné nežiaduce účinky: aseptická meningitída, ktorá sa môže vyskytnúť najmä u pacientov so systémovým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lupus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erythematosus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alebo zmiešanými ochoreniami spojivových tkanív</w:t>
      </w:r>
      <w:r w:rsidR="00960280" w:rsidRPr="008930FF">
        <w:rPr>
          <w:rFonts w:ascii="Times New Roman" w:hAnsi="Times New Roman" w:cs="Times New Roman"/>
          <w:sz w:val="22"/>
          <w:szCs w:val="22"/>
          <w:lang w:val="sk-SK"/>
        </w:rPr>
        <w:t>;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hematologické reakcie (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purpura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aplastická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hemolytická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anémia</w:t>
      </w:r>
      <w:r w:rsidR="00960280" w:rsidRPr="008930FF">
        <w:rPr>
          <w:rFonts w:ascii="Times New Roman" w:hAnsi="Times New Roman" w:cs="Times New Roman"/>
          <w:sz w:val="22"/>
          <w:szCs w:val="22"/>
          <w:lang w:val="sk-SK"/>
        </w:rPr>
        <w:t>, zriedkavo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agranulocytóza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medulárna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hypoplázia</w:t>
      </w:r>
      <w:proofErr w:type="spellEnd"/>
      <w:r w:rsidR="00960280" w:rsidRPr="008930FF">
        <w:rPr>
          <w:rFonts w:ascii="Times New Roman" w:hAnsi="Times New Roman" w:cs="Times New Roman"/>
          <w:sz w:val="22"/>
          <w:szCs w:val="22"/>
          <w:lang w:val="sk-SK"/>
        </w:rPr>
        <w:t>)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14:paraId="01E8D95E" w14:textId="77777777" w:rsidR="00E76375" w:rsidRPr="008930FF" w:rsidRDefault="00E76375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5CE7AD15" w14:textId="77777777" w:rsidR="006E298F" w:rsidRPr="008930FF" w:rsidRDefault="006E298F" w:rsidP="00792238">
      <w:pPr>
        <w:pStyle w:val="Vchoz"/>
        <w:ind w:left="0" w:firstLine="0"/>
        <w:jc w:val="left"/>
        <w:rPr>
          <w:rFonts w:ascii="Times New Roman" w:hAnsi="Times New Roman" w:cs="Times New Roman"/>
          <w:color w:val="FF0000"/>
          <w:sz w:val="22"/>
          <w:szCs w:val="22"/>
          <w:lang w:val="sk-SK"/>
        </w:rPr>
      </w:pP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Bulózne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reakcie</w:t>
      </w:r>
      <w:r w:rsidR="00781DC2" w:rsidRPr="008930FF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vrátane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Stevensovho</w:t>
      </w:r>
      <w:r w:rsidR="001C7CCE" w:rsidRPr="008930FF">
        <w:rPr>
          <w:rFonts w:ascii="Times New Roman" w:hAnsi="Times New Roman" w:cs="Times New Roman"/>
          <w:sz w:val="22"/>
          <w:szCs w:val="22"/>
          <w:lang w:val="sk-SK"/>
        </w:rPr>
        <w:t>-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Johnsonovho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syndrómu a toxická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epidermálna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nekrolýza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(veľmi zriedkavo).</w:t>
      </w:r>
    </w:p>
    <w:p w14:paraId="3EE7F8D7" w14:textId="77777777" w:rsidR="00E76375" w:rsidRPr="008930FF" w:rsidRDefault="00E76375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64422466" w14:textId="10235CFE" w:rsidR="006E298F" w:rsidRPr="008930FF" w:rsidRDefault="006E298F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Klinické </w:t>
      </w:r>
      <w:r w:rsidR="00CD354F" w:rsidRPr="008930FF">
        <w:rPr>
          <w:rFonts w:ascii="Times New Roman" w:hAnsi="Times New Roman" w:cs="Times New Roman"/>
          <w:sz w:val="22"/>
          <w:szCs w:val="22"/>
          <w:lang w:val="sk-SK"/>
        </w:rPr>
        <w:t>skúšania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 epidemiologické </w:t>
      </w:r>
      <w:r w:rsidR="00781DC2" w:rsidRPr="008930FF">
        <w:rPr>
          <w:rFonts w:ascii="Times New Roman" w:hAnsi="Times New Roman" w:cs="Times New Roman"/>
          <w:sz w:val="22"/>
          <w:szCs w:val="22"/>
          <w:lang w:val="sk-SK"/>
        </w:rPr>
        <w:t>údaje naznačujú, že užívanie niektorých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NSAID (najmä </w:t>
      </w:r>
      <w:r w:rsidR="00781DC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pri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vysoký</w:t>
      </w:r>
      <w:r w:rsidR="00781DC2" w:rsidRPr="008930FF">
        <w:rPr>
          <w:rFonts w:ascii="Times New Roman" w:hAnsi="Times New Roman" w:cs="Times New Roman"/>
          <w:sz w:val="22"/>
          <w:szCs w:val="22"/>
          <w:lang w:val="sk-SK"/>
        </w:rPr>
        <w:t>ch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dávka</w:t>
      </w:r>
      <w:r w:rsidR="00781DC2" w:rsidRPr="008930FF">
        <w:rPr>
          <w:rFonts w:ascii="Times New Roman" w:hAnsi="Times New Roman" w:cs="Times New Roman"/>
          <w:sz w:val="22"/>
          <w:szCs w:val="22"/>
          <w:lang w:val="sk-SK"/>
        </w:rPr>
        <w:t>ch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="00781DC2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dlhodob</w:t>
      </w:r>
      <w:r w:rsidR="00781DC2" w:rsidRPr="008930FF">
        <w:rPr>
          <w:rFonts w:ascii="Times New Roman" w:hAnsi="Times New Roman" w:cs="Times New Roman"/>
          <w:sz w:val="22"/>
          <w:szCs w:val="22"/>
          <w:lang w:val="sk-SK"/>
        </w:rPr>
        <w:t>ej liečbe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) </w:t>
      </w:r>
      <w:r w:rsidR="00781DC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môže byť spojené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s </w:t>
      </w:r>
      <w:r w:rsidR="00781DC2" w:rsidRPr="008930FF">
        <w:rPr>
          <w:rFonts w:ascii="Times New Roman" w:hAnsi="Times New Roman" w:cs="Times New Roman"/>
          <w:sz w:val="22"/>
          <w:szCs w:val="22"/>
          <w:lang w:val="sk-SK"/>
        </w:rPr>
        <w:t>miernym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zvýšením rizika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arteriálnej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trombotickej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príhody (napr. infarktu myokardu alebo mŕtvice) (pozri časť 4.4).</w:t>
      </w:r>
    </w:p>
    <w:p w14:paraId="587B4428" w14:textId="77777777" w:rsidR="00470E44" w:rsidRPr="008930FF" w:rsidRDefault="00470E44" w:rsidP="00792238">
      <w:pPr>
        <w:pStyle w:val="Vchoz"/>
        <w:ind w:left="0"/>
        <w:jc w:val="left"/>
        <w:rPr>
          <w:rFonts w:ascii="Times New Roman" w:hAnsi="Times New Roman" w:cs="Times New Roman"/>
          <w:color w:val="FF0000"/>
          <w:sz w:val="22"/>
          <w:szCs w:val="22"/>
          <w:lang w:val="sk-SK"/>
        </w:rPr>
      </w:pPr>
    </w:p>
    <w:p w14:paraId="0BF289FA" w14:textId="77777777" w:rsidR="00844090" w:rsidRPr="008930FF" w:rsidRDefault="00844090" w:rsidP="00792238">
      <w:pPr>
        <w:rPr>
          <w:sz w:val="22"/>
          <w:szCs w:val="22"/>
          <w:u w:val="single"/>
        </w:rPr>
      </w:pPr>
      <w:r w:rsidRPr="008930FF">
        <w:rPr>
          <w:sz w:val="22"/>
          <w:szCs w:val="22"/>
          <w:u w:val="single"/>
        </w:rPr>
        <w:t>Hlásenie podozrení na nežiaduce reakcie</w:t>
      </w:r>
    </w:p>
    <w:p w14:paraId="72A3EE52" w14:textId="77777777" w:rsidR="00844090" w:rsidRPr="008930FF" w:rsidRDefault="00844090" w:rsidP="00792238">
      <w:pPr>
        <w:rPr>
          <w:sz w:val="22"/>
          <w:szCs w:val="22"/>
        </w:rPr>
      </w:pPr>
      <w:r w:rsidRPr="008930FF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4706D0" w:rsidRPr="008930FF">
        <w:rPr>
          <w:sz w:val="22"/>
          <w:szCs w:val="22"/>
        </w:rPr>
        <w:t xml:space="preserve">na </w:t>
      </w:r>
      <w:r w:rsidR="000D534A" w:rsidRPr="008930FF">
        <w:rPr>
          <w:sz w:val="22"/>
          <w:szCs w:val="22"/>
          <w:highlight w:val="lightGray"/>
        </w:rPr>
        <w:t>národné</w:t>
      </w:r>
      <w:r w:rsidR="004706D0" w:rsidRPr="008930FF">
        <w:rPr>
          <w:sz w:val="22"/>
          <w:szCs w:val="22"/>
          <w:highlight w:val="lightGray"/>
        </w:rPr>
        <w:t xml:space="preserve"> centrum hlásenia</w:t>
      </w:r>
      <w:r w:rsidR="000D534A" w:rsidRPr="008930FF">
        <w:rPr>
          <w:sz w:val="22"/>
          <w:szCs w:val="22"/>
          <w:highlight w:val="lightGray"/>
        </w:rPr>
        <w:t xml:space="preserve"> uvedené v </w:t>
      </w:r>
      <w:hyperlink r:id="rId8" w:history="1">
        <w:r w:rsidR="000D534A" w:rsidRPr="008930FF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="000D534A" w:rsidRPr="008930FF">
        <w:rPr>
          <w:sz w:val="22"/>
          <w:szCs w:val="22"/>
        </w:rPr>
        <w:t>.</w:t>
      </w:r>
    </w:p>
    <w:p w14:paraId="15FAA9F7" w14:textId="77777777" w:rsidR="00844090" w:rsidRPr="008930FF" w:rsidRDefault="00844090" w:rsidP="00792238">
      <w:pPr>
        <w:pStyle w:val="Vchoz"/>
        <w:ind w:left="0"/>
        <w:jc w:val="left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14:paraId="4C572B0B" w14:textId="77777777" w:rsidR="009D2973" w:rsidRPr="008930FF" w:rsidRDefault="009D2973" w:rsidP="00792238">
      <w:pPr>
        <w:pStyle w:val="Vchoz"/>
        <w:ind w:hanging="567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4.9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Predávkovanie</w:t>
      </w:r>
    </w:p>
    <w:p w14:paraId="471B1552" w14:textId="77777777" w:rsidR="009D2973" w:rsidRPr="008930FF" w:rsidRDefault="009D2973" w:rsidP="00792238">
      <w:pPr>
        <w:pStyle w:val="Vchoz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750DB9D6" w14:textId="37B332AC" w:rsidR="00E76375" w:rsidRPr="008930FF" w:rsidRDefault="006E298F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Symptómy predávkovania nie sú známe. </w:t>
      </w:r>
      <w:r w:rsidR="00E7637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Podobné lieky spôsobili </w:t>
      </w:r>
      <w:proofErr w:type="spellStart"/>
      <w:r w:rsidR="00E76375" w:rsidRPr="008930FF">
        <w:rPr>
          <w:rFonts w:ascii="Times New Roman" w:hAnsi="Times New Roman" w:cs="Times New Roman"/>
          <w:sz w:val="22"/>
          <w:szCs w:val="22"/>
          <w:lang w:val="sk-SK"/>
        </w:rPr>
        <w:t>gastrointestinálne</w:t>
      </w:r>
      <w:proofErr w:type="spellEnd"/>
      <w:r w:rsidR="00E7637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ťažkosti (vracanie, </w:t>
      </w:r>
      <w:proofErr w:type="spellStart"/>
      <w:r w:rsidR="00E76375" w:rsidRPr="008930FF">
        <w:rPr>
          <w:rFonts w:ascii="Times New Roman" w:hAnsi="Times New Roman" w:cs="Times New Roman"/>
          <w:sz w:val="22"/>
          <w:szCs w:val="22"/>
          <w:lang w:val="sk-SK"/>
        </w:rPr>
        <w:t>anorexia</w:t>
      </w:r>
      <w:proofErr w:type="spellEnd"/>
      <w:r w:rsidR="00E76375" w:rsidRPr="008930FF">
        <w:rPr>
          <w:rFonts w:ascii="Times New Roman" w:hAnsi="Times New Roman" w:cs="Times New Roman"/>
          <w:sz w:val="22"/>
          <w:szCs w:val="22"/>
          <w:lang w:val="sk-SK"/>
        </w:rPr>
        <w:t>, boles</w:t>
      </w:r>
      <w:r w:rsidR="000E1671" w:rsidRPr="008930FF">
        <w:rPr>
          <w:rFonts w:ascii="Times New Roman" w:hAnsi="Times New Roman" w:cs="Times New Roman"/>
          <w:sz w:val="22"/>
          <w:szCs w:val="22"/>
          <w:lang w:val="sk-SK"/>
        </w:rPr>
        <w:t>ť</w:t>
      </w:r>
      <w:r w:rsidR="00E76375" w:rsidRPr="008930FF">
        <w:rPr>
          <w:rFonts w:ascii="Times New Roman" w:hAnsi="Times New Roman" w:cs="Times New Roman"/>
          <w:sz w:val="22"/>
          <w:szCs w:val="22"/>
          <w:lang w:val="sk-SK"/>
        </w:rPr>
        <w:t> brucha) a neurologické poruchy (</w:t>
      </w:r>
      <w:r w:rsidR="001D7070" w:rsidRPr="008930FF">
        <w:rPr>
          <w:rFonts w:ascii="Times New Roman" w:hAnsi="Times New Roman" w:cs="Times New Roman"/>
          <w:sz w:val="22"/>
          <w:szCs w:val="22"/>
          <w:lang w:val="sk-SK"/>
        </w:rPr>
        <w:t>o</w:t>
      </w:r>
      <w:r w:rsidR="00E76375" w:rsidRPr="008930FF">
        <w:rPr>
          <w:rFonts w:ascii="Times New Roman" w:hAnsi="Times New Roman" w:cs="Times New Roman"/>
          <w:sz w:val="22"/>
          <w:szCs w:val="22"/>
          <w:lang w:val="sk-SK"/>
        </w:rPr>
        <w:t>spa</w:t>
      </w:r>
      <w:r w:rsidR="001D7070" w:rsidRPr="008930FF">
        <w:rPr>
          <w:rFonts w:ascii="Times New Roman" w:hAnsi="Times New Roman" w:cs="Times New Roman"/>
          <w:sz w:val="22"/>
          <w:szCs w:val="22"/>
          <w:lang w:val="sk-SK"/>
        </w:rPr>
        <w:t>l</w:t>
      </w:r>
      <w:r w:rsidR="00E7637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osť, </w:t>
      </w:r>
      <w:proofErr w:type="spellStart"/>
      <w:r w:rsidR="00E2189F" w:rsidRPr="008930FF">
        <w:rPr>
          <w:rFonts w:ascii="Times New Roman" w:hAnsi="Times New Roman" w:cs="Times New Roman"/>
          <w:sz w:val="22"/>
          <w:szCs w:val="22"/>
          <w:lang w:val="sk-SK"/>
        </w:rPr>
        <w:t>vertigo</w:t>
      </w:r>
      <w:proofErr w:type="spellEnd"/>
      <w:r w:rsidR="00E76375" w:rsidRPr="008930FF">
        <w:rPr>
          <w:rFonts w:ascii="Times New Roman" w:hAnsi="Times New Roman" w:cs="Times New Roman"/>
          <w:sz w:val="22"/>
          <w:szCs w:val="22"/>
          <w:lang w:val="sk-SK"/>
        </w:rPr>
        <w:t>, dezorientácia, bolesť hlavy)</w:t>
      </w:r>
      <w:r w:rsidR="00570472"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39523C2E" w14:textId="0C5559D8" w:rsidR="003623B7" w:rsidRPr="008930FF" w:rsidRDefault="003623B7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Po náhodnom užití alebo podaní nadmernej dávky </w:t>
      </w:r>
      <w:r w:rsidR="00E2189F" w:rsidRPr="008930FF">
        <w:rPr>
          <w:rFonts w:ascii="Times New Roman" w:hAnsi="Times New Roman" w:cs="Times New Roman"/>
          <w:sz w:val="22"/>
          <w:szCs w:val="22"/>
          <w:lang w:val="sk-SK"/>
        </w:rPr>
        <w:t>je po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treb</w:t>
      </w:r>
      <w:r w:rsidR="00E2189F" w:rsidRPr="008930FF">
        <w:rPr>
          <w:rFonts w:ascii="Times New Roman" w:hAnsi="Times New Roman" w:cs="Times New Roman"/>
          <w:sz w:val="22"/>
          <w:szCs w:val="22"/>
          <w:lang w:val="sk-SK"/>
        </w:rPr>
        <w:t>né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ihneď začať symptomatickú </w:t>
      </w:r>
      <w:r w:rsidR="00E2189F" w:rsidRPr="008930FF">
        <w:rPr>
          <w:rFonts w:ascii="Times New Roman" w:hAnsi="Times New Roman" w:cs="Times New Roman"/>
          <w:sz w:val="22"/>
          <w:szCs w:val="22"/>
          <w:lang w:val="sk-SK"/>
        </w:rPr>
        <w:t>liečbu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podľa klinického stavu pacienta.</w:t>
      </w:r>
      <w:r w:rsidR="00315894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6E3546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="00E2189F" w:rsidRPr="008930FF">
        <w:rPr>
          <w:rFonts w:ascii="Times New Roman" w:hAnsi="Times New Roman" w:cs="Times New Roman"/>
          <w:sz w:val="22"/>
          <w:szCs w:val="22"/>
          <w:lang w:val="sk-SK"/>
        </w:rPr>
        <w:t>-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trometamol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môže byť odstránený dialýzou. </w:t>
      </w:r>
    </w:p>
    <w:p w14:paraId="22DB7D4A" w14:textId="77777777" w:rsidR="003623B7" w:rsidRPr="008930FF" w:rsidRDefault="003623B7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59624BC9" w14:textId="77777777" w:rsidR="009D2973" w:rsidRPr="008930FF" w:rsidRDefault="009D2973" w:rsidP="00792238">
      <w:pPr>
        <w:pStyle w:val="Vchoz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2B0237EF" w14:textId="77777777" w:rsidR="009D2973" w:rsidRPr="008930FF" w:rsidRDefault="009D2973" w:rsidP="00792238">
      <w:pPr>
        <w:pStyle w:val="Vchoz"/>
        <w:ind w:hanging="567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5.</w:t>
      </w: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8930FF"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  <w:t>farmakologické vlastnosti</w:t>
      </w:r>
    </w:p>
    <w:p w14:paraId="0F28A478" w14:textId="77777777" w:rsidR="009D2973" w:rsidRPr="008930FF" w:rsidRDefault="009D2973" w:rsidP="00792238">
      <w:pPr>
        <w:pStyle w:val="Vchoz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253A3E80" w14:textId="77777777" w:rsidR="009D2973" w:rsidRPr="008930FF" w:rsidRDefault="009D2973" w:rsidP="00792238">
      <w:pPr>
        <w:pStyle w:val="Vchoz"/>
        <w:numPr>
          <w:ilvl w:val="1"/>
          <w:numId w:val="13"/>
        </w:numPr>
        <w:jc w:val="left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Farmakodynamické vlastnosti</w:t>
      </w:r>
      <w:r w:rsidRPr="008930FF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 </w:t>
      </w:r>
    </w:p>
    <w:p w14:paraId="467C831A" w14:textId="77777777" w:rsidR="00844090" w:rsidRPr="008930FF" w:rsidRDefault="00844090" w:rsidP="00792238">
      <w:pPr>
        <w:pStyle w:val="Vchoz"/>
        <w:jc w:val="left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14:paraId="31BE44AD" w14:textId="77777777" w:rsidR="007B11D9" w:rsidRPr="008930FF" w:rsidRDefault="009D2973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Farmakoterapeutická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skupina: deriváty kyseliny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propi</w:t>
      </w:r>
      <w:r w:rsidR="00B0350A" w:rsidRPr="008930FF">
        <w:rPr>
          <w:rFonts w:ascii="Times New Roman" w:hAnsi="Times New Roman" w:cs="Times New Roman"/>
          <w:sz w:val="22"/>
          <w:szCs w:val="22"/>
          <w:lang w:val="sk-SK"/>
        </w:rPr>
        <w:t>ó</w:t>
      </w:r>
      <w:r w:rsidR="00532B6C" w:rsidRPr="008930FF">
        <w:rPr>
          <w:rFonts w:ascii="Times New Roman" w:hAnsi="Times New Roman" w:cs="Times New Roman"/>
          <w:sz w:val="22"/>
          <w:szCs w:val="22"/>
          <w:lang w:val="sk-SK"/>
        </w:rPr>
        <w:t>novej</w:t>
      </w:r>
      <w:proofErr w:type="spellEnd"/>
      <w:r w:rsidR="00844090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>ATC kód: M01AE17</w:t>
      </w:r>
    </w:p>
    <w:p w14:paraId="6B5D7E95" w14:textId="77777777" w:rsidR="008E226F" w:rsidRPr="008930FF" w:rsidRDefault="008E226F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7CCDFCE2" w14:textId="1A449369" w:rsidR="007B11D9" w:rsidRPr="008930FF" w:rsidRDefault="006E3546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="00C701BB" w:rsidRPr="008930FF">
        <w:rPr>
          <w:rFonts w:ascii="Times New Roman" w:hAnsi="Times New Roman" w:cs="Times New Roman"/>
          <w:sz w:val="22"/>
          <w:szCs w:val="22"/>
          <w:lang w:val="sk-SK"/>
        </w:rPr>
        <w:t>-</w:t>
      </w:r>
      <w:r w:rsidR="00C911D7" w:rsidRPr="008930FF">
        <w:rPr>
          <w:rFonts w:ascii="Times New Roman" w:hAnsi="Times New Roman" w:cs="Times New Roman"/>
          <w:sz w:val="22"/>
          <w:szCs w:val="22"/>
          <w:lang w:val="sk-SK"/>
        </w:rPr>
        <w:t>trometamol</w:t>
      </w:r>
      <w:proofErr w:type="spellEnd"/>
      <w:r w:rsidR="009D297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je </w:t>
      </w:r>
      <w:proofErr w:type="spellStart"/>
      <w:r w:rsidR="009D2973" w:rsidRPr="008930FF">
        <w:rPr>
          <w:rFonts w:ascii="Times New Roman" w:hAnsi="Times New Roman" w:cs="Times New Roman"/>
          <w:sz w:val="22"/>
          <w:szCs w:val="22"/>
          <w:lang w:val="sk-SK"/>
        </w:rPr>
        <w:t>trometamínová</w:t>
      </w:r>
      <w:proofErr w:type="spellEnd"/>
      <w:r w:rsidR="009D297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soľ S-(+)-2-(3-benzoylfenyl)</w:t>
      </w:r>
      <w:r w:rsidR="00C701BB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kyseliny </w:t>
      </w:r>
      <w:proofErr w:type="spellStart"/>
      <w:r w:rsidR="009D2973" w:rsidRPr="008930FF">
        <w:rPr>
          <w:rFonts w:ascii="Times New Roman" w:hAnsi="Times New Roman" w:cs="Times New Roman"/>
          <w:sz w:val="22"/>
          <w:szCs w:val="22"/>
          <w:lang w:val="sk-SK"/>
        </w:rPr>
        <w:t>propiónovej</w:t>
      </w:r>
      <w:proofErr w:type="spellEnd"/>
      <w:r w:rsidR="00B73EA2" w:rsidRPr="008930FF">
        <w:rPr>
          <w:rFonts w:ascii="Times New Roman" w:hAnsi="Times New Roman" w:cs="Times New Roman"/>
          <w:sz w:val="22"/>
          <w:szCs w:val="22"/>
          <w:lang w:val="sk-SK"/>
        </w:rPr>
        <w:t>, analgetikum, protizápalov</w:t>
      </w:r>
      <w:r w:rsidR="00C701BB" w:rsidRPr="008930FF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="00B73EA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="00B73EA2" w:rsidRPr="008930FF">
        <w:rPr>
          <w:rFonts w:ascii="Times New Roman" w:hAnsi="Times New Roman" w:cs="Times New Roman"/>
          <w:sz w:val="22"/>
          <w:szCs w:val="22"/>
          <w:lang w:val="sk-SK"/>
        </w:rPr>
        <w:t>antipyretick</w:t>
      </w:r>
      <w:r w:rsidR="00C701BB" w:rsidRPr="008930FF">
        <w:rPr>
          <w:rFonts w:ascii="Times New Roman" w:hAnsi="Times New Roman" w:cs="Times New Roman"/>
          <w:sz w:val="22"/>
          <w:szCs w:val="22"/>
          <w:lang w:val="sk-SK"/>
        </w:rPr>
        <w:t>é</w:t>
      </w:r>
      <w:proofErr w:type="spellEnd"/>
      <w:r w:rsidR="00B73EA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lie</w:t>
      </w:r>
      <w:r w:rsidR="00C701BB" w:rsidRPr="008930FF">
        <w:rPr>
          <w:rFonts w:ascii="Times New Roman" w:hAnsi="Times New Roman" w:cs="Times New Roman"/>
          <w:sz w:val="22"/>
          <w:szCs w:val="22"/>
          <w:lang w:val="sk-SK"/>
        </w:rPr>
        <w:t>čivo</w:t>
      </w:r>
      <w:r w:rsidR="00B73EA2" w:rsidRPr="008930FF">
        <w:rPr>
          <w:rFonts w:ascii="Times New Roman" w:hAnsi="Times New Roman" w:cs="Times New Roman"/>
          <w:sz w:val="22"/>
          <w:szCs w:val="22"/>
          <w:lang w:val="sk-SK"/>
        </w:rPr>
        <w:t>, ktor</w:t>
      </w:r>
      <w:r w:rsidR="00C701BB" w:rsidRPr="008930FF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="00B73EA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</w:t>
      </w:r>
      <w:r w:rsidR="009D2973" w:rsidRPr="008930FF">
        <w:rPr>
          <w:rFonts w:ascii="Times New Roman" w:hAnsi="Times New Roman" w:cs="Times New Roman"/>
          <w:sz w:val="22"/>
          <w:szCs w:val="22"/>
          <w:lang w:val="sk-SK"/>
        </w:rPr>
        <w:t>atrí</w:t>
      </w:r>
      <w:r w:rsidR="0019521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do skupiny </w:t>
      </w:r>
      <w:proofErr w:type="spellStart"/>
      <w:r w:rsidR="00195215" w:rsidRPr="008930FF">
        <w:rPr>
          <w:rFonts w:ascii="Times New Roman" w:hAnsi="Times New Roman" w:cs="Times New Roman"/>
          <w:sz w:val="22"/>
          <w:szCs w:val="22"/>
          <w:lang w:val="sk-SK"/>
        </w:rPr>
        <w:t>nesteroid</w:t>
      </w:r>
      <w:r w:rsidR="00A15DF1" w:rsidRPr="008930FF">
        <w:rPr>
          <w:rFonts w:ascii="Times New Roman" w:hAnsi="Times New Roman" w:cs="Times New Roman"/>
          <w:sz w:val="22"/>
          <w:szCs w:val="22"/>
          <w:lang w:val="sk-SK"/>
        </w:rPr>
        <w:t>n</w:t>
      </w:r>
      <w:r w:rsidR="009D2973" w:rsidRPr="008930FF">
        <w:rPr>
          <w:rFonts w:ascii="Times New Roman" w:hAnsi="Times New Roman" w:cs="Times New Roman"/>
          <w:sz w:val="22"/>
          <w:szCs w:val="22"/>
          <w:lang w:val="sk-SK"/>
        </w:rPr>
        <w:t>ých</w:t>
      </w:r>
      <w:proofErr w:type="spellEnd"/>
      <w:r w:rsidR="009D297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protizápalový</w:t>
      </w:r>
      <w:r w:rsidR="00B73EA2" w:rsidRPr="008930FF">
        <w:rPr>
          <w:rFonts w:ascii="Times New Roman" w:hAnsi="Times New Roman" w:cs="Times New Roman"/>
          <w:sz w:val="22"/>
          <w:szCs w:val="22"/>
          <w:lang w:val="sk-SK"/>
        </w:rPr>
        <w:t>ch lie</w:t>
      </w:r>
      <w:r w:rsidR="00C701BB" w:rsidRPr="008930FF">
        <w:rPr>
          <w:rFonts w:ascii="Times New Roman" w:hAnsi="Times New Roman" w:cs="Times New Roman"/>
          <w:sz w:val="22"/>
          <w:szCs w:val="22"/>
          <w:lang w:val="sk-SK"/>
        </w:rPr>
        <w:t>čiv</w:t>
      </w:r>
      <w:r w:rsidR="003623B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(M01AE).</w:t>
      </w:r>
      <w:r w:rsidR="009D297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056B5388" w14:textId="77777777" w:rsidR="00F83A55" w:rsidRPr="008930FF" w:rsidRDefault="00F83A55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01702B67" w14:textId="77777777" w:rsidR="00844090" w:rsidRPr="008930FF" w:rsidRDefault="00844090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u w:val="single"/>
          <w:lang w:val="sk-SK"/>
        </w:rPr>
        <w:t>Mechanizmus účinku</w:t>
      </w:r>
    </w:p>
    <w:p w14:paraId="436B925E" w14:textId="1B87D578" w:rsidR="00C701BB" w:rsidRPr="008930FF" w:rsidRDefault="003623B7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Mechanizm</w:t>
      </w:r>
      <w:r w:rsidR="00F83A55" w:rsidRPr="008930FF">
        <w:rPr>
          <w:rFonts w:ascii="Times New Roman" w:hAnsi="Times New Roman" w:cs="Times New Roman"/>
          <w:sz w:val="22"/>
          <w:szCs w:val="22"/>
          <w:lang w:val="sk-SK"/>
        </w:rPr>
        <w:t>us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účinku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nesteroid</w:t>
      </w:r>
      <w:r w:rsidR="00A15DF1" w:rsidRPr="008930FF">
        <w:rPr>
          <w:rFonts w:ascii="Times New Roman" w:hAnsi="Times New Roman" w:cs="Times New Roman"/>
          <w:sz w:val="22"/>
          <w:szCs w:val="22"/>
          <w:lang w:val="sk-SK"/>
        </w:rPr>
        <w:t>n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ých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protizápalových lie</w:t>
      </w:r>
      <w:r w:rsidR="00C701BB" w:rsidRPr="008930FF">
        <w:rPr>
          <w:rFonts w:ascii="Times New Roman" w:hAnsi="Times New Roman" w:cs="Times New Roman"/>
          <w:sz w:val="22"/>
          <w:szCs w:val="22"/>
          <w:lang w:val="sk-SK"/>
        </w:rPr>
        <w:t>čiv</w:t>
      </w:r>
      <w:r w:rsidR="00F83A5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súvisí so znížením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syntézy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prostaglandínov</w:t>
      </w:r>
      <w:proofErr w:type="spellEnd"/>
      <w:r w:rsidR="00F83A5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inhibíciou </w:t>
      </w:r>
      <w:proofErr w:type="spellStart"/>
      <w:r w:rsidR="00F83A55" w:rsidRPr="008930FF">
        <w:rPr>
          <w:rFonts w:ascii="Times New Roman" w:hAnsi="Times New Roman" w:cs="Times New Roman"/>
          <w:sz w:val="22"/>
          <w:szCs w:val="22"/>
          <w:lang w:val="sk-SK"/>
        </w:rPr>
        <w:t>cyklooxygenáz</w:t>
      </w:r>
      <w:r w:rsidR="004A5459" w:rsidRPr="008930FF">
        <w:rPr>
          <w:rFonts w:ascii="Times New Roman" w:hAnsi="Times New Roman" w:cs="Times New Roman"/>
          <w:sz w:val="22"/>
          <w:szCs w:val="22"/>
          <w:lang w:val="sk-SK"/>
        </w:rPr>
        <w:t>ovej</w:t>
      </w:r>
      <w:proofErr w:type="spellEnd"/>
      <w:r w:rsidR="004A545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dráhy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14:paraId="3C36A1C4" w14:textId="77777777" w:rsidR="00C701BB" w:rsidRPr="008930FF" w:rsidRDefault="00C701BB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473DBB3A" w14:textId="716EA856" w:rsidR="003623B7" w:rsidRPr="008930FF" w:rsidRDefault="003623B7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Predovšetkým </w:t>
      </w:r>
      <w:r w:rsidR="004A5459" w:rsidRPr="008930FF">
        <w:rPr>
          <w:rFonts w:ascii="Times New Roman" w:hAnsi="Times New Roman" w:cs="Times New Roman"/>
          <w:sz w:val="22"/>
          <w:szCs w:val="22"/>
          <w:lang w:val="sk-SK"/>
        </w:rPr>
        <w:t>ide o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inhibíci</w:t>
      </w:r>
      <w:r w:rsidR="004A5459" w:rsidRPr="008930FF"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transformácie kyseliny</w:t>
      </w:r>
      <w:r w:rsidR="00C701BB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C701BB" w:rsidRPr="008930FF">
        <w:rPr>
          <w:rFonts w:ascii="Times New Roman" w:hAnsi="Times New Roman" w:cs="Times New Roman"/>
          <w:sz w:val="22"/>
          <w:szCs w:val="22"/>
          <w:lang w:val="sk-SK"/>
        </w:rPr>
        <w:t>arachidónovej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na cyklické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endoperoxidy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>, PGG</w:t>
      </w:r>
      <w:r w:rsidRPr="008930FF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t>2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 PGH</w:t>
      </w:r>
      <w:r w:rsidRPr="008930FF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t>2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ktoré vytvárajú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prostaglandíny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PGE</w:t>
      </w:r>
      <w:r w:rsidRPr="008930FF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t>1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, PGE</w:t>
      </w:r>
      <w:r w:rsidRPr="008930FF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t>2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, PGF</w:t>
      </w:r>
      <w:r w:rsidRPr="008930FF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t>2</w:t>
      </w:r>
      <w:r w:rsidRPr="008930FF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sym w:font="Symbol" w:char="F061"/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 PGD</w:t>
      </w:r>
      <w:r w:rsidRPr="008930FF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t>2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="00F83A5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tiež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prostacyklín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PGI</w:t>
      </w:r>
      <w:r w:rsidRPr="008930FF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t>2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trombox</w:t>
      </w:r>
      <w:r w:rsidR="00C701BB" w:rsidRPr="008930FF">
        <w:rPr>
          <w:rFonts w:ascii="Times New Roman" w:hAnsi="Times New Roman" w:cs="Times New Roman"/>
          <w:sz w:val="22"/>
          <w:szCs w:val="22"/>
          <w:lang w:val="sk-SK"/>
        </w:rPr>
        <w:t>á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ny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(TxA</w:t>
      </w:r>
      <w:r w:rsidRPr="008930FF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t>2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="00E11CFE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TxB</w:t>
      </w:r>
      <w:r w:rsidRPr="008930FF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t>2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). </w:t>
      </w:r>
      <w:r w:rsidR="004A545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Okrem toho by inhibícia syntézy </w:t>
      </w:r>
      <w:proofErr w:type="spellStart"/>
      <w:r w:rsidR="004A5459" w:rsidRPr="008930FF">
        <w:rPr>
          <w:rFonts w:ascii="Times New Roman" w:hAnsi="Times New Roman" w:cs="Times New Roman"/>
          <w:sz w:val="22"/>
          <w:szCs w:val="22"/>
          <w:lang w:val="sk-SK"/>
        </w:rPr>
        <w:t>prostaglandínov</w:t>
      </w:r>
      <w:proofErr w:type="spellEnd"/>
      <w:r w:rsidR="004A545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mohla ovplyvniť iné protizápalové </w:t>
      </w:r>
      <w:proofErr w:type="spellStart"/>
      <w:r w:rsidR="004A5459" w:rsidRPr="008930FF">
        <w:rPr>
          <w:rFonts w:ascii="Times New Roman" w:hAnsi="Times New Roman" w:cs="Times New Roman"/>
          <w:sz w:val="22"/>
          <w:szCs w:val="22"/>
          <w:lang w:val="sk-SK"/>
        </w:rPr>
        <w:t>mediátory</w:t>
      </w:r>
      <w:proofErr w:type="spellEnd"/>
      <w:r w:rsidR="004A545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ako sú </w:t>
      </w:r>
      <w:proofErr w:type="spellStart"/>
      <w:r w:rsidR="004A5459" w:rsidRPr="008930FF">
        <w:rPr>
          <w:rFonts w:ascii="Times New Roman" w:hAnsi="Times New Roman" w:cs="Times New Roman"/>
          <w:sz w:val="22"/>
          <w:szCs w:val="22"/>
          <w:lang w:val="sk-SK"/>
        </w:rPr>
        <w:t>kiníny</w:t>
      </w:r>
      <w:proofErr w:type="spellEnd"/>
      <w:r w:rsidR="004A5459" w:rsidRPr="008930FF">
        <w:rPr>
          <w:rFonts w:ascii="Times New Roman" w:hAnsi="Times New Roman" w:cs="Times New Roman"/>
          <w:sz w:val="22"/>
          <w:szCs w:val="22"/>
          <w:lang w:val="sk-SK"/>
        </w:rPr>
        <w:t>, čím by sa doplnil priamy účinok.</w:t>
      </w:r>
    </w:p>
    <w:p w14:paraId="26446B60" w14:textId="77777777" w:rsidR="00843EFE" w:rsidRPr="008930FF" w:rsidRDefault="00843EFE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29D815DF" w14:textId="77777777" w:rsidR="00E314EC" w:rsidRPr="008930FF" w:rsidRDefault="00E314E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u w:val="single"/>
          <w:lang w:val="sk-SK"/>
        </w:rPr>
        <w:t>Farmakodynamické účinky</w:t>
      </w:r>
    </w:p>
    <w:p w14:paraId="61CBD73D" w14:textId="708DFA2C" w:rsidR="00B0350A" w:rsidRPr="008930FF" w:rsidRDefault="003623B7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V štúdiách na zvieratách a u ľudí sa ukázalo, že </w:t>
      </w:r>
      <w:proofErr w:type="spellStart"/>
      <w:r w:rsidR="006E3546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inhib</w:t>
      </w:r>
      <w:r w:rsidR="0092001A" w:rsidRPr="008930FF">
        <w:rPr>
          <w:rFonts w:ascii="Times New Roman" w:hAnsi="Times New Roman" w:cs="Times New Roman"/>
          <w:sz w:val="22"/>
          <w:szCs w:val="22"/>
          <w:lang w:val="sk-SK"/>
        </w:rPr>
        <w:t>uje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92001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aktivitu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COX-</w:t>
      </w:r>
      <w:smartTag w:uri="urn:schemas-microsoft-com:office:smarttags" w:element="metricconverter">
        <w:smartTagPr>
          <w:attr w:name="ProductID" w:val="1 a"/>
        </w:smartTagPr>
        <w:r w:rsidRPr="008930FF">
          <w:rPr>
            <w:rFonts w:ascii="Times New Roman" w:hAnsi="Times New Roman" w:cs="Times New Roman"/>
            <w:sz w:val="22"/>
            <w:szCs w:val="22"/>
            <w:lang w:val="sk-SK"/>
          </w:rPr>
          <w:t>1 a</w:t>
        </w:r>
      </w:smartTag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COX-2. </w:t>
      </w:r>
    </w:p>
    <w:p w14:paraId="640D2715" w14:textId="77777777" w:rsidR="00843EFE" w:rsidRPr="008930FF" w:rsidRDefault="00843EFE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67A14E5B" w14:textId="77777777" w:rsidR="00844090" w:rsidRPr="008930FF" w:rsidRDefault="00844090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u w:val="single"/>
          <w:lang w:val="sk-SK"/>
        </w:rPr>
        <w:t>Klinická účinnosť a bezpečnosť</w:t>
      </w:r>
    </w:p>
    <w:p w14:paraId="3247F152" w14:textId="0EED7AB6" w:rsidR="009D2973" w:rsidRPr="008930FF" w:rsidRDefault="009D2973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Klinické štúdie, ktoré sa </w:t>
      </w:r>
      <w:r w:rsidR="00B07AF3" w:rsidRPr="008930FF">
        <w:rPr>
          <w:rFonts w:ascii="Times New Roman" w:hAnsi="Times New Roman" w:cs="Times New Roman"/>
          <w:sz w:val="22"/>
          <w:szCs w:val="22"/>
          <w:lang w:val="sk-SK"/>
        </w:rPr>
        <w:t>vykonali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na niekoľkých modeloch bolesti, dokázali účinnú analgetickú aktivitu </w:t>
      </w:r>
      <w:proofErr w:type="spellStart"/>
      <w:r w:rsidR="006E3546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="00B07AF3" w:rsidRPr="008930FF">
        <w:rPr>
          <w:rFonts w:ascii="Times New Roman" w:hAnsi="Times New Roman" w:cs="Times New Roman"/>
          <w:sz w:val="22"/>
          <w:szCs w:val="22"/>
          <w:lang w:val="sk-SK"/>
        </w:rPr>
        <w:t>-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trometamolu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14:paraId="67F5B75A" w14:textId="77777777" w:rsidR="00B07AF3" w:rsidRPr="008930FF" w:rsidRDefault="00B07AF3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0D019EB9" w14:textId="20937376" w:rsidR="009D2973" w:rsidRPr="008930FF" w:rsidRDefault="00FF3A91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Analgetický účinok </w:t>
      </w:r>
      <w:proofErr w:type="spellStart"/>
      <w:r w:rsidR="009D2973" w:rsidRPr="008930FF">
        <w:rPr>
          <w:rFonts w:ascii="Times New Roman" w:hAnsi="Times New Roman" w:cs="Times New Roman"/>
          <w:sz w:val="22"/>
          <w:szCs w:val="22"/>
          <w:lang w:val="sk-SK"/>
        </w:rPr>
        <w:t>intramuskulárne</w:t>
      </w:r>
      <w:proofErr w:type="spellEnd"/>
      <w:r w:rsidR="009D297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="00083F19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9D2973" w:rsidRPr="008930FF">
        <w:rPr>
          <w:rFonts w:ascii="Times New Roman" w:hAnsi="Times New Roman" w:cs="Times New Roman"/>
          <w:sz w:val="22"/>
          <w:szCs w:val="22"/>
          <w:lang w:val="sk-SK"/>
        </w:rPr>
        <w:t>intravenózne</w:t>
      </w:r>
      <w:r w:rsidR="00083F1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podaného</w:t>
      </w:r>
      <w:r w:rsidR="009D297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6E3546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="00B07AF3" w:rsidRPr="008930FF">
        <w:rPr>
          <w:rFonts w:ascii="Times New Roman" w:hAnsi="Times New Roman" w:cs="Times New Roman"/>
          <w:sz w:val="22"/>
          <w:szCs w:val="22"/>
          <w:lang w:val="sk-SK"/>
        </w:rPr>
        <w:t>-</w:t>
      </w:r>
      <w:r w:rsidR="009D2973" w:rsidRPr="008930FF">
        <w:rPr>
          <w:rFonts w:ascii="Times New Roman" w:hAnsi="Times New Roman" w:cs="Times New Roman"/>
          <w:sz w:val="22"/>
          <w:szCs w:val="22"/>
          <w:lang w:val="sk-SK"/>
        </w:rPr>
        <w:t>trometamolu</w:t>
      </w:r>
      <w:proofErr w:type="spellEnd"/>
      <w:r w:rsidR="009D297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v </w:t>
      </w:r>
      <w:r w:rsidR="00B07AF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liečbe </w:t>
      </w:r>
      <w:r w:rsidR="009D2973" w:rsidRPr="008930FF">
        <w:rPr>
          <w:rFonts w:ascii="Times New Roman" w:hAnsi="Times New Roman" w:cs="Times New Roman"/>
          <w:sz w:val="22"/>
          <w:szCs w:val="22"/>
          <w:lang w:val="sk-SK"/>
        </w:rPr>
        <w:t>stredne</w:t>
      </w:r>
      <w:r w:rsidR="00B07AF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silnej</w:t>
      </w:r>
      <w:r w:rsidR="009D297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až </w:t>
      </w:r>
      <w:r w:rsidR="00B07AF3" w:rsidRPr="008930FF">
        <w:rPr>
          <w:rFonts w:ascii="Times New Roman" w:hAnsi="Times New Roman" w:cs="Times New Roman"/>
          <w:sz w:val="22"/>
          <w:szCs w:val="22"/>
          <w:lang w:val="sk-SK"/>
        </w:rPr>
        <w:t>silnej</w:t>
      </w:r>
      <w:r w:rsidR="003B4AD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9D297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bolesti bol </w:t>
      </w:r>
      <w:r w:rsidR="00083F19" w:rsidRPr="008930FF">
        <w:rPr>
          <w:rFonts w:ascii="Times New Roman" w:hAnsi="Times New Roman" w:cs="Times New Roman"/>
          <w:sz w:val="22"/>
          <w:szCs w:val="22"/>
          <w:lang w:val="sk-SK"/>
        </w:rPr>
        <w:t>skúma</w:t>
      </w:r>
      <w:r w:rsidR="009D297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ný </w:t>
      </w:r>
      <w:r w:rsidR="00B07AF3" w:rsidRPr="008930FF">
        <w:rPr>
          <w:rFonts w:ascii="Times New Roman" w:hAnsi="Times New Roman" w:cs="Times New Roman"/>
          <w:sz w:val="22"/>
          <w:szCs w:val="22"/>
          <w:lang w:val="sk-SK"/>
        </w:rPr>
        <w:t>na</w:t>
      </w:r>
      <w:r w:rsidR="009D2973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083F19" w:rsidRPr="008930FF">
        <w:rPr>
          <w:rFonts w:ascii="Times New Roman" w:hAnsi="Times New Roman" w:cs="Times New Roman"/>
          <w:sz w:val="22"/>
          <w:szCs w:val="22"/>
          <w:lang w:val="sk-SK"/>
        </w:rPr>
        <w:t>niekoľkých</w:t>
      </w:r>
      <w:r w:rsidR="009D297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chirurgických modeloch bolesti (ortopedické a</w:t>
      </w:r>
      <w:r w:rsidR="00315894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9D2973" w:rsidRPr="008930FF">
        <w:rPr>
          <w:rFonts w:ascii="Times New Roman" w:hAnsi="Times New Roman" w:cs="Times New Roman"/>
          <w:sz w:val="22"/>
          <w:szCs w:val="22"/>
          <w:lang w:val="sk-SK"/>
        </w:rPr>
        <w:t>gynekologick</w:t>
      </w:r>
      <w:r w:rsidR="00315894" w:rsidRPr="008930FF">
        <w:rPr>
          <w:rFonts w:ascii="Times New Roman" w:hAnsi="Times New Roman" w:cs="Times New Roman"/>
          <w:sz w:val="22"/>
          <w:szCs w:val="22"/>
          <w:lang w:val="sk-SK"/>
        </w:rPr>
        <w:t>é/</w:t>
      </w:r>
      <w:r w:rsidR="009D297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brušné chirurgické zákroky) ako aj </w:t>
      </w:r>
      <w:r w:rsidR="00B07AF3" w:rsidRPr="008930FF">
        <w:rPr>
          <w:rFonts w:ascii="Times New Roman" w:hAnsi="Times New Roman" w:cs="Times New Roman"/>
          <w:sz w:val="22"/>
          <w:szCs w:val="22"/>
          <w:lang w:val="sk-SK"/>
        </w:rPr>
        <w:t>pri</w:t>
      </w:r>
      <w:r w:rsidR="009D2973" w:rsidRPr="008930FF">
        <w:rPr>
          <w:rFonts w:ascii="Times New Roman" w:hAnsi="Times New Roman" w:cs="Times New Roman"/>
          <w:sz w:val="22"/>
          <w:szCs w:val="22"/>
          <w:lang w:val="sk-SK"/>
        </w:rPr>
        <w:t> svalovo</w:t>
      </w:r>
      <w:r w:rsidR="00315894" w:rsidRPr="008930FF">
        <w:rPr>
          <w:rFonts w:ascii="Times New Roman" w:hAnsi="Times New Roman" w:cs="Times New Roman"/>
          <w:sz w:val="22"/>
          <w:szCs w:val="22"/>
          <w:lang w:val="sk-SK"/>
        </w:rPr>
        <w:t>–</w:t>
      </w:r>
      <w:r w:rsidR="009D2973" w:rsidRPr="008930FF">
        <w:rPr>
          <w:rFonts w:ascii="Times New Roman" w:hAnsi="Times New Roman" w:cs="Times New Roman"/>
          <w:sz w:val="22"/>
          <w:szCs w:val="22"/>
          <w:lang w:val="sk-SK"/>
        </w:rPr>
        <w:t>kostrovej bolesti (model akútnej bolesti v do</w:t>
      </w:r>
      <w:r w:rsidR="00B0350A" w:rsidRPr="008930FF">
        <w:rPr>
          <w:rFonts w:ascii="Times New Roman" w:hAnsi="Times New Roman" w:cs="Times New Roman"/>
          <w:sz w:val="22"/>
          <w:szCs w:val="22"/>
          <w:lang w:val="sk-SK"/>
        </w:rPr>
        <w:t>lnej časti chrbt</w:t>
      </w:r>
      <w:r w:rsidR="00083F19" w:rsidRPr="008930FF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B0350A" w:rsidRPr="008930FF">
        <w:rPr>
          <w:rFonts w:ascii="Times New Roman" w:hAnsi="Times New Roman" w:cs="Times New Roman"/>
          <w:sz w:val="22"/>
          <w:szCs w:val="22"/>
          <w:lang w:val="sk-SK"/>
        </w:rPr>
        <w:t>) a </w:t>
      </w:r>
      <w:r w:rsidR="00B07AF3" w:rsidRPr="008930FF">
        <w:rPr>
          <w:rFonts w:ascii="Times New Roman" w:hAnsi="Times New Roman" w:cs="Times New Roman"/>
          <w:sz w:val="22"/>
          <w:szCs w:val="22"/>
          <w:lang w:val="sk-SK"/>
        </w:rPr>
        <w:t>pri</w:t>
      </w:r>
      <w:r w:rsidR="00B0350A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proofErr w:type="spellStart"/>
      <w:r w:rsidR="00B0350A" w:rsidRPr="008930FF">
        <w:rPr>
          <w:rFonts w:ascii="Times New Roman" w:hAnsi="Times New Roman" w:cs="Times New Roman"/>
          <w:sz w:val="22"/>
          <w:szCs w:val="22"/>
          <w:lang w:val="sk-SK"/>
        </w:rPr>
        <w:t>renálne</w:t>
      </w:r>
      <w:r w:rsidR="009D2973" w:rsidRPr="008930FF">
        <w:rPr>
          <w:rFonts w:ascii="Times New Roman" w:hAnsi="Times New Roman" w:cs="Times New Roman"/>
          <w:sz w:val="22"/>
          <w:szCs w:val="22"/>
          <w:lang w:val="sk-SK"/>
        </w:rPr>
        <w:t>j</w:t>
      </w:r>
      <w:proofErr w:type="spellEnd"/>
      <w:r w:rsidR="009D297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kolik</w:t>
      </w:r>
      <w:r w:rsidR="00B07AF3" w:rsidRPr="008930FF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9D2973"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1232E112" w14:textId="77777777" w:rsidR="00E11CFE" w:rsidRPr="008930FF" w:rsidRDefault="00E11CFE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44F13C6A" w14:textId="7E0F5B1F" w:rsidR="009D2973" w:rsidRPr="008930FF" w:rsidRDefault="009D2973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511E5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uskutočnených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štúdiách bol nástup analgetického </w:t>
      </w:r>
      <w:r w:rsidR="00837F3B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účinku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rýchly a </w:t>
      </w:r>
      <w:r w:rsidR="00B07AF3" w:rsidRPr="008930FF">
        <w:rPr>
          <w:rFonts w:ascii="Times New Roman" w:hAnsi="Times New Roman" w:cs="Times New Roman"/>
          <w:sz w:val="22"/>
          <w:szCs w:val="22"/>
          <w:lang w:val="sk-SK"/>
        </w:rPr>
        <w:t>maximálny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analgetick</w:t>
      </w:r>
      <w:r w:rsidR="00B07AF3" w:rsidRPr="008930FF">
        <w:rPr>
          <w:rFonts w:ascii="Times New Roman" w:hAnsi="Times New Roman" w:cs="Times New Roman"/>
          <w:sz w:val="22"/>
          <w:szCs w:val="22"/>
          <w:lang w:val="sk-SK"/>
        </w:rPr>
        <w:t>ý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účin</w:t>
      </w:r>
      <w:r w:rsidR="00B07AF3" w:rsidRPr="008930FF">
        <w:rPr>
          <w:rFonts w:ascii="Times New Roman" w:hAnsi="Times New Roman" w:cs="Times New Roman"/>
          <w:sz w:val="22"/>
          <w:szCs w:val="22"/>
          <w:lang w:val="sk-SK"/>
        </w:rPr>
        <w:t>ok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sa </w:t>
      </w:r>
      <w:r w:rsidR="003623B7" w:rsidRPr="008930FF">
        <w:rPr>
          <w:rFonts w:ascii="Times New Roman" w:hAnsi="Times New Roman" w:cs="Times New Roman"/>
          <w:sz w:val="22"/>
          <w:szCs w:val="22"/>
          <w:lang w:val="sk-SK"/>
        </w:rPr>
        <w:t>dosiah</w:t>
      </w:r>
      <w:r w:rsidR="00B07AF3" w:rsidRPr="008930FF">
        <w:rPr>
          <w:rFonts w:ascii="Times New Roman" w:hAnsi="Times New Roman" w:cs="Times New Roman"/>
          <w:sz w:val="22"/>
          <w:szCs w:val="22"/>
          <w:lang w:val="sk-SK"/>
        </w:rPr>
        <w:t>ol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do prvých </w:t>
      </w:r>
      <w:r w:rsidR="00B0350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45 minút. Trvanie analgetického </w:t>
      </w:r>
      <w:r w:rsidR="00511E57" w:rsidRPr="008930FF">
        <w:rPr>
          <w:rFonts w:ascii="Times New Roman" w:hAnsi="Times New Roman" w:cs="Times New Roman"/>
          <w:sz w:val="22"/>
          <w:szCs w:val="22"/>
          <w:lang w:val="sk-SK"/>
        </w:rPr>
        <w:t>účinku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po podaní 50 mg </w:t>
      </w:r>
      <w:proofErr w:type="spellStart"/>
      <w:r w:rsidR="006E3546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je zvyčajne 8 hodín. </w:t>
      </w:r>
    </w:p>
    <w:p w14:paraId="75A79648" w14:textId="77777777" w:rsidR="009D2973" w:rsidRPr="008930FF" w:rsidRDefault="009D2973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393D37F3" w14:textId="683C77A9" w:rsidR="009D2973" w:rsidRPr="008930FF" w:rsidRDefault="009D2973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Klinické štúdie </w:t>
      </w:r>
      <w:r w:rsidR="0048458B" w:rsidRPr="008930FF">
        <w:rPr>
          <w:rFonts w:ascii="Times New Roman" w:hAnsi="Times New Roman" w:cs="Times New Roman"/>
          <w:sz w:val="22"/>
          <w:szCs w:val="22"/>
          <w:lang w:val="sk-SK"/>
        </w:rPr>
        <w:t>zamerané na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48458B" w:rsidRPr="008930FF">
        <w:rPr>
          <w:rFonts w:ascii="Times New Roman" w:hAnsi="Times New Roman" w:cs="Times New Roman"/>
          <w:sz w:val="22"/>
          <w:szCs w:val="22"/>
          <w:lang w:val="sk-SK"/>
        </w:rPr>
        <w:t>liečbu</w:t>
      </w:r>
      <w:r w:rsidR="00B07AF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pooperačnej bolesti preukázali, že</w:t>
      </w:r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keď sa </w:t>
      </w:r>
      <w:proofErr w:type="spellStart"/>
      <w:r w:rsidR="00B07AF3" w:rsidRPr="008930FF">
        <w:rPr>
          <w:rFonts w:ascii="Times New Roman" w:hAnsi="Times New Roman" w:cs="Times New Roman"/>
          <w:sz w:val="22"/>
          <w:szCs w:val="22"/>
          <w:lang w:val="sk-SK"/>
        </w:rPr>
        <w:t>d</w:t>
      </w:r>
      <w:r w:rsidR="00A079A1" w:rsidRPr="008930FF">
        <w:rPr>
          <w:rFonts w:ascii="Times New Roman" w:hAnsi="Times New Roman" w:cs="Times New Roman"/>
          <w:sz w:val="22"/>
          <w:szCs w:val="22"/>
          <w:lang w:val="sk-SK"/>
        </w:rPr>
        <w:t>exketoprofén</w:t>
      </w:r>
      <w:proofErr w:type="spellEnd"/>
      <w:r w:rsidR="00A079A1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>používa</w:t>
      </w:r>
      <w:r w:rsidR="002F5CD5" w:rsidRPr="008930FF">
        <w:rPr>
          <w:rFonts w:ascii="Times New Roman" w:hAnsi="Times New Roman" w:cs="Times New Roman"/>
          <w:sz w:val="22"/>
          <w:szCs w:val="22"/>
          <w:lang w:val="sk-SK"/>
        </w:rPr>
        <w:t>l</w:t>
      </w:r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v kombinácii s </w:t>
      </w:r>
      <w:proofErr w:type="spellStart"/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>opioidmi</w:t>
      </w:r>
      <w:proofErr w:type="spellEnd"/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významne </w:t>
      </w:r>
      <w:r w:rsidR="00B07AF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sa </w:t>
      </w:r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>znížil</w:t>
      </w:r>
      <w:r w:rsidR="00B07AF3" w:rsidRPr="008930FF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spotreba opioid</w:t>
      </w:r>
      <w:r w:rsidR="0048458B" w:rsidRPr="008930FF">
        <w:rPr>
          <w:rFonts w:ascii="Times New Roman" w:hAnsi="Times New Roman" w:cs="Times New Roman"/>
          <w:sz w:val="22"/>
          <w:szCs w:val="22"/>
          <w:lang w:val="sk-SK"/>
        </w:rPr>
        <w:t>ov</w:t>
      </w:r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. V štúdiách pooperačnej bolesti, </w:t>
      </w:r>
      <w:r w:rsidR="00B0350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v ktorých </w:t>
      </w:r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pacienti dostávali </w:t>
      </w:r>
      <w:proofErr w:type="spellStart"/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>morf</w:t>
      </w:r>
      <w:r w:rsidR="00B07AF3" w:rsidRPr="008930FF">
        <w:rPr>
          <w:rFonts w:ascii="Times New Roman" w:hAnsi="Times New Roman" w:cs="Times New Roman"/>
          <w:sz w:val="22"/>
          <w:szCs w:val="22"/>
          <w:lang w:val="sk-SK"/>
        </w:rPr>
        <w:t>ín</w:t>
      </w:r>
      <w:proofErr w:type="spellEnd"/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pomocou pacientom </w:t>
      </w:r>
      <w:r w:rsidR="0048458B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ovládaného </w:t>
      </w:r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>zariadenia</w:t>
      </w:r>
      <w:r w:rsidR="0048458B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na kontrolu bolesti</w:t>
      </w:r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pacienti liečení </w:t>
      </w:r>
      <w:proofErr w:type="spellStart"/>
      <w:r w:rsidR="006E3546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>om</w:t>
      </w:r>
      <w:proofErr w:type="spellEnd"/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B07AF3" w:rsidRPr="008930FF">
        <w:rPr>
          <w:rFonts w:ascii="Times New Roman" w:hAnsi="Times New Roman" w:cs="Times New Roman"/>
          <w:sz w:val="22"/>
          <w:szCs w:val="22"/>
          <w:lang w:val="sk-SK"/>
        </w:rPr>
        <w:t>vy</w:t>
      </w:r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žadovali významne menej </w:t>
      </w:r>
      <w:proofErr w:type="spellStart"/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>morfínu</w:t>
      </w:r>
      <w:proofErr w:type="spellEnd"/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(menej o</w:t>
      </w:r>
      <w:r w:rsidR="00315894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>30</w:t>
      </w:r>
      <w:r w:rsidR="00315894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837F3B" w:rsidRPr="008930FF">
        <w:rPr>
          <w:rFonts w:ascii="Times New Roman" w:hAnsi="Times New Roman" w:cs="Times New Roman"/>
          <w:sz w:val="22"/>
          <w:szCs w:val="22"/>
          <w:lang w:val="sk-SK"/>
        </w:rPr>
        <w:t>-</w:t>
      </w:r>
      <w:r w:rsidR="00315894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>45 %) než pacienti v</w:t>
      </w:r>
      <w:r w:rsidR="001C7CC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 skupine s </w:t>
      </w:r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>placebo</w:t>
      </w:r>
      <w:r w:rsidR="001C7CCE" w:rsidRPr="008930FF">
        <w:rPr>
          <w:rFonts w:ascii="Times New Roman" w:hAnsi="Times New Roman" w:cs="Times New Roman"/>
          <w:sz w:val="22"/>
          <w:szCs w:val="22"/>
          <w:lang w:val="sk-SK"/>
        </w:rPr>
        <w:t>m</w:t>
      </w:r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14:paraId="7C983F6A" w14:textId="77777777" w:rsidR="007B11D9" w:rsidRPr="008930FF" w:rsidRDefault="007B11D9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77C5B30D" w14:textId="77777777" w:rsidR="0043264C" w:rsidRPr="008930FF" w:rsidRDefault="0043264C" w:rsidP="00792238">
      <w:pPr>
        <w:pStyle w:val="Vchoz"/>
        <w:ind w:hanging="567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5.2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Farmakokinetické vlastnosti</w:t>
      </w:r>
    </w:p>
    <w:p w14:paraId="7672E923" w14:textId="77777777" w:rsidR="0043264C" w:rsidRPr="008930FF" w:rsidRDefault="0043264C" w:rsidP="00792238">
      <w:pPr>
        <w:pStyle w:val="Vchoz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3166E7D1" w14:textId="77777777" w:rsidR="00E314EC" w:rsidRPr="008930FF" w:rsidRDefault="00E314EC" w:rsidP="00792238">
      <w:pPr>
        <w:pStyle w:val="Vchoz"/>
        <w:ind w:left="0"/>
        <w:jc w:val="left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u w:val="single"/>
          <w:lang w:val="sk-SK"/>
        </w:rPr>
        <w:t>Absorpcia</w:t>
      </w:r>
    </w:p>
    <w:p w14:paraId="53D7F964" w14:textId="79BF6B8D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Po </w:t>
      </w:r>
      <w:proofErr w:type="spellStart"/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>intramuskulárnom</w:t>
      </w:r>
      <w:proofErr w:type="spellEnd"/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podaní </w:t>
      </w:r>
      <w:proofErr w:type="spellStart"/>
      <w:r w:rsidR="006E3546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="007A3C6E" w:rsidRPr="008930FF">
        <w:rPr>
          <w:rFonts w:ascii="Times New Roman" w:hAnsi="Times New Roman" w:cs="Times New Roman"/>
          <w:sz w:val="22"/>
          <w:szCs w:val="22"/>
          <w:lang w:val="sk-SK"/>
        </w:rPr>
        <w:t>-</w:t>
      </w:r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>trometamolu</w:t>
      </w:r>
      <w:proofErr w:type="spellEnd"/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ľuďom sa maximáln</w:t>
      </w:r>
      <w:r w:rsidR="007A3C6E" w:rsidRPr="008930FF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56E8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koncentrácie </w:t>
      </w:r>
      <w:r w:rsidR="00F74313" w:rsidRPr="008930FF">
        <w:rPr>
          <w:rFonts w:ascii="Times New Roman" w:hAnsi="Times New Roman" w:cs="Times New Roman"/>
          <w:sz w:val="22"/>
          <w:szCs w:val="22"/>
          <w:lang w:val="sk-SK"/>
        </w:rPr>
        <w:t>(C</w:t>
      </w:r>
      <w:r w:rsidR="00F74313" w:rsidRPr="008930FF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t>max</w:t>
      </w:r>
      <w:r w:rsidR="00F74313" w:rsidRPr="008930FF">
        <w:rPr>
          <w:rFonts w:ascii="Times New Roman" w:hAnsi="Times New Roman" w:cs="Times New Roman"/>
          <w:sz w:val="22"/>
          <w:szCs w:val="22"/>
          <w:lang w:val="sk-SK"/>
        </w:rPr>
        <w:t>)</w:t>
      </w:r>
      <w:r w:rsidR="006F42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>dosiahn</w:t>
      </w:r>
      <w:r w:rsidR="006F422A" w:rsidRPr="008930FF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za 2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0 minút (v rozsahu </w:t>
      </w:r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>10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až </w:t>
      </w:r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>45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minút).</w:t>
      </w:r>
      <w:r w:rsidR="007B11D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57287F" w:rsidRPr="008930FF">
        <w:rPr>
          <w:rFonts w:ascii="Times New Roman" w:hAnsi="Times New Roman" w:cs="Times New Roman"/>
          <w:sz w:val="22"/>
          <w:szCs w:val="22"/>
          <w:lang w:val="sk-SK"/>
        </w:rPr>
        <w:t>Pre jedno</w:t>
      </w:r>
      <w:r w:rsidR="00EE0316" w:rsidRPr="008930FF">
        <w:rPr>
          <w:rFonts w:ascii="Times New Roman" w:hAnsi="Times New Roman" w:cs="Times New Roman"/>
          <w:sz w:val="22"/>
          <w:szCs w:val="22"/>
          <w:lang w:val="sk-SK"/>
        </w:rPr>
        <w:t>razové</w:t>
      </w:r>
      <w:r w:rsidR="0057287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dávky 25 až 50</w:t>
      </w:r>
      <w:r w:rsidR="00E11CFE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57287F" w:rsidRPr="008930FF">
        <w:rPr>
          <w:rFonts w:ascii="Times New Roman" w:hAnsi="Times New Roman" w:cs="Times New Roman"/>
          <w:sz w:val="22"/>
          <w:szCs w:val="22"/>
          <w:lang w:val="sk-SK"/>
        </w:rPr>
        <w:t>mg</w:t>
      </w:r>
      <w:r w:rsidR="008B4ED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sa ukázalo, že pri </w:t>
      </w:r>
      <w:proofErr w:type="spellStart"/>
      <w:r w:rsidR="008B4EDE" w:rsidRPr="008930FF">
        <w:rPr>
          <w:rFonts w:ascii="Times New Roman" w:hAnsi="Times New Roman" w:cs="Times New Roman"/>
          <w:sz w:val="22"/>
          <w:szCs w:val="22"/>
          <w:lang w:val="sk-SK"/>
        </w:rPr>
        <w:t>intramuskulárn</w:t>
      </w:r>
      <w:r w:rsidR="007A3C6E" w:rsidRPr="008930FF">
        <w:rPr>
          <w:rFonts w:ascii="Times New Roman" w:hAnsi="Times New Roman" w:cs="Times New Roman"/>
          <w:sz w:val="22"/>
          <w:szCs w:val="22"/>
          <w:lang w:val="sk-SK"/>
        </w:rPr>
        <w:t>om</w:t>
      </w:r>
      <w:proofErr w:type="spellEnd"/>
      <w:r w:rsidR="008B4ED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aj intravenózn</w:t>
      </w:r>
      <w:r w:rsidR="007A3C6E" w:rsidRPr="008930FF">
        <w:rPr>
          <w:rFonts w:ascii="Times New Roman" w:hAnsi="Times New Roman" w:cs="Times New Roman"/>
          <w:sz w:val="22"/>
          <w:szCs w:val="22"/>
          <w:lang w:val="sk-SK"/>
        </w:rPr>
        <w:t>om</w:t>
      </w:r>
      <w:r w:rsidR="008B4ED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A3C6E" w:rsidRPr="008930FF">
        <w:rPr>
          <w:rFonts w:ascii="Times New Roman" w:hAnsi="Times New Roman" w:cs="Times New Roman"/>
          <w:sz w:val="22"/>
          <w:szCs w:val="22"/>
          <w:lang w:val="sk-SK"/>
        </w:rPr>
        <w:t>podaní</w:t>
      </w:r>
      <w:r w:rsidR="008B4ED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je </w:t>
      </w:r>
      <w:r w:rsidR="004F5B31" w:rsidRPr="008930FF">
        <w:rPr>
          <w:rFonts w:ascii="Times New Roman" w:hAnsi="Times New Roman" w:cs="Times New Roman"/>
          <w:sz w:val="22"/>
          <w:szCs w:val="22"/>
          <w:lang w:val="sk-SK"/>
        </w:rPr>
        <w:t>plocha</w:t>
      </w:r>
      <w:r w:rsidR="008B4ED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pod </w:t>
      </w:r>
      <w:r w:rsidR="007A3C6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koncentračnou </w:t>
      </w:r>
      <w:r w:rsidR="008B4ED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krivkou </w:t>
      </w:r>
      <w:r w:rsidR="00F7431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(AUC) </w:t>
      </w:r>
      <w:r w:rsidR="008B4ED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úmerná dávke. </w:t>
      </w:r>
    </w:p>
    <w:p w14:paraId="1F876193" w14:textId="77777777" w:rsidR="007B11D9" w:rsidRPr="008930FF" w:rsidRDefault="007B11D9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27B6FBA0" w14:textId="77777777" w:rsidR="009A3FAD" w:rsidRPr="008930FF" w:rsidRDefault="009A3FAD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u w:val="single"/>
          <w:lang w:val="sk-SK"/>
        </w:rPr>
        <w:t>Distribúcia</w:t>
      </w:r>
    </w:p>
    <w:p w14:paraId="31DFFDF2" w14:textId="42DEC7EF" w:rsidR="00756E86" w:rsidRPr="008930FF" w:rsidRDefault="00756E86" w:rsidP="00756E86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Vo 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farmakokinetických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štúdiách s opakovaným podávaním sa zistilo, že C</w:t>
      </w:r>
      <w:r w:rsidRPr="008930FF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t>max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 AUC po poslednom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intramuskulárnom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alebo intravenóznom podaní sa nelíšili od hodnôt, získaných po jednorazovej dávke, čo </w:t>
      </w:r>
      <w:r w:rsidR="0017658F" w:rsidRPr="008930FF">
        <w:rPr>
          <w:rFonts w:ascii="Times New Roman" w:hAnsi="Times New Roman" w:cs="Times New Roman"/>
          <w:sz w:val="22"/>
          <w:szCs w:val="22"/>
          <w:lang w:val="sk-SK"/>
        </w:rPr>
        <w:t>naznačuje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, že nedochádza k akumulácii lie</w:t>
      </w:r>
      <w:r w:rsidR="0017658F" w:rsidRPr="008930FF">
        <w:rPr>
          <w:rFonts w:ascii="Times New Roman" w:hAnsi="Times New Roman" w:cs="Times New Roman"/>
          <w:sz w:val="22"/>
          <w:szCs w:val="22"/>
          <w:lang w:val="sk-SK"/>
        </w:rPr>
        <w:t>čiva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14:paraId="791DF810" w14:textId="353240BB" w:rsidR="009A3FAD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Rovnako ako </w:t>
      </w:r>
      <w:r w:rsidR="0017658F" w:rsidRPr="008930FF">
        <w:rPr>
          <w:rFonts w:ascii="Times New Roman" w:hAnsi="Times New Roman" w:cs="Times New Roman"/>
          <w:sz w:val="22"/>
          <w:szCs w:val="22"/>
          <w:lang w:val="sk-SK"/>
        </w:rPr>
        <w:t>pri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iných lie</w:t>
      </w:r>
      <w:r w:rsidR="00D806AB" w:rsidRPr="008930FF">
        <w:rPr>
          <w:rFonts w:ascii="Times New Roman" w:hAnsi="Times New Roman" w:cs="Times New Roman"/>
          <w:sz w:val="22"/>
          <w:szCs w:val="22"/>
          <w:lang w:val="sk-SK"/>
        </w:rPr>
        <w:t>čivách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 vysokou väzbou na plazmatické proteíny (99 %), distribučný objem má </w:t>
      </w:r>
      <w:r w:rsidR="00BA0160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strednú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hodnotu nižšiu ako 0,25 l/kg. </w:t>
      </w:r>
      <w:r w:rsidR="00970E57" w:rsidRPr="008930FF">
        <w:rPr>
          <w:rFonts w:ascii="Times New Roman" w:hAnsi="Times New Roman" w:cs="Times New Roman"/>
          <w:sz w:val="22"/>
          <w:szCs w:val="22"/>
          <w:lang w:val="sk-SK"/>
        </w:rPr>
        <w:t>Hodnota distribučného polčasu</w:t>
      </w:r>
      <w:r w:rsidR="00C82864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bola približne</w:t>
      </w:r>
      <w:r w:rsidR="00970E5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0,35 hod a </w:t>
      </w:r>
      <w:r w:rsidR="00970E57" w:rsidRPr="008930FF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eliminačného polčasu </w:t>
      </w:r>
      <w:r w:rsidR="00837F3B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v rozmedzí </w:t>
      </w:r>
      <w:r w:rsidR="00970E57" w:rsidRPr="008930FF">
        <w:rPr>
          <w:rFonts w:ascii="Times New Roman" w:hAnsi="Times New Roman" w:cs="Times New Roman"/>
          <w:sz w:val="22"/>
          <w:szCs w:val="22"/>
          <w:lang w:val="sk-SK"/>
        </w:rPr>
        <w:t>1</w:t>
      </w:r>
      <w:r w:rsidR="00315894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E11CFE" w:rsidRPr="008930FF">
        <w:rPr>
          <w:rFonts w:ascii="Times New Roman" w:hAnsi="Times New Roman" w:cs="Times New Roman"/>
          <w:sz w:val="22"/>
          <w:szCs w:val="22"/>
          <w:lang w:val="sk-SK"/>
        </w:rPr>
        <w:t>-</w:t>
      </w:r>
      <w:r w:rsidR="00315894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837F3B" w:rsidRPr="008930FF">
        <w:rPr>
          <w:rFonts w:ascii="Times New Roman" w:hAnsi="Times New Roman" w:cs="Times New Roman"/>
          <w:sz w:val="22"/>
          <w:szCs w:val="22"/>
          <w:lang w:val="sk-SK"/>
        </w:rPr>
        <w:t>2,7</w:t>
      </w:r>
      <w:r w:rsidR="00970E5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h</w:t>
      </w:r>
      <w:r w:rsidR="0017658F" w:rsidRPr="008930FF">
        <w:rPr>
          <w:rFonts w:ascii="Times New Roman" w:hAnsi="Times New Roman" w:cs="Times New Roman"/>
          <w:sz w:val="22"/>
          <w:szCs w:val="22"/>
          <w:lang w:val="sk-SK"/>
        </w:rPr>
        <w:t>odín</w:t>
      </w:r>
      <w:r w:rsidR="00970E5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14:paraId="0DC28523" w14:textId="77777777" w:rsidR="009A3FAD" w:rsidRPr="008930FF" w:rsidRDefault="009A3FAD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7A7A44FC" w14:textId="77777777" w:rsidR="00982BDA" w:rsidRPr="008930FF" w:rsidRDefault="00982BDA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u w:val="single"/>
          <w:lang w:val="sk-SK"/>
        </w:rPr>
        <w:t>Biotransformácia a eliminácia</w:t>
      </w:r>
    </w:p>
    <w:p w14:paraId="3FB57D5F" w14:textId="63EA28C3" w:rsidR="00982BDA" w:rsidRPr="008930FF" w:rsidRDefault="00982BDA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Po podaní </w:t>
      </w:r>
      <w:proofErr w:type="spellStart"/>
      <w:r w:rsidR="006E3546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="002710B8" w:rsidRPr="008930FF">
        <w:rPr>
          <w:rFonts w:ascii="Times New Roman" w:hAnsi="Times New Roman" w:cs="Times New Roman"/>
          <w:sz w:val="22"/>
          <w:szCs w:val="22"/>
          <w:lang w:val="sk-SK"/>
        </w:rPr>
        <w:t>-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trometamolu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sa v moči nachádza len S-(+)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enantiomér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čo dokazuje, že u ľudí nedochádza ku konverzii na R-(-)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enantiomér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14:paraId="309768E0" w14:textId="77777777" w:rsidR="0043264C" w:rsidRPr="008930FF" w:rsidRDefault="006E3546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proofErr w:type="spellEnd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sa eliminuje hlavne </w:t>
      </w:r>
      <w:proofErr w:type="spellStart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glukuronidovou</w:t>
      </w:r>
      <w:proofErr w:type="spellEnd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konjugáciou, následne sa vylučuje </w:t>
      </w:r>
      <w:r w:rsidR="00837F3B" w:rsidRPr="008930FF">
        <w:rPr>
          <w:rFonts w:ascii="Times New Roman" w:hAnsi="Times New Roman" w:cs="Times New Roman"/>
          <w:sz w:val="22"/>
          <w:szCs w:val="22"/>
          <w:lang w:val="sk-SK"/>
        </w:rPr>
        <w:t>obličkami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14:paraId="3B9F182A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616EE556" w14:textId="77777777" w:rsidR="009A3FAD" w:rsidRPr="008930FF" w:rsidRDefault="009A3FAD" w:rsidP="00792238">
      <w:pPr>
        <w:pStyle w:val="Vchoz"/>
        <w:ind w:left="0" w:firstLine="0"/>
        <w:jc w:val="left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i/>
          <w:sz w:val="22"/>
          <w:szCs w:val="22"/>
          <w:lang w:val="sk-SK"/>
        </w:rPr>
        <w:t>Starší ľudia</w:t>
      </w:r>
    </w:p>
    <w:p w14:paraId="76610B86" w14:textId="77777777" w:rsidR="00970E57" w:rsidRPr="008930FF" w:rsidRDefault="00970E57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U zdravých starších </w:t>
      </w:r>
      <w:r w:rsidR="00617FE2" w:rsidRPr="008930FF">
        <w:rPr>
          <w:rFonts w:ascii="Times New Roman" w:hAnsi="Times New Roman" w:cs="Times New Roman"/>
          <w:sz w:val="22"/>
          <w:szCs w:val="22"/>
          <w:lang w:val="sk-SK"/>
        </w:rPr>
        <w:t>dobrovoľníkov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(65 rokov a starší) bola expozícia významne vyššia než u mladých dobrovoľníkov po jedno</w:t>
      </w:r>
      <w:r w:rsidR="00C82864" w:rsidRPr="008930FF">
        <w:rPr>
          <w:rFonts w:ascii="Times New Roman" w:hAnsi="Times New Roman" w:cs="Times New Roman"/>
          <w:sz w:val="22"/>
          <w:szCs w:val="22"/>
          <w:lang w:val="sk-SK"/>
        </w:rPr>
        <w:t>razových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 opakovaných perorálnych dávkach (do 55 %), zatiaľ čo žiaden štat</w:t>
      </w:r>
      <w:r w:rsidR="0057287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isticky významný rozdiel nebol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v </w:t>
      </w:r>
      <w:r w:rsidR="008E418A" w:rsidRPr="008930FF">
        <w:rPr>
          <w:rFonts w:ascii="Times New Roman" w:hAnsi="Times New Roman" w:cs="Times New Roman"/>
          <w:sz w:val="22"/>
          <w:szCs w:val="22"/>
          <w:lang w:val="sk-SK"/>
        </w:rPr>
        <w:t>maximálnych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koncentráciách a v dobe dosiahnutia </w:t>
      </w:r>
      <w:r w:rsidR="008E418A" w:rsidRPr="008930FF">
        <w:rPr>
          <w:rFonts w:ascii="Times New Roman" w:hAnsi="Times New Roman" w:cs="Times New Roman"/>
          <w:sz w:val="22"/>
          <w:szCs w:val="22"/>
          <w:lang w:val="sk-SK"/>
        </w:rPr>
        <w:t>maximálnej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koncentrácie. Stredný eliminačný polčas bol predĺžený po jedno</w:t>
      </w:r>
      <w:r w:rsidR="00EE0316" w:rsidRPr="008930FF">
        <w:rPr>
          <w:rFonts w:ascii="Times New Roman" w:hAnsi="Times New Roman" w:cs="Times New Roman"/>
          <w:sz w:val="22"/>
          <w:szCs w:val="22"/>
          <w:lang w:val="sk-SK"/>
        </w:rPr>
        <w:t>razovej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 opakovaných dávkach (do 48 %) a znížil sa celkový klírens.</w:t>
      </w:r>
    </w:p>
    <w:p w14:paraId="04041A7B" w14:textId="77777777" w:rsidR="00970E57" w:rsidRPr="008930FF" w:rsidRDefault="00970E57" w:rsidP="00792238">
      <w:pPr>
        <w:pStyle w:val="Vchoz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2C788B78" w14:textId="77777777" w:rsidR="0043264C" w:rsidRPr="008930FF" w:rsidRDefault="0043264C" w:rsidP="00792238">
      <w:pPr>
        <w:pStyle w:val="Vchoz"/>
        <w:ind w:hanging="567"/>
        <w:jc w:val="lef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5.3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Predklinické údaje o</w:t>
      </w:r>
      <w:r w:rsidR="00B0350A"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 </w:t>
      </w: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bezpečnosti</w:t>
      </w:r>
    </w:p>
    <w:p w14:paraId="278B4992" w14:textId="77777777" w:rsidR="00B0350A" w:rsidRPr="008930FF" w:rsidRDefault="00B0350A" w:rsidP="00792238">
      <w:pPr>
        <w:pStyle w:val="Vchoz"/>
        <w:ind w:hanging="567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25922AC0" w14:textId="3EAACE0B" w:rsidR="0043264C" w:rsidRPr="008930FF" w:rsidRDefault="0012556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redklinick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é údaje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8E418A" w:rsidRPr="008930FF">
        <w:rPr>
          <w:rFonts w:ascii="Times New Roman" w:hAnsi="Times New Roman" w:cs="Times New Roman"/>
          <w:sz w:val="22"/>
          <w:szCs w:val="22"/>
          <w:lang w:val="sk-SK"/>
        </w:rPr>
        <w:t>z</w:t>
      </w:r>
      <w:r w:rsidR="009D5CE7" w:rsidRPr="008930FF">
        <w:rPr>
          <w:rFonts w:ascii="Times New Roman" w:hAnsi="Times New Roman" w:cs="Times New Roman"/>
          <w:sz w:val="22"/>
          <w:szCs w:val="22"/>
          <w:lang w:val="sk-SK"/>
        </w:rPr>
        <w:t>ískane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na</w:t>
      </w:r>
      <w:r w:rsidR="008E418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64CC0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základe obvyklých farmakologických </w:t>
      </w:r>
      <w:r w:rsidR="00970E57" w:rsidRPr="008930FF">
        <w:rPr>
          <w:rFonts w:ascii="Times New Roman" w:hAnsi="Times New Roman" w:cs="Times New Roman"/>
          <w:sz w:val="22"/>
          <w:szCs w:val="22"/>
          <w:lang w:val="sk-SK"/>
        </w:rPr>
        <w:t>štúd</w:t>
      </w:r>
      <w:r w:rsidR="00C64CC0" w:rsidRPr="008930FF">
        <w:rPr>
          <w:rFonts w:ascii="Times New Roman" w:hAnsi="Times New Roman" w:cs="Times New Roman"/>
          <w:sz w:val="22"/>
          <w:szCs w:val="22"/>
          <w:lang w:val="sk-SK"/>
        </w:rPr>
        <w:t>ií</w:t>
      </w:r>
      <w:r w:rsidR="006B289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bezpečnosti,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toxicit</w:t>
      </w:r>
      <w:r w:rsidR="008E418A" w:rsidRPr="008930FF">
        <w:rPr>
          <w:rFonts w:ascii="Times New Roman" w:hAnsi="Times New Roman" w:cs="Times New Roman"/>
          <w:sz w:val="22"/>
          <w:szCs w:val="22"/>
          <w:lang w:val="sk-SK"/>
        </w:rPr>
        <w:t>y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po</w:t>
      </w:r>
      <w:r w:rsidR="008E418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opakovanom pod</w:t>
      </w:r>
      <w:r w:rsidR="009D5CE7" w:rsidRPr="008930FF">
        <w:rPr>
          <w:rFonts w:ascii="Times New Roman" w:hAnsi="Times New Roman" w:cs="Times New Roman"/>
          <w:sz w:val="22"/>
          <w:szCs w:val="22"/>
          <w:lang w:val="sk-SK"/>
        </w:rPr>
        <w:t>áva</w:t>
      </w:r>
      <w:r w:rsidR="008E418A" w:rsidRPr="008930FF">
        <w:rPr>
          <w:rFonts w:ascii="Times New Roman" w:hAnsi="Times New Roman" w:cs="Times New Roman"/>
          <w:sz w:val="22"/>
          <w:szCs w:val="22"/>
          <w:lang w:val="sk-SK"/>
        </w:rPr>
        <w:t>ní, genotoxicity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, reprodukčn</w:t>
      </w:r>
      <w:r w:rsidR="008E418A" w:rsidRPr="008930FF">
        <w:rPr>
          <w:rFonts w:ascii="Times New Roman" w:hAnsi="Times New Roman" w:cs="Times New Roman"/>
          <w:sz w:val="22"/>
          <w:szCs w:val="22"/>
          <w:lang w:val="sk-SK"/>
        </w:rPr>
        <w:t>ej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toxicit</w:t>
      </w:r>
      <w:r w:rsidR="008E418A" w:rsidRPr="008930FF">
        <w:rPr>
          <w:rFonts w:ascii="Times New Roman" w:hAnsi="Times New Roman" w:cs="Times New Roman"/>
          <w:sz w:val="22"/>
          <w:szCs w:val="22"/>
          <w:lang w:val="sk-SK"/>
        </w:rPr>
        <w:t>y a </w:t>
      </w:r>
      <w:proofErr w:type="spellStart"/>
      <w:r w:rsidR="008E418A" w:rsidRPr="008930FF">
        <w:rPr>
          <w:rFonts w:ascii="Times New Roman" w:hAnsi="Times New Roman" w:cs="Times New Roman"/>
          <w:sz w:val="22"/>
          <w:szCs w:val="22"/>
          <w:lang w:val="sk-SK"/>
        </w:rPr>
        <w:t>imunofarmakológie</w:t>
      </w:r>
      <w:proofErr w:type="spellEnd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ne</w:t>
      </w:r>
      <w:r w:rsidR="006F422A" w:rsidRPr="008930FF">
        <w:rPr>
          <w:rFonts w:ascii="Times New Roman" w:hAnsi="Times New Roman" w:cs="Times New Roman"/>
          <w:sz w:val="22"/>
          <w:szCs w:val="22"/>
          <w:lang w:val="sk-SK"/>
        </w:rPr>
        <w:t>o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d</w:t>
      </w:r>
      <w:r w:rsidR="00C64CC0" w:rsidRPr="008930FF">
        <w:rPr>
          <w:rFonts w:ascii="Times New Roman" w:hAnsi="Times New Roman" w:cs="Times New Roman"/>
          <w:sz w:val="22"/>
          <w:szCs w:val="22"/>
          <w:lang w:val="sk-SK"/>
        </w:rPr>
        <w:t>halili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žiadne </w:t>
      </w:r>
      <w:r w:rsidR="006B2897" w:rsidRPr="008930FF">
        <w:rPr>
          <w:rFonts w:ascii="Times New Roman" w:hAnsi="Times New Roman" w:cs="Times New Roman"/>
          <w:sz w:val="22"/>
          <w:szCs w:val="22"/>
          <w:lang w:val="sk-SK"/>
        </w:rPr>
        <w:t>osobitné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riziko </w:t>
      </w:r>
      <w:r w:rsidR="00C64CC0" w:rsidRPr="008930FF">
        <w:rPr>
          <w:rFonts w:ascii="Times New Roman" w:hAnsi="Times New Roman" w:cs="Times New Roman"/>
          <w:sz w:val="22"/>
          <w:szCs w:val="22"/>
          <w:lang w:val="sk-SK"/>
        </w:rPr>
        <w:t>pre</w:t>
      </w:r>
      <w:r w:rsidR="006B289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ľudí</w:t>
      </w:r>
      <w:r w:rsidR="0020690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okrem </w:t>
      </w:r>
      <w:r w:rsidR="00D2570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rizík </w:t>
      </w:r>
      <w:r w:rsidR="00206903" w:rsidRPr="008930FF">
        <w:rPr>
          <w:rFonts w:ascii="Times New Roman" w:hAnsi="Times New Roman" w:cs="Times New Roman"/>
          <w:sz w:val="22"/>
          <w:szCs w:val="22"/>
          <w:lang w:val="sk-SK"/>
        </w:rPr>
        <w:t>už spomenutých v iných častiach SPC</w:t>
      </w:r>
      <w:r w:rsidR="008E418A"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V štúdiách chronickej toxicity na myšiach a opiciach bola hodnota hladiny, pri ktorej sa nepozorujú žiadne </w:t>
      </w:r>
      <w:r w:rsidR="00617FE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nežiaduce 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účinky (No </w:t>
      </w:r>
      <w:proofErr w:type="spellStart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Observed</w:t>
      </w:r>
      <w:proofErr w:type="spellEnd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Adverse</w:t>
      </w:r>
      <w:proofErr w:type="spellEnd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>Affect</w:t>
      </w:r>
      <w:proofErr w:type="spellEnd"/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Level </w:t>
      </w:r>
      <w:r w:rsidR="00534B98" w:rsidRPr="008930FF">
        <w:rPr>
          <w:rFonts w:ascii="Times New Roman" w:hAnsi="Times New Roman" w:cs="Times New Roman"/>
          <w:sz w:val="22"/>
          <w:szCs w:val="22"/>
          <w:lang w:val="sk-SK"/>
        </w:rPr>
        <w:t>–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NOAEL) 3 mg/kg/deň. Hlavným nežiad</w:t>
      </w:r>
      <w:r w:rsidR="00B0350A" w:rsidRPr="008930FF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cim účinkom pozorovaným pri vysokých dávkach boli gastrointestinálne erózie a vredy, ktoré </w:t>
      </w:r>
      <w:r w:rsidR="00074E7F" w:rsidRPr="008930FF">
        <w:rPr>
          <w:rFonts w:ascii="Times New Roman" w:hAnsi="Times New Roman" w:cs="Times New Roman"/>
          <w:sz w:val="22"/>
          <w:szCs w:val="22"/>
          <w:lang w:val="sk-SK"/>
        </w:rPr>
        <w:t>vznikli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v závislosti </w:t>
      </w:r>
      <w:r w:rsidR="009D5CE7" w:rsidRPr="008930FF">
        <w:rPr>
          <w:rFonts w:ascii="Times New Roman" w:hAnsi="Times New Roman" w:cs="Times New Roman"/>
          <w:sz w:val="22"/>
          <w:szCs w:val="22"/>
          <w:lang w:val="sk-SK"/>
        </w:rPr>
        <w:t>od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dávk</w:t>
      </w:r>
      <w:r w:rsidR="009D5CE7" w:rsidRPr="008930FF">
        <w:rPr>
          <w:rFonts w:ascii="Times New Roman" w:hAnsi="Times New Roman" w:cs="Times New Roman"/>
          <w:sz w:val="22"/>
          <w:szCs w:val="22"/>
          <w:lang w:val="sk-SK"/>
        </w:rPr>
        <w:t>y</w:t>
      </w:r>
      <w:r w:rsidR="0043264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14:paraId="737ED0E1" w14:textId="77777777" w:rsidR="00970E57" w:rsidRPr="008930FF" w:rsidRDefault="00970E57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63202C5D" w14:textId="1EAB9C41" w:rsidR="00970E57" w:rsidRPr="008930FF" w:rsidRDefault="00074E7F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Tak ako p</w:t>
      </w:r>
      <w:r w:rsidR="00970E57" w:rsidRPr="008930FF">
        <w:rPr>
          <w:rFonts w:ascii="Times New Roman" w:hAnsi="Times New Roman" w:cs="Times New Roman"/>
          <w:sz w:val="22"/>
          <w:szCs w:val="22"/>
          <w:lang w:val="sk-SK"/>
        </w:rPr>
        <w:t>re cel</w:t>
      </w:r>
      <w:r w:rsidR="00206903" w:rsidRPr="008930FF">
        <w:rPr>
          <w:rFonts w:ascii="Times New Roman" w:hAnsi="Times New Roman" w:cs="Times New Roman"/>
          <w:sz w:val="22"/>
          <w:szCs w:val="22"/>
          <w:lang w:val="sk-SK"/>
        </w:rPr>
        <w:t>ú</w:t>
      </w:r>
      <w:r w:rsidR="00970E5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farmakologickú </w:t>
      </w:r>
      <w:r w:rsidR="00837F3B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skupinu </w:t>
      </w:r>
      <w:r w:rsidR="00970E5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NSAID,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aj pre </w:t>
      </w:r>
      <w:proofErr w:type="spellStart"/>
      <w:r w:rsidR="006E3546" w:rsidRPr="008930FF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-</w:t>
      </w:r>
      <w:r w:rsidR="00970E57" w:rsidRPr="008930FF">
        <w:rPr>
          <w:rFonts w:ascii="Times New Roman" w:hAnsi="Times New Roman" w:cs="Times New Roman"/>
          <w:sz w:val="22"/>
          <w:szCs w:val="22"/>
          <w:lang w:val="sk-SK"/>
        </w:rPr>
        <w:t>trometamol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vo všeobecnosti platí, že</w:t>
      </w:r>
      <w:r w:rsidR="00970E5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môže spôsobiť zmeny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v </w:t>
      </w:r>
      <w:r w:rsidR="00970E57" w:rsidRPr="008930FF">
        <w:rPr>
          <w:rFonts w:ascii="Times New Roman" w:hAnsi="Times New Roman" w:cs="Times New Roman"/>
          <w:sz w:val="22"/>
          <w:szCs w:val="22"/>
          <w:lang w:val="sk-SK"/>
        </w:rPr>
        <w:t>embryo-fetáln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om</w:t>
      </w:r>
      <w:r w:rsidR="00970E5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prežit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="00970E5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na</w:t>
      </w:r>
      <w:r w:rsidR="00970E57" w:rsidRPr="008930FF">
        <w:rPr>
          <w:rFonts w:ascii="Times New Roman" w:hAnsi="Times New Roman" w:cs="Times New Roman"/>
          <w:sz w:val="22"/>
          <w:szCs w:val="22"/>
          <w:lang w:val="sk-SK"/>
        </w:rPr>
        <w:t> zviera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cích modeloch</w:t>
      </w:r>
      <w:r w:rsidR="00970E5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či už nepriamo prostredníctvom gastrointestinálnej toxicity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970E5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brezivých</w:t>
      </w:r>
      <w:r w:rsidR="00F87A3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sam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íc</w:t>
      </w:r>
      <w:r w:rsidR="00970E5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tak aj priamo </w:t>
      </w:r>
      <w:r w:rsidR="001C7CC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účinkom </w:t>
      </w:r>
      <w:r w:rsidR="00970E57" w:rsidRPr="008930FF">
        <w:rPr>
          <w:rFonts w:ascii="Times New Roman" w:hAnsi="Times New Roman" w:cs="Times New Roman"/>
          <w:sz w:val="22"/>
          <w:szCs w:val="22"/>
          <w:lang w:val="sk-SK"/>
        </w:rPr>
        <w:t>na výv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in</w:t>
      </w:r>
      <w:r w:rsidR="00970E5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plodu. </w:t>
      </w:r>
    </w:p>
    <w:p w14:paraId="6452E9E3" w14:textId="77777777" w:rsidR="0043264C" w:rsidRPr="008930FF" w:rsidRDefault="0043264C" w:rsidP="00792238">
      <w:pPr>
        <w:pStyle w:val="Vchoz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5BE39E34" w14:textId="77777777" w:rsidR="0043264C" w:rsidRPr="008930FF" w:rsidRDefault="0043264C" w:rsidP="00792238">
      <w:pPr>
        <w:pStyle w:val="Vchoz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46390A94" w14:textId="77777777" w:rsidR="0043264C" w:rsidRPr="008930FF" w:rsidRDefault="0043264C" w:rsidP="00792238">
      <w:pPr>
        <w:pStyle w:val="Vchoz"/>
        <w:numPr>
          <w:ilvl w:val="0"/>
          <w:numId w:val="15"/>
        </w:numPr>
        <w:tabs>
          <w:tab w:val="clear" w:pos="720"/>
          <w:tab w:val="left" w:pos="0"/>
        </w:tabs>
        <w:ind w:left="0" w:firstLine="0"/>
        <w:jc w:val="left"/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  <w:t>farmaceutické informácie</w:t>
      </w:r>
    </w:p>
    <w:p w14:paraId="1557B9DE" w14:textId="77777777" w:rsidR="008E3182" w:rsidRPr="008930FF" w:rsidRDefault="008E3182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618234EA" w14:textId="77777777" w:rsidR="0043264C" w:rsidRPr="008930FF" w:rsidRDefault="0043264C" w:rsidP="00792238">
      <w:pPr>
        <w:pStyle w:val="Vchoz"/>
        <w:ind w:hanging="567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6.1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Zoznam pomocných látok</w:t>
      </w:r>
    </w:p>
    <w:p w14:paraId="5B34E8D8" w14:textId="77777777" w:rsidR="0043264C" w:rsidRPr="008930FF" w:rsidRDefault="0043264C" w:rsidP="00792238">
      <w:pPr>
        <w:pStyle w:val="Vchoz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17D59FA1" w14:textId="77777777" w:rsidR="002C3149" w:rsidRPr="008930FF" w:rsidRDefault="002C3149" w:rsidP="002C3149">
      <w:pPr>
        <w:suppressAutoHyphens/>
        <w:autoSpaceDE/>
        <w:autoSpaceDN/>
        <w:adjustRightInd/>
        <w:rPr>
          <w:sz w:val="22"/>
          <w:szCs w:val="22"/>
          <w:lang w:eastAsia="zh-CN"/>
        </w:rPr>
      </w:pPr>
      <w:r w:rsidRPr="008930FF">
        <w:rPr>
          <w:sz w:val="22"/>
          <w:szCs w:val="22"/>
          <w:lang w:eastAsia="zh-CN"/>
        </w:rPr>
        <w:t>etanol 96 %</w:t>
      </w:r>
    </w:p>
    <w:p w14:paraId="7959B24F" w14:textId="77777777" w:rsidR="002C3149" w:rsidRPr="008930FF" w:rsidRDefault="002C3149" w:rsidP="002C3149">
      <w:pPr>
        <w:suppressAutoHyphens/>
        <w:autoSpaceDE/>
        <w:autoSpaceDN/>
        <w:adjustRightInd/>
        <w:rPr>
          <w:sz w:val="22"/>
          <w:szCs w:val="22"/>
          <w:lang w:eastAsia="zh-CN"/>
        </w:rPr>
      </w:pPr>
      <w:r w:rsidRPr="008930FF">
        <w:rPr>
          <w:sz w:val="22"/>
          <w:szCs w:val="22"/>
          <w:lang w:eastAsia="zh-CN"/>
        </w:rPr>
        <w:t>chlorid sodný</w:t>
      </w:r>
    </w:p>
    <w:p w14:paraId="011A8434" w14:textId="77777777" w:rsidR="002C3149" w:rsidRPr="008930FF" w:rsidRDefault="002C3149" w:rsidP="002C3149">
      <w:pPr>
        <w:suppressAutoHyphens/>
        <w:autoSpaceDE/>
        <w:autoSpaceDN/>
        <w:adjustRightInd/>
        <w:rPr>
          <w:sz w:val="22"/>
          <w:szCs w:val="22"/>
        </w:rPr>
      </w:pPr>
      <w:proofErr w:type="spellStart"/>
      <w:r w:rsidRPr="008930FF">
        <w:rPr>
          <w:sz w:val="22"/>
          <w:szCs w:val="22"/>
          <w:lang w:eastAsia="zh-CN"/>
        </w:rPr>
        <w:t>disiričitan</w:t>
      </w:r>
      <w:proofErr w:type="spellEnd"/>
      <w:r w:rsidRPr="008930FF">
        <w:rPr>
          <w:sz w:val="22"/>
          <w:szCs w:val="22"/>
          <w:lang w:eastAsia="zh-CN"/>
        </w:rPr>
        <w:t xml:space="preserve"> sodný</w:t>
      </w:r>
      <w:r w:rsidRPr="008930FF">
        <w:rPr>
          <w:sz w:val="22"/>
          <w:szCs w:val="22"/>
        </w:rPr>
        <w:t xml:space="preserve"> E</w:t>
      </w:r>
      <w:r w:rsidR="006A7E93" w:rsidRPr="008930FF">
        <w:rPr>
          <w:sz w:val="22"/>
          <w:szCs w:val="22"/>
        </w:rPr>
        <w:t xml:space="preserve"> </w:t>
      </w:r>
      <w:r w:rsidRPr="008930FF">
        <w:rPr>
          <w:sz w:val="22"/>
          <w:szCs w:val="22"/>
        </w:rPr>
        <w:t>223</w:t>
      </w:r>
    </w:p>
    <w:p w14:paraId="714E69F9" w14:textId="77777777" w:rsidR="002C3149" w:rsidRPr="008930FF" w:rsidRDefault="002C3149" w:rsidP="002C3149">
      <w:pPr>
        <w:widowControl w:val="0"/>
        <w:rPr>
          <w:sz w:val="22"/>
          <w:szCs w:val="22"/>
        </w:rPr>
      </w:pPr>
      <w:r w:rsidRPr="008930FF">
        <w:rPr>
          <w:sz w:val="22"/>
          <w:szCs w:val="22"/>
        </w:rPr>
        <w:t>hydroxid sodný (na úpravu pH)</w:t>
      </w:r>
    </w:p>
    <w:p w14:paraId="6844604E" w14:textId="77777777" w:rsidR="002C3149" w:rsidRPr="008930FF" w:rsidRDefault="00F54BBB" w:rsidP="002C3149">
      <w:pPr>
        <w:suppressAutoHyphens/>
        <w:autoSpaceDE/>
        <w:autoSpaceDN/>
        <w:adjustRightInd/>
        <w:rPr>
          <w:sz w:val="22"/>
          <w:szCs w:val="22"/>
          <w:lang w:eastAsia="zh-CN"/>
        </w:rPr>
      </w:pPr>
      <w:r w:rsidRPr="008930FF">
        <w:rPr>
          <w:sz w:val="22"/>
          <w:szCs w:val="22"/>
        </w:rPr>
        <w:t>voda na injekcie</w:t>
      </w:r>
    </w:p>
    <w:p w14:paraId="222F7677" w14:textId="77777777" w:rsidR="002C3149" w:rsidRPr="008930FF" w:rsidRDefault="002C3149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11E07CD0" w14:textId="77777777" w:rsidR="0043264C" w:rsidRPr="008930FF" w:rsidRDefault="0043264C" w:rsidP="00792238">
      <w:pPr>
        <w:pStyle w:val="Vchoz"/>
        <w:ind w:hanging="567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6.2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Inkompatibility</w:t>
      </w:r>
    </w:p>
    <w:p w14:paraId="6C20F946" w14:textId="77777777" w:rsidR="0043264C" w:rsidRPr="008930FF" w:rsidRDefault="0043264C" w:rsidP="00792238">
      <w:pPr>
        <w:pStyle w:val="Vchoz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4807D7BC" w14:textId="652F0602" w:rsidR="0043264C" w:rsidRPr="008930FF" w:rsidRDefault="006F422A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DEXKETOPROFEN ADAMED </w:t>
      </w:r>
      <w:r w:rsidR="00BC06E7" w:rsidRPr="008930FF">
        <w:rPr>
          <w:rFonts w:ascii="Times New Roman" w:hAnsi="Times New Roman" w:cs="Times New Roman"/>
          <w:sz w:val="22"/>
          <w:szCs w:val="22"/>
          <w:lang w:val="sk-SK"/>
        </w:rPr>
        <w:t>injekčný/infúzny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roztok</w:t>
      </w:r>
      <w:r w:rsidRPr="008930FF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="004778A2" w:rsidRPr="008930FF">
        <w:rPr>
          <w:rFonts w:ascii="Times New Roman" w:hAnsi="Times New Roman" w:cs="Times New Roman"/>
          <w:sz w:val="22"/>
          <w:szCs w:val="22"/>
          <w:lang w:val="sk-SK"/>
        </w:rPr>
        <w:t>sa nesmie miešať v malom objeme (napr. v</w:t>
      </w:r>
      <w:r w:rsidR="00D72AC1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 injekčnej </w:t>
      </w:r>
      <w:r w:rsidR="004778A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striekačke) s roztokmi </w:t>
      </w:r>
      <w:proofErr w:type="spellStart"/>
      <w:r w:rsidR="004778A2" w:rsidRPr="008930FF">
        <w:rPr>
          <w:rFonts w:ascii="Times New Roman" w:hAnsi="Times New Roman" w:cs="Times New Roman"/>
          <w:sz w:val="22"/>
          <w:szCs w:val="22"/>
          <w:lang w:val="sk-SK"/>
        </w:rPr>
        <w:t>dopamínu</w:t>
      </w:r>
      <w:proofErr w:type="spellEnd"/>
      <w:r w:rsidR="004778A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4778A2" w:rsidRPr="008930FF">
        <w:rPr>
          <w:rFonts w:ascii="Times New Roman" w:hAnsi="Times New Roman" w:cs="Times New Roman"/>
          <w:sz w:val="22"/>
          <w:szCs w:val="22"/>
          <w:lang w:val="sk-SK"/>
        </w:rPr>
        <w:t>prometazínu</w:t>
      </w:r>
      <w:proofErr w:type="spellEnd"/>
      <w:r w:rsidR="004778A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4778A2" w:rsidRPr="008930FF">
        <w:rPr>
          <w:rFonts w:ascii="Times New Roman" w:hAnsi="Times New Roman" w:cs="Times New Roman"/>
          <w:sz w:val="22"/>
          <w:szCs w:val="22"/>
          <w:lang w:val="sk-SK"/>
        </w:rPr>
        <w:t>pentaz</w:t>
      </w:r>
      <w:r w:rsidR="00195215" w:rsidRPr="008930FF">
        <w:rPr>
          <w:rFonts w:ascii="Times New Roman" w:hAnsi="Times New Roman" w:cs="Times New Roman"/>
          <w:sz w:val="22"/>
          <w:szCs w:val="22"/>
          <w:lang w:val="sk-SK"/>
        </w:rPr>
        <w:t>oc</w:t>
      </w:r>
      <w:r w:rsidR="00B0350A" w:rsidRPr="008930FF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="00195215" w:rsidRPr="008930FF">
        <w:rPr>
          <w:rFonts w:ascii="Times New Roman" w:hAnsi="Times New Roman" w:cs="Times New Roman"/>
          <w:sz w:val="22"/>
          <w:szCs w:val="22"/>
          <w:lang w:val="sk-SK"/>
        </w:rPr>
        <w:t>nu</w:t>
      </w:r>
      <w:proofErr w:type="spellEnd"/>
      <w:r w:rsidR="0019521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195215" w:rsidRPr="008930FF">
        <w:rPr>
          <w:rFonts w:ascii="Times New Roman" w:hAnsi="Times New Roman" w:cs="Times New Roman"/>
          <w:sz w:val="22"/>
          <w:szCs w:val="22"/>
          <w:lang w:val="sk-SK"/>
        </w:rPr>
        <w:t>petid</w:t>
      </w:r>
      <w:r w:rsidR="00B0350A" w:rsidRPr="008930FF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="00195215" w:rsidRPr="008930FF">
        <w:rPr>
          <w:rFonts w:ascii="Times New Roman" w:hAnsi="Times New Roman" w:cs="Times New Roman"/>
          <w:sz w:val="22"/>
          <w:szCs w:val="22"/>
          <w:lang w:val="sk-SK"/>
        </w:rPr>
        <w:t>nu</w:t>
      </w:r>
      <w:proofErr w:type="spellEnd"/>
      <w:r w:rsidR="0019521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proofErr w:type="spellStart"/>
      <w:r w:rsidR="00195215" w:rsidRPr="008930FF">
        <w:rPr>
          <w:rFonts w:ascii="Times New Roman" w:hAnsi="Times New Roman" w:cs="Times New Roman"/>
          <w:sz w:val="22"/>
          <w:szCs w:val="22"/>
          <w:lang w:val="sk-SK"/>
        </w:rPr>
        <w:t>hydroxyz</w:t>
      </w:r>
      <w:r w:rsidR="004778A2" w:rsidRPr="008930FF">
        <w:rPr>
          <w:rFonts w:ascii="Times New Roman" w:hAnsi="Times New Roman" w:cs="Times New Roman"/>
          <w:sz w:val="22"/>
          <w:szCs w:val="22"/>
          <w:lang w:val="sk-SK"/>
        </w:rPr>
        <w:t>ínu</w:t>
      </w:r>
      <w:proofErr w:type="spellEnd"/>
      <w:r w:rsidR="004778A2" w:rsidRPr="008930FF">
        <w:rPr>
          <w:rFonts w:ascii="Times New Roman" w:hAnsi="Times New Roman" w:cs="Times New Roman"/>
          <w:sz w:val="22"/>
          <w:szCs w:val="22"/>
          <w:lang w:val="sk-SK"/>
        </w:rPr>
        <w:t>, pretože to spôsob</w:t>
      </w:r>
      <w:r w:rsidR="000F1179" w:rsidRPr="008930FF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="004778A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71DF8" w:rsidRPr="008930FF">
        <w:rPr>
          <w:rFonts w:ascii="Times New Roman" w:hAnsi="Times New Roman" w:cs="Times New Roman"/>
          <w:sz w:val="22"/>
          <w:szCs w:val="22"/>
          <w:lang w:val="sk-SK"/>
        </w:rPr>
        <w:t>vyzráža</w:t>
      </w:r>
      <w:r w:rsidR="000F1179" w:rsidRPr="008930FF">
        <w:rPr>
          <w:rFonts w:ascii="Times New Roman" w:hAnsi="Times New Roman" w:cs="Times New Roman"/>
          <w:sz w:val="22"/>
          <w:szCs w:val="22"/>
          <w:lang w:val="sk-SK"/>
        </w:rPr>
        <w:t>nie</w:t>
      </w:r>
      <w:r w:rsidR="00FB52F1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778A2" w:rsidRPr="008930FF">
        <w:rPr>
          <w:rFonts w:ascii="Times New Roman" w:hAnsi="Times New Roman" w:cs="Times New Roman"/>
          <w:sz w:val="22"/>
          <w:szCs w:val="22"/>
          <w:lang w:val="sk-SK"/>
        </w:rPr>
        <w:t>roztoku.</w:t>
      </w:r>
    </w:p>
    <w:p w14:paraId="6FEC10F3" w14:textId="5806656C" w:rsidR="004778A2" w:rsidRPr="008930FF" w:rsidRDefault="004778A2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Zriedené roztoky </w:t>
      </w:r>
      <w:r w:rsidR="00D72AC1" w:rsidRPr="008930FF">
        <w:rPr>
          <w:rFonts w:ascii="Times New Roman" w:hAnsi="Times New Roman" w:cs="Times New Roman"/>
          <w:sz w:val="22"/>
          <w:szCs w:val="22"/>
          <w:lang w:val="sk-SK"/>
        </w:rPr>
        <w:t>na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infúziu </w:t>
      </w:r>
      <w:r w:rsidR="00241110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pripravené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podľa </w:t>
      </w:r>
      <w:r w:rsidR="001A6CC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časti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6.6 sa nesmú miešať s 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prometazínom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="000F1179" w:rsidRPr="008930FF">
        <w:rPr>
          <w:rFonts w:ascii="Times New Roman" w:hAnsi="Times New Roman" w:cs="Times New Roman"/>
          <w:sz w:val="22"/>
          <w:szCs w:val="22"/>
          <w:lang w:val="sk-SK"/>
        </w:rPr>
        <w:t>lebo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pentazoc</w:t>
      </w:r>
      <w:r w:rsidR="001A6CC3" w:rsidRPr="008930FF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nom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4E532952" w14:textId="77777777" w:rsidR="00656012" w:rsidRPr="008930FF" w:rsidRDefault="004778A2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Tento liek sa nesmie </w:t>
      </w:r>
      <w:r w:rsidR="000F1179" w:rsidRPr="008930FF">
        <w:rPr>
          <w:rFonts w:ascii="Times New Roman" w:hAnsi="Times New Roman" w:cs="Times New Roman"/>
          <w:sz w:val="22"/>
          <w:szCs w:val="22"/>
          <w:lang w:val="sk-SK"/>
        </w:rPr>
        <w:t>miešať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 inými liekmi okrem tých, ktoré sú uvedené v </w:t>
      </w:r>
      <w:r w:rsidR="001A6CC3" w:rsidRPr="008930FF">
        <w:rPr>
          <w:rFonts w:ascii="Times New Roman" w:hAnsi="Times New Roman" w:cs="Times New Roman"/>
          <w:sz w:val="22"/>
          <w:szCs w:val="22"/>
          <w:lang w:val="sk-SK"/>
        </w:rPr>
        <w:t>časti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6.6.</w:t>
      </w:r>
    </w:p>
    <w:p w14:paraId="6765101E" w14:textId="77777777" w:rsidR="00FD477B" w:rsidRPr="008930FF" w:rsidRDefault="00FD477B" w:rsidP="00792238">
      <w:pPr>
        <w:pStyle w:val="Vchoz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2B284D3B" w14:textId="77777777" w:rsidR="0043264C" w:rsidRPr="008930FF" w:rsidRDefault="0043264C" w:rsidP="00792238">
      <w:pPr>
        <w:pStyle w:val="Vchoz"/>
        <w:ind w:hanging="567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6.3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Čas použiteľnosti</w:t>
      </w:r>
    </w:p>
    <w:p w14:paraId="44278D5A" w14:textId="77777777" w:rsidR="0043264C" w:rsidRPr="008930FF" w:rsidRDefault="0043264C" w:rsidP="00792238">
      <w:pPr>
        <w:pStyle w:val="Vchoz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3C668306" w14:textId="77777777" w:rsidR="008E0EEB" w:rsidRPr="008930FF" w:rsidRDefault="002C3149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Čas použiteľnosti neotvorenej ampulky: 2</w:t>
      </w:r>
      <w:r w:rsidR="001A6CC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roky</w:t>
      </w:r>
    </w:p>
    <w:p w14:paraId="4E9B50B3" w14:textId="3DF08BA5" w:rsidR="002C3149" w:rsidRPr="008930FF" w:rsidRDefault="002C3149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Čas použiteľnosti po </w:t>
      </w:r>
      <w:r w:rsidR="00D72AC1" w:rsidRPr="008930FF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riedení:</w:t>
      </w:r>
      <w:r w:rsidR="006F42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Chemi</w:t>
      </w:r>
      <w:r w:rsidR="00065EA0" w:rsidRPr="008930FF">
        <w:rPr>
          <w:rFonts w:ascii="Times New Roman" w:hAnsi="Times New Roman" w:cs="Times New Roman"/>
          <w:sz w:val="22"/>
          <w:szCs w:val="22"/>
          <w:lang w:val="sk-SK"/>
        </w:rPr>
        <w:t>c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k</w:t>
      </w:r>
      <w:r w:rsidR="00D72AC1" w:rsidRPr="008930FF">
        <w:rPr>
          <w:rFonts w:ascii="Times New Roman" w:hAnsi="Times New Roman" w:cs="Times New Roman"/>
          <w:sz w:val="22"/>
          <w:szCs w:val="22"/>
          <w:lang w:val="sk-SK"/>
        </w:rPr>
        <w:t>á</w:t>
      </w:r>
      <w:r w:rsidR="00F86A0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fyzikáln</w:t>
      </w:r>
      <w:r w:rsidR="00D72AC1" w:rsidRPr="008930FF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stabilit</w:t>
      </w:r>
      <w:r w:rsidR="00D72AC1" w:rsidRPr="008930FF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po zriedení </w:t>
      </w:r>
      <w:r w:rsidR="006F42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DEXKETOPROFENU ADAMED </w:t>
      </w:r>
      <w:r w:rsidR="00BC06E7" w:rsidRPr="008930FF">
        <w:rPr>
          <w:rFonts w:ascii="Times New Roman" w:hAnsi="Times New Roman" w:cs="Times New Roman"/>
          <w:sz w:val="22"/>
          <w:szCs w:val="22"/>
          <w:lang w:val="sk-SK"/>
        </w:rPr>
        <w:t>injekčn</w:t>
      </w:r>
      <w:r w:rsidR="008B5219" w:rsidRPr="008930FF">
        <w:rPr>
          <w:rFonts w:ascii="Times New Roman" w:hAnsi="Times New Roman" w:cs="Times New Roman"/>
          <w:sz w:val="22"/>
          <w:szCs w:val="22"/>
          <w:lang w:val="sk-SK"/>
        </w:rPr>
        <w:t>ého</w:t>
      </w:r>
      <w:r w:rsidR="00BC06E7" w:rsidRPr="008930FF">
        <w:rPr>
          <w:rFonts w:ascii="Times New Roman" w:hAnsi="Times New Roman" w:cs="Times New Roman"/>
          <w:sz w:val="22"/>
          <w:szCs w:val="22"/>
          <w:lang w:val="sk-SK"/>
        </w:rPr>
        <w:t>/infúzn</w:t>
      </w:r>
      <w:r w:rsidR="008B5219" w:rsidRPr="008930FF">
        <w:rPr>
          <w:rFonts w:ascii="Times New Roman" w:hAnsi="Times New Roman" w:cs="Times New Roman"/>
          <w:sz w:val="22"/>
          <w:szCs w:val="22"/>
          <w:lang w:val="sk-SK"/>
        </w:rPr>
        <w:t>eho</w:t>
      </w:r>
      <w:r w:rsidR="006F42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roztoku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</w:t>
      </w:r>
      <w:r w:rsidR="008B5219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5</w:t>
      </w:r>
      <w:r w:rsidR="008B521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% </w:t>
      </w:r>
      <w:r w:rsidR="00D72AC1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roztokom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glukóz</w:t>
      </w:r>
      <w:r w:rsidR="00D72AC1" w:rsidRPr="008930FF">
        <w:rPr>
          <w:rFonts w:ascii="Times New Roman" w:hAnsi="Times New Roman" w:cs="Times New Roman"/>
          <w:sz w:val="22"/>
          <w:szCs w:val="22"/>
          <w:lang w:val="sk-SK"/>
        </w:rPr>
        <w:t>y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Ringerovým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roztokom pri 2 °C a</w:t>
      </w:r>
      <w:r w:rsidR="00065EA0" w:rsidRPr="008930FF">
        <w:rPr>
          <w:rFonts w:ascii="Times New Roman" w:hAnsi="Times New Roman" w:cs="Times New Roman"/>
          <w:sz w:val="22"/>
          <w:szCs w:val="22"/>
          <w:lang w:val="sk-SK"/>
        </w:rPr>
        <w:t>ž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 8 °C</w:t>
      </w:r>
      <w:r w:rsidR="00065EA0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preukázali stabilitu po dobu 24 hodín.</w:t>
      </w:r>
    </w:p>
    <w:p w14:paraId="3773BF6A" w14:textId="138E7BCE" w:rsidR="004778A2" w:rsidRPr="008930FF" w:rsidRDefault="000A00B3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Preu</w:t>
      </w:r>
      <w:r w:rsidR="004778A2" w:rsidRPr="008930FF">
        <w:rPr>
          <w:rFonts w:ascii="Times New Roman" w:hAnsi="Times New Roman" w:cs="Times New Roman"/>
          <w:sz w:val="22"/>
          <w:szCs w:val="22"/>
          <w:lang w:val="sk-SK"/>
        </w:rPr>
        <w:t>kázalo sa, že po zriedení podľa pokynov v </w:t>
      </w:r>
      <w:r w:rsidR="001A6CC3" w:rsidRPr="008930FF">
        <w:rPr>
          <w:rFonts w:ascii="Times New Roman" w:hAnsi="Times New Roman" w:cs="Times New Roman"/>
          <w:sz w:val="22"/>
          <w:szCs w:val="22"/>
          <w:lang w:val="sk-SK"/>
        </w:rPr>
        <w:t>časti</w:t>
      </w:r>
      <w:r w:rsidR="004778A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6.6 je zriedený roztok</w:t>
      </w:r>
      <w:r w:rsidR="00643E9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chemicky stabilný po dobu 24 hodín, </w:t>
      </w:r>
      <w:r w:rsidR="00D72AC1" w:rsidRPr="008930FF">
        <w:rPr>
          <w:rFonts w:ascii="Times New Roman" w:hAnsi="Times New Roman" w:cs="Times New Roman"/>
          <w:sz w:val="22"/>
          <w:szCs w:val="22"/>
          <w:lang w:val="sk-SK"/>
        </w:rPr>
        <w:t>ak</w:t>
      </w:r>
      <w:r w:rsidR="00643E9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je uchovávaný pri 2 °C až 8 ºC</w:t>
      </w:r>
      <w:r w:rsidR="006F422A"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6E831DEC" w14:textId="096B4041" w:rsidR="004778A2" w:rsidRPr="008930FF" w:rsidRDefault="00741496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Z</w:t>
      </w:r>
      <w:r w:rsidR="004778A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 mikrobiologického hľadiska </w:t>
      </w:r>
      <w:r w:rsidR="005306E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sa má </w:t>
      </w:r>
      <w:r w:rsidR="00277C6C" w:rsidRPr="008930FF">
        <w:rPr>
          <w:rFonts w:ascii="Times New Roman" w:hAnsi="Times New Roman" w:cs="Times New Roman"/>
          <w:sz w:val="22"/>
          <w:szCs w:val="22"/>
          <w:lang w:val="sk-SK"/>
        </w:rPr>
        <w:t>liek</w:t>
      </w:r>
      <w:r w:rsidR="004778A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2462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ihneď </w:t>
      </w:r>
      <w:r w:rsidR="004778A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použiť. Ak sa nepoužije </w:t>
      </w:r>
      <w:r w:rsidR="005306E5" w:rsidRPr="008930FF">
        <w:rPr>
          <w:rFonts w:ascii="Times New Roman" w:hAnsi="Times New Roman" w:cs="Times New Roman"/>
          <w:sz w:val="22"/>
          <w:szCs w:val="22"/>
          <w:lang w:val="sk-SK"/>
        </w:rPr>
        <w:t>i</w:t>
      </w:r>
      <w:r w:rsidR="004778A2" w:rsidRPr="008930FF">
        <w:rPr>
          <w:rFonts w:ascii="Times New Roman" w:hAnsi="Times New Roman" w:cs="Times New Roman"/>
          <w:sz w:val="22"/>
          <w:szCs w:val="22"/>
          <w:lang w:val="sk-SK"/>
        </w:rPr>
        <w:t>hneď,</w:t>
      </w:r>
      <w:r w:rsidR="00AE2D6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za</w:t>
      </w:r>
      <w:r w:rsidR="004778A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2462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čas </w:t>
      </w:r>
      <w:r w:rsidR="005306E5" w:rsidRPr="008930FF">
        <w:rPr>
          <w:rFonts w:ascii="Times New Roman" w:hAnsi="Times New Roman" w:cs="Times New Roman"/>
          <w:sz w:val="22"/>
          <w:szCs w:val="22"/>
          <w:lang w:val="sk-SK"/>
        </w:rPr>
        <w:t>uchovávani</w:t>
      </w:r>
      <w:r w:rsidR="00C24622" w:rsidRPr="008930FF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4778A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778A2" w:rsidRPr="008930FF">
        <w:rPr>
          <w:rFonts w:ascii="Times New Roman" w:hAnsi="Times New Roman" w:cs="Times New Roman"/>
          <w:sz w:val="22"/>
          <w:szCs w:val="22"/>
          <w:lang w:val="sk-SK"/>
        </w:rPr>
        <w:lastRenderedPageBreak/>
        <w:t>a podmienky pred použitím zodpoved</w:t>
      </w:r>
      <w:r w:rsidR="00AE2D62" w:rsidRPr="008930FF">
        <w:rPr>
          <w:rFonts w:ascii="Times New Roman" w:hAnsi="Times New Roman" w:cs="Times New Roman"/>
          <w:sz w:val="22"/>
          <w:szCs w:val="22"/>
          <w:lang w:val="sk-SK"/>
        </w:rPr>
        <w:t>á</w:t>
      </w:r>
      <w:r w:rsidR="005306E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778A2" w:rsidRPr="008930FF">
        <w:rPr>
          <w:rFonts w:ascii="Times New Roman" w:hAnsi="Times New Roman" w:cs="Times New Roman"/>
          <w:sz w:val="22"/>
          <w:szCs w:val="22"/>
          <w:lang w:val="sk-SK"/>
        </w:rPr>
        <w:t>používateľ a nema</w:t>
      </w:r>
      <w:r w:rsidR="00282A73" w:rsidRPr="008930FF">
        <w:rPr>
          <w:rFonts w:ascii="Times New Roman" w:hAnsi="Times New Roman" w:cs="Times New Roman"/>
          <w:sz w:val="22"/>
          <w:szCs w:val="22"/>
          <w:lang w:val="sk-SK"/>
        </w:rPr>
        <w:t>jú</w:t>
      </w:r>
      <w:r w:rsidR="004778A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E2D62" w:rsidRPr="008930FF">
        <w:rPr>
          <w:rFonts w:ascii="Times New Roman" w:hAnsi="Times New Roman" w:cs="Times New Roman"/>
          <w:sz w:val="22"/>
          <w:szCs w:val="22"/>
          <w:lang w:val="sk-SK"/>
        </w:rPr>
        <w:t>presiahnuť</w:t>
      </w:r>
      <w:r w:rsidR="005306E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778A2" w:rsidRPr="008930FF">
        <w:rPr>
          <w:rFonts w:ascii="Times New Roman" w:hAnsi="Times New Roman" w:cs="Times New Roman"/>
          <w:sz w:val="22"/>
          <w:szCs w:val="22"/>
          <w:lang w:val="sk-SK"/>
        </w:rPr>
        <w:t>24 hodín pri 2</w:t>
      </w:r>
      <w:r w:rsidR="001B7A5D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B7A5D" w:rsidRPr="008930FF"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>°</w:t>
      </w:r>
      <w:r w:rsidR="001B7A5D" w:rsidRPr="008930FF">
        <w:rPr>
          <w:rFonts w:ascii="Times New Roman" w:hAnsi="Times New Roman" w:cs="Times New Roman"/>
          <w:sz w:val="22"/>
          <w:szCs w:val="22"/>
          <w:lang w:val="sk-SK"/>
        </w:rPr>
        <w:t>C</w:t>
      </w:r>
      <w:r w:rsidR="00643E9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až</w:t>
      </w:r>
      <w:smartTag w:uri="urn:schemas-microsoft-com:office:smarttags" w:element="metricconverter">
        <w:smartTagPr>
          <w:attr w:name="ProductID" w:val="8 °C"/>
        </w:smartTagPr>
        <w:r w:rsidR="00643E97" w:rsidRPr="008930FF">
          <w:rPr>
            <w:rFonts w:ascii="Times New Roman" w:hAnsi="Times New Roman" w:cs="Times New Roman"/>
            <w:sz w:val="22"/>
            <w:szCs w:val="22"/>
            <w:lang w:val="sk-SK"/>
          </w:rPr>
          <w:t xml:space="preserve"> </w:t>
        </w:r>
        <w:r w:rsidR="004778A2" w:rsidRPr="008930FF">
          <w:rPr>
            <w:rFonts w:ascii="Times New Roman" w:hAnsi="Times New Roman" w:cs="Times New Roman"/>
            <w:sz w:val="22"/>
            <w:szCs w:val="22"/>
            <w:lang w:val="sk-SK"/>
          </w:rPr>
          <w:t xml:space="preserve">8 </w:t>
        </w:r>
        <w:r w:rsidR="00FB52F1" w:rsidRPr="008930FF">
          <w:rPr>
            <w:rFonts w:ascii="Times New Roman" w:hAnsi="Times New Roman" w:cs="Times New Roman"/>
            <w:sz w:val="22"/>
            <w:szCs w:val="22"/>
            <w:vertAlign w:val="superscript"/>
            <w:lang w:val="sk-SK"/>
          </w:rPr>
          <w:t>°</w:t>
        </w:r>
        <w:r w:rsidRPr="008930FF">
          <w:rPr>
            <w:rFonts w:ascii="Times New Roman" w:hAnsi="Times New Roman" w:cs="Times New Roman"/>
            <w:sz w:val="22"/>
            <w:szCs w:val="22"/>
            <w:lang w:val="sk-SK"/>
          </w:rPr>
          <w:t>C</w:t>
        </w:r>
      </w:smartTag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v prípade, </w:t>
      </w:r>
      <w:r w:rsidR="00AE2D62" w:rsidRPr="008930FF">
        <w:rPr>
          <w:rFonts w:ascii="Times New Roman" w:hAnsi="Times New Roman" w:cs="Times New Roman"/>
          <w:sz w:val="22"/>
          <w:szCs w:val="22"/>
          <w:lang w:val="sk-SK"/>
        </w:rPr>
        <w:t>ak</w:t>
      </w:r>
      <w:r w:rsidR="004778A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sa </w:t>
      </w:r>
      <w:r w:rsidR="00AE2D62" w:rsidRPr="008930FF">
        <w:rPr>
          <w:rFonts w:ascii="Times New Roman" w:hAnsi="Times New Roman" w:cs="Times New Roman"/>
          <w:sz w:val="22"/>
          <w:szCs w:val="22"/>
          <w:lang w:val="sk-SK"/>
        </w:rPr>
        <w:t>riedenie</w:t>
      </w:r>
      <w:r w:rsidR="004778A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uskutočnilo za kontrolovaných a </w:t>
      </w:r>
      <w:r w:rsidR="00AE2D6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validovaných </w:t>
      </w:r>
      <w:r w:rsidR="004778A2" w:rsidRPr="008930FF">
        <w:rPr>
          <w:rFonts w:ascii="Times New Roman" w:hAnsi="Times New Roman" w:cs="Times New Roman"/>
          <w:sz w:val="22"/>
          <w:szCs w:val="22"/>
          <w:lang w:val="sk-SK"/>
        </w:rPr>
        <w:t>aseptických podmienok.</w:t>
      </w:r>
    </w:p>
    <w:p w14:paraId="371FCD76" w14:textId="77777777" w:rsidR="00643E97" w:rsidRPr="008930FF" w:rsidRDefault="00643E97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32EE4C5C" w14:textId="77777777" w:rsidR="0043264C" w:rsidRPr="008930FF" w:rsidRDefault="005306E5" w:rsidP="00792238">
      <w:pPr>
        <w:pStyle w:val="Vchoz"/>
        <w:numPr>
          <w:ilvl w:val="1"/>
          <w:numId w:val="15"/>
        </w:numPr>
        <w:tabs>
          <w:tab w:val="clear" w:pos="930"/>
          <w:tab w:val="num" w:pos="567"/>
        </w:tabs>
        <w:ind w:left="0" w:firstLine="0"/>
        <w:jc w:val="lef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Špeciálne upozornenia na uchovávanie</w:t>
      </w:r>
    </w:p>
    <w:p w14:paraId="7AF4233C" w14:textId="77777777" w:rsidR="005306E5" w:rsidRPr="008930FF" w:rsidRDefault="005306E5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02F8AF62" w14:textId="77777777" w:rsidR="0043264C" w:rsidRPr="008930FF" w:rsidRDefault="004778A2" w:rsidP="00792238">
      <w:pPr>
        <w:pStyle w:val="Vchoz"/>
        <w:ind w:left="0" w:firstLine="0"/>
        <w:jc w:val="left"/>
        <w:outlineLvl w:val="0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Ampul</w:t>
      </w:r>
      <w:r w:rsidR="00CC1FBD" w:rsidRPr="008930FF">
        <w:rPr>
          <w:rFonts w:ascii="Times New Roman" w:hAnsi="Times New Roman" w:cs="Times New Roman"/>
          <w:sz w:val="22"/>
          <w:szCs w:val="22"/>
          <w:lang w:val="sk-SK"/>
        </w:rPr>
        <w:t>k</w:t>
      </w:r>
      <w:r w:rsidR="005C06BE" w:rsidRPr="008930FF">
        <w:rPr>
          <w:rFonts w:ascii="Times New Roman" w:hAnsi="Times New Roman" w:cs="Times New Roman"/>
          <w:sz w:val="22"/>
          <w:szCs w:val="22"/>
          <w:lang w:val="sk-SK"/>
        </w:rPr>
        <w:t>y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uchovávajte vo vonkajšom</w:t>
      </w:r>
      <w:r w:rsidR="001A6CC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obale</w:t>
      </w:r>
      <w:r w:rsidR="0042663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na ochranu</w:t>
      </w:r>
      <w:r w:rsidR="0074149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pred svetlom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277C6C" w:rsidRPr="008930FF">
        <w:rPr>
          <w:rFonts w:ascii="Times New Roman" w:hAnsi="Times New Roman" w:cs="Times New Roman"/>
          <w:lang w:val="sk-SK"/>
        </w:rPr>
        <w:t xml:space="preserve"> </w:t>
      </w:r>
      <w:r w:rsidR="00277C6C" w:rsidRPr="008930FF">
        <w:rPr>
          <w:rFonts w:ascii="Times New Roman" w:hAnsi="Times New Roman" w:cs="Times New Roman"/>
          <w:sz w:val="22"/>
          <w:szCs w:val="22"/>
          <w:lang w:val="sk-SK"/>
        </w:rPr>
        <w:t>Tento liek nevyžaduje žiadne zvláštne podmienky na uchovávanie.</w:t>
      </w:r>
    </w:p>
    <w:p w14:paraId="196CFC60" w14:textId="77777777" w:rsidR="00BA0160" w:rsidRPr="008930FF" w:rsidRDefault="00BA0160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051AA415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6.5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ab/>
      </w:r>
      <w:r w:rsidR="005306E5"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Druh obalu a obsah</w:t>
      </w: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balenia</w:t>
      </w:r>
    </w:p>
    <w:p w14:paraId="6A155C65" w14:textId="77777777" w:rsidR="00844090" w:rsidRPr="008930FF" w:rsidRDefault="00844090" w:rsidP="00792238">
      <w:pPr>
        <w:pStyle w:val="Vchoz"/>
        <w:tabs>
          <w:tab w:val="left" w:pos="3261"/>
        </w:tabs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50867352" w14:textId="728CAB04" w:rsidR="00277C6C" w:rsidRPr="008930FF" w:rsidRDefault="00277C6C" w:rsidP="00792238">
      <w:pPr>
        <w:pStyle w:val="Vchoz"/>
        <w:tabs>
          <w:tab w:val="left" w:pos="3261"/>
        </w:tabs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Obalový materiál navrhnutý pre vnútorný obal </w:t>
      </w:r>
      <w:r w:rsidR="006F42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DEXKETOPROFENU ADAMED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50 mg/2 ml</w:t>
      </w:r>
      <w:r w:rsidR="006F42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injekčn</w:t>
      </w:r>
      <w:r w:rsidR="008B5219" w:rsidRPr="008930FF">
        <w:rPr>
          <w:rFonts w:ascii="Times New Roman" w:hAnsi="Times New Roman" w:cs="Times New Roman"/>
          <w:sz w:val="22"/>
          <w:szCs w:val="22"/>
          <w:lang w:val="sk-SK"/>
        </w:rPr>
        <w:t>ý</w:t>
      </w:r>
      <w:r w:rsidR="006F422A" w:rsidRPr="008930FF">
        <w:rPr>
          <w:rFonts w:ascii="Times New Roman" w:hAnsi="Times New Roman" w:cs="Times New Roman"/>
          <w:sz w:val="22"/>
          <w:szCs w:val="22"/>
          <w:lang w:val="sk-SK"/>
        </w:rPr>
        <w:t>/</w:t>
      </w:r>
      <w:r w:rsidR="008B5219" w:rsidRPr="008930FF">
        <w:rPr>
          <w:rFonts w:ascii="Times New Roman" w:hAnsi="Times New Roman" w:cs="Times New Roman"/>
          <w:sz w:val="22"/>
          <w:szCs w:val="22"/>
          <w:lang w:val="sk-SK"/>
        </w:rPr>
        <w:t>infúzny</w:t>
      </w:r>
      <w:r w:rsidR="006F422A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roztok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:</w:t>
      </w:r>
    </w:p>
    <w:p w14:paraId="5102E874" w14:textId="1578EE4C" w:rsidR="0043264C" w:rsidRPr="008930FF" w:rsidRDefault="00F41839" w:rsidP="00792238">
      <w:pPr>
        <w:pStyle w:val="Vchoz"/>
        <w:tabs>
          <w:tab w:val="left" w:pos="3261"/>
        </w:tabs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F</w:t>
      </w:r>
      <w:r w:rsidR="005306E5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arebné </w:t>
      </w:r>
      <w:r w:rsidR="0074201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ampulky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zo skla </w:t>
      </w:r>
      <w:r w:rsidR="005306E5" w:rsidRPr="008930FF">
        <w:rPr>
          <w:rFonts w:ascii="Times New Roman" w:hAnsi="Times New Roman" w:cs="Times New Roman"/>
          <w:sz w:val="22"/>
          <w:szCs w:val="22"/>
          <w:lang w:val="sk-SK"/>
        </w:rPr>
        <w:t>typu I</w:t>
      </w:r>
      <w:r w:rsidR="004778A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5306E5" w:rsidRPr="008930FF">
        <w:rPr>
          <w:rFonts w:ascii="Times New Roman" w:hAnsi="Times New Roman" w:cs="Times New Roman"/>
          <w:sz w:val="22"/>
          <w:szCs w:val="22"/>
          <w:lang w:val="sk-SK"/>
        </w:rPr>
        <w:t>s obsahom</w:t>
      </w:r>
      <w:r w:rsidR="004778A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2 ml </w:t>
      </w:r>
      <w:r w:rsidR="00ED36CB" w:rsidRPr="008930FF">
        <w:rPr>
          <w:rFonts w:ascii="Times New Roman" w:hAnsi="Times New Roman" w:cs="Times New Roman"/>
          <w:sz w:val="22"/>
          <w:szCs w:val="22"/>
          <w:lang w:val="sk-SK"/>
        </w:rPr>
        <w:t>injekčného</w:t>
      </w:r>
      <w:r w:rsidR="00277C6C" w:rsidRPr="008930FF">
        <w:rPr>
          <w:rFonts w:ascii="Times New Roman" w:hAnsi="Times New Roman" w:cs="Times New Roman"/>
          <w:sz w:val="22"/>
          <w:szCs w:val="22"/>
          <w:lang w:val="sk-SK"/>
        </w:rPr>
        <w:t>/</w:t>
      </w:r>
      <w:r w:rsidR="00290D53" w:rsidRPr="008930FF">
        <w:rPr>
          <w:rFonts w:ascii="Times New Roman" w:hAnsi="Times New Roman" w:cs="Times New Roman"/>
          <w:sz w:val="22"/>
          <w:szCs w:val="22"/>
          <w:lang w:val="sk-SK"/>
        </w:rPr>
        <w:t>infúzn</w:t>
      </w:r>
      <w:r w:rsidR="00ED36CB" w:rsidRPr="008930FF">
        <w:rPr>
          <w:rFonts w:ascii="Times New Roman" w:hAnsi="Times New Roman" w:cs="Times New Roman"/>
          <w:sz w:val="22"/>
          <w:szCs w:val="22"/>
          <w:lang w:val="sk-SK"/>
        </w:rPr>
        <w:t>eho</w:t>
      </w:r>
      <w:r w:rsidR="00290D5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277C6C" w:rsidRPr="008930FF">
        <w:rPr>
          <w:rFonts w:ascii="Times New Roman" w:hAnsi="Times New Roman" w:cs="Times New Roman"/>
          <w:sz w:val="22"/>
          <w:szCs w:val="22"/>
          <w:lang w:val="sk-SK"/>
        </w:rPr>
        <w:t>roztoku</w:t>
      </w:r>
      <w:r w:rsidR="004778A2"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779C97E8" w14:textId="77777777" w:rsidR="004778A2" w:rsidRPr="008930FF" w:rsidRDefault="004778A2" w:rsidP="00792238">
      <w:pPr>
        <w:pStyle w:val="Vchoz"/>
        <w:tabs>
          <w:tab w:val="left" w:pos="3261"/>
        </w:tabs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Balenie obsahuje</w:t>
      </w:r>
      <w:r w:rsidR="00277C6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5</w:t>
      </w:r>
      <w:r w:rsidR="00277C6C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alebo 10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42012" w:rsidRPr="008930FF">
        <w:rPr>
          <w:rFonts w:ascii="Times New Roman" w:hAnsi="Times New Roman" w:cs="Times New Roman"/>
          <w:sz w:val="22"/>
          <w:szCs w:val="22"/>
          <w:lang w:val="sk-SK"/>
        </w:rPr>
        <w:t>ampul</w:t>
      </w:r>
      <w:r w:rsidR="008A7E3D" w:rsidRPr="008930FF">
        <w:rPr>
          <w:rFonts w:ascii="Times New Roman" w:hAnsi="Times New Roman" w:cs="Times New Roman"/>
          <w:sz w:val="22"/>
          <w:szCs w:val="22"/>
          <w:lang w:val="sk-SK"/>
        </w:rPr>
        <w:t>ie</w:t>
      </w:r>
      <w:r w:rsidR="00742012" w:rsidRPr="008930FF">
        <w:rPr>
          <w:rFonts w:ascii="Times New Roman" w:hAnsi="Times New Roman" w:cs="Times New Roman"/>
          <w:sz w:val="22"/>
          <w:szCs w:val="22"/>
          <w:lang w:val="sk-SK"/>
        </w:rPr>
        <w:t>k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4D7CA374" w14:textId="77777777" w:rsidR="004D7C7F" w:rsidRPr="008930FF" w:rsidRDefault="004D7C7F" w:rsidP="00792238">
      <w:pPr>
        <w:pStyle w:val="Vchoz"/>
        <w:tabs>
          <w:tab w:val="left" w:pos="3261"/>
        </w:tabs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419782DD" w14:textId="77777777" w:rsidR="004778A2" w:rsidRPr="008930FF" w:rsidRDefault="004778A2" w:rsidP="00792238">
      <w:pPr>
        <w:pStyle w:val="Vchoz"/>
        <w:tabs>
          <w:tab w:val="left" w:pos="3261"/>
        </w:tabs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N</w:t>
      </w:r>
      <w:r w:rsidR="00426636" w:rsidRPr="008930FF">
        <w:rPr>
          <w:rFonts w:ascii="Times New Roman" w:hAnsi="Times New Roman" w:cs="Times New Roman"/>
          <w:sz w:val="22"/>
          <w:szCs w:val="22"/>
          <w:lang w:val="sk-SK"/>
        </w:rPr>
        <w:t>a trh nemusia byť uvedené všetky veľkosti balenia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6C843D70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2835D3C5" w14:textId="77777777" w:rsidR="0043264C" w:rsidRPr="008930FF" w:rsidRDefault="00844090" w:rsidP="00792238">
      <w:pPr>
        <w:pStyle w:val="Vchoz"/>
        <w:numPr>
          <w:ilvl w:val="1"/>
          <w:numId w:val="17"/>
        </w:numPr>
        <w:ind w:hanging="720"/>
        <w:jc w:val="left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Špeciálne opatrenia na likvidáciu a iné zaobchádzanie s liekom</w:t>
      </w:r>
    </w:p>
    <w:p w14:paraId="3409FD91" w14:textId="77777777" w:rsidR="00844090" w:rsidRPr="008930FF" w:rsidRDefault="00844090" w:rsidP="00792238">
      <w:pPr>
        <w:pStyle w:val="Vchoz"/>
        <w:jc w:val="left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14:paraId="7E5164B6" w14:textId="7B3D98D8" w:rsidR="0043264C" w:rsidRPr="008930FF" w:rsidRDefault="006F422A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DEXKETOPROFEN ADAMED injekčný/infúzny roztok </w:t>
      </w:r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sa </w:t>
      </w:r>
      <w:r w:rsidR="00F54CC6" w:rsidRPr="008930FF">
        <w:rPr>
          <w:rFonts w:ascii="Times New Roman" w:hAnsi="Times New Roman" w:cs="Times New Roman"/>
          <w:sz w:val="22"/>
          <w:szCs w:val="22"/>
          <w:lang w:val="sk-SK"/>
        </w:rPr>
        <w:t>pre</w:t>
      </w:r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>ukázal ako kompatibilný pri zmiešavaní v malých objemoch (napr. v</w:t>
      </w:r>
      <w:r w:rsidR="007A71E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 injekčnej </w:t>
      </w:r>
      <w:r w:rsidR="00DE05F8" w:rsidRPr="008930FF">
        <w:rPr>
          <w:rFonts w:ascii="Times New Roman" w:hAnsi="Times New Roman" w:cs="Times New Roman"/>
          <w:sz w:val="22"/>
          <w:szCs w:val="22"/>
          <w:lang w:val="sk-SK"/>
        </w:rPr>
        <w:t>striekačke</w:t>
      </w:r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>) s injek</w:t>
      </w:r>
      <w:r w:rsidR="00907F7B" w:rsidRPr="008930FF">
        <w:rPr>
          <w:rFonts w:ascii="Times New Roman" w:hAnsi="Times New Roman" w:cs="Times New Roman"/>
          <w:sz w:val="22"/>
          <w:szCs w:val="22"/>
          <w:lang w:val="sk-SK"/>
        </w:rPr>
        <w:t>čnými</w:t>
      </w:r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roztokmi </w:t>
      </w:r>
      <w:proofErr w:type="spellStart"/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>hepar</w:t>
      </w:r>
      <w:r w:rsidR="001A6CC3" w:rsidRPr="008930FF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>nu</w:t>
      </w:r>
      <w:proofErr w:type="spellEnd"/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>lidoka</w:t>
      </w:r>
      <w:r w:rsidR="008348DC" w:rsidRPr="008930FF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>nu</w:t>
      </w:r>
      <w:proofErr w:type="spellEnd"/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>morfínu</w:t>
      </w:r>
      <w:proofErr w:type="spellEnd"/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>teofylínu</w:t>
      </w:r>
      <w:proofErr w:type="spellEnd"/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13918D6F" w14:textId="77777777" w:rsidR="00277C6C" w:rsidRPr="008930FF" w:rsidRDefault="00277C6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51EBA3C7" w14:textId="1A006E70" w:rsidR="00632EAE" w:rsidRPr="008930FF" w:rsidRDefault="00F41839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Na</w:t>
      </w:r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podanie intravenóznej infúzie </w:t>
      </w:r>
      <w:r w:rsidR="00DE05F8" w:rsidRPr="008930FF">
        <w:rPr>
          <w:rFonts w:ascii="Times New Roman" w:hAnsi="Times New Roman" w:cs="Times New Roman"/>
          <w:sz w:val="22"/>
          <w:szCs w:val="22"/>
          <w:lang w:val="sk-SK"/>
        </w:rPr>
        <w:t>sa má</w:t>
      </w:r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obsah jednej ampul</w:t>
      </w:r>
      <w:r w:rsidR="00955195" w:rsidRPr="008930FF">
        <w:rPr>
          <w:rFonts w:ascii="Times New Roman" w:hAnsi="Times New Roman" w:cs="Times New Roman"/>
          <w:sz w:val="22"/>
          <w:szCs w:val="22"/>
          <w:lang w:val="sk-SK"/>
        </w:rPr>
        <w:t>ky</w:t>
      </w:r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(2 ml) </w:t>
      </w:r>
      <w:r w:rsidR="006F422A" w:rsidRPr="008930FF">
        <w:rPr>
          <w:rFonts w:ascii="Times New Roman" w:hAnsi="Times New Roman" w:cs="Times New Roman"/>
          <w:sz w:val="22"/>
          <w:szCs w:val="22"/>
          <w:lang w:val="sk-SK"/>
        </w:rPr>
        <w:t>DEXKETOPROFENU ADAMED injekčného/infúzneho roztoku</w:t>
      </w:r>
      <w:r w:rsidR="001A6CC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zriediť v objeme 30 až 100 ml </w:t>
      </w:r>
      <w:r w:rsidR="00426636" w:rsidRPr="008930FF">
        <w:rPr>
          <w:rFonts w:ascii="Times New Roman" w:hAnsi="Times New Roman" w:cs="Times New Roman"/>
          <w:sz w:val="22"/>
          <w:szCs w:val="22"/>
          <w:lang w:val="sk-SK"/>
        </w:rPr>
        <w:t>fyziologického</w:t>
      </w:r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glukózového alebo </w:t>
      </w:r>
      <w:proofErr w:type="spellStart"/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>Ringer</w:t>
      </w:r>
      <w:r w:rsidR="001A6CC3" w:rsidRPr="008930FF">
        <w:rPr>
          <w:rFonts w:ascii="Times New Roman" w:hAnsi="Times New Roman" w:cs="Times New Roman"/>
          <w:sz w:val="22"/>
          <w:szCs w:val="22"/>
          <w:lang w:val="sk-SK"/>
        </w:rPr>
        <w:t>ovho</w:t>
      </w:r>
      <w:proofErr w:type="spellEnd"/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>laktátového</w:t>
      </w:r>
      <w:proofErr w:type="spellEnd"/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roztoku. Roztok </w:t>
      </w:r>
      <w:r w:rsidR="00DE05F8" w:rsidRPr="008930FF">
        <w:rPr>
          <w:rFonts w:ascii="Times New Roman" w:hAnsi="Times New Roman" w:cs="Times New Roman"/>
          <w:sz w:val="22"/>
          <w:szCs w:val="22"/>
          <w:lang w:val="sk-SK"/>
        </w:rPr>
        <w:t>sa má</w:t>
      </w:r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riediť za </w:t>
      </w:r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>aseptick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ých podmienok</w:t>
      </w:r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 chrániť pred prirodzeným denným svetlom.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Z</w:t>
      </w:r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>riedený roztok je číry.</w:t>
      </w:r>
    </w:p>
    <w:p w14:paraId="57F6FBEF" w14:textId="6F024ECA" w:rsidR="00632EAE" w:rsidRPr="008930FF" w:rsidRDefault="006F422A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DEXKETOPROFEN ADAMED injekčný/infúzny roztok</w:t>
      </w:r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zriedený v objeme 100 ml </w:t>
      </w:r>
      <w:r w:rsidR="00426636" w:rsidRPr="008930FF">
        <w:rPr>
          <w:rFonts w:ascii="Times New Roman" w:hAnsi="Times New Roman" w:cs="Times New Roman"/>
          <w:sz w:val="22"/>
          <w:szCs w:val="22"/>
          <w:lang w:val="sk-SK"/>
        </w:rPr>
        <w:t>fyziologického</w:t>
      </w:r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alebo glukózového roztoku </w:t>
      </w:r>
      <w:r w:rsidR="0070041C" w:rsidRPr="008930FF">
        <w:rPr>
          <w:rFonts w:ascii="Times New Roman" w:hAnsi="Times New Roman" w:cs="Times New Roman"/>
          <w:sz w:val="22"/>
          <w:szCs w:val="22"/>
          <w:lang w:val="sk-SK"/>
        </w:rPr>
        <w:t>je kompatibilný</w:t>
      </w:r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 týmito lie</w:t>
      </w:r>
      <w:r w:rsidR="00F41839" w:rsidRPr="008930FF">
        <w:rPr>
          <w:rFonts w:ascii="Times New Roman" w:hAnsi="Times New Roman" w:cs="Times New Roman"/>
          <w:sz w:val="22"/>
          <w:szCs w:val="22"/>
          <w:lang w:val="sk-SK"/>
        </w:rPr>
        <w:t>čivami</w:t>
      </w:r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: </w:t>
      </w:r>
      <w:proofErr w:type="spellStart"/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>dopam</w:t>
      </w:r>
      <w:r w:rsidR="001A6CC3" w:rsidRPr="008930FF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>n</w:t>
      </w:r>
      <w:proofErr w:type="spellEnd"/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>hepar</w:t>
      </w:r>
      <w:r w:rsidR="001A6CC3" w:rsidRPr="008930FF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>n</w:t>
      </w:r>
      <w:proofErr w:type="spellEnd"/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>hydroxyz</w:t>
      </w:r>
      <w:r w:rsidR="001A6CC3" w:rsidRPr="008930FF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>n</w:t>
      </w:r>
      <w:proofErr w:type="spellEnd"/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>lidoka</w:t>
      </w:r>
      <w:r w:rsidR="00955195" w:rsidRPr="008930FF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>n</w:t>
      </w:r>
      <w:proofErr w:type="spellEnd"/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>morfín</w:t>
      </w:r>
      <w:proofErr w:type="spellEnd"/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>petid</w:t>
      </w:r>
      <w:r w:rsidR="001A6CC3" w:rsidRPr="008930FF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>n</w:t>
      </w:r>
      <w:proofErr w:type="spellEnd"/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>teofylín</w:t>
      </w:r>
      <w:proofErr w:type="spellEnd"/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14:paraId="45F89921" w14:textId="77777777" w:rsidR="00F41839" w:rsidRPr="008930FF" w:rsidRDefault="00F41839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392BD638" w14:textId="389A834D" w:rsidR="00632EAE" w:rsidRPr="008930FF" w:rsidRDefault="00632EAE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Nebola zistená </w:t>
      </w:r>
      <w:r w:rsidR="007A71E2" w:rsidRPr="008930FF">
        <w:rPr>
          <w:rFonts w:ascii="Times New Roman" w:hAnsi="Times New Roman" w:cs="Times New Roman"/>
          <w:sz w:val="22"/>
          <w:szCs w:val="22"/>
          <w:lang w:val="sk-SK"/>
        </w:rPr>
        <w:t>ab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sorpcia </w:t>
      </w:r>
      <w:r w:rsidR="00A30F20" w:rsidRPr="008930FF">
        <w:rPr>
          <w:rFonts w:ascii="Times New Roman" w:hAnsi="Times New Roman" w:cs="Times New Roman"/>
          <w:sz w:val="22"/>
          <w:szCs w:val="22"/>
          <w:lang w:val="sk-SK"/>
        </w:rPr>
        <w:t>liečiva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F41839" w:rsidRPr="008930FF">
        <w:rPr>
          <w:rFonts w:ascii="Times New Roman" w:hAnsi="Times New Roman" w:cs="Times New Roman"/>
          <w:sz w:val="22"/>
          <w:szCs w:val="22"/>
          <w:lang w:val="sk-SK"/>
        </w:rPr>
        <w:t>ak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30F20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bol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zrieden</w:t>
      </w:r>
      <w:r w:rsidR="007A71E2" w:rsidRPr="008930FF">
        <w:rPr>
          <w:rFonts w:ascii="Times New Roman" w:hAnsi="Times New Roman" w:cs="Times New Roman"/>
          <w:sz w:val="22"/>
          <w:szCs w:val="22"/>
          <w:lang w:val="sk-SK"/>
        </w:rPr>
        <w:t>ý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30F20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roztok </w:t>
      </w:r>
      <w:r w:rsidR="00B82AC7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DEXKETOPROFEN ADAMED injekčný/infúzny roztok </w:t>
      </w:r>
      <w:r w:rsidR="009A5A82" w:rsidRPr="008930FF">
        <w:rPr>
          <w:rFonts w:ascii="Times New Roman" w:hAnsi="Times New Roman" w:cs="Times New Roman"/>
          <w:sz w:val="22"/>
          <w:szCs w:val="22"/>
          <w:lang w:val="sk-SK"/>
        </w:rPr>
        <w:t>uchovávan</w:t>
      </w:r>
      <w:r w:rsidR="007A71E2" w:rsidRPr="008930FF">
        <w:rPr>
          <w:rFonts w:ascii="Times New Roman" w:hAnsi="Times New Roman" w:cs="Times New Roman"/>
          <w:sz w:val="22"/>
          <w:szCs w:val="22"/>
          <w:lang w:val="sk-SK"/>
        </w:rPr>
        <w:t>ý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v plast</w:t>
      </w:r>
      <w:r w:rsidR="00F41839" w:rsidRPr="008930FF">
        <w:rPr>
          <w:rFonts w:ascii="Times New Roman" w:hAnsi="Times New Roman" w:cs="Times New Roman"/>
          <w:sz w:val="22"/>
          <w:szCs w:val="22"/>
          <w:lang w:val="sk-SK"/>
        </w:rPr>
        <w:t>ových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42012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vakoch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alebo aplikačných </w:t>
      </w:r>
      <w:r w:rsidR="00F41839" w:rsidRPr="008930FF">
        <w:rPr>
          <w:rFonts w:ascii="Times New Roman" w:hAnsi="Times New Roman" w:cs="Times New Roman"/>
          <w:sz w:val="22"/>
          <w:szCs w:val="22"/>
          <w:lang w:val="sk-SK"/>
        </w:rPr>
        <w:t>pomôckach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z</w:t>
      </w:r>
      <w:r w:rsidR="00F41839" w:rsidRPr="008930FF">
        <w:rPr>
          <w:rFonts w:ascii="Times New Roman" w:hAnsi="Times New Roman" w:cs="Times New Roman"/>
          <w:sz w:val="22"/>
          <w:szCs w:val="22"/>
          <w:lang w:val="sk-SK"/>
        </w:rPr>
        <w:t> 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etylvinyl</w:t>
      </w:r>
      <w:r w:rsidR="00F41839" w:rsidRPr="008930FF">
        <w:rPr>
          <w:rFonts w:ascii="Times New Roman" w:hAnsi="Times New Roman" w:cs="Times New Roman"/>
          <w:sz w:val="22"/>
          <w:szCs w:val="22"/>
          <w:lang w:val="sk-SK"/>
        </w:rPr>
        <w:t>-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acetátu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(EVA), </w:t>
      </w:r>
      <w:proofErr w:type="spellStart"/>
      <w:r w:rsidRPr="008930FF">
        <w:rPr>
          <w:rFonts w:ascii="Times New Roman" w:hAnsi="Times New Roman" w:cs="Times New Roman"/>
          <w:sz w:val="22"/>
          <w:szCs w:val="22"/>
          <w:lang w:val="sk-SK"/>
        </w:rPr>
        <w:t>propionátu</w:t>
      </w:r>
      <w:proofErr w:type="spellEnd"/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celulózy (CP), polyetylénu</w:t>
      </w:r>
      <w:r w:rsidR="00F41839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nízk</w:t>
      </w:r>
      <w:r w:rsidR="00F41839" w:rsidRPr="008930FF">
        <w:rPr>
          <w:rFonts w:ascii="Times New Roman" w:hAnsi="Times New Roman" w:cs="Times New Roman"/>
          <w:sz w:val="22"/>
          <w:szCs w:val="22"/>
          <w:lang w:val="sk-SK"/>
        </w:rPr>
        <w:t>ou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hustot</w:t>
      </w:r>
      <w:r w:rsidR="00F41839" w:rsidRPr="008930FF">
        <w:rPr>
          <w:rFonts w:ascii="Times New Roman" w:hAnsi="Times New Roman" w:cs="Times New Roman"/>
          <w:sz w:val="22"/>
          <w:szCs w:val="22"/>
          <w:lang w:val="sk-SK"/>
        </w:rPr>
        <w:t>ou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(LDPE) a polyvinylchloridu (PVC).</w:t>
      </w:r>
    </w:p>
    <w:p w14:paraId="61C5E660" w14:textId="77777777" w:rsidR="009A5A82" w:rsidRPr="008930FF" w:rsidRDefault="009A5A82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0023EE62" w14:textId="265CA958" w:rsidR="00632EAE" w:rsidRPr="008930FF" w:rsidRDefault="00B82AC7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DEXKETOPROFEN ADAMED injekčný/infúzny roztok</w:t>
      </w:r>
      <w:r w:rsidR="001A6CC3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je </w:t>
      </w:r>
      <w:r w:rsidR="006913A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určený </w:t>
      </w:r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len </w:t>
      </w:r>
      <w:r w:rsidR="00521D50" w:rsidRPr="008930FF">
        <w:rPr>
          <w:rFonts w:ascii="Times New Roman" w:hAnsi="Times New Roman" w:cs="Times New Roman"/>
          <w:sz w:val="22"/>
          <w:szCs w:val="22"/>
          <w:lang w:val="sk-SK"/>
        </w:rPr>
        <w:t>na</w:t>
      </w:r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jedno</w:t>
      </w:r>
      <w:r w:rsidR="00A30F20" w:rsidRPr="008930FF">
        <w:rPr>
          <w:rFonts w:ascii="Times New Roman" w:hAnsi="Times New Roman" w:cs="Times New Roman"/>
          <w:sz w:val="22"/>
          <w:szCs w:val="22"/>
          <w:lang w:val="sk-SK"/>
        </w:rPr>
        <w:t>razové</w:t>
      </w:r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použitie a </w:t>
      </w:r>
      <w:r w:rsidR="00521D50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všetok </w:t>
      </w:r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>nepoužitý roztok</w:t>
      </w:r>
      <w:r w:rsidR="0002644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63037" w:rsidRPr="008930FF">
        <w:rPr>
          <w:rFonts w:ascii="Times New Roman" w:hAnsi="Times New Roman" w:cs="Times New Roman"/>
          <w:sz w:val="22"/>
          <w:szCs w:val="22"/>
          <w:lang w:val="sk-SK"/>
        </w:rPr>
        <w:t>sa má</w:t>
      </w:r>
      <w:r w:rsidR="00026446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32EAE" w:rsidRPr="008930FF">
        <w:rPr>
          <w:rFonts w:ascii="Times New Roman" w:hAnsi="Times New Roman" w:cs="Times New Roman"/>
          <w:sz w:val="22"/>
          <w:szCs w:val="22"/>
          <w:lang w:val="sk-SK"/>
        </w:rPr>
        <w:t>zlikvidovať.</w:t>
      </w:r>
      <w:r w:rsidR="00566B2B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Pred podaním sa má roztok vizuálne skontrolovať, či je číry a bezfarebný</w:t>
      </w:r>
      <w:r w:rsidR="00A30F20" w:rsidRPr="008930FF">
        <w:rPr>
          <w:rFonts w:ascii="Times New Roman" w:hAnsi="Times New Roman" w:cs="Times New Roman"/>
          <w:sz w:val="22"/>
          <w:szCs w:val="22"/>
          <w:lang w:val="sk-SK"/>
        </w:rPr>
        <w:t>:</w:t>
      </w:r>
      <w:r w:rsidR="00566B2B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30F20" w:rsidRPr="008930FF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566B2B" w:rsidRPr="008930FF">
        <w:rPr>
          <w:rFonts w:ascii="Times New Roman" w:hAnsi="Times New Roman" w:cs="Times New Roman"/>
          <w:sz w:val="22"/>
          <w:szCs w:val="22"/>
          <w:lang w:val="sk-SK"/>
        </w:rPr>
        <w:t>k sa zistí prítomnosť častíc, ne</w:t>
      </w:r>
      <w:r w:rsidR="00A30F20" w:rsidRPr="008930FF">
        <w:rPr>
          <w:rFonts w:ascii="Times New Roman" w:hAnsi="Times New Roman" w:cs="Times New Roman"/>
          <w:sz w:val="22"/>
          <w:szCs w:val="22"/>
          <w:lang w:val="sk-SK"/>
        </w:rPr>
        <w:t>smie</w:t>
      </w:r>
      <w:r w:rsidR="00566B2B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sa použiť.</w:t>
      </w:r>
    </w:p>
    <w:p w14:paraId="7D7CE297" w14:textId="77777777" w:rsidR="00DC3C61" w:rsidRPr="008930FF" w:rsidRDefault="00DC3C61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3B0DB584" w14:textId="77777777" w:rsidR="0048626F" w:rsidRPr="008930FF" w:rsidRDefault="00534B98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Všetok n</w:t>
      </w:r>
      <w:r w:rsidR="0048626F"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epoužitý liek alebo odpad vzniknutý z lieku 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>sa má zlikvidovať v súlade s </w:t>
      </w:r>
      <w:r w:rsidR="00BB089F" w:rsidRPr="008930FF">
        <w:rPr>
          <w:rFonts w:ascii="Times New Roman" w:hAnsi="Times New Roman" w:cs="Times New Roman"/>
          <w:sz w:val="22"/>
          <w:szCs w:val="22"/>
          <w:lang w:val="sk-SK"/>
        </w:rPr>
        <w:t>národnými</w:t>
      </w: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požiadavkami</w:t>
      </w:r>
      <w:r w:rsidR="0048626F" w:rsidRPr="008930F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17F95828" w14:textId="77777777" w:rsidR="00844090" w:rsidRPr="008930FF" w:rsidRDefault="00844090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53B7A9C8" w14:textId="77777777" w:rsidR="009606E2" w:rsidRPr="008930FF" w:rsidRDefault="009606E2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47F940C9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7.</w:t>
      </w: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8930FF"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  <w:t>držiteľ rozhodnutia o registrácii</w:t>
      </w:r>
    </w:p>
    <w:p w14:paraId="403744C6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23562D08" w14:textId="77777777" w:rsidR="00050234" w:rsidRPr="008930FF" w:rsidRDefault="00050234" w:rsidP="00050234">
      <w:pPr>
        <w:suppressAutoHyphens/>
        <w:autoSpaceDE/>
        <w:autoSpaceDN/>
        <w:adjustRightInd/>
        <w:rPr>
          <w:sz w:val="22"/>
          <w:szCs w:val="22"/>
          <w:lang w:eastAsia="zh-CN"/>
        </w:rPr>
      </w:pPr>
      <w:proofErr w:type="spellStart"/>
      <w:r w:rsidRPr="008930FF">
        <w:rPr>
          <w:sz w:val="22"/>
          <w:szCs w:val="22"/>
          <w:lang w:eastAsia="zh-CN"/>
        </w:rPr>
        <w:t>Adamed</w:t>
      </w:r>
      <w:proofErr w:type="spellEnd"/>
      <w:r w:rsidRPr="008930FF">
        <w:rPr>
          <w:sz w:val="22"/>
          <w:szCs w:val="22"/>
          <w:lang w:eastAsia="zh-CN"/>
        </w:rPr>
        <w:t xml:space="preserve"> Pharma S.A.</w:t>
      </w:r>
    </w:p>
    <w:p w14:paraId="3C0A6239" w14:textId="77777777" w:rsidR="00050234" w:rsidRPr="008930FF" w:rsidRDefault="00050234" w:rsidP="00050234">
      <w:pPr>
        <w:suppressAutoHyphens/>
        <w:autoSpaceDE/>
        <w:autoSpaceDN/>
        <w:adjustRightInd/>
        <w:rPr>
          <w:sz w:val="22"/>
          <w:szCs w:val="22"/>
          <w:lang w:eastAsia="zh-CN"/>
        </w:rPr>
      </w:pPr>
      <w:proofErr w:type="spellStart"/>
      <w:r w:rsidRPr="008930FF">
        <w:rPr>
          <w:sz w:val="22"/>
          <w:szCs w:val="22"/>
          <w:lang w:eastAsia="zh-CN"/>
        </w:rPr>
        <w:t>Pieńków</w:t>
      </w:r>
      <w:proofErr w:type="spellEnd"/>
      <w:r w:rsidRPr="008930FF">
        <w:rPr>
          <w:sz w:val="22"/>
          <w:szCs w:val="22"/>
          <w:lang w:eastAsia="zh-CN"/>
        </w:rPr>
        <w:t xml:space="preserve">, ul. M. </w:t>
      </w:r>
      <w:proofErr w:type="spellStart"/>
      <w:r w:rsidRPr="008930FF">
        <w:rPr>
          <w:sz w:val="22"/>
          <w:szCs w:val="22"/>
          <w:lang w:eastAsia="zh-CN"/>
        </w:rPr>
        <w:t>Adamkiewicza</w:t>
      </w:r>
      <w:proofErr w:type="spellEnd"/>
      <w:r w:rsidRPr="008930FF">
        <w:rPr>
          <w:sz w:val="22"/>
          <w:szCs w:val="22"/>
          <w:lang w:eastAsia="zh-CN"/>
        </w:rPr>
        <w:t xml:space="preserve"> 6A</w:t>
      </w:r>
    </w:p>
    <w:p w14:paraId="75670822" w14:textId="77777777" w:rsidR="00050234" w:rsidRPr="008930FF" w:rsidRDefault="00050234" w:rsidP="00050234">
      <w:pPr>
        <w:suppressAutoHyphens/>
        <w:autoSpaceDE/>
        <w:autoSpaceDN/>
        <w:adjustRightInd/>
        <w:rPr>
          <w:sz w:val="22"/>
          <w:szCs w:val="22"/>
          <w:lang w:eastAsia="zh-CN"/>
        </w:rPr>
      </w:pPr>
      <w:r w:rsidRPr="008930FF">
        <w:rPr>
          <w:sz w:val="22"/>
          <w:szCs w:val="22"/>
          <w:lang w:eastAsia="zh-CN"/>
        </w:rPr>
        <w:t xml:space="preserve">05-152 </w:t>
      </w:r>
      <w:proofErr w:type="spellStart"/>
      <w:r w:rsidRPr="008930FF">
        <w:rPr>
          <w:sz w:val="22"/>
          <w:szCs w:val="22"/>
          <w:lang w:eastAsia="zh-CN"/>
        </w:rPr>
        <w:t>Czosnów</w:t>
      </w:r>
      <w:proofErr w:type="spellEnd"/>
    </w:p>
    <w:p w14:paraId="0CB001FB" w14:textId="77777777" w:rsidR="00463109" w:rsidRPr="008930FF" w:rsidRDefault="00050234" w:rsidP="00050234">
      <w:pPr>
        <w:suppressAutoHyphens/>
        <w:autoSpaceDE/>
        <w:autoSpaceDN/>
        <w:adjustRightInd/>
        <w:rPr>
          <w:sz w:val="22"/>
          <w:szCs w:val="22"/>
          <w:lang w:eastAsia="zh-CN"/>
        </w:rPr>
      </w:pPr>
      <w:r w:rsidRPr="008930FF">
        <w:rPr>
          <w:sz w:val="22"/>
          <w:szCs w:val="22"/>
          <w:lang w:eastAsia="zh-CN"/>
        </w:rPr>
        <w:t>Poľsko</w:t>
      </w:r>
    </w:p>
    <w:p w14:paraId="5748B6F3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1B9F6E08" w14:textId="77777777" w:rsidR="00844090" w:rsidRPr="008930FF" w:rsidRDefault="00844090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4E4CF602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8.</w:t>
      </w:r>
      <w:r w:rsidR="00534B98"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8930FF"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  <w:t>registračné číslo</w:t>
      </w:r>
    </w:p>
    <w:p w14:paraId="7986810A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3811666D" w14:textId="5D9F90AD" w:rsidR="00EA7C73" w:rsidRPr="008930FF" w:rsidRDefault="00650676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650676">
        <w:rPr>
          <w:rFonts w:ascii="Times New Roman" w:hAnsi="Times New Roman" w:cs="Times New Roman"/>
          <w:sz w:val="22"/>
          <w:szCs w:val="22"/>
          <w:lang w:val="sk-SK"/>
        </w:rPr>
        <w:t>07/0043/20-S</w:t>
      </w:r>
      <w:bookmarkStart w:id="0" w:name="_GoBack"/>
      <w:bookmarkEnd w:id="0"/>
    </w:p>
    <w:p w14:paraId="0E933EF0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41E240C6" w14:textId="77777777" w:rsidR="00844090" w:rsidRPr="008930FF" w:rsidRDefault="00844090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1FDBBFA0" w14:textId="77777777" w:rsidR="0043264C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b/>
          <w:bCs/>
          <w:sz w:val="22"/>
          <w:szCs w:val="22"/>
          <w:u w:val="single"/>
          <w:lang w:val="sk-SK"/>
        </w:rPr>
      </w:pP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lastRenderedPageBreak/>
        <w:t>9.</w:t>
      </w: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8930FF"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  <w:t xml:space="preserve">Dátum </w:t>
      </w:r>
      <w:r w:rsidR="00A63037" w:rsidRPr="008930FF"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  <w:t xml:space="preserve">PRVEJ </w:t>
      </w:r>
      <w:r w:rsidRPr="008930FF"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  <w:t>registrácie</w:t>
      </w:r>
      <w:r w:rsidR="00463109" w:rsidRPr="008930FF"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  <w:t>/predĺženia registrácie</w:t>
      </w:r>
    </w:p>
    <w:p w14:paraId="4C5332D8" w14:textId="77777777" w:rsidR="0043264C" w:rsidRPr="008930FF" w:rsidRDefault="00463109" w:rsidP="00792238">
      <w:pPr>
        <w:pStyle w:val="Vchoz"/>
        <w:tabs>
          <w:tab w:val="left" w:pos="567"/>
        </w:tabs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2ED25A84" w14:textId="77777777" w:rsidR="0043264C" w:rsidRPr="008930FF" w:rsidRDefault="00426636" w:rsidP="00792238">
      <w:pPr>
        <w:pStyle w:val="Vchoz"/>
        <w:tabs>
          <w:tab w:val="left" w:pos="567"/>
        </w:tabs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 xml:space="preserve">Dátum prvej registrácie lieku: </w:t>
      </w:r>
    </w:p>
    <w:p w14:paraId="56E74FD2" w14:textId="77777777" w:rsidR="006913AF" w:rsidRPr="008930FF" w:rsidRDefault="006913AF" w:rsidP="00792238">
      <w:pPr>
        <w:pStyle w:val="Vchoz"/>
        <w:tabs>
          <w:tab w:val="left" w:pos="567"/>
        </w:tabs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02EE0B47" w14:textId="77777777" w:rsidR="00844090" w:rsidRPr="008930FF" w:rsidRDefault="00844090" w:rsidP="00792238">
      <w:pPr>
        <w:pStyle w:val="Vchoz"/>
        <w:tabs>
          <w:tab w:val="left" w:pos="567"/>
        </w:tabs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01334A0F" w14:textId="77777777" w:rsidR="00A63037" w:rsidRPr="008930FF" w:rsidRDefault="0043264C" w:rsidP="00792238">
      <w:pPr>
        <w:pStyle w:val="Vchoz"/>
        <w:ind w:left="0" w:firstLine="0"/>
        <w:jc w:val="left"/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>10.</w:t>
      </w:r>
      <w:r w:rsidRPr="008930FF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8930FF"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  <w:t>dátum revízie textu</w:t>
      </w:r>
    </w:p>
    <w:p w14:paraId="27ACDBD3" w14:textId="62DE728F" w:rsidR="00F2147A" w:rsidRPr="008930FF" w:rsidRDefault="00F2147A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0ADDC4D3" w14:textId="63428EE5" w:rsidR="00A544FA" w:rsidRPr="001D7E2D" w:rsidRDefault="001E58A2" w:rsidP="00792238">
      <w:pPr>
        <w:pStyle w:val="Vchoz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30FF">
        <w:rPr>
          <w:rFonts w:ascii="Times New Roman" w:hAnsi="Times New Roman" w:cs="Times New Roman"/>
          <w:sz w:val="22"/>
          <w:szCs w:val="22"/>
          <w:lang w:val="sk-SK"/>
        </w:rPr>
        <w:t>03</w:t>
      </w:r>
      <w:r w:rsidR="00A544FA" w:rsidRPr="008930FF">
        <w:rPr>
          <w:rFonts w:ascii="Times New Roman" w:hAnsi="Times New Roman" w:cs="Times New Roman"/>
          <w:sz w:val="22"/>
          <w:szCs w:val="22"/>
          <w:lang w:val="sk-SK"/>
        </w:rPr>
        <w:t>/2020</w:t>
      </w:r>
    </w:p>
    <w:sectPr w:rsidR="00A544FA" w:rsidRPr="001D7E2D" w:rsidSect="006E3546">
      <w:headerReference w:type="default" r:id="rId9"/>
      <w:footerReference w:type="default" r:id="rId10"/>
      <w:type w:val="continuous"/>
      <w:pgSz w:w="11905" w:h="16837"/>
      <w:pgMar w:top="1134" w:right="1418" w:bottom="1134" w:left="1418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8C85E" w14:textId="77777777" w:rsidR="004A46E3" w:rsidRDefault="004A46E3">
      <w:r>
        <w:separator/>
      </w:r>
    </w:p>
  </w:endnote>
  <w:endnote w:type="continuationSeparator" w:id="0">
    <w:p w14:paraId="1D5ACE9F" w14:textId="77777777" w:rsidR="004A46E3" w:rsidRDefault="004A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7DFCD" w14:textId="77777777" w:rsidR="001E58A2" w:rsidRPr="005D071D" w:rsidRDefault="001E58A2" w:rsidP="000A31E0">
    <w:pPr>
      <w:pStyle w:val="Pta"/>
      <w:framePr w:wrap="auto" w:vAnchor="text" w:hAnchor="margin" w:xAlign="right" w:y="1"/>
      <w:rPr>
        <w:rStyle w:val="slostrany"/>
        <w:rFonts w:ascii="Times New Roman" w:hAnsi="Times New Roman"/>
        <w:sz w:val="18"/>
        <w:szCs w:val="18"/>
      </w:rPr>
    </w:pPr>
    <w:r w:rsidRPr="005D071D">
      <w:rPr>
        <w:rStyle w:val="slostrany"/>
        <w:rFonts w:ascii="Times New Roman" w:hAnsi="Times New Roman"/>
        <w:sz w:val="18"/>
        <w:szCs w:val="18"/>
      </w:rPr>
      <w:fldChar w:fldCharType="begin"/>
    </w:r>
    <w:r w:rsidRPr="005D071D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5D071D">
      <w:rPr>
        <w:rStyle w:val="slostrany"/>
        <w:rFonts w:ascii="Times New Roman" w:hAnsi="Times New Roman"/>
        <w:sz w:val="18"/>
        <w:szCs w:val="18"/>
      </w:rPr>
      <w:fldChar w:fldCharType="separate"/>
    </w:r>
    <w:r w:rsidR="00650676">
      <w:rPr>
        <w:rStyle w:val="slostrany"/>
        <w:rFonts w:ascii="Times New Roman" w:hAnsi="Times New Roman"/>
        <w:noProof/>
        <w:sz w:val="18"/>
        <w:szCs w:val="18"/>
      </w:rPr>
      <w:t>2</w:t>
    </w:r>
    <w:r w:rsidRPr="005D071D">
      <w:rPr>
        <w:rStyle w:val="slostrany"/>
        <w:rFonts w:ascii="Times New Roman" w:hAnsi="Times New Roman"/>
        <w:sz w:val="18"/>
        <w:szCs w:val="18"/>
      </w:rPr>
      <w:fldChar w:fldCharType="end"/>
    </w:r>
  </w:p>
  <w:p w14:paraId="2D717E03" w14:textId="77777777" w:rsidR="001E58A2" w:rsidRDefault="001E58A2" w:rsidP="000956DF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59811" w14:textId="77777777" w:rsidR="004A46E3" w:rsidRDefault="004A46E3">
      <w:r>
        <w:separator/>
      </w:r>
    </w:p>
  </w:footnote>
  <w:footnote w:type="continuationSeparator" w:id="0">
    <w:p w14:paraId="50A4ACDB" w14:textId="77777777" w:rsidR="004A46E3" w:rsidRDefault="004A4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22E99" w14:textId="4BD95F5F" w:rsidR="001E58A2" w:rsidRPr="006E3546" w:rsidRDefault="001E58A2" w:rsidP="006E3546">
    <w:pPr>
      <w:tabs>
        <w:tab w:val="left" w:pos="567"/>
      </w:tabs>
      <w:suppressAutoHyphens/>
      <w:autoSpaceDE/>
      <w:autoSpaceDN/>
      <w:adjustRightInd/>
      <w:rPr>
        <w:sz w:val="18"/>
        <w:szCs w:val="18"/>
        <w:lang w:eastAsia="zh-CN"/>
      </w:rPr>
    </w:pPr>
    <w:r w:rsidRPr="006E3546">
      <w:rPr>
        <w:sz w:val="18"/>
        <w:szCs w:val="18"/>
        <w:lang w:eastAsia="zh-CN"/>
      </w:rPr>
      <w:t xml:space="preserve">Schválený text k rozhodnutiu o registrácii, ev. č.: </w:t>
    </w:r>
    <w:r w:rsidRPr="00A27C54">
      <w:rPr>
        <w:sz w:val="18"/>
        <w:szCs w:val="18"/>
      </w:rPr>
      <w:t xml:space="preserve">2019/04812-REG </w:t>
    </w:r>
  </w:p>
  <w:p w14:paraId="7E028908" w14:textId="77777777" w:rsidR="001E58A2" w:rsidRPr="00385192" w:rsidRDefault="001E58A2" w:rsidP="006E3546">
    <w:pPr>
      <w:pStyle w:val="Hlavika"/>
      <w:ind w:left="0" w:firstLine="0"/>
      <w:jc w:val="left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EF80D68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471644"/>
    <w:multiLevelType w:val="hybridMultilevel"/>
    <w:tmpl w:val="D80026AA"/>
    <w:lvl w:ilvl="0" w:tplc="BDD8A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30332"/>
    <w:multiLevelType w:val="hybridMultilevel"/>
    <w:tmpl w:val="A21C8D2C"/>
    <w:lvl w:ilvl="0" w:tplc="7C72B5C6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347"/>
        </w:tabs>
        <w:ind w:left="134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067"/>
        </w:tabs>
        <w:ind w:left="20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87"/>
        </w:tabs>
        <w:ind w:left="27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507"/>
        </w:tabs>
        <w:ind w:left="350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227"/>
        </w:tabs>
        <w:ind w:left="42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947"/>
        </w:tabs>
        <w:ind w:left="49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667"/>
        </w:tabs>
        <w:ind w:left="566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387"/>
        </w:tabs>
        <w:ind w:left="6387" w:hanging="360"/>
      </w:pPr>
      <w:rPr>
        <w:rFonts w:ascii="Wingdings" w:hAnsi="Wingdings" w:hint="default"/>
      </w:rPr>
    </w:lvl>
  </w:abstractNum>
  <w:abstractNum w:abstractNumId="3" w15:restartNumberingAfterBreak="0">
    <w:nsid w:val="0DBB0313"/>
    <w:multiLevelType w:val="hybridMultilevel"/>
    <w:tmpl w:val="28885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12EEE"/>
    <w:multiLevelType w:val="hybridMultilevel"/>
    <w:tmpl w:val="DC24DB4A"/>
    <w:lvl w:ilvl="0" w:tplc="36C8F37E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347"/>
        </w:tabs>
        <w:ind w:left="134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067"/>
        </w:tabs>
        <w:ind w:left="20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87"/>
        </w:tabs>
        <w:ind w:left="27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507"/>
        </w:tabs>
        <w:ind w:left="350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227"/>
        </w:tabs>
        <w:ind w:left="42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947"/>
        </w:tabs>
        <w:ind w:left="49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667"/>
        </w:tabs>
        <w:ind w:left="566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387"/>
        </w:tabs>
        <w:ind w:left="6387" w:hanging="360"/>
      </w:pPr>
      <w:rPr>
        <w:rFonts w:ascii="Wingdings" w:hAnsi="Wingdings" w:hint="default"/>
      </w:rPr>
    </w:lvl>
  </w:abstractNum>
  <w:abstractNum w:abstractNumId="5" w15:restartNumberingAfterBreak="0">
    <w:nsid w:val="15481023"/>
    <w:multiLevelType w:val="multilevel"/>
    <w:tmpl w:val="3FC621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  <w:b w:val="0"/>
        <w:bCs w:val="0"/>
      </w:rPr>
    </w:lvl>
  </w:abstractNum>
  <w:abstractNum w:abstractNumId="6" w15:restartNumberingAfterBreak="0">
    <w:nsid w:val="1AB303A9"/>
    <w:multiLevelType w:val="hybridMultilevel"/>
    <w:tmpl w:val="4B684036"/>
    <w:lvl w:ilvl="0" w:tplc="7C72B5C6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7" w15:restartNumberingAfterBreak="0">
    <w:nsid w:val="1EDF05F5"/>
    <w:multiLevelType w:val="multilevel"/>
    <w:tmpl w:val="905EDB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u w:val="none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bCs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  <w:bCs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  <w:bCs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  <w:bCs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  <w:bCs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  <w:b/>
        <w:bCs/>
        <w:u w:val="none"/>
      </w:rPr>
    </w:lvl>
  </w:abstractNum>
  <w:abstractNum w:abstractNumId="8" w15:restartNumberingAfterBreak="0">
    <w:nsid w:val="25FE39B1"/>
    <w:multiLevelType w:val="hybridMultilevel"/>
    <w:tmpl w:val="CB2CEE7A"/>
    <w:lvl w:ilvl="0" w:tplc="041B0001">
      <w:start w:val="1"/>
      <w:numFmt w:val="bullet"/>
      <w:lvlText w:val=""/>
      <w:lvlJc w:val="left"/>
      <w:pPr>
        <w:tabs>
          <w:tab w:val="num" w:pos="1580"/>
        </w:tabs>
        <w:ind w:left="1580" w:hanging="360"/>
      </w:pPr>
      <w:rPr>
        <w:rFonts w:ascii="Symbol" w:hAnsi="Symbol" w:hint="default"/>
      </w:rPr>
    </w:lvl>
    <w:lvl w:ilvl="1" w:tplc="A4C48928">
      <w:numFmt w:val="bullet"/>
      <w:lvlText w:val="-"/>
      <w:lvlJc w:val="left"/>
      <w:pPr>
        <w:tabs>
          <w:tab w:val="num" w:pos="2000"/>
        </w:tabs>
        <w:ind w:left="200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9" w15:restartNumberingAfterBreak="0">
    <w:nsid w:val="28383568"/>
    <w:multiLevelType w:val="multilevel"/>
    <w:tmpl w:val="76D07A4C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</w:abstractNum>
  <w:abstractNum w:abstractNumId="10" w15:restartNumberingAfterBreak="0">
    <w:nsid w:val="2F4233D8"/>
    <w:multiLevelType w:val="hybridMultilevel"/>
    <w:tmpl w:val="563838BC"/>
    <w:lvl w:ilvl="0" w:tplc="BDD8A3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73F08"/>
    <w:multiLevelType w:val="multilevel"/>
    <w:tmpl w:val="42984CA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  <w:b w:val="0"/>
        <w:bCs w:val="0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</w:abstractNum>
  <w:abstractNum w:abstractNumId="12" w15:restartNumberingAfterBreak="0">
    <w:nsid w:val="36192A85"/>
    <w:multiLevelType w:val="hybridMultilevel"/>
    <w:tmpl w:val="DF186162"/>
    <w:lvl w:ilvl="0" w:tplc="041B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D8721BA"/>
    <w:multiLevelType w:val="hybridMultilevel"/>
    <w:tmpl w:val="44886032"/>
    <w:lvl w:ilvl="0" w:tplc="041B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78571FA"/>
    <w:multiLevelType w:val="hybridMultilevel"/>
    <w:tmpl w:val="49744EC8"/>
    <w:lvl w:ilvl="0" w:tplc="71A8D6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D74B1"/>
    <w:multiLevelType w:val="hybridMultilevel"/>
    <w:tmpl w:val="102258DE"/>
    <w:lvl w:ilvl="0" w:tplc="7C72B5C6">
      <w:numFmt w:val="bullet"/>
      <w:lvlText w:val="-"/>
      <w:lvlJc w:val="left"/>
      <w:pPr>
        <w:tabs>
          <w:tab w:val="num" w:pos="1580"/>
        </w:tabs>
        <w:ind w:left="158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6" w15:restartNumberingAfterBreak="0">
    <w:nsid w:val="4B8A31F1"/>
    <w:multiLevelType w:val="multilevel"/>
    <w:tmpl w:val="102258DE"/>
    <w:lvl w:ilvl="0">
      <w:numFmt w:val="bullet"/>
      <w:lvlText w:val="-"/>
      <w:lvlJc w:val="left"/>
      <w:pPr>
        <w:tabs>
          <w:tab w:val="num" w:pos="1580"/>
        </w:tabs>
        <w:ind w:left="15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7" w15:restartNumberingAfterBreak="0">
    <w:nsid w:val="6A9C41D9"/>
    <w:multiLevelType w:val="multilevel"/>
    <w:tmpl w:val="24A4272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70890B44"/>
    <w:multiLevelType w:val="hybridMultilevel"/>
    <w:tmpl w:val="AD46C9D4"/>
    <w:lvl w:ilvl="0" w:tplc="98687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83AD6"/>
    <w:multiLevelType w:val="hybridMultilevel"/>
    <w:tmpl w:val="CE0EA6D0"/>
    <w:lvl w:ilvl="0" w:tplc="2A00AA2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D341709"/>
    <w:multiLevelType w:val="hybridMultilevel"/>
    <w:tmpl w:val="B812FFA8"/>
    <w:lvl w:ilvl="0" w:tplc="041B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FD86193"/>
    <w:multiLevelType w:val="multilevel"/>
    <w:tmpl w:val="DF186162"/>
    <w:lvl w:ilvl="0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850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">
    <w:abstractNumId w:val="13"/>
  </w:num>
  <w:num w:numId="3">
    <w:abstractNumId w:val="20"/>
  </w:num>
  <w:num w:numId="4">
    <w:abstractNumId w:val="12"/>
  </w:num>
  <w:num w:numId="5">
    <w:abstractNumId w:val="21"/>
  </w:num>
  <w:num w:numId="6">
    <w:abstractNumId w:val="6"/>
  </w:num>
  <w:num w:numId="7">
    <w:abstractNumId w:val="2"/>
  </w:num>
  <w:num w:numId="8">
    <w:abstractNumId w:val="4"/>
  </w:num>
  <w:num w:numId="9">
    <w:abstractNumId w:val="11"/>
  </w:num>
  <w:num w:numId="10">
    <w:abstractNumId w:val="15"/>
  </w:num>
  <w:num w:numId="11">
    <w:abstractNumId w:val="16"/>
  </w:num>
  <w:num w:numId="12">
    <w:abstractNumId w:val="8"/>
  </w:num>
  <w:num w:numId="13">
    <w:abstractNumId w:val="9"/>
  </w:num>
  <w:num w:numId="14">
    <w:abstractNumId w:val="19"/>
  </w:num>
  <w:num w:numId="15">
    <w:abstractNumId w:val="5"/>
  </w:num>
  <w:num w:numId="16">
    <w:abstractNumId w:val="17"/>
  </w:num>
  <w:num w:numId="17">
    <w:abstractNumId w:val="7"/>
  </w:num>
  <w:num w:numId="18">
    <w:abstractNumId w:val="3"/>
  </w:num>
  <w:num w:numId="19">
    <w:abstractNumId w:val="18"/>
  </w:num>
  <w:num w:numId="20">
    <w:abstractNumId w:val="14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21"/>
    <w:rsid w:val="00006954"/>
    <w:rsid w:val="00013216"/>
    <w:rsid w:val="00015C39"/>
    <w:rsid w:val="0001621D"/>
    <w:rsid w:val="00017324"/>
    <w:rsid w:val="00020CBC"/>
    <w:rsid w:val="00021500"/>
    <w:rsid w:val="000243F2"/>
    <w:rsid w:val="00024417"/>
    <w:rsid w:val="00026446"/>
    <w:rsid w:val="00026FEF"/>
    <w:rsid w:val="00030CC6"/>
    <w:rsid w:val="000327EB"/>
    <w:rsid w:val="00032ED7"/>
    <w:rsid w:val="00042574"/>
    <w:rsid w:val="00043C7C"/>
    <w:rsid w:val="00050234"/>
    <w:rsid w:val="00056E9E"/>
    <w:rsid w:val="0005755B"/>
    <w:rsid w:val="00057700"/>
    <w:rsid w:val="00062D92"/>
    <w:rsid w:val="00065EA0"/>
    <w:rsid w:val="000660B0"/>
    <w:rsid w:val="00070257"/>
    <w:rsid w:val="000710AA"/>
    <w:rsid w:val="00074E7F"/>
    <w:rsid w:val="00083F19"/>
    <w:rsid w:val="00085135"/>
    <w:rsid w:val="00093F0E"/>
    <w:rsid w:val="000956DF"/>
    <w:rsid w:val="00095CC2"/>
    <w:rsid w:val="000A00B3"/>
    <w:rsid w:val="000A06FA"/>
    <w:rsid w:val="000A2E40"/>
    <w:rsid w:val="000A31E0"/>
    <w:rsid w:val="000A69F8"/>
    <w:rsid w:val="000A6E84"/>
    <w:rsid w:val="000B2046"/>
    <w:rsid w:val="000B428D"/>
    <w:rsid w:val="000C07B4"/>
    <w:rsid w:val="000C152D"/>
    <w:rsid w:val="000D2510"/>
    <w:rsid w:val="000D534A"/>
    <w:rsid w:val="000E1671"/>
    <w:rsid w:val="000F1179"/>
    <w:rsid w:val="000F44E6"/>
    <w:rsid w:val="000F7C2C"/>
    <w:rsid w:val="001044A1"/>
    <w:rsid w:val="00106A38"/>
    <w:rsid w:val="00112848"/>
    <w:rsid w:val="00112A7C"/>
    <w:rsid w:val="00113E95"/>
    <w:rsid w:val="00113FC2"/>
    <w:rsid w:val="00114DF9"/>
    <w:rsid w:val="001203CC"/>
    <w:rsid w:val="00120998"/>
    <w:rsid w:val="00123F3A"/>
    <w:rsid w:val="0012556C"/>
    <w:rsid w:val="001314B9"/>
    <w:rsid w:val="0013316F"/>
    <w:rsid w:val="0013331B"/>
    <w:rsid w:val="0013391B"/>
    <w:rsid w:val="00137855"/>
    <w:rsid w:val="00142044"/>
    <w:rsid w:val="00142FC8"/>
    <w:rsid w:val="00153467"/>
    <w:rsid w:val="001556CB"/>
    <w:rsid w:val="00157926"/>
    <w:rsid w:val="00161579"/>
    <w:rsid w:val="0017073A"/>
    <w:rsid w:val="00175F44"/>
    <w:rsid w:val="0017658F"/>
    <w:rsid w:val="001778CF"/>
    <w:rsid w:val="00177959"/>
    <w:rsid w:val="001874AC"/>
    <w:rsid w:val="00187D68"/>
    <w:rsid w:val="00190590"/>
    <w:rsid w:val="0019417F"/>
    <w:rsid w:val="00195215"/>
    <w:rsid w:val="001A0801"/>
    <w:rsid w:val="001A457D"/>
    <w:rsid w:val="001A6CC3"/>
    <w:rsid w:val="001B0874"/>
    <w:rsid w:val="001B14A1"/>
    <w:rsid w:val="001B22DB"/>
    <w:rsid w:val="001B6C48"/>
    <w:rsid w:val="001B7A5D"/>
    <w:rsid w:val="001C3029"/>
    <w:rsid w:val="001C3EDB"/>
    <w:rsid w:val="001C7CCE"/>
    <w:rsid w:val="001D60A4"/>
    <w:rsid w:val="001D7070"/>
    <w:rsid w:val="001D7E2D"/>
    <w:rsid w:val="001E186E"/>
    <w:rsid w:val="001E1AA7"/>
    <w:rsid w:val="001E58A2"/>
    <w:rsid w:val="001E695D"/>
    <w:rsid w:val="001F29BF"/>
    <w:rsid w:val="00201621"/>
    <w:rsid w:val="00203829"/>
    <w:rsid w:val="00206903"/>
    <w:rsid w:val="00206925"/>
    <w:rsid w:val="00212895"/>
    <w:rsid w:val="00215992"/>
    <w:rsid w:val="00216ABB"/>
    <w:rsid w:val="0022228D"/>
    <w:rsid w:val="002235F6"/>
    <w:rsid w:val="00225D16"/>
    <w:rsid w:val="00226875"/>
    <w:rsid w:val="002334F6"/>
    <w:rsid w:val="00236B9E"/>
    <w:rsid w:val="0023755B"/>
    <w:rsid w:val="00241110"/>
    <w:rsid w:val="00241FED"/>
    <w:rsid w:val="002471AD"/>
    <w:rsid w:val="00251B16"/>
    <w:rsid w:val="0025297C"/>
    <w:rsid w:val="00254010"/>
    <w:rsid w:val="0025510D"/>
    <w:rsid w:val="00264663"/>
    <w:rsid w:val="00265757"/>
    <w:rsid w:val="002710B8"/>
    <w:rsid w:val="00271AD7"/>
    <w:rsid w:val="00271D42"/>
    <w:rsid w:val="0027271B"/>
    <w:rsid w:val="002765B4"/>
    <w:rsid w:val="00277C6C"/>
    <w:rsid w:val="00280236"/>
    <w:rsid w:val="002814FC"/>
    <w:rsid w:val="00282412"/>
    <w:rsid w:val="00282A73"/>
    <w:rsid w:val="00284EF3"/>
    <w:rsid w:val="00290D53"/>
    <w:rsid w:val="00297C33"/>
    <w:rsid w:val="00297DB4"/>
    <w:rsid w:val="002A1A1C"/>
    <w:rsid w:val="002A1F89"/>
    <w:rsid w:val="002A2904"/>
    <w:rsid w:val="002A4719"/>
    <w:rsid w:val="002B4073"/>
    <w:rsid w:val="002B7E38"/>
    <w:rsid w:val="002C3149"/>
    <w:rsid w:val="002C3C84"/>
    <w:rsid w:val="002C423A"/>
    <w:rsid w:val="002C45CD"/>
    <w:rsid w:val="002C78E7"/>
    <w:rsid w:val="002D3B24"/>
    <w:rsid w:val="002D46BA"/>
    <w:rsid w:val="002D4977"/>
    <w:rsid w:val="002E034E"/>
    <w:rsid w:val="002E05C9"/>
    <w:rsid w:val="002E7070"/>
    <w:rsid w:val="002F139A"/>
    <w:rsid w:val="002F5CD5"/>
    <w:rsid w:val="002F6DC7"/>
    <w:rsid w:val="00301BDF"/>
    <w:rsid w:val="00306C81"/>
    <w:rsid w:val="00306F31"/>
    <w:rsid w:val="00310996"/>
    <w:rsid w:val="00310F4E"/>
    <w:rsid w:val="00315894"/>
    <w:rsid w:val="003176A5"/>
    <w:rsid w:val="00330C3C"/>
    <w:rsid w:val="003314C5"/>
    <w:rsid w:val="00333877"/>
    <w:rsid w:val="0033606F"/>
    <w:rsid w:val="00343768"/>
    <w:rsid w:val="003457CB"/>
    <w:rsid w:val="00347BAF"/>
    <w:rsid w:val="0035163D"/>
    <w:rsid w:val="00352543"/>
    <w:rsid w:val="00356158"/>
    <w:rsid w:val="0036001D"/>
    <w:rsid w:val="00361329"/>
    <w:rsid w:val="003623B7"/>
    <w:rsid w:val="0036426A"/>
    <w:rsid w:val="003655B1"/>
    <w:rsid w:val="00367939"/>
    <w:rsid w:val="003703B0"/>
    <w:rsid w:val="00370D34"/>
    <w:rsid w:val="003836B3"/>
    <w:rsid w:val="00385192"/>
    <w:rsid w:val="0038702F"/>
    <w:rsid w:val="003A0979"/>
    <w:rsid w:val="003A0F1E"/>
    <w:rsid w:val="003A3D5C"/>
    <w:rsid w:val="003A5D8E"/>
    <w:rsid w:val="003B0E69"/>
    <w:rsid w:val="003B4AD6"/>
    <w:rsid w:val="003C37FB"/>
    <w:rsid w:val="003C59BD"/>
    <w:rsid w:val="003C72B2"/>
    <w:rsid w:val="003C76E7"/>
    <w:rsid w:val="003C7755"/>
    <w:rsid w:val="003D2149"/>
    <w:rsid w:val="003D686A"/>
    <w:rsid w:val="003E26CB"/>
    <w:rsid w:val="003E5042"/>
    <w:rsid w:val="003E71AD"/>
    <w:rsid w:val="003F42AE"/>
    <w:rsid w:val="003F4D8B"/>
    <w:rsid w:val="003F545D"/>
    <w:rsid w:val="004005C5"/>
    <w:rsid w:val="004008AF"/>
    <w:rsid w:val="0040130E"/>
    <w:rsid w:val="0040222A"/>
    <w:rsid w:val="00402D74"/>
    <w:rsid w:val="00406729"/>
    <w:rsid w:val="004125C9"/>
    <w:rsid w:val="00413561"/>
    <w:rsid w:val="00420166"/>
    <w:rsid w:val="00424C6D"/>
    <w:rsid w:val="00424DE7"/>
    <w:rsid w:val="004256C4"/>
    <w:rsid w:val="00426636"/>
    <w:rsid w:val="00427163"/>
    <w:rsid w:val="004312B3"/>
    <w:rsid w:val="00431D37"/>
    <w:rsid w:val="0043264C"/>
    <w:rsid w:val="00434EC9"/>
    <w:rsid w:val="00443833"/>
    <w:rsid w:val="0045003A"/>
    <w:rsid w:val="00453BD2"/>
    <w:rsid w:val="00463109"/>
    <w:rsid w:val="004706D0"/>
    <w:rsid w:val="00470E44"/>
    <w:rsid w:val="00475665"/>
    <w:rsid w:val="0047695D"/>
    <w:rsid w:val="004778A2"/>
    <w:rsid w:val="00482B5D"/>
    <w:rsid w:val="0048458B"/>
    <w:rsid w:val="0048626F"/>
    <w:rsid w:val="00491048"/>
    <w:rsid w:val="0049781C"/>
    <w:rsid w:val="004A0AD9"/>
    <w:rsid w:val="004A46E3"/>
    <w:rsid w:val="004A5459"/>
    <w:rsid w:val="004A5D8A"/>
    <w:rsid w:val="004A6181"/>
    <w:rsid w:val="004A7106"/>
    <w:rsid w:val="004B1032"/>
    <w:rsid w:val="004B3CCE"/>
    <w:rsid w:val="004C5240"/>
    <w:rsid w:val="004C6424"/>
    <w:rsid w:val="004C765B"/>
    <w:rsid w:val="004C7BC0"/>
    <w:rsid w:val="004D2757"/>
    <w:rsid w:val="004D3C64"/>
    <w:rsid w:val="004D5CA9"/>
    <w:rsid w:val="004D7C7F"/>
    <w:rsid w:val="004E07FA"/>
    <w:rsid w:val="004E2C65"/>
    <w:rsid w:val="004E3D12"/>
    <w:rsid w:val="004E5656"/>
    <w:rsid w:val="004E6298"/>
    <w:rsid w:val="004E63B9"/>
    <w:rsid w:val="004F2CD7"/>
    <w:rsid w:val="004F5B31"/>
    <w:rsid w:val="004F5CC4"/>
    <w:rsid w:val="0050107E"/>
    <w:rsid w:val="005057B4"/>
    <w:rsid w:val="005103B9"/>
    <w:rsid w:val="0051125A"/>
    <w:rsid w:val="00511E57"/>
    <w:rsid w:val="005134CB"/>
    <w:rsid w:val="005142DA"/>
    <w:rsid w:val="0051651E"/>
    <w:rsid w:val="00517B4C"/>
    <w:rsid w:val="00521D50"/>
    <w:rsid w:val="005306E5"/>
    <w:rsid w:val="00530B69"/>
    <w:rsid w:val="00530C68"/>
    <w:rsid w:val="00532B6C"/>
    <w:rsid w:val="00534837"/>
    <w:rsid w:val="00534B98"/>
    <w:rsid w:val="00536E4E"/>
    <w:rsid w:val="00541241"/>
    <w:rsid w:val="00544F3B"/>
    <w:rsid w:val="005476E4"/>
    <w:rsid w:val="00547EE5"/>
    <w:rsid w:val="00550B99"/>
    <w:rsid w:val="00550BA7"/>
    <w:rsid w:val="0055286A"/>
    <w:rsid w:val="00553FA7"/>
    <w:rsid w:val="00554B00"/>
    <w:rsid w:val="00566B2B"/>
    <w:rsid w:val="00570472"/>
    <w:rsid w:val="00571322"/>
    <w:rsid w:val="005714A9"/>
    <w:rsid w:val="0057287F"/>
    <w:rsid w:val="005730F9"/>
    <w:rsid w:val="00575D1F"/>
    <w:rsid w:val="005770CA"/>
    <w:rsid w:val="00583C3F"/>
    <w:rsid w:val="00584013"/>
    <w:rsid w:val="00585CE3"/>
    <w:rsid w:val="00590AF6"/>
    <w:rsid w:val="0059526A"/>
    <w:rsid w:val="005A2346"/>
    <w:rsid w:val="005A4AD6"/>
    <w:rsid w:val="005B1BEA"/>
    <w:rsid w:val="005B1C58"/>
    <w:rsid w:val="005B2EA2"/>
    <w:rsid w:val="005B49AF"/>
    <w:rsid w:val="005C06BE"/>
    <w:rsid w:val="005D071D"/>
    <w:rsid w:val="005D33CD"/>
    <w:rsid w:val="005D5036"/>
    <w:rsid w:val="005E24D7"/>
    <w:rsid w:val="005F3342"/>
    <w:rsid w:val="005F3FBB"/>
    <w:rsid w:val="005F4081"/>
    <w:rsid w:val="0060696A"/>
    <w:rsid w:val="00607A0C"/>
    <w:rsid w:val="00610FFA"/>
    <w:rsid w:val="006114B9"/>
    <w:rsid w:val="00616B61"/>
    <w:rsid w:val="00617FE2"/>
    <w:rsid w:val="00627672"/>
    <w:rsid w:val="00632EAE"/>
    <w:rsid w:val="00634DDD"/>
    <w:rsid w:val="006377B6"/>
    <w:rsid w:val="00643E97"/>
    <w:rsid w:val="00644D53"/>
    <w:rsid w:val="00650676"/>
    <w:rsid w:val="00655A76"/>
    <w:rsid w:val="00656012"/>
    <w:rsid w:val="00656503"/>
    <w:rsid w:val="00656BA6"/>
    <w:rsid w:val="006605D1"/>
    <w:rsid w:val="00662ADA"/>
    <w:rsid w:val="00662DD0"/>
    <w:rsid w:val="00663A66"/>
    <w:rsid w:val="006652AC"/>
    <w:rsid w:val="006719CE"/>
    <w:rsid w:val="00671F4E"/>
    <w:rsid w:val="00673158"/>
    <w:rsid w:val="00673DCD"/>
    <w:rsid w:val="00676EEB"/>
    <w:rsid w:val="00686116"/>
    <w:rsid w:val="00687728"/>
    <w:rsid w:val="00690147"/>
    <w:rsid w:val="006913AF"/>
    <w:rsid w:val="00696F73"/>
    <w:rsid w:val="006A7E93"/>
    <w:rsid w:val="006B20D1"/>
    <w:rsid w:val="006B2897"/>
    <w:rsid w:val="006B3C7F"/>
    <w:rsid w:val="006B63E0"/>
    <w:rsid w:val="006B7F07"/>
    <w:rsid w:val="006C2F6D"/>
    <w:rsid w:val="006C647E"/>
    <w:rsid w:val="006C6774"/>
    <w:rsid w:val="006D1649"/>
    <w:rsid w:val="006D5B40"/>
    <w:rsid w:val="006D7648"/>
    <w:rsid w:val="006E298F"/>
    <w:rsid w:val="006E2A8D"/>
    <w:rsid w:val="006E3546"/>
    <w:rsid w:val="006E3881"/>
    <w:rsid w:val="006E6BE8"/>
    <w:rsid w:val="006E77CF"/>
    <w:rsid w:val="006F422A"/>
    <w:rsid w:val="006F4ECB"/>
    <w:rsid w:val="006F73FE"/>
    <w:rsid w:val="0070041C"/>
    <w:rsid w:val="00704930"/>
    <w:rsid w:val="00711D3F"/>
    <w:rsid w:val="00717580"/>
    <w:rsid w:val="00722A74"/>
    <w:rsid w:val="0072571C"/>
    <w:rsid w:val="00725A28"/>
    <w:rsid w:val="0072657F"/>
    <w:rsid w:val="00726735"/>
    <w:rsid w:val="00727161"/>
    <w:rsid w:val="00730638"/>
    <w:rsid w:val="007318BA"/>
    <w:rsid w:val="00736E36"/>
    <w:rsid w:val="00741496"/>
    <w:rsid w:val="00742012"/>
    <w:rsid w:val="00743199"/>
    <w:rsid w:val="00743D38"/>
    <w:rsid w:val="00745439"/>
    <w:rsid w:val="0075198C"/>
    <w:rsid w:val="00751F5E"/>
    <w:rsid w:val="00753CEA"/>
    <w:rsid w:val="00756E86"/>
    <w:rsid w:val="0075745B"/>
    <w:rsid w:val="00762044"/>
    <w:rsid w:val="0076772A"/>
    <w:rsid w:val="007678BB"/>
    <w:rsid w:val="00767E99"/>
    <w:rsid w:val="0077156D"/>
    <w:rsid w:val="007738B4"/>
    <w:rsid w:val="007756B3"/>
    <w:rsid w:val="007770C8"/>
    <w:rsid w:val="007816B0"/>
    <w:rsid w:val="0078178C"/>
    <w:rsid w:val="00781DC2"/>
    <w:rsid w:val="007920EB"/>
    <w:rsid w:val="00792238"/>
    <w:rsid w:val="00794696"/>
    <w:rsid w:val="00795068"/>
    <w:rsid w:val="00796450"/>
    <w:rsid w:val="007A20D6"/>
    <w:rsid w:val="007A30F8"/>
    <w:rsid w:val="007A3C6E"/>
    <w:rsid w:val="007A45B5"/>
    <w:rsid w:val="007A64BD"/>
    <w:rsid w:val="007A71E2"/>
    <w:rsid w:val="007B11D9"/>
    <w:rsid w:val="007B5FCF"/>
    <w:rsid w:val="007B6CE1"/>
    <w:rsid w:val="007B6E8B"/>
    <w:rsid w:val="007B703C"/>
    <w:rsid w:val="007C3B54"/>
    <w:rsid w:val="007C4478"/>
    <w:rsid w:val="007C7123"/>
    <w:rsid w:val="007D2CC5"/>
    <w:rsid w:val="007D3EEE"/>
    <w:rsid w:val="007D596F"/>
    <w:rsid w:val="007E15A8"/>
    <w:rsid w:val="007E69C2"/>
    <w:rsid w:val="007E7F7F"/>
    <w:rsid w:val="007F3CDD"/>
    <w:rsid w:val="007F6C3E"/>
    <w:rsid w:val="007F7873"/>
    <w:rsid w:val="0080052B"/>
    <w:rsid w:val="00801E2D"/>
    <w:rsid w:val="008020D2"/>
    <w:rsid w:val="0080285F"/>
    <w:rsid w:val="008055D2"/>
    <w:rsid w:val="00816557"/>
    <w:rsid w:val="00821128"/>
    <w:rsid w:val="00821A19"/>
    <w:rsid w:val="0083071B"/>
    <w:rsid w:val="0083352A"/>
    <w:rsid w:val="0083423D"/>
    <w:rsid w:val="008348DC"/>
    <w:rsid w:val="00837F3B"/>
    <w:rsid w:val="00841D29"/>
    <w:rsid w:val="00843EFE"/>
    <w:rsid w:val="00844090"/>
    <w:rsid w:val="00844F7E"/>
    <w:rsid w:val="00855525"/>
    <w:rsid w:val="00862871"/>
    <w:rsid w:val="00864067"/>
    <w:rsid w:val="008650C9"/>
    <w:rsid w:val="008670F7"/>
    <w:rsid w:val="00874926"/>
    <w:rsid w:val="00875C62"/>
    <w:rsid w:val="0087628A"/>
    <w:rsid w:val="00880B33"/>
    <w:rsid w:val="00882D6B"/>
    <w:rsid w:val="00883BA5"/>
    <w:rsid w:val="008859BE"/>
    <w:rsid w:val="008861AF"/>
    <w:rsid w:val="00892D31"/>
    <w:rsid w:val="008930FF"/>
    <w:rsid w:val="008A2988"/>
    <w:rsid w:val="008A3511"/>
    <w:rsid w:val="008A3573"/>
    <w:rsid w:val="008A42CE"/>
    <w:rsid w:val="008A6C79"/>
    <w:rsid w:val="008A6FE5"/>
    <w:rsid w:val="008A7E3D"/>
    <w:rsid w:val="008B11AF"/>
    <w:rsid w:val="008B48E9"/>
    <w:rsid w:val="008B4EDE"/>
    <w:rsid w:val="008B5219"/>
    <w:rsid w:val="008B5D58"/>
    <w:rsid w:val="008B638E"/>
    <w:rsid w:val="008C065D"/>
    <w:rsid w:val="008C0E73"/>
    <w:rsid w:val="008C37FC"/>
    <w:rsid w:val="008C4802"/>
    <w:rsid w:val="008C5267"/>
    <w:rsid w:val="008C7974"/>
    <w:rsid w:val="008D46D4"/>
    <w:rsid w:val="008D57EB"/>
    <w:rsid w:val="008E0EEB"/>
    <w:rsid w:val="008E226F"/>
    <w:rsid w:val="008E3182"/>
    <w:rsid w:val="008E34E5"/>
    <w:rsid w:val="008E418A"/>
    <w:rsid w:val="008E5524"/>
    <w:rsid w:val="008E7378"/>
    <w:rsid w:val="008F0319"/>
    <w:rsid w:val="008F3C1C"/>
    <w:rsid w:val="008F58A4"/>
    <w:rsid w:val="008F73F9"/>
    <w:rsid w:val="00903D84"/>
    <w:rsid w:val="00907F7B"/>
    <w:rsid w:val="00915682"/>
    <w:rsid w:val="0091610F"/>
    <w:rsid w:val="009163E6"/>
    <w:rsid w:val="0092001A"/>
    <w:rsid w:val="0092621B"/>
    <w:rsid w:val="00930546"/>
    <w:rsid w:val="00931754"/>
    <w:rsid w:val="00931D4D"/>
    <w:rsid w:val="0093298D"/>
    <w:rsid w:val="009355C7"/>
    <w:rsid w:val="009411D5"/>
    <w:rsid w:val="0094374F"/>
    <w:rsid w:val="009477EA"/>
    <w:rsid w:val="00947B4C"/>
    <w:rsid w:val="00950954"/>
    <w:rsid w:val="00955195"/>
    <w:rsid w:val="00960280"/>
    <w:rsid w:val="009606E2"/>
    <w:rsid w:val="00962523"/>
    <w:rsid w:val="009644F2"/>
    <w:rsid w:val="00970E57"/>
    <w:rsid w:val="0097259C"/>
    <w:rsid w:val="00980D23"/>
    <w:rsid w:val="009822B3"/>
    <w:rsid w:val="00982BDA"/>
    <w:rsid w:val="00991211"/>
    <w:rsid w:val="009A1440"/>
    <w:rsid w:val="009A3FAD"/>
    <w:rsid w:val="009A5A82"/>
    <w:rsid w:val="009B0A5C"/>
    <w:rsid w:val="009B2B3C"/>
    <w:rsid w:val="009B4EC5"/>
    <w:rsid w:val="009C04E1"/>
    <w:rsid w:val="009C25B1"/>
    <w:rsid w:val="009C3C99"/>
    <w:rsid w:val="009D2707"/>
    <w:rsid w:val="009D2973"/>
    <w:rsid w:val="009D305A"/>
    <w:rsid w:val="009D399F"/>
    <w:rsid w:val="009D5CE7"/>
    <w:rsid w:val="009D61E2"/>
    <w:rsid w:val="009D712F"/>
    <w:rsid w:val="009E1967"/>
    <w:rsid w:val="009E506D"/>
    <w:rsid w:val="009E6E4A"/>
    <w:rsid w:val="009F44B2"/>
    <w:rsid w:val="009F6921"/>
    <w:rsid w:val="009F6CD9"/>
    <w:rsid w:val="00A02BAA"/>
    <w:rsid w:val="00A05F0D"/>
    <w:rsid w:val="00A079A1"/>
    <w:rsid w:val="00A138F8"/>
    <w:rsid w:val="00A15DF1"/>
    <w:rsid w:val="00A1706B"/>
    <w:rsid w:val="00A224DF"/>
    <w:rsid w:val="00A30F20"/>
    <w:rsid w:val="00A30FE3"/>
    <w:rsid w:val="00A34C4F"/>
    <w:rsid w:val="00A3580A"/>
    <w:rsid w:val="00A408FF"/>
    <w:rsid w:val="00A45B6C"/>
    <w:rsid w:val="00A50205"/>
    <w:rsid w:val="00A53E69"/>
    <w:rsid w:val="00A544FA"/>
    <w:rsid w:val="00A60B69"/>
    <w:rsid w:val="00A61563"/>
    <w:rsid w:val="00A63037"/>
    <w:rsid w:val="00A6336A"/>
    <w:rsid w:val="00A6433E"/>
    <w:rsid w:val="00A654A0"/>
    <w:rsid w:val="00A67A26"/>
    <w:rsid w:val="00A71DF8"/>
    <w:rsid w:val="00A71F11"/>
    <w:rsid w:val="00A761DA"/>
    <w:rsid w:val="00A86C4E"/>
    <w:rsid w:val="00A86D1E"/>
    <w:rsid w:val="00A86D21"/>
    <w:rsid w:val="00A9379D"/>
    <w:rsid w:val="00A94F95"/>
    <w:rsid w:val="00A97209"/>
    <w:rsid w:val="00AA761B"/>
    <w:rsid w:val="00AB3FB3"/>
    <w:rsid w:val="00AB6691"/>
    <w:rsid w:val="00AC5CDC"/>
    <w:rsid w:val="00AC749D"/>
    <w:rsid w:val="00AD5335"/>
    <w:rsid w:val="00AD77BA"/>
    <w:rsid w:val="00AE0C3C"/>
    <w:rsid w:val="00AE2D62"/>
    <w:rsid w:val="00AE6366"/>
    <w:rsid w:val="00AE6909"/>
    <w:rsid w:val="00AE7B2D"/>
    <w:rsid w:val="00AE7B60"/>
    <w:rsid w:val="00AE7DC5"/>
    <w:rsid w:val="00AF0612"/>
    <w:rsid w:val="00AF17BA"/>
    <w:rsid w:val="00AF51D7"/>
    <w:rsid w:val="00B023F8"/>
    <w:rsid w:val="00B0350A"/>
    <w:rsid w:val="00B0404E"/>
    <w:rsid w:val="00B07AF3"/>
    <w:rsid w:val="00B1418C"/>
    <w:rsid w:val="00B16E62"/>
    <w:rsid w:val="00B225A0"/>
    <w:rsid w:val="00B25897"/>
    <w:rsid w:val="00B349A5"/>
    <w:rsid w:val="00B37516"/>
    <w:rsid w:val="00B414D7"/>
    <w:rsid w:val="00B423A6"/>
    <w:rsid w:val="00B51B27"/>
    <w:rsid w:val="00B612D8"/>
    <w:rsid w:val="00B6421D"/>
    <w:rsid w:val="00B64ADA"/>
    <w:rsid w:val="00B7278F"/>
    <w:rsid w:val="00B73EA2"/>
    <w:rsid w:val="00B746D4"/>
    <w:rsid w:val="00B76007"/>
    <w:rsid w:val="00B768D3"/>
    <w:rsid w:val="00B800F8"/>
    <w:rsid w:val="00B8017D"/>
    <w:rsid w:val="00B81CC3"/>
    <w:rsid w:val="00B82850"/>
    <w:rsid w:val="00B82AC7"/>
    <w:rsid w:val="00B837E0"/>
    <w:rsid w:val="00B83D95"/>
    <w:rsid w:val="00B83E5C"/>
    <w:rsid w:val="00B8643A"/>
    <w:rsid w:val="00B94429"/>
    <w:rsid w:val="00BA0160"/>
    <w:rsid w:val="00BB089F"/>
    <w:rsid w:val="00BB4151"/>
    <w:rsid w:val="00BC06E7"/>
    <w:rsid w:val="00BC1D0D"/>
    <w:rsid w:val="00BC2EE9"/>
    <w:rsid w:val="00BD2489"/>
    <w:rsid w:val="00BD4DA3"/>
    <w:rsid w:val="00BD6939"/>
    <w:rsid w:val="00BE27E5"/>
    <w:rsid w:val="00BE3C0C"/>
    <w:rsid w:val="00BE44E7"/>
    <w:rsid w:val="00BE5577"/>
    <w:rsid w:val="00BF3F25"/>
    <w:rsid w:val="00BF6FDD"/>
    <w:rsid w:val="00C044FB"/>
    <w:rsid w:val="00C05C1D"/>
    <w:rsid w:val="00C07046"/>
    <w:rsid w:val="00C144FD"/>
    <w:rsid w:val="00C14881"/>
    <w:rsid w:val="00C20691"/>
    <w:rsid w:val="00C22E7F"/>
    <w:rsid w:val="00C231C1"/>
    <w:rsid w:val="00C24622"/>
    <w:rsid w:val="00C24D94"/>
    <w:rsid w:val="00C258CE"/>
    <w:rsid w:val="00C3435A"/>
    <w:rsid w:val="00C43B61"/>
    <w:rsid w:val="00C44BB1"/>
    <w:rsid w:val="00C50BE5"/>
    <w:rsid w:val="00C51A2A"/>
    <w:rsid w:val="00C529FA"/>
    <w:rsid w:val="00C640ED"/>
    <w:rsid w:val="00C64CC0"/>
    <w:rsid w:val="00C65D89"/>
    <w:rsid w:val="00C661B0"/>
    <w:rsid w:val="00C701BB"/>
    <w:rsid w:val="00C71B4C"/>
    <w:rsid w:val="00C7373F"/>
    <w:rsid w:val="00C738B8"/>
    <w:rsid w:val="00C74B8E"/>
    <w:rsid w:val="00C76850"/>
    <w:rsid w:val="00C77964"/>
    <w:rsid w:val="00C779E0"/>
    <w:rsid w:val="00C8168B"/>
    <w:rsid w:val="00C82863"/>
    <w:rsid w:val="00C82864"/>
    <w:rsid w:val="00C911D7"/>
    <w:rsid w:val="00C95CC3"/>
    <w:rsid w:val="00C96585"/>
    <w:rsid w:val="00C97A01"/>
    <w:rsid w:val="00CA0121"/>
    <w:rsid w:val="00CA3B32"/>
    <w:rsid w:val="00CB3347"/>
    <w:rsid w:val="00CB535C"/>
    <w:rsid w:val="00CC177C"/>
    <w:rsid w:val="00CC1BB1"/>
    <w:rsid w:val="00CC1D24"/>
    <w:rsid w:val="00CC1FBD"/>
    <w:rsid w:val="00CC2638"/>
    <w:rsid w:val="00CC3A0C"/>
    <w:rsid w:val="00CC4038"/>
    <w:rsid w:val="00CC5EE2"/>
    <w:rsid w:val="00CD1CAA"/>
    <w:rsid w:val="00CD354F"/>
    <w:rsid w:val="00CD3767"/>
    <w:rsid w:val="00CD70E4"/>
    <w:rsid w:val="00CE4C5F"/>
    <w:rsid w:val="00CF250D"/>
    <w:rsid w:val="00CF4F34"/>
    <w:rsid w:val="00CF74FA"/>
    <w:rsid w:val="00D028E6"/>
    <w:rsid w:val="00D105BA"/>
    <w:rsid w:val="00D13741"/>
    <w:rsid w:val="00D13A98"/>
    <w:rsid w:val="00D13B39"/>
    <w:rsid w:val="00D13DE0"/>
    <w:rsid w:val="00D14901"/>
    <w:rsid w:val="00D1674C"/>
    <w:rsid w:val="00D22687"/>
    <w:rsid w:val="00D22AF6"/>
    <w:rsid w:val="00D23B91"/>
    <w:rsid w:val="00D24D49"/>
    <w:rsid w:val="00D25703"/>
    <w:rsid w:val="00D26603"/>
    <w:rsid w:val="00D31E19"/>
    <w:rsid w:val="00D32B89"/>
    <w:rsid w:val="00D32C09"/>
    <w:rsid w:val="00D4104D"/>
    <w:rsid w:val="00D43B02"/>
    <w:rsid w:val="00D4409B"/>
    <w:rsid w:val="00D52A94"/>
    <w:rsid w:val="00D539B3"/>
    <w:rsid w:val="00D5791C"/>
    <w:rsid w:val="00D72AC1"/>
    <w:rsid w:val="00D730F4"/>
    <w:rsid w:val="00D734B6"/>
    <w:rsid w:val="00D7561C"/>
    <w:rsid w:val="00D75B5B"/>
    <w:rsid w:val="00D76577"/>
    <w:rsid w:val="00D76E3E"/>
    <w:rsid w:val="00D77202"/>
    <w:rsid w:val="00D80021"/>
    <w:rsid w:val="00D806AB"/>
    <w:rsid w:val="00D81A06"/>
    <w:rsid w:val="00D81DEA"/>
    <w:rsid w:val="00D860E4"/>
    <w:rsid w:val="00D904F9"/>
    <w:rsid w:val="00D93BFD"/>
    <w:rsid w:val="00D97657"/>
    <w:rsid w:val="00DA166C"/>
    <w:rsid w:val="00DA4426"/>
    <w:rsid w:val="00DB109A"/>
    <w:rsid w:val="00DB380F"/>
    <w:rsid w:val="00DB63C4"/>
    <w:rsid w:val="00DB7496"/>
    <w:rsid w:val="00DC2B51"/>
    <w:rsid w:val="00DC3C61"/>
    <w:rsid w:val="00DD4239"/>
    <w:rsid w:val="00DD5939"/>
    <w:rsid w:val="00DD760E"/>
    <w:rsid w:val="00DE05F8"/>
    <w:rsid w:val="00DE1B23"/>
    <w:rsid w:val="00DE21FC"/>
    <w:rsid w:val="00DE3B35"/>
    <w:rsid w:val="00DE4064"/>
    <w:rsid w:val="00DE48B8"/>
    <w:rsid w:val="00DE7F0B"/>
    <w:rsid w:val="00DF0064"/>
    <w:rsid w:val="00DF52A9"/>
    <w:rsid w:val="00E03183"/>
    <w:rsid w:val="00E0383F"/>
    <w:rsid w:val="00E06ED3"/>
    <w:rsid w:val="00E076AC"/>
    <w:rsid w:val="00E106B6"/>
    <w:rsid w:val="00E10D4E"/>
    <w:rsid w:val="00E10F0A"/>
    <w:rsid w:val="00E11CFE"/>
    <w:rsid w:val="00E13D9D"/>
    <w:rsid w:val="00E2035D"/>
    <w:rsid w:val="00E2189F"/>
    <w:rsid w:val="00E267C2"/>
    <w:rsid w:val="00E27011"/>
    <w:rsid w:val="00E314EC"/>
    <w:rsid w:val="00E32C94"/>
    <w:rsid w:val="00E442BE"/>
    <w:rsid w:val="00E53EEA"/>
    <w:rsid w:val="00E56C20"/>
    <w:rsid w:val="00E57801"/>
    <w:rsid w:val="00E61D0A"/>
    <w:rsid w:val="00E636D9"/>
    <w:rsid w:val="00E647E4"/>
    <w:rsid w:val="00E6608D"/>
    <w:rsid w:val="00E66257"/>
    <w:rsid w:val="00E747B2"/>
    <w:rsid w:val="00E76375"/>
    <w:rsid w:val="00E83735"/>
    <w:rsid w:val="00E92309"/>
    <w:rsid w:val="00E94138"/>
    <w:rsid w:val="00EA0A05"/>
    <w:rsid w:val="00EA13B1"/>
    <w:rsid w:val="00EA7C73"/>
    <w:rsid w:val="00EA7E9A"/>
    <w:rsid w:val="00EB4E6E"/>
    <w:rsid w:val="00EC1B1E"/>
    <w:rsid w:val="00EC2313"/>
    <w:rsid w:val="00EC3FE3"/>
    <w:rsid w:val="00EC5DC7"/>
    <w:rsid w:val="00ED309B"/>
    <w:rsid w:val="00ED36CB"/>
    <w:rsid w:val="00ED6C83"/>
    <w:rsid w:val="00EE0316"/>
    <w:rsid w:val="00EE1D29"/>
    <w:rsid w:val="00EE61B2"/>
    <w:rsid w:val="00EF05FE"/>
    <w:rsid w:val="00EF3ECB"/>
    <w:rsid w:val="00EF6EE0"/>
    <w:rsid w:val="00F00ACE"/>
    <w:rsid w:val="00F072AF"/>
    <w:rsid w:val="00F127B5"/>
    <w:rsid w:val="00F147BC"/>
    <w:rsid w:val="00F15FBB"/>
    <w:rsid w:val="00F17955"/>
    <w:rsid w:val="00F2147A"/>
    <w:rsid w:val="00F22AEF"/>
    <w:rsid w:val="00F231C8"/>
    <w:rsid w:val="00F2479D"/>
    <w:rsid w:val="00F24D53"/>
    <w:rsid w:val="00F27C7A"/>
    <w:rsid w:val="00F360C7"/>
    <w:rsid w:val="00F416E1"/>
    <w:rsid w:val="00F41839"/>
    <w:rsid w:val="00F42B24"/>
    <w:rsid w:val="00F42E2D"/>
    <w:rsid w:val="00F43B1E"/>
    <w:rsid w:val="00F446D5"/>
    <w:rsid w:val="00F535E4"/>
    <w:rsid w:val="00F53AA1"/>
    <w:rsid w:val="00F54BBB"/>
    <w:rsid w:val="00F54CC6"/>
    <w:rsid w:val="00F558B2"/>
    <w:rsid w:val="00F61A3F"/>
    <w:rsid w:val="00F6203B"/>
    <w:rsid w:val="00F6576B"/>
    <w:rsid w:val="00F67A58"/>
    <w:rsid w:val="00F70FF6"/>
    <w:rsid w:val="00F710E6"/>
    <w:rsid w:val="00F7370F"/>
    <w:rsid w:val="00F74313"/>
    <w:rsid w:val="00F75126"/>
    <w:rsid w:val="00F7584A"/>
    <w:rsid w:val="00F83A55"/>
    <w:rsid w:val="00F84A35"/>
    <w:rsid w:val="00F8660A"/>
    <w:rsid w:val="00F86679"/>
    <w:rsid w:val="00F86A07"/>
    <w:rsid w:val="00F87A3A"/>
    <w:rsid w:val="00F90A46"/>
    <w:rsid w:val="00F919A3"/>
    <w:rsid w:val="00F943AF"/>
    <w:rsid w:val="00F9500A"/>
    <w:rsid w:val="00FA1060"/>
    <w:rsid w:val="00FB04C3"/>
    <w:rsid w:val="00FB39E8"/>
    <w:rsid w:val="00FB4864"/>
    <w:rsid w:val="00FB52F1"/>
    <w:rsid w:val="00FB7012"/>
    <w:rsid w:val="00FC34D3"/>
    <w:rsid w:val="00FC51F5"/>
    <w:rsid w:val="00FC6204"/>
    <w:rsid w:val="00FC6EA1"/>
    <w:rsid w:val="00FC7902"/>
    <w:rsid w:val="00FD477B"/>
    <w:rsid w:val="00FD77A8"/>
    <w:rsid w:val="00FE2F34"/>
    <w:rsid w:val="00FE45D5"/>
    <w:rsid w:val="00FE5C1E"/>
    <w:rsid w:val="00FE72A1"/>
    <w:rsid w:val="00FF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C280FF"/>
  <w14:defaultImageDpi w14:val="0"/>
  <w15:docId w15:val="{5D8D2721-27C2-41E2-99AC-91FA65DF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Vchoz"/>
    <w:next w:val="Vchoz"/>
    <w:link w:val="Nadpis1Char"/>
    <w:uiPriority w:val="99"/>
    <w:qFormat/>
    <w:pPr>
      <w:keepNext/>
      <w:tabs>
        <w:tab w:val="left" w:pos="1127"/>
      </w:tabs>
      <w:ind w:left="560"/>
      <w:jc w:val="left"/>
      <w:outlineLvl w:val="0"/>
    </w:pPr>
    <w:rPr>
      <w:rFonts w:ascii="Helvetica" w:hAnsi="Helvetica" w:cs="Helvetica"/>
      <w:b/>
      <w:bCs/>
      <w:i/>
      <w:iCs/>
      <w:lang w:val="en-GB"/>
    </w:rPr>
  </w:style>
  <w:style w:type="paragraph" w:styleId="Nadpis2">
    <w:name w:val="heading 2"/>
    <w:basedOn w:val="Vchoz"/>
    <w:next w:val="Vchoz"/>
    <w:link w:val="Nadpis2Char"/>
    <w:uiPriority w:val="99"/>
    <w:qFormat/>
    <w:pPr>
      <w:keepNext/>
      <w:tabs>
        <w:tab w:val="left" w:pos="1134"/>
      </w:tabs>
      <w:jc w:val="center"/>
      <w:outlineLvl w:val="1"/>
    </w:pPr>
    <w:rPr>
      <w:b/>
      <w:bCs/>
      <w:lang w:val="en-GB"/>
    </w:rPr>
  </w:style>
  <w:style w:type="paragraph" w:styleId="Nadpis3">
    <w:name w:val="heading 3"/>
    <w:basedOn w:val="Vchoz"/>
    <w:next w:val="Vchoz"/>
    <w:link w:val="Nadpis3Char"/>
    <w:uiPriority w:val="99"/>
    <w:qFormat/>
    <w:pPr>
      <w:keepNext/>
      <w:tabs>
        <w:tab w:val="left" w:pos="1134"/>
      </w:tabs>
      <w:jc w:val="center"/>
      <w:outlineLvl w:val="2"/>
    </w:pPr>
    <w:rPr>
      <w:b/>
      <w:bCs/>
      <w:sz w:val="36"/>
      <w:szCs w:val="36"/>
      <w:lang w:val="en-GB"/>
    </w:rPr>
  </w:style>
  <w:style w:type="paragraph" w:styleId="Nadpis4">
    <w:name w:val="heading 4"/>
    <w:basedOn w:val="Vchoz"/>
    <w:next w:val="Vchoz"/>
    <w:link w:val="Nadpis4Char"/>
    <w:uiPriority w:val="99"/>
    <w:qFormat/>
    <w:pPr>
      <w:keepNext/>
      <w:outlineLvl w:val="3"/>
    </w:pPr>
    <w:rPr>
      <w:sz w:val="24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Vchoz">
    <w:name w:val="Výchozí"/>
    <w:uiPriority w:val="99"/>
    <w:pPr>
      <w:widowControl w:val="0"/>
      <w:autoSpaceDE w:val="0"/>
      <w:autoSpaceDN w:val="0"/>
      <w:adjustRightInd w:val="0"/>
      <w:spacing w:after="0" w:line="240" w:lineRule="auto"/>
      <w:ind w:left="567" w:firstLine="1"/>
      <w:jc w:val="both"/>
    </w:pPr>
    <w:rPr>
      <w:rFonts w:ascii="Arial" w:hAnsi="Arial" w:cs="Arial"/>
      <w:sz w:val="20"/>
      <w:szCs w:val="20"/>
      <w:lang w:val="de-DE"/>
    </w:rPr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Nadpis">
    <w:name w:val="Nadpis"/>
    <w:basedOn w:val="Vchoz"/>
    <w:next w:val="T"/>
    <w:uiPriority w:val="99"/>
    <w:pPr>
      <w:keepNext/>
      <w:spacing w:before="240" w:after="120"/>
    </w:pPr>
    <w:rPr>
      <w:sz w:val="28"/>
      <w:szCs w:val="28"/>
    </w:rPr>
  </w:style>
  <w:style w:type="paragraph" w:customStyle="1" w:styleId="T">
    <w:name w:val="T"/>
    <w:basedOn w:val="Vchoz"/>
    <w:uiPriority w:val="99"/>
    <w:pPr>
      <w:jc w:val="left"/>
    </w:pPr>
    <w:rPr>
      <w:rFonts w:ascii="Helvetica" w:hAnsi="Helvetica" w:cs="Helvetica"/>
      <w:sz w:val="18"/>
      <w:szCs w:val="18"/>
      <w:lang w:val="es-ES"/>
    </w:rPr>
  </w:style>
  <w:style w:type="paragraph" w:customStyle="1" w:styleId="WW-BodyText2">
    <w:name w:val="WW-Body Text 2"/>
    <w:basedOn w:val="Vchoz"/>
    <w:uiPriority w:val="99"/>
    <w:pPr>
      <w:tabs>
        <w:tab w:val="left" w:pos="1127"/>
      </w:tabs>
      <w:ind w:left="560"/>
      <w:jc w:val="left"/>
    </w:pPr>
    <w:rPr>
      <w:rFonts w:ascii="Helvetica" w:hAnsi="Helvetica" w:cs="Helvetica"/>
      <w:strike/>
    </w:rPr>
  </w:style>
  <w:style w:type="paragraph" w:customStyle="1" w:styleId="WW-BodyTextIndent2">
    <w:name w:val="WW-Body Text Indent 2"/>
    <w:basedOn w:val="Vchoz"/>
    <w:uiPriority w:val="99"/>
    <w:pPr>
      <w:tabs>
        <w:tab w:val="left" w:pos="1127"/>
      </w:tabs>
      <w:ind w:left="560"/>
      <w:jc w:val="left"/>
    </w:pPr>
    <w:rPr>
      <w:rFonts w:ascii="Helvetica" w:hAnsi="Helvetica" w:cs="Helvetica"/>
      <w:b/>
      <w:bCs/>
      <w:i/>
      <w:iCs/>
      <w:lang w:val="en-GB"/>
    </w:rPr>
  </w:style>
  <w:style w:type="paragraph" w:styleId="Pta">
    <w:name w:val="footer"/>
    <w:basedOn w:val="Vchoz"/>
    <w:link w:val="PtaChar"/>
    <w:uiPriority w:val="99"/>
    <w:pPr>
      <w:tabs>
        <w:tab w:val="center" w:pos="4819"/>
        <w:tab w:val="right" w:pos="9071"/>
      </w:tabs>
      <w:jc w:val="left"/>
    </w:pPr>
  </w:style>
  <w:style w:type="paragraph" w:customStyle="1" w:styleId="WW-BodyText21">
    <w:name w:val="WW-Body Text 21"/>
    <w:basedOn w:val="Vchoz"/>
    <w:uiPriority w:val="99"/>
    <w:pPr>
      <w:tabs>
        <w:tab w:val="left" w:pos="1127"/>
      </w:tabs>
      <w:ind w:left="560"/>
    </w:pPr>
    <w:rPr>
      <w:color w:val="FF0000"/>
      <w:lang w:val="en-GB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  <w:szCs w:val="20"/>
    </w:rPr>
  </w:style>
  <w:style w:type="paragraph" w:customStyle="1" w:styleId="WW-BodyTextIndent21">
    <w:name w:val="WW-Body Text Indent 21"/>
    <w:basedOn w:val="Vchoz"/>
    <w:uiPriority w:val="99"/>
    <w:pPr>
      <w:tabs>
        <w:tab w:val="left" w:pos="1134"/>
      </w:tabs>
    </w:pPr>
    <w:rPr>
      <w:color w:val="FF0000"/>
    </w:rPr>
  </w:style>
  <w:style w:type="paragraph" w:styleId="Hlavika">
    <w:name w:val="header"/>
    <w:basedOn w:val="Vchoz"/>
    <w:link w:val="HlavikaChar"/>
    <w:uiPriority w:val="99"/>
    <w:pPr>
      <w:tabs>
        <w:tab w:val="center" w:pos="4819"/>
        <w:tab w:val="right" w:pos="9071"/>
      </w:tabs>
    </w:pPr>
  </w:style>
  <w:style w:type="paragraph" w:customStyle="1" w:styleId="WW-BodyTextIndent212">
    <w:name w:val="WW-Body Text Indent 212"/>
    <w:basedOn w:val="Vchoz"/>
    <w:uiPriority w:val="99"/>
    <w:pPr>
      <w:tabs>
        <w:tab w:val="left" w:pos="1134"/>
      </w:tabs>
    </w:pPr>
    <w:rPr>
      <w:color w:val="FF0000"/>
      <w:lang w:val="es-ES_tradnl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</w:rPr>
  </w:style>
  <w:style w:type="paragraph" w:customStyle="1" w:styleId="Odsazent">
    <w:name w:val="Odsazení t"/>
    <w:basedOn w:val="Vchoz"/>
    <w:uiPriority w:val="99"/>
    <w:rPr>
      <w:sz w:val="24"/>
      <w:szCs w:val="24"/>
      <w:lang w:val="en-US"/>
    </w:rPr>
  </w:style>
  <w:style w:type="paragraph" w:customStyle="1" w:styleId="Obsahtabulky">
    <w:name w:val="Obsah tabulky"/>
    <w:basedOn w:val="T"/>
    <w:uiPriority w:val="99"/>
  </w:style>
  <w:style w:type="paragraph" w:customStyle="1" w:styleId="Nadpistabulky">
    <w:name w:val="Nadpis tabulky"/>
    <w:basedOn w:val="Obsahtabulky"/>
    <w:uiPriority w:val="99"/>
    <w:pPr>
      <w:jc w:val="center"/>
    </w:pPr>
    <w:rPr>
      <w:b/>
      <w:bCs/>
      <w:i/>
      <w:iCs/>
    </w:rPr>
  </w:style>
  <w:style w:type="character" w:customStyle="1" w:styleId="WW-DefaultParagraphFont">
    <w:name w:val="WW-Default Paragraph Font"/>
    <w:uiPriority w:val="99"/>
    <w:rPr>
      <w:lang w:val="en-US" w:eastAsia="x-none"/>
    </w:rPr>
  </w:style>
  <w:style w:type="character" w:customStyle="1" w:styleId="slostrnky">
    <w:name w:val="?íslo stránky"/>
    <w:basedOn w:val="WW-DefaultParagraphFont"/>
    <w:uiPriority w:val="99"/>
    <w:rPr>
      <w:rFonts w:cs="Times New Roman"/>
      <w:lang w:val="en-US" w:eastAsia="x-none"/>
    </w:rPr>
  </w:style>
  <w:style w:type="character" w:customStyle="1" w:styleId="WW8Num1z0">
    <w:name w:val="WW8Num1z0"/>
    <w:uiPriority w:val="99"/>
    <w:rPr>
      <w:lang w:val="en-US" w:eastAsia="x-none"/>
    </w:rPr>
  </w:style>
  <w:style w:type="character" w:customStyle="1" w:styleId="WW8Num2z0">
    <w:name w:val="WW8Num2z0"/>
    <w:uiPriority w:val="99"/>
    <w:rPr>
      <w:b/>
      <w:lang w:val="en-US" w:eastAsia="x-none"/>
    </w:rPr>
  </w:style>
  <w:style w:type="character" w:styleId="slostrany">
    <w:name w:val="page number"/>
    <w:basedOn w:val="Predvolenpsmoodseku"/>
    <w:uiPriority w:val="99"/>
    <w:rsid w:val="000956DF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01621D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sid w:val="00796450"/>
    <w:rPr>
      <w:rFonts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796450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796450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szCs w:val="20"/>
    </w:rPr>
  </w:style>
  <w:style w:type="paragraph" w:styleId="truktradokumentu">
    <w:name w:val="Document Map"/>
    <w:basedOn w:val="Normlny"/>
    <w:link w:val="truktradokumentuChar"/>
    <w:uiPriority w:val="99"/>
    <w:semiHidden/>
    <w:rsid w:val="00C24622"/>
    <w:pPr>
      <w:shd w:val="clear" w:color="auto" w:fill="000080"/>
    </w:pPr>
    <w:rPr>
      <w:rFonts w:ascii="Tahoma" w:hAnsi="Tahoma" w:cs="Tahom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EMEAEnBodyText">
    <w:name w:val="EMEA En Body Text"/>
    <w:basedOn w:val="Normlny"/>
    <w:uiPriority w:val="99"/>
    <w:rsid w:val="00E06ED3"/>
    <w:pPr>
      <w:autoSpaceDE/>
      <w:autoSpaceDN/>
      <w:adjustRightInd/>
      <w:spacing w:before="120" w:after="120"/>
      <w:jc w:val="both"/>
    </w:pPr>
    <w:rPr>
      <w:sz w:val="22"/>
      <w:szCs w:val="22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0D534A"/>
    <w:rPr>
      <w:rFonts w:cs="Times New Roman"/>
      <w:color w:val="0000FF"/>
      <w:u w:val="single"/>
    </w:rPr>
  </w:style>
  <w:style w:type="paragraph" w:styleId="Zarkazkladnhotextu3">
    <w:name w:val="Body Text Indent 3"/>
    <w:basedOn w:val="Normlny"/>
    <w:link w:val="Zarkazkladnhotextu3Char"/>
    <w:uiPriority w:val="99"/>
    <w:rsid w:val="00114DF9"/>
    <w:pPr>
      <w:widowControl w:val="0"/>
      <w:autoSpaceDE/>
      <w:autoSpaceDN/>
      <w:adjustRightInd/>
      <w:ind w:left="560"/>
      <w:jc w:val="both"/>
    </w:pPr>
    <w:rPr>
      <w:rFonts w:ascii="Arial" w:hAnsi="Arial" w:cs="Arial"/>
      <w:lang w:val="en-GB" w:eastAsia="it-IT"/>
    </w:rPr>
  </w:style>
  <w:style w:type="character" w:customStyle="1" w:styleId="hps">
    <w:name w:val="hps"/>
    <w:uiPriority w:val="99"/>
    <w:rsid w:val="002765B4"/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customStyle="1" w:styleId="Rientrocorpodeltesto1">
    <w:name w:val="Rientro corpo del testo1"/>
    <w:basedOn w:val="Normlny"/>
    <w:link w:val="BodyTextIndentChar"/>
    <w:uiPriority w:val="99"/>
    <w:rsid w:val="004E5656"/>
    <w:pPr>
      <w:autoSpaceDE/>
      <w:autoSpaceDN/>
      <w:adjustRightInd/>
      <w:spacing w:after="120"/>
      <w:ind w:left="283"/>
    </w:pPr>
    <w:rPr>
      <w:sz w:val="24"/>
      <w:szCs w:val="24"/>
      <w:lang w:val="en-GB" w:eastAsia="ar-SA"/>
    </w:rPr>
  </w:style>
  <w:style w:type="character" w:customStyle="1" w:styleId="BodyTextIndentChar">
    <w:name w:val="Body Text Indent Char"/>
    <w:link w:val="Rientrocorpodeltesto1"/>
    <w:uiPriority w:val="99"/>
    <w:locked/>
    <w:rsid w:val="004E5656"/>
    <w:rPr>
      <w:sz w:val="24"/>
      <w:lang w:val="en-GB" w:eastAsia="ar-SA" w:bidi="ar-SA"/>
    </w:rPr>
  </w:style>
  <w:style w:type="character" w:customStyle="1" w:styleId="a">
    <w:name w:val="Основной текст_"/>
    <w:basedOn w:val="Predvolenpsmoodseku"/>
    <w:link w:val="2"/>
    <w:rsid w:val="00301BDF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Normlny"/>
    <w:link w:val="a"/>
    <w:rsid w:val="00301BDF"/>
    <w:pPr>
      <w:widowControl w:val="0"/>
      <w:shd w:val="clear" w:color="auto" w:fill="FFFFFF"/>
      <w:autoSpaceDE/>
      <w:autoSpaceDN/>
      <w:adjustRightInd/>
      <w:spacing w:before="720" w:after="1740" w:line="274" w:lineRule="exact"/>
      <w:ind w:hanging="420"/>
      <w:jc w:val="both"/>
    </w:pPr>
    <w:rPr>
      <w:sz w:val="21"/>
      <w:szCs w:val="21"/>
    </w:rPr>
  </w:style>
  <w:style w:type="paragraph" w:customStyle="1" w:styleId="Default">
    <w:name w:val="Default"/>
    <w:rsid w:val="009B4EC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05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05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05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05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0542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054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05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600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054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05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A0CAE-D83E-4411-8109-1263764A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5161</Words>
  <Characters>29423</Characters>
  <Application>Microsoft Office Word</Application>
  <DocSecurity>0</DocSecurity>
  <Lines>245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Ketesse 12.5/25 mg tablets</vt:lpstr>
    </vt:vector>
  </TitlesOfParts>
  <Company>Neznámá organizace</Company>
  <LinksUpToDate>false</LinksUpToDate>
  <CharactersWithSpaces>34515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Ketesse 12.5/25 mg tablets</dc:title>
  <dc:subject>SPC Update 09.03.2000</dc:subject>
  <dc:creator>Andrea.Kassayova@adamed.com</dc:creator>
  <cp:keywords/>
  <dc:description/>
  <cp:lastModifiedBy>PM</cp:lastModifiedBy>
  <cp:revision>7</cp:revision>
  <cp:lastPrinted>2015-05-07T10:03:00Z</cp:lastPrinted>
  <dcterms:created xsi:type="dcterms:W3CDTF">2020-03-05T10:19:00Z</dcterms:created>
  <dcterms:modified xsi:type="dcterms:W3CDTF">2020-03-05T13:56:00Z</dcterms:modified>
</cp:coreProperties>
</file>