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0E81" w14:textId="77777777" w:rsidR="005A309E" w:rsidRPr="007A1CAE" w:rsidRDefault="005A309E" w:rsidP="005A309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6293929" w14:textId="77777777" w:rsidR="005A309E" w:rsidRPr="007A1CAE" w:rsidRDefault="005A309E" w:rsidP="00201EDA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2682D2FB" w14:textId="77777777" w:rsidR="005A309E" w:rsidRDefault="005A309E" w:rsidP="005A309E">
      <w:pPr>
        <w:rPr>
          <w:rFonts w:ascii="Times New Roman" w:hAnsi="Times New Roman"/>
          <w:sz w:val="22"/>
          <w:szCs w:val="22"/>
        </w:rPr>
      </w:pPr>
    </w:p>
    <w:p w14:paraId="03E4AF0B" w14:textId="77777777" w:rsidR="005761B8" w:rsidRPr="007A1CAE" w:rsidRDefault="005761B8" w:rsidP="005A309E">
      <w:pPr>
        <w:rPr>
          <w:rFonts w:ascii="Times New Roman" w:hAnsi="Times New Roman"/>
          <w:sz w:val="22"/>
          <w:szCs w:val="22"/>
        </w:rPr>
      </w:pPr>
    </w:p>
    <w:p w14:paraId="771BF3E3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1. NÁZOV LIEKU</w:t>
      </w:r>
    </w:p>
    <w:p w14:paraId="066842D4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</w:p>
    <w:p w14:paraId="68D88020" w14:textId="77777777" w:rsidR="005A309E" w:rsidRDefault="007A1CAE" w:rsidP="005761B8">
      <w:pPr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L-</w:t>
      </w:r>
      <w:r w:rsidR="000E7EA9" w:rsidRPr="007A1CAE">
        <w:rPr>
          <w:rFonts w:ascii="Times New Roman" w:hAnsi="Times New Roman"/>
          <w:sz w:val="22"/>
          <w:szCs w:val="22"/>
        </w:rPr>
        <w:t>Thyroxin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 xml:space="preserve"> 125</w:t>
      </w:r>
      <w:r w:rsidR="00D71ECD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71ECD" w:rsidRPr="007A1CAE">
        <w:rPr>
          <w:rFonts w:ascii="Times New Roman" w:hAnsi="Times New Roman"/>
          <w:sz w:val="22"/>
          <w:szCs w:val="22"/>
        </w:rPr>
        <w:t>Berlin-Chemie</w:t>
      </w:r>
      <w:proofErr w:type="spellEnd"/>
    </w:p>
    <w:p w14:paraId="54B845E8" w14:textId="77777777" w:rsidR="00AE1322" w:rsidRPr="007A1CAE" w:rsidRDefault="00AE1322" w:rsidP="005761B8">
      <w:pPr>
        <w:outlineLvl w:val="0"/>
        <w:rPr>
          <w:rFonts w:ascii="Times New Roman" w:hAnsi="Times New Roman"/>
          <w:sz w:val="22"/>
          <w:szCs w:val="22"/>
        </w:rPr>
      </w:pPr>
    </w:p>
    <w:p w14:paraId="3C5EBFE8" w14:textId="7D3A424D" w:rsidR="00AA4E0F" w:rsidRPr="007A1CAE" w:rsidRDefault="00A935FD" w:rsidP="005761B8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12</w:t>
      </w:r>
      <w:r w:rsidR="00AA4E0F" w:rsidRPr="007A1CAE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="00AA4E0F" w:rsidRPr="007A1CAE">
        <w:rPr>
          <w:rFonts w:ascii="Times New Roman" w:hAnsi="Times New Roman"/>
          <w:sz w:val="22"/>
          <w:szCs w:val="22"/>
        </w:rPr>
        <w:t>mikrogramov</w:t>
      </w:r>
      <w:proofErr w:type="spellEnd"/>
      <w:r w:rsidR="00F861F6">
        <w:rPr>
          <w:rFonts w:ascii="Times New Roman" w:hAnsi="Times New Roman"/>
          <w:sz w:val="22"/>
          <w:szCs w:val="22"/>
        </w:rPr>
        <w:t>,</w:t>
      </w:r>
      <w:r w:rsidR="00AA4E0F" w:rsidRPr="007A1CAE">
        <w:rPr>
          <w:rFonts w:ascii="Times New Roman" w:hAnsi="Times New Roman"/>
          <w:sz w:val="22"/>
          <w:szCs w:val="22"/>
        </w:rPr>
        <w:t xml:space="preserve"> tablety</w:t>
      </w:r>
    </w:p>
    <w:p w14:paraId="643396B8" w14:textId="77777777" w:rsidR="005A309E" w:rsidRPr="007A1CAE" w:rsidRDefault="005A309E" w:rsidP="005A309E">
      <w:pPr>
        <w:rPr>
          <w:rFonts w:ascii="Times New Roman" w:hAnsi="Times New Roman"/>
          <w:sz w:val="22"/>
          <w:szCs w:val="22"/>
        </w:rPr>
      </w:pPr>
    </w:p>
    <w:p w14:paraId="2A2A0CA0" w14:textId="77777777" w:rsidR="005A309E" w:rsidRPr="007A1CAE" w:rsidRDefault="005A309E" w:rsidP="005A309E">
      <w:pPr>
        <w:rPr>
          <w:rFonts w:ascii="Times New Roman" w:hAnsi="Times New Roman"/>
          <w:sz w:val="22"/>
          <w:szCs w:val="22"/>
        </w:rPr>
      </w:pPr>
    </w:p>
    <w:p w14:paraId="2A3332AA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2.  KVALITATÍVNE A KVANTITATÍVNE ZLOŽENIE </w:t>
      </w:r>
    </w:p>
    <w:p w14:paraId="092B63C0" w14:textId="33D29D1C" w:rsidR="00766BEE" w:rsidRPr="007A1CAE" w:rsidRDefault="00766BEE" w:rsidP="005A309E">
      <w:pPr>
        <w:rPr>
          <w:rFonts w:ascii="Times New Roman" w:hAnsi="Times New Roman"/>
          <w:sz w:val="22"/>
          <w:szCs w:val="22"/>
        </w:rPr>
      </w:pPr>
    </w:p>
    <w:p w14:paraId="609E74DF" w14:textId="4FEEB7CB" w:rsidR="000E7EA9" w:rsidRPr="007A1CAE" w:rsidRDefault="00AE1322" w:rsidP="002708C9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C041EA" w:rsidRPr="007A1CAE">
        <w:rPr>
          <w:rFonts w:ascii="Times New Roman" w:hAnsi="Times New Roman"/>
          <w:sz w:val="22"/>
          <w:szCs w:val="22"/>
        </w:rPr>
        <w:t>tableta</w:t>
      </w:r>
      <w:r w:rsidR="00AA4E0F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D6D42" w:rsidRPr="007A1CAE">
        <w:rPr>
          <w:rFonts w:ascii="Times New Roman" w:hAnsi="Times New Roman"/>
          <w:sz w:val="22"/>
          <w:szCs w:val="22"/>
        </w:rPr>
        <w:t>L-Thyroxin</w:t>
      </w:r>
      <w:r w:rsidR="00AD6D42">
        <w:rPr>
          <w:rFonts w:ascii="Times New Roman" w:hAnsi="Times New Roman"/>
          <w:sz w:val="22"/>
          <w:szCs w:val="22"/>
        </w:rPr>
        <w:t>u</w:t>
      </w:r>
      <w:proofErr w:type="spellEnd"/>
      <w:r w:rsidR="00AD6D42" w:rsidRPr="007A1CAE">
        <w:rPr>
          <w:rFonts w:ascii="Times New Roman" w:hAnsi="Times New Roman"/>
          <w:sz w:val="22"/>
          <w:szCs w:val="22"/>
        </w:rPr>
        <w:t xml:space="preserve"> 125 </w:t>
      </w:r>
      <w:proofErr w:type="spellStart"/>
      <w:r w:rsidR="00AD6D42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AD6D42">
        <w:rPr>
          <w:rFonts w:ascii="Times New Roman" w:hAnsi="Times New Roman"/>
          <w:sz w:val="22"/>
          <w:szCs w:val="22"/>
        </w:rPr>
        <w:t xml:space="preserve"> </w:t>
      </w:r>
      <w:r w:rsidR="00AA4E0F" w:rsidRPr="007A1CAE">
        <w:rPr>
          <w:rFonts w:ascii="Times New Roman" w:hAnsi="Times New Roman"/>
          <w:sz w:val="22"/>
          <w:szCs w:val="22"/>
        </w:rPr>
        <w:t xml:space="preserve">obsahuje </w:t>
      </w:r>
      <w:r w:rsidR="000E7EA9" w:rsidRPr="007A1CAE">
        <w:rPr>
          <w:rFonts w:ascii="Times New Roman" w:hAnsi="Times New Roman"/>
          <w:sz w:val="22"/>
          <w:szCs w:val="22"/>
        </w:rPr>
        <w:t>133,0</w:t>
      </w:r>
      <w:r w:rsidR="001902DA">
        <w:rPr>
          <w:rFonts w:ascii="Times New Roman" w:hAnsi="Times New Roman"/>
          <w:sz w:val="22"/>
          <w:szCs w:val="22"/>
        </w:rPr>
        <w:t xml:space="preserve"> </w:t>
      </w:r>
      <w:r w:rsidR="000E7EA9" w:rsidRPr="007A1CAE">
        <w:rPr>
          <w:rFonts w:ascii="Times New Roman" w:hAnsi="Times New Roman"/>
          <w:sz w:val="22"/>
          <w:szCs w:val="22"/>
        </w:rPr>
        <w:t>-</w:t>
      </w:r>
      <w:r w:rsidR="001902DA">
        <w:rPr>
          <w:rFonts w:ascii="Times New Roman" w:hAnsi="Times New Roman"/>
          <w:sz w:val="22"/>
          <w:szCs w:val="22"/>
        </w:rPr>
        <w:t xml:space="preserve"> </w:t>
      </w:r>
      <w:r w:rsidR="000E7EA9" w:rsidRPr="007A1CAE">
        <w:rPr>
          <w:rFonts w:ascii="Times New Roman" w:hAnsi="Times New Roman"/>
          <w:sz w:val="22"/>
          <w:szCs w:val="22"/>
        </w:rPr>
        <w:t xml:space="preserve">142,0 </w:t>
      </w:r>
      <w:proofErr w:type="spellStart"/>
      <w:r w:rsidR="005761B8">
        <w:rPr>
          <w:rFonts w:ascii="Times New Roman" w:hAnsi="Times New Roman"/>
          <w:sz w:val="22"/>
          <w:szCs w:val="22"/>
        </w:rPr>
        <w:t>mikrogramov</w:t>
      </w:r>
      <w:proofErr w:type="spellEnd"/>
      <w:r w:rsidR="005761B8">
        <w:rPr>
          <w:rFonts w:ascii="Times New Roman" w:hAnsi="Times New Roman"/>
          <w:sz w:val="22"/>
          <w:szCs w:val="22"/>
        </w:rPr>
        <w:t xml:space="preserve"> hydrátu sodnej soli </w:t>
      </w:r>
      <w:proofErr w:type="spellStart"/>
      <w:r w:rsidR="005761B8">
        <w:rPr>
          <w:rFonts w:ascii="Times New Roman" w:hAnsi="Times New Roman"/>
          <w:sz w:val="22"/>
          <w:szCs w:val="22"/>
        </w:rPr>
        <w:t>levotyroxínu</w:t>
      </w:r>
      <w:proofErr w:type="spellEnd"/>
      <w:r w:rsidR="005761B8">
        <w:rPr>
          <w:rFonts w:ascii="Times New Roman" w:hAnsi="Times New Roman"/>
          <w:sz w:val="22"/>
          <w:szCs w:val="22"/>
        </w:rPr>
        <w:t xml:space="preserve"> </w:t>
      </w:r>
      <w:r w:rsidR="000E7EA9" w:rsidRPr="007A1CAE">
        <w:rPr>
          <w:rFonts w:ascii="Times New Roman" w:hAnsi="Times New Roman"/>
          <w:sz w:val="22"/>
          <w:szCs w:val="22"/>
        </w:rPr>
        <w:t>(čo zodpovedá 125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761B8">
        <w:rPr>
          <w:rFonts w:ascii="Times New Roman" w:hAnsi="Times New Roman"/>
          <w:sz w:val="22"/>
          <w:szCs w:val="22"/>
        </w:rPr>
        <w:t>mikrogramo</w:t>
      </w:r>
      <w:r w:rsidR="00EF740A">
        <w:rPr>
          <w:rFonts w:ascii="Times New Roman" w:hAnsi="Times New Roman"/>
          <w:sz w:val="22"/>
          <w:szCs w:val="22"/>
        </w:rPr>
        <w:t>m</w:t>
      </w:r>
      <w:proofErr w:type="spellEnd"/>
      <w:r w:rsidR="005761B8">
        <w:rPr>
          <w:rFonts w:ascii="Times New Roman" w:hAnsi="Times New Roman"/>
          <w:sz w:val="22"/>
          <w:szCs w:val="22"/>
        </w:rPr>
        <w:t xml:space="preserve"> sodnej soli </w:t>
      </w:r>
      <w:proofErr w:type="spellStart"/>
      <w:r w:rsidR="005761B8">
        <w:rPr>
          <w:rFonts w:ascii="Times New Roman" w:hAnsi="Times New Roman"/>
          <w:sz w:val="22"/>
          <w:szCs w:val="22"/>
        </w:rPr>
        <w:t>levotyroxínu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>).</w:t>
      </w:r>
    </w:p>
    <w:p w14:paraId="39F66ABA" w14:textId="77777777" w:rsidR="005761B8" w:rsidRDefault="005761B8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9A81188" w14:textId="77777777" w:rsidR="006C71DA" w:rsidRPr="00293953" w:rsidRDefault="006C71DA" w:rsidP="006C71DA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93953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14:paraId="3FB57FFF" w14:textId="60E7F8F8" w:rsidR="006C71DA" w:rsidRDefault="006C71DA" w:rsidP="006C71DA">
      <w:pPr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tableta obsahuje </w:t>
      </w:r>
      <w:r w:rsidR="00AD6D42">
        <w:rPr>
          <w:rFonts w:ascii="Times New Roman" w:hAnsi="Times New Roman"/>
          <w:sz w:val="22"/>
          <w:szCs w:val="22"/>
        </w:rPr>
        <w:t>2,2</w:t>
      </w:r>
      <w:r w:rsidR="00562F42">
        <w:rPr>
          <w:rFonts w:ascii="Times New Roman" w:hAnsi="Times New Roman"/>
          <w:sz w:val="22"/>
          <w:szCs w:val="22"/>
        </w:rPr>
        <w:t xml:space="preserve"> mg sodíka.</w:t>
      </w:r>
    </w:p>
    <w:p w14:paraId="35438AA7" w14:textId="77777777" w:rsidR="006C71DA" w:rsidRDefault="006C71DA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D6921A2" w14:textId="77777777" w:rsidR="005A309E" w:rsidRDefault="004802A6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Úplný zoznam p</w:t>
      </w:r>
      <w:r w:rsidR="005A309E" w:rsidRPr="007A1CAE">
        <w:rPr>
          <w:rFonts w:ascii="Times New Roman" w:hAnsi="Times New Roman"/>
          <w:sz w:val="22"/>
          <w:szCs w:val="22"/>
        </w:rPr>
        <w:t>omocn</w:t>
      </w:r>
      <w:r w:rsidRPr="007A1CAE">
        <w:rPr>
          <w:rFonts w:ascii="Times New Roman" w:hAnsi="Times New Roman"/>
          <w:sz w:val="22"/>
          <w:szCs w:val="22"/>
        </w:rPr>
        <w:t>ých látok,</w:t>
      </w:r>
      <w:r w:rsidR="005A309E" w:rsidRPr="007A1CAE">
        <w:rPr>
          <w:rFonts w:ascii="Times New Roman" w:hAnsi="Times New Roman"/>
          <w:sz w:val="22"/>
          <w:szCs w:val="22"/>
        </w:rPr>
        <w:t xml:space="preserve"> pozri časť 6.1</w:t>
      </w:r>
      <w:r w:rsidR="007A1CAE" w:rsidRPr="007A1CAE">
        <w:rPr>
          <w:rFonts w:ascii="Times New Roman" w:hAnsi="Times New Roman"/>
          <w:sz w:val="22"/>
          <w:szCs w:val="22"/>
        </w:rPr>
        <w:t>.</w:t>
      </w:r>
    </w:p>
    <w:p w14:paraId="053C294F" w14:textId="77777777" w:rsidR="005761B8" w:rsidRPr="007A1CAE" w:rsidRDefault="005761B8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0096CED" w14:textId="77777777" w:rsidR="005A309E" w:rsidRPr="007A1CAE" w:rsidRDefault="005A309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34A4A6E6" w14:textId="77777777" w:rsidR="005A309E" w:rsidRPr="007A1CAE" w:rsidRDefault="005A309E" w:rsidP="005A309E">
      <w:pPr>
        <w:jc w:val="both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3. LIEKOVÁ FORMA</w:t>
      </w:r>
    </w:p>
    <w:p w14:paraId="2BA3A77D" w14:textId="77777777" w:rsidR="005A309E" w:rsidRPr="007A1CAE" w:rsidRDefault="005A309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405D2965" w14:textId="77777777" w:rsidR="005A309E" w:rsidRDefault="00AA4E0F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T</w:t>
      </w:r>
      <w:r w:rsidR="007218CD" w:rsidRPr="007A1CAE">
        <w:rPr>
          <w:rFonts w:ascii="Times New Roman" w:hAnsi="Times New Roman"/>
          <w:sz w:val="22"/>
          <w:szCs w:val="22"/>
        </w:rPr>
        <w:t>ableta</w:t>
      </w:r>
      <w:r w:rsidR="005761B8">
        <w:rPr>
          <w:rFonts w:ascii="Times New Roman" w:hAnsi="Times New Roman"/>
          <w:sz w:val="22"/>
          <w:szCs w:val="22"/>
        </w:rPr>
        <w:t>.</w:t>
      </w:r>
    </w:p>
    <w:p w14:paraId="3F0E7989" w14:textId="77777777" w:rsidR="00F861F6" w:rsidRPr="007A1CAE" w:rsidRDefault="00F861F6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5109F05E" w14:textId="322CAA76" w:rsidR="00AA4E0F" w:rsidRDefault="00AA4E0F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Takmer biela až svetlobéžová</w:t>
      </w:r>
      <w:r w:rsidR="00F861F6">
        <w:rPr>
          <w:rFonts w:ascii="Times New Roman" w:hAnsi="Times New Roman"/>
          <w:sz w:val="22"/>
          <w:szCs w:val="22"/>
        </w:rPr>
        <w:t>,</w:t>
      </w:r>
      <w:r w:rsidRPr="007A1CAE">
        <w:rPr>
          <w:rFonts w:ascii="Times New Roman" w:hAnsi="Times New Roman"/>
          <w:sz w:val="22"/>
          <w:szCs w:val="22"/>
        </w:rPr>
        <w:t xml:space="preserve"> okrúhla mierne </w:t>
      </w:r>
      <w:r w:rsidR="00531848">
        <w:rPr>
          <w:rFonts w:ascii="Times New Roman" w:hAnsi="Times New Roman"/>
          <w:sz w:val="22"/>
          <w:szCs w:val="22"/>
        </w:rPr>
        <w:t>vypuklá</w:t>
      </w:r>
      <w:r w:rsidRPr="007A1CAE">
        <w:rPr>
          <w:rFonts w:ascii="Times New Roman" w:hAnsi="Times New Roman"/>
          <w:sz w:val="22"/>
          <w:szCs w:val="22"/>
        </w:rPr>
        <w:t xml:space="preserve"> tableta s deliacou ryhou na jednej strane a s označením </w:t>
      </w:r>
      <w:r w:rsidR="00B679A8">
        <w:rPr>
          <w:rFonts w:ascii="Times New Roman" w:hAnsi="Times New Roman"/>
          <w:sz w:val="22"/>
          <w:szCs w:val="22"/>
        </w:rPr>
        <w:t>„</w:t>
      </w:r>
      <w:r w:rsidR="000E7EA9" w:rsidRPr="007A1CAE">
        <w:rPr>
          <w:rFonts w:ascii="Times New Roman" w:hAnsi="Times New Roman"/>
          <w:sz w:val="22"/>
          <w:szCs w:val="22"/>
        </w:rPr>
        <w:t>12</w:t>
      </w:r>
      <w:r w:rsidRPr="007A1CAE">
        <w:rPr>
          <w:rFonts w:ascii="Times New Roman" w:hAnsi="Times New Roman"/>
          <w:sz w:val="22"/>
          <w:szCs w:val="22"/>
        </w:rPr>
        <w:t>5</w:t>
      </w:r>
      <w:r w:rsidR="00B679A8">
        <w:rPr>
          <w:rFonts w:ascii="Times New Roman" w:hAnsi="Times New Roman"/>
          <w:sz w:val="22"/>
          <w:szCs w:val="22"/>
        </w:rPr>
        <w:t>“</w:t>
      </w:r>
      <w:r w:rsidRPr="007A1CAE">
        <w:rPr>
          <w:rFonts w:ascii="Times New Roman" w:hAnsi="Times New Roman"/>
          <w:sz w:val="22"/>
          <w:szCs w:val="22"/>
        </w:rPr>
        <w:t xml:space="preserve"> na druhej strane</w:t>
      </w:r>
      <w:r w:rsidR="00513160">
        <w:rPr>
          <w:rFonts w:ascii="Times New Roman" w:hAnsi="Times New Roman"/>
          <w:sz w:val="22"/>
          <w:szCs w:val="22"/>
        </w:rPr>
        <w:t xml:space="preserve">; </w:t>
      </w:r>
      <w:r w:rsidR="00513160" w:rsidRPr="002708C9">
        <w:rPr>
          <w:rFonts w:ascii="Times New Roman" w:hAnsi="Times New Roman"/>
          <w:sz w:val="22"/>
          <w:szCs w:val="22"/>
        </w:rPr>
        <w:t>priemer: 7 mm</w:t>
      </w:r>
      <w:r w:rsidRPr="002708C9">
        <w:rPr>
          <w:rFonts w:ascii="Times New Roman" w:hAnsi="Times New Roman"/>
          <w:sz w:val="22"/>
          <w:szCs w:val="22"/>
        </w:rPr>
        <w:t>.</w:t>
      </w:r>
    </w:p>
    <w:p w14:paraId="0557167A" w14:textId="77777777" w:rsidR="005761B8" w:rsidRPr="007A1CAE" w:rsidRDefault="005761B8" w:rsidP="005761B8">
      <w:pPr>
        <w:jc w:val="both"/>
        <w:rPr>
          <w:rFonts w:ascii="Times New Roman" w:hAnsi="Times New Roman"/>
          <w:sz w:val="22"/>
          <w:szCs w:val="22"/>
        </w:rPr>
      </w:pPr>
    </w:p>
    <w:p w14:paraId="7905EF01" w14:textId="77777777" w:rsidR="005761B8" w:rsidRDefault="00C041EA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Tableta sa môže rozdeliť na rovnaké</w:t>
      </w:r>
      <w:r w:rsidR="006A7DAF" w:rsidRPr="007A1CAE">
        <w:rPr>
          <w:rFonts w:ascii="Times New Roman" w:hAnsi="Times New Roman"/>
          <w:sz w:val="22"/>
          <w:szCs w:val="22"/>
        </w:rPr>
        <w:t xml:space="preserve"> dávky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73AEEB67" w14:textId="0F61FC47" w:rsidR="005A309E" w:rsidRPr="007A1CAE" w:rsidRDefault="005A309E" w:rsidP="005761B8">
      <w:pPr>
        <w:jc w:val="both"/>
        <w:rPr>
          <w:rFonts w:ascii="Times New Roman" w:hAnsi="Times New Roman"/>
          <w:sz w:val="22"/>
          <w:szCs w:val="22"/>
        </w:rPr>
      </w:pPr>
    </w:p>
    <w:p w14:paraId="1889B9F1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</w:p>
    <w:p w14:paraId="76AF1F33" w14:textId="77777777" w:rsidR="005A309E" w:rsidRPr="007A1CAE" w:rsidRDefault="005A309E" w:rsidP="005A309E">
      <w:pPr>
        <w:numPr>
          <w:ilvl w:val="0"/>
          <w:numId w:val="23"/>
        </w:numPr>
        <w:jc w:val="both"/>
        <w:textAlignment w:val="auto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KLINICKÉ  </w:t>
      </w:r>
      <w:r w:rsidR="00665FEB" w:rsidRPr="007A1CAE">
        <w:rPr>
          <w:rFonts w:ascii="Times New Roman" w:hAnsi="Times New Roman"/>
          <w:b/>
          <w:sz w:val="22"/>
          <w:szCs w:val="22"/>
        </w:rPr>
        <w:t>ÚDAJE</w:t>
      </w:r>
    </w:p>
    <w:p w14:paraId="374CE0C3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</w:p>
    <w:p w14:paraId="1B576EC9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4.1 Terapeutické indikácie</w:t>
      </w:r>
    </w:p>
    <w:p w14:paraId="0441D59D" w14:textId="77777777" w:rsidR="005A309E" w:rsidRPr="007A1CAE" w:rsidRDefault="005A309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6CAC8B2D" w14:textId="4DB33BB2" w:rsidR="005A309E" w:rsidRPr="002708C9" w:rsidRDefault="00AB0833" w:rsidP="002708C9">
      <w:pPr>
        <w:jc w:val="both"/>
        <w:textAlignment w:val="auto"/>
        <w:rPr>
          <w:rFonts w:ascii="Times New Roman" w:hAnsi="Times New Roman"/>
          <w:sz w:val="22"/>
          <w:szCs w:val="22"/>
        </w:rPr>
      </w:pPr>
      <w:r w:rsidRPr="002708C9">
        <w:rPr>
          <w:rFonts w:ascii="Times New Roman" w:hAnsi="Times New Roman"/>
          <w:sz w:val="22"/>
          <w:szCs w:val="22"/>
        </w:rPr>
        <w:t>S</w:t>
      </w:r>
      <w:r w:rsidR="005A309E" w:rsidRPr="002708C9">
        <w:rPr>
          <w:rFonts w:ascii="Times New Roman" w:hAnsi="Times New Roman"/>
          <w:sz w:val="22"/>
          <w:szCs w:val="22"/>
        </w:rPr>
        <w:t xml:space="preserve">ubstitúcia hormónu štítnej žľazy u </w:t>
      </w:r>
      <w:proofErr w:type="spellStart"/>
      <w:r w:rsidR="005A309E" w:rsidRPr="002708C9">
        <w:rPr>
          <w:rFonts w:ascii="Times New Roman" w:hAnsi="Times New Roman"/>
          <w:sz w:val="22"/>
          <w:szCs w:val="22"/>
        </w:rPr>
        <w:t>hypotyreózy</w:t>
      </w:r>
      <w:proofErr w:type="spellEnd"/>
      <w:r w:rsidR="005A309E" w:rsidRPr="002708C9">
        <w:rPr>
          <w:rFonts w:ascii="Times New Roman" w:hAnsi="Times New Roman"/>
          <w:sz w:val="22"/>
          <w:szCs w:val="22"/>
        </w:rPr>
        <w:t xml:space="preserve"> akejkoľvek etiológie</w:t>
      </w:r>
      <w:r w:rsidR="00F861F6">
        <w:rPr>
          <w:rFonts w:ascii="Times New Roman" w:hAnsi="Times New Roman"/>
          <w:sz w:val="22"/>
          <w:szCs w:val="22"/>
        </w:rPr>
        <w:t>.</w:t>
      </w:r>
      <w:r w:rsidR="005A309E" w:rsidRPr="002708C9">
        <w:rPr>
          <w:rFonts w:ascii="Times New Roman" w:hAnsi="Times New Roman"/>
          <w:sz w:val="22"/>
          <w:szCs w:val="22"/>
        </w:rPr>
        <w:t xml:space="preserve"> </w:t>
      </w:r>
    </w:p>
    <w:p w14:paraId="32641E75" w14:textId="7006010A" w:rsidR="005A309E" w:rsidRPr="002708C9" w:rsidRDefault="00AB0833" w:rsidP="002708C9">
      <w:pPr>
        <w:jc w:val="both"/>
        <w:textAlignment w:val="auto"/>
        <w:rPr>
          <w:rFonts w:ascii="Times New Roman" w:hAnsi="Times New Roman"/>
          <w:sz w:val="22"/>
          <w:szCs w:val="22"/>
        </w:rPr>
      </w:pPr>
      <w:r w:rsidRPr="002708C9">
        <w:rPr>
          <w:rFonts w:ascii="Times New Roman" w:hAnsi="Times New Roman"/>
          <w:sz w:val="22"/>
          <w:szCs w:val="22"/>
        </w:rPr>
        <w:t>P</w:t>
      </w:r>
      <w:r w:rsidR="005A309E" w:rsidRPr="002708C9">
        <w:rPr>
          <w:rFonts w:ascii="Times New Roman" w:hAnsi="Times New Roman"/>
          <w:sz w:val="22"/>
          <w:szCs w:val="22"/>
        </w:rPr>
        <w:t xml:space="preserve">rofylaxia </w:t>
      </w:r>
      <w:proofErr w:type="spellStart"/>
      <w:r w:rsidR="005A309E" w:rsidRPr="002708C9">
        <w:rPr>
          <w:rFonts w:ascii="Times New Roman" w:hAnsi="Times New Roman"/>
          <w:sz w:val="22"/>
          <w:szCs w:val="22"/>
        </w:rPr>
        <w:t>rekurentnej</w:t>
      </w:r>
      <w:proofErr w:type="spellEnd"/>
      <w:r w:rsidR="005A309E" w:rsidRPr="002708C9">
        <w:rPr>
          <w:rFonts w:ascii="Times New Roman" w:hAnsi="Times New Roman"/>
          <w:sz w:val="22"/>
          <w:szCs w:val="22"/>
        </w:rPr>
        <w:t xml:space="preserve"> strumy po resekcii štítnej žľazy s </w:t>
      </w:r>
      <w:proofErr w:type="spellStart"/>
      <w:r w:rsidR="005A309E" w:rsidRPr="002708C9">
        <w:rPr>
          <w:rFonts w:ascii="Times New Roman" w:hAnsi="Times New Roman"/>
          <w:sz w:val="22"/>
          <w:szCs w:val="22"/>
        </w:rPr>
        <w:t>eutyreoidnou</w:t>
      </w:r>
      <w:proofErr w:type="spellEnd"/>
      <w:r w:rsidR="005A309E" w:rsidRPr="002708C9">
        <w:rPr>
          <w:rFonts w:ascii="Times New Roman" w:hAnsi="Times New Roman"/>
          <w:sz w:val="22"/>
          <w:szCs w:val="22"/>
        </w:rPr>
        <w:t xml:space="preserve"> funkciou</w:t>
      </w:r>
      <w:r w:rsidR="00F861F6">
        <w:rPr>
          <w:rFonts w:ascii="Times New Roman" w:hAnsi="Times New Roman"/>
          <w:sz w:val="22"/>
          <w:szCs w:val="22"/>
        </w:rPr>
        <w:t>.</w:t>
      </w:r>
    </w:p>
    <w:p w14:paraId="45F13191" w14:textId="3162D39F" w:rsidR="005A309E" w:rsidRPr="002708C9" w:rsidRDefault="00AB0833" w:rsidP="002708C9">
      <w:pPr>
        <w:jc w:val="both"/>
        <w:textAlignment w:val="auto"/>
        <w:rPr>
          <w:rFonts w:ascii="Times New Roman" w:hAnsi="Times New Roman"/>
          <w:sz w:val="22"/>
          <w:szCs w:val="22"/>
        </w:rPr>
      </w:pPr>
      <w:r w:rsidRPr="002708C9">
        <w:rPr>
          <w:rFonts w:ascii="Times New Roman" w:hAnsi="Times New Roman"/>
          <w:sz w:val="22"/>
          <w:szCs w:val="22"/>
        </w:rPr>
        <w:t>B</w:t>
      </w:r>
      <w:r w:rsidR="005A309E" w:rsidRPr="002708C9">
        <w:rPr>
          <w:rFonts w:ascii="Times New Roman" w:hAnsi="Times New Roman"/>
          <w:sz w:val="22"/>
          <w:szCs w:val="22"/>
        </w:rPr>
        <w:t>enígna struma s </w:t>
      </w:r>
      <w:proofErr w:type="spellStart"/>
      <w:r w:rsidR="005A309E" w:rsidRPr="002708C9">
        <w:rPr>
          <w:rFonts w:ascii="Times New Roman" w:hAnsi="Times New Roman"/>
          <w:sz w:val="22"/>
          <w:szCs w:val="22"/>
        </w:rPr>
        <w:t>eutyreoidnou</w:t>
      </w:r>
      <w:proofErr w:type="spellEnd"/>
      <w:r w:rsidR="005A309E" w:rsidRPr="002708C9">
        <w:rPr>
          <w:rFonts w:ascii="Times New Roman" w:hAnsi="Times New Roman"/>
          <w:sz w:val="22"/>
          <w:szCs w:val="22"/>
        </w:rPr>
        <w:t xml:space="preserve"> funkciou</w:t>
      </w:r>
      <w:r w:rsidR="00F861F6">
        <w:rPr>
          <w:rFonts w:ascii="Times New Roman" w:hAnsi="Times New Roman"/>
          <w:sz w:val="22"/>
          <w:szCs w:val="22"/>
        </w:rPr>
        <w:t>.</w:t>
      </w:r>
    </w:p>
    <w:p w14:paraId="510750F4" w14:textId="07320972" w:rsidR="005A309E" w:rsidRPr="002708C9" w:rsidRDefault="00AB0833" w:rsidP="002708C9">
      <w:pPr>
        <w:jc w:val="both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2708C9">
        <w:rPr>
          <w:rFonts w:ascii="Times New Roman" w:hAnsi="Times New Roman"/>
          <w:sz w:val="22"/>
          <w:szCs w:val="22"/>
        </w:rPr>
        <w:t>S</w:t>
      </w:r>
      <w:r w:rsidR="005A309E" w:rsidRPr="002708C9">
        <w:rPr>
          <w:rFonts w:ascii="Times New Roman" w:hAnsi="Times New Roman"/>
          <w:sz w:val="22"/>
          <w:szCs w:val="22"/>
        </w:rPr>
        <w:t>upresná</w:t>
      </w:r>
      <w:proofErr w:type="spellEnd"/>
      <w:r w:rsidR="005A309E" w:rsidRPr="002708C9">
        <w:rPr>
          <w:rFonts w:ascii="Times New Roman" w:hAnsi="Times New Roman"/>
          <w:sz w:val="22"/>
          <w:szCs w:val="22"/>
        </w:rPr>
        <w:t xml:space="preserve"> a substitučná terapia malígnych ochorení štítnej žľazy, najmä po </w:t>
      </w:r>
      <w:proofErr w:type="spellStart"/>
      <w:r w:rsidR="005A309E" w:rsidRPr="002708C9">
        <w:rPr>
          <w:rFonts w:ascii="Times New Roman" w:hAnsi="Times New Roman"/>
          <w:sz w:val="22"/>
          <w:szCs w:val="22"/>
        </w:rPr>
        <w:t>tyreoidektómii</w:t>
      </w:r>
      <w:proofErr w:type="spellEnd"/>
      <w:r w:rsidR="007A1CAE" w:rsidRPr="002708C9">
        <w:rPr>
          <w:rFonts w:ascii="Times New Roman" w:hAnsi="Times New Roman"/>
          <w:sz w:val="22"/>
          <w:szCs w:val="22"/>
        </w:rPr>
        <w:t>.</w:t>
      </w:r>
    </w:p>
    <w:p w14:paraId="20B99335" w14:textId="77777777" w:rsidR="007A1CAE" w:rsidRPr="007A1CAE" w:rsidRDefault="007A1CAE" w:rsidP="002F028B">
      <w:pPr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0A5127AE" w14:textId="566169A1" w:rsidR="00BE378B" w:rsidRPr="007A1CAE" w:rsidRDefault="000E7EA9" w:rsidP="005761B8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proofErr w:type="spellStart"/>
      <w:r w:rsidRPr="007A1CAE">
        <w:rPr>
          <w:rFonts w:ascii="Times New Roman" w:hAnsi="Times New Roman"/>
          <w:bCs/>
          <w:sz w:val="22"/>
          <w:szCs w:val="22"/>
        </w:rPr>
        <w:t>L-Thyroxin</w:t>
      </w:r>
      <w:proofErr w:type="spellEnd"/>
      <w:r w:rsidRPr="007A1CAE">
        <w:rPr>
          <w:rFonts w:ascii="Times New Roman" w:hAnsi="Times New Roman"/>
          <w:bCs/>
          <w:sz w:val="22"/>
          <w:szCs w:val="22"/>
        </w:rPr>
        <w:t xml:space="preserve"> 125</w:t>
      </w:r>
      <w:r w:rsidR="00BE378B" w:rsidRPr="007A1C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E378B" w:rsidRPr="007A1CAE">
        <w:rPr>
          <w:rFonts w:ascii="Times New Roman" w:hAnsi="Times New Roman"/>
          <w:bCs/>
          <w:sz w:val="22"/>
          <w:szCs w:val="22"/>
        </w:rPr>
        <w:t>Berlin-Chemie</w:t>
      </w:r>
      <w:proofErr w:type="spellEnd"/>
      <w:r w:rsidR="00BE378B" w:rsidRPr="007A1CAE">
        <w:rPr>
          <w:rFonts w:ascii="Times New Roman" w:hAnsi="Times New Roman"/>
          <w:bCs/>
          <w:sz w:val="22"/>
          <w:szCs w:val="22"/>
        </w:rPr>
        <w:t xml:space="preserve"> je indikovaný  všetký</w:t>
      </w:r>
      <w:r w:rsidR="00F861F6">
        <w:rPr>
          <w:rFonts w:ascii="Times New Roman" w:hAnsi="Times New Roman"/>
          <w:bCs/>
          <w:sz w:val="22"/>
          <w:szCs w:val="22"/>
        </w:rPr>
        <w:t>m</w:t>
      </w:r>
      <w:r w:rsidR="00BE378B" w:rsidRPr="007A1CAE">
        <w:rPr>
          <w:rFonts w:ascii="Times New Roman" w:hAnsi="Times New Roman"/>
          <w:bCs/>
          <w:sz w:val="22"/>
          <w:szCs w:val="22"/>
        </w:rPr>
        <w:t xml:space="preserve"> vekový</w:t>
      </w:r>
      <w:r w:rsidR="00F861F6">
        <w:rPr>
          <w:rFonts w:ascii="Times New Roman" w:hAnsi="Times New Roman"/>
          <w:bCs/>
          <w:sz w:val="22"/>
          <w:szCs w:val="22"/>
        </w:rPr>
        <w:t>m</w:t>
      </w:r>
      <w:r w:rsidR="00BE378B" w:rsidRPr="007A1CAE">
        <w:rPr>
          <w:rFonts w:ascii="Times New Roman" w:hAnsi="Times New Roman"/>
          <w:bCs/>
          <w:sz w:val="22"/>
          <w:szCs w:val="22"/>
        </w:rPr>
        <w:t xml:space="preserve"> skup</w:t>
      </w:r>
      <w:r w:rsidR="00F861F6">
        <w:rPr>
          <w:rFonts w:ascii="Times New Roman" w:hAnsi="Times New Roman"/>
          <w:bCs/>
          <w:sz w:val="22"/>
          <w:szCs w:val="22"/>
        </w:rPr>
        <w:t>inám</w:t>
      </w:r>
      <w:r w:rsidR="00BE378B" w:rsidRPr="007A1CAE">
        <w:rPr>
          <w:rFonts w:ascii="Times New Roman" w:hAnsi="Times New Roman"/>
          <w:bCs/>
          <w:sz w:val="22"/>
          <w:szCs w:val="22"/>
        </w:rPr>
        <w:t xml:space="preserve">. </w:t>
      </w:r>
    </w:p>
    <w:p w14:paraId="666C065D" w14:textId="77777777" w:rsidR="00531848" w:rsidRDefault="00531848" w:rsidP="002F028B">
      <w:pPr>
        <w:jc w:val="both"/>
        <w:rPr>
          <w:rFonts w:ascii="Times New Roman" w:hAnsi="Times New Roman"/>
          <w:b/>
          <w:sz w:val="22"/>
          <w:szCs w:val="22"/>
        </w:rPr>
      </w:pPr>
    </w:p>
    <w:p w14:paraId="593D1AEA" w14:textId="77777777" w:rsidR="005F6371" w:rsidRPr="007A1CAE" w:rsidRDefault="005761B8" w:rsidP="005318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</w:t>
      </w:r>
      <w:r w:rsidR="005A309E" w:rsidRPr="007A1CAE">
        <w:rPr>
          <w:rFonts w:ascii="Times New Roman" w:hAnsi="Times New Roman"/>
          <w:b/>
          <w:sz w:val="22"/>
          <w:szCs w:val="22"/>
        </w:rPr>
        <w:t xml:space="preserve">2 </w:t>
      </w:r>
      <w:r w:rsidR="005929D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5A309E" w:rsidRPr="007A1CAE">
        <w:rPr>
          <w:rFonts w:ascii="Times New Roman" w:hAnsi="Times New Roman"/>
          <w:b/>
          <w:sz w:val="22"/>
          <w:szCs w:val="22"/>
        </w:rPr>
        <w:t>Dávkovanie a spôsob podávania</w:t>
      </w:r>
    </w:p>
    <w:p w14:paraId="183E69E3" w14:textId="77777777" w:rsidR="007A1CAE" w:rsidRDefault="007A1CA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5F2947AA" w14:textId="77777777" w:rsidR="00E7084E" w:rsidRPr="00CF7B2F" w:rsidRDefault="00E7084E" w:rsidP="00E7084E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CF7B2F">
        <w:rPr>
          <w:rFonts w:ascii="Times New Roman" w:hAnsi="Times New Roman"/>
          <w:sz w:val="22"/>
          <w:szCs w:val="22"/>
          <w:u w:val="single"/>
        </w:rPr>
        <w:t xml:space="preserve">Liečba </w:t>
      </w:r>
      <w:proofErr w:type="spellStart"/>
      <w:r w:rsidRPr="00CF7B2F">
        <w:rPr>
          <w:rFonts w:ascii="Times New Roman" w:hAnsi="Times New Roman"/>
          <w:sz w:val="22"/>
          <w:szCs w:val="22"/>
          <w:u w:val="single"/>
        </w:rPr>
        <w:t>tyreoidným</w:t>
      </w:r>
      <w:proofErr w:type="spellEnd"/>
      <w:r w:rsidRPr="00CF7B2F">
        <w:rPr>
          <w:rFonts w:ascii="Times New Roman" w:hAnsi="Times New Roman"/>
          <w:sz w:val="22"/>
          <w:szCs w:val="22"/>
          <w:u w:val="single"/>
        </w:rPr>
        <w:t xml:space="preserve"> hormónom/Substitúcia</w:t>
      </w:r>
    </w:p>
    <w:p w14:paraId="6A01B929" w14:textId="77777777" w:rsidR="00E7084E" w:rsidRPr="007A1CAE" w:rsidRDefault="00E7084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2D70EC01" w14:textId="77777777" w:rsidR="005F6371" w:rsidRPr="002F028B" w:rsidRDefault="005F6371" w:rsidP="005761B8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Dávkovanie</w:t>
      </w:r>
    </w:p>
    <w:p w14:paraId="601AA13A" w14:textId="0BD22697" w:rsidR="005761B8" w:rsidRDefault="005761B8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8A8171E" w14:textId="0B39E941" w:rsidR="005A309E" w:rsidRPr="007A1CAE" w:rsidRDefault="005A309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638BCD10" w14:textId="36A00F58" w:rsidR="005761B8" w:rsidRDefault="00E7084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Údaje o dávkovaní sú stanovené podľa odporúčaní pre liečbu štítnej žľazy. Individuálna d</w:t>
      </w:r>
      <w:r w:rsidRPr="00C03D67">
        <w:rPr>
          <w:rFonts w:ascii="Times New Roman" w:hAnsi="Times New Roman"/>
          <w:sz w:val="22"/>
          <w:szCs w:val="22"/>
        </w:rPr>
        <w:t xml:space="preserve">enná </w:t>
      </w:r>
      <w:r w:rsidR="005A309E" w:rsidRPr="007A1CAE">
        <w:rPr>
          <w:rFonts w:ascii="Times New Roman" w:hAnsi="Times New Roman"/>
          <w:sz w:val="22"/>
          <w:szCs w:val="22"/>
        </w:rPr>
        <w:t>dávka sa stanoví individuálne na základe laboratórn</w:t>
      </w:r>
      <w:r w:rsidR="004932DA">
        <w:rPr>
          <w:rFonts w:ascii="Times New Roman" w:hAnsi="Times New Roman"/>
          <w:sz w:val="22"/>
          <w:szCs w:val="22"/>
        </w:rPr>
        <w:t>ych</w:t>
      </w:r>
      <w:r w:rsidR="00F861F6">
        <w:rPr>
          <w:rFonts w:ascii="Times New Roman" w:hAnsi="Times New Roman"/>
          <w:sz w:val="22"/>
          <w:szCs w:val="22"/>
        </w:rPr>
        <w:t xml:space="preserve"> diagnostických výsledkov</w:t>
      </w:r>
      <w:r w:rsidR="005A309E" w:rsidRPr="007A1CAE">
        <w:rPr>
          <w:rFonts w:ascii="Times New Roman" w:hAnsi="Times New Roman"/>
          <w:sz w:val="22"/>
          <w:szCs w:val="22"/>
        </w:rPr>
        <w:t xml:space="preserve"> a klinických vyšetrení.</w:t>
      </w:r>
    </w:p>
    <w:p w14:paraId="26FDCF6F" w14:textId="77777777" w:rsidR="00F861F6" w:rsidRDefault="00F861F6" w:rsidP="00036FA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50C2DB85" w14:textId="21C191A0" w:rsidR="00036FA5" w:rsidRDefault="005A309E" w:rsidP="00036FA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036FA5" w:rsidRPr="00441831">
        <w:rPr>
          <w:rFonts w:ascii="Times New Roman" w:hAnsi="Times New Roman"/>
          <w:sz w:val="22"/>
          <w:szCs w:val="22"/>
        </w:rPr>
        <w:t xml:space="preserve">Ak </w:t>
      </w:r>
      <w:r w:rsidR="00F861F6">
        <w:rPr>
          <w:rFonts w:ascii="Times New Roman" w:hAnsi="Times New Roman"/>
          <w:sz w:val="22"/>
          <w:szCs w:val="22"/>
        </w:rPr>
        <w:t>je ešte zachovaná</w:t>
      </w:r>
      <w:r w:rsidR="00036FA5" w:rsidRPr="00441831">
        <w:rPr>
          <w:rFonts w:ascii="Times New Roman" w:hAnsi="Times New Roman"/>
          <w:sz w:val="22"/>
          <w:szCs w:val="22"/>
        </w:rPr>
        <w:t xml:space="preserve"> </w:t>
      </w:r>
      <w:r w:rsidR="00036FA5">
        <w:rPr>
          <w:rFonts w:ascii="Times New Roman" w:hAnsi="Times New Roman"/>
          <w:sz w:val="22"/>
          <w:szCs w:val="22"/>
        </w:rPr>
        <w:t>reziduálna</w:t>
      </w:r>
      <w:r w:rsidR="00036FA5" w:rsidRPr="00441831">
        <w:rPr>
          <w:rFonts w:ascii="Times New Roman" w:hAnsi="Times New Roman"/>
          <w:sz w:val="22"/>
          <w:szCs w:val="22"/>
        </w:rPr>
        <w:t xml:space="preserve"> funkcia štítnej žľazy, môž</w:t>
      </w:r>
      <w:r w:rsidR="00F861F6">
        <w:rPr>
          <w:rFonts w:ascii="Times New Roman" w:hAnsi="Times New Roman"/>
          <w:sz w:val="22"/>
          <w:szCs w:val="22"/>
        </w:rPr>
        <w:t>u</w:t>
      </w:r>
      <w:r w:rsidR="00036FA5" w:rsidRPr="00441831">
        <w:rPr>
          <w:rFonts w:ascii="Times New Roman" w:hAnsi="Times New Roman"/>
          <w:sz w:val="22"/>
          <w:szCs w:val="22"/>
        </w:rPr>
        <w:t xml:space="preserve"> byť </w:t>
      </w:r>
      <w:r w:rsidR="00F861F6">
        <w:rPr>
          <w:rFonts w:ascii="Times New Roman" w:hAnsi="Times New Roman"/>
          <w:sz w:val="22"/>
          <w:szCs w:val="22"/>
        </w:rPr>
        <w:t xml:space="preserve">postačujúce </w:t>
      </w:r>
      <w:r w:rsidR="00036FA5" w:rsidRPr="00441831">
        <w:rPr>
          <w:rFonts w:ascii="Times New Roman" w:hAnsi="Times New Roman"/>
          <w:sz w:val="22"/>
          <w:szCs w:val="22"/>
        </w:rPr>
        <w:t>nižši</w:t>
      </w:r>
      <w:r w:rsidR="00F861F6">
        <w:rPr>
          <w:rFonts w:ascii="Times New Roman" w:hAnsi="Times New Roman"/>
          <w:sz w:val="22"/>
          <w:szCs w:val="22"/>
        </w:rPr>
        <w:t>e</w:t>
      </w:r>
      <w:r w:rsidR="00036FA5" w:rsidRPr="00441831">
        <w:rPr>
          <w:rFonts w:ascii="Times New Roman" w:hAnsi="Times New Roman"/>
          <w:sz w:val="22"/>
          <w:szCs w:val="22"/>
        </w:rPr>
        <w:t xml:space="preserve"> substitučn</w:t>
      </w:r>
      <w:r w:rsidR="00F861F6">
        <w:rPr>
          <w:rFonts w:ascii="Times New Roman" w:hAnsi="Times New Roman"/>
          <w:sz w:val="22"/>
          <w:szCs w:val="22"/>
        </w:rPr>
        <w:t>é</w:t>
      </w:r>
      <w:r w:rsidR="00036FA5" w:rsidRPr="00441831">
        <w:rPr>
          <w:rFonts w:ascii="Times New Roman" w:hAnsi="Times New Roman"/>
          <w:sz w:val="22"/>
          <w:szCs w:val="22"/>
        </w:rPr>
        <w:t xml:space="preserve"> dávk</w:t>
      </w:r>
      <w:r w:rsidR="00F861F6">
        <w:rPr>
          <w:rFonts w:ascii="Times New Roman" w:hAnsi="Times New Roman"/>
          <w:sz w:val="22"/>
          <w:szCs w:val="22"/>
        </w:rPr>
        <w:t>y</w:t>
      </w:r>
      <w:r w:rsidR="00036FA5" w:rsidRPr="00441831">
        <w:rPr>
          <w:rFonts w:ascii="Times New Roman" w:hAnsi="Times New Roman"/>
          <w:sz w:val="22"/>
          <w:szCs w:val="22"/>
        </w:rPr>
        <w:t>.</w:t>
      </w:r>
    </w:p>
    <w:p w14:paraId="0546BFB3" w14:textId="77777777" w:rsidR="005A309E" w:rsidRPr="007A1CAE" w:rsidRDefault="005A309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0634E430" w14:textId="52085193" w:rsidR="005A309E" w:rsidRPr="007A1CAE" w:rsidRDefault="005A309E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Liečba hormónmi štítnej žľazy u starších</w:t>
      </w:r>
      <w:r w:rsidR="00AE1322">
        <w:rPr>
          <w:rFonts w:ascii="Times New Roman" w:hAnsi="Times New Roman"/>
          <w:sz w:val="22"/>
          <w:szCs w:val="22"/>
        </w:rPr>
        <w:t xml:space="preserve"> </w:t>
      </w:r>
      <w:r w:rsidR="005761B8" w:rsidRPr="007A1CAE">
        <w:rPr>
          <w:rFonts w:ascii="Times New Roman" w:hAnsi="Times New Roman"/>
          <w:sz w:val="22"/>
          <w:szCs w:val="22"/>
        </w:rPr>
        <w:t>ľ</w:t>
      </w:r>
      <w:r w:rsidR="005761B8">
        <w:rPr>
          <w:rFonts w:ascii="Times New Roman" w:hAnsi="Times New Roman"/>
          <w:sz w:val="22"/>
          <w:szCs w:val="22"/>
        </w:rPr>
        <w:t>udí</w:t>
      </w:r>
      <w:r w:rsidRPr="007A1CAE">
        <w:rPr>
          <w:rFonts w:ascii="Times New Roman" w:hAnsi="Times New Roman"/>
          <w:sz w:val="22"/>
          <w:szCs w:val="22"/>
        </w:rPr>
        <w:t xml:space="preserve">, u pacientov s koronárnymi srdcovými ochoreniami, u pacientov s ťažkou alebo dlhodobou </w:t>
      </w:r>
      <w:proofErr w:type="spellStart"/>
      <w:r w:rsidRPr="007A1CAE">
        <w:rPr>
          <w:rFonts w:ascii="Times New Roman" w:hAnsi="Times New Roman"/>
          <w:sz w:val="22"/>
          <w:szCs w:val="22"/>
        </w:rPr>
        <w:t>hypotyreózou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sa musí začať opatrne, nízkymi počiatočnými dávkami. Dávky sa zvyšujú po</w:t>
      </w:r>
      <w:r w:rsidR="00D44BD1">
        <w:rPr>
          <w:rFonts w:ascii="Times New Roman" w:hAnsi="Times New Roman"/>
          <w:sz w:val="22"/>
          <w:szCs w:val="22"/>
        </w:rPr>
        <w:t>maly</w:t>
      </w:r>
      <w:r w:rsidRPr="007A1CAE">
        <w:rPr>
          <w:rFonts w:ascii="Times New Roman" w:hAnsi="Times New Roman"/>
          <w:sz w:val="22"/>
          <w:szCs w:val="22"/>
        </w:rPr>
        <w:t xml:space="preserve"> a</w:t>
      </w:r>
      <w:r w:rsidR="00D44BD1">
        <w:rPr>
          <w:rFonts w:ascii="Times New Roman" w:hAnsi="Times New Roman"/>
          <w:sz w:val="22"/>
          <w:szCs w:val="22"/>
        </w:rPr>
        <w:t xml:space="preserve"> v </w:t>
      </w:r>
      <w:r w:rsidRPr="007A1CAE">
        <w:rPr>
          <w:rFonts w:ascii="Times New Roman" w:hAnsi="Times New Roman"/>
          <w:sz w:val="22"/>
          <w:szCs w:val="22"/>
        </w:rPr>
        <w:t xml:space="preserve">dlhších intervaloch medzi jednotlivými zvýšeniami a pri častom monitorovaní hladín hormónov štítnej žľazy. </w:t>
      </w:r>
    </w:p>
    <w:p w14:paraId="3622B4B8" w14:textId="79BA6460" w:rsidR="005A309E" w:rsidRPr="007A1CAE" w:rsidRDefault="005A309E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Klinické skúsenosti potvrdili, že pri nízkej telesnej hmotnosti pacienta postačujú na terapiu </w:t>
      </w:r>
      <w:r w:rsidRPr="002708C9">
        <w:rPr>
          <w:rFonts w:ascii="Times New Roman" w:hAnsi="Times New Roman"/>
          <w:sz w:val="22"/>
          <w:szCs w:val="22"/>
        </w:rPr>
        <w:t>strum</w:t>
      </w:r>
      <w:r w:rsidR="00D44BD1" w:rsidRPr="002708C9">
        <w:rPr>
          <w:rFonts w:ascii="Times New Roman" w:hAnsi="Times New Roman"/>
          <w:sz w:val="22"/>
          <w:szCs w:val="22"/>
        </w:rPr>
        <w:t>y</w:t>
      </w:r>
      <w:r w:rsidRPr="007A1CAE">
        <w:rPr>
          <w:rFonts w:ascii="Times New Roman" w:hAnsi="Times New Roman"/>
          <w:sz w:val="22"/>
          <w:szCs w:val="22"/>
        </w:rPr>
        <w:t xml:space="preserve"> veľkého rozsahu nízke dávky lieku. </w:t>
      </w:r>
    </w:p>
    <w:p w14:paraId="6C7BC1EB" w14:textId="597B2CE5" w:rsidR="00BE378B" w:rsidRDefault="00BE378B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Nakoľko u niektorých pacientov môžu byť zvýšené hodnoty T</w:t>
      </w:r>
      <w:r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Pr="007A1CAE">
        <w:rPr>
          <w:rFonts w:ascii="Times New Roman" w:hAnsi="Times New Roman"/>
          <w:sz w:val="22"/>
          <w:szCs w:val="22"/>
        </w:rPr>
        <w:t>alebo voľného T</w:t>
      </w:r>
      <w:r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="009665DF" w:rsidRPr="007A1CAE">
        <w:rPr>
          <w:rFonts w:ascii="Times New Roman" w:hAnsi="Times New Roman"/>
          <w:sz w:val="22"/>
          <w:szCs w:val="22"/>
        </w:rPr>
        <w:t xml:space="preserve">, stanovenie koncentrácie </w:t>
      </w:r>
      <w:proofErr w:type="spellStart"/>
      <w:r w:rsidR="00CC3AD2" w:rsidRPr="009E2E4D">
        <w:rPr>
          <w:rFonts w:ascii="Times New Roman" w:hAnsi="Times New Roman"/>
          <w:sz w:val="22"/>
          <w:szCs w:val="22"/>
        </w:rPr>
        <w:t>tyreostimulačn</w:t>
      </w:r>
      <w:r w:rsidR="00CC3AD2">
        <w:rPr>
          <w:rFonts w:ascii="Times New Roman" w:hAnsi="Times New Roman"/>
          <w:sz w:val="22"/>
          <w:szCs w:val="22"/>
        </w:rPr>
        <w:t>ého</w:t>
      </w:r>
      <w:proofErr w:type="spellEnd"/>
      <w:r w:rsidR="00CC3AD2" w:rsidRPr="009E2E4D">
        <w:rPr>
          <w:rFonts w:ascii="Times New Roman" w:hAnsi="Times New Roman"/>
          <w:sz w:val="22"/>
          <w:szCs w:val="22"/>
        </w:rPr>
        <w:t xml:space="preserve"> hormón</w:t>
      </w:r>
      <w:r w:rsidR="00CC3AD2">
        <w:rPr>
          <w:rFonts w:ascii="Times New Roman" w:hAnsi="Times New Roman"/>
          <w:sz w:val="22"/>
          <w:szCs w:val="22"/>
        </w:rPr>
        <w:t>u (</w:t>
      </w:r>
      <w:r w:rsidR="009665DF" w:rsidRPr="007A1CAE">
        <w:rPr>
          <w:rFonts w:ascii="Times New Roman" w:hAnsi="Times New Roman"/>
          <w:sz w:val="22"/>
          <w:szCs w:val="22"/>
        </w:rPr>
        <w:t>TSH</w:t>
      </w:r>
      <w:r w:rsidR="00CC3AD2">
        <w:rPr>
          <w:rFonts w:ascii="Times New Roman" w:hAnsi="Times New Roman"/>
          <w:sz w:val="22"/>
          <w:szCs w:val="22"/>
        </w:rPr>
        <w:t>)</w:t>
      </w:r>
      <w:r w:rsidR="00D44BD1">
        <w:rPr>
          <w:rFonts w:ascii="Times New Roman" w:hAnsi="Times New Roman"/>
          <w:sz w:val="22"/>
          <w:szCs w:val="22"/>
        </w:rPr>
        <w:t xml:space="preserve"> v sére</w:t>
      </w:r>
      <w:r w:rsidR="009665DF" w:rsidRPr="007A1CAE">
        <w:rPr>
          <w:rFonts w:ascii="Times New Roman" w:hAnsi="Times New Roman"/>
          <w:sz w:val="22"/>
          <w:szCs w:val="22"/>
        </w:rPr>
        <w:t xml:space="preserve"> je vhodnejšie pre monitorovanie terapie.</w:t>
      </w:r>
    </w:p>
    <w:p w14:paraId="6DC365F7" w14:textId="77777777" w:rsidR="00CC3AD2" w:rsidRPr="007A1CAE" w:rsidRDefault="00CC3AD2" w:rsidP="005761B8">
      <w:pPr>
        <w:jc w:val="both"/>
        <w:rPr>
          <w:rFonts w:ascii="Times New Roman" w:hAnsi="Times New Roman"/>
          <w:sz w:val="22"/>
          <w:szCs w:val="22"/>
        </w:rPr>
      </w:pPr>
    </w:p>
    <w:p w14:paraId="62CB54B9" w14:textId="77777777" w:rsidR="00E144A9" w:rsidRPr="007A1CAE" w:rsidRDefault="00E144A9" w:rsidP="002F028B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84" w:type="dxa"/>
        <w:tblLook w:val="0000" w:firstRow="0" w:lastRow="0" w:firstColumn="0" w:lastColumn="0" w:noHBand="0" w:noVBand="0"/>
      </w:tblPr>
      <w:tblGrid>
        <w:gridCol w:w="4644"/>
        <w:gridCol w:w="2126"/>
        <w:gridCol w:w="2234"/>
      </w:tblGrid>
      <w:tr w:rsidR="008018B0" w:rsidRPr="007A1CAE" w14:paraId="2C40C4C5" w14:textId="77777777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CE4" w14:textId="77777777" w:rsidR="008018B0" w:rsidRPr="007A1CAE" w:rsidRDefault="008018B0">
            <w:pPr>
              <w:pStyle w:val="Nadpis1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t>Indikácia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EF1" w14:textId="4FFB2AC6" w:rsidR="008018B0" w:rsidRPr="007A1CAE" w:rsidRDefault="00AC3017" w:rsidP="00C65FC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Dávka (</w:t>
            </w:r>
            <w:proofErr w:type="spellStart"/>
            <w:r w:rsidR="00C65FCF">
              <w:rPr>
                <w:rFonts w:ascii="Times New Roman" w:hAnsi="Times New Roman"/>
                <w:b/>
                <w:bCs/>
                <w:sz w:val="22"/>
                <w:szCs w:val="22"/>
              </w:rPr>
              <w:t>mikrogramy</w:t>
            </w:r>
            <w:proofErr w:type="spellEnd"/>
            <w:r w:rsidR="00C65FCF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665DF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sodnej soli </w:t>
            </w:r>
            <w:proofErr w:type="spellStart"/>
            <w:r w:rsidR="009665DF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levotyroxínu</w:t>
            </w:r>
            <w:proofErr w:type="spellEnd"/>
            <w:r w:rsidR="008018B0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/deň</w:t>
            </w: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8018B0" w:rsidRPr="007A1CAE" w14:paraId="4F2B7564" w14:textId="77777777" w:rsidTr="002708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EA6" w14:textId="77777777" w:rsidR="008018B0" w:rsidRPr="007A1CAE" w:rsidRDefault="008018B0">
            <w:pPr>
              <w:ind w:right="-260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0C9248" w14:textId="77777777" w:rsidR="008018B0" w:rsidRPr="007A1CAE" w:rsidRDefault="008018B0">
            <w:pPr>
              <w:pStyle w:val="Nadpis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1CAE">
              <w:rPr>
                <w:rFonts w:ascii="Times New Roman" w:hAnsi="Times New Roman"/>
                <w:sz w:val="22"/>
                <w:szCs w:val="22"/>
              </w:rPr>
              <w:t>Hypotyreóza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DD1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478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8B0" w:rsidRPr="007A1CAE" w14:paraId="1DB4CEC5" w14:textId="77777777" w:rsidTr="002708C9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6733" w14:textId="3195342A" w:rsidR="008018B0" w:rsidRPr="007A1CAE" w:rsidRDefault="00B950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0B2">
              <w:rPr>
                <w:rFonts w:ascii="Times New Roman" w:hAnsi="Times New Roman"/>
                <w:sz w:val="22"/>
                <w:szCs w:val="22"/>
              </w:rPr>
              <w:t>Dospievajúci a dospelí</w:t>
            </w:r>
          </w:p>
          <w:p w14:paraId="62A0EA1E" w14:textId="59B320AF" w:rsidR="006628DD" w:rsidRDefault="008018B0" w:rsidP="005761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1DB029F" w14:textId="3ABC8A6B" w:rsidR="008018B0" w:rsidRPr="007A1CAE" w:rsidRDefault="006628DD" w:rsidP="005761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8018B0" w:rsidRPr="007A1CAE">
              <w:rPr>
                <w:rFonts w:ascii="Times New Roman" w:hAnsi="Times New Roman"/>
                <w:sz w:val="22"/>
                <w:szCs w:val="22"/>
              </w:rPr>
              <w:t xml:space="preserve">zvyšovanie po 25 – 50 </w:t>
            </w:r>
            <w:proofErr w:type="spellStart"/>
            <w:r w:rsidR="005761B8">
              <w:rPr>
                <w:rFonts w:ascii="Times New Roman" w:hAnsi="Times New Roman"/>
                <w:sz w:val="22"/>
                <w:szCs w:val="22"/>
              </w:rPr>
              <w:t>mikrogramov</w:t>
            </w:r>
            <w:proofErr w:type="spellEnd"/>
            <w:r w:rsidR="005761B8"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18B0" w:rsidRPr="007A1CAE">
              <w:rPr>
                <w:rFonts w:ascii="Times New Roman" w:hAnsi="Times New Roman"/>
                <w:sz w:val="22"/>
                <w:szCs w:val="22"/>
              </w:rPr>
              <w:t>každý 2</w:t>
            </w:r>
            <w:r w:rsidR="00BB3D6F"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18B0" w:rsidRPr="007A1CAE">
              <w:rPr>
                <w:rFonts w:ascii="Times New Roman" w:hAnsi="Times New Roman"/>
                <w:sz w:val="22"/>
                <w:szCs w:val="22"/>
              </w:rPr>
              <w:t xml:space="preserve">.až 4. </w:t>
            </w:r>
            <w:r w:rsidRPr="007A1CAE">
              <w:rPr>
                <w:rFonts w:ascii="Times New Roman" w:hAnsi="Times New Roman"/>
                <w:sz w:val="22"/>
                <w:szCs w:val="22"/>
              </w:rPr>
              <w:t>T</w:t>
            </w:r>
            <w:r w:rsidR="008018B0" w:rsidRPr="007A1CAE">
              <w:rPr>
                <w:rFonts w:ascii="Times New Roman" w:hAnsi="Times New Roman"/>
                <w:sz w:val="22"/>
                <w:szCs w:val="22"/>
              </w:rPr>
              <w:t>ýždeň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413C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>iniciálne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92D5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25 – 50 </w:t>
            </w:r>
          </w:p>
        </w:tc>
      </w:tr>
      <w:tr w:rsidR="008018B0" w:rsidRPr="007A1CAE" w14:paraId="67596775" w14:textId="77777777" w:rsidTr="002708C9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CB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C80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F7267B" w14:textId="3ECE4B13" w:rsidR="008018B0" w:rsidRPr="007A1CAE" w:rsidRDefault="00FA6B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08C9">
              <w:rPr>
                <w:rFonts w:ascii="Times New Roman" w:hAnsi="Times New Roman"/>
                <w:sz w:val="22"/>
                <w:szCs w:val="22"/>
              </w:rPr>
              <w:t>udržiavacia dávka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734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975A6A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100 – 200 </w:t>
            </w:r>
          </w:p>
          <w:p w14:paraId="607443C9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28DD" w:rsidRPr="007A1CAE" w14:paraId="5B0FA713" w14:textId="77777777" w:rsidTr="004932D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3DB" w14:textId="77777777" w:rsidR="006628DD" w:rsidRPr="007A1CAE" w:rsidRDefault="006628DD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Profylaxia </w:t>
            </w:r>
            <w:proofErr w:type="spellStart"/>
            <w:r w:rsidRPr="007A1CAE">
              <w:rPr>
                <w:rFonts w:ascii="Times New Roman" w:hAnsi="Times New Roman"/>
                <w:sz w:val="22"/>
                <w:szCs w:val="22"/>
              </w:rPr>
              <w:t>rekurentnej</w:t>
            </w:r>
            <w:proofErr w:type="spellEnd"/>
            <w:r w:rsidRPr="007A1CAE">
              <w:rPr>
                <w:rFonts w:ascii="Times New Roman" w:hAnsi="Times New Roman"/>
                <w:sz w:val="22"/>
                <w:szCs w:val="22"/>
              </w:rPr>
              <w:t xml:space="preserve"> strumy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AC5" w14:textId="77777777" w:rsidR="006628DD" w:rsidRPr="007A1CAE" w:rsidRDefault="00662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75 – 200 </w:t>
            </w:r>
          </w:p>
          <w:p w14:paraId="20C9069E" w14:textId="77777777" w:rsidR="006628DD" w:rsidRPr="007A1CAE" w:rsidRDefault="00662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28DD" w:rsidRPr="007A1CAE" w14:paraId="70689D74" w14:textId="77777777" w:rsidTr="004932D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F47" w14:textId="77777777" w:rsidR="006628DD" w:rsidRPr="007A1CAE" w:rsidRDefault="006628D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Benígna struma s </w:t>
            </w:r>
            <w:proofErr w:type="spellStart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eutyreoidnou</w:t>
            </w:r>
            <w:proofErr w:type="spellEnd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funkciou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779" w14:textId="77777777" w:rsidR="006628DD" w:rsidRPr="007A1CAE" w:rsidRDefault="00662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73E6C2" w14:textId="77777777" w:rsidR="006628DD" w:rsidRPr="007A1CAE" w:rsidRDefault="00662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75 – 200 </w:t>
            </w:r>
          </w:p>
        </w:tc>
      </w:tr>
      <w:tr w:rsidR="00AC3017" w:rsidRPr="007A1CAE" w14:paraId="18CF2E46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A71" w14:textId="77777777" w:rsidR="00AC3017" w:rsidRPr="007A1CAE" w:rsidRDefault="00AC30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8996245" w14:textId="77777777" w:rsidR="00D71ECD" w:rsidRPr="007A1CAE" w:rsidRDefault="00AC3017" w:rsidP="005929D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Terapia po </w:t>
            </w:r>
            <w:proofErr w:type="spellStart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tyreoidektómii</w:t>
            </w:r>
            <w:proofErr w:type="spellEnd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 dôsledku malígneho ochorenia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63A" w14:textId="77777777" w:rsidR="00AC3017" w:rsidRPr="007A1CAE" w:rsidRDefault="00AC30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C6A9BA7" w14:textId="3C9897FB" w:rsidR="00AC3017" w:rsidRPr="007A1CAE" w:rsidRDefault="00AC30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>150 – 300</w:t>
            </w:r>
            <w:r w:rsidR="006F1AA3"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0E1FB34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6EFA2B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801C43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1C90B9D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F2EFBA9" w14:textId="77777777" w:rsidR="00836511" w:rsidRDefault="00836511" w:rsidP="005F6371">
      <w:pPr>
        <w:rPr>
          <w:rFonts w:ascii="Times New Roman" w:hAnsi="Times New Roman"/>
          <w:iCs/>
          <w:sz w:val="22"/>
          <w:szCs w:val="22"/>
        </w:rPr>
      </w:pPr>
    </w:p>
    <w:p w14:paraId="6F729EEC" w14:textId="1B47BB8C" w:rsidR="006628DD" w:rsidRPr="002708C9" w:rsidRDefault="006628DD" w:rsidP="009324B5">
      <w:pPr>
        <w:rPr>
          <w:rFonts w:ascii="Times New Roman" w:hAnsi="Times New Roman"/>
          <w:i/>
          <w:sz w:val="22"/>
          <w:szCs w:val="22"/>
        </w:rPr>
      </w:pPr>
      <w:r w:rsidRPr="002708C9">
        <w:rPr>
          <w:rFonts w:ascii="Times New Roman" w:hAnsi="Times New Roman"/>
          <w:i/>
          <w:sz w:val="22"/>
          <w:szCs w:val="22"/>
        </w:rPr>
        <w:t>Starší ľudia</w:t>
      </w:r>
    </w:p>
    <w:p w14:paraId="28797722" w14:textId="3564DB01" w:rsidR="007A1CAE" w:rsidRDefault="006628DD" w:rsidP="009324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 starších pacientov je potrebné brať do úvahy individuálne prípady, napr. ochorenia srdca, a tomu prispôsobiť dávkovanie </w:t>
      </w:r>
      <w:proofErr w:type="spellStart"/>
      <w:r>
        <w:rPr>
          <w:rFonts w:ascii="Times New Roman" w:hAnsi="Times New Roman"/>
          <w:iCs/>
          <w:sz w:val="22"/>
          <w:szCs w:val="22"/>
        </w:rPr>
        <w:t>levotyroxínu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sodného s pravidelnými kontrolami hladín TSH</w:t>
      </w:r>
      <w:r w:rsidR="009324B5" w:rsidRPr="004E7CCC">
        <w:rPr>
          <w:rFonts w:ascii="Times New Roman" w:hAnsi="Times New Roman"/>
          <w:sz w:val="22"/>
          <w:szCs w:val="22"/>
        </w:rPr>
        <w:t>.</w:t>
      </w:r>
    </w:p>
    <w:p w14:paraId="6D471806" w14:textId="77777777" w:rsidR="009324B5" w:rsidRDefault="009324B5" w:rsidP="009324B5">
      <w:pPr>
        <w:rPr>
          <w:rFonts w:ascii="Times New Roman" w:hAnsi="Times New Roman"/>
          <w:iCs/>
          <w:sz w:val="22"/>
          <w:szCs w:val="22"/>
        </w:rPr>
      </w:pPr>
    </w:p>
    <w:p w14:paraId="1D2E7596" w14:textId="77777777" w:rsidR="001607D0" w:rsidRPr="002708C9" w:rsidRDefault="001607D0" w:rsidP="001607D0">
      <w:pPr>
        <w:rPr>
          <w:rFonts w:ascii="Times New Roman" w:hAnsi="Times New Roman"/>
          <w:i/>
          <w:iCs/>
          <w:sz w:val="22"/>
          <w:szCs w:val="22"/>
        </w:rPr>
      </w:pPr>
      <w:r w:rsidRPr="002708C9">
        <w:rPr>
          <w:rFonts w:ascii="Times New Roman" w:hAnsi="Times New Roman"/>
          <w:i/>
          <w:iCs/>
          <w:sz w:val="22"/>
          <w:szCs w:val="22"/>
        </w:rPr>
        <w:t>Porucha funkcie pečene alebo obličiek</w:t>
      </w:r>
    </w:p>
    <w:p w14:paraId="7F3D380C" w14:textId="1A61C67F" w:rsidR="001607D0" w:rsidRDefault="001607D0" w:rsidP="001607D0">
      <w:pPr>
        <w:rPr>
          <w:rFonts w:ascii="Times New Roman" w:hAnsi="Times New Roman"/>
          <w:iCs/>
          <w:sz w:val="22"/>
          <w:szCs w:val="22"/>
        </w:rPr>
      </w:pPr>
      <w:r w:rsidRPr="002708C9">
        <w:rPr>
          <w:rFonts w:ascii="Times New Roman" w:hAnsi="Times New Roman"/>
          <w:iCs/>
          <w:sz w:val="22"/>
          <w:szCs w:val="22"/>
        </w:rPr>
        <w:t>Pri zníženej funkcii pečene alebo obličiek nie je potrebná úprava dávky.</w:t>
      </w:r>
    </w:p>
    <w:p w14:paraId="0CC9C61E" w14:textId="77777777" w:rsidR="001607D0" w:rsidRPr="007A1CAE" w:rsidRDefault="001607D0" w:rsidP="001607D0">
      <w:pPr>
        <w:rPr>
          <w:rFonts w:ascii="Times New Roman" w:hAnsi="Times New Roman"/>
          <w:iCs/>
          <w:sz w:val="22"/>
          <w:szCs w:val="22"/>
        </w:rPr>
      </w:pPr>
    </w:p>
    <w:p w14:paraId="56DC2D0A" w14:textId="0B22FC76" w:rsidR="00C041EA" w:rsidRPr="002F028B" w:rsidRDefault="00C041EA" w:rsidP="005F6371">
      <w:pPr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/>
          <w:iCs/>
          <w:sz w:val="22"/>
          <w:szCs w:val="22"/>
        </w:rPr>
        <w:t>Pediatrick</w:t>
      </w:r>
      <w:r w:rsidR="005761B8" w:rsidRPr="002F028B">
        <w:rPr>
          <w:rFonts w:ascii="Times New Roman" w:hAnsi="Times New Roman"/>
          <w:i/>
          <w:iCs/>
          <w:sz w:val="22"/>
          <w:szCs w:val="22"/>
        </w:rPr>
        <w:t>á populácia</w:t>
      </w:r>
      <w:r w:rsidRPr="002F028B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3C21908" w14:textId="77777777" w:rsidR="001607D0" w:rsidRDefault="001607D0" w:rsidP="002F028B">
      <w:pPr>
        <w:rPr>
          <w:rFonts w:ascii="Times New Roman" w:hAnsi="Times New Roman"/>
          <w:iCs/>
          <w:sz w:val="22"/>
          <w:szCs w:val="22"/>
        </w:rPr>
      </w:pPr>
    </w:p>
    <w:p w14:paraId="7F327B8D" w14:textId="77777777" w:rsidR="00B950B2" w:rsidRPr="00B950B2" w:rsidRDefault="00B950B2" w:rsidP="00B950B2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  <w:lang w:val="en-GB" w:eastAsia="de-DE"/>
        </w:rPr>
      </w:pP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Začiatočná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dávka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pre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novorodencov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je 10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až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15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proofErr w:type="gram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na</w:t>
      </w:r>
      <w:proofErr w:type="spellEnd"/>
      <w:proofErr w:type="gram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kg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telesnej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hmotnosti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(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maximálne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50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)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jedenkrát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denne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. </w:t>
      </w:r>
      <w:proofErr w:type="gram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Je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možné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ju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upraviť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postupne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5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mikrogramoch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/kg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každé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2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týždne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alebo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podľa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potreby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.</w:t>
      </w:r>
      <w:proofErr w:type="gramEnd"/>
    </w:p>
    <w:p w14:paraId="4EBAD66B" w14:textId="77777777" w:rsidR="00B950B2" w:rsidRPr="00B950B2" w:rsidRDefault="00B950B2" w:rsidP="00B950B2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  <w:lang w:val="en-GB" w:eastAsia="de-DE"/>
        </w:rPr>
      </w:pP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Začiatočná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dávka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pre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dojčatá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alebo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deti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gram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od</w:t>
      </w:r>
      <w:proofErr w:type="gram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1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mesiaca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do 2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rokov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je 5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na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kg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telesnej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hmotnosti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(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maximálne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50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)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jedenkrát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denne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. </w:t>
      </w:r>
      <w:proofErr w:type="gram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Je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možné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ju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upraviť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postupne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10 – 25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mikrogramoch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denne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každé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2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až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4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týždne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.</w:t>
      </w:r>
      <w:proofErr w:type="gram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</w:p>
    <w:p w14:paraId="70C0ACFF" w14:textId="77777777" w:rsidR="00B950B2" w:rsidRPr="00B950B2" w:rsidRDefault="00B950B2" w:rsidP="00B950B2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  <w:lang w:val="en-GB" w:eastAsia="de-DE"/>
        </w:rPr>
      </w:pP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lastRenderedPageBreak/>
        <w:t>Začiatočná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dávka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pre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deti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od 2 do 12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rokov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je 50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jedenkrát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denne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, je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možné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ju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postupne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upravovať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po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25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mikrogramoch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denne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každé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2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až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4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týždne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,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až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kým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sa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metabolizmus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normalizuje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.</w:t>
      </w:r>
    </w:p>
    <w:p w14:paraId="2AB9A295" w14:textId="77777777" w:rsidR="00B950B2" w:rsidRPr="00B950B2" w:rsidRDefault="00B950B2" w:rsidP="00B950B2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  <w:lang w:val="en-GB" w:eastAsia="de-DE"/>
        </w:rPr>
      </w:pPr>
    </w:p>
    <w:p w14:paraId="2E9EEFD8" w14:textId="77777777" w:rsidR="00B950B2" w:rsidRPr="00B950B2" w:rsidRDefault="00B950B2" w:rsidP="00B950B2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  <w:lang w:val="en-GB" w:eastAsia="de-DE"/>
        </w:rPr>
      </w:pP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Udržiavacie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dávky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,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okrem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iných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parametrov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,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závisia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gram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od</w:t>
      </w:r>
      <w:proofErr w:type="gram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veku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 xml:space="preserve"> </w:t>
      </w:r>
      <w:proofErr w:type="spellStart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dieťaťa</w:t>
      </w:r>
      <w:proofErr w:type="spellEnd"/>
      <w:r w:rsidRPr="00B950B2">
        <w:rPr>
          <w:rFonts w:ascii="Times New Roman" w:hAnsi="Times New Roman"/>
          <w:iCs/>
          <w:sz w:val="22"/>
          <w:szCs w:val="22"/>
          <w:lang w:val="en-GB" w:eastAsia="de-DE"/>
        </w:rPr>
        <w:t>:</w:t>
      </w:r>
    </w:p>
    <w:p w14:paraId="2263F069" w14:textId="77777777" w:rsidR="00B950B2" w:rsidRPr="00B950B2" w:rsidRDefault="00B950B2" w:rsidP="00B950B2">
      <w:pPr>
        <w:rPr>
          <w:rFonts w:ascii="Times New Roman" w:hAnsi="Times New Roman"/>
          <w:sz w:val="22"/>
          <w:szCs w:val="22"/>
          <w:lang w:val="en-US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62"/>
      </w:tblGrid>
      <w:tr w:rsidR="00B950B2" w:rsidRPr="00B950B2" w14:paraId="110FB35A" w14:textId="77777777" w:rsidTr="004932DA">
        <w:trPr>
          <w:trHeight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B5CC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proofErr w:type="spellStart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Vek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4228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proofErr w:type="spellStart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Dávka</w:t>
            </w:r>
            <w:proofErr w:type="spellEnd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mikrogramov</w:t>
            </w:r>
            <w:proofErr w:type="spellEnd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deň</w:t>
            </w:r>
            <w:proofErr w:type="spellEnd"/>
            <w:r w:rsidRPr="00B950B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</w:tr>
      <w:tr w:rsidR="00B950B2" w:rsidRPr="00B950B2" w14:paraId="0AB9DB84" w14:textId="77777777" w:rsidTr="004932DA">
        <w:trPr>
          <w:trHeight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4DBA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>Novorodenci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9DBA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>20 - 50</w:t>
            </w:r>
          </w:p>
        </w:tc>
      </w:tr>
      <w:tr w:rsidR="00B950B2" w:rsidRPr="00B950B2" w14:paraId="25180394" w14:textId="77777777" w:rsidTr="004932DA">
        <w:trPr>
          <w:trHeight w:val="2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FC7F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1 - 24 </w:t>
            </w:r>
            <w:proofErr w:type="spellStart"/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>mesiacov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47B0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>25 - 75</w:t>
            </w:r>
          </w:p>
        </w:tc>
      </w:tr>
      <w:tr w:rsidR="00B950B2" w:rsidRPr="00B950B2" w14:paraId="62A0C83E" w14:textId="77777777" w:rsidTr="004932DA">
        <w:trPr>
          <w:trHeight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1A09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2 - 12 </w:t>
            </w:r>
            <w:proofErr w:type="spellStart"/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>rokov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99DF" w14:textId="77777777" w:rsidR="00B950B2" w:rsidRPr="00B950B2" w:rsidRDefault="00B950B2" w:rsidP="00B9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50B2">
              <w:rPr>
                <w:rFonts w:ascii="Times New Roman" w:hAnsi="Times New Roman"/>
                <w:sz w:val="22"/>
                <w:szCs w:val="22"/>
                <w:lang w:val="en-US"/>
              </w:rPr>
              <w:t>75 - 100</w:t>
            </w:r>
          </w:p>
        </w:tc>
      </w:tr>
    </w:tbl>
    <w:p w14:paraId="7D3F8277" w14:textId="77777777" w:rsidR="00B950B2" w:rsidRDefault="00B950B2" w:rsidP="001607D0">
      <w:pPr>
        <w:rPr>
          <w:rFonts w:ascii="Times New Roman" w:hAnsi="Times New Roman"/>
          <w:bCs/>
          <w:iCs/>
          <w:sz w:val="22"/>
          <w:szCs w:val="22"/>
          <w:highlight w:val="green"/>
        </w:rPr>
      </w:pPr>
    </w:p>
    <w:p w14:paraId="1092C528" w14:textId="3E106D21" w:rsidR="00FB1CC9" w:rsidRPr="007A1CAE" w:rsidRDefault="00FB1CC9" w:rsidP="002F028B">
      <w:pPr>
        <w:rPr>
          <w:rFonts w:ascii="Times New Roman" w:hAnsi="Times New Roman"/>
          <w:iCs/>
          <w:sz w:val="22"/>
          <w:szCs w:val="22"/>
        </w:rPr>
      </w:pPr>
    </w:p>
    <w:p w14:paraId="69A23BF6" w14:textId="77777777" w:rsidR="005F6371" w:rsidRPr="007A1CAE" w:rsidRDefault="005F6371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4752A794" w14:textId="77777777" w:rsidR="00211D26" w:rsidRPr="007A1CAE" w:rsidRDefault="00211D2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48F3BCA5" w14:textId="77777777" w:rsidR="005F6371" w:rsidRPr="002F028B" w:rsidRDefault="005F6371" w:rsidP="005761B8">
      <w:pPr>
        <w:tabs>
          <w:tab w:val="num" w:pos="0"/>
        </w:tabs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4998E4A7" w14:textId="777CC39B" w:rsidR="008018B0" w:rsidRPr="007A1CAE" w:rsidRDefault="00AB0833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8018B0" w:rsidRPr="007A1CAE">
        <w:rPr>
          <w:rFonts w:ascii="Times New Roman" w:hAnsi="Times New Roman"/>
          <w:sz w:val="22"/>
          <w:szCs w:val="22"/>
        </w:rPr>
        <w:t>el</w:t>
      </w:r>
      <w:r>
        <w:rPr>
          <w:rFonts w:ascii="Times New Roman" w:hAnsi="Times New Roman"/>
          <w:sz w:val="22"/>
          <w:szCs w:val="22"/>
        </w:rPr>
        <w:t>á</w:t>
      </w:r>
      <w:r w:rsidR="008018B0" w:rsidRPr="007A1CAE">
        <w:rPr>
          <w:rFonts w:ascii="Times New Roman" w:hAnsi="Times New Roman"/>
          <w:sz w:val="22"/>
          <w:szCs w:val="22"/>
        </w:rPr>
        <w:t xml:space="preserve"> denn</w:t>
      </w:r>
      <w:r>
        <w:rPr>
          <w:rFonts w:ascii="Times New Roman" w:hAnsi="Times New Roman"/>
          <w:sz w:val="22"/>
          <w:szCs w:val="22"/>
        </w:rPr>
        <w:t>á</w:t>
      </w:r>
      <w:r w:rsidR="008018B0" w:rsidRPr="007A1CAE">
        <w:rPr>
          <w:rFonts w:ascii="Times New Roman" w:hAnsi="Times New Roman"/>
          <w:sz w:val="22"/>
          <w:szCs w:val="22"/>
        </w:rPr>
        <w:t xml:space="preserve"> dávk</w:t>
      </w:r>
      <w:r>
        <w:rPr>
          <w:rFonts w:ascii="Times New Roman" w:hAnsi="Times New Roman"/>
          <w:sz w:val="22"/>
          <w:szCs w:val="22"/>
        </w:rPr>
        <w:t>a sa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r w:rsidR="004B016C">
        <w:rPr>
          <w:rFonts w:ascii="Times New Roman" w:hAnsi="Times New Roman"/>
          <w:sz w:val="22"/>
          <w:szCs w:val="22"/>
        </w:rPr>
        <w:t xml:space="preserve">prehltne </w:t>
      </w:r>
      <w:r>
        <w:rPr>
          <w:rFonts w:ascii="Times New Roman" w:hAnsi="Times New Roman"/>
          <w:sz w:val="22"/>
          <w:szCs w:val="22"/>
        </w:rPr>
        <w:t>naraz, a to</w:t>
      </w:r>
      <w:r w:rsidR="008018B0" w:rsidRPr="007A1CAE">
        <w:rPr>
          <w:rFonts w:ascii="Times New Roman" w:hAnsi="Times New Roman"/>
          <w:sz w:val="22"/>
          <w:szCs w:val="22"/>
        </w:rPr>
        <w:t xml:space="preserve"> ráno nalačno </w:t>
      </w:r>
      <w:r w:rsidR="000720A7" w:rsidRPr="007A1CAE">
        <w:rPr>
          <w:rFonts w:ascii="Times New Roman" w:hAnsi="Times New Roman"/>
          <w:sz w:val="22"/>
          <w:szCs w:val="22"/>
        </w:rPr>
        <w:t>najmenej</w:t>
      </w:r>
      <w:r w:rsidR="008018B0" w:rsidRPr="007A1CAE">
        <w:rPr>
          <w:rFonts w:ascii="Times New Roman" w:hAnsi="Times New Roman"/>
          <w:sz w:val="22"/>
          <w:szCs w:val="22"/>
        </w:rPr>
        <w:t xml:space="preserve"> 30 minút pred raňajkami a zapije </w:t>
      </w:r>
      <w:r>
        <w:rPr>
          <w:rFonts w:ascii="Times New Roman" w:hAnsi="Times New Roman"/>
          <w:sz w:val="22"/>
          <w:szCs w:val="22"/>
        </w:rPr>
        <w:t xml:space="preserve">sa </w:t>
      </w:r>
      <w:r w:rsidR="008018B0" w:rsidRPr="007A1CAE">
        <w:rPr>
          <w:rFonts w:ascii="Times New Roman" w:hAnsi="Times New Roman"/>
          <w:sz w:val="22"/>
          <w:szCs w:val="22"/>
        </w:rPr>
        <w:t>dostatočným množstvom vody.</w:t>
      </w:r>
    </w:p>
    <w:p w14:paraId="0988A4ED" w14:textId="77777777" w:rsidR="008018B0" w:rsidRPr="007A1CAE" w:rsidRDefault="008018B0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5A2BCBCC" w14:textId="086902AE" w:rsidR="007218CD" w:rsidRPr="007A1CAE" w:rsidRDefault="007218CD" w:rsidP="005761B8">
      <w:pPr>
        <w:pStyle w:val="Export0"/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A1CAE">
        <w:rPr>
          <w:rFonts w:ascii="Times New Roman" w:hAnsi="Times New Roman"/>
          <w:sz w:val="22"/>
          <w:szCs w:val="22"/>
          <w:lang w:val="sk-SK"/>
        </w:rPr>
        <w:t xml:space="preserve">Deťom sa podáva celá denná dávka najmenej </w:t>
      </w:r>
      <w:r w:rsidR="00EA620C">
        <w:rPr>
          <w:rFonts w:ascii="Times New Roman" w:hAnsi="Times New Roman"/>
          <w:sz w:val="22"/>
          <w:szCs w:val="22"/>
          <w:lang w:val="sk-SK"/>
        </w:rPr>
        <w:t>pol</w:t>
      </w:r>
      <w:r w:rsidR="00EA620C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A1CAE">
        <w:rPr>
          <w:rFonts w:ascii="Times New Roman" w:hAnsi="Times New Roman"/>
          <w:sz w:val="22"/>
          <w:szCs w:val="22"/>
          <w:lang w:val="sk-SK"/>
        </w:rPr>
        <w:t xml:space="preserve">hodiny pred prvým jedlom </w:t>
      </w:r>
      <w:r w:rsidR="000460DF">
        <w:rPr>
          <w:rFonts w:ascii="Times New Roman" w:hAnsi="Times New Roman"/>
          <w:sz w:val="22"/>
          <w:szCs w:val="22"/>
          <w:lang w:val="sk-SK"/>
        </w:rPr>
        <w:t>daného</w:t>
      </w:r>
      <w:r w:rsidR="000460DF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A1CAE">
        <w:rPr>
          <w:rFonts w:ascii="Times New Roman" w:hAnsi="Times New Roman"/>
          <w:sz w:val="22"/>
          <w:szCs w:val="22"/>
          <w:lang w:val="sk-SK"/>
        </w:rPr>
        <w:t>dňa.</w:t>
      </w:r>
    </w:p>
    <w:p w14:paraId="5D3637AF" w14:textId="51424351" w:rsidR="007218CD" w:rsidRPr="007A1CAE" w:rsidRDefault="00EA620C" w:rsidP="005761B8">
      <w:pPr>
        <w:pStyle w:val="Export0"/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Tablet</w:t>
      </w:r>
      <w:r w:rsidR="005A4C1C">
        <w:rPr>
          <w:rFonts w:ascii="Times New Roman" w:hAnsi="Times New Roman"/>
          <w:sz w:val="22"/>
          <w:szCs w:val="22"/>
          <w:lang w:val="sk-SK"/>
        </w:rPr>
        <w:t>y</w:t>
      </w:r>
      <w:r w:rsidR="007218CD" w:rsidRPr="007A1CAE">
        <w:rPr>
          <w:rFonts w:ascii="Times New Roman" w:hAnsi="Times New Roman"/>
          <w:sz w:val="22"/>
          <w:szCs w:val="22"/>
          <w:lang w:val="sk-SK"/>
        </w:rPr>
        <w:t xml:space="preserve"> je možné 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 xml:space="preserve">podať </w:t>
      </w:r>
      <w:r w:rsidR="005A4C1C">
        <w:rPr>
          <w:rFonts w:ascii="Times New Roman" w:hAnsi="Times New Roman"/>
          <w:sz w:val="22"/>
          <w:szCs w:val="22"/>
          <w:lang w:val="sk-SK"/>
        </w:rPr>
        <w:t xml:space="preserve">aj </w:t>
      </w:r>
      <w:r>
        <w:rPr>
          <w:rFonts w:ascii="Times New Roman" w:hAnsi="Times New Roman"/>
          <w:sz w:val="22"/>
          <w:szCs w:val="22"/>
          <w:lang w:val="sk-SK"/>
        </w:rPr>
        <w:t>ako</w:t>
      </w:r>
      <w:r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218CD" w:rsidRPr="007A1CAE">
        <w:rPr>
          <w:rFonts w:ascii="Times New Roman" w:hAnsi="Times New Roman"/>
          <w:sz w:val="22"/>
          <w:szCs w:val="22"/>
          <w:lang w:val="sk-SK"/>
        </w:rPr>
        <w:t>suspenziu</w:t>
      </w:r>
      <w:r>
        <w:rPr>
          <w:rFonts w:ascii="Times New Roman" w:hAnsi="Times New Roman"/>
          <w:sz w:val="22"/>
          <w:szCs w:val="22"/>
          <w:lang w:val="sk-SK"/>
        </w:rPr>
        <w:t>. Tablety sa nechajú rozpadnúť v malom množstve vody (10 – 15 ml) a vzniknutá suspenzia, ktorá musí byť vždy čerstvo pripravená podľa potreby, sa podáva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 xml:space="preserve"> s ďalšou </w:t>
      </w:r>
      <w:r w:rsidR="007218CD" w:rsidRPr="007A1CAE">
        <w:rPr>
          <w:rFonts w:ascii="Times New Roman" w:hAnsi="Times New Roman"/>
          <w:sz w:val="22"/>
          <w:szCs w:val="22"/>
          <w:lang w:val="sk-SK"/>
        </w:rPr>
        <w:t>tekutin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>ou</w:t>
      </w:r>
      <w:r w:rsidR="00C33CA4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(5</w:t>
      </w:r>
      <w:r w:rsidR="00641B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-</w:t>
      </w:r>
      <w:r w:rsidR="00641B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10</w:t>
      </w:r>
      <w:r w:rsidR="00641B85" w:rsidRPr="007A1CAE">
        <w:rPr>
          <w:rFonts w:ascii="Times New Roman" w:hAnsi="Times New Roman"/>
          <w:sz w:val="22"/>
          <w:szCs w:val="22"/>
          <w:lang w:val="sk-SK"/>
        </w:rPr>
        <w:t> 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ml)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>.</w:t>
      </w:r>
    </w:p>
    <w:p w14:paraId="040327F8" w14:textId="77777777" w:rsidR="00D74F03" w:rsidRPr="007A1CAE" w:rsidRDefault="00D74F03" w:rsidP="005761B8">
      <w:pPr>
        <w:pStyle w:val="Export0"/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820FE15" w14:textId="782A6E7E" w:rsidR="008018B0" w:rsidRPr="002F028B" w:rsidRDefault="00D24EA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Dĺžka</w:t>
      </w:r>
      <w:r w:rsidRPr="002F028B">
        <w:rPr>
          <w:rFonts w:ascii="Times New Roman" w:hAnsi="Times New Roman"/>
          <w:sz w:val="22"/>
          <w:szCs w:val="22"/>
          <w:u w:val="single"/>
        </w:rPr>
        <w:t xml:space="preserve"> </w:t>
      </w:r>
      <w:r w:rsidR="008018B0" w:rsidRPr="002F028B">
        <w:rPr>
          <w:rFonts w:ascii="Times New Roman" w:hAnsi="Times New Roman"/>
          <w:sz w:val="22"/>
          <w:szCs w:val="22"/>
          <w:u w:val="single"/>
        </w:rPr>
        <w:t>liečby</w:t>
      </w:r>
    </w:p>
    <w:p w14:paraId="0B8428D1" w14:textId="07DEAB15" w:rsidR="008018B0" w:rsidRPr="007A1CAE" w:rsidRDefault="00211D2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>Pri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hypotyreóz</w:t>
      </w:r>
      <w:r w:rsidRPr="007A1CAE">
        <w:rPr>
          <w:rFonts w:ascii="Times New Roman" w:hAnsi="Times New Roman"/>
          <w:iCs/>
          <w:sz w:val="22"/>
          <w:szCs w:val="22"/>
        </w:rPr>
        <w:t>e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a po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tyr</w:t>
      </w:r>
      <w:r w:rsidR="006F1AA3" w:rsidRPr="007A1CAE">
        <w:rPr>
          <w:rFonts w:ascii="Times New Roman" w:hAnsi="Times New Roman"/>
          <w:iCs/>
          <w:sz w:val="22"/>
          <w:szCs w:val="22"/>
        </w:rPr>
        <w:t>e</w:t>
      </w:r>
      <w:r w:rsidR="008018B0" w:rsidRPr="007A1CAE">
        <w:rPr>
          <w:rFonts w:ascii="Times New Roman" w:hAnsi="Times New Roman"/>
          <w:iCs/>
          <w:sz w:val="22"/>
          <w:szCs w:val="22"/>
        </w:rPr>
        <w:t>oidektómii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r w:rsidR="005A4C1C">
        <w:rPr>
          <w:rFonts w:ascii="Times New Roman" w:hAnsi="Times New Roman"/>
          <w:iCs/>
          <w:sz w:val="22"/>
          <w:szCs w:val="22"/>
        </w:rPr>
        <w:t>v dôsledku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malígn</w:t>
      </w:r>
      <w:r w:rsidR="005A4C1C">
        <w:rPr>
          <w:rFonts w:ascii="Times New Roman" w:hAnsi="Times New Roman"/>
          <w:iCs/>
          <w:sz w:val="22"/>
          <w:szCs w:val="22"/>
        </w:rPr>
        <w:t>eho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ochorenia štítnej žľazy </w:t>
      </w:r>
      <w:r w:rsidR="008018B0" w:rsidRPr="007A1CAE">
        <w:rPr>
          <w:rFonts w:ascii="Times New Roman" w:hAnsi="Times New Roman"/>
          <w:sz w:val="22"/>
          <w:szCs w:val="22"/>
        </w:rPr>
        <w:t>zvyčajne po celý život</w:t>
      </w:r>
      <w:r w:rsidR="005A4C1C">
        <w:rPr>
          <w:rFonts w:ascii="Times New Roman" w:hAnsi="Times New Roman"/>
          <w:sz w:val="22"/>
          <w:szCs w:val="22"/>
        </w:rPr>
        <w:t xml:space="preserve">, </w:t>
      </w:r>
      <w:r w:rsidR="005A4C1C">
        <w:rPr>
          <w:rFonts w:ascii="Times New Roman" w:hAnsi="Times New Roman"/>
          <w:iCs/>
          <w:sz w:val="22"/>
          <w:szCs w:val="22"/>
        </w:rPr>
        <w:t>p</w:t>
      </w:r>
      <w:r w:rsidRPr="007A1CAE">
        <w:rPr>
          <w:rFonts w:ascii="Times New Roman" w:hAnsi="Times New Roman"/>
          <w:iCs/>
          <w:sz w:val="22"/>
          <w:szCs w:val="22"/>
        </w:rPr>
        <w:t>ri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eutyr</w:t>
      </w:r>
      <w:r w:rsidR="006F1AA3" w:rsidRPr="007A1CAE">
        <w:rPr>
          <w:rFonts w:ascii="Times New Roman" w:hAnsi="Times New Roman"/>
          <w:iCs/>
          <w:sz w:val="22"/>
          <w:szCs w:val="22"/>
        </w:rPr>
        <w:t>e</w:t>
      </w:r>
      <w:r w:rsidR="008018B0" w:rsidRPr="007A1CAE">
        <w:rPr>
          <w:rFonts w:ascii="Times New Roman" w:hAnsi="Times New Roman"/>
          <w:iCs/>
          <w:sz w:val="22"/>
          <w:szCs w:val="22"/>
        </w:rPr>
        <w:t>oidn</w:t>
      </w:r>
      <w:r w:rsidRPr="007A1CAE">
        <w:rPr>
          <w:rFonts w:ascii="Times New Roman" w:hAnsi="Times New Roman"/>
          <w:iCs/>
          <w:sz w:val="22"/>
          <w:szCs w:val="22"/>
        </w:rPr>
        <w:t>ej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strum</w:t>
      </w:r>
      <w:r w:rsidRPr="007A1CAE">
        <w:rPr>
          <w:rFonts w:ascii="Times New Roman" w:hAnsi="Times New Roman"/>
          <w:iCs/>
          <w:sz w:val="22"/>
          <w:szCs w:val="22"/>
        </w:rPr>
        <w:t>e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a profylaxi</w:t>
      </w:r>
      <w:r w:rsidRPr="007A1CAE">
        <w:rPr>
          <w:rFonts w:ascii="Times New Roman" w:hAnsi="Times New Roman"/>
          <w:iCs/>
          <w:sz w:val="22"/>
          <w:szCs w:val="22"/>
        </w:rPr>
        <w:t>i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rekurentnej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strumy </w:t>
      </w:r>
      <w:r w:rsidR="005A4C1C">
        <w:rPr>
          <w:rFonts w:ascii="Times New Roman" w:hAnsi="Times New Roman"/>
          <w:sz w:val="22"/>
          <w:szCs w:val="22"/>
        </w:rPr>
        <w:t xml:space="preserve">počas </w:t>
      </w:r>
      <w:r w:rsidR="00A85372" w:rsidRPr="007A1CAE">
        <w:rPr>
          <w:rFonts w:ascii="Times New Roman" w:hAnsi="Times New Roman"/>
          <w:sz w:val="22"/>
          <w:szCs w:val="22"/>
        </w:rPr>
        <w:t>niekoľk</w:t>
      </w:r>
      <w:r w:rsidR="005A4C1C">
        <w:rPr>
          <w:rFonts w:ascii="Times New Roman" w:hAnsi="Times New Roman"/>
          <w:sz w:val="22"/>
          <w:szCs w:val="22"/>
        </w:rPr>
        <w:t>ých</w:t>
      </w:r>
      <w:r w:rsidR="00A85372" w:rsidRPr="007A1CAE">
        <w:rPr>
          <w:rFonts w:ascii="Times New Roman" w:hAnsi="Times New Roman"/>
          <w:sz w:val="22"/>
          <w:szCs w:val="22"/>
        </w:rPr>
        <w:t xml:space="preserve"> mesiacov alebo rokov až </w:t>
      </w:r>
      <w:r w:rsidR="008018B0" w:rsidRPr="007A1CAE">
        <w:rPr>
          <w:rFonts w:ascii="Times New Roman" w:hAnsi="Times New Roman"/>
          <w:sz w:val="22"/>
          <w:szCs w:val="22"/>
        </w:rPr>
        <w:t>po celý život</w:t>
      </w:r>
      <w:r w:rsidRPr="007A1CAE">
        <w:rPr>
          <w:rFonts w:ascii="Times New Roman" w:hAnsi="Times New Roman"/>
          <w:sz w:val="22"/>
          <w:szCs w:val="22"/>
        </w:rPr>
        <w:t>.</w:t>
      </w:r>
      <w:r w:rsidR="00A85372" w:rsidRPr="007A1CAE">
        <w:rPr>
          <w:rFonts w:ascii="Times New Roman" w:hAnsi="Times New Roman"/>
          <w:sz w:val="22"/>
          <w:szCs w:val="22"/>
        </w:rPr>
        <w:t xml:space="preserve"> </w:t>
      </w:r>
    </w:p>
    <w:p w14:paraId="681E9A23" w14:textId="058C5ECE" w:rsidR="00D71ECD" w:rsidRPr="007A1CAE" w:rsidRDefault="009E55B2" w:rsidP="005761B8">
      <w:pPr>
        <w:tabs>
          <w:tab w:val="num" w:pos="0"/>
        </w:tabs>
        <w:jc w:val="both"/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 xml:space="preserve">Pri </w:t>
      </w:r>
      <w:proofErr w:type="spellStart"/>
      <w:r w:rsidR="00D71ECD" w:rsidRPr="007A1CAE">
        <w:rPr>
          <w:rFonts w:ascii="Times New Roman" w:hAnsi="Times New Roman"/>
          <w:iCs/>
          <w:sz w:val="22"/>
          <w:szCs w:val="22"/>
        </w:rPr>
        <w:t>adjuvantn</w:t>
      </w:r>
      <w:r w:rsidRPr="007A1CAE">
        <w:rPr>
          <w:rFonts w:ascii="Times New Roman" w:hAnsi="Times New Roman"/>
          <w:iCs/>
          <w:sz w:val="22"/>
          <w:szCs w:val="22"/>
        </w:rPr>
        <w:t>ej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terapi</w:t>
      </w:r>
      <w:r w:rsidRPr="007A1CAE">
        <w:rPr>
          <w:rFonts w:ascii="Times New Roman" w:hAnsi="Times New Roman"/>
          <w:iCs/>
          <w:sz w:val="22"/>
          <w:szCs w:val="22"/>
        </w:rPr>
        <w:t>i</w:t>
      </w:r>
      <w:r w:rsidR="005A4C1C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5A4C1C" w:rsidRPr="004E7CCC">
        <w:rPr>
          <w:rFonts w:ascii="Times New Roman" w:hAnsi="Times New Roman"/>
          <w:iCs/>
          <w:sz w:val="22"/>
          <w:szCs w:val="22"/>
        </w:rPr>
        <w:t>hypertyreózy</w:t>
      </w:r>
      <w:proofErr w:type="spellEnd"/>
      <w:r w:rsidR="005A4C1C" w:rsidRPr="004E7CCC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5A4C1C">
        <w:rPr>
          <w:rFonts w:ascii="Times New Roman" w:hAnsi="Times New Roman"/>
          <w:iCs/>
          <w:sz w:val="22"/>
          <w:szCs w:val="22"/>
        </w:rPr>
        <w:t>tyreostatikami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</w:t>
      </w:r>
      <w:r w:rsidR="005A4C1C">
        <w:rPr>
          <w:rFonts w:ascii="Times New Roman" w:hAnsi="Times New Roman"/>
          <w:iCs/>
          <w:sz w:val="22"/>
          <w:szCs w:val="22"/>
        </w:rPr>
        <w:t>dĺžka užívania závisí od dĺžky</w:t>
      </w:r>
      <w:r w:rsidR="00D71ECD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D71ECD" w:rsidRPr="007A1CAE">
        <w:rPr>
          <w:rFonts w:ascii="Times New Roman" w:hAnsi="Times New Roman"/>
          <w:iCs/>
          <w:sz w:val="22"/>
          <w:szCs w:val="22"/>
        </w:rPr>
        <w:t>tyreostatickej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liečby</w:t>
      </w:r>
      <w:r w:rsidR="005A4C1C">
        <w:rPr>
          <w:rFonts w:ascii="Times New Roman" w:hAnsi="Times New Roman"/>
          <w:iCs/>
          <w:sz w:val="22"/>
          <w:szCs w:val="22"/>
        </w:rPr>
        <w:t>.</w:t>
      </w:r>
    </w:p>
    <w:p w14:paraId="790C241A" w14:textId="53DF0B7D" w:rsidR="00F6712C" w:rsidRDefault="00C65834" w:rsidP="005761B8">
      <w:pPr>
        <w:pStyle w:val="Zarkazkladnhotextu"/>
        <w:tabs>
          <w:tab w:val="num" w:pos="0"/>
        </w:tabs>
        <w:ind w:left="0"/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 xml:space="preserve">Pri </w:t>
      </w:r>
      <w:proofErr w:type="spellStart"/>
      <w:r w:rsidR="00F6712C" w:rsidRPr="007A1CAE">
        <w:rPr>
          <w:rFonts w:ascii="Times New Roman" w:hAnsi="Times New Roman"/>
          <w:iCs/>
          <w:sz w:val="22"/>
          <w:szCs w:val="22"/>
        </w:rPr>
        <w:t>eutyreoidnej</w:t>
      </w:r>
      <w:proofErr w:type="spellEnd"/>
      <w:r w:rsidR="00F6712C" w:rsidRPr="007A1CAE">
        <w:rPr>
          <w:rFonts w:ascii="Times New Roman" w:hAnsi="Times New Roman"/>
          <w:iCs/>
          <w:sz w:val="22"/>
          <w:szCs w:val="22"/>
        </w:rPr>
        <w:t xml:space="preserve"> strum</w:t>
      </w:r>
      <w:r w:rsidRPr="007A1CAE">
        <w:rPr>
          <w:rFonts w:ascii="Times New Roman" w:hAnsi="Times New Roman"/>
          <w:iCs/>
          <w:sz w:val="22"/>
          <w:szCs w:val="22"/>
        </w:rPr>
        <w:t>e</w:t>
      </w:r>
      <w:r w:rsidR="00F6712C" w:rsidRPr="007A1CAE">
        <w:rPr>
          <w:rFonts w:ascii="Times New Roman" w:hAnsi="Times New Roman"/>
          <w:iCs/>
          <w:sz w:val="22"/>
          <w:szCs w:val="22"/>
        </w:rPr>
        <w:t xml:space="preserve"> </w:t>
      </w:r>
      <w:r w:rsidR="005A4C1C">
        <w:rPr>
          <w:rFonts w:ascii="Times New Roman" w:hAnsi="Times New Roman"/>
          <w:iCs/>
          <w:sz w:val="22"/>
          <w:szCs w:val="22"/>
        </w:rPr>
        <w:t xml:space="preserve">je potrebná dĺžka liečby minimálne </w:t>
      </w:r>
      <w:r w:rsidR="00F6712C" w:rsidRPr="007A1CAE">
        <w:rPr>
          <w:rFonts w:ascii="Times New Roman" w:hAnsi="Times New Roman"/>
          <w:iCs/>
          <w:sz w:val="22"/>
          <w:szCs w:val="22"/>
        </w:rPr>
        <w:t>6 mesiacov až dva roky.</w:t>
      </w:r>
    </w:p>
    <w:p w14:paraId="61D1EF28" w14:textId="77777777" w:rsidR="00836511" w:rsidRPr="007A1CAE" w:rsidRDefault="00836511" w:rsidP="005761B8">
      <w:pPr>
        <w:pStyle w:val="Zarkazkladnhotextu"/>
        <w:tabs>
          <w:tab w:val="num" w:pos="0"/>
        </w:tabs>
        <w:ind w:left="0"/>
        <w:rPr>
          <w:rFonts w:ascii="Times New Roman" w:hAnsi="Times New Roman"/>
          <w:iCs/>
          <w:sz w:val="22"/>
          <w:szCs w:val="22"/>
        </w:rPr>
      </w:pPr>
    </w:p>
    <w:p w14:paraId="4DD0B928" w14:textId="0EDDD3EF" w:rsidR="008018B0" w:rsidRPr="007A1CAE" w:rsidRDefault="008018B0" w:rsidP="005761B8">
      <w:pPr>
        <w:pStyle w:val="Zarkazkladnhotextu"/>
        <w:tabs>
          <w:tab w:val="num" w:pos="0"/>
        </w:tabs>
        <w:ind w:left="0"/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 xml:space="preserve">V prípade, že terapia </w:t>
      </w:r>
      <w:proofErr w:type="spellStart"/>
      <w:r w:rsidR="00A935FD" w:rsidRPr="007A1CAE">
        <w:rPr>
          <w:rFonts w:ascii="Times New Roman" w:hAnsi="Times New Roman"/>
          <w:iCs/>
          <w:sz w:val="22"/>
          <w:szCs w:val="22"/>
        </w:rPr>
        <w:t>L</w:t>
      </w:r>
      <w:r w:rsidR="000E7EA9" w:rsidRPr="007A1CAE">
        <w:rPr>
          <w:rFonts w:ascii="Times New Roman" w:hAnsi="Times New Roman"/>
          <w:iCs/>
          <w:sz w:val="22"/>
          <w:szCs w:val="22"/>
        </w:rPr>
        <w:t>-Thyroxinom</w:t>
      </w:r>
      <w:proofErr w:type="spellEnd"/>
      <w:r w:rsidR="000E7EA9" w:rsidRPr="007A1CAE">
        <w:rPr>
          <w:rFonts w:ascii="Times New Roman" w:hAnsi="Times New Roman"/>
          <w:iCs/>
          <w:sz w:val="22"/>
          <w:szCs w:val="22"/>
        </w:rPr>
        <w:t xml:space="preserve"> 125 </w:t>
      </w:r>
      <w:proofErr w:type="spellStart"/>
      <w:r w:rsidR="000E7EA9" w:rsidRPr="007A1CAE">
        <w:rPr>
          <w:rFonts w:ascii="Times New Roman" w:hAnsi="Times New Roman"/>
          <w:iCs/>
          <w:sz w:val="22"/>
          <w:szCs w:val="22"/>
        </w:rPr>
        <w:t>Berlin-Chemie</w:t>
      </w:r>
      <w:proofErr w:type="spellEnd"/>
      <w:r w:rsidR="006F1AA3" w:rsidRPr="007A1CAE">
        <w:rPr>
          <w:rFonts w:ascii="Times New Roman" w:hAnsi="Times New Roman"/>
          <w:iCs/>
          <w:sz w:val="22"/>
          <w:szCs w:val="22"/>
        </w:rPr>
        <w:t xml:space="preserve"> nebola v uvedených časových obdobiach </w:t>
      </w:r>
      <w:r w:rsidRPr="007A1CAE">
        <w:rPr>
          <w:rFonts w:ascii="Times New Roman" w:hAnsi="Times New Roman"/>
          <w:iCs/>
          <w:sz w:val="22"/>
          <w:szCs w:val="22"/>
        </w:rPr>
        <w:t xml:space="preserve">efektívna, je potrebné uvažovať o iných terapeutických </w:t>
      </w:r>
      <w:r w:rsidR="00390B66" w:rsidRPr="007A1CAE">
        <w:rPr>
          <w:rFonts w:ascii="Times New Roman" w:hAnsi="Times New Roman"/>
          <w:iCs/>
          <w:sz w:val="22"/>
          <w:szCs w:val="22"/>
        </w:rPr>
        <w:t>postupoch</w:t>
      </w:r>
      <w:r w:rsidRPr="007A1CAE">
        <w:rPr>
          <w:rFonts w:ascii="Times New Roman" w:hAnsi="Times New Roman"/>
          <w:iCs/>
          <w:sz w:val="22"/>
          <w:szCs w:val="22"/>
        </w:rPr>
        <w:t>.</w:t>
      </w:r>
    </w:p>
    <w:p w14:paraId="5B5C1563" w14:textId="77777777" w:rsidR="00FB1CC9" w:rsidRPr="007A1CAE" w:rsidRDefault="00FB1CC9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76AD5958" w14:textId="77777777" w:rsidR="008018B0" w:rsidRPr="007A1CAE" w:rsidRDefault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</w:t>
      </w:r>
      <w:r w:rsidR="008018B0" w:rsidRPr="007A1CAE">
        <w:rPr>
          <w:rFonts w:ascii="Times New Roman" w:hAnsi="Times New Roman"/>
          <w:b/>
          <w:sz w:val="22"/>
          <w:szCs w:val="22"/>
        </w:rPr>
        <w:t>3 Kontraindikácie</w:t>
      </w:r>
    </w:p>
    <w:p w14:paraId="734971C3" w14:textId="77777777" w:rsidR="008018B0" w:rsidRPr="007A1CAE" w:rsidRDefault="008018B0" w:rsidP="002F028B">
      <w:pPr>
        <w:jc w:val="both"/>
        <w:rPr>
          <w:rFonts w:ascii="Times New Roman" w:hAnsi="Times New Roman"/>
          <w:sz w:val="22"/>
          <w:szCs w:val="22"/>
        </w:rPr>
      </w:pPr>
    </w:p>
    <w:p w14:paraId="639E3C26" w14:textId="2A66C7B2" w:rsidR="008018B0" w:rsidRPr="00FE21BF" w:rsidRDefault="007218CD" w:rsidP="00FE21BF">
      <w:pPr>
        <w:pStyle w:val="Odsekzoznamu"/>
        <w:numPr>
          <w:ilvl w:val="0"/>
          <w:numId w:val="27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>Precitlivenosť</w:t>
      </w:r>
      <w:r w:rsidR="008018B0" w:rsidRPr="00FE21BF">
        <w:rPr>
          <w:rFonts w:ascii="Times New Roman" w:hAnsi="Times New Roman"/>
          <w:sz w:val="22"/>
          <w:szCs w:val="22"/>
        </w:rPr>
        <w:t xml:space="preserve"> na liečivo alebo</w:t>
      </w:r>
      <w:r w:rsidR="00836511" w:rsidRPr="00FE21BF">
        <w:rPr>
          <w:rFonts w:ascii="Times New Roman" w:hAnsi="Times New Roman"/>
          <w:sz w:val="22"/>
          <w:szCs w:val="22"/>
        </w:rPr>
        <w:t xml:space="preserve"> na ktorúkoľvek </w:t>
      </w:r>
      <w:r w:rsidR="008018B0" w:rsidRPr="00FE21BF">
        <w:rPr>
          <w:rFonts w:ascii="Times New Roman" w:hAnsi="Times New Roman"/>
          <w:sz w:val="22"/>
          <w:szCs w:val="22"/>
        </w:rPr>
        <w:t xml:space="preserve"> z pomocných látok</w:t>
      </w:r>
      <w:r w:rsidR="006A7DAF" w:rsidRPr="00FE21BF">
        <w:rPr>
          <w:rFonts w:ascii="Times New Roman" w:hAnsi="Times New Roman"/>
          <w:sz w:val="22"/>
          <w:szCs w:val="22"/>
        </w:rPr>
        <w:t xml:space="preserve"> uvedených v časti 6.1.</w:t>
      </w:r>
    </w:p>
    <w:p w14:paraId="487676D0" w14:textId="751DC9FE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Neliečená </w:t>
      </w:r>
      <w:proofErr w:type="spellStart"/>
      <w:r w:rsidRPr="00FE21BF">
        <w:rPr>
          <w:rFonts w:ascii="Times New Roman" w:hAnsi="Times New Roman"/>
          <w:sz w:val="22"/>
          <w:szCs w:val="22"/>
        </w:rPr>
        <w:t>hypertyreóza</w:t>
      </w:r>
      <w:proofErr w:type="spellEnd"/>
      <w:r w:rsidRPr="00FE21BF">
        <w:rPr>
          <w:rFonts w:ascii="Times New Roman" w:hAnsi="Times New Roman"/>
          <w:sz w:val="22"/>
          <w:szCs w:val="22"/>
        </w:rPr>
        <w:t xml:space="preserve"> </w:t>
      </w:r>
    </w:p>
    <w:p w14:paraId="03B8F0D1" w14:textId="12DB0837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Neliečená </w:t>
      </w:r>
      <w:proofErr w:type="spellStart"/>
      <w:r w:rsidRPr="00FE21BF">
        <w:rPr>
          <w:rFonts w:ascii="Times New Roman" w:hAnsi="Times New Roman"/>
          <w:sz w:val="22"/>
          <w:szCs w:val="22"/>
        </w:rPr>
        <w:t>adrenálna</w:t>
      </w:r>
      <w:proofErr w:type="spellEnd"/>
      <w:r w:rsidRPr="00FE21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21BF">
        <w:rPr>
          <w:rFonts w:ascii="Times New Roman" w:hAnsi="Times New Roman"/>
          <w:sz w:val="22"/>
          <w:szCs w:val="22"/>
        </w:rPr>
        <w:t>insuficiencia</w:t>
      </w:r>
      <w:proofErr w:type="spellEnd"/>
    </w:p>
    <w:p w14:paraId="68FB40F0" w14:textId="77D6F208" w:rsidR="008018B0" w:rsidRPr="00FE21BF" w:rsidRDefault="008018B0" w:rsidP="00FE21BF">
      <w:pPr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Neliečená </w:t>
      </w:r>
      <w:proofErr w:type="spellStart"/>
      <w:r w:rsidRPr="00FE21BF">
        <w:rPr>
          <w:rFonts w:ascii="Times New Roman" w:hAnsi="Times New Roman"/>
          <w:sz w:val="22"/>
          <w:szCs w:val="22"/>
        </w:rPr>
        <w:t>insuficiencia</w:t>
      </w:r>
      <w:proofErr w:type="spellEnd"/>
      <w:r w:rsidRPr="00FE21BF">
        <w:rPr>
          <w:rFonts w:ascii="Times New Roman" w:hAnsi="Times New Roman"/>
          <w:sz w:val="22"/>
          <w:szCs w:val="22"/>
        </w:rPr>
        <w:t xml:space="preserve"> hypofýzy</w:t>
      </w:r>
      <w:r w:rsidR="00A81FCA">
        <w:rPr>
          <w:rFonts w:ascii="Times New Roman" w:hAnsi="Times New Roman"/>
          <w:sz w:val="22"/>
          <w:szCs w:val="22"/>
        </w:rPr>
        <w:t xml:space="preserve"> </w:t>
      </w:r>
      <w:r w:rsidR="00A81FCA" w:rsidRPr="002C3EC5">
        <w:rPr>
          <w:rFonts w:ascii="Times New Roman" w:hAnsi="Times New Roman"/>
          <w:sz w:val="22"/>
          <w:szCs w:val="22"/>
        </w:rPr>
        <w:t xml:space="preserve">(za predpokladu, že to vedie k </w:t>
      </w:r>
      <w:proofErr w:type="spellStart"/>
      <w:r w:rsidR="00A81FCA" w:rsidRPr="002C3EC5">
        <w:rPr>
          <w:rFonts w:ascii="Times New Roman" w:hAnsi="Times New Roman"/>
          <w:sz w:val="22"/>
          <w:szCs w:val="22"/>
        </w:rPr>
        <w:t>adrenálnej</w:t>
      </w:r>
      <w:proofErr w:type="spellEnd"/>
      <w:r w:rsidR="00A81FCA" w:rsidRPr="002C3E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81FCA" w:rsidRPr="002C3EC5">
        <w:rPr>
          <w:rFonts w:ascii="Times New Roman" w:hAnsi="Times New Roman"/>
          <w:sz w:val="22"/>
          <w:szCs w:val="22"/>
        </w:rPr>
        <w:t>insuficiencii</w:t>
      </w:r>
      <w:proofErr w:type="spellEnd"/>
      <w:r w:rsidR="00A81FCA" w:rsidRPr="002C3EC5">
        <w:rPr>
          <w:rFonts w:ascii="Times New Roman" w:hAnsi="Times New Roman"/>
          <w:sz w:val="22"/>
          <w:szCs w:val="22"/>
        </w:rPr>
        <w:t xml:space="preserve"> vyžadujúcej liečbu)</w:t>
      </w:r>
      <w:r w:rsidR="0033452C" w:rsidRPr="0033452C">
        <w:rPr>
          <w:rFonts w:ascii="Times New Roman" w:hAnsi="Times New Roman"/>
          <w:sz w:val="22"/>
          <w:szCs w:val="22"/>
        </w:rPr>
        <w:t xml:space="preserve"> </w:t>
      </w:r>
    </w:p>
    <w:p w14:paraId="09F72E2D" w14:textId="0C1004C3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>Akútny infarkt myokardu</w:t>
      </w:r>
    </w:p>
    <w:p w14:paraId="6AB338E8" w14:textId="5D935706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Akútna </w:t>
      </w:r>
      <w:proofErr w:type="spellStart"/>
      <w:r w:rsidRPr="00FE21BF">
        <w:rPr>
          <w:rFonts w:ascii="Times New Roman" w:hAnsi="Times New Roman"/>
          <w:sz w:val="22"/>
          <w:szCs w:val="22"/>
        </w:rPr>
        <w:t>myokarditída</w:t>
      </w:r>
      <w:proofErr w:type="spellEnd"/>
    </w:p>
    <w:p w14:paraId="789AFDD6" w14:textId="787E6522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Akútna </w:t>
      </w:r>
      <w:proofErr w:type="spellStart"/>
      <w:r w:rsidRPr="00FE21BF">
        <w:rPr>
          <w:rFonts w:ascii="Times New Roman" w:hAnsi="Times New Roman"/>
          <w:sz w:val="22"/>
          <w:szCs w:val="22"/>
        </w:rPr>
        <w:t>pankarditída</w:t>
      </w:r>
      <w:proofErr w:type="spellEnd"/>
    </w:p>
    <w:p w14:paraId="6D08E79C" w14:textId="77777777" w:rsidR="00836511" w:rsidRPr="007A1CAE" w:rsidRDefault="00836511" w:rsidP="00836511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</w:p>
    <w:p w14:paraId="09AA4908" w14:textId="662115F1" w:rsidR="008018B0" w:rsidRPr="007A1CAE" w:rsidRDefault="00365A6F" w:rsidP="00836511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Sú</w:t>
      </w:r>
      <w:r w:rsidR="00A3361B">
        <w:rPr>
          <w:rFonts w:ascii="Times New Roman" w:hAnsi="Times New Roman"/>
          <w:sz w:val="22"/>
          <w:szCs w:val="22"/>
        </w:rPr>
        <w:t>bežná</w:t>
      </w:r>
      <w:r w:rsidRPr="007A1CAE">
        <w:rPr>
          <w:rFonts w:ascii="Times New Roman" w:hAnsi="Times New Roman"/>
          <w:sz w:val="22"/>
          <w:szCs w:val="22"/>
        </w:rPr>
        <w:t xml:space="preserve"> a</w:t>
      </w:r>
      <w:r w:rsidR="008018B0" w:rsidRPr="007A1CAE">
        <w:rPr>
          <w:rFonts w:ascii="Times New Roman" w:hAnsi="Times New Roman"/>
          <w:sz w:val="22"/>
          <w:szCs w:val="22"/>
        </w:rPr>
        <w:t xml:space="preserve">plikácia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tyreostatických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liekov</w:t>
      </w:r>
      <w:r w:rsidR="00B438BF" w:rsidRPr="007A1CAE">
        <w:rPr>
          <w:rFonts w:ascii="Times New Roman" w:hAnsi="Times New Roman"/>
          <w:sz w:val="22"/>
          <w:szCs w:val="22"/>
        </w:rPr>
        <w:t xml:space="preserve"> je kontraindikovaná </w:t>
      </w:r>
      <w:r w:rsidR="000353F8">
        <w:rPr>
          <w:rFonts w:ascii="Times New Roman" w:hAnsi="Times New Roman"/>
          <w:sz w:val="22"/>
          <w:szCs w:val="22"/>
        </w:rPr>
        <w:t>v</w:t>
      </w:r>
      <w:r w:rsidR="00CC2EBD">
        <w:rPr>
          <w:rFonts w:ascii="Times New Roman" w:hAnsi="Times New Roman"/>
          <w:sz w:val="22"/>
          <w:szCs w:val="22"/>
        </w:rPr>
        <w:t> </w:t>
      </w:r>
      <w:r w:rsidR="000353F8">
        <w:rPr>
          <w:rFonts w:ascii="Times New Roman" w:hAnsi="Times New Roman"/>
          <w:sz w:val="22"/>
          <w:szCs w:val="22"/>
        </w:rPr>
        <w:t>gravidite</w:t>
      </w:r>
      <w:r w:rsidR="00CC2EBD">
        <w:rPr>
          <w:rFonts w:ascii="Times New Roman" w:hAnsi="Times New Roman"/>
          <w:sz w:val="22"/>
          <w:szCs w:val="22"/>
        </w:rPr>
        <w:t>.</w:t>
      </w:r>
      <w:r w:rsidR="00CF429B">
        <w:rPr>
          <w:rFonts w:ascii="Times New Roman" w:hAnsi="Times New Roman"/>
          <w:sz w:val="22"/>
          <w:szCs w:val="22"/>
        </w:rPr>
        <w:t xml:space="preserve"> </w:t>
      </w:r>
      <w:r w:rsidR="005A40C9">
        <w:rPr>
          <w:rFonts w:ascii="Times New Roman" w:hAnsi="Times New Roman"/>
          <w:sz w:val="22"/>
          <w:szCs w:val="22"/>
        </w:rPr>
        <w:t xml:space="preserve">Pre ďalšie informácie týkajúce sa užívania v tehotenstve a pri dojčení  </w:t>
      </w:r>
      <w:r w:rsidR="00CF429B">
        <w:rPr>
          <w:rFonts w:ascii="Times New Roman" w:hAnsi="Times New Roman"/>
          <w:sz w:val="22"/>
          <w:szCs w:val="22"/>
        </w:rPr>
        <w:t>pozri časť 4.6</w:t>
      </w:r>
      <w:r w:rsidR="000353F8">
        <w:rPr>
          <w:rFonts w:ascii="Times New Roman" w:hAnsi="Times New Roman"/>
          <w:sz w:val="22"/>
          <w:szCs w:val="22"/>
        </w:rPr>
        <w:t>.</w:t>
      </w:r>
    </w:p>
    <w:p w14:paraId="64C06709" w14:textId="77777777" w:rsidR="005929DE" w:rsidRPr="007A1CAE" w:rsidRDefault="005929DE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</w:p>
    <w:p w14:paraId="443DA7C6" w14:textId="77777777" w:rsidR="008018B0" w:rsidRPr="007A1CAE" w:rsidRDefault="00836511" w:rsidP="00C6583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</w:t>
      </w:r>
      <w:r w:rsidR="00C65834" w:rsidRPr="007A1CAE">
        <w:rPr>
          <w:rFonts w:ascii="Times New Roman" w:hAnsi="Times New Roman"/>
          <w:b/>
          <w:sz w:val="22"/>
          <w:szCs w:val="22"/>
        </w:rPr>
        <w:t xml:space="preserve">4 </w:t>
      </w:r>
      <w:r w:rsidR="005648EE" w:rsidRPr="007A1CAE">
        <w:rPr>
          <w:rFonts w:ascii="Times New Roman" w:hAnsi="Times New Roman"/>
          <w:b/>
          <w:sz w:val="22"/>
          <w:szCs w:val="22"/>
        </w:rPr>
        <w:t>Osobit</w:t>
      </w:r>
      <w:r w:rsidR="007A1CAE">
        <w:rPr>
          <w:rFonts w:ascii="Times New Roman" w:hAnsi="Times New Roman"/>
          <w:b/>
          <w:sz w:val="22"/>
          <w:szCs w:val="22"/>
        </w:rPr>
        <w:t>n</w:t>
      </w:r>
      <w:r w:rsidR="005648EE" w:rsidRPr="007A1CAE">
        <w:rPr>
          <w:rFonts w:ascii="Times New Roman" w:hAnsi="Times New Roman"/>
          <w:b/>
          <w:sz w:val="22"/>
          <w:szCs w:val="22"/>
        </w:rPr>
        <w:t>é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 upozornenia</w:t>
      </w:r>
      <w:r w:rsidR="005648EE" w:rsidRPr="007A1CAE">
        <w:rPr>
          <w:rFonts w:ascii="Times New Roman" w:hAnsi="Times New Roman"/>
          <w:b/>
          <w:sz w:val="22"/>
          <w:szCs w:val="22"/>
        </w:rPr>
        <w:t xml:space="preserve"> a opatrenia pri používaní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 </w:t>
      </w:r>
    </w:p>
    <w:p w14:paraId="0C5A392A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196F9C4E" w14:textId="1E539D7D" w:rsidR="004E2AEE" w:rsidRPr="007A1CAE" w:rsidRDefault="008018B0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Pred začatím liečby </w:t>
      </w:r>
      <w:r w:rsidR="00E66F40">
        <w:rPr>
          <w:rFonts w:ascii="Times New Roman" w:hAnsi="Times New Roman"/>
          <w:sz w:val="22"/>
          <w:szCs w:val="22"/>
        </w:rPr>
        <w:t xml:space="preserve">hormónmi štítnej žľazy </w:t>
      </w:r>
      <w:r w:rsidRPr="007A1CAE">
        <w:rPr>
          <w:rFonts w:ascii="Times New Roman" w:hAnsi="Times New Roman"/>
          <w:sz w:val="22"/>
          <w:szCs w:val="22"/>
        </w:rPr>
        <w:t>majú byť vylúčené alebo liečené nasledovné ochorenia</w:t>
      </w:r>
      <w:r w:rsidR="009B67AB" w:rsidRPr="007A1CAE">
        <w:rPr>
          <w:rFonts w:ascii="Times New Roman" w:hAnsi="Times New Roman"/>
          <w:sz w:val="22"/>
          <w:szCs w:val="22"/>
        </w:rPr>
        <w:t xml:space="preserve"> alebo stavy</w:t>
      </w:r>
      <w:r w:rsidRPr="007A1CAE">
        <w:rPr>
          <w:rFonts w:ascii="Times New Roman" w:hAnsi="Times New Roman"/>
          <w:sz w:val="22"/>
          <w:szCs w:val="22"/>
        </w:rPr>
        <w:t>:</w:t>
      </w:r>
    </w:p>
    <w:p w14:paraId="69CC2E3B" w14:textId="77777777" w:rsidR="008018B0" w:rsidRPr="007A1CAE" w:rsidRDefault="007218CD" w:rsidP="002F028B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-</w:t>
      </w:r>
      <w:r w:rsidR="004E2AEE"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 xml:space="preserve">koronárne srdcové ochorenia, </w:t>
      </w:r>
    </w:p>
    <w:p w14:paraId="59167BBA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>ang</w:t>
      </w:r>
      <w:r w:rsidR="009B0B2A">
        <w:rPr>
          <w:rFonts w:ascii="Times New Roman" w:hAnsi="Times New Roman"/>
          <w:sz w:val="22"/>
          <w:szCs w:val="22"/>
        </w:rPr>
        <w:t>í</w:t>
      </w:r>
      <w:r w:rsidR="008018B0" w:rsidRPr="007A1CAE">
        <w:rPr>
          <w:rFonts w:ascii="Times New Roman" w:hAnsi="Times New Roman"/>
          <w:sz w:val="22"/>
          <w:szCs w:val="22"/>
        </w:rPr>
        <w:t xml:space="preserve">na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pe</w:t>
      </w:r>
      <w:r w:rsidR="005F6371" w:rsidRPr="007A1CAE">
        <w:rPr>
          <w:rFonts w:ascii="Times New Roman" w:hAnsi="Times New Roman"/>
          <w:sz w:val="22"/>
          <w:szCs w:val="22"/>
        </w:rPr>
        <w:t>k</w:t>
      </w:r>
      <w:r w:rsidR="008018B0" w:rsidRPr="007A1CAE">
        <w:rPr>
          <w:rFonts w:ascii="Times New Roman" w:hAnsi="Times New Roman"/>
          <w:sz w:val="22"/>
          <w:szCs w:val="22"/>
        </w:rPr>
        <w:t>toris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,</w:t>
      </w:r>
    </w:p>
    <w:p w14:paraId="4E9576CC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>hypertenzia,</w:t>
      </w:r>
    </w:p>
    <w:p w14:paraId="56FB3CFC" w14:textId="08CD7D36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hypofyzárna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</w:t>
      </w:r>
      <w:r w:rsidR="00F6712C" w:rsidRPr="007A1CAE">
        <w:rPr>
          <w:rFonts w:ascii="Times New Roman" w:hAnsi="Times New Roman"/>
          <w:sz w:val="22"/>
          <w:szCs w:val="22"/>
        </w:rPr>
        <w:t>/alebo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81FCA">
        <w:rPr>
          <w:rFonts w:ascii="Times New Roman" w:hAnsi="Times New Roman"/>
          <w:sz w:val="22"/>
          <w:szCs w:val="22"/>
        </w:rPr>
        <w:t>adrenokortikálna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insuficiencia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, </w:t>
      </w:r>
    </w:p>
    <w:p w14:paraId="7F5F7752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>autonómia štítnej žľazy.</w:t>
      </w:r>
    </w:p>
    <w:p w14:paraId="0C717496" w14:textId="77777777" w:rsidR="00B44334" w:rsidRDefault="00B44334" w:rsidP="00836511">
      <w:pPr>
        <w:jc w:val="both"/>
        <w:rPr>
          <w:rFonts w:ascii="Times New Roman" w:hAnsi="Times New Roman"/>
          <w:sz w:val="22"/>
          <w:szCs w:val="22"/>
        </w:rPr>
      </w:pPr>
    </w:p>
    <w:p w14:paraId="21C9ADF8" w14:textId="35992F97" w:rsidR="00936391" w:rsidRDefault="00F85403" w:rsidP="00836511">
      <w:pPr>
        <w:jc w:val="both"/>
        <w:rPr>
          <w:rFonts w:ascii="Times New Roman" w:hAnsi="Times New Roman"/>
          <w:sz w:val="22"/>
          <w:szCs w:val="22"/>
        </w:rPr>
      </w:pPr>
      <w:r w:rsidRPr="002708C9">
        <w:rPr>
          <w:rFonts w:ascii="Times New Roman" w:hAnsi="Times New Roman"/>
          <w:sz w:val="22"/>
          <w:szCs w:val="22"/>
        </w:rPr>
        <w:t xml:space="preserve">V prípade </w:t>
      </w:r>
      <w:proofErr w:type="spellStart"/>
      <w:r w:rsidRPr="002708C9">
        <w:rPr>
          <w:rFonts w:ascii="Times New Roman" w:hAnsi="Times New Roman"/>
          <w:sz w:val="22"/>
          <w:szCs w:val="22"/>
        </w:rPr>
        <w:t>adrenokortikálnej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 dysfunkcie je potrebné tento stav liečiť adekvátnou substitučnou terapiou ešte pred začatím liečby s </w:t>
      </w:r>
      <w:proofErr w:type="spellStart"/>
      <w:r w:rsidRPr="002708C9">
        <w:rPr>
          <w:rFonts w:ascii="Times New Roman" w:hAnsi="Times New Roman"/>
          <w:sz w:val="22"/>
          <w:szCs w:val="22"/>
        </w:rPr>
        <w:t>levotyroxínom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, aby sa zabránilo akútnej </w:t>
      </w:r>
      <w:proofErr w:type="spellStart"/>
      <w:r w:rsidRPr="002708C9">
        <w:rPr>
          <w:rFonts w:ascii="Times New Roman" w:hAnsi="Times New Roman"/>
          <w:sz w:val="22"/>
          <w:szCs w:val="22"/>
        </w:rPr>
        <w:t>adrenokortikálnej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708C9">
        <w:rPr>
          <w:rFonts w:ascii="Times New Roman" w:hAnsi="Times New Roman"/>
          <w:sz w:val="22"/>
          <w:szCs w:val="22"/>
        </w:rPr>
        <w:t>insuficiencii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 (pozri časť 4.3).</w:t>
      </w:r>
    </w:p>
    <w:p w14:paraId="7A84274C" w14:textId="77777777" w:rsidR="00F85403" w:rsidRPr="007A1CAE" w:rsidRDefault="00F85403" w:rsidP="00836511">
      <w:pPr>
        <w:jc w:val="both"/>
        <w:rPr>
          <w:rFonts w:ascii="Times New Roman" w:hAnsi="Times New Roman"/>
          <w:sz w:val="22"/>
          <w:szCs w:val="22"/>
        </w:rPr>
      </w:pPr>
    </w:p>
    <w:p w14:paraId="77925244" w14:textId="17608A3B" w:rsidR="00B44334" w:rsidRDefault="00AB083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</w:t>
      </w:r>
      <w:r w:rsidRPr="007A1CAE">
        <w:rPr>
          <w:rFonts w:ascii="Times New Roman" w:hAnsi="Times New Roman"/>
          <w:sz w:val="22"/>
          <w:szCs w:val="22"/>
        </w:rPr>
        <w:t> </w:t>
      </w:r>
      <w:r w:rsidR="008018B0" w:rsidRPr="007A1CAE">
        <w:rPr>
          <w:rFonts w:ascii="Times New Roman" w:hAnsi="Times New Roman"/>
          <w:sz w:val="22"/>
          <w:szCs w:val="22"/>
        </w:rPr>
        <w:t>koronárn</w:t>
      </w:r>
      <w:r>
        <w:rPr>
          <w:rFonts w:ascii="Times New Roman" w:hAnsi="Times New Roman"/>
          <w:sz w:val="22"/>
          <w:szCs w:val="22"/>
        </w:rPr>
        <w:t>om</w:t>
      </w:r>
      <w:r w:rsidR="008018B0" w:rsidRPr="007A1CAE">
        <w:rPr>
          <w:rFonts w:ascii="Times New Roman" w:hAnsi="Times New Roman"/>
          <w:sz w:val="22"/>
          <w:szCs w:val="22"/>
        </w:rPr>
        <w:t xml:space="preserve"> srdcov</w:t>
      </w:r>
      <w:r>
        <w:rPr>
          <w:rFonts w:ascii="Times New Roman" w:hAnsi="Times New Roman"/>
          <w:sz w:val="22"/>
          <w:szCs w:val="22"/>
        </w:rPr>
        <w:t>om</w:t>
      </w:r>
      <w:r w:rsidR="008018B0" w:rsidRPr="007A1CAE">
        <w:rPr>
          <w:rFonts w:ascii="Times New Roman" w:hAnsi="Times New Roman"/>
          <w:sz w:val="22"/>
          <w:szCs w:val="22"/>
        </w:rPr>
        <w:t xml:space="preserve"> ochorení, srdcovom zlyhaní</w:t>
      </w:r>
      <w:r>
        <w:rPr>
          <w:rFonts w:ascii="Times New Roman" w:hAnsi="Times New Roman"/>
          <w:sz w:val="22"/>
          <w:szCs w:val="22"/>
        </w:rPr>
        <w:t>,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tachyarytmii</w:t>
      </w:r>
      <w:proofErr w:type="spellEnd"/>
      <w:r w:rsidR="00F6712C" w:rsidRPr="007A1CA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neakútnej </w:t>
      </w:r>
      <w:proofErr w:type="spellStart"/>
      <w:r w:rsidR="00F6712C" w:rsidRPr="007A1CAE">
        <w:rPr>
          <w:rFonts w:ascii="Times New Roman" w:hAnsi="Times New Roman"/>
          <w:sz w:val="22"/>
          <w:szCs w:val="22"/>
        </w:rPr>
        <w:t>myokarditíde</w:t>
      </w:r>
      <w:proofErr w:type="spellEnd"/>
      <w:r w:rsidR="00F6712C" w:rsidRPr="007A1CAE">
        <w:rPr>
          <w:rFonts w:ascii="Times New Roman" w:hAnsi="Times New Roman"/>
          <w:sz w:val="22"/>
          <w:szCs w:val="22"/>
        </w:rPr>
        <w:t xml:space="preserve">, dlhotrvajúcom </w:t>
      </w:r>
      <w:proofErr w:type="spellStart"/>
      <w:r w:rsidR="00F6712C" w:rsidRPr="007A1CAE">
        <w:rPr>
          <w:rFonts w:ascii="Times New Roman" w:hAnsi="Times New Roman"/>
          <w:sz w:val="22"/>
          <w:szCs w:val="22"/>
        </w:rPr>
        <w:t>hypotyreo</w:t>
      </w:r>
      <w:r w:rsidR="009B0B2A">
        <w:rPr>
          <w:rFonts w:ascii="Times New Roman" w:hAnsi="Times New Roman"/>
          <w:sz w:val="22"/>
          <w:szCs w:val="22"/>
        </w:rPr>
        <w:t>i</w:t>
      </w:r>
      <w:r w:rsidR="00F6712C" w:rsidRPr="007A1CAE">
        <w:rPr>
          <w:rFonts w:ascii="Times New Roman" w:hAnsi="Times New Roman"/>
          <w:sz w:val="22"/>
          <w:szCs w:val="22"/>
        </w:rPr>
        <w:t>dizme</w:t>
      </w:r>
      <w:proofErr w:type="spellEnd"/>
      <w:r w:rsidR="00F6712C" w:rsidRPr="007A1CAE">
        <w:rPr>
          <w:rFonts w:ascii="Times New Roman" w:hAnsi="Times New Roman"/>
          <w:sz w:val="22"/>
          <w:szCs w:val="22"/>
        </w:rPr>
        <w:t xml:space="preserve"> alebo u pacientov, ktorí už mali infarkt myokardu,</w:t>
      </w:r>
      <w:r w:rsidR="008018B0" w:rsidRPr="007A1CAE">
        <w:rPr>
          <w:rFonts w:ascii="Times New Roman" w:hAnsi="Times New Roman"/>
          <w:sz w:val="22"/>
          <w:szCs w:val="22"/>
        </w:rPr>
        <w:t xml:space="preserve"> je nutné zabrániť vzniku hoci aj miernej liekmi indukovanej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hypertyreózy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. Pri týchto ochoreniach je </w:t>
      </w:r>
      <w:r w:rsidR="00F87B83">
        <w:rPr>
          <w:rFonts w:ascii="Times New Roman" w:hAnsi="Times New Roman"/>
          <w:sz w:val="22"/>
          <w:szCs w:val="22"/>
        </w:rPr>
        <w:t xml:space="preserve">u pacientov </w:t>
      </w:r>
      <w:r w:rsidR="008018B0" w:rsidRPr="007A1CAE">
        <w:rPr>
          <w:rFonts w:ascii="Times New Roman" w:hAnsi="Times New Roman"/>
          <w:sz w:val="22"/>
          <w:szCs w:val="22"/>
        </w:rPr>
        <w:t>nevyhnutná častejšia kontrola hladiny hormónov štítnej žľazy (pozri</w:t>
      </w:r>
      <w:r w:rsidR="007218CD" w:rsidRPr="007A1CAE">
        <w:rPr>
          <w:rFonts w:ascii="Times New Roman" w:hAnsi="Times New Roman"/>
          <w:sz w:val="22"/>
          <w:szCs w:val="22"/>
        </w:rPr>
        <w:t xml:space="preserve"> časť 4.2</w:t>
      </w:r>
      <w:r w:rsidR="008018B0" w:rsidRPr="007A1CAE">
        <w:rPr>
          <w:rFonts w:ascii="Times New Roman" w:hAnsi="Times New Roman"/>
          <w:sz w:val="22"/>
          <w:szCs w:val="22"/>
        </w:rPr>
        <w:t>).</w:t>
      </w:r>
    </w:p>
    <w:p w14:paraId="436AE840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775CA84D" w14:textId="3CDE1DB0" w:rsidR="008018B0" w:rsidRDefault="005F6371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</w:t>
      </w:r>
      <w:r w:rsidR="008018B0" w:rsidRPr="007A1CAE">
        <w:rPr>
          <w:rFonts w:ascii="Times New Roman" w:hAnsi="Times New Roman"/>
          <w:sz w:val="22"/>
          <w:szCs w:val="22"/>
        </w:rPr>
        <w:t xml:space="preserve"> sekundárnej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hypotyreózy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sa musí zistiť, či pacient </w:t>
      </w:r>
      <w:r w:rsidR="006F1AA3" w:rsidRPr="007A1CAE">
        <w:rPr>
          <w:rFonts w:ascii="Times New Roman" w:hAnsi="Times New Roman"/>
          <w:sz w:val="22"/>
          <w:szCs w:val="22"/>
        </w:rPr>
        <w:t xml:space="preserve">netrpí </w:t>
      </w:r>
      <w:r w:rsidR="008018B0" w:rsidRPr="007A1CAE">
        <w:rPr>
          <w:rFonts w:ascii="Times New Roman" w:hAnsi="Times New Roman"/>
          <w:sz w:val="22"/>
          <w:szCs w:val="22"/>
        </w:rPr>
        <w:t>sú</w:t>
      </w:r>
      <w:r w:rsidR="006F1AA3" w:rsidRPr="007A1CAE">
        <w:rPr>
          <w:rFonts w:ascii="Times New Roman" w:hAnsi="Times New Roman"/>
          <w:sz w:val="22"/>
          <w:szCs w:val="22"/>
        </w:rPr>
        <w:t>čas</w:t>
      </w:r>
      <w:r w:rsidR="008018B0" w:rsidRPr="007A1CAE">
        <w:rPr>
          <w:rFonts w:ascii="Times New Roman" w:hAnsi="Times New Roman"/>
          <w:sz w:val="22"/>
          <w:szCs w:val="22"/>
        </w:rPr>
        <w:t xml:space="preserve">ne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adren</w:t>
      </w:r>
      <w:r w:rsidR="001A02C8">
        <w:rPr>
          <w:rFonts w:ascii="Times New Roman" w:hAnsi="Times New Roman"/>
          <w:sz w:val="22"/>
          <w:szCs w:val="22"/>
        </w:rPr>
        <w:t>okortikálnou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insuficienci</w:t>
      </w:r>
      <w:r w:rsidR="006F1AA3" w:rsidRPr="007A1CAE">
        <w:rPr>
          <w:rFonts w:ascii="Times New Roman" w:hAnsi="Times New Roman"/>
          <w:sz w:val="22"/>
          <w:szCs w:val="22"/>
        </w:rPr>
        <w:t>o</w:t>
      </w:r>
      <w:r w:rsidR="008018B0" w:rsidRPr="007A1CAE">
        <w:rPr>
          <w:rFonts w:ascii="Times New Roman" w:hAnsi="Times New Roman"/>
          <w:sz w:val="22"/>
          <w:szCs w:val="22"/>
        </w:rPr>
        <w:t>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 V takom prípade sa musí najprv zabezpečiť substitúcia (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hydrokortizón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).</w:t>
      </w:r>
      <w:r w:rsidR="001A02C8">
        <w:rPr>
          <w:rFonts w:ascii="Times New Roman" w:hAnsi="Times New Roman"/>
          <w:sz w:val="22"/>
          <w:szCs w:val="22"/>
        </w:rPr>
        <w:t xml:space="preserve"> Bez adekvátnej substitúcie </w:t>
      </w:r>
      <w:proofErr w:type="spellStart"/>
      <w:r w:rsidR="001A02C8">
        <w:rPr>
          <w:rFonts w:ascii="Times New Roman" w:hAnsi="Times New Roman"/>
          <w:sz w:val="22"/>
          <w:szCs w:val="22"/>
        </w:rPr>
        <w:t>kortikosteroidmi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môže liečba </w:t>
      </w:r>
      <w:proofErr w:type="spellStart"/>
      <w:r w:rsidR="001A02C8">
        <w:rPr>
          <w:rFonts w:ascii="Times New Roman" w:hAnsi="Times New Roman"/>
          <w:sz w:val="22"/>
          <w:szCs w:val="22"/>
        </w:rPr>
        <w:t>tyreoidálnymi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hormónmi u pacientov s </w:t>
      </w:r>
      <w:proofErr w:type="spellStart"/>
      <w:r w:rsidR="001A02C8">
        <w:rPr>
          <w:rFonts w:ascii="Times New Roman" w:hAnsi="Times New Roman"/>
          <w:sz w:val="22"/>
          <w:szCs w:val="22"/>
        </w:rPr>
        <w:t>adrenokortikálnou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A02C8">
        <w:rPr>
          <w:rFonts w:ascii="Times New Roman" w:hAnsi="Times New Roman"/>
          <w:sz w:val="22"/>
          <w:szCs w:val="22"/>
        </w:rPr>
        <w:t>insuficienciou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1A02C8">
        <w:rPr>
          <w:rFonts w:ascii="Times New Roman" w:hAnsi="Times New Roman"/>
          <w:sz w:val="22"/>
          <w:szCs w:val="22"/>
        </w:rPr>
        <w:t>hypofyzárnou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A02C8">
        <w:rPr>
          <w:rFonts w:ascii="Times New Roman" w:hAnsi="Times New Roman"/>
          <w:sz w:val="22"/>
          <w:szCs w:val="22"/>
        </w:rPr>
        <w:t>insuficienciou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viesť k </w:t>
      </w:r>
      <w:proofErr w:type="spellStart"/>
      <w:r w:rsidR="001A02C8">
        <w:rPr>
          <w:rFonts w:ascii="Times New Roman" w:hAnsi="Times New Roman"/>
          <w:sz w:val="22"/>
          <w:szCs w:val="22"/>
        </w:rPr>
        <w:t>Addisonskej</w:t>
      </w:r>
      <w:proofErr w:type="spellEnd"/>
      <w:r w:rsidR="001A02C8">
        <w:rPr>
          <w:rFonts w:ascii="Times New Roman" w:hAnsi="Times New Roman"/>
          <w:sz w:val="22"/>
          <w:szCs w:val="22"/>
        </w:rPr>
        <w:t xml:space="preserve"> kríze.</w:t>
      </w:r>
    </w:p>
    <w:p w14:paraId="38B195FF" w14:textId="77777777" w:rsidR="008B5BF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61904458" w14:textId="755C8347" w:rsidR="002B62F8" w:rsidRDefault="002B62F8" w:rsidP="002B62F8">
      <w:pPr>
        <w:jc w:val="both"/>
        <w:rPr>
          <w:rFonts w:ascii="Times New Roman" w:hAnsi="Times New Roman"/>
          <w:sz w:val="22"/>
          <w:szCs w:val="22"/>
        </w:rPr>
      </w:pPr>
    </w:p>
    <w:p w14:paraId="2CF81269" w14:textId="77777777" w:rsidR="00E66F40" w:rsidRDefault="00E66F40" w:rsidP="002B62F8">
      <w:pPr>
        <w:jc w:val="both"/>
        <w:rPr>
          <w:rFonts w:ascii="Times New Roman" w:hAnsi="Times New Roman"/>
          <w:sz w:val="22"/>
          <w:szCs w:val="22"/>
        </w:rPr>
      </w:pPr>
    </w:p>
    <w:p w14:paraId="769AC0BA" w14:textId="06A76E7E" w:rsidR="002B62F8" w:rsidRDefault="00E66F40" w:rsidP="002B62F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O</w:t>
      </w:r>
      <w:r w:rsidRPr="002708C9">
        <w:rPr>
          <w:rFonts w:ascii="Times New Roman" w:hAnsi="Times New Roman"/>
          <w:color w:val="222222"/>
          <w:sz w:val="22"/>
          <w:szCs w:val="22"/>
        </w:rPr>
        <w:t xml:space="preserve">patrnosť je potrebná pri podávaní </w:t>
      </w:r>
      <w:proofErr w:type="spellStart"/>
      <w:r w:rsidRPr="002708C9">
        <w:rPr>
          <w:rFonts w:ascii="Times New Roman" w:hAnsi="Times New Roman"/>
          <w:color w:val="222222"/>
          <w:sz w:val="22"/>
          <w:szCs w:val="22"/>
        </w:rPr>
        <w:t>levotyroxínu</w:t>
      </w:r>
      <w:proofErr w:type="spellEnd"/>
      <w:r w:rsidRPr="002708C9">
        <w:rPr>
          <w:rFonts w:ascii="Times New Roman" w:hAnsi="Times New Roman"/>
          <w:color w:val="222222"/>
          <w:sz w:val="22"/>
          <w:szCs w:val="22"/>
        </w:rPr>
        <w:t xml:space="preserve"> pacientom s anamnézou epilepsie</w:t>
      </w:r>
      <w:r w:rsidR="002B62F8">
        <w:rPr>
          <w:rFonts w:ascii="Times New Roman" w:hAnsi="Times New Roman"/>
          <w:sz w:val="22"/>
          <w:szCs w:val="22"/>
        </w:rPr>
        <w:t>, nakoľko títo pacienti majú zvýšené riziko záchvatov.</w:t>
      </w:r>
    </w:p>
    <w:p w14:paraId="3156949E" w14:textId="77777777" w:rsidR="002B62F8" w:rsidRPr="007A1CAE" w:rsidRDefault="002B62F8" w:rsidP="00836511">
      <w:pPr>
        <w:jc w:val="both"/>
        <w:rPr>
          <w:rFonts w:ascii="Times New Roman" w:hAnsi="Times New Roman"/>
          <w:sz w:val="22"/>
          <w:szCs w:val="22"/>
        </w:rPr>
      </w:pPr>
    </w:p>
    <w:p w14:paraId="0FD43394" w14:textId="75F22B08" w:rsidR="005B51C0" w:rsidRDefault="00F87B8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existuje podozrenie na </w:t>
      </w:r>
      <w:r w:rsidR="005B51C0" w:rsidRPr="007A1CAE">
        <w:rPr>
          <w:rFonts w:ascii="Times New Roman" w:hAnsi="Times New Roman"/>
          <w:sz w:val="22"/>
          <w:szCs w:val="22"/>
        </w:rPr>
        <w:t xml:space="preserve"> autonómi</w:t>
      </w:r>
      <w:r>
        <w:rPr>
          <w:rFonts w:ascii="Times New Roman" w:hAnsi="Times New Roman"/>
          <w:sz w:val="22"/>
          <w:szCs w:val="22"/>
        </w:rPr>
        <w:t>u</w:t>
      </w:r>
      <w:r w:rsidR="005B51C0" w:rsidRPr="007A1CAE">
        <w:rPr>
          <w:rFonts w:ascii="Times New Roman" w:hAnsi="Times New Roman"/>
          <w:sz w:val="22"/>
          <w:szCs w:val="22"/>
        </w:rPr>
        <w:t xml:space="preserve"> štítnej žľazy</w:t>
      </w:r>
      <w:r>
        <w:rPr>
          <w:rFonts w:ascii="Times New Roman" w:hAnsi="Times New Roman"/>
          <w:sz w:val="22"/>
          <w:szCs w:val="22"/>
        </w:rPr>
        <w:t xml:space="preserve">, </w:t>
      </w:r>
      <w:r w:rsidR="005B51C0" w:rsidRPr="007A1CAE">
        <w:rPr>
          <w:rFonts w:ascii="Times New Roman" w:hAnsi="Times New Roman"/>
          <w:sz w:val="22"/>
          <w:szCs w:val="22"/>
        </w:rPr>
        <w:t xml:space="preserve"> odporúča </w:t>
      </w:r>
      <w:r>
        <w:rPr>
          <w:rFonts w:ascii="Times New Roman" w:hAnsi="Times New Roman"/>
          <w:sz w:val="22"/>
          <w:szCs w:val="22"/>
        </w:rPr>
        <w:t xml:space="preserve">sa vykonať </w:t>
      </w:r>
      <w:r w:rsidR="005B51C0" w:rsidRPr="007A1CAE">
        <w:rPr>
          <w:rFonts w:ascii="Times New Roman" w:hAnsi="Times New Roman"/>
          <w:sz w:val="22"/>
          <w:szCs w:val="22"/>
        </w:rPr>
        <w:t xml:space="preserve">TRH test alebo </w:t>
      </w:r>
      <w:proofErr w:type="spellStart"/>
      <w:r w:rsidR="005B51C0" w:rsidRPr="007A1CAE">
        <w:rPr>
          <w:rFonts w:ascii="Times New Roman" w:hAnsi="Times New Roman"/>
          <w:sz w:val="22"/>
          <w:szCs w:val="22"/>
        </w:rPr>
        <w:t>supresný</w:t>
      </w:r>
      <w:proofErr w:type="spellEnd"/>
      <w:r w:rsidR="005B51C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51C0" w:rsidRPr="007A1CAE">
        <w:rPr>
          <w:rFonts w:ascii="Times New Roman" w:hAnsi="Times New Roman"/>
          <w:sz w:val="22"/>
          <w:szCs w:val="22"/>
        </w:rPr>
        <w:t>scintigram</w:t>
      </w:r>
      <w:proofErr w:type="spellEnd"/>
      <w:r w:rsidR="005B51C0" w:rsidRPr="007A1CAE">
        <w:rPr>
          <w:rFonts w:ascii="Times New Roman" w:hAnsi="Times New Roman"/>
          <w:sz w:val="22"/>
          <w:szCs w:val="22"/>
        </w:rPr>
        <w:t>.</w:t>
      </w:r>
    </w:p>
    <w:p w14:paraId="5ACB635F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47B00C9A" w14:textId="7BC7CED7" w:rsidR="008B5BFE" w:rsidRDefault="008018B0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 žien v </w:t>
      </w:r>
      <w:proofErr w:type="spellStart"/>
      <w:r w:rsidRPr="007A1CAE">
        <w:rPr>
          <w:rFonts w:ascii="Times New Roman" w:hAnsi="Times New Roman"/>
          <w:sz w:val="22"/>
          <w:szCs w:val="22"/>
        </w:rPr>
        <w:t>postmenopauzálnom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veku, u ktorých je zvýšené riziko vzniku </w:t>
      </w:r>
      <w:proofErr w:type="spellStart"/>
      <w:r w:rsidRPr="007A1CAE">
        <w:rPr>
          <w:rFonts w:ascii="Times New Roman" w:hAnsi="Times New Roman"/>
          <w:sz w:val="22"/>
          <w:szCs w:val="22"/>
        </w:rPr>
        <w:t>osteoporózy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2B62F8">
        <w:rPr>
          <w:rFonts w:ascii="Times New Roman" w:hAnsi="Times New Roman"/>
          <w:sz w:val="22"/>
          <w:szCs w:val="22"/>
        </w:rPr>
        <w:t xml:space="preserve">je nutná titrácia dávky </w:t>
      </w:r>
      <w:proofErr w:type="spellStart"/>
      <w:r w:rsidR="002B62F8">
        <w:rPr>
          <w:rFonts w:ascii="Times New Roman" w:hAnsi="Times New Roman"/>
          <w:sz w:val="22"/>
          <w:szCs w:val="22"/>
        </w:rPr>
        <w:t>levotyroxínu</w:t>
      </w:r>
      <w:proofErr w:type="spellEnd"/>
      <w:r w:rsidR="002B62F8">
        <w:rPr>
          <w:rFonts w:ascii="Times New Roman" w:hAnsi="Times New Roman"/>
          <w:sz w:val="22"/>
          <w:szCs w:val="22"/>
        </w:rPr>
        <w:t xml:space="preserve"> sodného na najnižšiu efektívnu dávku a</w:t>
      </w:r>
      <w:r w:rsidR="002B62F8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musia</w:t>
      </w:r>
      <w:r w:rsidR="002B62F8">
        <w:rPr>
          <w:rFonts w:ascii="Times New Roman" w:hAnsi="Times New Roman"/>
          <w:sz w:val="22"/>
          <w:szCs w:val="22"/>
        </w:rPr>
        <w:t xml:space="preserve"> sa </w:t>
      </w:r>
      <w:r w:rsidRPr="007A1CAE">
        <w:rPr>
          <w:rFonts w:ascii="Times New Roman" w:hAnsi="Times New Roman"/>
          <w:sz w:val="22"/>
          <w:szCs w:val="22"/>
        </w:rPr>
        <w:t xml:space="preserve">častejšie monitorovať </w:t>
      </w:r>
      <w:proofErr w:type="spellStart"/>
      <w:r w:rsidRPr="007A1CAE">
        <w:rPr>
          <w:rFonts w:ascii="Times New Roman" w:hAnsi="Times New Roman"/>
          <w:sz w:val="22"/>
          <w:szCs w:val="22"/>
        </w:rPr>
        <w:t>tyreoidné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funkcie, aby sa predišlo vzniku </w:t>
      </w:r>
      <w:proofErr w:type="spellStart"/>
      <w:r w:rsidRPr="007A1CAE">
        <w:rPr>
          <w:rFonts w:ascii="Times New Roman" w:hAnsi="Times New Roman"/>
          <w:sz w:val="22"/>
          <w:szCs w:val="22"/>
        </w:rPr>
        <w:t>suprafyziologických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hladín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v</w:t>
      </w:r>
      <w:r w:rsidR="002B62F8">
        <w:rPr>
          <w:rFonts w:ascii="Times New Roman" w:hAnsi="Times New Roman"/>
          <w:sz w:val="22"/>
          <w:szCs w:val="22"/>
        </w:rPr>
        <w:t> </w:t>
      </w:r>
      <w:r w:rsidRPr="007A1CAE">
        <w:rPr>
          <w:rFonts w:ascii="Times New Roman" w:hAnsi="Times New Roman"/>
          <w:sz w:val="22"/>
          <w:szCs w:val="22"/>
        </w:rPr>
        <w:t>krvi</w:t>
      </w:r>
      <w:r w:rsidR="002B62F8">
        <w:rPr>
          <w:rFonts w:ascii="Times New Roman" w:hAnsi="Times New Roman"/>
          <w:sz w:val="22"/>
          <w:szCs w:val="22"/>
        </w:rPr>
        <w:t xml:space="preserve"> (pozri časť 4.8)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47E048A9" w14:textId="77777777" w:rsidR="00BB3D6F" w:rsidRPr="007A1CAE" w:rsidRDefault="008018B0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 </w:t>
      </w:r>
    </w:p>
    <w:p w14:paraId="025057A3" w14:textId="43F72887" w:rsidR="0088550E" w:rsidRDefault="0088550E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Hormóny štítnej žľazy sa nesmú používať na redukciu hmotnosti. U </w:t>
      </w:r>
      <w:proofErr w:type="spellStart"/>
      <w:r w:rsidRPr="007A1CAE">
        <w:rPr>
          <w:rFonts w:ascii="Times New Roman" w:hAnsi="Times New Roman"/>
          <w:sz w:val="22"/>
          <w:szCs w:val="22"/>
        </w:rPr>
        <w:t>eutyreoidných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pacientov normálne dávky nespôsobia redukciu hmotnosti. Vyššie dávky môžu spôsobiť závažné alebo život ohrozujúce nežiaduce účinky, najmä v kombinácii s niektorými </w:t>
      </w:r>
      <w:r w:rsidR="00F87B83">
        <w:rPr>
          <w:rFonts w:ascii="Times New Roman" w:hAnsi="Times New Roman"/>
          <w:sz w:val="22"/>
          <w:szCs w:val="22"/>
        </w:rPr>
        <w:t>látkami</w:t>
      </w:r>
      <w:r w:rsidR="00F87B83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na redukciu </w:t>
      </w:r>
      <w:r w:rsidRPr="002708C9">
        <w:rPr>
          <w:rFonts w:ascii="Times New Roman" w:hAnsi="Times New Roman"/>
          <w:sz w:val="22"/>
          <w:szCs w:val="22"/>
        </w:rPr>
        <w:t>hmotnosti</w:t>
      </w:r>
      <w:r w:rsidR="00F85403" w:rsidRPr="002708C9">
        <w:rPr>
          <w:rFonts w:ascii="Times New Roman" w:hAnsi="Times New Roman"/>
          <w:sz w:val="22"/>
          <w:szCs w:val="22"/>
        </w:rPr>
        <w:t xml:space="preserve"> a najmä so </w:t>
      </w:r>
      <w:proofErr w:type="spellStart"/>
      <w:r w:rsidR="00F85403" w:rsidRPr="002708C9">
        <w:rPr>
          <w:rFonts w:ascii="Times New Roman" w:hAnsi="Times New Roman"/>
          <w:sz w:val="22"/>
          <w:szCs w:val="22"/>
        </w:rPr>
        <w:t>sympatomimetickými</w:t>
      </w:r>
      <w:proofErr w:type="spellEnd"/>
      <w:r w:rsidR="00F85403" w:rsidRPr="002708C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5403" w:rsidRPr="002708C9">
        <w:rPr>
          <w:rFonts w:ascii="Times New Roman" w:hAnsi="Times New Roman"/>
          <w:sz w:val="22"/>
          <w:szCs w:val="22"/>
        </w:rPr>
        <w:t>amínmi</w:t>
      </w:r>
      <w:proofErr w:type="spellEnd"/>
      <w:r w:rsidRPr="002708C9">
        <w:rPr>
          <w:rFonts w:ascii="Times New Roman" w:hAnsi="Times New Roman"/>
          <w:sz w:val="22"/>
          <w:szCs w:val="22"/>
        </w:rPr>
        <w:t>.</w:t>
      </w:r>
      <w:r w:rsidR="00F85403">
        <w:rPr>
          <w:rFonts w:ascii="Times New Roman" w:hAnsi="Times New Roman"/>
          <w:sz w:val="22"/>
          <w:szCs w:val="22"/>
        </w:rPr>
        <w:t xml:space="preserve"> </w:t>
      </w:r>
    </w:p>
    <w:p w14:paraId="5F3EAC54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4CB99BFD" w14:textId="77777777" w:rsidR="00F85403" w:rsidRDefault="00F85403" w:rsidP="00836511">
      <w:pPr>
        <w:jc w:val="both"/>
        <w:rPr>
          <w:rFonts w:ascii="Times New Roman" w:hAnsi="Times New Roman"/>
          <w:sz w:val="22"/>
          <w:szCs w:val="22"/>
        </w:rPr>
      </w:pPr>
      <w:r w:rsidRPr="002708C9">
        <w:rPr>
          <w:rFonts w:ascii="Times New Roman" w:hAnsi="Times New Roman"/>
          <w:sz w:val="22"/>
          <w:szCs w:val="22"/>
        </w:rPr>
        <w:t xml:space="preserve">Ak je potrebný prechod na iný liek obsahujúci </w:t>
      </w:r>
      <w:proofErr w:type="spellStart"/>
      <w:r w:rsidRPr="002708C9">
        <w:rPr>
          <w:rFonts w:ascii="Times New Roman" w:hAnsi="Times New Roman"/>
          <w:sz w:val="22"/>
          <w:szCs w:val="22"/>
        </w:rPr>
        <w:t>levotyroxín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, je nutné počas tohto prechodného obdobia z dôvodu potenciálneho rizika </w:t>
      </w:r>
      <w:proofErr w:type="spellStart"/>
      <w:r w:rsidRPr="002708C9">
        <w:rPr>
          <w:rFonts w:ascii="Times New Roman" w:hAnsi="Times New Roman"/>
          <w:sz w:val="22"/>
          <w:szCs w:val="22"/>
        </w:rPr>
        <w:t>tyreoidálnej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 nerovnováhy dôkladné sledovanie, vrátane klinického a biologického monitorovania. U niektorých pacientov môže byť potrebná úprava dávky.</w:t>
      </w:r>
    </w:p>
    <w:p w14:paraId="0266017E" w14:textId="0A20056B" w:rsidR="0088550E" w:rsidRDefault="0088550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1E53E344" w14:textId="77777777" w:rsidR="008B5BF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59B7A40D" w14:textId="7001A995" w:rsidR="002B62F8" w:rsidRDefault="002B62F8" w:rsidP="002B62F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Monitoring  funkcie štítnej žľazy sa vyžaduje u pacientov so </w:t>
      </w:r>
      <w:r w:rsidR="00E66F40">
        <w:rPr>
          <w:rFonts w:ascii="Times New Roman" w:hAnsi="Times New Roman"/>
          <w:sz w:val="22"/>
          <w:szCs w:val="22"/>
        </w:rPr>
        <w:t>súbežnou</w:t>
      </w:r>
      <w:r>
        <w:rPr>
          <w:rFonts w:ascii="Times New Roman" w:hAnsi="Times New Roman"/>
          <w:sz w:val="22"/>
          <w:szCs w:val="22"/>
        </w:rPr>
        <w:t xml:space="preserve"> liečbou  </w:t>
      </w:r>
      <w:proofErr w:type="spellStart"/>
      <w:r>
        <w:rPr>
          <w:rFonts w:ascii="Times New Roman" w:hAnsi="Times New Roman"/>
          <w:sz w:val="22"/>
          <w:szCs w:val="22"/>
        </w:rPr>
        <w:t>levotyroxínom</w:t>
      </w:r>
      <w:proofErr w:type="spellEnd"/>
      <w:r>
        <w:rPr>
          <w:rFonts w:ascii="Times New Roman" w:hAnsi="Times New Roman"/>
          <w:sz w:val="22"/>
          <w:szCs w:val="22"/>
        </w:rPr>
        <w:t xml:space="preserve"> a inými liekmi, ktoré môžu štítnu žľazu ovplyvniť (t.j. </w:t>
      </w:r>
      <w:proofErr w:type="spellStart"/>
      <w:r>
        <w:rPr>
          <w:rFonts w:ascii="Times New Roman" w:hAnsi="Times New Roman"/>
          <w:sz w:val="22"/>
          <w:szCs w:val="22"/>
        </w:rPr>
        <w:t>amiodar</w:t>
      </w:r>
      <w:r w:rsidR="00E66F40">
        <w:rPr>
          <w:rFonts w:ascii="Times New Roman" w:hAnsi="Times New Roman"/>
          <w:sz w:val="22"/>
          <w:szCs w:val="22"/>
        </w:rPr>
        <w:t>ó</w:t>
      </w:r>
      <w:r>
        <w:rPr>
          <w:rFonts w:ascii="Times New Roman" w:hAnsi="Times New Roman"/>
          <w:sz w:val="22"/>
          <w:szCs w:val="22"/>
        </w:rPr>
        <w:t>n</w:t>
      </w:r>
      <w:proofErr w:type="spellEnd"/>
      <w:r>
        <w:rPr>
          <w:rFonts w:ascii="Times New Roman" w:hAnsi="Times New Roman"/>
          <w:sz w:val="22"/>
          <w:szCs w:val="22"/>
        </w:rPr>
        <w:t xml:space="preserve">, inhibítory </w:t>
      </w:r>
      <w:proofErr w:type="spellStart"/>
      <w:r>
        <w:rPr>
          <w:rFonts w:ascii="Times New Roman" w:hAnsi="Times New Roman"/>
          <w:sz w:val="22"/>
          <w:szCs w:val="22"/>
        </w:rPr>
        <w:t>tyrozín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kinázy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salicyláty</w:t>
      </w:r>
      <w:proofErr w:type="spellEnd"/>
      <w:r w:rsidR="00EE4C8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A6BEF" w:rsidRPr="002708C9">
        <w:rPr>
          <w:rFonts w:ascii="Times New Roman" w:hAnsi="Times New Roman"/>
          <w:sz w:val="22"/>
          <w:szCs w:val="22"/>
        </w:rPr>
        <w:t>se</w:t>
      </w:r>
      <w:r w:rsidR="00342685" w:rsidRPr="002708C9">
        <w:rPr>
          <w:rFonts w:ascii="Times New Roman" w:hAnsi="Times New Roman"/>
          <w:sz w:val="22"/>
          <w:szCs w:val="22"/>
        </w:rPr>
        <w:t>r</w:t>
      </w:r>
      <w:r w:rsidR="00FA6BEF" w:rsidRPr="002708C9">
        <w:rPr>
          <w:rFonts w:ascii="Times New Roman" w:hAnsi="Times New Roman"/>
          <w:sz w:val="22"/>
          <w:szCs w:val="22"/>
        </w:rPr>
        <w:t>tralín</w:t>
      </w:r>
      <w:proofErr w:type="spellEnd"/>
      <w:r w:rsidR="00FA6BEF" w:rsidRPr="002708C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A6BEF" w:rsidRPr="002708C9">
        <w:rPr>
          <w:rFonts w:ascii="Times New Roman" w:hAnsi="Times New Roman"/>
          <w:sz w:val="22"/>
          <w:szCs w:val="22"/>
        </w:rPr>
        <w:t>sevelamér</w:t>
      </w:r>
      <w:proofErr w:type="spellEnd"/>
      <w:r w:rsidR="00FA6BEF" w:rsidRPr="002708C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A6BEF" w:rsidRPr="002708C9">
        <w:rPr>
          <w:rFonts w:ascii="Times New Roman" w:hAnsi="Times New Roman"/>
          <w:sz w:val="22"/>
          <w:szCs w:val="22"/>
        </w:rPr>
        <w:t>lantanum</w:t>
      </w:r>
      <w:proofErr w:type="spellEnd"/>
      <w:r w:rsidR="00FA6BEF" w:rsidRPr="002708C9">
        <w:rPr>
          <w:rFonts w:ascii="Times New Roman" w:hAnsi="Times New Roman"/>
          <w:sz w:val="22"/>
          <w:szCs w:val="22"/>
        </w:rPr>
        <w:t xml:space="preserve"> </w:t>
      </w:r>
      <w:r w:rsidRPr="002708C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 vysoké dávky </w:t>
      </w:r>
      <w:proofErr w:type="spellStart"/>
      <w:r>
        <w:rPr>
          <w:rFonts w:ascii="Times New Roman" w:hAnsi="Times New Roman"/>
          <w:sz w:val="22"/>
          <w:szCs w:val="22"/>
        </w:rPr>
        <w:t>furosemidu</w:t>
      </w:r>
      <w:proofErr w:type="spellEnd"/>
      <w:r>
        <w:rPr>
          <w:rFonts w:ascii="Times New Roman" w:hAnsi="Times New Roman"/>
          <w:sz w:val="22"/>
          <w:szCs w:val="22"/>
        </w:rPr>
        <w:t xml:space="preserve"> ) (pozri tiež časť 4.5).</w:t>
      </w:r>
    </w:p>
    <w:p w14:paraId="2AB76C04" w14:textId="77777777" w:rsidR="002B62F8" w:rsidRPr="007A1CAE" w:rsidRDefault="002B62F8" w:rsidP="00836511">
      <w:pPr>
        <w:jc w:val="both"/>
        <w:rPr>
          <w:rFonts w:ascii="Times New Roman" w:hAnsi="Times New Roman"/>
          <w:sz w:val="22"/>
          <w:szCs w:val="22"/>
        </w:rPr>
      </w:pPr>
    </w:p>
    <w:p w14:paraId="13426CCB" w14:textId="3C41D252" w:rsidR="0088550E" w:rsidRDefault="00F87B8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88550E" w:rsidRPr="007A1CAE">
        <w:rPr>
          <w:rFonts w:ascii="Times New Roman" w:hAnsi="Times New Roman"/>
          <w:sz w:val="22"/>
          <w:szCs w:val="22"/>
        </w:rPr>
        <w:t xml:space="preserve">nformácie </w:t>
      </w:r>
      <w:r>
        <w:rPr>
          <w:rFonts w:ascii="Times New Roman" w:hAnsi="Times New Roman"/>
          <w:sz w:val="22"/>
          <w:szCs w:val="22"/>
        </w:rPr>
        <w:t>pre</w:t>
      </w:r>
      <w:r w:rsidRPr="007A1CAE">
        <w:rPr>
          <w:rFonts w:ascii="Times New Roman" w:hAnsi="Times New Roman"/>
          <w:sz w:val="22"/>
          <w:szCs w:val="22"/>
        </w:rPr>
        <w:t> </w:t>
      </w:r>
      <w:r w:rsidR="0088550E" w:rsidRPr="007A1CAE">
        <w:rPr>
          <w:rFonts w:ascii="Times New Roman" w:hAnsi="Times New Roman"/>
          <w:sz w:val="22"/>
          <w:szCs w:val="22"/>
        </w:rPr>
        <w:t>diabetiko</w:t>
      </w:r>
      <w:r>
        <w:rPr>
          <w:rFonts w:ascii="Times New Roman" w:hAnsi="Times New Roman"/>
          <w:sz w:val="22"/>
          <w:szCs w:val="22"/>
        </w:rPr>
        <w:t>v</w:t>
      </w:r>
      <w:r w:rsidR="0088550E" w:rsidRPr="007A1CAE">
        <w:rPr>
          <w:rFonts w:ascii="Times New Roman" w:hAnsi="Times New Roman"/>
          <w:sz w:val="22"/>
          <w:szCs w:val="22"/>
        </w:rPr>
        <w:t xml:space="preserve"> a paciento</w:t>
      </w:r>
      <w:r>
        <w:rPr>
          <w:rFonts w:ascii="Times New Roman" w:hAnsi="Times New Roman"/>
          <w:sz w:val="22"/>
          <w:szCs w:val="22"/>
        </w:rPr>
        <w:t>v</w:t>
      </w:r>
      <w:r w:rsidR="0088550E" w:rsidRPr="007A1CAE">
        <w:rPr>
          <w:rFonts w:ascii="Times New Roman" w:hAnsi="Times New Roman"/>
          <w:sz w:val="22"/>
          <w:szCs w:val="22"/>
        </w:rPr>
        <w:t xml:space="preserve"> liečených </w:t>
      </w:r>
      <w:proofErr w:type="spellStart"/>
      <w:r w:rsidR="0088550E" w:rsidRPr="007A1CAE">
        <w:rPr>
          <w:rFonts w:ascii="Times New Roman" w:hAnsi="Times New Roman"/>
          <w:sz w:val="22"/>
          <w:szCs w:val="22"/>
        </w:rPr>
        <w:t>antikoagulanciami</w:t>
      </w:r>
      <w:proofErr w:type="spellEnd"/>
      <w:r w:rsidR="0088550E" w:rsidRPr="007A1CAE">
        <w:rPr>
          <w:rFonts w:ascii="Times New Roman" w:hAnsi="Times New Roman"/>
          <w:sz w:val="22"/>
          <w:szCs w:val="22"/>
        </w:rPr>
        <w:t xml:space="preserve"> pozri </w:t>
      </w:r>
      <w:r>
        <w:rPr>
          <w:rFonts w:ascii="Times New Roman" w:hAnsi="Times New Roman"/>
          <w:sz w:val="22"/>
          <w:szCs w:val="22"/>
        </w:rPr>
        <w:t xml:space="preserve">v </w:t>
      </w:r>
      <w:r w:rsidR="0088550E" w:rsidRPr="007A1CAE">
        <w:rPr>
          <w:rFonts w:ascii="Times New Roman" w:hAnsi="Times New Roman"/>
          <w:sz w:val="22"/>
          <w:szCs w:val="22"/>
        </w:rPr>
        <w:t>čas</w:t>
      </w:r>
      <w:r>
        <w:rPr>
          <w:rFonts w:ascii="Times New Roman" w:hAnsi="Times New Roman"/>
          <w:sz w:val="22"/>
          <w:szCs w:val="22"/>
        </w:rPr>
        <w:t>ti</w:t>
      </w:r>
      <w:r w:rsidR="0088550E" w:rsidRPr="007A1CAE">
        <w:rPr>
          <w:rFonts w:ascii="Times New Roman" w:hAnsi="Times New Roman"/>
          <w:sz w:val="22"/>
          <w:szCs w:val="22"/>
        </w:rPr>
        <w:t xml:space="preserve"> 4.5.</w:t>
      </w:r>
    </w:p>
    <w:p w14:paraId="224E73CA" w14:textId="77777777" w:rsidR="009C7B75" w:rsidRPr="007A1CAE" w:rsidRDefault="009C7B75" w:rsidP="00836511">
      <w:pPr>
        <w:jc w:val="both"/>
        <w:rPr>
          <w:rFonts w:ascii="Times New Roman" w:hAnsi="Times New Roman"/>
          <w:sz w:val="22"/>
          <w:szCs w:val="22"/>
        </w:rPr>
      </w:pPr>
    </w:p>
    <w:p w14:paraId="221D8FA9" w14:textId="412980B7" w:rsidR="003860AC" w:rsidRDefault="003860AC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Veľmi zriedkavé prípady </w:t>
      </w:r>
      <w:proofErr w:type="spellStart"/>
      <w:r w:rsidRPr="007A1CAE">
        <w:rPr>
          <w:rFonts w:ascii="Times New Roman" w:hAnsi="Times New Roman"/>
          <w:sz w:val="22"/>
          <w:szCs w:val="22"/>
        </w:rPr>
        <w:t>hypotyreoidizmu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boli hlásené u pacientov </w:t>
      </w:r>
      <w:r w:rsidR="00DE7403">
        <w:rPr>
          <w:rFonts w:ascii="Times New Roman" w:hAnsi="Times New Roman"/>
          <w:sz w:val="22"/>
          <w:szCs w:val="22"/>
        </w:rPr>
        <w:t xml:space="preserve">súbežne </w:t>
      </w:r>
      <w:r w:rsidRPr="007A1CAE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Pr="007A1CAE">
        <w:rPr>
          <w:rFonts w:ascii="Times New Roman" w:hAnsi="Times New Roman"/>
          <w:sz w:val="22"/>
          <w:szCs w:val="22"/>
        </w:rPr>
        <w:t>sevelam</w:t>
      </w:r>
      <w:r w:rsidR="00DE7403">
        <w:rPr>
          <w:rFonts w:ascii="Times New Roman" w:hAnsi="Times New Roman"/>
          <w:sz w:val="22"/>
          <w:szCs w:val="22"/>
        </w:rPr>
        <w:t>é</w:t>
      </w:r>
      <w:r w:rsidRPr="007A1CAE">
        <w:rPr>
          <w:rFonts w:ascii="Times New Roman" w:hAnsi="Times New Roman"/>
          <w:sz w:val="22"/>
          <w:szCs w:val="22"/>
        </w:rPr>
        <w:t>rom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. Preto sa odporúča </w:t>
      </w:r>
      <w:r w:rsidR="00F87B83">
        <w:rPr>
          <w:rFonts w:ascii="Times New Roman" w:hAnsi="Times New Roman"/>
          <w:sz w:val="22"/>
          <w:szCs w:val="22"/>
        </w:rPr>
        <w:t xml:space="preserve">starostlivé </w:t>
      </w:r>
      <w:r w:rsidRPr="007A1CAE">
        <w:rPr>
          <w:rFonts w:ascii="Times New Roman" w:hAnsi="Times New Roman"/>
          <w:sz w:val="22"/>
          <w:szCs w:val="22"/>
        </w:rPr>
        <w:t>monitorovanie</w:t>
      </w:r>
      <w:r w:rsidR="0083404D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hladín TSH </w:t>
      </w:r>
      <w:r w:rsidR="00F87B83">
        <w:rPr>
          <w:rFonts w:ascii="Times New Roman" w:hAnsi="Times New Roman"/>
          <w:sz w:val="22"/>
          <w:szCs w:val="22"/>
        </w:rPr>
        <w:t>u pacientov, ktorí sú sú</w:t>
      </w:r>
      <w:r w:rsidR="00DE7403">
        <w:rPr>
          <w:rFonts w:ascii="Times New Roman" w:hAnsi="Times New Roman"/>
          <w:sz w:val="22"/>
          <w:szCs w:val="22"/>
        </w:rPr>
        <w:t>bežne</w:t>
      </w:r>
      <w:r w:rsidR="00F87B83">
        <w:rPr>
          <w:rFonts w:ascii="Times New Roman" w:hAnsi="Times New Roman"/>
          <w:sz w:val="22"/>
          <w:szCs w:val="22"/>
        </w:rPr>
        <w:t xml:space="preserve"> liečení obidvoma liečivami </w:t>
      </w:r>
      <w:r w:rsidRPr="007A1CAE">
        <w:rPr>
          <w:rFonts w:ascii="Times New Roman" w:hAnsi="Times New Roman"/>
          <w:sz w:val="22"/>
          <w:szCs w:val="22"/>
        </w:rPr>
        <w:t>(pozri časť 4.5).</w:t>
      </w:r>
    </w:p>
    <w:p w14:paraId="18B646B9" w14:textId="77777777" w:rsidR="00FA6BEF" w:rsidRDefault="00FA6BEF" w:rsidP="00836511">
      <w:pPr>
        <w:jc w:val="both"/>
        <w:rPr>
          <w:rFonts w:ascii="Times New Roman" w:hAnsi="Times New Roman"/>
          <w:sz w:val="22"/>
          <w:szCs w:val="22"/>
        </w:rPr>
      </w:pPr>
    </w:p>
    <w:p w14:paraId="2B3082AE" w14:textId="77777777" w:rsidR="00FA6BEF" w:rsidRPr="002708C9" w:rsidRDefault="00FA6BEF" w:rsidP="00FA6BEF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2708C9">
        <w:rPr>
          <w:rFonts w:ascii="Times New Roman" w:hAnsi="Times New Roman"/>
          <w:sz w:val="22"/>
          <w:szCs w:val="22"/>
          <w:u w:val="single"/>
        </w:rPr>
        <w:t>Pediatrická populácia</w:t>
      </w:r>
    </w:p>
    <w:p w14:paraId="76E3833E" w14:textId="77777777" w:rsidR="00F85403" w:rsidRPr="002708C9" w:rsidRDefault="00F85403" w:rsidP="00F85403">
      <w:pPr>
        <w:overflowPunct/>
        <w:textAlignment w:val="auto"/>
        <w:rPr>
          <w:rFonts w:ascii="TimesNewRomanPS-BoldMT" w:hAnsi="TimesNewRomanPS-BoldMT" w:cs="TimesNewRomanPS-BoldMT"/>
          <w:bCs/>
          <w:sz w:val="22"/>
          <w:szCs w:val="22"/>
          <w:lang w:eastAsia="sk-SK"/>
        </w:rPr>
      </w:pPr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 xml:space="preserve">Pri začatí liečby </w:t>
      </w:r>
      <w:proofErr w:type="spellStart"/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>levotyroxínom</w:t>
      </w:r>
      <w:proofErr w:type="spellEnd"/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 xml:space="preserve"> </w:t>
      </w:r>
      <w:r w:rsidRPr="002708C9">
        <w:rPr>
          <w:rFonts w:ascii="Times New Roman" w:hAnsi="Times New Roman"/>
          <w:bCs/>
          <w:sz w:val="22"/>
          <w:szCs w:val="22"/>
          <w:lang w:eastAsia="sk-SK"/>
        </w:rPr>
        <w:t xml:space="preserve">u </w:t>
      </w:r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>predčasne narodených novorodencov s veľmi nízkou pôrodnou</w:t>
      </w:r>
    </w:p>
    <w:p w14:paraId="112ECD93" w14:textId="77777777" w:rsidR="00F85403" w:rsidRPr="002708C9" w:rsidRDefault="00F85403" w:rsidP="00F85403">
      <w:pPr>
        <w:overflowPunct/>
        <w:textAlignment w:val="auto"/>
        <w:rPr>
          <w:rFonts w:ascii="Times New Roman" w:hAnsi="Times New Roman"/>
          <w:bCs/>
          <w:sz w:val="22"/>
          <w:szCs w:val="22"/>
          <w:lang w:eastAsia="sk-SK"/>
        </w:rPr>
      </w:pPr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 xml:space="preserve">hmotnosťou sa majú sledovať </w:t>
      </w:r>
      <w:proofErr w:type="spellStart"/>
      <w:r w:rsidRPr="002708C9">
        <w:rPr>
          <w:rFonts w:ascii="Times New Roman" w:hAnsi="Times New Roman"/>
          <w:bCs/>
          <w:sz w:val="22"/>
          <w:szCs w:val="22"/>
          <w:lang w:eastAsia="sk-SK"/>
        </w:rPr>
        <w:t>hemodynamické</w:t>
      </w:r>
      <w:proofErr w:type="spellEnd"/>
      <w:r w:rsidRPr="002708C9">
        <w:rPr>
          <w:rFonts w:ascii="Times New Roman" w:hAnsi="Times New Roman"/>
          <w:bCs/>
          <w:sz w:val="22"/>
          <w:szCs w:val="22"/>
          <w:lang w:eastAsia="sk-SK"/>
        </w:rPr>
        <w:t xml:space="preserve"> parametre, pretože v dôsledku nezrelej</w:t>
      </w:r>
    </w:p>
    <w:p w14:paraId="23C3D78A" w14:textId="19A249DD" w:rsidR="00FA6BEF" w:rsidRPr="002708C9" w:rsidRDefault="00F85403" w:rsidP="00FA6BEF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>adrenálnej</w:t>
      </w:r>
      <w:proofErr w:type="spellEnd"/>
      <w:r w:rsidRPr="002708C9">
        <w:rPr>
          <w:rFonts w:ascii="TimesNewRomanPS-BoldMT" w:hAnsi="TimesNewRomanPS-BoldMT" w:cs="TimesNewRomanPS-BoldMT"/>
          <w:bCs/>
          <w:sz w:val="22"/>
          <w:szCs w:val="22"/>
          <w:lang w:eastAsia="sk-SK"/>
        </w:rPr>
        <w:t xml:space="preserve"> funkcie môže dôjsť k</w:t>
      </w:r>
      <w:r w:rsidRPr="002708C9">
        <w:rPr>
          <w:rFonts w:ascii="Times New Roman" w:hAnsi="Times New Roman"/>
          <w:bCs/>
          <w:sz w:val="22"/>
          <w:szCs w:val="22"/>
          <w:lang w:eastAsia="sk-SK"/>
        </w:rPr>
        <w:t>u kolapsu cirkulácie (pozri tiež časť 4.8).</w:t>
      </w:r>
    </w:p>
    <w:p w14:paraId="631D0316" w14:textId="77777777" w:rsidR="00BB3D6F" w:rsidRDefault="00BB3D6F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FD57ED3" w14:textId="2C6F2E75" w:rsidR="003A63BA" w:rsidRDefault="003A63B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Obsah sodíka</w:t>
      </w:r>
    </w:p>
    <w:p w14:paraId="0CA7A999" w14:textId="5B851931" w:rsidR="00774874" w:rsidRDefault="00774874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obsahuje menej ako 1 </w:t>
      </w:r>
      <w:proofErr w:type="spellStart"/>
      <w:r>
        <w:rPr>
          <w:rFonts w:ascii="Times New Roman" w:hAnsi="Times New Roman"/>
          <w:sz w:val="22"/>
          <w:szCs w:val="22"/>
        </w:rPr>
        <w:t>mmol</w:t>
      </w:r>
      <w:proofErr w:type="spellEnd"/>
      <w:r>
        <w:rPr>
          <w:rFonts w:ascii="Times New Roman" w:hAnsi="Times New Roman"/>
          <w:sz w:val="22"/>
          <w:szCs w:val="22"/>
        </w:rPr>
        <w:t xml:space="preserve"> sodíka (23 mg) v jednej tablete, t.j. v podstate zanedbateľné množstvo sodíka.</w:t>
      </w:r>
    </w:p>
    <w:p w14:paraId="0D91B32C" w14:textId="77777777" w:rsidR="00774874" w:rsidRPr="007A1CAE" w:rsidRDefault="00774874" w:rsidP="00706D78">
      <w:pPr>
        <w:jc w:val="both"/>
        <w:rPr>
          <w:rFonts w:ascii="Times New Roman" w:hAnsi="Times New Roman"/>
          <w:sz w:val="22"/>
          <w:szCs w:val="22"/>
        </w:rPr>
      </w:pPr>
    </w:p>
    <w:p w14:paraId="6B0C41C6" w14:textId="77777777" w:rsidR="008018B0" w:rsidRPr="007A1CAE" w:rsidRDefault="00C65834" w:rsidP="00706D78">
      <w:pPr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4.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5 Liekové a iné interakcie </w:t>
      </w:r>
    </w:p>
    <w:p w14:paraId="50444084" w14:textId="7777777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56BDDE5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Antidiabetiká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762C8124" w14:textId="097C9E49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môže </w:t>
      </w:r>
      <w:r w:rsidR="00F87B83">
        <w:rPr>
          <w:rFonts w:ascii="Times New Roman" w:hAnsi="Times New Roman"/>
          <w:sz w:val="22"/>
          <w:szCs w:val="22"/>
        </w:rPr>
        <w:t>znižovať</w:t>
      </w:r>
      <w:r w:rsidR="00F87B83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účinok </w:t>
      </w:r>
      <w:proofErr w:type="spellStart"/>
      <w:r w:rsidRPr="007A1CAE">
        <w:rPr>
          <w:rFonts w:ascii="Times New Roman" w:hAnsi="Times New Roman"/>
          <w:sz w:val="22"/>
          <w:szCs w:val="22"/>
        </w:rPr>
        <w:t>antidiabetík</w:t>
      </w:r>
      <w:proofErr w:type="spellEnd"/>
      <w:r w:rsidR="00CF7B75">
        <w:rPr>
          <w:rFonts w:ascii="Times New Roman" w:hAnsi="Times New Roman"/>
          <w:sz w:val="22"/>
          <w:szCs w:val="22"/>
        </w:rPr>
        <w:t xml:space="preserve"> (napr. </w:t>
      </w:r>
      <w:proofErr w:type="spellStart"/>
      <w:r w:rsidR="00CF7B75">
        <w:rPr>
          <w:rFonts w:ascii="Times New Roman" w:hAnsi="Times New Roman"/>
          <w:sz w:val="22"/>
          <w:szCs w:val="22"/>
        </w:rPr>
        <w:t>metformínu</w:t>
      </w:r>
      <w:proofErr w:type="spellEnd"/>
      <w:r w:rsidR="00CF7B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F7B75">
        <w:rPr>
          <w:rFonts w:ascii="Times New Roman" w:hAnsi="Times New Roman"/>
          <w:sz w:val="22"/>
          <w:szCs w:val="22"/>
        </w:rPr>
        <w:t>glimepiridu</w:t>
      </w:r>
      <w:proofErr w:type="spellEnd"/>
      <w:r w:rsidR="00CF7B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F7B75">
        <w:rPr>
          <w:rFonts w:ascii="Times New Roman" w:hAnsi="Times New Roman"/>
          <w:sz w:val="22"/>
          <w:szCs w:val="22"/>
        </w:rPr>
        <w:t>glibenklamidu</w:t>
      </w:r>
      <w:proofErr w:type="spellEnd"/>
      <w:r w:rsidR="00CF7B75">
        <w:rPr>
          <w:rFonts w:ascii="Times New Roman" w:hAnsi="Times New Roman"/>
          <w:sz w:val="22"/>
          <w:szCs w:val="22"/>
        </w:rPr>
        <w:t xml:space="preserve"> a inzulínu)</w:t>
      </w:r>
      <w:r w:rsidRPr="007A1CAE">
        <w:rPr>
          <w:rFonts w:ascii="Times New Roman" w:hAnsi="Times New Roman"/>
          <w:sz w:val="22"/>
          <w:szCs w:val="22"/>
        </w:rPr>
        <w:t>. Hladina krvného cukru u diabetikov sa preto musí pravidelne kontrolovať, najmä na začiatku</w:t>
      </w:r>
      <w:r w:rsidR="00CF7B75">
        <w:rPr>
          <w:rFonts w:ascii="Times New Roman" w:hAnsi="Times New Roman"/>
          <w:sz w:val="22"/>
          <w:szCs w:val="22"/>
        </w:rPr>
        <w:t xml:space="preserve"> a na konci</w:t>
      </w:r>
      <w:r w:rsidRPr="007A1CAE">
        <w:rPr>
          <w:rFonts w:ascii="Times New Roman" w:hAnsi="Times New Roman"/>
          <w:sz w:val="22"/>
          <w:szCs w:val="22"/>
        </w:rPr>
        <w:t xml:space="preserve"> liečby hormónmi štítnej žľazy</w:t>
      </w:r>
      <w:r w:rsidR="00CF7B75">
        <w:rPr>
          <w:rFonts w:ascii="Times New Roman" w:hAnsi="Times New Roman"/>
          <w:sz w:val="22"/>
          <w:szCs w:val="22"/>
        </w:rPr>
        <w:t>. V</w:t>
      </w:r>
      <w:r w:rsidRPr="007A1CAE">
        <w:rPr>
          <w:rFonts w:ascii="Times New Roman" w:hAnsi="Times New Roman"/>
          <w:sz w:val="22"/>
          <w:szCs w:val="22"/>
        </w:rPr>
        <w:t xml:space="preserve"> prípade potreby lekár musí opäť nastaviť dávkovanie </w:t>
      </w:r>
      <w:proofErr w:type="spellStart"/>
      <w:r w:rsidRPr="007A1CAE">
        <w:rPr>
          <w:rFonts w:ascii="Times New Roman" w:hAnsi="Times New Roman"/>
          <w:sz w:val="22"/>
          <w:szCs w:val="22"/>
        </w:rPr>
        <w:t>antidiabetík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246331F3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C7FF219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 xml:space="preserve">Deriváty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kumarínu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2377731D" w14:textId="21F364C1" w:rsidR="00594268" w:rsidRPr="007A1CAE" w:rsidRDefault="00F87B83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L</w:t>
      </w:r>
      <w:r w:rsidR="00594268" w:rsidRPr="007A1CAE">
        <w:rPr>
          <w:rFonts w:ascii="Times New Roman" w:hAnsi="Times New Roman"/>
          <w:sz w:val="22"/>
          <w:szCs w:val="22"/>
        </w:rPr>
        <w:t>evotyroxín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môže zvyšovať účinok derivátov </w:t>
      </w:r>
      <w:proofErr w:type="spellStart"/>
      <w:r>
        <w:rPr>
          <w:rFonts w:ascii="Times New Roman" w:hAnsi="Times New Roman"/>
          <w:sz w:val="22"/>
          <w:szCs w:val="22"/>
        </w:rPr>
        <w:t>kumarínu</w:t>
      </w:r>
      <w:proofErr w:type="spellEnd"/>
      <w:r>
        <w:rPr>
          <w:rFonts w:ascii="Times New Roman" w:hAnsi="Times New Roman"/>
          <w:sz w:val="22"/>
          <w:szCs w:val="22"/>
        </w:rPr>
        <w:t xml:space="preserve">, pretože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vytesňuje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antikoagulanciá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z ich väzby na </w:t>
      </w:r>
      <w:r>
        <w:rPr>
          <w:rFonts w:ascii="Times New Roman" w:hAnsi="Times New Roman"/>
          <w:sz w:val="22"/>
          <w:szCs w:val="22"/>
        </w:rPr>
        <w:t xml:space="preserve">plazmatické </w:t>
      </w:r>
      <w:r w:rsidR="00594268" w:rsidRPr="007A1CAE">
        <w:rPr>
          <w:rFonts w:ascii="Times New Roman" w:hAnsi="Times New Roman"/>
          <w:sz w:val="22"/>
          <w:szCs w:val="22"/>
        </w:rPr>
        <w:t>proteíny</w:t>
      </w:r>
      <w:r>
        <w:rPr>
          <w:rFonts w:ascii="Times New Roman" w:hAnsi="Times New Roman"/>
          <w:sz w:val="22"/>
          <w:szCs w:val="22"/>
        </w:rPr>
        <w:t>.</w:t>
      </w:r>
      <w:r w:rsidR="00594268" w:rsidRPr="007A1CAE">
        <w:rPr>
          <w:rFonts w:ascii="Times New Roman" w:hAnsi="Times New Roman"/>
          <w:sz w:val="22"/>
          <w:szCs w:val="22"/>
        </w:rPr>
        <w:t xml:space="preserve"> Pri </w:t>
      </w:r>
      <w:r>
        <w:rPr>
          <w:rFonts w:ascii="Times New Roman" w:hAnsi="Times New Roman"/>
          <w:sz w:val="22"/>
          <w:szCs w:val="22"/>
        </w:rPr>
        <w:t>súbežnej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liečbe je preto nutná pravidelná kontrola zrážavosti krvi, ak je to potrebné, </w:t>
      </w:r>
      <w:r>
        <w:rPr>
          <w:rFonts w:ascii="Times New Roman" w:hAnsi="Times New Roman"/>
          <w:sz w:val="22"/>
          <w:szCs w:val="22"/>
        </w:rPr>
        <w:t>má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sa upraviť dávka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antikoagulancia</w:t>
      </w:r>
      <w:proofErr w:type="spellEnd"/>
      <w:r w:rsidR="00123EF4">
        <w:rPr>
          <w:rFonts w:ascii="Times New Roman" w:hAnsi="Times New Roman"/>
          <w:sz w:val="22"/>
          <w:szCs w:val="22"/>
        </w:rPr>
        <w:t xml:space="preserve"> (redukcia dávky)</w:t>
      </w:r>
      <w:r w:rsidR="00594268" w:rsidRPr="007A1CAE">
        <w:rPr>
          <w:rFonts w:ascii="Times New Roman" w:hAnsi="Times New Roman"/>
          <w:sz w:val="22"/>
          <w:szCs w:val="22"/>
        </w:rPr>
        <w:t>.</w:t>
      </w:r>
    </w:p>
    <w:p w14:paraId="3887E4B2" w14:textId="77777777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05D4D3D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Iónomeniče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 na báze živíc :</w:t>
      </w:r>
    </w:p>
    <w:p w14:paraId="26690F6D" w14:textId="69969FB4" w:rsidR="008018B0" w:rsidRDefault="00F87B83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Živice fungujúce ako </w:t>
      </w:r>
      <w:proofErr w:type="spellStart"/>
      <w:r>
        <w:rPr>
          <w:rFonts w:ascii="Times New Roman" w:hAnsi="Times New Roman"/>
          <w:iCs/>
          <w:sz w:val="22"/>
          <w:szCs w:val="22"/>
        </w:rPr>
        <w:t>iónomeniče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, napr. </w:t>
      </w:r>
      <w:proofErr w:type="spellStart"/>
      <w:r>
        <w:rPr>
          <w:rFonts w:ascii="Times New Roman" w:hAnsi="Times New Roman"/>
          <w:iCs/>
          <w:sz w:val="22"/>
          <w:szCs w:val="22"/>
        </w:rPr>
        <w:t>c</w:t>
      </w:r>
      <w:r w:rsidR="000353F8" w:rsidRPr="002F028B">
        <w:rPr>
          <w:rFonts w:ascii="Times New Roman" w:hAnsi="Times New Roman"/>
          <w:iCs/>
          <w:sz w:val="22"/>
          <w:szCs w:val="22"/>
        </w:rPr>
        <w:t>h</w:t>
      </w:r>
      <w:r w:rsidR="008018B0" w:rsidRPr="002F028B">
        <w:rPr>
          <w:rFonts w:ascii="Times New Roman" w:hAnsi="Times New Roman"/>
          <w:iCs/>
          <w:sz w:val="22"/>
          <w:szCs w:val="22"/>
        </w:rPr>
        <w:t>olestyramín</w:t>
      </w:r>
      <w:proofErr w:type="spellEnd"/>
      <w:r w:rsidR="003860AC" w:rsidRPr="002F028B">
        <w:rPr>
          <w:rFonts w:ascii="Times New Roman" w:hAnsi="Times New Roman"/>
          <w:iCs/>
          <w:sz w:val="22"/>
          <w:szCs w:val="22"/>
        </w:rPr>
        <w:t>,</w:t>
      </w:r>
      <w:r w:rsidR="008018B0" w:rsidRPr="002F028B">
        <w:rPr>
          <w:rFonts w:ascii="Times New Roman" w:hAnsi="Times New Roman"/>
          <w:iCs/>
          <w:sz w:val="22"/>
          <w:szCs w:val="22"/>
        </w:rPr>
        <w:t> </w:t>
      </w:r>
      <w:proofErr w:type="spellStart"/>
      <w:r w:rsidR="000353F8" w:rsidRPr="002F028B">
        <w:rPr>
          <w:rFonts w:ascii="Times New Roman" w:hAnsi="Times New Roman"/>
          <w:iCs/>
          <w:sz w:val="22"/>
          <w:szCs w:val="22"/>
        </w:rPr>
        <w:t>ch</w:t>
      </w:r>
      <w:r w:rsidR="008018B0" w:rsidRPr="002F028B">
        <w:rPr>
          <w:rFonts w:ascii="Times New Roman" w:hAnsi="Times New Roman"/>
          <w:iCs/>
          <w:sz w:val="22"/>
          <w:szCs w:val="22"/>
        </w:rPr>
        <w:t>olestipol</w:t>
      </w:r>
      <w:proofErr w:type="spellEnd"/>
      <w:r w:rsidR="0050655E">
        <w:rPr>
          <w:rFonts w:ascii="Times New Roman" w:hAnsi="Times New Roman"/>
          <w:iCs/>
          <w:sz w:val="22"/>
          <w:szCs w:val="22"/>
        </w:rPr>
        <w:t>,</w:t>
      </w:r>
      <w:r w:rsidR="003860AC" w:rsidRPr="009C7B75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alebo </w:t>
      </w:r>
      <w:r>
        <w:rPr>
          <w:rFonts w:ascii="Times New Roman" w:hAnsi="Times New Roman"/>
          <w:sz w:val="22"/>
          <w:szCs w:val="22"/>
        </w:rPr>
        <w:t>vápenaté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a sodné soli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polystyrénsulfónovej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kyseliny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inhibujú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absorpciu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4D7AEA">
        <w:rPr>
          <w:rFonts w:ascii="Times New Roman" w:hAnsi="Times New Roman"/>
          <w:sz w:val="22"/>
          <w:szCs w:val="22"/>
        </w:rPr>
        <w:t xml:space="preserve"> prostredníctvom väzby </w:t>
      </w:r>
      <w:proofErr w:type="spellStart"/>
      <w:r w:rsidR="004D7AEA">
        <w:rPr>
          <w:rFonts w:ascii="Times New Roman" w:hAnsi="Times New Roman"/>
          <w:sz w:val="22"/>
          <w:szCs w:val="22"/>
        </w:rPr>
        <w:t>tyreoidálnych</w:t>
      </w:r>
      <w:proofErr w:type="spellEnd"/>
      <w:r w:rsidR="004D7AEA">
        <w:rPr>
          <w:rFonts w:ascii="Times New Roman" w:hAnsi="Times New Roman"/>
          <w:sz w:val="22"/>
          <w:szCs w:val="22"/>
        </w:rPr>
        <w:t xml:space="preserve"> hormónov v </w:t>
      </w:r>
      <w:proofErr w:type="spellStart"/>
      <w:r w:rsidR="004D7AEA">
        <w:rPr>
          <w:rFonts w:ascii="Times New Roman" w:hAnsi="Times New Roman"/>
          <w:sz w:val="22"/>
          <w:szCs w:val="22"/>
        </w:rPr>
        <w:t>gastrointestinálnom</w:t>
      </w:r>
      <w:proofErr w:type="spellEnd"/>
      <w:r w:rsidR="004D7AEA">
        <w:rPr>
          <w:rFonts w:ascii="Times New Roman" w:hAnsi="Times New Roman"/>
          <w:sz w:val="22"/>
          <w:szCs w:val="22"/>
        </w:rPr>
        <w:t xml:space="preserve"> trakte</w:t>
      </w:r>
      <w:r w:rsidR="008018B0" w:rsidRPr="007A1CA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a </w:t>
      </w:r>
      <w:r w:rsidR="008018B0" w:rsidRPr="007A1CAE">
        <w:rPr>
          <w:rFonts w:ascii="Times New Roman" w:hAnsi="Times New Roman"/>
          <w:sz w:val="22"/>
          <w:szCs w:val="22"/>
        </w:rPr>
        <w:t xml:space="preserve">preto sa </w:t>
      </w:r>
      <w:r w:rsidR="004D7AEA">
        <w:rPr>
          <w:rFonts w:ascii="Times New Roman" w:hAnsi="Times New Roman"/>
          <w:sz w:val="22"/>
          <w:szCs w:val="22"/>
        </w:rPr>
        <w:t>majú</w:t>
      </w:r>
      <w:r w:rsidR="004D7AEA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aplikovať</w:t>
      </w:r>
      <w:r w:rsidR="00432DB9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 xml:space="preserve">4 - 5 hodín po </w:t>
      </w:r>
      <w:r w:rsidR="00432DB9">
        <w:rPr>
          <w:rFonts w:ascii="Times New Roman" w:hAnsi="Times New Roman"/>
          <w:sz w:val="22"/>
          <w:szCs w:val="22"/>
        </w:rPr>
        <w:t>užití</w:t>
      </w:r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L-</w:t>
      </w:r>
      <w:r w:rsidR="009B0B2A">
        <w:rPr>
          <w:rFonts w:ascii="Times New Roman" w:hAnsi="Times New Roman"/>
          <w:sz w:val="22"/>
          <w:szCs w:val="22"/>
        </w:rPr>
        <w:t>T</w:t>
      </w:r>
      <w:r w:rsidR="008018B0" w:rsidRPr="007A1CAE">
        <w:rPr>
          <w:rFonts w:ascii="Times New Roman" w:hAnsi="Times New Roman"/>
          <w:sz w:val="22"/>
          <w:szCs w:val="22"/>
        </w:rPr>
        <w:t>hyrox</w:t>
      </w:r>
      <w:r w:rsidR="009B0B2A">
        <w:rPr>
          <w:rFonts w:ascii="Times New Roman" w:hAnsi="Times New Roman"/>
          <w:sz w:val="22"/>
          <w:szCs w:val="22"/>
        </w:rPr>
        <w:t>i</w:t>
      </w:r>
      <w:r w:rsidR="008018B0" w:rsidRPr="007A1CAE">
        <w:rPr>
          <w:rFonts w:ascii="Times New Roman" w:hAnsi="Times New Roman"/>
          <w:sz w:val="22"/>
          <w:szCs w:val="22"/>
        </w:rPr>
        <w:t>nu</w:t>
      </w:r>
      <w:proofErr w:type="spellEnd"/>
      <w:r w:rsidR="00B44334" w:rsidRPr="007A1CAE">
        <w:rPr>
          <w:rFonts w:ascii="Times New Roman" w:hAnsi="Times New Roman"/>
          <w:sz w:val="22"/>
          <w:szCs w:val="22"/>
        </w:rPr>
        <w:t xml:space="preserve"> </w:t>
      </w:r>
      <w:r w:rsidR="00A935FD" w:rsidRPr="007A1CAE">
        <w:rPr>
          <w:rFonts w:ascii="Times New Roman" w:hAnsi="Times New Roman"/>
          <w:sz w:val="22"/>
          <w:szCs w:val="22"/>
        </w:rPr>
        <w:t>12</w:t>
      </w:r>
      <w:r w:rsidR="00B44334" w:rsidRPr="007A1CAE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="00B44334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</w:t>
      </w:r>
      <w:r w:rsidR="001607D0">
        <w:rPr>
          <w:rFonts w:ascii="Times New Roman" w:hAnsi="Times New Roman"/>
          <w:sz w:val="22"/>
          <w:szCs w:val="22"/>
        </w:rPr>
        <w:t xml:space="preserve"> </w:t>
      </w:r>
      <w:r w:rsidR="001607D0" w:rsidRPr="002708C9">
        <w:rPr>
          <w:rFonts w:ascii="Times New Roman" w:hAnsi="Times New Roman"/>
          <w:sz w:val="22"/>
          <w:szCs w:val="22"/>
        </w:rPr>
        <w:t>Je potrebné sledovať hladinu hormónov štítnej žľazy.</w:t>
      </w:r>
    </w:p>
    <w:p w14:paraId="07A48BFD" w14:textId="77777777" w:rsidR="006E4BF3" w:rsidRDefault="006E4BF3" w:rsidP="00706D78">
      <w:pPr>
        <w:jc w:val="both"/>
        <w:rPr>
          <w:rFonts w:ascii="Times New Roman" w:hAnsi="Times New Roman"/>
          <w:sz w:val="22"/>
          <w:szCs w:val="22"/>
        </w:rPr>
      </w:pPr>
    </w:p>
    <w:p w14:paraId="7CE3D0D3" w14:textId="77777777" w:rsidR="006E4BF3" w:rsidRDefault="006E4BF3" w:rsidP="006E4BF3">
      <w:p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Liečivá viažuce žlčové kyseliny:</w:t>
      </w:r>
    </w:p>
    <w:p w14:paraId="5F69E785" w14:textId="39BE8346" w:rsidR="006E4BF3" w:rsidRPr="007A1CAE" w:rsidRDefault="006E4BF3" w:rsidP="006E4BF3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8D7B63">
        <w:rPr>
          <w:rFonts w:ascii="Times New Roman" w:hAnsi="Times New Roman"/>
          <w:iCs/>
          <w:sz w:val="22"/>
          <w:szCs w:val="22"/>
        </w:rPr>
        <w:t>Kolesevelam</w:t>
      </w:r>
      <w:proofErr w:type="spellEnd"/>
      <w:r w:rsidRPr="008D7B63">
        <w:rPr>
          <w:rFonts w:ascii="Times New Roman" w:hAnsi="Times New Roman"/>
          <w:iCs/>
          <w:sz w:val="22"/>
          <w:szCs w:val="22"/>
        </w:rPr>
        <w:t xml:space="preserve"> viaže </w:t>
      </w:r>
      <w:proofErr w:type="spellStart"/>
      <w:r w:rsidRPr="008D7B63">
        <w:rPr>
          <w:rFonts w:ascii="Times New Roman" w:hAnsi="Times New Roman"/>
          <w:iCs/>
          <w:sz w:val="22"/>
          <w:szCs w:val="22"/>
        </w:rPr>
        <w:t>levotyroxín</w:t>
      </w:r>
      <w:proofErr w:type="spellEnd"/>
      <w:r w:rsidRPr="008D7B63">
        <w:rPr>
          <w:rFonts w:ascii="Times New Roman" w:hAnsi="Times New Roman"/>
          <w:iCs/>
          <w:sz w:val="22"/>
          <w:szCs w:val="22"/>
        </w:rPr>
        <w:t xml:space="preserve"> a znižuje jeho absorpciu z </w:t>
      </w:r>
      <w:proofErr w:type="spellStart"/>
      <w:r w:rsidRPr="008D7B63">
        <w:rPr>
          <w:rFonts w:ascii="Times New Roman" w:hAnsi="Times New Roman"/>
          <w:iCs/>
          <w:sz w:val="22"/>
          <w:szCs w:val="22"/>
        </w:rPr>
        <w:t>gastrointestinálneho</w:t>
      </w:r>
      <w:proofErr w:type="spellEnd"/>
      <w:r w:rsidRPr="008D7B63">
        <w:rPr>
          <w:rFonts w:ascii="Times New Roman" w:hAnsi="Times New Roman"/>
          <w:iCs/>
          <w:sz w:val="22"/>
          <w:szCs w:val="22"/>
        </w:rPr>
        <w:t xml:space="preserve"> traktu.</w:t>
      </w:r>
      <w:r>
        <w:rPr>
          <w:rFonts w:ascii="Times New Roman" w:hAnsi="Times New Roman"/>
          <w:iCs/>
          <w:sz w:val="22"/>
          <w:szCs w:val="22"/>
        </w:rPr>
        <w:t xml:space="preserve"> Neboli pozorované</w:t>
      </w:r>
      <w:r w:rsidR="0050655E">
        <w:rPr>
          <w:rFonts w:ascii="Times New Roman" w:hAnsi="Times New Roman"/>
          <w:iCs/>
          <w:sz w:val="22"/>
          <w:szCs w:val="22"/>
        </w:rPr>
        <w:t xml:space="preserve"> žiadne</w:t>
      </w:r>
      <w:r>
        <w:rPr>
          <w:rFonts w:ascii="Times New Roman" w:hAnsi="Times New Roman"/>
          <w:iCs/>
          <w:sz w:val="22"/>
          <w:szCs w:val="22"/>
        </w:rPr>
        <w:t xml:space="preserve"> interakcie</w:t>
      </w:r>
      <w:r w:rsidR="0050655E">
        <w:rPr>
          <w:rFonts w:ascii="Times New Roman" w:hAnsi="Times New Roman"/>
          <w:iCs/>
          <w:sz w:val="22"/>
          <w:szCs w:val="22"/>
        </w:rPr>
        <w:t>, ak</w:t>
      </w:r>
      <w:r>
        <w:rPr>
          <w:rFonts w:ascii="Times New Roman" w:hAnsi="Times New Roman"/>
          <w:iCs/>
          <w:sz w:val="22"/>
          <w:szCs w:val="22"/>
        </w:rPr>
        <w:t xml:space="preserve"> sa </w:t>
      </w:r>
      <w:proofErr w:type="spellStart"/>
      <w:r>
        <w:rPr>
          <w:rFonts w:ascii="Times New Roman" w:hAnsi="Times New Roman"/>
          <w:iCs/>
          <w:sz w:val="22"/>
          <w:szCs w:val="22"/>
        </w:rPr>
        <w:t>levotyroxín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užíval najmenej 4 hodiny pred </w:t>
      </w:r>
      <w:proofErr w:type="spellStart"/>
      <w:r>
        <w:rPr>
          <w:rFonts w:ascii="Times New Roman" w:hAnsi="Times New Roman"/>
          <w:iCs/>
          <w:sz w:val="22"/>
          <w:szCs w:val="22"/>
        </w:rPr>
        <w:t>kolesevelamom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iCs/>
          <w:sz w:val="22"/>
          <w:szCs w:val="22"/>
        </w:rPr>
        <w:t>L-Thyroxin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</w:t>
      </w:r>
      <w:r w:rsidR="0050655E">
        <w:rPr>
          <w:rFonts w:ascii="Times New Roman" w:hAnsi="Times New Roman"/>
          <w:iCs/>
          <w:sz w:val="22"/>
          <w:szCs w:val="22"/>
        </w:rPr>
        <w:t xml:space="preserve">125 </w:t>
      </w:r>
      <w:proofErr w:type="spellStart"/>
      <w:r>
        <w:rPr>
          <w:rFonts w:ascii="Times New Roman" w:hAnsi="Times New Roman"/>
          <w:iCs/>
          <w:sz w:val="22"/>
          <w:szCs w:val="22"/>
        </w:rPr>
        <w:t>Berlin-Chemie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sa preto má užívať najmenej 4 hodiny pred </w:t>
      </w:r>
      <w:proofErr w:type="spellStart"/>
      <w:r>
        <w:rPr>
          <w:rFonts w:ascii="Times New Roman" w:hAnsi="Times New Roman"/>
          <w:iCs/>
          <w:sz w:val="22"/>
          <w:szCs w:val="22"/>
        </w:rPr>
        <w:t>kolesevelamom</w:t>
      </w:r>
      <w:proofErr w:type="spellEnd"/>
      <w:r>
        <w:rPr>
          <w:rFonts w:ascii="Times New Roman" w:hAnsi="Times New Roman"/>
          <w:iCs/>
          <w:sz w:val="22"/>
          <w:szCs w:val="22"/>
        </w:rPr>
        <w:t>.</w:t>
      </w:r>
    </w:p>
    <w:p w14:paraId="2781A283" w14:textId="7777777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903A885" w14:textId="5279B493" w:rsidR="006E4BF3" w:rsidRDefault="006E4BF3" w:rsidP="006E4BF3">
      <w:p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Lieky s obsahom hliník</w:t>
      </w:r>
      <w:r w:rsidR="0050655E">
        <w:rPr>
          <w:rFonts w:ascii="Times New Roman" w:hAnsi="Times New Roman"/>
          <w:i/>
          <w:iCs/>
          <w:sz w:val="22"/>
          <w:szCs w:val="22"/>
        </w:rPr>
        <w:t>a</w:t>
      </w:r>
      <w:r>
        <w:rPr>
          <w:rFonts w:ascii="Times New Roman" w:hAnsi="Times New Roman"/>
          <w:i/>
          <w:iCs/>
          <w:sz w:val="22"/>
          <w:szCs w:val="22"/>
        </w:rPr>
        <w:t xml:space="preserve"> viažuce žalúdočnú kyselinu,</w:t>
      </w:r>
      <w:r w:rsidR="0050655E"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lieky s obsahom železa, </w:t>
      </w:r>
      <w:r w:rsidR="0050655E">
        <w:rPr>
          <w:rFonts w:ascii="Times New Roman" w:hAnsi="Times New Roman"/>
          <w:i/>
          <w:iCs/>
          <w:sz w:val="22"/>
          <w:szCs w:val="22"/>
        </w:rPr>
        <w:t>lieky s obsahom vápnika</w:t>
      </w:r>
    </w:p>
    <w:p w14:paraId="3344543B" w14:textId="0D9F95EC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5F6030B3" w14:textId="23333407" w:rsidR="008018B0" w:rsidRPr="007A1CAE" w:rsidRDefault="006E4BF3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8018B0" w:rsidRPr="007A1CAE">
        <w:rPr>
          <w:rFonts w:ascii="Times New Roman" w:hAnsi="Times New Roman"/>
          <w:sz w:val="22"/>
          <w:szCs w:val="22"/>
        </w:rPr>
        <w:t xml:space="preserve">bsorpcia </w:t>
      </w:r>
      <w:proofErr w:type="spellStart"/>
      <w:r w:rsidR="00432DB9">
        <w:rPr>
          <w:rFonts w:ascii="Times New Roman" w:hAnsi="Times New Roman"/>
          <w:sz w:val="22"/>
          <w:szCs w:val="22"/>
        </w:rPr>
        <w:t>levotyroxínu</w:t>
      </w:r>
      <w:proofErr w:type="spellEnd"/>
      <w:r w:rsidR="00432DB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sa môže </w:t>
      </w:r>
      <w:r w:rsidR="008018B0" w:rsidRPr="007A1CAE">
        <w:rPr>
          <w:rFonts w:ascii="Times New Roman" w:hAnsi="Times New Roman"/>
          <w:sz w:val="22"/>
          <w:szCs w:val="22"/>
        </w:rPr>
        <w:t>znížiť</w:t>
      </w:r>
      <w:r>
        <w:rPr>
          <w:rFonts w:ascii="Times New Roman" w:hAnsi="Times New Roman"/>
          <w:sz w:val="22"/>
          <w:szCs w:val="22"/>
        </w:rPr>
        <w:t xml:space="preserve"> pri súčasnom podávaní  liekov s obsahom hliníka, ktoré viažu žalúdočnú kyselinu (</w:t>
      </w:r>
      <w:proofErr w:type="spellStart"/>
      <w:r>
        <w:rPr>
          <w:rFonts w:ascii="Times New Roman" w:hAnsi="Times New Roman"/>
          <w:sz w:val="22"/>
          <w:szCs w:val="22"/>
        </w:rPr>
        <w:t>antacidá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sukralfát</w:t>
      </w:r>
      <w:proofErr w:type="spellEnd"/>
      <w:r>
        <w:rPr>
          <w:rFonts w:ascii="Times New Roman" w:hAnsi="Times New Roman"/>
          <w:sz w:val="22"/>
          <w:szCs w:val="22"/>
        </w:rPr>
        <w:t>), liekov obsahujúcich železo a </w:t>
      </w:r>
      <w:r w:rsidR="0050655E">
        <w:rPr>
          <w:rFonts w:ascii="Times New Roman" w:hAnsi="Times New Roman"/>
          <w:sz w:val="22"/>
          <w:szCs w:val="22"/>
        </w:rPr>
        <w:t>vápnik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L-Thyroxin</w:t>
      </w:r>
      <w:proofErr w:type="spellEnd"/>
      <w:r>
        <w:rPr>
          <w:rFonts w:ascii="Times New Roman" w:hAnsi="Times New Roman"/>
          <w:sz w:val="22"/>
          <w:szCs w:val="22"/>
        </w:rPr>
        <w:t xml:space="preserve"> 1</w:t>
      </w:r>
      <w:r w:rsidR="004167D0"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Berlin-Chemie</w:t>
      </w:r>
      <w:proofErr w:type="spellEnd"/>
      <w:r>
        <w:rPr>
          <w:rFonts w:ascii="Times New Roman" w:hAnsi="Times New Roman"/>
          <w:sz w:val="22"/>
          <w:szCs w:val="22"/>
        </w:rPr>
        <w:t xml:space="preserve"> sa preto má užívať najmenej dve hodiny pred týmito liekmi</w:t>
      </w:r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083937FE" w14:textId="7B4B6400" w:rsidR="00FB411F" w:rsidRPr="007A1CAE" w:rsidRDefault="00FB411F" w:rsidP="00706D78">
      <w:pPr>
        <w:jc w:val="both"/>
        <w:rPr>
          <w:rFonts w:ascii="Times New Roman" w:hAnsi="Times New Roman"/>
          <w:b/>
          <w:sz w:val="22"/>
          <w:szCs w:val="22"/>
        </w:rPr>
      </w:pPr>
    </w:p>
    <w:p w14:paraId="1625D382" w14:textId="77777777" w:rsidR="003860AC" w:rsidRPr="007A1CAE" w:rsidRDefault="003860AC" w:rsidP="00706D78">
      <w:pPr>
        <w:jc w:val="both"/>
        <w:rPr>
          <w:rFonts w:ascii="Times New Roman" w:hAnsi="Times New Roman"/>
          <w:bCs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Sevelam</w:t>
      </w:r>
      <w:r w:rsidR="000353F8">
        <w:rPr>
          <w:rFonts w:ascii="Times New Roman" w:hAnsi="Times New Roman"/>
          <w:bCs/>
          <w:i/>
          <w:iCs/>
          <w:sz w:val="22"/>
          <w:szCs w:val="22"/>
        </w:rPr>
        <w:t>é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>r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lantanum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 karbonát:</w:t>
      </w:r>
    </w:p>
    <w:p w14:paraId="0BC2BD85" w14:textId="75246B0B" w:rsidR="008018B0" w:rsidRPr="007A1CAE" w:rsidRDefault="00711BBB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Sevelamér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</w:t>
      </w:r>
      <w:r w:rsidR="00914A2F">
        <w:rPr>
          <w:rFonts w:ascii="Times New Roman" w:hAnsi="Times New Roman"/>
          <w:bCs/>
          <w:sz w:val="22"/>
          <w:szCs w:val="22"/>
        </w:rPr>
        <w:t> </w:t>
      </w:r>
      <w:proofErr w:type="spellStart"/>
      <w:r>
        <w:rPr>
          <w:rFonts w:ascii="Times New Roman" w:hAnsi="Times New Roman"/>
          <w:bCs/>
          <w:sz w:val="22"/>
          <w:szCs w:val="22"/>
        </w:rPr>
        <w:t>lantanum</w:t>
      </w:r>
      <w:proofErr w:type="spellEnd"/>
      <w:r w:rsidR="00914A2F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 karbonát pravdepodobne  m</w:t>
      </w:r>
      <w:r w:rsidR="003860AC" w:rsidRPr="00BA3F86">
        <w:rPr>
          <w:rFonts w:ascii="Times New Roman" w:hAnsi="Times New Roman"/>
          <w:bCs/>
          <w:sz w:val="22"/>
          <w:szCs w:val="22"/>
        </w:rPr>
        <w:t xml:space="preserve">ôžu znížiť </w:t>
      </w:r>
      <w:proofErr w:type="spellStart"/>
      <w:r w:rsidR="003860AC" w:rsidRPr="00BA3F86">
        <w:rPr>
          <w:rFonts w:ascii="Times New Roman" w:hAnsi="Times New Roman"/>
          <w:bCs/>
          <w:sz w:val="22"/>
          <w:szCs w:val="22"/>
        </w:rPr>
        <w:t>biodostupnosť</w:t>
      </w:r>
      <w:proofErr w:type="spellEnd"/>
      <w:r w:rsidR="003860AC" w:rsidRPr="00BA3F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3860AC" w:rsidRPr="00BA3F86">
        <w:rPr>
          <w:rFonts w:ascii="Times New Roman" w:hAnsi="Times New Roman"/>
          <w:bCs/>
          <w:sz w:val="22"/>
          <w:szCs w:val="22"/>
        </w:rPr>
        <w:t>levotyroxínu</w:t>
      </w:r>
      <w:proofErr w:type="spellEnd"/>
      <w:r w:rsidR="00FB411F" w:rsidRPr="002708C9">
        <w:rPr>
          <w:rFonts w:ascii="Times New Roman" w:hAnsi="Times New Roman"/>
          <w:bCs/>
          <w:sz w:val="22"/>
          <w:szCs w:val="22"/>
        </w:rPr>
        <w:t>.</w:t>
      </w:r>
      <w:r w:rsidR="00FA6BEF" w:rsidRPr="002708C9">
        <w:rPr>
          <w:rFonts w:ascii="Times New Roman" w:hAnsi="Times New Roman"/>
          <w:bCs/>
          <w:sz w:val="22"/>
          <w:szCs w:val="22"/>
        </w:rPr>
        <w:t xml:space="preserve"> </w:t>
      </w:r>
      <w:r w:rsidR="001607D0" w:rsidRPr="002708C9">
        <w:rPr>
          <w:rFonts w:ascii="Times New Roman" w:hAnsi="Times New Roman"/>
          <w:bCs/>
          <w:sz w:val="22"/>
          <w:szCs w:val="22"/>
        </w:rPr>
        <w:t xml:space="preserve">Je potrebné vyhnúť sa užívaniu </w:t>
      </w:r>
      <w:proofErr w:type="spellStart"/>
      <w:r w:rsidR="001607D0" w:rsidRPr="002708C9">
        <w:rPr>
          <w:rFonts w:ascii="Times New Roman" w:hAnsi="Times New Roman"/>
          <w:bCs/>
          <w:sz w:val="22"/>
          <w:szCs w:val="22"/>
        </w:rPr>
        <w:t>levotyroxínu</w:t>
      </w:r>
      <w:proofErr w:type="spellEnd"/>
      <w:r w:rsidR="001607D0" w:rsidRPr="002708C9">
        <w:rPr>
          <w:rFonts w:ascii="Times New Roman" w:hAnsi="Times New Roman"/>
          <w:bCs/>
          <w:sz w:val="22"/>
          <w:szCs w:val="22"/>
        </w:rPr>
        <w:t xml:space="preserve"> 1 hodinu pred alebo 3 hodiny po užití </w:t>
      </w:r>
      <w:proofErr w:type="spellStart"/>
      <w:r w:rsidR="001607D0" w:rsidRPr="002708C9">
        <w:rPr>
          <w:rFonts w:ascii="Times New Roman" w:hAnsi="Times New Roman"/>
          <w:bCs/>
          <w:sz w:val="22"/>
          <w:szCs w:val="22"/>
        </w:rPr>
        <w:t>sevelam</w:t>
      </w:r>
      <w:r w:rsidR="00EA091D" w:rsidRPr="002708C9">
        <w:rPr>
          <w:rFonts w:ascii="Times New Roman" w:hAnsi="Times New Roman"/>
          <w:bCs/>
          <w:sz w:val="22"/>
          <w:szCs w:val="22"/>
        </w:rPr>
        <w:t>é</w:t>
      </w:r>
      <w:r w:rsidR="001607D0" w:rsidRPr="002708C9">
        <w:rPr>
          <w:rFonts w:ascii="Times New Roman" w:hAnsi="Times New Roman"/>
          <w:bCs/>
          <w:sz w:val="22"/>
          <w:szCs w:val="22"/>
        </w:rPr>
        <w:t>ru</w:t>
      </w:r>
      <w:proofErr w:type="spellEnd"/>
      <w:r w:rsidR="001607D0" w:rsidRPr="002708C9">
        <w:rPr>
          <w:rFonts w:ascii="Times New Roman" w:hAnsi="Times New Roman"/>
          <w:bCs/>
          <w:sz w:val="22"/>
          <w:szCs w:val="22"/>
        </w:rPr>
        <w:t xml:space="preserve">. </w:t>
      </w:r>
      <w:r w:rsidR="00FA6BEF" w:rsidRPr="002708C9">
        <w:rPr>
          <w:rFonts w:ascii="Times New Roman" w:hAnsi="Times New Roman"/>
          <w:sz w:val="22"/>
          <w:szCs w:val="22"/>
        </w:rPr>
        <w:t xml:space="preserve">Odporúča sa kontrola hladín hormónov štítnej žľazy v krvi. Môže byť potrebná úprava dávky </w:t>
      </w:r>
      <w:proofErr w:type="spellStart"/>
      <w:r w:rsidR="00FA6BEF" w:rsidRPr="002708C9">
        <w:rPr>
          <w:rFonts w:ascii="Times New Roman" w:hAnsi="Times New Roman"/>
          <w:sz w:val="22"/>
          <w:szCs w:val="22"/>
        </w:rPr>
        <w:t>L-Thyroxínu</w:t>
      </w:r>
      <w:proofErr w:type="spellEnd"/>
      <w:r w:rsidR="00FA6BEF" w:rsidRPr="002708C9">
        <w:rPr>
          <w:rFonts w:ascii="Times New Roman" w:hAnsi="Times New Roman"/>
          <w:sz w:val="22"/>
          <w:szCs w:val="22"/>
        </w:rPr>
        <w:t xml:space="preserve"> 125 </w:t>
      </w:r>
      <w:proofErr w:type="spellStart"/>
      <w:r w:rsidR="00FA6BEF" w:rsidRPr="002708C9">
        <w:rPr>
          <w:rFonts w:ascii="Times New Roman" w:hAnsi="Times New Roman"/>
          <w:sz w:val="22"/>
          <w:szCs w:val="22"/>
        </w:rPr>
        <w:t>Berlin-Chemie</w:t>
      </w:r>
      <w:proofErr w:type="spellEnd"/>
      <w:r w:rsidR="00FA6BEF" w:rsidRPr="002708C9">
        <w:rPr>
          <w:rFonts w:ascii="Times New Roman" w:hAnsi="Times New Roman"/>
          <w:sz w:val="22"/>
          <w:szCs w:val="22"/>
        </w:rPr>
        <w:t xml:space="preserve"> (pozri tiež časť 4.4).</w:t>
      </w:r>
      <w:r w:rsidR="00F56D75" w:rsidRPr="007A1CAE" w:rsidDel="00F56D75">
        <w:rPr>
          <w:rFonts w:ascii="Times New Roman" w:hAnsi="Times New Roman"/>
          <w:bCs/>
          <w:sz w:val="22"/>
          <w:szCs w:val="22"/>
        </w:rPr>
        <w:t xml:space="preserve"> </w:t>
      </w:r>
    </w:p>
    <w:p w14:paraId="48ED52BC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5F8FDAC" w14:textId="4A17513B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C287F0F" w14:textId="77777777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89F388B" w14:textId="33000B96" w:rsidR="00594268" w:rsidRPr="007A1CAE" w:rsidRDefault="00594268" w:rsidP="00706D78">
      <w:pPr>
        <w:jc w:val="both"/>
        <w:rPr>
          <w:rFonts w:ascii="Times New Roman" w:hAnsi="Times New Roman"/>
          <w:bCs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Propyltiouracyl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glukokortikoidy</w:t>
      </w:r>
      <w:proofErr w:type="spellEnd"/>
      <w:r w:rsidR="006A42CD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432DB9">
        <w:rPr>
          <w:rFonts w:ascii="Times New Roman" w:hAnsi="Times New Roman"/>
          <w:bCs/>
          <w:i/>
          <w:iCs/>
          <w:sz w:val="22"/>
          <w:szCs w:val="22"/>
        </w:rPr>
        <w:t>a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sym w:font="Symbol" w:char="F062"/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>-</w:t>
      </w: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blokátory</w:t>
      </w:r>
      <w:proofErr w:type="spellEnd"/>
      <w:r w:rsidR="00711BBB">
        <w:rPr>
          <w:rFonts w:ascii="Times New Roman" w:hAnsi="Times New Roman"/>
          <w:bCs/>
          <w:i/>
          <w:iCs/>
          <w:sz w:val="22"/>
          <w:szCs w:val="22"/>
        </w:rPr>
        <w:t xml:space="preserve"> (najmä </w:t>
      </w:r>
      <w:proofErr w:type="spellStart"/>
      <w:r w:rsidR="00711BBB">
        <w:rPr>
          <w:rFonts w:ascii="Times New Roman" w:hAnsi="Times New Roman"/>
          <w:bCs/>
          <w:i/>
          <w:iCs/>
          <w:sz w:val="22"/>
          <w:szCs w:val="22"/>
        </w:rPr>
        <w:t>propranolol</w:t>
      </w:r>
      <w:proofErr w:type="spellEnd"/>
      <w:r w:rsidR="00711BBB">
        <w:rPr>
          <w:rFonts w:ascii="Times New Roman" w:hAnsi="Times New Roman"/>
          <w:bCs/>
          <w:i/>
          <w:iCs/>
          <w:sz w:val="22"/>
          <w:szCs w:val="22"/>
        </w:rPr>
        <w:t>)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>:</w:t>
      </w:r>
    </w:p>
    <w:p w14:paraId="2DD2D672" w14:textId="7B630038" w:rsidR="002005A6" w:rsidRPr="007A1CAE" w:rsidRDefault="002005A6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Cs/>
          <w:sz w:val="22"/>
          <w:szCs w:val="22"/>
        </w:rPr>
        <w:t xml:space="preserve">Tieto liečivá </w:t>
      </w:r>
      <w:proofErr w:type="spellStart"/>
      <w:r w:rsidRPr="007A1CAE">
        <w:rPr>
          <w:rFonts w:ascii="Times New Roman" w:hAnsi="Times New Roman"/>
          <w:bCs/>
          <w:sz w:val="22"/>
          <w:szCs w:val="22"/>
        </w:rPr>
        <w:t>i</w:t>
      </w:r>
      <w:r w:rsidR="00594268" w:rsidRPr="007A1CAE">
        <w:rPr>
          <w:rFonts w:ascii="Times New Roman" w:hAnsi="Times New Roman"/>
          <w:bCs/>
          <w:sz w:val="22"/>
          <w:szCs w:val="22"/>
        </w:rPr>
        <w:t>nhibujú</w:t>
      </w:r>
      <w:proofErr w:type="spellEnd"/>
      <w:r w:rsidR="00594268" w:rsidRPr="007A1CAE">
        <w:rPr>
          <w:rFonts w:ascii="Times New Roman" w:hAnsi="Times New Roman"/>
          <w:bCs/>
          <w:sz w:val="22"/>
          <w:szCs w:val="22"/>
        </w:rPr>
        <w:t xml:space="preserve"> konverziu</w:t>
      </w:r>
      <w:r w:rsidR="00594268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711BBB">
        <w:rPr>
          <w:rFonts w:ascii="Times New Roman" w:hAnsi="Times New Roman"/>
          <w:bCs/>
          <w:sz w:val="22"/>
          <w:szCs w:val="22"/>
        </w:rPr>
        <w:t>T</w:t>
      </w:r>
      <w:r w:rsidR="00711BBB">
        <w:rPr>
          <w:rFonts w:ascii="Times New Roman" w:hAnsi="Times New Roman"/>
          <w:bCs/>
          <w:sz w:val="22"/>
          <w:szCs w:val="22"/>
          <w:vertAlign w:val="subscript"/>
        </w:rPr>
        <w:t>4</w:t>
      </w:r>
      <w:r w:rsidR="00594268" w:rsidRPr="007A1CAE">
        <w:rPr>
          <w:rFonts w:ascii="Times New Roman" w:hAnsi="Times New Roman"/>
          <w:bCs/>
          <w:sz w:val="22"/>
          <w:szCs w:val="22"/>
        </w:rPr>
        <w:t xml:space="preserve"> na </w:t>
      </w:r>
      <w:r w:rsidR="00711BBB">
        <w:rPr>
          <w:rFonts w:ascii="Times New Roman" w:hAnsi="Times New Roman"/>
          <w:bCs/>
          <w:sz w:val="22"/>
          <w:szCs w:val="22"/>
        </w:rPr>
        <w:t>T</w:t>
      </w:r>
      <w:r w:rsidR="00711BBB">
        <w:rPr>
          <w:rFonts w:ascii="Times New Roman" w:hAnsi="Times New Roman"/>
          <w:bCs/>
          <w:sz w:val="22"/>
          <w:szCs w:val="22"/>
          <w:vertAlign w:val="subscript"/>
        </w:rPr>
        <w:t>3</w:t>
      </w:r>
      <w:r w:rsidR="00711BBB">
        <w:rPr>
          <w:rFonts w:ascii="Times New Roman" w:hAnsi="Times New Roman"/>
          <w:bCs/>
          <w:sz w:val="22"/>
          <w:szCs w:val="22"/>
        </w:rPr>
        <w:t xml:space="preserve"> a môžu viesť ku zníženiu sérovej koncentrácie T</w:t>
      </w:r>
      <w:r w:rsidR="00711BBB">
        <w:rPr>
          <w:rFonts w:ascii="Times New Roman" w:hAnsi="Times New Roman"/>
          <w:bCs/>
          <w:sz w:val="22"/>
          <w:szCs w:val="22"/>
          <w:vertAlign w:val="subscript"/>
        </w:rPr>
        <w:t>3</w:t>
      </w:r>
      <w:r w:rsidR="00594268" w:rsidRPr="007A1CAE">
        <w:rPr>
          <w:rFonts w:ascii="Times New Roman" w:hAnsi="Times New Roman"/>
          <w:bCs/>
          <w:sz w:val="22"/>
          <w:szCs w:val="22"/>
        </w:rPr>
        <w:t>.</w:t>
      </w:r>
    </w:p>
    <w:p w14:paraId="77A67614" w14:textId="77777777" w:rsidR="002005A6" w:rsidRPr="007A1CAE" w:rsidRDefault="002005A6" w:rsidP="00706D78">
      <w:pPr>
        <w:jc w:val="both"/>
        <w:rPr>
          <w:rFonts w:ascii="Times New Roman" w:hAnsi="Times New Roman"/>
          <w:sz w:val="22"/>
          <w:szCs w:val="22"/>
        </w:rPr>
      </w:pPr>
    </w:p>
    <w:p w14:paraId="480CD3F4" w14:textId="7777777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Amiodar</w:t>
      </w:r>
      <w:r w:rsidR="000353F8">
        <w:rPr>
          <w:rFonts w:ascii="Times New Roman" w:hAnsi="Times New Roman"/>
          <w:i/>
          <w:iCs/>
          <w:sz w:val="22"/>
          <w:szCs w:val="22"/>
        </w:rPr>
        <w:t>ó</w:t>
      </w:r>
      <w:r w:rsidRPr="007A1CAE">
        <w:rPr>
          <w:rFonts w:ascii="Times New Roman" w:hAnsi="Times New Roman"/>
          <w:i/>
          <w:iCs/>
          <w:sz w:val="22"/>
          <w:szCs w:val="22"/>
        </w:rPr>
        <w:t>n</w:t>
      </w:r>
      <w:proofErr w:type="spellEnd"/>
      <w:r w:rsidR="002005A6" w:rsidRPr="007A1CAE">
        <w:rPr>
          <w:rFonts w:ascii="Times New Roman" w:hAnsi="Times New Roman"/>
          <w:i/>
          <w:iCs/>
          <w:sz w:val="22"/>
          <w:szCs w:val="22"/>
        </w:rPr>
        <w:t xml:space="preserve"> a kontra</w:t>
      </w:r>
      <w:r w:rsidR="00D81BFF" w:rsidRPr="007A1CAE">
        <w:rPr>
          <w:rFonts w:ascii="Times New Roman" w:hAnsi="Times New Roman"/>
          <w:i/>
          <w:iCs/>
          <w:sz w:val="22"/>
          <w:szCs w:val="22"/>
        </w:rPr>
        <w:t>s</w:t>
      </w:r>
      <w:r w:rsidR="002005A6" w:rsidRPr="007A1CAE">
        <w:rPr>
          <w:rFonts w:ascii="Times New Roman" w:hAnsi="Times New Roman"/>
          <w:i/>
          <w:iCs/>
          <w:sz w:val="22"/>
          <w:szCs w:val="22"/>
        </w:rPr>
        <w:t>tné látky s obsahom jódu</w:t>
      </w:r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2F2C06B1" w14:textId="200C6D3D" w:rsidR="008018B0" w:rsidRPr="007A1CAE" w:rsidRDefault="00A6350A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Amiodarón</w:t>
      </w:r>
      <w:proofErr w:type="spellEnd"/>
      <w:r>
        <w:rPr>
          <w:rFonts w:ascii="Times New Roman" w:hAnsi="Times New Roman"/>
          <w:sz w:val="22"/>
          <w:szCs w:val="22"/>
        </w:rPr>
        <w:t xml:space="preserve"> a kontrastné látky s obsahom jódu - v</w:t>
      </w:r>
      <w:r w:rsidR="008018B0" w:rsidRPr="007A1CAE">
        <w:rPr>
          <w:rFonts w:ascii="Times New Roman" w:hAnsi="Times New Roman"/>
          <w:sz w:val="22"/>
          <w:szCs w:val="22"/>
        </w:rPr>
        <w:t xml:space="preserve">ysoký obsah jódu </w:t>
      </w:r>
      <w:r w:rsidR="00F56D75">
        <w:rPr>
          <w:rFonts w:ascii="Times New Roman" w:hAnsi="Times New Roman"/>
          <w:sz w:val="22"/>
          <w:szCs w:val="22"/>
        </w:rPr>
        <w:t xml:space="preserve">v </w:t>
      </w:r>
      <w:r w:rsidR="00432DB9">
        <w:rPr>
          <w:rFonts w:ascii="Times New Roman" w:hAnsi="Times New Roman"/>
          <w:sz w:val="22"/>
          <w:szCs w:val="22"/>
        </w:rPr>
        <w:t xml:space="preserve">týchto látkach </w:t>
      </w:r>
      <w:r w:rsidR="008018B0" w:rsidRPr="007A1CAE">
        <w:rPr>
          <w:rFonts w:ascii="Times New Roman" w:hAnsi="Times New Roman"/>
          <w:sz w:val="22"/>
          <w:szCs w:val="22"/>
        </w:rPr>
        <w:t xml:space="preserve">môže </w:t>
      </w:r>
      <w:r w:rsidR="00432DB9">
        <w:rPr>
          <w:rFonts w:ascii="Times New Roman" w:hAnsi="Times New Roman"/>
          <w:sz w:val="22"/>
          <w:szCs w:val="22"/>
        </w:rPr>
        <w:t xml:space="preserve">vyvolať </w:t>
      </w:r>
      <w:proofErr w:type="spellStart"/>
      <w:r w:rsidR="00432DB9" w:rsidRPr="007A1CAE">
        <w:rPr>
          <w:rFonts w:ascii="Times New Roman" w:hAnsi="Times New Roman"/>
          <w:sz w:val="22"/>
          <w:szCs w:val="22"/>
        </w:rPr>
        <w:t>hypotyreózu</w:t>
      </w:r>
      <w:proofErr w:type="spellEnd"/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r w:rsidR="00432DB9">
        <w:rPr>
          <w:rFonts w:ascii="Times New Roman" w:hAnsi="Times New Roman"/>
          <w:sz w:val="22"/>
          <w:szCs w:val="22"/>
        </w:rPr>
        <w:t xml:space="preserve">ako </w:t>
      </w:r>
      <w:r w:rsidR="008018B0" w:rsidRPr="007A1CAE">
        <w:rPr>
          <w:rFonts w:ascii="Times New Roman" w:hAnsi="Times New Roman"/>
          <w:sz w:val="22"/>
          <w:szCs w:val="22"/>
        </w:rPr>
        <w:t xml:space="preserve">aj </w:t>
      </w:r>
      <w:proofErr w:type="spellStart"/>
      <w:r w:rsidR="00432DB9" w:rsidRPr="007A1CAE">
        <w:rPr>
          <w:rFonts w:ascii="Times New Roman" w:hAnsi="Times New Roman"/>
          <w:sz w:val="22"/>
          <w:szCs w:val="22"/>
        </w:rPr>
        <w:t>hypertyreózu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. </w:t>
      </w:r>
      <w:r w:rsidR="00DF54FF" w:rsidRPr="007A1CAE">
        <w:rPr>
          <w:rFonts w:ascii="Times New Roman" w:hAnsi="Times New Roman"/>
          <w:sz w:val="22"/>
          <w:szCs w:val="22"/>
        </w:rPr>
        <w:t xml:space="preserve">Mimoriadna </w:t>
      </w:r>
      <w:r w:rsidR="008018B0" w:rsidRPr="007A1CAE">
        <w:rPr>
          <w:rFonts w:ascii="Times New Roman" w:hAnsi="Times New Roman"/>
          <w:sz w:val="22"/>
          <w:szCs w:val="22"/>
        </w:rPr>
        <w:t xml:space="preserve">pozornosť </w:t>
      </w:r>
      <w:r w:rsidR="00DF54FF" w:rsidRPr="007A1CAE">
        <w:rPr>
          <w:rFonts w:ascii="Times New Roman" w:hAnsi="Times New Roman"/>
          <w:sz w:val="22"/>
          <w:szCs w:val="22"/>
        </w:rPr>
        <w:t xml:space="preserve">sa má </w:t>
      </w:r>
      <w:r w:rsidR="008018B0" w:rsidRPr="007A1CAE">
        <w:rPr>
          <w:rFonts w:ascii="Times New Roman" w:hAnsi="Times New Roman"/>
          <w:sz w:val="22"/>
          <w:szCs w:val="22"/>
        </w:rPr>
        <w:t>venovať pacientom s 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nodulárnou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strumou </w:t>
      </w:r>
      <w:r w:rsidR="002005A6" w:rsidRPr="007A1CAE">
        <w:rPr>
          <w:rFonts w:ascii="Times New Roman" w:hAnsi="Times New Roman"/>
          <w:sz w:val="22"/>
          <w:szCs w:val="22"/>
        </w:rPr>
        <w:t>s</w:t>
      </w:r>
      <w:r w:rsidR="00432DB9">
        <w:rPr>
          <w:rFonts w:ascii="Times New Roman" w:hAnsi="Times New Roman"/>
          <w:sz w:val="22"/>
          <w:szCs w:val="22"/>
        </w:rPr>
        <w:t> </w:t>
      </w:r>
      <w:r w:rsidR="008018B0" w:rsidRPr="007A1CAE">
        <w:rPr>
          <w:rFonts w:ascii="Times New Roman" w:hAnsi="Times New Roman"/>
          <w:sz w:val="22"/>
          <w:szCs w:val="22"/>
        </w:rPr>
        <w:t>možn</w:t>
      </w:r>
      <w:r w:rsidR="00432DB9">
        <w:rPr>
          <w:rFonts w:ascii="Times New Roman" w:hAnsi="Times New Roman"/>
          <w:sz w:val="22"/>
          <w:szCs w:val="22"/>
        </w:rPr>
        <w:t>ým</w:t>
      </w:r>
      <w:r w:rsidR="008018B0" w:rsidRPr="007A1CAE">
        <w:rPr>
          <w:rFonts w:ascii="Times New Roman" w:hAnsi="Times New Roman"/>
          <w:sz w:val="22"/>
          <w:szCs w:val="22"/>
        </w:rPr>
        <w:t xml:space="preserve"> nediagnostikovan</w:t>
      </w:r>
      <w:r w:rsidR="00432DB9">
        <w:rPr>
          <w:rFonts w:ascii="Times New Roman" w:hAnsi="Times New Roman"/>
          <w:sz w:val="22"/>
          <w:szCs w:val="22"/>
        </w:rPr>
        <w:t>ým</w:t>
      </w:r>
      <w:r w:rsidR="008018B0" w:rsidRPr="007A1CAE">
        <w:rPr>
          <w:rFonts w:ascii="Times New Roman" w:hAnsi="Times New Roman"/>
          <w:sz w:val="22"/>
          <w:szCs w:val="22"/>
        </w:rPr>
        <w:t xml:space="preserve"> autonóm</w:t>
      </w:r>
      <w:r w:rsidR="00432DB9">
        <w:rPr>
          <w:rFonts w:ascii="Times New Roman" w:hAnsi="Times New Roman"/>
          <w:sz w:val="22"/>
          <w:szCs w:val="22"/>
        </w:rPr>
        <w:t>nym pôvodom ochorenia</w:t>
      </w:r>
      <w:r w:rsidR="008018B0" w:rsidRPr="007A1CAE">
        <w:rPr>
          <w:rFonts w:ascii="Times New Roman" w:hAnsi="Times New Roman"/>
          <w:sz w:val="22"/>
          <w:szCs w:val="22"/>
        </w:rPr>
        <w:t>.</w:t>
      </w:r>
      <w:r w:rsidR="002005A6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Amiodarón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inhibuje</w:t>
      </w:r>
      <w:proofErr w:type="spellEnd"/>
      <w:r>
        <w:rPr>
          <w:rFonts w:ascii="Times New Roman" w:hAnsi="Times New Roman"/>
          <w:sz w:val="22"/>
          <w:szCs w:val="22"/>
        </w:rPr>
        <w:t xml:space="preserve"> konverziu </w:t>
      </w:r>
      <w:r w:rsidRPr="00D42D71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  <w:vertAlign w:val="subscript"/>
        </w:rPr>
        <w:t xml:space="preserve">4  </w:t>
      </w:r>
      <w:r>
        <w:rPr>
          <w:rFonts w:ascii="Times New Roman" w:hAnsi="Times New Roman"/>
          <w:sz w:val="22"/>
          <w:szCs w:val="22"/>
        </w:rPr>
        <w:t>na T</w:t>
      </w:r>
      <w:r w:rsidRPr="008D7B63">
        <w:rPr>
          <w:rFonts w:ascii="Times New Roman" w:hAnsi="Times New Roman"/>
          <w:sz w:val="22"/>
          <w:szCs w:val="22"/>
          <w:vertAlign w:val="subscript"/>
        </w:rPr>
        <w:t>3</w:t>
      </w:r>
      <w:r>
        <w:rPr>
          <w:rFonts w:ascii="Times New Roman" w:hAnsi="Times New Roman"/>
          <w:sz w:val="22"/>
          <w:szCs w:val="22"/>
          <w:vertAlign w:val="subscript"/>
        </w:rPr>
        <w:t xml:space="preserve">  </w:t>
      </w:r>
      <w:r>
        <w:rPr>
          <w:rFonts w:ascii="Times New Roman" w:hAnsi="Times New Roman"/>
          <w:sz w:val="22"/>
          <w:szCs w:val="22"/>
        </w:rPr>
        <w:t>s následkom zníženia sérovej koncentrácie T</w:t>
      </w:r>
      <w:r w:rsidRPr="008D7B63">
        <w:rPr>
          <w:rFonts w:ascii="Times New Roman" w:hAnsi="Times New Roman"/>
          <w:sz w:val="22"/>
          <w:szCs w:val="22"/>
          <w:vertAlign w:val="subscript"/>
        </w:rPr>
        <w:t>3</w:t>
      </w:r>
      <w:r>
        <w:rPr>
          <w:rFonts w:ascii="Times New Roman" w:hAnsi="Times New Roman"/>
          <w:sz w:val="22"/>
          <w:szCs w:val="22"/>
        </w:rPr>
        <w:t xml:space="preserve"> a zvýšenia hladín TSH v sére. </w:t>
      </w:r>
      <w:r w:rsidR="002005A6" w:rsidRPr="007A1CAE">
        <w:rPr>
          <w:rFonts w:ascii="Times New Roman" w:hAnsi="Times New Roman"/>
          <w:sz w:val="22"/>
          <w:szCs w:val="22"/>
        </w:rPr>
        <w:t xml:space="preserve">Kvôli účinku </w:t>
      </w:r>
      <w:proofErr w:type="spellStart"/>
      <w:r w:rsidR="002005A6" w:rsidRPr="007A1CAE">
        <w:rPr>
          <w:rFonts w:ascii="Times New Roman" w:hAnsi="Times New Roman"/>
          <w:sz w:val="22"/>
          <w:szCs w:val="22"/>
        </w:rPr>
        <w:t>amiodar</w:t>
      </w:r>
      <w:r w:rsidR="000353F8">
        <w:rPr>
          <w:rFonts w:ascii="Times New Roman" w:hAnsi="Times New Roman"/>
          <w:sz w:val="22"/>
          <w:szCs w:val="22"/>
        </w:rPr>
        <w:t>ó</w:t>
      </w:r>
      <w:r w:rsidR="002005A6" w:rsidRPr="007A1CAE">
        <w:rPr>
          <w:rFonts w:ascii="Times New Roman" w:hAnsi="Times New Roman"/>
          <w:sz w:val="22"/>
          <w:szCs w:val="22"/>
        </w:rPr>
        <w:t>nu</w:t>
      </w:r>
      <w:proofErr w:type="spellEnd"/>
      <w:r w:rsidR="002005A6" w:rsidRPr="007A1CAE">
        <w:rPr>
          <w:rFonts w:ascii="Times New Roman" w:hAnsi="Times New Roman"/>
          <w:sz w:val="22"/>
          <w:szCs w:val="22"/>
        </w:rPr>
        <w:t xml:space="preserve"> na funkciu štítnej žľazy môže byť </w:t>
      </w:r>
      <w:r w:rsidR="00432DB9">
        <w:rPr>
          <w:rFonts w:ascii="Times New Roman" w:hAnsi="Times New Roman"/>
          <w:sz w:val="22"/>
          <w:szCs w:val="22"/>
        </w:rPr>
        <w:t>potrebné</w:t>
      </w:r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r w:rsidR="002005A6" w:rsidRPr="007A1CAE">
        <w:rPr>
          <w:rFonts w:ascii="Times New Roman" w:hAnsi="Times New Roman"/>
          <w:sz w:val="22"/>
          <w:szCs w:val="22"/>
        </w:rPr>
        <w:t xml:space="preserve">upraviť dávku </w:t>
      </w:r>
      <w:proofErr w:type="spellStart"/>
      <w:r w:rsidR="000E7EA9" w:rsidRPr="007A1CAE">
        <w:rPr>
          <w:rFonts w:ascii="Times New Roman" w:hAnsi="Times New Roman"/>
          <w:sz w:val="22"/>
          <w:szCs w:val="22"/>
        </w:rPr>
        <w:t>L-Thyroxinu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 xml:space="preserve"> 125 </w:t>
      </w:r>
      <w:proofErr w:type="spellStart"/>
      <w:r w:rsidR="000E7EA9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2005A6" w:rsidRPr="007A1CAE">
        <w:rPr>
          <w:rFonts w:ascii="Times New Roman" w:hAnsi="Times New Roman"/>
          <w:sz w:val="22"/>
          <w:szCs w:val="22"/>
        </w:rPr>
        <w:t>.</w:t>
      </w:r>
    </w:p>
    <w:p w14:paraId="47097FFA" w14:textId="77777777" w:rsidR="00D81BFF" w:rsidRPr="007A1CAE" w:rsidRDefault="00D81BFF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27F8531" w14:textId="4294A000" w:rsidR="00D81BFF" w:rsidRPr="007A1CAE" w:rsidRDefault="00D81BFF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Salicyláty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dikumarol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furosemid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klofibrá</w:t>
      </w:r>
      <w:r w:rsidR="00E210A1">
        <w:rPr>
          <w:rFonts w:ascii="Times New Roman" w:hAnsi="Times New Roman"/>
          <w:i/>
          <w:iCs/>
          <w:sz w:val="22"/>
          <w:szCs w:val="22"/>
        </w:rPr>
        <w:t>t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353BF9CD" w14:textId="3A719F95" w:rsidR="0018446E" w:rsidRDefault="0018446E" w:rsidP="0018446E">
      <w:pPr>
        <w:pStyle w:val="Zarkazkladnhotextu2"/>
        <w:ind w:left="0"/>
        <w:rPr>
          <w:rFonts w:ascii="Times New Roman" w:hAnsi="Times New Roman"/>
          <w:i w:val="0"/>
          <w:sz w:val="22"/>
          <w:szCs w:val="22"/>
        </w:rPr>
      </w:pPr>
      <w:proofErr w:type="spellStart"/>
      <w:r>
        <w:rPr>
          <w:rFonts w:ascii="Times New Roman" w:hAnsi="Times New Roman"/>
          <w:i w:val="0"/>
          <w:sz w:val="22"/>
          <w:szCs w:val="22"/>
        </w:rPr>
        <w:t>Levotyroxín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 môže byť vytesnený z väzobných miest v plazmatických proteínoch </w:t>
      </w:r>
      <w:proofErr w:type="spellStart"/>
      <w:r>
        <w:rPr>
          <w:rFonts w:ascii="Times New Roman" w:hAnsi="Times New Roman"/>
          <w:i w:val="0"/>
          <w:sz w:val="22"/>
          <w:szCs w:val="22"/>
        </w:rPr>
        <w:t>salicylátmi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 (najmä vyššími dávkami ako </w:t>
      </w:r>
      <w:r w:rsidR="007753E1" w:rsidRPr="002708C9">
        <w:rPr>
          <w:rFonts w:ascii="Times New Roman" w:hAnsi="Times New Roman"/>
          <w:i w:val="0"/>
          <w:sz w:val="22"/>
          <w:szCs w:val="22"/>
        </w:rPr>
        <w:t>1</w:t>
      </w:r>
      <w:r w:rsidRPr="002708C9">
        <w:rPr>
          <w:rFonts w:ascii="Times New Roman" w:hAnsi="Times New Roman"/>
          <w:i w:val="0"/>
          <w:sz w:val="22"/>
          <w:szCs w:val="22"/>
        </w:rPr>
        <w:t xml:space="preserve">,0 g/deň), </w:t>
      </w:r>
      <w:proofErr w:type="spellStart"/>
      <w:r w:rsidRPr="002708C9">
        <w:rPr>
          <w:rFonts w:ascii="Times New Roman" w:hAnsi="Times New Roman"/>
          <w:i w:val="0"/>
          <w:sz w:val="22"/>
          <w:szCs w:val="22"/>
        </w:rPr>
        <w:t>dikumarolom</w:t>
      </w:r>
      <w:proofErr w:type="spellEnd"/>
      <w:r w:rsidRPr="002708C9">
        <w:rPr>
          <w:rFonts w:ascii="Times New Roman" w:hAnsi="Times New Roman"/>
          <w:i w:val="0"/>
          <w:sz w:val="22"/>
          <w:szCs w:val="22"/>
        </w:rPr>
        <w:t>, vysokými dávkami (50</w:t>
      </w:r>
      <w:r w:rsidR="007753E1" w:rsidRPr="002708C9">
        <w:rPr>
          <w:rFonts w:ascii="Times New Roman" w:hAnsi="Times New Roman"/>
          <w:i w:val="0"/>
          <w:sz w:val="22"/>
          <w:szCs w:val="22"/>
        </w:rPr>
        <w:t>0</w:t>
      </w:r>
      <w:r w:rsidRPr="002708C9">
        <w:rPr>
          <w:rFonts w:ascii="Times New Roman" w:hAnsi="Times New Roman"/>
          <w:i w:val="0"/>
          <w:sz w:val="22"/>
          <w:szCs w:val="22"/>
        </w:rPr>
        <w:t xml:space="preserve"> mg</w:t>
      </w:r>
      <w:r w:rsidRPr="002708C9">
        <w:rPr>
          <w:rFonts w:ascii="Times New Roman" w:hAnsi="Times New Roman"/>
          <w:i w:val="0"/>
          <w:sz w:val="22"/>
          <w:szCs w:val="22"/>
          <w:highlight w:val="cyan"/>
        </w:rPr>
        <w:t>)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 w:val="0"/>
          <w:sz w:val="22"/>
          <w:szCs w:val="22"/>
        </w:rPr>
        <w:t>klofibrátom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 a inými substanciami. To môže spôsobiť počiatočné prechodné zvýšenie voľných </w:t>
      </w:r>
      <w:proofErr w:type="spellStart"/>
      <w:r>
        <w:rPr>
          <w:rFonts w:ascii="Times New Roman" w:hAnsi="Times New Roman"/>
          <w:i w:val="0"/>
          <w:sz w:val="22"/>
          <w:szCs w:val="22"/>
        </w:rPr>
        <w:t>tyreoidálnych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 hormónov, </w:t>
      </w:r>
      <w:r w:rsidR="00E210A1">
        <w:rPr>
          <w:rFonts w:ascii="Times New Roman" w:hAnsi="Times New Roman"/>
          <w:i w:val="0"/>
          <w:sz w:val="22"/>
          <w:szCs w:val="22"/>
        </w:rPr>
        <w:t xml:space="preserve">po ktorom nasleduje celkový pokles </w:t>
      </w:r>
      <w:r>
        <w:rPr>
          <w:rFonts w:ascii="Times New Roman" w:hAnsi="Times New Roman"/>
          <w:i w:val="0"/>
          <w:sz w:val="22"/>
          <w:szCs w:val="22"/>
        </w:rPr>
        <w:t xml:space="preserve">hladiny </w:t>
      </w:r>
      <w:proofErr w:type="spellStart"/>
      <w:r>
        <w:rPr>
          <w:rFonts w:ascii="Times New Roman" w:hAnsi="Times New Roman"/>
          <w:i w:val="0"/>
          <w:sz w:val="22"/>
          <w:szCs w:val="22"/>
        </w:rPr>
        <w:t>tyreoidálnych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 hormónov.</w:t>
      </w:r>
    </w:p>
    <w:p w14:paraId="18BDEBFC" w14:textId="77777777" w:rsidR="00D81BFF" w:rsidRPr="007A1CAE" w:rsidRDefault="00D81BFF" w:rsidP="00706D78">
      <w:pPr>
        <w:pStyle w:val="Zarkazkladnhotextu2"/>
        <w:ind w:left="0"/>
        <w:rPr>
          <w:rFonts w:ascii="Times New Roman" w:hAnsi="Times New Roman"/>
          <w:sz w:val="22"/>
          <w:szCs w:val="22"/>
        </w:rPr>
      </w:pPr>
    </w:p>
    <w:p w14:paraId="4912D559" w14:textId="401FF67D" w:rsidR="00D81BFF" w:rsidRPr="007A1CAE" w:rsidRDefault="00D81BFF" w:rsidP="00706D78">
      <w:pPr>
        <w:pStyle w:val="Zarkazkladnhotextu2"/>
        <w:ind w:left="0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Kontraceptíva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s obsahom estrogénu</w:t>
      </w:r>
      <w:r w:rsidR="00432DB9">
        <w:rPr>
          <w:rFonts w:ascii="Times New Roman" w:hAnsi="Times New Roman"/>
          <w:sz w:val="22"/>
          <w:szCs w:val="22"/>
        </w:rPr>
        <w:t>,</w:t>
      </w:r>
      <w:r w:rsidR="006A42CD">
        <w:rPr>
          <w:rFonts w:ascii="Times New Roman" w:hAnsi="Times New Roman"/>
          <w:sz w:val="22"/>
          <w:szCs w:val="22"/>
        </w:rPr>
        <w:t xml:space="preserve"> </w:t>
      </w:r>
      <w:r w:rsidR="00FC194A">
        <w:rPr>
          <w:rFonts w:ascii="Times New Roman" w:hAnsi="Times New Roman"/>
          <w:sz w:val="22"/>
          <w:szCs w:val="22"/>
        </w:rPr>
        <w:t>lieky na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postmenopauzáln</w:t>
      </w:r>
      <w:r w:rsidR="00FC194A">
        <w:rPr>
          <w:rFonts w:ascii="Times New Roman" w:hAnsi="Times New Roman"/>
          <w:sz w:val="22"/>
          <w:szCs w:val="22"/>
        </w:rPr>
        <w:t>u</w:t>
      </w:r>
      <w:proofErr w:type="spellEnd"/>
      <w:r w:rsidR="00FC194A">
        <w:rPr>
          <w:rFonts w:ascii="Times New Roman" w:hAnsi="Times New Roman"/>
          <w:sz w:val="22"/>
          <w:szCs w:val="22"/>
        </w:rPr>
        <w:t xml:space="preserve"> hormonálnu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F2C1A" w:rsidRPr="007A1CAE">
        <w:rPr>
          <w:rFonts w:ascii="Times New Roman" w:hAnsi="Times New Roman"/>
          <w:sz w:val="22"/>
          <w:szCs w:val="22"/>
        </w:rPr>
        <w:t>substitučn</w:t>
      </w:r>
      <w:r w:rsidR="005D3BE1">
        <w:rPr>
          <w:rFonts w:ascii="Times New Roman" w:hAnsi="Times New Roman"/>
          <w:sz w:val="22"/>
          <w:szCs w:val="22"/>
        </w:rPr>
        <w:t>ú</w:t>
      </w:r>
      <w:r w:rsidR="00E210A1">
        <w:rPr>
          <w:rFonts w:ascii="Times New Roman" w:hAnsi="Times New Roman"/>
          <w:sz w:val="22"/>
          <w:szCs w:val="22"/>
        </w:rPr>
        <w:t xml:space="preserve"> </w:t>
      </w:r>
      <w:r w:rsidR="005D3BE1">
        <w:rPr>
          <w:rFonts w:ascii="Times New Roman" w:hAnsi="Times New Roman"/>
          <w:sz w:val="22"/>
          <w:szCs w:val="22"/>
        </w:rPr>
        <w:t>terapiu</w:t>
      </w:r>
      <w:r w:rsidRPr="007A1CAE">
        <w:rPr>
          <w:rFonts w:ascii="Times New Roman" w:hAnsi="Times New Roman"/>
          <w:sz w:val="22"/>
          <w:szCs w:val="22"/>
        </w:rPr>
        <w:t>:</w:t>
      </w:r>
    </w:p>
    <w:p w14:paraId="536E710E" w14:textId="77777777" w:rsidR="0018446E" w:rsidRDefault="0018446E" w:rsidP="0018446E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Potreba </w:t>
      </w:r>
      <w:proofErr w:type="spellStart"/>
      <w:r>
        <w:rPr>
          <w:rFonts w:ascii="Times New Roman" w:hAnsi="Times New Roman"/>
          <w:bCs/>
          <w:sz w:val="22"/>
          <w:szCs w:val="22"/>
        </w:rPr>
        <w:t>levotyroxínu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sa môže zvýšiť počas užívania </w:t>
      </w:r>
      <w:proofErr w:type="spellStart"/>
      <w:r>
        <w:rPr>
          <w:rFonts w:ascii="Times New Roman" w:hAnsi="Times New Roman"/>
          <w:bCs/>
          <w:sz w:val="22"/>
          <w:szCs w:val="22"/>
        </w:rPr>
        <w:t>kontraceptív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 obsahom estrogénu alebo počas </w:t>
      </w:r>
      <w:proofErr w:type="spellStart"/>
      <w:r>
        <w:rPr>
          <w:rFonts w:ascii="Times New Roman" w:hAnsi="Times New Roman"/>
          <w:bCs/>
          <w:sz w:val="22"/>
          <w:szCs w:val="22"/>
        </w:rPr>
        <w:t>postmenopauzálnej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hormonálnej substitučnej terapie. Môže byť zvýšená väzba </w:t>
      </w:r>
      <w:proofErr w:type="spellStart"/>
      <w:r>
        <w:rPr>
          <w:rFonts w:ascii="Times New Roman" w:hAnsi="Times New Roman"/>
          <w:bCs/>
          <w:sz w:val="22"/>
          <w:szCs w:val="22"/>
        </w:rPr>
        <w:t>levotyroxínu</w:t>
      </w:r>
      <w:proofErr w:type="spellEnd"/>
      <w:r>
        <w:rPr>
          <w:rFonts w:ascii="Times New Roman" w:hAnsi="Times New Roman"/>
          <w:bCs/>
          <w:sz w:val="22"/>
          <w:szCs w:val="22"/>
        </w:rPr>
        <w:t>, čo môže viesť k diagnostickým a terapeutickým chybám.</w:t>
      </w:r>
    </w:p>
    <w:p w14:paraId="0B5A88C2" w14:textId="77777777" w:rsidR="00D81BFF" w:rsidRPr="007A1CAE" w:rsidRDefault="00D81BFF" w:rsidP="00706D78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B3D360C" w14:textId="77777777" w:rsidR="005F2C1A" w:rsidRPr="007A1CAE" w:rsidRDefault="005F2C1A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Sertralín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chlorochín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/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proguanil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664F2D58" w14:textId="68FA3675" w:rsidR="005F2C1A" w:rsidRPr="007A1CAE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Tieto látky znižujú</w:t>
      </w:r>
      <w:r w:rsidR="005F2C1A" w:rsidRPr="007A1CAE">
        <w:rPr>
          <w:rFonts w:ascii="Times New Roman" w:hAnsi="Times New Roman"/>
          <w:sz w:val="22"/>
          <w:szCs w:val="22"/>
        </w:rPr>
        <w:t xml:space="preserve"> účinnosť </w:t>
      </w:r>
      <w:proofErr w:type="spellStart"/>
      <w:r w:rsidR="005F2C1A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5F2C1A" w:rsidRPr="007A1CAE">
        <w:rPr>
          <w:rFonts w:ascii="Times New Roman" w:hAnsi="Times New Roman"/>
          <w:sz w:val="22"/>
          <w:szCs w:val="22"/>
        </w:rPr>
        <w:t xml:space="preserve"> a zvyšujú hladinu TSH v sére.</w:t>
      </w:r>
      <w:r w:rsidR="00FA6BEF">
        <w:rPr>
          <w:rFonts w:ascii="Times New Roman" w:hAnsi="Times New Roman"/>
          <w:sz w:val="22"/>
          <w:szCs w:val="22"/>
        </w:rPr>
        <w:t xml:space="preserve"> 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Odpor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úč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a sa kontrola hlad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í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n horm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ó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nov 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š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t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í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tnej 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žľ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azy v krvi. M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ôž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e by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ť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potrebn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á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ú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prava d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á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vky </w:t>
      </w:r>
      <w:proofErr w:type="spellStart"/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L-Thyrox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í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nu</w:t>
      </w:r>
      <w:proofErr w:type="spellEnd"/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125 </w:t>
      </w:r>
      <w:proofErr w:type="spellStart"/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Berlin-Chemie</w:t>
      </w:r>
      <w:proofErr w:type="spellEnd"/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(pozri tie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ž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č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>as</w:t>
      </w:r>
      <w:r w:rsidR="00FA6BEF" w:rsidRPr="002708C9">
        <w:rPr>
          <w:rStyle w:val="tlid-translation"/>
          <w:rFonts w:ascii="Times New Roman" w:hAnsi="Times New Roman" w:hint="eastAsia"/>
          <w:color w:val="777777"/>
          <w:sz w:val="22"/>
          <w:szCs w:val="22"/>
        </w:rPr>
        <w:t>ť</w:t>
      </w:r>
      <w:r w:rsidR="00FA6BEF" w:rsidRPr="002708C9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4.4).</w:t>
      </w:r>
      <w:r w:rsidR="00FA6BEF">
        <w:rPr>
          <w:rStyle w:val="tlid-translation"/>
          <w:rFonts w:ascii="Times New Roman" w:hAnsi="Times New Roman"/>
          <w:color w:val="777777"/>
          <w:sz w:val="22"/>
          <w:szCs w:val="22"/>
        </w:rPr>
        <w:t xml:space="preserve"> </w:t>
      </w:r>
    </w:p>
    <w:p w14:paraId="068B71A6" w14:textId="77777777" w:rsidR="005929DE" w:rsidRPr="007A1CAE" w:rsidRDefault="005929DE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2E939744" w14:textId="6208037D" w:rsidR="008018B0" w:rsidRPr="007A1CAE" w:rsidRDefault="005F2C1A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>L</w:t>
      </w:r>
      <w:r w:rsidR="008018B0" w:rsidRPr="007A1CAE">
        <w:rPr>
          <w:rFonts w:ascii="Times New Roman" w:hAnsi="Times New Roman"/>
          <w:i/>
          <w:iCs/>
          <w:sz w:val="22"/>
          <w:szCs w:val="22"/>
        </w:rPr>
        <w:t>ieky, ktoré indukujú aktivitu enzýmov:</w:t>
      </w:r>
    </w:p>
    <w:p w14:paraId="6F1EDAC0" w14:textId="1544D050" w:rsidR="008018B0" w:rsidRPr="007A1CAE" w:rsidRDefault="005F2C1A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Barbituráty</w:t>
      </w:r>
      <w:r w:rsidR="00267071"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rifampicín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karbamazepín</w:t>
      </w:r>
      <w:proofErr w:type="spellEnd"/>
      <w:r w:rsidR="0018446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18446E">
        <w:rPr>
          <w:rFonts w:ascii="Times New Roman" w:hAnsi="Times New Roman"/>
          <w:sz w:val="22"/>
          <w:szCs w:val="22"/>
        </w:rPr>
        <w:t>fenytoín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a ďalšie lieky s</w:t>
      </w:r>
      <w:r w:rsidR="00FC194A">
        <w:rPr>
          <w:rFonts w:ascii="Times New Roman" w:hAnsi="Times New Roman"/>
          <w:sz w:val="22"/>
          <w:szCs w:val="22"/>
        </w:rPr>
        <w:t xml:space="preserve"> indukčným </w:t>
      </w:r>
      <w:r w:rsidR="00267071" w:rsidRPr="007A1CAE">
        <w:rPr>
          <w:rFonts w:ascii="Times New Roman" w:hAnsi="Times New Roman"/>
          <w:sz w:val="22"/>
          <w:szCs w:val="22"/>
        </w:rPr>
        <w:t xml:space="preserve">účinkom na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hepatálne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enzýmy m</w:t>
      </w:r>
      <w:r w:rsidR="008018B0" w:rsidRPr="007A1CAE">
        <w:rPr>
          <w:rFonts w:ascii="Times New Roman" w:hAnsi="Times New Roman"/>
          <w:sz w:val="22"/>
          <w:szCs w:val="22"/>
        </w:rPr>
        <w:t xml:space="preserve">ôžu zvyšovať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hepatálny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klírens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18446E">
        <w:rPr>
          <w:rFonts w:ascii="Times New Roman" w:hAnsi="Times New Roman"/>
          <w:sz w:val="22"/>
          <w:szCs w:val="22"/>
        </w:rPr>
        <w:t xml:space="preserve"> a viesť ku zníženiu plazmatických hladín</w:t>
      </w:r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56A7D5E7" w14:textId="77777777" w:rsidR="00267071" w:rsidRPr="007A1CAE" w:rsidRDefault="00267071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7FC5F1DB" w14:textId="41DB2F35" w:rsidR="00267071" w:rsidRPr="007A1CAE" w:rsidRDefault="00267071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 xml:space="preserve">Inhibítory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proteáz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7727DB2F" w14:textId="687ABC35" w:rsidR="00267071" w:rsidRPr="007A1CAE" w:rsidRDefault="00267071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Pri sú</w:t>
      </w:r>
      <w:r w:rsidR="006F4B4A">
        <w:rPr>
          <w:rFonts w:ascii="Times New Roman" w:hAnsi="Times New Roman"/>
          <w:sz w:val="22"/>
          <w:szCs w:val="22"/>
        </w:rPr>
        <w:t>bežnej</w:t>
      </w:r>
      <w:r w:rsidRPr="007A1CAE">
        <w:rPr>
          <w:rFonts w:ascii="Times New Roman" w:hAnsi="Times New Roman"/>
          <w:sz w:val="22"/>
          <w:szCs w:val="22"/>
        </w:rPr>
        <w:t xml:space="preserve"> terapii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sz w:val="22"/>
          <w:szCs w:val="22"/>
        </w:rPr>
        <w:t>lopinavirom</w:t>
      </w:r>
      <w:proofErr w:type="spellEnd"/>
      <w:r w:rsidRPr="007A1CAE">
        <w:rPr>
          <w:rFonts w:ascii="Times New Roman" w:hAnsi="Times New Roman"/>
          <w:sz w:val="22"/>
          <w:szCs w:val="22"/>
        </w:rPr>
        <w:t>/</w:t>
      </w:r>
      <w:proofErr w:type="spellStart"/>
      <w:r w:rsidRPr="007A1CAE">
        <w:rPr>
          <w:rFonts w:ascii="Times New Roman" w:hAnsi="Times New Roman"/>
          <w:sz w:val="22"/>
          <w:szCs w:val="22"/>
        </w:rPr>
        <w:t>ritonavirom</w:t>
      </w:r>
      <w:proofErr w:type="spellEnd"/>
      <w:r w:rsidR="005929DE" w:rsidRPr="007A1CAE">
        <w:rPr>
          <w:rFonts w:ascii="Times New Roman" w:hAnsi="Times New Roman"/>
          <w:sz w:val="22"/>
          <w:szCs w:val="22"/>
        </w:rPr>
        <w:t xml:space="preserve"> bolo pozorované zníženie </w:t>
      </w:r>
      <w:r w:rsidR="009B6254">
        <w:rPr>
          <w:rFonts w:ascii="Times New Roman" w:hAnsi="Times New Roman"/>
          <w:sz w:val="22"/>
          <w:szCs w:val="22"/>
        </w:rPr>
        <w:t>ú</w:t>
      </w:r>
      <w:r w:rsidRPr="007A1CAE">
        <w:rPr>
          <w:rFonts w:ascii="Times New Roman" w:hAnsi="Times New Roman"/>
          <w:sz w:val="22"/>
          <w:szCs w:val="22"/>
        </w:rPr>
        <w:t>činnosti</w:t>
      </w:r>
      <w:r w:rsidR="005929DE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. Preto sa pri sú</w:t>
      </w:r>
      <w:r w:rsidR="006F4B4A">
        <w:rPr>
          <w:rFonts w:ascii="Times New Roman" w:hAnsi="Times New Roman"/>
          <w:sz w:val="22"/>
          <w:szCs w:val="22"/>
        </w:rPr>
        <w:t>bežnej</w:t>
      </w:r>
      <w:r w:rsidRPr="007A1CAE">
        <w:rPr>
          <w:rFonts w:ascii="Times New Roman" w:hAnsi="Times New Roman"/>
          <w:sz w:val="22"/>
          <w:szCs w:val="22"/>
        </w:rPr>
        <w:t xml:space="preserve"> terapii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 inhibítormi </w:t>
      </w:r>
      <w:proofErr w:type="spellStart"/>
      <w:r w:rsidRPr="007A1CAE">
        <w:rPr>
          <w:rFonts w:ascii="Times New Roman" w:hAnsi="Times New Roman"/>
          <w:sz w:val="22"/>
          <w:szCs w:val="22"/>
        </w:rPr>
        <w:t>proteáz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29DE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odporúča dôsledné monitorovanie klini</w:t>
      </w:r>
      <w:r w:rsidR="005929DE" w:rsidRPr="007A1CAE">
        <w:rPr>
          <w:rFonts w:ascii="Times New Roman" w:hAnsi="Times New Roman"/>
          <w:sz w:val="22"/>
          <w:szCs w:val="22"/>
        </w:rPr>
        <w:t>c</w:t>
      </w:r>
      <w:r w:rsidRPr="007A1CAE">
        <w:rPr>
          <w:rFonts w:ascii="Times New Roman" w:hAnsi="Times New Roman"/>
          <w:sz w:val="22"/>
          <w:szCs w:val="22"/>
        </w:rPr>
        <w:t>kých symptómov a funkcie štítnej žľazy.</w:t>
      </w:r>
      <w:r w:rsidR="006E4D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E4D7A">
        <w:rPr>
          <w:rFonts w:ascii="Times New Roman" w:hAnsi="Times New Roman"/>
          <w:sz w:val="22"/>
          <w:szCs w:val="22"/>
        </w:rPr>
        <w:t>T</w:t>
      </w:r>
      <w:r w:rsidR="006E4D7A" w:rsidRPr="009E2E4D">
        <w:rPr>
          <w:rFonts w:ascii="Times New Roman" w:hAnsi="Times New Roman"/>
          <w:sz w:val="22"/>
          <w:szCs w:val="22"/>
        </w:rPr>
        <w:t>yreostimulačn</w:t>
      </w:r>
      <w:r w:rsidR="006E4D7A">
        <w:rPr>
          <w:rFonts w:ascii="Times New Roman" w:hAnsi="Times New Roman"/>
          <w:sz w:val="22"/>
          <w:szCs w:val="22"/>
        </w:rPr>
        <w:t>ý</w:t>
      </w:r>
      <w:proofErr w:type="spellEnd"/>
      <w:r w:rsidR="006E4D7A" w:rsidRPr="009E2E4D">
        <w:rPr>
          <w:rFonts w:ascii="Times New Roman" w:hAnsi="Times New Roman"/>
          <w:sz w:val="22"/>
          <w:szCs w:val="22"/>
        </w:rPr>
        <w:t xml:space="preserve"> hormón</w:t>
      </w:r>
      <w:r w:rsidR="006E4D7A">
        <w:rPr>
          <w:rFonts w:ascii="Times New Roman" w:hAnsi="Times New Roman"/>
          <w:sz w:val="22"/>
          <w:szCs w:val="22"/>
        </w:rPr>
        <w:t xml:space="preserve"> (</w:t>
      </w:r>
      <w:r w:rsidR="006E4D7A" w:rsidRPr="004E7CCC">
        <w:rPr>
          <w:rFonts w:ascii="Times New Roman" w:hAnsi="Times New Roman"/>
          <w:sz w:val="22"/>
          <w:szCs w:val="22"/>
        </w:rPr>
        <w:t>TSH</w:t>
      </w:r>
      <w:r w:rsidR="006E4D7A">
        <w:rPr>
          <w:rFonts w:ascii="Times New Roman" w:hAnsi="Times New Roman"/>
          <w:sz w:val="22"/>
          <w:szCs w:val="22"/>
        </w:rPr>
        <w:t xml:space="preserve">) sa má monitorovať u pacientov liečených </w:t>
      </w:r>
      <w:proofErr w:type="spellStart"/>
      <w:r w:rsidR="006E4D7A">
        <w:rPr>
          <w:rFonts w:ascii="Times New Roman" w:hAnsi="Times New Roman"/>
          <w:sz w:val="22"/>
          <w:szCs w:val="22"/>
        </w:rPr>
        <w:t>levotyroxínom</w:t>
      </w:r>
      <w:proofErr w:type="spellEnd"/>
      <w:r w:rsidR="006E4D7A">
        <w:rPr>
          <w:rFonts w:ascii="Times New Roman" w:hAnsi="Times New Roman"/>
          <w:sz w:val="22"/>
          <w:szCs w:val="22"/>
        </w:rPr>
        <w:t xml:space="preserve"> najmenej v prvom mesiaci po začiatku a/alebo po ukončení liečby </w:t>
      </w:r>
      <w:proofErr w:type="spellStart"/>
      <w:r w:rsidR="006E4D7A">
        <w:rPr>
          <w:rFonts w:ascii="Times New Roman" w:hAnsi="Times New Roman"/>
          <w:sz w:val="22"/>
          <w:szCs w:val="22"/>
        </w:rPr>
        <w:t>ritonavi</w:t>
      </w:r>
      <w:r w:rsidR="003A63BA">
        <w:rPr>
          <w:rFonts w:ascii="Times New Roman" w:hAnsi="Times New Roman"/>
          <w:sz w:val="22"/>
          <w:szCs w:val="22"/>
        </w:rPr>
        <w:t>r</w:t>
      </w:r>
      <w:r w:rsidR="006E4D7A">
        <w:rPr>
          <w:rFonts w:ascii="Times New Roman" w:hAnsi="Times New Roman"/>
          <w:sz w:val="22"/>
          <w:szCs w:val="22"/>
        </w:rPr>
        <w:t>om</w:t>
      </w:r>
      <w:proofErr w:type="spellEnd"/>
      <w:r w:rsidR="006E4D7A">
        <w:rPr>
          <w:rFonts w:ascii="Times New Roman" w:hAnsi="Times New Roman"/>
          <w:sz w:val="22"/>
          <w:szCs w:val="22"/>
        </w:rPr>
        <w:t>.</w:t>
      </w:r>
    </w:p>
    <w:p w14:paraId="4F109196" w14:textId="77777777" w:rsidR="005929DE" w:rsidRDefault="005929DE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5AB9F07" w14:textId="77777777" w:rsidR="0018446E" w:rsidRPr="004E7CCC" w:rsidRDefault="0018446E" w:rsidP="0018446E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4E7CCC">
        <w:rPr>
          <w:rFonts w:ascii="Times New Roman" w:hAnsi="Times New Roman"/>
          <w:i/>
          <w:iCs/>
          <w:sz w:val="22"/>
          <w:szCs w:val="22"/>
        </w:rPr>
        <w:t xml:space="preserve">Inhibítory </w:t>
      </w:r>
      <w:proofErr w:type="spellStart"/>
      <w:r w:rsidRPr="004E7CCC">
        <w:rPr>
          <w:rFonts w:ascii="Times New Roman" w:hAnsi="Times New Roman"/>
          <w:i/>
          <w:iCs/>
          <w:sz w:val="22"/>
          <w:szCs w:val="22"/>
        </w:rPr>
        <w:t>tyrozínkinázy</w:t>
      </w:r>
      <w:proofErr w:type="spellEnd"/>
      <w:r w:rsidRPr="004E7CCC">
        <w:rPr>
          <w:rFonts w:ascii="Times New Roman" w:hAnsi="Times New Roman"/>
          <w:i/>
          <w:iCs/>
          <w:sz w:val="22"/>
          <w:szCs w:val="22"/>
        </w:rPr>
        <w:t>:</w:t>
      </w:r>
    </w:p>
    <w:p w14:paraId="2400832C" w14:textId="246569AD" w:rsidR="0018446E" w:rsidRPr="004E7CCC" w:rsidRDefault="0018446E" w:rsidP="0018446E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Inhibítory </w:t>
      </w:r>
      <w:proofErr w:type="spellStart"/>
      <w:r w:rsidRPr="004E7CCC">
        <w:rPr>
          <w:rFonts w:ascii="Times New Roman" w:hAnsi="Times New Roman"/>
          <w:sz w:val="22"/>
          <w:szCs w:val="22"/>
        </w:rPr>
        <w:t>tyrozínkinázy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napr</w:t>
      </w:r>
      <w:r w:rsidRPr="004E7CCC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4E7CCC">
        <w:rPr>
          <w:rFonts w:ascii="Times New Roman" w:hAnsi="Times New Roman"/>
          <w:sz w:val="22"/>
          <w:szCs w:val="22"/>
        </w:rPr>
        <w:t>imatinib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E7CCC">
        <w:rPr>
          <w:rFonts w:ascii="Times New Roman" w:hAnsi="Times New Roman"/>
          <w:sz w:val="22"/>
          <w:szCs w:val="22"/>
        </w:rPr>
        <w:t>sunitinib</w:t>
      </w:r>
      <w:proofErr w:type="spellEnd"/>
      <w:r w:rsidR="003A63B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A63BA">
        <w:rPr>
          <w:rFonts w:ascii="Times New Roman" w:hAnsi="Times New Roman"/>
          <w:sz w:val="22"/>
          <w:szCs w:val="22"/>
        </w:rPr>
        <w:t>sorafenib</w:t>
      </w:r>
      <w:proofErr w:type="spellEnd"/>
      <w:r w:rsidR="003A63B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A63BA">
        <w:rPr>
          <w:rFonts w:ascii="Times New Roman" w:hAnsi="Times New Roman"/>
          <w:sz w:val="22"/>
          <w:szCs w:val="22"/>
        </w:rPr>
        <w:t>motesanib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) môžu znižovať účinnosť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>. Preto sa odporúča monitorovanie funkcie štítnej žľazy u</w:t>
      </w:r>
      <w:r>
        <w:rPr>
          <w:rFonts w:ascii="Times New Roman" w:hAnsi="Times New Roman"/>
          <w:sz w:val="22"/>
          <w:szCs w:val="22"/>
        </w:rPr>
        <w:t> </w:t>
      </w:r>
      <w:r w:rsidRPr="004E7CCC">
        <w:rPr>
          <w:rFonts w:ascii="Times New Roman" w:hAnsi="Times New Roman"/>
          <w:sz w:val="22"/>
          <w:szCs w:val="22"/>
        </w:rPr>
        <w:t>pacientov</w:t>
      </w:r>
      <w:r>
        <w:rPr>
          <w:rFonts w:ascii="Times New Roman" w:hAnsi="Times New Roman"/>
          <w:sz w:val="22"/>
          <w:szCs w:val="22"/>
        </w:rPr>
        <w:t>.</w:t>
      </w:r>
      <w:r w:rsidRPr="004E7CCC">
        <w:rPr>
          <w:rFonts w:ascii="Times New Roman" w:hAnsi="Times New Roman"/>
          <w:sz w:val="22"/>
          <w:szCs w:val="22"/>
        </w:rPr>
        <w:t xml:space="preserve"> V prípade potreby </w:t>
      </w:r>
      <w:r>
        <w:rPr>
          <w:rFonts w:ascii="Times New Roman" w:hAnsi="Times New Roman"/>
          <w:sz w:val="22"/>
          <w:szCs w:val="22"/>
        </w:rPr>
        <w:t>sa musí</w:t>
      </w:r>
      <w:r w:rsidRPr="004E7CCC">
        <w:rPr>
          <w:rFonts w:ascii="Times New Roman" w:hAnsi="Times New Roman"/>
          <w:sz w:val="22"/>
          <w:szCs w:val="22"/>
        </w:rPr>
        <w:t xml:space="preserve"> upraviť dávkovanie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>.</w:t>
      </w:r>
    </w:p>
    <w:p w14:paraId="64AAC099" w14:textId="77777777" w:rsidR="0018446E" w:rsidRPr="007A1CAE" w:rsidRDefault="0018446E" w:rsidP="00706D78">
      <w:pPr>
        <w:jc w:val="both"/>
        <w:rPr>
          <w:rFonts w:ascii="Times New Roman" w:hAnsi="Times New Roman"/>
          <w:sz w:val="22"/>
          <w:szCs w:val="22"/>
        </w:rPr>
      </w:pPr>
    </w:p>
    <w:p w14:paraId="49ADF68B" w14:textId="32946531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>Sójové produkty:</w:t>
      </w:r>
    </w:p>
    <w:p w14:paraId="1FADFA3F" w14:textId="73A725D5" w:rsidR="00FB411F" w:rsidRPr="007A1CAE" w:rsidRDefault="00E210A1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Produkty obsahujúce sóju </w:t>
      </w:r>
      <w:r w:rsidR="0018446E">
        <w:rPr>
          <w:rFonts w:ascii="Times New Roman" w:hAnsi="Times New Roman"/>
          <w:sz w:val="22"/>
          <w:szCs w:val="22"/>
        </w:rPr>
        <w:t>m</w:t>
      </w:r>
      <w:r w:rsidR="0018446E" w:rsidRPr="007A1CAE">
        <w:rPr>
          <w:rFonts w:ascii="Times New Roman" w:hAnsi="Times New Roman"/>
          <w:sz w:val="22"/>
          <w:szCs w:val="22"/>
        </w:rPr>
        <w:t xml:space="preserve">ôžu </w:t>
      </w:r>
      <w:r w:rsidR="00FC194A">
        <w:rPr>
          <w:rFonts w:ascii="Times New Roman" w:hAnsi="Times New Roman"/>
          <w:sz w:val="22"/>
          <w:szCs w:val="22"/>
        </w:rPr>
        <w:t>znižovať</w:t>
      </w:r>
      <w:r w:rsidR="00FC194A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intestinálnu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absorpciu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</w:t>
      </w:r>
      <w:r w:rsidR="00267071" w:rsidRPr="007A1CAE">
        <w:rPr>
          <w:rFonts w:ascii="Times New Roman" w:hAnsi="Times New Roman"/>
          <w:sz w:val="22"/>
          <w:szCs w:val="22"/>
        </w:rPr>
        <w:t>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. </w:t>
      </w:r>
      <w:r w:rsidR="00267071" w:rsidRPr="007A1CAE">
        <w:rPr>
          <w:rFonts w:ascii="Times New Roman" w:hAnsi="Times New Roman"/>
          <w:sz w:val="22"/>
          <w:szCs w:val="22"/>
        </w:rPr>
        <w:t xml:space="preserve">U detí, ktoré boli liečené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pre vrodenú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hypotyreózu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a mali sójovú diétu</w:t>
      </w:r>
      <w:r>
        <w:rPr>
          <w:rFonts w:ascii="Times New Roman" w:hAnsi="Times New Roman"/>
          <w:sz w:val="22"/>
          <w:szCs w:val="22"/>
        </w:rPr>
        <w:t>,</w:t>
      </w:r>
      <w:r w:rsidR="00267071" w:rsidRPr="007A1CAE">
        <w:rPr>
          <w:rFonts w:ascii="Times New Roman" w:hAnsi="Times New Roman"/>
          <w:sz w:val="22"/>
          <w:szCs w:val="22"/>
        </w:rPr>
        <w:t xml:space="preserve"> bolo pozorované zvýšenie sérovej hladiny TSH. Nezvyčajne vysoké dávky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môžu byť potrebné n</w:t>
      </w:r>
      <w:r w:rsidR="005929DE" w:rsidRPr="007A1CAE">
        <w:rPr>
          <w:rFonts w:ascii="Times New Roman" w:hAnsi="Times New Roman"/>
          <w:sz w:val="22"/>
          <w:szCs w:val="22"/>
        </w:rPr>
        <w:t xml:space="preserve">a dosiahnutie normálnej sérovej </w:t>
      </w:r>
      <w:r w:rsidR="00267071" w:rsidRPr="007A1CAE">
        <w:rPr>
          <w:rFonts w:ascii="Times New Roman" w:hAnsi="Times New Roman"/>
          <w:sz w:val="22"/>
          <w:szCs w:val="22"/>
        </w:rPr>
        <w:t>hladiny T</w:t>
      </w:r>
      <w:r w:rsidR="00267071"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="00267071" w:rsidRPr="007A1CAE">
        <w:rPr>
          <w:rFonts w:ascii="Times New Roman" w:hAnsi="Times New Roman"/>
          <w:sz w:val="22"/>
          <w:szCs w:val="22"/>
        </w:rPr>
        <w:t>a TSH. Dôsledná kontrola sérových hladín T</w:t>
      </w:r>
      <w:r w:rsidR="00267071"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="005929DE" w:rsidRPr="007A1CAE">
        <w:rPr>
          <w:rFonts w:ascii="Times New Roman" w:hAnsi="Times New Roman"/>
          <w:sz w:val="22"/>
          <w:szCs w:val="22"/>
        </w:rPr>
        <w:t>a TSH je nevyhnutná počas a po</w:t>
      </w:r>
      <w:r w:rsidR="005929DE" w:rsidRPr="007A1CAE">
        <w:t xml:space="preserve"> </w:t>
      </w:r>
      <w:r w:rsidR="00267071" w:rsidRPr="007A1CAE">
        <w:rPr>
          <w:rFonts w:ascii="Times New Roman" w:hAnsi="Times New Roman"/>
          <w:sz w:val="22"/>
          <w:szCs w:val="22"/>
        </w:rPr>
        <w:t>skonč</w:t>
      </w:r>
      <w:r w:rsidR="005929DE" w:rsidRPr="007A1CAE">
        <w:rPr>
          <w:rFonts w:ascii="Times New Roman" w:hAnsi="Times New Roman"/>
          <w:sz w:val="22"/>
          <w:szCs w:val="22"/>
        </w:rPr>
        <w:t>e</w:t>
      </w:r>
      <w:r w:rsidR="00267071" w:rsidRPr="007A1CAE">
        <w:rPr>
          <w:rFonts w:ascii="Times New Roman" w:hAnsi="Times New Roman"/>
          <w:sz w:val="22"/>
          <w:szCs w:val="22"/>
        </w:rPr>
        <w:t>ní sójovej diéty</w:t>
      </w:r>
      <w:r>
        <w:rPr>
          <w:rFonts w:cs="Arial"/>
          <w:sz w:val="22"/>
          <w:szCs w:val="22"/>
        </w:rPr>
        <w:t>;</w:t>
      </w:r>
      <w:r w:rsidR="00267071" w:rsidRPr="007A1CAE">
        <w:rPr>
          <w:rFonts w:ascii="Times New Roman" w:hAnsi="Times New Roman"/>
          <w:sz w:val="22"/>
          <w:szCs w:val="22"/>
        </w:rPr>
        <w:t xml:space="preserve"> </w:t>
      </w:r>
      <w:r w:rsidR="005F6371" w:rsidRPr="007A1CAE">
        <w:rPr>
          <w:rFonts w:ascii="Times New Roman" w:hAnsi="Times New Roman"/>
          <w:sz w:val="22"/>
          <w:szCs w:val="22"/>
        </w:rPr>
        <w:t>môže byť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r w:rsidR="00FC194A">
        <w:rPr>
          <w:rFonts w:ascii="Times New Roman" w:hAnsi="Times New Roman"/>
          <w:sz w:val="22"/>
          <w:szCs w:val="22"/>
        </w:rPr>
        <w:t xml:space="preserve">potrebná </w:t>
      </w:r>
      <w:r w:rsidR="008018B0" w:rsidRPr="007A1CAE">
        <w:rPr>
          <w:rFonts w:ascii="Times New Roman" w:hAnsi="Times New Roman"/>
          <w:sz w:val="22"/>
          <w:szCs w:val="22"/>
        </w:rPr>
        <w:t xml:space="preserve">úprava dávky </w:t>
      </w:r>
      <w:proofErr w:type="spellStart"/>
      <w:r w:rsidR="00DD7D1D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7066032C" w14:textId="77777777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</w:p>
    <w:p w14:paraId="1494A958" w14:textId="5F75EE1E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4.6 </w:t>
      </w:r>
      <w:r w:rsidR="005929DE" w:rsidRPr="007A1CA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A7DAF" w:rsidRPr="007A1CAE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="006A7DAF" w:rsidRPr="007A1CAE">
        <w:rPr>
          <w:rFonts w:ascii="Times New Roman" w:hAnsi="Times New Roman"/>
          <w:b/>
          <w:sz w:val="22"/>
          <w:szCs w:val="22"/>
        </w:rPr>
        <w:t>, g</w:t>
      </w:r>
      <w:r w:rsidR="008018B0" w:rsidRPr="007A1CAE">
        <w:rPr>
          <w:rFonts w:ascii="Times New Roman" w:hAnsi="Times New Roman"/>
          <w:b/>
          <w:sz w:val="22"/>
          <w:szCs w:val="22"/>
        </w:rPr>
        <w:t>ravidit</w:t>
      </w:r>
      <w:r w:rsidR="005648EE" w:rsidRPr="007A1CAE">
        <w:rPr>
          <w:rFonts w:ascii="Times New Roman" w:hAnsi="Times New Roman"/>
          <w:b/>
          <w:sz w:val="22"/>
          <w:szCs w:val="22"/>
        </w:rPr>
        <w:t>a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 a laktáci</w:t>
      </w:r>
      <w:r w:rsidR="005648EE" w:rsidRPr="007A1CAE">
        <w:rPr>
          <w:rFonts w:ascii="Times New Roman" w:hAnsi="Times New Roman"/>
          <w:b/>
          <w:sz w:val="22"/>
          <w:szCs w:val="22"/>
        </w:rPr>
        <w:t>a</w:t>
      </w:r>
    </w:p>
    <w:p w14:paraId="26316046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4F4725F6" w14:textId="6E635409" w:rsidR="00DD7D1D" w:rsidRPr="002F028B" w:rsidRDefault="00DD7D1D" w:rsidP="00706D78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Gravidita</w:t>
      </w:r>
      <w:r w:rsidR="00512793">
        <w:rPr>
          <w:rFonts w:ascii="Times New Roman" w:hAnsi="Times New Roman"/>
          <w:sz w:val="22"/>
          <w:szCs w:val="22"/>
          <w:u w:val="single"/>
        </w:rPr>
        <w:t xml:space="preserve"> a </w:t>
      </w:r>
      <w:r w:rsidR="003A63BA">
        <w:rPr>
          <w:rFonts w:ascii="Times New Roman" w:hAnsi="Times New Roman"/>
          <w:sz w:val="22"/>
          <w:szCs w:val="22"/>
          <w:u w:val="single"/>
        </w:rPr>
        <w:t>dojčenie</w:t>
      </w:r>
    </w:p>
    <w:p w14:paraId="7788219C" w14:textId="01FD7680" w:rsidR="00706D78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Terapia hormónmi štítnej žľazy musí byť dôsledná najmä počas gravidity</w:t>
      </w:r>
      <w:r w:rsidR="00E210A1">
        <w:rPr>
          <w:rFonts w:ascii="Times New Roman" w:hAnsi="Times New Roman"/>
          <w:sz w:val="22"/>
          <w:szCs w:val="22"/>
        </w:rPr>
        <w:t xml:space="preserve"> </w:t>
      </w:r>
      <w:r w:rsidR="00512793">
        <w:rPr>
          <w:rFonts w:ascii="Times New Roman" w:hAnsi="Times New Roman"/>
          <w:sz w:val="22"/>
          <w:szCs w:val="22"/>
        </w:rPr>
        <w:t>a laktácie</w:t>
      </w:r>
      <w:r w:rsidRPr="007A1CAE">
        <w:rPr>
          <w:rFonts w:ascii="Times New Roman" w:hAnsi="Times New Roman"/>
          <w:sz w:val="22"/>
          <w:szCs w:val="22"/>
        </w:rPr>
        <w:t xml:space="preserve">. </w:t>
      </w:r>
      <w:r w:rsidR="00512793">
        <w:rPr>
          <w:rFonts w:ascii="Times New Roman" w:hAnsi="Times New Roman"/>
          <w:sz w:val="22"/>
          <w:szCs w:val="22"/>
        </w:rPr>
        <w:t xml:space="preserve">Normálne hodnoty </w:t>
      </w:r>
      <w:proofErr w:type="spellStart"/>
      <w:r w:rsidR="00512793">
        <w:rPr>
          <w:rFonts w:ascii="Times New Roman" w:hAnsi="Times New Roman"/>
          <w:sz w:val="22"/>
          <w:szCs w:val="22"/>
        </w:rPr>
        <w:t>tyreoidálnych</w:t>
      </w:r>
      <w:proofErr w:type="spellEnd"/>
      <w:r w:rsidR="00512793">
        <w:rPr>
          <w:rFonts w:ascii="Times New Roman" w:hAnsi="Times New Roman"/>
          <w:sz w:val="22"/>
          <w:szCs w:val="22"/>
        </w:rPr>
        <w:t xml:space="preserve"> hormónov sú dôležité pre zabezpečenie optimálneho zdravia matky a plodu. </w:t>
      </w:r>
      <w:r w:rsidRPr="007A1CAE">
        <w:rPr>
          <w:rFonts w:ascii="Times New Roman" w:hAnsi="Times New Roman"/>
          <w:sz w:val="22"/>
          <w:szCs w:val="22"/>
        </w:rPr>
        <w:t xml:space="preserve">Napriek ich rozsiahlemu používaniu počas gravidity, nie </w:t>
      </w:r>
      <w:r w:rsidR="00FC194A">
        <w:rPr>
          <w:rFonts w:ascii="Times New Roman" w:hAnsi="Times New Roman"/>
          <w:sz w:val="22"/>
          <w:szCs w:val="22"/>
        </w:rPr>
        <w:t>sú doteraz</w:t>
      </w:r>
      <w:r w:rsidR="00FC194A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znám</w:t>
      </w:r>
      <w:r w:rsidR="00FC194A">
        <w:rPr>
          <w:rFonts w:ascii="Times New Roman" w:hAnsi="Times New Roman"/>
          <w:sz w:val="22"/>
          <w:szCs w:val="22"/>
        </w:rPr>
        <w:t>e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DD7D1D" w:rsidRPr="007A1CAE">
        <w:rPr>
          <w:rFonts w:ascii="Times New Roman" w:hAnsi="Times New Roman"/>
          <w:sz w:val="22"/>
          <w:szCs w:val="22"/>
        </w:rPr>
        <w:t>nežiaduc</w:t>
      </w:r>
      <w:r w:rsidR="00FC194A">
        <w:rPr>
          <w:rFonts w:ascii="Times New Roman" w:hAnsi="Times New Roman"/>
          <w:sz w:val="22"/>
          <w:szCs w:val="22"/>
        </w:rPr>
        <w:t>e</w:t>
      </w:r>
      <w:r w:rsidR="00DD7D1D" w:rsidRPr="007A1CAE">
        <w:rPr>
          <w:rFonts w:ascii="Times New Roman" w:hAnsi="Times New Roman"/>
          <w:sz w:val="22"/>
          <w:szCs w:val="22"/>
        </w:rPr>
        <w:t xml:space="preserve"> účink</w:t>
      </w:r>
      <w:r w:rsidR="00FC194A">
        <w:rPr>
          <w:rFonts w:ascii="Times New Roman" w:hAnsi="Times New Roman"/>
          <w:sz w:val="22"/>
          <w:szCs w:val="22"/>
        </w:rPr>
        <w:t>y</w:t>
      </w:r>
      <w:r w:rsidR="00DD7D1D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7D1D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DD7D1D" w:rsidRPr="007A1CAE">
        <w:rPr>
          <w:rFonts w:ascii="Times New Roman" w:hAnsi="Times New Roman"/>
          <w:sz w:val="22"/>
          <w:szCs w:val="22"/>
        </w:rPr>
        <w:t xml:space="preserve"> na </w:t>
      </w:r>
      <w:r w:rsidR="00FC194A">
        <w:rPr>
          <w:rFonts w:ascii="Times New Roman" w:hAnsi="Times New Roman"/>
          <w:sz w:val="22"/>
          <w:szCs w:val="22"/>
        </w:rPr>
        <w:t xml:space="preserve">priebeh </w:t>
      </w:r>
      <w:r w:rsidR="000353F8">
        <w:rPr>
          <w:rFonts w:ascii="Times New Roman" w:hAnsi="Times New Roman"/>
          <w:sz w:val="22"/>
          <w:szCs w:val="22"/>
        </w:rPr>
        <w:t>gravidit</w:t>
      </w:r>
      <w:r w:rsidR="00FC194A">
        <w:rPr>
          <w:rFonts w:ascii="Times New Roman" w:hAnsi="Times New Roman"/>
          <w:sz w:val="22"/>
          <w:szCs w:val="22"/>
        </w:rPr>
        <w:t>y</w:t>
      </w:r>
      <w:r w:rsidR="00DD7D1D" w:rsidRPr="007A1CAE">
        <w:rPr>
          <w:rFonts w:ascii="Times New Roman" w:hAnsi="Times New Roman"/>
          <w:sz w:val="22"/>
          <w:szCs w:val="22"/>
        </w:rPr>
        <w:t xml:space="preserve"> alebo</w:t>
      </w:r>
      <w:r w:rsidR="00FC194A">
        <w:rPr>
          <w:rFonts w:ascii="Times New Roman" w:hAnsi="Times New Roman"/>
          <w:sz w:val="22"/>
          <w:szCs w:val="22"/>
        </w:rPr>
        <w:t xml:space="preserve"> na</w:t>
      </w:r>
      <w:r w:rsidR="00DD7D1D" w:rsidRPr="007A1CAE">
        <w:rPr>
          <w:rFonts w:ascii="Times New Roman" w:hAnsi="Times New Roman"/>
          <w:sz w:val="22"/>
          <w:szCs w:val="22"/>
        </w:rPr>
        <w:t xml:space="preserve"> zdravie </w:t>
      </w:r>
      <w:r w:rsidRPr="007A1CAE">
        <w:rPr>
          <w:rFonts w:ascii="Times New Roman" w:hAnsi="Times New Roman"/>
          <w:sz w:val="22"/>
          <w:szCs w:val="22"/>
        </w:rPr>
        <w:t>plodu</w:t>
      </w:r>
      <w:r w:rsidR="00DD7D1D" w:rsidRPr="007A1CAE">
        <w:rPr>
          <w:rFonts w:ascii="Times New Roman" w:hAnsi="Times New Roman"/>
          <w:sz w:val="22"/>
          <w:szCs w:val="22"/>
        </w:rPr>
        <w:t xml:space="preserve"> či novorodenca</w:t>
      </w:r>
      <w:r w:rsidRPr="007A1CAE">
        <w:rPr>
          <w:rFonts w:ascii="Times New Roman" w:hAnsi="Times New Roman"/>
          <w:sz w:val="22"/>
          <w:szCs w:val="22"/>
        </w:rPr>
        <w:t>.</w:t>
      </w:r>
      <w:r w:rsidR="00512793">
        <w:rPr>
          <w:rFonts w:ascii="Times New Roman" w:hAnsi="Times New Roman"/>
          <w:sz w:val="22"/>
          <w:szCs w:val="22"/>
        </w:rPr>
        <w:t xml:space="preserve"> </w:t>
      </w:r>
      <w:r w:rsidR="00512793" w:rsidRPr="004E7CCC">
        <w:rPr>
          <w:rFonts w:ascii="Times New Roman" w:hAnsi="Times New Roman"/>
          <w:sz w:val="22"/>
          <w:szCs w:val="22"/>
        </w:rPr>
        <w:t xml:space="preserve">Množstvo hormónov štítnej žľazy, ktoré sa vylučuje do materského mlieka počas </w:t>
      </w:r>
      <w:r w:rsidR="00512793">
        <w:rPr>
          <w:rFonts w:ascii="Times New Roman" w:hAnsi="Times New Roman"/>
          <w:sz w:val="22"/>
          <w:szCs w:val="22"/>
        </w:rPr>
        <w:t>laktácie</w:t>
      </w:r>
      <w:r w:rsidR="00512793" w:rsidRPr="004E7CCC">
        <w:rPr>
          <w:rFonts w:ascii="Times New Roman" w:hAnsi="Times New Roman"/>
          <w:sz w:val="22"/>
          <w:szCs w:val="22"/>
        </w:rPr>
        <w:t xml:space="preserve">, dokonca aj pri užívaní vysokých dávok </w:t>
      </w:r>
      <w:proofErr w:type="spellStart"/>
      <w:r w:rsidR="00512793"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="00512793" w:rsidRPr="004E7CCC">
        <w:rPr>
          <w:rFonts w:ascii="Times New Roman" w:hAnsi="Times New Roman"/>
          <w:sz w:val="22"/>
          <w:szCs w:val="22"/>
        </w:rPr>
        <w:t xml:space="preserve">, nedosahuje takú hladinu, aby u novorodenca došlo ku vzniku </w:t>
      </w:r>
      <w:proofErr w:type="spellStart"/>
      <w:r w:rsidR="00512793" w:rsidRPr="004E7CCC">
        <w:rPr>
          <w:rFonts w:ascii="Times New Roman" w:hAnsi="Times New Roman"/>
          <w:sz w:val="22"/>
          <w:szCs w:val="22"/>
        </w:rPr>
        <w:t>hypertyreózy</w:t>
      </w:r>
      <w:proofErr w:type="spellEnd"/>
      <w:r w:rsidR="00512793" w:rsidRPr="004E7CCC">
        <w:rPr>
          <w:rFonts w:ascii="Times New Roman" w:hAnsi="Times New Roman"/>
          <w:sz w:val="22"/>
          <w:szCs w:val="22"/>
        </w:rPr>
        <w:t xml:space="preserve"> alebo ku </w:t>
      </w:r>
      <w:proofErr w:type="spellStart"/>
      <w:r w:rsidR="00512793" w:rsidRPr="004E7CCC">
        <w:rPr>
          <w:rFonts w:ascii="Times New Roman" w:hAnsi="Times New Roman"/>
          <w:sz w:val="22"/>
          <w:szCs w:val="22"/>
        </w:rPr>
        <w:t>supresii</w:t>
      </w:r>
      <w:proofErr w:type="spellEnd"/>
      <w:r w:rsidR="00512793" w:rsidRPr="004E7CCC">
        <w:rPr>
          <w:rFonts w:ascii="Times New Roman" w:hAnsi="Times New Roman"/>
          <w:sz w:val="22"/>
          <w:szCs w:val="22"/>
        </w:rPr>
        <w:t xml:space="preserve"> TSH sekrécie.</w:t>
      </w:r>
    </w:p>
    <w:p w14:paraId="3C7E564F" w14:textId="77777777" w:rsidR="00706D78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5C1D942" w14:textId="185DB708" w:rsidR="008018B0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gravidity môže byť </w:t>
      </w:r>
      <w:r w:rsidR="00104792" w:rsidRPr="007A1CAE">
        <w:rPr>
          <w:rFonts w:ascii="Times New Roman" w:hAnsi="Times New Roman"/>
          <w:sz w:val="22"/>
          <w:szCs w:val="22"/>
        </w:rPr>
        <w:t xml:space="preserve"> zvýšená potreba </w:t>
      </w:r>
      <w:proofErr w:type="spellStart"/>
      <w:r w:rsidR="00104792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104792" w:rsidRPr="007A1CAE">
        <w:rPr>
          <w:rFonts w:ascii="Times New Roman" w:hAnsi="Times New Roman"/>
          <w:sz w:val="22"/>
          <w:szCs w:val="22"/>
        </w:rPr>
        <w:t xml:space="preserve"> podmienená hladinou estrogénov. Funkci</w:t>
      </w:r>
      <w:r>
        <w:rPr>
          <w:rFonts w:ascii="Times New Roman" w:hAnsi="Times New Roman"/>
          <w:sz w:val="22"/>
          <w:szCs w:val="22"/>
        </w:rPr>
        <w:t xml:space="preserve">a </w:t>
      </w:r>
      <w:r w:rsidR="00104792" w:rsidRPr="007A1CAE">
        <w:rPr>
          <w:rFonts w:ascii="Times New Roman" w:hAnsi="Times New Roman"/>
          <w:sz w:val="22"/>
          <w:szCs w:val="22"/>
        </w:rPr>
        <w:t xml:space="preserve"> štítnej žľazy</w:t>
      </w:r>
      <w:r>
        <w:rPr>
          <w:rFonts w:ascii="Times New Roman" w:hAnsi="Times New Roman"/>
          <w:sz w:val="22"/>
          <w:szCs w:val="22"/>
        </w:rPr>
        <w:t xml:space="preserve"> má byť preto </w:t>
      </w:r>
      <w:r w:rsidR="00104792" w:rsidRPr="007A1CAE">
        <w:rPr>
          <w:rFonts w:ascii="Times New Roman" w:hAnsi="Times New Roman"/>
          <w:sz w:val="22"/>
          <w:szCs w:val="22"/>
        </w:rPr>
        <w:t xml:space="preserve"> počas </w:t>
      </w:r>
      <w:r w:rsidR="00D6649E">
        <w:rPr>
          <w:rFonts w:ascii="Times New Roman" w:hAnsi="Times New Roman"/>
          <w:sz w:val="22"/>
          <w:szCs w:val="22"/>
        </w:rPr>
        <w:t xml:space="preserve">a po ukončení </w:t>
      </w:r>
      <w:r w:rsidR="000353F8">
        <w:rPr>
          <w:rFonts w:ascii="Times New Roman" w:hAnsi="Times New Roman"/>
          <w:sz w:val="22"/>
          <w:szCs w:val="22"/>
        </w:rPr>
        <w:t>gravidity</w:t>
      </w:r>
      <w:r w:rsidR="00104792" w:rsidRPr="007A1C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kontrolovaná </w:t>
      </w:r>
      <w:r w:rsidR="00104792" w:rsidRPr="007A1CAE">
        <w:rPr>
          <w:rFonts w:ascii="Times New Roman" w:hAnsi="Times New Roman"/>
          <w:sz w:val="22"/>
          <w:szCs w:val="22"/>
        </w:rPr>
        <w:t>a v prípade potreby</w:t>
      </w:r>
      <w:r>
        <w:rPr>
          <w:rFonts w:ascii="Times New Roman" w:hAnsi="Times New Roman"/>
          <w:sz w:val="22"/>
          <w:szCs w:val="22"/>
        </w:rPr>
        <w:t xml:space="preserve"> má byť</w:t>
      </w:r>
      <w:r w:rsidR="00104792" w:rsidRPr="007A1CAE">
        <w:rPr>
          <w:rFonts w:ascii="Times New Roman" w:hAnsi="Times New Roman"/>
          <w:sz w:val="22"/>
          <w:szCs w:val="22"/>
        </w:rPr>
        <w:t xml:space="preserve"> uprav</w:t>
      </w:r>
      <w:r>
        <w:rPr>
          <w:rFonts w:ascii="Times New Roman" w:hAnsi="Times New Roman"/>
          <w:sz w:val="22"/>
          <w:szCs w:val="22"/>
        </w:rPr>
        <w:t>ené</w:t>
      </w:r>
      <w:r w:rsidR="00104792" w:rsidRPr="007A1CAE">
        <w:rPr>
          <w:rFonts w:ascii="Times New Roman" w:hAnsi="Times New Roman"/>
          <w:sz w:val="22"/>
          <w:szCs w:val="22"/>
        </w:rPr>
        <w:t xml:space="preserve"> dávk</w:t>
      </w:r>
      <w:r>
        <w:rPr>
          <w:rFonts w:ascii="Times New Roman" w:hAnsi="Times New Roman"/>
          <w:sz w:val="22"/>
          <w:szCs w:val="22"/>
        </w:rPr>
        <w:t>ovanie hormónov štítnej žľazy.</w:t>
      </w:r>
    </w:p>
    <w:p w14:paraId="08B89A89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D0D4047" w14:textId="3E04F746" w:rsidR="00706D78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Používanie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ako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adjuvansu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pri terapii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hypertyreózy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tyreostatikami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je </w:t>
      </w:r>
      <w:r w:rsidR="00936391">
        <w:rPr>
          <w:rFonts w:ascii="Times New Roman" w:hAnsi="Times New Roman"/>
          <w:sz w:val="22"/>
          <w:szCs w:val="22"/>
        </w:rPr>
        <w:t xml:space="preserve">v </w:t>
      </w:r>
      <w:r w:rsidR="008018B0" w:rsidRPr="007A1CAE">
        <w:rPr>
          <w:rFonts w:ascii="Times New Roman" w:hAnsi="Times New Roman"/>
          <w:sz w:val="22"/>
          <w:szCs w:val="22"/>
        </w:rPr>
        <w:t xml:space="preserve">období </w:t>
      </w:r>
      <w:r w:rsidR="000353F8">
        <w:rPr>
          <w:rFonts w:ascii="Times New Roman" w:hAnsi="Times New Roman"/>
          <w:sz w:val="22"/>
          <w:szCs w:val="22"/>
        </w:rPr>
        <w:t>gravidity</w:t>
      </w:r>
      <w:r w:rsidR="00D15152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kontraindikovan</w:t>
      </w:r>
      <w:r>
        <w:rPr>
          <w:rFonts w:ascii="Times New Roman" w:hAnsi="Times New Roman"/>
          <w:sz w:val="22"/>
          <w:szCs w:val="22"/>
        </w:rPr>
        <w:t>é</w:t>
      </w:r>
      <w:r w:rsidR="008018B0" w:rsidRPr="007A1CAE">
        <w:rPr>
          <w:rFonts w:ascii="Times New Roman" w:hAnsi="Times New Roman"/>
          <w:sz w:val="22"/>
          <w:szCs w:val="22"/>
        </w:rPr>
        <w:t xml:space="preserve">, vzhľadom na nutnosť použitia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tyreostatík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vo vyššej dávke.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Tyreostatiká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na rozdiel od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môžu prechádzať placentárnou bariérou </w:t>
      </w:r>
      <w:r w:rsidR="00104792" w:rsidRPr="007A1CAE">
        <w:rPr>
          <w:rFonts w:ascii="Times New Roman" w:hAnsi="Times New Roman"/>
          <w:sz w:val="22"/>
          <w:szCs w:val="22"/>
        </w:rPr>
        <w:t xml:space="preserve">v účinnej dávke </w:t>
      </w:r>
      <w:r w:rsidR="008018B0" w:rsidRPr="007A1CAE">
        <w:rPr>
          <w:rFonts w:ascii="Times New Roman" w:hAnsi="Times New Roman"/>
          <w:sz w:val="22"/>
          <w:szCs w:val="22"/>
        </w:rPr>
        <w:t xml:space="preserve">a spôsobiť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hypotyreózu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plodu. </w:t>
      </w:r>
      <w:r w:rsidR="000E6B47">
        <w:rPr>
          <w:rFonts w:ascii="Times New Roman" w:hAnsi="Times New Roman"/>
          <w:sz w:val="22"/>
          <w:szCs w:val="22"/>
        </w:rPr>
        <w:t>Ak</w:t>
      </w:r>
      <w:r w:rsidR="000E6B47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 xml:space="preserve">je u gravidnej ženy diagnostikovaná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hypertyreóza</w:t>
      </w:r>
      <w:proofErr w:type="spellEnd"/>
      <w:r w:rsidR="00F56D75">
        <w:rPr>
          <w:rFonts w:ascii="Times New Roman" w:hAnsi="Times New Roman"/>
          <w:sz w:val="22"/>
          <w:szCs w:val="22"/>
        </w:rPr>
        <w:t>,</w:t>
      </w:r>
      <w:r w:rsidR="008018B0" w:rsidRPr="007A1CAE">
        <w:rPr>
          <w:rFonts w:ascii="Times New Roman" w:hAnsi="Times New Roman"/>
          <w:sz w:val="22"/>
          <w:szCs w:val="22"/>
        </w:rPr>
        <w:t xml:space="preserve"> je možné na terapiu použiť nízke dávky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tyreostatík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v</w:t>
      </w:r>
      <w:r w:rsidR="00CD39ED">
        <w:rPr>
          <w:rFonts w:ascii="Times New Roman" w:hAnsi="Times New Roman"/>
          <w:sz w:val="22"/>
          <w:szCs w:val="22"/>
        </w:rPr>
        <w:t> 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monoterapii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7067BAB5" w14:textId="737CE6DE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672A691" w14:textId="6756A966" w:rsidR="008018B0" w:rsidRPr="007A1CAE" w:rsidRDefault="00FC194A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Počas gravidity</w:t>
      </w:r>
      <w:r w:rsidR="00651EE5">
        <w:rPr>
          <w:rFonts w:ascii="Times New Roman" w:hAnsi="Times New Roman"/>
          <w:sz w:val="22"/>
          <w:szCs w:val="22"/>
        </w:rPr>
        <w:t xml:space="preserve"> a laktácie</w:t>
      </w:r>
      <w:r>
        <w:rPr>
          <w:rFonts w:ascii="Times New Roman" w:hAnsi="Times New Roman"/>
          <w:sz w:val="22"/>
          <w:szCs w:val="22"/>
        </w:rPr>
        <w:t xml:space="preserve"> sa nesmie vykonávať </w:t>
      </w:r>
      <w:proofErr w:type="spellStart"/>
      <w:r>
        <w:rPr>
          <w:rFonts w:ascii="Times New Roman" w:hAnsi="Times New Roman"/>
          <w:sz w:val="22"/>
          <w:szCs w:val="22"/>
        </w:rPr>
        <w:t>s</w:t>
      </w:r>
      <w:r w:rsidR="008018B0" w:rsidRPr="007A1CAE">
        <w:rPr>
          <w:rFonts w:ascii="Times New Roman" w:hAnsi="Times New Roman"/>
          <w:sz w:val="22"/>
          <w:szCs w:val="22"/>
        </w:rPr>
        <w:t>upresn</w:t>
      </w:r>
      <w:r w:rsidR="007D145F">
        <w:rPr>
          <w:rFonts w:ascii="Times New Roman" w:hAnsi="Times New Roman"/>
          <w:sz w:val="22"/>
          <w:szCs w:val="22"/>
        </w:rPr>
        <w:t>ý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test</w:t>
      </w:r>
      <w:r>
        <w:rPr>
          <w:rFonts w:ascii="Times New Roman" w:hAnsi="Times New Roman"/>
          <w:sz w:val="22"/>
          <w:szCs w:val="22"/>
        </w:rPr>
        <w:t>.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</w:p>
    <w:p w14:paraId="076CE969" w14:textId="77777777" w:rsidR="00B44334" w:rsidRPr="007A1CAE" w:rsidRDefault="00B44334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1E7D9AE9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76087A87" w14:textId="77777777" w:rsidR="00776CB3" w:rsidRPr="007A1CAE" w:rsidRDefault="00776CB3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E5171D2" w14:textId="77777777" w:rsidR="00776CB3" w:rsidRPr="002F028B" w:rsidRDefault="00776CB3" w:rsidP="00706D78">
      <w:pPr>
        <w:pStyle w:val="Zarkazkladnhotextu"/>
        <w:ind w:left="0"/>
        <w:outlineLvl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F028B">
        <w:rPr>
          <w:rFonts w:ascii="Times New Roman" w:hAnsi="Times New Roman"/>
          <w:sz w:val="22"/>
          <w:szCs w:val="22"/>
          <w:u w:val="single"/>
        </w:rPr>
        <w:t>Fertilita</w:t>
      </w:r>
      <w:proofErr w:type="spellEnd"/>
    </w:p>
    <w:p w14:paraId="6D7C7239" w14:textId="6FDDFC2E" w:rsidR="00776CB3" w:rsidRPr="007A1CAE" w:rsidRDefault="00776CB3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K dispozícii nie sú žiadne údaje z výskumu o poškodení mužskej alebo ženskej </w:t>
      </w:r>
      <w:proofErr w:type="spellStart"/>
      <w:r w:rsidRPr="007A1CAE">
        <w:rPr>
          <w:rFonts w:ascii="Times New Roman" w:hAnsi="Times New Roman"/>
          <w:sz w:val="22"/>
          <w:szCs w:val="22"/>
        </w:rPr>
        <w:t>fertility</w:t>
      </w:r>
      <w:proofErr w:type="spellEnd"/>
      <w:r w:rsidR="009F10A9">
        <w:rPr>
          <w:rFonts w:ascii="Times New Roman" w:hAnsi="Times New Roman"/>
          <w:sz w:val="22"/>
          <w:szCs w:val="22"/>
        </w:rPr>
        <w:t>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>N</w:t>
      </w:r>
      <w:r w:rsidRPr="007A1CAE">
        <w:rPr>
          <w:rFonts w:ascii="Times New Roman" w:hAnsi="Times New Roman"/>
          <w:sz w:val="22"/>
          <w:szCs w:val="22"/>
        </w:rPr>
        <w:t>eexistuje ani podozrenie alebo indikácia takéhoto vplyvu.</w:t>
      </w:r>
    </w:p>
    <w:p w14:paraId="5A36F582" w14:textId="77777777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9755F5C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4.7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Ovplyvnenie schopnosti viesť </w:t>
      </w:r>
      <w:r w:rsidR="00423A1A" w:rsidRPr="007A1CAE">
        <w:rPr>
          <w:rFonts w:ascii="Times New Roman" w:hAnsi="Times New Roman"/>
          <w:b/>
          <w:sz w:val="22"/>
          <w:szCs w:val="22"/>
        </w:rPr>
        <w:t>v</w:t>
      </w:r>
      <w:r w:rsidR="008018B0" w:rsidRPr="007A1CAE">
        <w:rPr>
          <w:rFonts w:ascii="Times New Roman" w:hAnsi="Times New Roman"/>
          <w:b/>
          <w:sz w:val="22"/>
          <w:szCs w:val="22"/>
        </w:rPr>
        <w:t>ozidlá a obsluhovať stroje</w:t>
      </w:r>
    </w:p>
    <w:p w14:paraId="76D80BCF" w14:textId="77777777" w:rsidR="008018B0" w:rsidRPr="007A1CAE" w:rsidRDefault="008018B0" w:rsidP="002F028B">
      <w:pPr>
        <w:jc w:val="both"/>
        <w:rPr>
          <w:rFonts w:ascii="Times New Roman" w:hAnsi="Times New Roman"/>
          <w:sz w:val="22"/>
          <w:szCs w:val="22"/>
        </w:rPr>
      </w:pPr>
    </w:p>
    <w:p w14:paraId="5949F7AA" w14:textId="77777777" w:rsidR="008018B0" w:rsidRPr="007A1CAE" w:rsidRDefault="00ED1EBB" w:rsidP="002F028B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Ne</w:t>
      </w:r>
      <w:r w:rsidR="00665FEB" w:rsidRPr="007A1CAE">
        <w:rPr>
          <w:rFonts w:ascii="Times New Roman" w:hAnsi="Times New Roman"/>
          <w:sz w:val="22"/>
          <w:szCs w:val="22"/>
        </w:rPr>
        <w:t>uskutočnili sa žiadne štúdie o účinkoch na schopnosť viesť vozidlá a obsluhovať stroje.</w:t>
      </w:r>
    </w:p>
    <w:p w14:paraId="05AF0B27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274B9B34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4.8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Nežiaduce účinky</w:t>
      </w:r>
    </w:p>
    <w:p w14:paraId="79D815A2" w14:textId="1886909D" w:rsidR="00FB411F" w:rsidRPr="007A1CAE" w:rsidRDefault="00FB411F" w:rsidP="00706D78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1C2CEF3" w14:textId="53AAFEAE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Ak pacient v zriedkavých prípadoch netoleruje </w:t>
      </w:r>
      <w:r w:rsidR="009F10A9">
        <w:rPr>
          <w:rFonts w:ascii="Times New Roman" w:hAnsi="Times New Roman"/>
          <w:sz w:val="22"/>
          <w:szCs w:val="22"/>
        </w:rPr>
        <w:t xml:space="preserve">danú veľkosť </w:t>
      </w:r>
      <w:r w:rsidRPr="007A1CAE">
        <w:rPr>
          <w:rFonts w:ascii="Times New Roman" w:hAnsi="Times New Roman"/>
          <w:sz w:val="22"/>
          <w:szCs w:val="22"/>
        </w:rPr>
        <w:t>dávk</w:t>
      </w:r>
      <w:r w:rsidR="009F10A9">
        <w:rPr>
          <w:rFonts w:ascii="Times New Roman" w:hAnsi="Times New Roman"/>
          <w:sz w:val="22"/>
          <w:szCs w:val="22"/>
        </w:rPr>
        <w:t>y</w:t>
      </w:r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9F10A9">
        <w:rPr>
          <w:rFonts w:ascii="Times New Roman" w:hAnsi="Times New Roman"/>
          <w:sz w:val="22"/>
          <w:szCs w:val="22"/>
        </w:rPr>
        <w:t>alebo došlo k</w:t>
      </w:r>
      <w:r w:rsidRPr="007A1CAE">
        <w:rPr>
          <w:rFonts w:ascii="Times New Roman" w:hAnsi="Times New Roman"/>
          <w:sz w:val="22"/>
          <w:szCs w:val="22"/>
        </w:rPr>
        <w:t xml:space="preserve"> predávkovan</w:t>
      </w:r>
      <w:r w:rsidR="009F10A9">
        <w:rPr>
          <w:rFonts w:ascii="Times New Roman" w:hAnsi="Times New Roman"/>
          <w:sz w:val="22"/>
          <w:szCs w:val="22"/>
        </w:rPr>
        <w:t>iu</w:t>
      </w:r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9F10A9">
        <w:rPr>
          <w:rFonts w:ascii="Times New Roman" w:hAnsi="Times New Roman"/>
          <w:sz w:val="22"/>
          <w:szCs w:val="22"/>
        </w:rPr>
        <w:t>a to hlavne</w:t>
      </w:r>
      <w:r w:rsidRPr="007A1CAE">
        <w:rPr>
          <w:rFonts w:ascii="Times New Roman" w:hAnsi="Times New Roman"/>
          <w:sz w:val="22"/>
          <w:szCs w:val="22"/>
        </w:rPr>
        <w:t xml:space="preserve"> pri veľmi rýchlom zvyšovaní </w:t>
      </w:r>
      <w:r w:rsidR="009F10A9">
        <w:rPr>
          <w:rFonts w:ascii="Times New Roman" w:hAnsi="Times New Roman"/>
          <w:sz w:val="22"/>
          <w:szCs w:val="22"/>
        </w:rPr>
        <w:t>dávok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na začiatku liečby, </w:t>
      </w:r>
      <w:r w:rsidR="009F10A9">
        <w:rPr>
          <w:rFonts w:ascii="Times New Roman" w:hAnsi="Times New Roman"/>
          <w:sz w:val="22"/>
          <w:szCs w:val="22"/>
        </w:rPr>
        <w:t xml:space="preserve">potom </w:t>
      </w:r>
      <w:r w:rsidRPr="007A1CAE">
        <w:rPr>
          <w:rFonts w:ascii="Times New Roman" w:hAnsi="Times New Roman"/>
          <w:sz w:val="22"/>
          <w:szCs w:val="22"/>
        </w:rPr>
        <w:t xml:space="preserve">sa môžu vyskytnúť </w:t>
      </w:r>
      <w:r w:rsidR="009F10A9">
        <w:rPr>
          <w:rFonts w:ascii="Times New Roman" w:hAnsi="Times New Roman"/>
          <w:sz w:val="22"/>
          <w:szCs w:val="22"/>
        </w:rPr>
        <w:t xml:space="preserve">typické príznaky </w:t>
      </w:r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hypertyreóz</w:t>
      </w:r>
      <w:r w:rsidR="009F10A9">
        <w:rPr>
          <w:rFonts w:ascii="Times New Roman" w:hAnsi="Times New Roman"/>
          <w:sz w:val="22"/>
          <w:szCs w:val="22"/>
        </w:rPr>
        <w:t>y</w:t>
      </w:r>
      <w:proofErr w:type="spellEnd"/>
      <w:r w:rsidR="009F10A9">
        <w:rPr>
          <w:rFonts w:ascii="Times New Roman" w:hAnsi="Times New Roman"/>
          <w:sz w:val="22"/>
          <w:szCs w:val="22"/>
        </w:rPr>
        <w:t>, napr.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palpitácie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BF33FA" w:rsidRPr="007A1CAE">
        <w:rPr>
          <w:rFonts w:ascii="Times New Roman" w:hAnsi="Times New Roman"/>
          <w:sz w:val="22"/>
          <w:szCs w:val="22"/>
        </w:rPr>
        <w:t>arytmie</w:t>
      </w:r>
      <w:proofErr w:type="spellEnd"/>
      <w:r w:rsidR="00BF33FA" w:rsidRPr="007A1CAE">
        <w:rPr>
          <w:rFonts w:ascii="Times New Roman" w:hAnsi="Times New Roman"/>
          <w:sz w:val="22"/>
          <w:szCs w:val="22"/>
        </w:rPr>
        <w:t>,</w:t>
      </w:r>
      <w:r w:rsidR="00320ABC" w:rsidRPr="007A1CAE">
        <w:rPr>
          <w:rFonts w:ascii="Times New Roman" w:hAnsi="Times New Roman"/>
          <w:sz w:val="22"/>
          <w:szCs w:val="22"/>
        </w:rPr>
        <w:t xml:space="preserve"> najmä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tachykardia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>,</w:t>
      </w:r>
      <w:r w:rsidR="00BF33FA" w:rsidRPr="007A1CAE">
        <w:rPr>
          <w:rFonts w:ascii="Times New Roman" w:hAnsi="Times New Roman"/>
          <w:sz w:val="22"/>
          <w:szCs w:val="22"/>
        </w:rPr>
        <w:t xml:space="preserve"> </w:t>
      </w:r>
      <w:r w:rsidR="00320ABC" w:rsidRPr="007A1CAE">
        <w:rPr>
          <w:rFonts w:ascii="Times New Roman" w:hAnsi="Times New Roman"/>
          <w:sz w:val="22"/>
          <w:szCs w:val="22"/>
        </w:rPr>
        <w:t xml:space="preserve">ťažkosti </w:t>
      </w:r>
      <w:r w:rsidRPr="007A1CAE">
        <w:rPr>
          <w:rFonts w:ascii="Times New Roman" w:hAnsi="Times New Roman"/>
          <w:sz w:val="22"/>
          <w:szCs w:val="22"/>
        </w:rPr>
        <w:t>podobn</w:t>
      </w:r>
      <w:r w:rsidR="00320ABC" w:rsidRPr="007A1CAE">
        <w:rPr>
          <w:rFonts w:ascii="Times New Roman" w:hAnsi="Times New Roman"/>
          <w:sz w:val="22"/>
          <w:szCs w:val="22"/>
        </w:rPr>
        <w:t>é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DF54FF" w:rsidRPr="007A1CAE">
        <w:rPr>
          <w:rFonts w:ascii="Times New Roman" w:hAnsi="Times New Roman"/>
          <w:sz w:val="22"/>
          <w:szCs w:val="22"/>
        </w:rPr>
        <w:t>angíne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pe</w:t>
      </w:r>
      <w:r w:rsidR="00320ABC" w:rsidRPr="007A1CAE">
        <w:rPr>
          <w:rFonts w:ascii="Times New Roman" w:hAnsi="Times New Roman"/>
          <w:sz w:val="22"/>
          <w:szCs w:val="22"/>
        </w:rPr>
        <w:t>k</w:t>
      </w:r>
      <w:r w:rsidRPr="007A1CAE">
        <w:rPr>
          <w:rFonts w:ascii="Times New Roman" w:hAnsi="Times New Roman"/>
          <w:sz w:val="22"/>
          <w:szCs w:val="22"/>
        </w:rPr>
        <w:t>toris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320ABC" w:rsidRPr="007A1CAE">
        <w:rPr>
          <w:rFonts w:ascii="Times New Roman" w:hAnsi="Times New Roman"/>
          <w:sz w:val="22"/>
          <w:szCs w:val="22"/>
        </w:rPr>
        <w:t xml:space="preserve">svalová slabosť a kŕče, pocity tepla,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hyperh</w:t>
      </w:r>
      <w:r w:rsidR="00DD6D1E">
        <w:rPr>
          <w:rFonts w:ascii="Times New Roman" w:hAnsi="Times New Roman"/>
          <w:sz w:val="22"/>
          <w:szCs w:val="22"/>
        </w:rPr>
        <w:t>i</w:t>
      </w:r>
      <w:r w:rsidR="00320ABC" w:rsidRPr="007A1CAE">
        <w:rPr>
          <w:rFonts w:ascii="Times New Roman" w:hAnsi="Times New Roman"/>
          <w:sz w:val="22"/>
          <w:szCs w:val="22"/>
        </w:rPr>
        <w:t>dróza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sz w:val="22"/>
          <w:szCs w:val="22"/>
        </w:rPr>
        <w:t>tremor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320ABC" w:rsidRPr="007A1CAE">
        <w:rPr>
          <w:rFonts w:ascii="Times New Roman" w:hAnsi="Times New Roman"/>
          <w:sz w:val="22"/>
          <w:szCs w:val="22"/>
        </w:rPr>
        <w:t xml:space="preserve">vnútorný </w:t>
      </w:r>
      <w:r w:rsidR="009F10A9" w:rsidRPr="007A1CAE">
        <w:rPr>
          <w:rFonts w:ascii="Times New Roman" w:hAnsi="Times New Roman"/>
          <w:sz w:val="22"/>
          <w:szCs w:val="22"/>
        </w:rPr>
        <w:t>ne</w:t>
      </w:r>
      <w:r w:rsidR="009F10A9">
        <w:rPr>
          <w:rFonts w:ascii="Times New Roman" w:hAnsi="Times New Roman"/>
          <w:sz w:val="22"/>
          <w:szCs w:val="22"/>
        </w:rPr>
        <w:t>pokoj</w:t>
      </w:r>
      <w:r w:rsidRPr="007A1CAE">
        <w:rPr>
          <w:rFonts w:ascii="Times New Roman" w:hAnsi="Times New Roman"/>
          <w:sz w:val="22"/>
          <w:szCs w:val="22"/>
        </w:rPr>
        <w:t>, nespavosť,</w:t>
      </w:r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r w:rsidR="009B0B2A">
        <w:rPr>
          <w:rFonts w:ascii="Times New Roman" w:hAnsi="Times New Roman"/>
          <w:sz w:val="22"/>
          <w:szCs w:val="22"/>
        </w:rPr>
        <w:t>hnačka</w:t>
      </w:r>
      <w:r w:rsidR="00320ABC" w:rsidRPr="007A1CAE">
        <w:rPr>
          <w:rFonts w:ascii="Times New Roman" w:hAnsi="Times New Roman"/>
          <w:sz w:val="22"/>
          <w:szCs w:val="22"/>
        </w:rPr>
        <w:t>,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B0B2A">
        <w:rPr>
          <w:rFonts w:ascii="Times New Roman" w:hAnsi="Times New Roman"/>
          <w:sz w:val="22"/>
          <w:szCs w:val="22"/>
        </w:rPr>
        <w:t>zníženie</w:t>
      </w:r>
      <w:r w:rsidRPr="007A1CAE">
        <w:rPr>
          <w:rFonts w:ascii="Times New Roman" w:hAnsi="Times New Roman"/>
          <w:sz w:val="22"/>
          <w:szCs w:val="22"/>
        </w:rPr>
        <w:t xml:space="preserve"> hmotnosti, bolesti hlavy, menštruačné poruchy.</w:t>
      </w:r>
      <w:r w:rsidR="00320ABC" w:rsidRPr="007A1CAE">
        <w:rPr>
          <w:rFonts w:ascii="Times New Roman" w:hAnsi="Times New Roman"/>
          <w:sz w:val="22"/>
          <w:szCs w:val="22"/>
        </w:rPr>
        <w:t xml:space="preserve"> Ako atypické </w:t>
      </w:r>
      <w:r w:rsidR="009F10A9">
        <w:rPr>
          <w:rFonts w:ascii="Times New Roman" w:hAnsi="Times New Roman"/>
          <w:sz w:val="22"/>
          <w:szCs w:val="22"/>
        </w:rPr>
        <w:t>príznaky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="00320ABC" w:rsidRPr="007A1CAE">
        <w:rPr>
          <w:rFonts w:ascii="Times New Roman" w:hAnsi="Times New Roman"/>
          <w:sz w:val="22"/>
          <w:szCs w:val="22"/>
        </w:rPr>
        <w:t>sa môžu objaviť horúčka, vracanie</w:t>
      </w:r>
      <w:r w:rsidR="009F10A9">
        <w:rPr>
          <w:rFonts w:ascii="Times New Roman" w:hAnsi="Times New Roman"/>
          <w:sz w:val="22"/>
          <w:szCs w:val="22"/>
        </w:rPr>
        <w:t>, a tiež</w:t>
      </w:r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pseudotumor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cerebri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 xml:space="preserve"> (najmä u detí).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 xml:space="preserve"> V takomto prípade má byť 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 xml:space="preserve">znížená 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denná dávka alebo sa na niekoľko dní preruší liečba. Hneď po odznení nežiaducich účinkov sa odporúča znova začať liečbu, ale </w:t>
      </w:r>
      <w:r w:rsidR="00DF54FF" w:rsidRPr="007A1CAE">
        <w:rPr>
          <w:rFonts w:ascii="Times New Roman" w:hAnsi="Times New Roman"/>
          <w:sz w:val="22"/>
          <w:szCs w:val="22"/>
        </w:rPr>
        <w:t xml:space="preserve">má sa </w:t>
      </w:r>
      <w:r w:rsidRPr="007A1CAE">
        <w:rPr>
          <w:rFonts w:ascii="Times New Roman" w:hAnsi="Times New Roman"/>
          <w:sz w:val="22"/>
          <w:szCs w:val="22"/>
        </w:rPr>
        <w:t xml:space="preserve">venovať </w:t>
      </w:r>
      <w:r w:rsidR="00DF54FF" w:rsidRPr="007A1CAE">
        <w:rPr>
          <w:rFonts w:ascii="Times New Roman" w:hAnsi="Times New Roman"/>
          <w:sz w:val="22"/>
          <w:szCs w:val="22"/>
        </w:rPr>
        <w:t xml:space="preserve">väčšia </w:t>
      </w:r>
      <w:r w:rsidRPr="007A1CAE">
        <w:rPr>
          <w:rFonts w:ascii="Times New Roman" w:hAnsi="Times New Roman"/>
          <w:sz w:val="22"/>
          <w:szCs w:val="22"/>
        </w:rPr>
        <w:t xml:space="preserve">pozornosť dávkovaniu. </w:t>
      </w:r>
    </w:p>
    <w:p w14:paraId="598A3E15" w14:textId="77777777" w:rsidR="00706D78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77C8492" w14:textId="66702D97" w:rsidR="00BF33FA" w:rsidRPr="007A1CAE" w:rsidRDefault="00BF33FA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V prípade precitlivenosti na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</w:t>
      </w:r>
      <w:r w:rsidR="002E6597">
        <w:rPr>
          <w:rFonts w:ascii="Times New Roman" w:hAnsi="Times New Roman"/>
          <w:sz w:val="22"/>
          <w:szCs w:val="22"/>
        </w:rPr>
        <w:t>í</w:t>
      </w:r>
      <w:r w:rsidRPr="007A1CAE">
        <w:rPr>
          <w:rFonts w:ascii="Times New Roman" w:hAnsi="Times New Roman"/>
          <w:sz w:val="22"/>
          <w:szCs w:val="22"/>
        </w:rPr>
        <w:t>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alebo </w:t>
      </w:r>
      <w:r w:rsidR="009F10A9">
        <w:rPr>
          <w:rFonts w:ascii="Times New Roman" w:hAnsi="Times New Roman"/>
          <w:sz w:val="22"/>
          <w:szCs w:val="22"/>
        </w:rPr>
        <w:t>na ktorúkoľvek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z pomocných látok </w:t>
      </w:r>
      <w:proofErr w:type="spellStart"/>
      <w:r w:rsidR="009F10A9" w:rsidRPr="007A1CAE">
        <w:rPr>
          <w:rFonts w:ascii="Times New Roman" w:hAnsi="Times New Roman"/>
          <w:sz w:val="22"/>
          <w:szCs w:val="22"/>
        </w:rPr>
        <w:t>L-Thyroxin</w:t>
      </w:r>
      <w:r w:rsidR="009F10A9">
        <w:rPr>
          <w:rFonts w:ascii="Times New Roman" w:hAnsi="Times New Roman"/>
          <w:sz w:val="22"/>
          <w:szCs w:val="22"/>
        </w:rPr>
        <w:t>u</w:t>
      </w:r>
      <w:proofErr w:type="spellEnd"/>
      <w:r w:rsidR="009F10A9">
        <w:rPr>
          <w:rFonts w:ascii="Times New Roman" w:hAnsi="Times New Roman"/>
          <w:sz w:val="22"/>
          <w:szCs w:val="22"/>
        </w:rPr>
        <w:t xml:space="preserve"> </w:t>
      </w:r>
      <w:r w:rsidR="009F10A9" w:rsidRPr="007A1CAE">
        <w:rPr>
          <w:rFonts w:ascii="Times New Roman" w:hAnsi="Times New Roman"/>
          <w:sz w:val="22"/>
          <w:szCs w:val="22"/>
        </w:rPr>
        <w:t xml:space="preserve">125 </w:t>
      </w:r>
      <w:proofErr w:type="spellStart"/>
      <w:r w:rsidR="009F10A9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môžu nastať alergické reakcie</w:t>
      </w:r>
      <w:r w:rsidR="00320ABC" w:rsidRPr="007A1CAE">
        <w:rPr>
          <w:rFonts w:ascii="Times New Roman" w:hAnsi="Times New Roman"/>
          <w:sz w:val="22"/>
          <w:szCs w:val="22"/>
        </w:rPr>
        <w:t xml:space="preserve"> na koži </w:t>
      </w:r>
      <w:r w:rsidR="0016250B">
        <w:rPr>
          <w:rFonts w:ascii="Times New Roman" w:hAnsi="Times New Roman"/>
          <w:sz w:val="22"/>
          <w:szCs w:val="22"/>
        </w:rPr>
        <w:t xml:space="preserve">(napr. vyrážka na koži, </w:t>
      </w:r>
      <w:proofErr w:type="spellStart"/>
      <w:r w:rsidR="0016250B">
        <w:rPr>
          <w:rFonts w:ascii="Times New Roman" w:hAnsi="Times New Roman"/>
          <w:sz w:val="22"/>
          <w:szCs w:val="22"/>
        </w:rPr>
        <w:t>urtikária</w:t>
      </w:r>
      <w:proofErr w:type="spellEnd"/>
      <w:r w:rsidR="0016250B">
        <w:rPr>
          <w:rFonts w:ascii="Times New Roman" w:hAnsi="Times New Roman"/>
          <w:sz w:val="22"/>
          <w:szCs w:val="22"/>
        </w:rPr>
        <w:t xml:space="preserve">) </w:t>
      </w:r>
      <w:r w:rsidR="00320ABC" w:rsidRPr="007A1CAE">
        <w:rPr>
          <w:rFonts w:ascii="Times New Roman" w:hAnsi="Times New Roman"/>
          <w:sz w:val="22"/>
          <w:szCs w:val="22"/>
        </w:rPr>
        <w:t>alebo v respiračnom systéme</w:t>
      </w:r>
      <w:r w:rsidRPr="007A1CA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A1CAE">
        <w:rPr>
          <w:rFonts w:ascii="Times New Roman" w:hAnsi="Times New Roman"/>
          <w:sz w:val="22"/>
          <w:szCs w:val="22"/>
        </w:rPr>
        <w:t>Anafylaktický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šok bol hlásený </w:t>
      </w:r>
      <w:r w:rsidR="00320ABC" w:rsidRPr="007A1CAE">
        <w:rPr>
          <w:rFonts w:ascii="Times New Roman" w:hAnsi="Times New Roman"/>
          <w:sz w:val="22"/>
          <w:szCs w:val="22"/>
        </w:rPr>
        <w:t>iba v ojedinelých prípadoch</w:t>
      </w:r>
      <w:r w:rsidR="009F10A9">
        <w:rPr>
          <w:rFonts w:ascii="Times New Roman" w:hAnsi="Times New Roman"/>
          <w:sz w:val="22"/>
          <w:szCs w:val="22"/>
        </w:rPr>
        <w:t xml:space="preserve">. V takomto prípade </w:t>
      </w:r>
      <w:r w:rsidR="00C30692">
        <w:rPr>
          <w:rFonts w:ascii="Times New Roman" w:hAnsi="Times New Roman"/>
          <w:sz w:val="22"/>
          <w:szCs w:val="22"/>
        </w:rPr>
        <w:t xml:space="preserve"> </w:t>
      </w:r>
      <w:r w:rsidR="00320ABC" w:rsidRPr="007A1CAE">
        <w:rPr>
          <w:rFonts w:ascii="Times New Roman" w:hAnsi="Times New Roman"/>
          <w:sz w:val="22"/>
          <w:szCs w:val="22"/>
        </w:rPr>
        <w:t>je potrebné</w:t>
      </w:r>
      <w:r w:rsidRPr="007A1CAE">
        <w:rPr>
          <w:rFonts w:ascii="Times New Roman" w:hAnsi="Times New Roman"/>
          <w:sz w:val="22"/>
          <w:szCs w:val="22"/>
        </w:rPr>
        <w:t xml:space="preserve"> liečbu prerušiť.</w:t>
      </w:r>
    </w:p>
    <w:p w14:paraId="6EF69FD1" w14:textId="77777777" w:rsidR="008018B0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43DED1E7" w14:textId="61F94ACD" w:rsidR="00EE4C83" w:rsidRPr="002708C9" w:rsidRDefault="00EE4C83" w:rsidP="00EE4C83">
      <w:pPr>
        <w:jc w:val="both"/>
        <w:rPr>
          <w:rFonts w:ascii="Times New Roman" w:hAnsi="Times New Roman"/>
          <w:sz w:val="22"/>
          <w:szCs w:val="22"/>
        </w:rPr>
      </w:pPr>
      <w:r w:rsidRPr="002708C9">
        <w:rPr>
          <w:rFonts w:ascii="Times New Roman" w:hAnsi="Times New Roman"/>
          <w:sz w:val="22"/>
          <w:szCs w:val="22"/>
          <w:u w:val="single"/>
        </w:rPr>
        <w:t xml:space="preserve">Tabuľka nežiaducich </w:t>
      </w:r>
      <w:proofErr w:type="spellStart"/>
      <w:r w:rsidRPr="002708C9">
        <w:rPr>
          <w:rFonts w:ascii="Times New Roman" w:hAnsi="Times New Roman"/>
          <w:sz w:val="22"/>
          <w:szCs w:val="22"/>
          <w:u w:val="single"/>
        </w:rPr>
        <w:t>účinkov</w:t>
      </w:r>
      <w:r w:rsidRPr="002708C9">
        <w:rPr>
          <w:rFonts w:ascii="Times New Roman" w:hAnsi="Times New Roman"/>
          <w:sz w:val="22"/>
          <w:szCs w:val="22"/>
        </w:rPr>
        <w:t>V</w:t>
      </w:r>
      <w:proofErr w:type="spellEnd"/>
      <w:r w:rsidRPr="002708C9">
        <w:rPr>
          <w:rFonts w:ascii="Times New Roman" w:hAnsi="Times New Roman"/>
          <w:sz w:val="22"/>
          <w:szCs w:val="22"/>
        </w:rPr>
        <w:t> tabuľke nižšie sú uvedené nežiaduce účinky – vypočítané na základe údajov z literat</w:t>
      </w:r>
      <w:r w:rsidRPr="002708C9">
        <w:rPr>
          <w:rFonts w:ascii="Times New Roman" w:hAnsi="Times New Roman" w:hint="eastAsia"/>
          <w:sz w:val="22"/>
          <w:szCs w:val="22"/>
        </w:rPr>
        <w:t>ú</w:t>
      </w:r>
      <w:r w:rsidRPr="002708C9">
        <w:rPr>
          <w:rFonts w:ascii="Times New Roman" w:hAnsi="Times New Roman"/>
          <w:sz w:val="22"/>
          <w:szCs w:val="22"/>
        </w:rPr>
        <w:t xml:space="preserve">ry a </w:t>
      </w:r>
      <w:r w:rsidRPr="002708C9">
        <w:rPr>
          <w:rFonts w:ascii="Times New Roman" w:hAnsi="Times New Roman" w:hint="eastAsia"/>
          <w:sz w:val="22"/>
          <w:szCs w:val="22"/>
        </w:rPr>
        <w:t>ú</w:t>
      </w:r>
      <w:r w:rsidRPr="002708C9">
        <w:rPr>
          <w:rFonts w:ascii="Times New Roman" w:hAnsi="Times New Roman"/>
          <w:sz w:val="22"/>
          <w:szCs w:val="22"/>
        </w:rPr>
        <w:t>dajov poch</w:t>
      </w:r>
      <w:r w:rsidRPr="002708C9">
        <w:rPr>
          <w:rFonts w:ascii="Times New Roman" w:hAnsi="Times New Roman" w:hint="eastAsia"/>
          <w:sz w:val="22"/>
          <w:szCs w:val="22"/>
        </w:rPr>
        <w:t>á</w:t>
      </w:r>
      <w:r w:rsidRPr="002708C9">
        <w:rPr>
          <w:rFonts w:ascii="Times New Roman" w:hAnsi="Times New Roman"/>
          <w:sz w:val="22"/>
          <w:szCs w:val="22"/>
        </w:rPr>
        <w:t>dzaj</w:t>
      </w:r>
      <w:r w:rsidRPr="002708C9">
        <w:rPr>
          <w:rFonts w:ascii="Times New Roman" w:hAnsi="Times New Roman" w:hint="eastAsia"/>
          <w:sz w:val="22"/>
          <w:szCs w:val="22"/>
        </w:rPr>
        <w:t>ú</w:t>
      </w:r>
      <w:r w:rsidRPr="002708C9">
        <w:rPr>
          <w:rFonts w:ascii="Times New Roman" w:hAnsi="Times New Roman"/>
          <w:sz w:val="22"/>
          <w:szCs w:val="22"/>
        </w:rPr>
        <w:t xml:space="preserve">cich z </w:t>
      </w:r>
      <w:proofErr w:type="spellStart"/>
      <w:r w:rsidRPr="002708C9">
        <w:rPr>
          <w:rFonts w:ascii="Times New Roman" w:hAnsi="Times New Roman"/>
          <w:sz w:val="22"/>
          <w:szCs w:val="22"/>
        </w:rPr>
        <w:t>postmarketingov</w:t>
      </w:r>
      <w:r w:rsidRPr="002708C9">
        <w:rPr>
          <w:rFonts w:ascii="Times New Roman" w:hAnsi="Times New Roman" w:hint="eastAsia"/>
          <w:sz w:val="22"/>
          <w:szCs w:val="22"/>
        </w:rPr>
        <w:t>é</w:t>
      </w:r>
      <w:r w:rsidRPr="002708C9">
        <w:rPr>
          <w:rFonts w:ascii="Times New Roman" w:hAnsi="Times New Roman"/>
          <w:sz w:val="22"/>
          <w:szCs w:val="22"/>
        </w:rPr>
        <w:t>ho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 sledovania z </w:t>
      </w:r>
      <w:proofErr w:type="spellStart"/>
      <w:r w:rsidRPr="002708C9">
        <w:rPr>
          <w:rFonts w:ascii="Times New Roman" w:hAnsi="Times New Roman"/>
          <w:sz w:val="22"/>
          <w:szCs w:val="22"/>
        </w:rPr>
        <w:t>placebom</w:t>
      </w:r>
      <w:proofErr w:type="spellEnd"/>
      <w:r w:rsidRPr="002708C9">
        <w:rPr>
          <w:rFonts w:ascii="Times New Roman" w:hAnsi="Times New Roman"/>
          <w:sz w:val="22"/>
          <w:szCs w:val="22"/>
        </w:rPr>
        <w:t xml:space="preserve"> kontrolovaných klinických štúdií podľa frekvenčnej konvencie </w:t>
      </w:r>
      <w:proofErr w:type="spellStart"/>
      <w:r w:rsidRPr="002708C9">
        <w:rPr>
          <w:rFonts w:ascii="Times New Roman" w:hAnsi="Times New Roman"/>
          <w:sz w:val="22"/>
          <w:szCs w:val="22"/>
        </w:rPr>
        <w:t>MedDRA</w:t>
      </w:r>
      <w:proofErr w:type="spellEnd"/>
      <w:r w:rsidRPr="002708C9">
        <w:rPr>
          <w:rFonts w:ascii="Times New Roman" w:hAnsi="Times New Roman"/>
          <w:sz w:val="22"/>
          <w:szCs w:val="22"/>
        </w:rPr>
        <w:t>. veľmi časté (≥ 1/10), časté (≥ 1/100 to &lt; 1/10), menej časté (≥ 1/1,000 to &lt; 1/100), zriedkavé (≥ 1/10,000 to &lt; 1/1,000), veľmi zriedkavé (&lt; 1/10,000) a neznáme (z dostupných údajov).</w:t>
      </w:r>
    </w:p>
    <w:p w14:paraId="395F17AB" w14:textId="77777777" w:rsidR="00EE4C83" w:rsidRPr="002708C9" w:rsidRDefault="00EE4C83" w:rsidP="00EE4C8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4996" w:type="pct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1"/>
        <w:gridCol w:w="1535"/>
        <w:gridCol w:w="1656"/>
        <w:gridCol w:w="1710"/>
        <w:gridCol w:w="2149"/>
      </w:tblGrid>
      <w:tr w:rsidR="00EE4C83" w:rsidRPr="002708C9" w14:paraId="436D6191" w14:textId="77777777" w:rsidTr="004932DA">
        <w:trPr>
          <w:cantSplit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FD8" w14:textId="38B7F80B" w:rsidR="00EE4C83" w:rsidRPr="002708C9" w:rsidRDefault="001D7909" w:rsidP="004932DA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Frekvencia</w:t>
            </w:r>
            <w:proofErr w:type="spellEnd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nežiaducich</w:t>
            </w:r>
            <w:proofErr w:type="spellEnd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účinkov</w:t>
            </w:r>
            <w:proofErr w:type="spellEnd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podľa</w:t>
            </w:r>
            <w:proofErr w:type="spellEnd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konvencií</w:t>
            </w:r>
            <w:proofErr w:type="spellEnd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MedRA</w:t>
            </w:r>
            <w:proofErr w:type="spellEnd"/>
          </w:p>
        </w:tc>
      </w:tr>
      <w:tr w:rsidR="00EE4C83" w:rsidRPr="002708C9" w14:paraId="5C341EE1" w14:textId="77777777" w:rsidTr="002708C9">
        <w:trPr>
          <w:cantSplit/>
          <w:tblHeader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D82F" w14:textId="529A315C" w:rsidR="00EE4C83" w:rsidRPr="002708C9" w:rsidRDefault="001D7909" w:rsidP="004932DA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Trieda</w:t>
            </w:r>
            <w:proofErr w:type="spellEnd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orgánových</w:t>
            </w:r>
            <w:proofErr w:type="spellEnd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systémov</w:t>
            </w:r>
            <w:proofErr w:type="spellEnd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podľa</w:t>
            </w:r>
            <w:proofErr w:type="spellEnd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databázy</w:t>
            </w:r>
            <w:proofErr w:type="spellEnd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MedRA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5B1E" w14:textId="77777777" w:rsidR="00EE4C83" w:rsidRPr="002708C9" w:rsidRDefault="00EE4C83" w:rsidP="004932DA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Veľmi</w:t>
            </w:r>
            <w:proofErr w:type="spellEnd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časté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1C9" w14:textId="77777777" w:rsidR="00EE4C83" w:rsidRPr="002708C9" w:rsidRDefault="00EE4C83" w:rsidP="004932DA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Časté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539" w14:textId="77777777" w:rsidR="00EE4C83" w:rsidRPr="002708C9" w:rsidRDefault="00EE4C83" w:rsidP="004932DA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Zriedkavé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574D" w14:textId="77777777" w:rsidR="00EE4C83" w:rsidRPr="002708C9" w:rsidRDefault="00EE4C83" w:rsidP="004932DA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 Bold" w:eastAsia="Times New Roman Bold" w:hAnsi="Times New Roman Bold" w:cs="Times New Roman Bold"/>
                <w:b/>
                <w:sz w:val="22"/>
                <w:szCs w:val="22"/>
                <w:lang w:val="en-US"/>
              </w:rPr>
              <w:t>Neznáme</w:t>
            </w:r>
            <w:proofErr w:type="spellEnd"/>
          </w:p>
        </w:tc>
      </w:tr>
      <w:tr w:rsidR="00EE4C83" w:rsidRPr="002708C9" w14:paraId="54B12CAA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8BE2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imunitného systému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64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C73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1871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785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Hypersenzitivita</w:t>
            </w:r>
            <w:proofErr w:type="spellEnd"/>
          </w:p>
        </w:tc>
      </w:tr>
      <w:tr w:rsidR="00EE4C83" w:rsidRPr="002708C9" w14:paraId="6AC2EFA0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FA2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Psychické poruchy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694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Insomnia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59B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Nervozita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5CFC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293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Nepokoj</w:t>
            </w:r>
            <w:proofErr w:type="spellEnd"/>
          </w:p>
        </w:tc>
      </w:tr>
      <w:tr w:rsidR="00EE4C83" w:rsidRPr="002708C9" w14:paraId="705D6592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F3D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nervového systému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981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Bolesti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hlavy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0462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820" w14:textId="77777777" w:rsidR="00EE4C83" w:rsidRPr="002708C9" w:rsidRDefault="00EE4C83" w:rsidP="004932DA">
            <w:pPr>
              <w:keepNext/>
              <w:keepLines/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Pseudotumor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cerebri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najmä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detí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E5F" w14:textId="77777777" w:rsidR="00EE4C83" w:rsidRPr="002708C9" w:rsidRDefault="00EE4C83" w:rsidP="004932DA">
            <w:pPr>
              <w:keepNext/>
              <w:keepLines/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</w:rPr>
              <w:t>Tremor</w:t>
            </w:r>
            <w:proofErr w:type="spellEnd"/>
          </w:p>
        </w:tc>
      </w:tr>
      <w:tr w:rsidR="00EE4C83" w:rsidRPr="002708C9" w14:paraId="441B1E14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81AF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srdca a srdcovej činnosti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C7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Palpitácie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BB7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Tachykardia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4A00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8C4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Arytmia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angína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pektoris</w:t>
            </w:r>
            <w:proofErr w:type="spellEnd"/>
          </w:p>
        </w:tc>
      </w:tr>
      <w:tr w:rsidR="00EE4C83" w:rsidRPr="002708C9" w14:paraId="5F88801A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E3D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ciev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65C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5FE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816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147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Návaly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tepla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cirkulačný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kolaps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predčasne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narodených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detí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nízkou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pôrodnou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hmotnosťou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pozri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časť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4.4)</w:t>
            </w:r>
          </w:p>
        </w:tc>
      </w:tr>
      <w:tr w:rsidR="00EE4C83" w:rsidRPr="002708C9" w14:paraId="4ADF6D57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116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gastrointestinálneho traktu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217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F90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4E4" w14:textId="77777777" w:rsidR="00EE4C83" w:rsidRPr="002708C9" w:rsidRDefault="00EE4C83" w:rsidP="004932DA">
            <w:pPr>
              <w:keepNext/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927" w14:textId="77777777" w:rsidR="00EE4C83" w:rsidRPr="002708C9" w:rsidRDefault="00EE4C83" w:rsidP="004932DA">
            <w:pPr>
              <w:keepNext/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Diarea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vracanie</w:t>
            </w:r>
            <w:proofErr w:type="spellEnd"/>
          </w:p>
        </w:tc>
      </w:tr>
      <w:tr w:rsidR="00EE4C83" w:rsidRPr="002708C9" w14:paraId="72EC7383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A14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>Poruchy kože a podkožného tkaniva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B8C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47B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EBA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2ED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Vyrážka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urtikária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hyperhidróza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angioedém</w:t>
            </w:r>
            <w:proofErr w:type="spellEnd"/>
          </w:p>
        </w:tc>
      </w:tr>
      <w:tr w:rsidR="00EE4C83" w:rsidRPr="002708C9" w14:paraId="42329D38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B7D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kostrovej a svalovej sústavy a spojivového tkaniva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0D6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746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09F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8CCF" w14:textId="310832C9" w:rsidR="00EE4C83" w:rsidRPr="002708C9" w:rsidRDefault="00EE4C83" w:rsidP="00F85403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Svalová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slabosť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svalové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kŕče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osteoporóza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pri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supresívny</w:t>
            </w:r>
            <w:r w:rsidR="00F85403" w:rsidRPr="002708C9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dávkach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levotyroxínu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najmä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postmenopauzálnych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žien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najmä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počas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dlhodobej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liečby</w:t>
            </w:r>
            <w:proofErr w:type="spellEnd"/>
          </w:p>
        </w:tc>
      </w:tr>
      <w:tr w:rsidR="00EE4C83" w:rsidRPr="002708C9" w14:paraId="24AEAEC0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33C7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Poruchy reprodukčného systému a prsníkov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93F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0218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3301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081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Poruchy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menštruácie</w:t>
            </w:r>
            <w:proofErr w:type="spellEnd"/>
          </w:p>
        </w:tc>
      </w:tr>
      <w:tr w:rsidR="00EE4C83" w:rsidRPr="002708C9" w14:paraId="457F84EB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3D4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Celkové poruchy a reakcie v mieste podania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22E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358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1F7E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D99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Neznášanlivosť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tepla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horúčka</w:t>
            </w:r>
            <w:proofErr w:type="spellEnd"/>
          </w:p>
        </w:tc>
      </w:tr>
      <w:tr w:rsidR="00EE4C83" w:rsidRPr="00D92C58" w14:paraId="2E9A3BEF" w14:textId="77777777" w:rsidTr="002708C9">
        <w:trPr>
          <w:cantSplit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926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/>
                <w:sz w:val="22"/>
                <w:lang w:val="da-DK"/>
              </w:rPr>
            </w:pPr>
            <w:r w:rsidRPr="002708C9">
              <w:rPr>
                <w:rFonts w:ascii="Times New Roman" w:hAnsi="Times New Roman"/>
                <w:b/>
                <w:noProof/>
                <w:sz w:val="22"/>
                <w:lang w:val="da-DK"/>
              </w:rPr>
              <w:t xml:space="preserve">Laboratórne a funkčné vyšetrenia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F1C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E9DF" w14:textId="77777777" w:rsidR="00EE4C83" w:rsidRPr="002708C9" w:rsidRDefault="00EE4C83" w:rsidP="004932D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503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774" w14:textId="77777777" w:rsidR="00EE4C83" w:rsidRPr="002708C9" w:rsidRDefault="00EE4C83" w:rsidP="004932DA">
            <w:pPr>
              <w:keepLines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Pokles</w:t>
            </w:r>
            <w:proofErr w:type="spellEnd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8C9">
              <w:rPr>
                <w:rFonts w:ascii="Times New Roman" w:hAnsi="Times New Roman"/>
                <w:sz w:val="22"/>
                <w:szCs w:val="22"/>
                <w:lang w:val="en-US"/>
              </w:rPr>
              <w:t>hmotnosti</w:t>
            </w:r>
            <w:proofErr w:type="spellEnd"/>
          </w:p>
        </w:tc>
      </w:tr>
    </w:tbl>
    <w:p w14:paraId="101BBFFC" w14:textId="77777777" w:rsidR="00EE4C83" w:rsidRDefault="00EE4C83" w:rsidP="00EE4C83">
      <w:pPr>
        <w:jc w:val="both"/>
        <w:rPr>
          <w:rFonts w:ascii="Times New Roman" w:hAnsi="Times New Roman"/>
          <w:sz w:val="22"/>
          <w:szCs w:val="22"/>
        </w:rPr>
      </w:pPr>
    </w:p>
    <w:p w14:paraId="6F9A6814" w14:textId="77777777" w:rsidR="00DE6F72" w:rsidRDefault="00DE6F72" w:rsidP="00DE6F72">
      <w:pPr>
        <w:jc w:val="both"/>
        <w:rPr>
          <w:rFonts w:ascii="Times New Roman" w:hAnsi="Times New Roman"/>
          <w:i/>
          <w:sz w:val="22"/>
          <w:szCs w:val="22"/>
        </w:rPr>
      </w:pPr>
    </w:p>
    <w:p w14:paraId="3AE16D05" w14:textId="77777777" w:rsidR="00DE6F72" w:rsidRDefault="00DE6F72" w:rsidP="00DE6F72">
      <w:pPr>
        <w:jc w:val="both"/>
        <w:rPr>
          <w:rFonts w:ascii="Times New Roman" w:hAnsi="Times New Roman"/>
          <w:sz w:val="22"/>
          <w:szCs w:val="22"/>
        </w:rPr>
      </w:pPr>
    </w:p>
    <w:p w14:paraId="7F58D065" w14:textId="77777777" w:rsidR="00DE6F72" w:rsidRDefault="00DE6F72">
      <w:pPr>
        <w:jc w:val="both"/>
        <w:rPr>
          <w:rFonts w:ascii="Times New Roman" w:hAnsi="Times New Roman"/>
          <w:sz w:val="22"/>
          <w:szCs w:val="22"/>
        </w:rPr>
      </w:pPr>
    </w:p>
    <w:p w14:paraId="065DF969" w14:textId="77777777" w:rsidR="00706D78" w:rsidRDefault="00706D78" w:rsidP="00706D78">
      <w:pPr>
        <w:suppressLineNumbers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5E35D496" w14:textId="17638CB8" w:rsidR="00706D78" w:rsidRDefault="00706D78" w:rsidP="00706D78">
      <w:pPr>
        <w:suppressLineNumber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>
        <w:rPr>
          <w:rFonts w:ascii="Times New Roman" w:hAnsi="Times New Roman"/>
          <w:sz w:val="22"/>
          <w:szCs w:val="22"/>
        </w:rPr>
        <w:t xml:space="preserve"> Od </w:t>
      </w:r>
      <w:r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172E3">
        <w:rPr>
          <w:rFonts w:ascii="Times New Roman" w:hAnsi="Times New Roman"/>
          <w:noProof/>
          <w:sz w:val="22"/>
          <w:szCs w:val="22"/>
        </w:rPr>
        <w:t xml:space="preserve">na </w:t>
      </w:r>
      <w:r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9172E3">
        <w:rPr>
          <w:rFonts w:ascii="Times New Roman" w:hAnsi="Times New Roman"/>
          <w:noProof/>
          <w:sz w:val="22"/>
          <w:szCs w:val="22"/>
          <w:highlight w:val="lightGray"/>
        </w:rPr>
        <w:t xml:space="preserve">centrum </w:t>
      </w:r>
      <w:r>
        <w:rPr>
          <w:rFonts w:ascii="Times New Roman" w:hAnsi="Times New Roman"/>
          <w:noProof/>
          <w:sz w:val="22"/>
          <w:szCs w:val="22"/>
          <w:highlight w:val="lightGray"/>
        </w:rPr>
        <w:t>hlásenia uvedené v </w:t>
      </w:r>
      <w:hyperlink r:id="rId8" w:history="1">
        <w:r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noProof/>
          <w:sz w:val="22"/>
          <w:szCs w:val="22"/>
        </w:rPr>
        <w:t>.</w:t>
      </w:r>
    </w:p>
    <w:p w14:paraId="5229551C" w14:textId="77777777" w:rsidR="00706D78" w:rsidRPr="007A1CAE" w:rsidRDefault="00706D78">
      <w:pPr>
        <w:jc w:val="both"/>
        <w:rPr>
          <w:rFonts w:ascii="Times New Roman" w:hAnsi="Times New Roman"/>
          <w:sz w:val="22"/>
          <w:szCs w:val="22"/>
        </w:rPr>
      </w:pPr>
    </w:p>
    <w:p w14:paraId="16B2EC1D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4.9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Predávkovanie</w:t>
      </w:r>
    </w:p>
    <w:p w14:paraId="6918DF50" w14:textId="77777777" w:rsidR="008018B0" w:rsidRPr="007A1CAE" w:rsidRDefault="008018B0" w:rsidP="002F028B">
      <w:pPr>
        <w:jc w:val="both"/>
        <w:rPr>
          <w:rFonts w:ascii="Times New Roman" w:hAnsi="Times New Roman"/>
          <w:sz w:val="22"/>
          <w:szCs w:val="22"/>
        </w:rPr>
      </w:pPr>
    </w:p>
    <w:p w14:paraId="7A3BE48A" w14:textId="79DDC2D7" w:rsidR="00706D78" w:rsidRDefault="009E57AD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Zvýšenie hladín T</w:t>
      </w:r>
      <w:r w:rsidRPr="007A1CAE">
        <w:rPr>
          <w:rFonts w:ascii="Times New Roman" w:hAnsi="Times New Roman"/>
          <w:sz w:val="22"/>
          <w:szCs w:val="22"/>
          <w:vertAlign w:val="subscript"/>
        </w:rPr>
        <w:t>3</w:t>
      </w:r>
      <w:r w:rsidRPr="007A1CAE">
        <w:rPr>
          <w:rFonts w:ascii="Times New Roman" w:hAnsi="Times New Roman"/>
          <w:sz w:val="22"/>
          <w:szCs w:val="22"/>
        </w:rPr>
        <w:t xml:space="preserve"> je spoľahlivejším indikátorom predávkovania ako zvýšenie hladín T</w:t>
      </w:r>
      <w:r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Pr="007A1CAE">
        <w:rPr>
          <w:rFonts w:ascii="Times New Roman" w:hAnsi="Times New Roman"/>
          <w:sz w:val="22"/>
          <w:szCs w:val="22"/>
        </w:rPr>
        <w:t>a</w:t>
      </w:r>
      <w:r w:rsidR="009F10A9">
        <w:rPr>
          <w:rFonts w:ascii="Times New Roman" w:hAnsi="Times New Roman"/>
          <w:sz w:val="22"/>
          <w:szCs w:val="22"/>
        </w:rPr>
        <w:t>lebo</w:t>
      </w:r>
      <w:r w:rsidRPr="007A1CAE">
        <w:rPr>
          <w:rFonts w:ascii="Times New Roman" w:hAnsi="Times New Roman"/>
          <w:sz w:val="22"/>
          <w:szCs w:val="22"/>
        </w:rPr>
        <w:t> voľného T</w:t>
      </w:r>
      <w:r w:rsidRPr="007A1CAE">
        <w:rPr>
          <w:rFonts w:ascii="Times New Roman" w:hAnsi="Times New Roman"/>
          <w:sz w:val="22"/>
          <w:szCs w:val="22"/>
          <w:vertAlign w:val="subscript"/>
        </w:rPr>
        <w:t>4</w:t>
      </w:r>
      <w:r w:rsidRPr="007A1CAE">
        <w:rPr>
          <w:rFonts w:ascii="Times New Roman" w:hAnsi="Times New Roman"/>
          <w:sz w:val="22"/>
          <w:szCs w:val="22"/>
        </w:rPr>
        <w:t>.</w:t>
      </w:r>
      <w:r w:rsidR="007F11BE"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>Príznakmi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predávkovania a intoxikácie je mierne až silné zvýšenie rýchlosti metabolizmu (pozri</w:t>
      </w:r>
      <w:r w:rsidR="00DF54FF" w:rsidRPr="007A1CAE">
        <w:rPr>
          <w:rFonts w:ascii="Times New Roman" w:hAnsi="Times New Roman"/>
          <w:sz w:val="22"/>
          <w:szCs w:val="22"/>
        </w:rPr>
        <w:t xml:space="preserve"> časť</w:t>
      </w:r>
      <w:r w:rsidR="008018B0" w:rsidRPr="007A1CAE">
        <w:rPr>
          <w:rFonts w:ascii="Times New Roman" w:hAnsi="Times New Roman"/>
          <w:sz w:val="22"/>
          <w:szCs w:val="22"/>
        </w:rPr>
        <w:t xml:space="preserve"> 4.8</w:t>
      </w:r>
      <w:r w:rsidR="008018B0" w:rsidRPr="00B80B4E">
        <w:rPr>
          <w:rFonts w:ascii="Times New Roman" w:hAnsi="Times New Roman"/>
          <w:sz w:val="22"/>
          <w:szCs w:val="22"/>
        </w:rPr>
        <w:t>).</w:t>
      </w:r>
      <w:r w:rsidR="00F56D75">
        <w:rPr>
          <w:rFonts w:ascii="Times New Roman" w:hAnsi="Times New Roman"/>
          <w:sz w:val="22"/>
          <w:szCs w:val="22"/>
        </w:rPr>
        <w:t xml:space="preserve"> </w:t>
      </w:r>
      <w:r w:rsidR="00F56D75" w:rsidRPr="004E7CCC">
        <w:rPr>
          <w:rFonts w:ascii="Times New Roman" w:hAnsi="Times New Roman"/>
          <w:sz w:val="22"/>
          <w:szCs w:val="22"/>
        </w:rPr>
        <w:t>V závislosti od rozsahu predávkovania sa odporúča prerušiť terapiu a urobiť kontrolné vyšetrenia.</w:t>
      </w:r>
    </w:p>
    <w:p w14:paraId="66BB7239" w14:textId="77777777" w:rsidR="009E57AD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 </w:t>
      </w:r>
    </w:p>
    <w:p w14:paraId="4019EAB8" w14:textId="5D6B5B36" w:rsidR="009E57AD" w:rsidRDefault="009E57AD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Dávky </w:t>
      </w:r>
      <w:r w:rsidR="009F10A9">
        <w:rPr>
          <w:rFonts w:ascii="Times New Roman" w:hAnsi="Times New Roman"/>
          <w:sz w:val="22"/>
          <w:szCs w:val="22"/>
        </w:rPr>
        <w:t xml:space="preserve">až </w:t>
      </w:r>
      <w:r w:rsidRPr="007A1CAE">
        <w:rPr>
          <w:rFonts w:ascii="Times New Roman" w:hAnsi="Times New Roman"/>
          <w:sz w:val="22"/>
          <w:szCs w:val="22"/>
        </w:rPr>
        <w:t xml:space="preserve">10 mg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pri intoxikácii </w:t>
      </w:r>
      <w:r w:rsidR="00493508">
        <w:rPr>
          <w:rFonts w:ascii="Times New Roman" w:hAnsi="Times New Roman"/>
          <w:sz w:val="22"/>
          <w:szCs w:val="22"/>
        </w:rPr>
        <w:t>(</w:t>
      </w:r>
      <w:proofErr w:type="spellStart"/>
      <w:r w:rsidRPr="007A1CAE">
        <w:rPr>
          <w:rFonts w:ascii="Times New Roman" w:hAnsi="Times New Roman"/>
          <w:sz w:val="22"/>
          <w:szCs w:val="22"/>
        </w:rPr>
        <w:t>suicidálny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pokus</w:t>
      </w:r>
      <w:r w:rsidR="00493508">
        <w:rPr>
          <w:rFonts w:ascii="Times New Roman" w:hAnsi="Times New Roman"/>
          <w:sz w:val="22"/>
          <w:szCs w:val="22"/>
        </w:rPr>
        <w:t>)</w:t>
      </w:r>
      <w:r w:rsidRPr="007A1CAE">
        <w:rPr>
          <w:rFonts w:ascii="Times New Roman" w:hAnsi="Times New Roman"/>
          <w:sz w:val="22"/>
          <w:szCs w:val="22"/>
        </w:rPr>
        <w:t xml:space="preserve"> boli </w:t>
      </w:r>
      <w:r w:rsidR="00493508">
        <w:rPr>
          <w:rFonts w:ascii="Times New Roman" w:hAnsi="Times New Roman"/>
          <w:sz w:val="22"/>
          <w:szCs w:val="22"/>
        </w:rPr>
        <w:t xml:space="preserve">u ľudí </w:t>
      </w:r>
      <w:r w:rsidRPr="007A1CAE">
        <w:rPr>
          <w:rFonts w:ascii="Times New Roman" w:hAnsi="Times New Roman"/>
          <w:sz w:val="22"/>
          <w:szCs w:val="22"/>
        </w:rPr>
        <w:t xml:space="preserve">tolerované bez komplikácií. Závažné život ohrozujúce poškodenie vitálnych funkcií (dýchania a krvného obehu) je nepravdepodobné okrem pacientov s existujúcim ochorením srdca. Napriek tomu boli hlásené  prípady </w:t>
      </w:r>
      <w:proofErr w:type="spellStart"/>
      <w:r w:rsidRPr="007A1CAE">
        <w:rPr>
          <w:rFonts w:ascii="Times New Roman" w:hAnsi="Times New Roman"/>
          <w:sz w:val="22"/>
          <w:szCs w:val="22"/>
        </w:rPr>
        <w:t>tyreotoxickej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krízy, kŕčov, zlyhania srdca a</w:t>
      </w:r>
      <w:r w:rsidR="00493508">
        <w:rPr>
          <w:rFonts w:ascii="Times New Roman" w:hAnsi="Times New Roman"/>
          <w:sz w:val="22"/>
          <w:szCs w:val="22"/>
        </w:rPr>
        <w:t> </w:t>
      </w:r>
      <w:r w:rsidRPr="007A1CAE">
        <w:rPr>
          <w:rFonts w:ascii="Times New Roman" w:hAnsi="Times New Roman"/>
          <w:sz w:val="22"/>
          <w:szCs w:val="22"/>
        </w:rPr>
        <w:t>kómy</w:t>
      </w:r>
      <w:r w:rsidR="00493508">
        <w:rPr>
          <w:rFonts w:ascii="Times New Roman" w:hAnsi="Times New Roman"/>
          <w:sz w:val="22"/>
          <w:szCs w:val="22"/>
        </w:rPr>
        <w:t>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493508">
        <w:rPr>
          <w:rFonts w:ascii="Times New Roman" w:hAnsi="Times New Roman"/>
          <w:sz w:val="22"/>
          <w:szCs w:val="22"/>
        </w:rPr>
        <w:t>Zaznamenané boli  aj  ojedinelé</w:t>
      </w:r>
      <w:r w:rsidRPr="007A1CAE">
        <w:rPr>
          <w:rFonts w:ascii="Times New Roman" w:hAnsi="Times New Roman"/>
          <w:sz w:val="22"/>
          <w:szCs w:val="22"/>
        </w:rPr>
        <w:t xml:space="preserve"> prípady náhlej srdcovej smrti u pacientov po dlho</w:t>
      </w:r>
      <w:r w:rsidR="00493508">
        <w:rPr>
          <w:rFonts w:ascii="Times New Roman" w:hAnsi="Times New Roman"/>
          <w:sz w:val="22"/>
          <w:szCs w:val="22"/>
        </w:rPr>
        <w:t>ročnom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ab</w:t>
      </w:r>
      <w:r w:rsidR="00DD6D1E">
        <w:rPr>
          <w:rFonts w:ascii="Times New Roman" w:hAnsi="Times New Roman"/>
          <w:sz w:val="22"/>
          <w:szCs w:val="22"/>
        </w:rPr>
        <w:t>úz</w:t>
      </w:r>
      <w:r w:rsidRPr="007A1CAE">
        <w:rPr>
          <w:rFonts w:ascii="Times New Roman" w:hAnsi="Times New Roman"/>
          <w:sz w:val="22"/>
          <w:szCs w:val="22"/>
        </w:rPr>
        <w:t>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3D4E71E8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5749BB0" w14:textId="72B41C67" w:rsidR="009E57AD" w:rsidRDefault="009E57AD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Pri akútnom predávkovaní sa </w:t>
      </w:r>
      <w:proofErr w:type="spellStart"/>
      <w:r w:rsidRPr="007A1CAE">
        <w:rPr>
          <w:rFonts w:ascii="Times New Roman" w:hAnsi="Times New Roman"/>
          <w:sz w:val="22"/>
          <w:szCs w:val="22"/>
        </w:rPr>
        <w:t>gastrointestinálna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absorpcia môže znížiť podaním aktívneho uhlia.</w:t>
      </w:r>
      <w:r w:rsidR="007900AC" w:rsidRPr="007A1CAE">
        <w:rPr>
          <w:rFonts w:ascii="Times New Roman" w:hAnsi="Times New Roman"/>
          <w:sz w:val="22"/>
          <w:szCs w:val="22"/>
        </w:rPr>
        <w:t xml:space="preserve"> Liečba je zvyčajne symptomatická a podporná. V prípade vzniku závažných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beta-symp</w:t>
      </w:r>
      <w:r w:rsidR="00A11F0D">
        <w:rPr>
          <w:rFonts w:ascii="Times New Roman" w:hAnsi="Times New Roman"/>
          <w:sz w:val="22"/>
          <w:szCs w:val="22"/>
        </w:rPr>
        <w:t>a</w:t>
      </w:r>
      <w:r w:rsidR="007900AC" w:rsidRPr="007A1CAE">
        <w:rPr>
          <w:rFonts w:ascii="Times New Roman" w:hAnsi="Times New Roman"/>
          <w:sz w:val="22"/>
          <w:szCs w:val="22"/>
        </w:rPr>
        <w:t>tomimetických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účinkov ako sú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tachykardia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, úzkosť, agitácia alebo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hyperkinézia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sa môžu symptómy zmierniť podaním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blokátorov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beta-receptorov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Tyreostatiká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sú nevhodné, nakoľko štítna žľaza je kompletne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suprimovaná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>.</w:t>
      </w:r>
    </w:p>
    <w:p w14:paraId="65857093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4B3C95BD" w14:textId="7A96FECE" w:rsidR="008018B0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Po </w:t>
      </w:r>
      <w:r w:rsidR="00EF1054">
        <w:rPr>
          <w:rFonts w:ascii="Times New Roman" w:hAnsi="Times New Roman"/>
          <w:sz w:val="22"/>
          <w:szCs w:val="22"/>
        </w:rPr>
        <w:t>u</w:t>
      </w:r>
      <w:r w:rsidRPr="007A1CAE">
        <w:rPr>
          <w:rFonts w:ascii="Times New Roman" w:hAnsi="Times New Roman"/>
          <w:sz w:val="22"/>
          <w:szCs w:val="22"/>
        </w:rPr>
        <w:t>žití extrémn</w:t>
      </w:r>
      <w:r w:rsidR="00493508">
        <w:rPr>
          <w:rFonts w:ascii="Times New Roman" w:hAnsi="Times New Roman"/>
          <w:sz w:val="22"/>
          <w:szCs w:val="22"/>
        </w:rPr>
        <w:t>e vysokých</w:t>
      </w:r>
      <w:r w:rsidRPr="007A1CAE">
        <w:rPr>
          <w:rFonts w:ascii="Times New Roman" w:hAnsi="Times New Roman"/>
          <w:sz w:val="22"/>
          <w:szCs w:val="22"/>
        </w:rPr>
        <w:t xml:space="preserve"> dávok (</w:t>
      </w:r>
      <w:proofErr w:type="spellStart"/>
      <w:r w:rsidRPr="007A1CAE">
        <w:rPr>
          <w:rFonts w:ascii="Times New Roman" w:hAnsi="Times New Roman"/>
          <w:sz w:val="22"/>
          <w:szCs w:val="22"/>
        </w:rPr>
        <w:t>suicidálny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pokus), môže byť užitočná </w:t>
      </w:r>
      <w:proofErr w:type="spellStart"/>
      <w:r w:rsidRPr="007A1CAE">
        <w:rPr>
          <w:rFonts w:ascii="Times New Roman" w:hAnsi="Times New Roman"/>
          <w:sz w:val="22"/>
          <w:szCs w:val="22"/>
        </w:rPr>
        <w:t>plazmaferéza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324B4B4C" w14:textId="0D94799B" w:rsidR="00EE4C83" w:rsidRDefault="00EE4C83" w:rsidP="00706D78">
      <w:pPr>
        <w:jc w:val="both"/>
        <w:rPr>
          <w:rFonts w:ascii="Times New Roman" w:hAnsi="Times New Roman"/>
          <w:sz w:val="22"/>
          <w:szCs w:val="22"/>
        </w:rPr>
      </w:pPr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>Vzh</w:t>
      </w:r>
      <w:r w:rsidRPr="002708C9">
        <w:rPr>
          <w:rStyle w:val="tlid-translation"/>
          <w:rFonts w:ascii="Times New Roman" w:hAnsi="Times New Roman" w:hint="eastAsia"/>
          <w:color w:val="000000" w:themeColor="text1"/>
          <w:sz w:val="22"/>
          <w:szCs w:val="22"/>
        </w:rPr>
        <w:t>ľ</w:t>
      </w:r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>adom na vysok</w:t>
      </w:r>
      <w:r w:rsidRPr="002708C9">
        <w:rPr>
          <w:rStyle w:val="tlid-translation"/>
          <w:rFonts w:ascii="Times New Roman" w:hAnsi="Times New Roman" w:hint="eastAsia"/>
          <w:color w:val="000000" w:themeColor="text1"/>
          <w:sz w:val="22"/>
          <w:szCs w:val="22"/>
        </w:rPr>
        <w:t>ú</w:t>
      </w:r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 xml:space="preserve"> v</w:t>
      </w:r>
      <w:r w:rsidRPr="002708C9">
        <w:rPr>
          <w:rStyle w:val="tlid-translation"/>
          <w:rFonts w:ascii="Times New Roman" w:hAnsi="Times New Roman" w:hint="eastAsia"/>
          <w:color w:val="000000" w:themeColor="text1"/>
          <w:sz w:val="22"/>
          <w:szCs w:val="22"/>
        </w:rPr>
        <w:t>ä</w:t>
      </w:r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 xml:space="preserve">zbu na bielkoviny nie je možné odstrániť </w:t>
      </w:r>
      <w:proofErr w:type="spellStart"/>
      <w:r w:rsidRPr="002708C9">
        <w:rPr>
          <w:rFonts w:ascii="Times New Roman" w:hAnsi="Times New Roman"/>
          <w:color w:val="000000" w:themeColor="text1"/>
          <w:sz w:val="22"/>
          <w:szCs w:val="22"/>
        </w:rPr>
        <w:t>levotyroxín</w:t>
      </w:r>
      <w:proofErr w:type="spellEnd"/>
      <w:r w:rsidRPr="002708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 xml:space="preserve">hemodialýzou, ani </w:t>
      </w:r>
      <w:proofErr w:type="spellStart"/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>hemoperf</w:t>
      </w:r>
      <w:r w:rsidRPr="002708C9">
        <w:rPr>
          <w:rStyle w:val="tlid-translation"/>
          <w:rFonts w:ascii="Times New Roman" w:hAnsi="Times New Roman" w:hint="eastAsia"/>
          <w:color w:val="000000" w:themeColor="text1"/>
          <w:sz w:val="22"/>
          <w:szCs w:val="22"/>
        </w:rPr>
        <w:t>ú</w:t>
      </w:r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>ziou</w:t>
      </w:r>
      <w:proofErr w:type="spellEnd"/>
      <w:r w:rsidRPr="002708C9">
        <w:rPr>
          <w:rStyle w:val="tlid-translation"/>
          <w:rFonts w:ascii="Times New Roman" w:hAnsi="Times New Roman"/>
          <w:color w:val="000000" w:themeColor="text1"/>
          <w:sz w:val="22"/>
          <w:szCs w:val="22"/>
        </w:rPr>
        <w:t>.</w:t>
      </w:r>
    </w:p>
    <w:p w14:paraId="6E49416F" w14:textId="77777777" w:rsidR="00706D78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17460A37" w14:textId="475BC16D" w:rsidR="00EF1054" w:rsidRDefault="00EF1054" w:rsidP="00EF1054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>Predávkova</w:t>
      </w:r>
      <w:r>
        <w:rPr>
          <w:rFonts w:ascii="Times New Roman" w:hAnsi="Times New Roman"/>
          <w:sz w:val="22"/>
          <w:szCs w:val="22"/>
        </w:rPr>
        <w:t>n</w:t>
      </w:r>
      <w:r w:rsidRPr="004E7CCC">
        <w:rPr>
          <w:rFonts w:ascii="Times New Roman" w:hAnsi="Times New Roman"/>
          <w:sz w:val="22"/>
          <w:szCs w:val="22"/>
        </w:rPr>
        <w:t xml:space="preserve">ie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levotyroxínom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vyžaduje dlhšiu periódu monitorovania. Vďaka postupnej konverzii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4E7CCC">
        <w:rPr>
          <w:rFonts w:ascii="Times New Roman" w:hAnsi="Times New Roman"/>
          <w:sz w:val="22"/>
          <w:szCs w:val="22"/>
        </w:rPr>
        <w:t>liotyronín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</w:t>
      </w:r>
      <w:r w:rsidR="00493508">
        <w:rPr>
          <w:rFonts w:ascii="Times New Roman" w:hAnsi="Times New Roman"/>
          <w:sz w:val="22"/>
          <w:szCs w:val="22"/>
        </w:rPr>
        <w:t xml:space="preserve">sa príznaky </w:t>
      </w:r>
      <w:r w:rsidRPr="004E7CCC">
        <w:rPr>
          <w:rFonts w:ascii="Times New Roman" w:hAnsi="Times New Roman"/>
          <w:sz w:val="22"/>
          <w:szCs w:val="22"/>
        </w:rPr>
        <w:t>môžu prejaviť oneskorene až do 6 dní.</w:t>
      </w:r>
    </w:p>
    <w:p w14:paraId="51146A7C" w14:textId="77777777" w:rsidR="00EF1054" w:rsidRPr="007A1CAE" w:rsidRDefault="00EF1054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B602DFF" w14:textId="77777777" w:rsidR="007351AF" w:rsidRPr="007A1CAE" w:rsidRDefault="007351AF">
      <w:pPr>
        <w:jc w:val="both"/>
        <w:rPr>
          <w:rFonts w:ascii="Times New Roman" w:hAnsi="Times New Roman"/>
          <w:sz w:val="22"/>
          <w:szCs w:val="22"/>
        </w:rPr>
      </w:pPr>
    </w:p>
    <w:p w14:paraId="03D14E0E" w14:textId="77777777" w:rsidR="008018B0" w:rsidRPr="007A1CAE" w:rsidRDefault="007F11BE">
      <w:pPr>
        <w:numPr>
          <w:ilvl w:val="0"/>
          <w:numId w:val="9"/>
        </w:numPr>
        <w:jc w:val="both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  </w:t>
      </w:r>
      <w:r w:rsidR="008018B0" w:rsidRPr="007A1CAE">
        <w:rPr>
          <w:rFonts w:ascii="Times New Roman" w:hAnsi="Times New Roman"/>
          <w:b/>
          <w:sz w:val="22"/>
          <w:szCs w:val="22"/>
        </w:rPr>
        <w:t>FARMAKOLOGICKÉ VLASTNOSTI</w:t>
      </w:r>
    </w:p>
    <w:p w14:paraId="0FAC2E54" w14:textId="77777777" w:rsidR="008018B0" w:rsidRPr="007A1CAE" w:rsidRDefault="008018B0">
      <w:pPr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5B7A0BAE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5.1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="008018B0" w:rsidRPr="007A1CAE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741EF0C5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6207983F" w14:textId="2AB16988" w:rsidR="008018B0" w:rsidRPr="00201EDA" w:rsidRDefault="008018B0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201EDA">
        <w:rPr>
          <w:rFonts w:ascii="Times New Roman" w:hAnsi="Times New Roman"/>
          <w:iCs/>
          <w:sz w:val="22"/>
          <w:szCs w:val="22"/>
        </w:rPr>
        <w:t>Farmakoterapeutická</w:t>
      </w:r>
      <w:proofErr w:type="spellEnd"/>
      <w:r w:rsidRPr="00201EDA">
        <w:rPr>
          <w:rFonts w:ascii="Times New Roman" w:hAnsi="Times New Roman"/>
          <w:iCs/>
          <w:sz w:val="22"/>
          <w:szCs w:val="22"/>
        </w:rPr>
        <w:t xml:space="preserve"> skupina</w:t>
      </w:r>
      <w:r w:rsidRPr="00201EDA">
        <w:rPr>
          <w:rFonts w:ascii="Times New Roman" w:hAnsi="Times New Roman"/>
          <w:sz w:val="22"/>
          <w:szCs w:val="22"/>
        </w:rPr>
        <w:t>:</w:t>
      </w:r>
      <w:r w:rsidR="007E1547" w:rsidRPr="007E1547">
        <w:rPr>
          <w:rFonts w:ascii="Times New Roman" w:hAnsi="Times New Roman"/>
          <w:sz w:val="22"/>
          <w:szCs w:val="22"/>
        </w:rPr>
        <w:t xml:space="preserve"> </w:t>
      </w:r>
      <w:r w:rsidR="007E1547">
        <w:rPr>
          <w:rFonts w:ascii="Times New Roman" w:hAnsi="Times New Roman"/>
          <w:sz w:val="22"/>
          <w:szCs w:val="22"/>
        </w:rPr>
        <w:t>Liečba štítnej žľazy,</w:t>
      </w:r>
      <w:r w:rsidRPr="00201EDA">
        <w:rPr>
          <w:rFonts w:ascii="Times New Roman" w:hAnsi="Times New Roman"/>
          <w:sz w:val="22"/>
          <w:szCs w:val="22"/>
        </w:rPr>
        <w:t xml:space="preserve"> hormóny štítnej žľazy</w:t>
      </w:r>
    </w:p>
    <w:p w14:paraId="58688B44" w14:textId="0D89FD81" w:rsidR="008018B0" w:rsidRPr="00201EDA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201EDA">
        <w:rPr>
          <w:rFonts w:ascii="Times New Roman" w:hAnsi="Times New Roman"/>
          <w:iCs/>
          <w:sz w:val="22"/>
          <w:szCs w:val="22"/>
        </w:rPr>
        <w:t>ATC kód</w:t>
      </w:r>
      <w:r w:rsidRPr="00201EDA">
        <w:rPr>
          <w:rFonts w:ascii="Times New Roman" w:hAnsi="Times New Roman"/>
          <w:sz w:val="22"/>
          <w:szCs w:val="22"/>
        </w:rPr>
        <w:t>: H03A</w:t>
      </w:r>
      <w:r w:rsidR="007351AF" w:rsidRPr="00201EDA">
        <w:rPr>
          <w:rFonts w:ascii="Times New Roman" w:hAnsi="Times New Roman"/>
          <w:sz w:val="22"/>
          <w:szCs w:val="22"/>
        </w:rPr>
        <w:t>A</w:t>
      </w:r>
      <w:r w:rsidRPr="00201EDA">
        <w:rPr>
          <w:rFonts w:ascii="Times New Roman" w:hAnsi="Times New Roman"/>
          <w:sz w:val="22"/>
          <w:szCs w:val="22"/>
        </w:rPr>
        <w:t>01</w:t>
      </w:r>
    </w:p>
    <w:p w14:paraId="3DB39C80" w14:textId="77777777" w:rsidR="007A171B" w:rsidRPr="007A1CAE" w:rsidRDefault="007A171B" w:rsidP="001C6F75">
      <w:pPr>
        <w:jc w:val="both"/>
        <w:rPr>
          <w:rFonts w:ascii="Times New Roman" w:hAnsi="Times New Roman"/>
          <w:sz w:val="22"/>
          <w:szCs w:val="22"/>
        </w:rPr>
      </w:pPr>
    </w:p>
    <w:p w14:paraId="2E87AA73" w14:textId="77777777" w:rsidR="007A171B" w:rsidRPr="002F028B" w:rsidRDefault="007A171B" w:rsidP="001C6F75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Mechanizmus účinku</w:t>
      </w:r>
    </w:p>
    <w:p w14:paraId="6BADC9B5" w14:textId="01CF0772" w:rsidR="007E1547" w:rsidRDefault="008018B0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Syntetický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Pr="007A1CAE">
        <w:rPr>
          <w:rFonts w:ascii="Times New Roman" w:hAnsi="Times New Roman"/>
          <w:sz w:val="22"/>
          <w:szCs w:val="22"/>
        </w:rPr>
        <w:t>, ktorý sa nachádza v </w:t>
      </w:r>
      <w:r w:rsidR="00D62B9F" w:rsidRPr="007A1CAE">
        <w:rPr>
          <w:rFonts w:ascii="Times New Roman" w:hAnsi="Times New Roman"/>
          <w:sz w:val="22"/>
          <w:szCs w:val="22"/>
        </w:rPr>
        <w:t>lie</w:t>
      </w:r>
      <w:r w:rsidRPr="007A1CAE">
        <w:rPr>
          <w:rFonts w:ascii="Times New Roman" w:hAnsi="Times New Roman"/>
          <w:sz w:val="22"/>
          <w:szCs w:val="22"/>
        </w:rPr>
        <w:t xml:space="preserve">ku </w:t>
      </w:r>
      <w:proofErr w:type="spellStart"/>
      <w:r w:rsidR="00A935FD" w:rsidRPr="007A1CAE">
        <w:rPr>
          <w:rFonts w:ascii="Times New Roman" w:hAnsi="Times New Roman"/>
          <w:sz w:val="22"/>
          <w:szCs w:val="22"/>
        </w:rPr>
        <w:t>L</w:t>
      </w:r>
      <w:r w:rsidR="000E7EA9" w:rsidRPr="007A1CAE">
        <w:rPr>
          <w:rFonts w:ascii="Times New Roman" w:hAnsi="Times New Roman"/>
          <w:sz w:val="22"/>
          <w:szCs w:val="22"/>
        </w:rPr>
        <w:t>-Thyroxin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 xml:space="preserve"> 125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D62B9F" w:rsidRPr="007A1CAE">
        <w:rPr>
          <w:rFonts w:ascii="Times New Roman" w:hAnsi="Times New Roman"/>
          <w:sz w:val="22"/>
          <w:szCs w:val="22"/>
        </w:rPr>
        <w:t>,</w:t>
      </w:r>
      <w:r w:rsidRPr="007A1CAE">
        <w:rPr>
          <w:rFonts w:ascii="Times New Roman" w:hAnsi="Times New Roman"/>
          <w:sz w:val="22"/>
          <w:szCs w:val="22"/>
        </w:rPr>
        <w:t xml:space="preserve"> je svojím účinkom identický s hormónom biologického pôvodu tvoreným štítnou žľazou. </w:t>
      </w:r>
      <w:r w:rsidR="007A171B" w:rsidRPr="007A1CAE">
        <w:rPr>
          <w:rFonts w:ascii="Times New Roman" w:hAnsi="Times New Roman"/>
          <w:sz w:val="22"/>
          <w:szCs w:val="22"/>
        </w:rPr>
        <w:t xml:space="preserve">Organizmus nerozlišuje endogénne vytvorený </w:t>
      </w:r>
      <w:proofErr w:type="spellStart"/>
      <w:r w:rsidR="007A171B"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="007A171B" w:rsidRPr="007A1CAE">
        <w:rPr>
          <w:rFonts w:ascii="Times New Roman" w:hAnsi="Times New Roman"/>
          <w:sz w:val="22"/>
          <w:szCs w:val="22"/>
        </w:rPr>
        <w:t xml:space="preserve"> od exogénneho. </w:t>
      </w:r>
    </w:p>
    <w:p w14:paraId="3D7E7971" w14:textId="77777777" w:rsidR="007E1547" w:rsidRDefault="007E1547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805C981" w14:textId="3E4D781C" w:rsidR="007E1547" w:rsidRPr="002F028B" w:rsidRDefault="007E1547" w:rsidP="001C6F75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F028B">
        <w:rPr>
          <w:rFonts w:ascii="Times New Roman" w:hAnsi="Times New Roman"/>
          <w:sz w:val="22"/>
          <w:szCs w:val="22"/>
          <w:u w:val="single"/>
        </w:rPr>
        <w:t>Farmakodynamické</w:t>
      </w:r>
      <w:proofErr w:type="spellEnd"/>
      <w:r w:rsidRPr="002F028B">
        <w:rPr>
          <w:rFonts w:ascii="Times New Roman" w:hAnsi="Times New Roman"/>
          <w:sz w:val="22"/>
          <w:szCs w:val="22"/>
          <w:u w:val="single"/>
        </w:rPr>
        <w:t xml:space="preserve"> účinky</w:t>
      </w:r>
    </w:p>
    <w:p w14:paraId="25A2D05A" w14:textId="07027359" w:rsidR="008018B0" w:rsidRPr="007A1CAE" w:rsidRDefault="008018B0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Po čiastočnej konverzii na </w:t>
      </w:r>
      <w:proofErr w:type="spellStart"/>
      <w:r w:rsidRPr="007A1CAE">
        <w:rPr>
          <w:rFonts w:ascii="Times New Roman" w:hAnsi="Times New Roman"/>
          <w:sz w:val="22"/>
          <w:szCs w:val="22"/>
        </w:rPr>
        <w:t>liotyronín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(T3), </w:t>
      </w:r>
      <w:r w:rsidR="00493508">
        <w:rPr>
          <w:rFonts w:ascii="Times New Roman" w:hAnsi="Times New Roman"/>
          <w:sz w:val="22"/>
          <w:szCs w:val="22"/>
        </w:rPr>
        <w:t>predovšetkým</w:t>
      </w:r>
      <w:r w:rsidR="00493508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v pečeni a obličkách, a po prechode do buniek tela</w:t>
      </w:r>
      <w:r w:rsidR="00493508">
        <w:rPr>
          <w:rFonts w:ascii="Times New Roman" w:hAnsi="Times New Roman"/>
          <w:sz w:val="22"/>
          <w:szCs w:val="22"/>
        </w:rPr>
        <w:t xml:space="preserve"> sa pozorujú charakteristické účinky 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C85F5A" w:rsidRPr="007A1CAE">
        <w:rPr>
          <w:rFonts w:ascii="Times New Roman" w:hAnsi="Times New Roman"/>
          <w:sz w:val="22"/>
          <w:szCs w:val="22"/>
        </w:rPr>
        <w:t>hormón</w:t>
      </w:r>
      <w:r w:rsidR="00493508">
        <w:rPr>
          <w:rFonts w:ascii="Times New Roman" w:hAnsi="Times New Roman"/>
          <w:sz w:val="22"/>
          <w:szCs w:val="22"/>
        </w:rPr>
        <w:t>ov</w:t>
      </w:r>
      <w:r w:rsidR="00C85F5A" w:rsidRPr="007A1CAE">
        <w:rPr>
          <w:rFonts w:ascii="Times New Roman" w:hAnsi="Times New Roman"/>
          <w:sz w:val="22"/>
          <w:szCs w:val="22"/>
        </w:rPr>
        <w:t xml:space="preserve"> štítnej žľazy </w:t>
      </w:r>
      <w:r w:rsidR="00493508">
        <w:rPr>
          <w:rFonts w:ascii="Times New Roman" w:hAnsi="Times New Roman"/>
          <w:sz w:val="22"/>
          <w:szCs w:val="22"/>
        </w:rPr>
        <w:t xml:space="preserve">na </w:t>
      </w:r>
      <w:r w:rsidR="00C85F5A" w:rsidRPr="007A1CAE">
        <w:rPr>
          <w:rFonts w:ascii="Times New Roman" w:hAnsi="Times New Roman"/>
          <w:sz w:val="22"/>
          <w:szCs w:val="22"/>
        </w:rPr>
        <w:t>vývoj</w:t>
      </w:r>
      <w:r w:rsidRPr="007A1CAE">
        <w:rPr>
          <w:rFonts w:ascii="Times New Roman" w:hAnsi="Times New Roman"/>
          <w:sz w:val="22"/>
          <w:szCs w:val="22"/>
        </w:rPr>
        <w:t xml:space="preserve">, rast a metabolizmus </w:t>
      </w:r>
      <w:r w:rsidR="00493508">
        <w:rPr>
          <w:rFonts w:ascii="Times New Roman" w:hAnsi="Times New Roman"/>
          <w:sz w:val="22"/>
          <w:szCs w:val="22"/>
        </w:rPr>
        <w:t>prostredníctvom</w:t>
      </w:r>
      <w:r w:rsidR="007A171B" w:rsidRPr="007A1CAE">
        <w:rPr>
          <w:rFonts w:ascii="Times New Roman" w:hAnsi="Times New Roman"/>
          <w:sz w:val="22"/>
          <w:szCs w:val="22"/>
        </w:rPr>
        <w:t xml:space="preserve"> aktivácie T</w:t>
      </w:r>
      <w:r w:rsidR="007A171B" w:rsidRPr="007A1CAE">
        <w:rPr>
          <w:rFonts w:ascii="Times New Roman" w:hAnsi="Times New Roman"/>
          <w:sz w:val="22"/>
          <w:szCs w:val="22"/>
          <w:vertAlign w:val="subscript"/>
        </w:rPr>
        <w:t>3</w:t>
      </w:r>
      <w:r w:rsidR="007A171B" w:rsidRPr="007A1CAE">
        <w:rPr>
          <w:rFonts w:ascii="Times New Roman" w:hAnsi="Times New Roman"/>
          <w:sz w:val="22"/>
          <w:szCs w:val="22"/>
        </w:rPr>
        <w:t xml:space="preserve"> receptorov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721FC69D" w14:textId="77777777" w:rsidR="007A171B" w:rsidRPr="007A1CAE" w:rsidRDefault="007A171B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48135E89" w14:textId="5F8A4AEE" w:rsidR="007A171B" w:rsidRPr="00FE21BF" w:rsidRDefault="007A171B" w:rsidP="001C6F75">
      <w:pPr>
        <w:pStyle w:val="Zarkazkladnhotextu"/>
        <w:ind w:left="0"/>
        <w:outlineLvl w:val="0"/>
        <w:rPr>
          <w:rFonts w:ascii="Times New Roman" w:hAnsi="Times New Roman"/>
          <w:sz w:val="22"/>
          <w:szCs w:val="22"/>
          <w:u w:val="single"/>
        </w:rPr>
      </w:pPr>
      <w:r w:rsidRPr="00FE21BF">
        <w:rPr>
          <w:rFonts w:ascii="Times New Roman" w:hAnsi="Times New Roman"/>
          <w:sz w:val="22"/>
          <w:szCs w:val="22"/>
          <w:u w:val="single"/>
        </w:rPr>
        <w:t>Klinick</w:t>
      </w:r>
      <w:r w:rsidR="001C6F75" w:rsidRPr="00FE21BF">
        <w:rPr>
          <w:rFonts w:ascii="Times New Roman" w:hAnsi="Times New Roman"/>
          <w:sz w:val="22"/>
          <w:szCs w:val="22"/>
          <w:u w:val="single"/>
        </w:rPr>
        <w:t>á</w:t>
      </w:r>
      <w:r w:rsidRPr="00FE21BF">
        <w:rPr>
          <w:rFonts w:ascii="Times New Roman" w:hAnsi="Times New Roman"/>
          <w:sz w:val="22"/>
          <w:szCs w:val="22"/>
          <w:u w:val="single"/>
        </w:rPr>
        <w:t xml:space="preserve"> účin</w:t>
      </w:r>
      <w:r w:rsidR="001C6F75" w:rsidRPr="00FE21BF">
        <w:rPr>
          <w:rFonts w:ascii="Times New Roman" w:hAnsi="Times New Roman"/>
          <w:sz w:val="22"/>
          <w:szCs w:val="22"/>
          <w:u w:val="single"/>
        </w:rPr>
        <w:t>nosť</w:t>
      </w:r>
      <w:r w:rsidRPr="00FE21BF">
        <w:rPr>
          <w:rFonts w:ascii="Times New Roman" w:hAnsi="Times New Roman"/>
          <w:sz w:val="22"/>
          <w:szCs w:val="22"/>
          <w:u w:val="single"/>
        </w:rPr>
        <w:t xml:space="preserve"> a bezpečnosť</w:t>
      </w:r>
    </w:p>
    <w:p w14:paraId="2A1E7E05" w14:textId="6BFA8EF4" w:rsidR="008018B0" w:rsidRPr="007A1CAE" w:rsidRDefault="007A171B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Substitúci</w:t>
      </w:r>
      <w:r w:rsidR="00493508">
        <w:rPr>
          <w:rFonts w:ascii="Times New Roman" w:hAnsi="Times New Roman"/>
          <w:sz w:val="22"/>
          <w:szCs w:val="22"/>
        </w:rPr>
        <w:t>a</w:t>
      </w:r>
      <w:r w:rsidRPr="007A1CAE">
        <w:rPr>
          <w:rFonts w:ascii="Times New Roman" w:hAnsi="Times New Roman"/>
          <w:sz w:val="22"/>
          <w:szCs w:val="22"/>
        </w:rPr>
        <w:t xml:space="preserve"> hormónov štítnej žľazy </w:t>
      </w:r>
      <w:r w:rsidR="00493508">
        <w:rPr>
          <w:rFonts w:ascii="Times New Roman" w:hAnsi="Times New Roman"/>
          <w:sz w:val="22"/>
          <w:szCs w:val="22"/>
        </w:rPr>
        <w:t xml:space="preserve">vedie k </w:t>
      </w:r>
      <w:r w:rsidRPr="007A1CAE">
        <w:rPr>
          <w:rFonts w:ascii="Times New Roman" w:hAnsi="Times New Roman"/>
          <w:sz w:val="22"/>
          <w:szCs w:val="22"/>
        </w:rPr>
        <w:t>normaliz</w:t>
      </w:r>
      <w:r w:rsidR="00493508">
        <w:rPr>
          <w:rFonts w:ascii="Times New Roman" w:hAnsi="Times New Roman"/>
          <w:sz w:val="22"/>
          <w:szCs w:val="22"/>
        </w:rPr>
        <w:t xml:space="preserve">ácii </w:t>
      </w:r>
      <w:r w:rsidRPr="007A1CAE">
        <w:rPr>
          <w:rFonts w:ascii="Times New Roman" w:hAnsi="Times New Roman"/>
          <w:sz w:val="22"/>
          <w:szCs w:val="22"/>
        </w:rPr>
        <w:t>metabolick</w:t>
      </w:r>
      <w:r w:rsidR="00493508">
        <w:rPr>
          <w:rFonts w:ascii="Times New Roman" w:hAnsi="Times New Roman"/>
          <w:sz w:val="22"/>
          <w:szCs w:val="22"/>
        </w:rPr>
        <w:t>ých</w:t>
      </w:r>
      <w:r w:rsidRPr="007A1CAE">
        <w:rPr>
          <w:rFonts w:ascii="Times New Roman" w:hAnsi="Times New Roman"/>
          <w:sz w:val="22"/>
          <w:szCs w:val="22"/>
        </w:rPr>
        <w:t xml:space="preserve"> proces</w:t>
      </w:r>
      <w:r w:rsidR="00493508">
        <w:rPr>
          <w:rFonts w:ascii="Times New Roman" w:hAnsi="Times New Roman"/>
          <w:sz w:val="22"/>
          <w:szCs w:val="22"/>
        </w:rPr>
        <w:t>ov</w:t>
      </w:r>
      <w:r w:rsidRPr="007A1CAE">
        <w:rPr>
          <w:rFonts w:ascii="Times New Roman" w:hAnsi="Times New Roman"/>
          <w:sz w:val="22"/>
          <w:szCs w:val="22"/>
        </w:rPr>
        <w:t xml:space="preserve">. </w:t>
      </w:r>
      <w:r w:rsidR="0094415A" w:rsidRPr="007A1CAE">
        <w:rPr>
          <w:rFonts w:ascii="Times New Roman" w:hAnsi="Times New Roman"/>
          <w:sz w:val="22"/>
          <w:szCs w:val="22"/>
        </w:rPr>
        <w:t>Napríklad zvýšený cholesterol v kontexte s </w:t>
      </w:r>
      <w:proofErr w:type="spellStart"/>
      <w:r w:rsidR="0094415A" w:rsidRPr="007A1CAE">
        <w:rPr>
          <w:rFonts w:ascii="Times New Roman" w:hAnsi="Times New Roman"/>
          <w:sz w:val="22"/>
          <w:szCs w:val="22"/>
        </w:rPr>
        <w:t>hypotyreoidizmom</w:t>
      </w:r>
      <w:proofErr w:type="spellEnd"/>
      <w:r w:rsidR="0094415A" w:rsidRPr="007A1CAE">
        <w:rPr>
          <w:rFonts w:ascii="Times New Roman" w:hAnsi="Times New Roman"/>
          <w:sz w:val="22"/>
          <w:szCs w:val="22"/>
        </w:rPr>
        <w:t xml:space="preserve"> sa významne </w:t>
      </w:r>
      <w:r w:rsidR="00493508">
        <w:rPr>
          <w:rFonts w:ascii="Times New Roman" w:hAnsi="Times New Roman"/>
          <w:sz w:val="22"/>
          <w:szCs w:val="22"/>
        </w:rPr>
        <w:t>znižuje</w:t>
      </w:r>
      <w:r w:rsidR="00493508" w:rsidRPr="007A1CAE">
        <w:rPr>
          <w:rFonts w:ascii="Times New Roman" w:hAnsi="Times New Roman"/>
          <w:sz w:val="22"/>
          <w:szCs w:val="22"/>
        </w:rPr>
        <w:t xml:space="preserve"> </w:t>
      </w:r>
      <w:r w:rsidR="0094415A" w:rsidRPr="007A1CAE">
        <w:rPr>
          <w:rFonts w:ascii="Times New Roman" w:hAnsi="Times New Roman"/>
          <w:sz w:val="22"/>
          <w:szCs w:val="22"/>
        </w:rPr>
        <w:t xml:space="preserve">po podaní </w:t>
      </w:r>
      <w:proofErr w:type="spellStart"/>
      <w:r w:rsidR="0094415A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94415A" w:rsidRPr="007A1CAE">
        <w:rPr>
          <w:rFonts w:ascii="Times New Roman" w:hAnsi="Times New Roman"/>
          <w:sz w:val="22"/>
          <w:szCs w:val="22"/>
        </w:rPr>
        <w:t>.</w:t>
      </w:r>
    </w:p>
    <w:p w14:paraId="6ED54DE5" w14:textId="77777777" w:rsidR="007A171B" w:rsidRPr="007A1CAE" w:rsidRDefault="007A171B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081A405B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5.2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="008018B0" w:rsidRPr="007A1CAE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7223A7C4" w14:textId="028EDDC0" w:rsidR="0030249A" w:rsidRPr="007A1CAE" w:rsidRDefault="0030249A" w:rsidP="0030249A">
      <w:pPr>
        <w:jc w:val="both"/>
        <w:rPr>
          <w:rFonts w:ascii="Times New Roman" w:hAnsi="Times New Roman"/>
          <w:sz w:val="22"/>
          <w:szCs w:val="22"/>
        </w:rPr>
      </w:pPr>
    </w:p>
    <w:p w14:paraId="5CE7F9B2" w14:textId="77777777" w:rsidR="001C6F75" w:rsidRDefault="001C6F75" w:rsidP="001C6F7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Absorpcia</w:t>
      </w:r>
    </w:p>
    <w:p w14:paraId="7E34F5CE" w14:textId="4100F64F" w:rsidR="0017194A" w:rsidRDefault="008018B0" w:rsidP="001C6F75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Po užití nalačno, v závislosti od </w:t>
      </w:r>
      <w:proofErr w:type="spellStart"/>
      <w:r w:rsidRPr="007A1CAE">
        <w:rPr>
          <w:rFonts w:ascii="Times New Roman" w:hAnsi="Times New Roman"/>
          <w:sz w:val="22"/>
          <w:szCs w:val="22"/>
        </w:rPr>
        <w:t>galenick</w:t>
      </w:r>
      <w:r w:rsidR="00493508">
        <w:rPr>
          <w:rFonts w:ascii="Times New Roman" w:hAnsi="Times New Roman"/>
          <w:sz w:val="22"/>
          <w:szCs w:val="22"/>
        </w:rPr>
        <w:t>ej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r w:rsidR="00493508">
        <w:rPr>
          <w:rFonts w:ascii="Times New Roman" w:hAnsi="Times New Roman"/>
          <w:sz w:val="22"/>
          <w:szCs w:val="22"/>
        </w:rPr>
        <w:t>formy lieku</w:t>
      </w:r>
      <w:r w:rsidRPr="007A1CAE">
        <w:rPr>
          <w:rFonts w:ascii="Times New Roman" w:hAnsi="Times New Roman"/>
          <w:sz w:val="22"/>
          <w:szCs w:val="22"/>
        </w:rPr>
        <w:t xml:space="preserve">, sa absorbuje maximum 80 %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najmä v tenkom čreve. </w:t>
      </w:r>
      <w:r w:rsidR="0017194A" w:rsidRPr="004E7CCC">
        <w:rPr>
          <w:rFonts w:ascii="Times New Roman" w:hAnsi="Times New Roman"/>
          <w:sz w:val="22"/>
          <w:szCs w:val="22"/>
        </w:rPr>
        <w:t xml:space="preserve">Užitie </w:t>
      </w:r>
      <w:r w:rsidR="00C51A92">
        <w:rPr>
          <w:rFonts w:ascii="Times New Roman" w:hAnsi="Times New Roman"/>
          <w:sz w:val="22"/>
          <w:szCs w:val="22"/>
        </w:rPr>
        <w:t xml:space="preserve">lieku </w:t>
      </w:r>
      <w:r w:rsidR="0017194A" w:rsidRPr="004E7CCC">
        <w:rPr>
          <w:rFonts w:ascii="Times New Roman" w:hAnsi="Times New Roman"/>
          <w:sz w:val="22"/>
          <w:szCs w:val="22"/>
        </w:rPr>
        <w:t>súčasne s jedlom výrazne zníži absorpciu</w:t>
      </w:r>
      <w:r w:rsidR="0017194A">
        <w:rPr>
          <w:rFonts w:ascii="Times New Roman" w:hAnsi="Times New Roman"/>
          <w:sz w:val="22"/>
          <w:szCs w:val="22"/>
        </w:rPr>
        <w:t>.</w:t>
      </w:r>
    </w:p>
    <w:p w14:paraId="7814F6CF" w14:textId="77777777" w:rsidR="0017194A" w:rsidRDefault="0017194A" w:rsidP="001C6F75">
      <w:pPr>
        <w:rPr>
          <w:rFonts w:ascii="Times New Roman" w:hAnsi="Times New Roman"/>
          <w:sz w:val="22"/>
          <w:szCs w:val="22"/>
        </w:rPr>
      </w:pPr>
    </w:p>
    <w:p w14:paraId="3AB990A2" w14:textId="6670579D" w:rsidR="002E2613" w:rsidRDefault="002E2613" w:rsidP="002E2613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Maximálna plazmatická hladina sa dosiahne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>za 2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>3 hodiny po užití.</w:t>
      </w:r>
    </w:p>
    <w:p w14:paraId="7BEE788E" w14:textId="77DBB03A" w:rsidR="002E2613" w:rsidRDefault="002E2613" w:rsidP="001C6F75">
      <w:pPr>
        <w:rPr>
          <w:rFonts w:ascii="Times New Roman" w:hAnsi="Times New Roman"/>
          <w:sz w:val="22"/>
          <w:szCs w:val="22"/>
        </w:rPr>
      </w:pPr>
    </w:p>
    <w:p w14:paraId="0314D26B" w14:textId="0693DA66" w:rsidR="0030249A" w:rsidRPr="007A1CAE" w:rsidRDefault="00D62B9F" w:rsidP="001C6F75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Po</w:t>
      </w:r>
      <w:r w:rsidR="008018B0" w:rsidRPr="007A1CAE">
        <w:rPr>
          <w:rFonts w:ascii="Times New Roman" w:hAnsi="Times New Roman"/>
          <w:sz w:val="22"/>
          <w:szCs w:val="22"/>
        </w:rPr>
        <w:t xml:space="preserve"> začiatku perorálnej aplikácie sa dá liečebný efekt očakávať po 3 až 5 dňoch. </w:t>
      </w:r>
    </w:p>
    <w:p w14:paraId="50D90A51" w14:textId="77777777" w:rsidR="001C6F75" w:rsidRDefault="001C6F75" w:rsidP="001C6F75">
      <w:pPr>
        <w:rPr>
          <w:rFonts w:ascii="Times New Roman" w:hAnsi="Times New Roman"/>
          <w:sz w:val="22"/>
          <w:szCs w:val="22"/>
        </w:rPr>
      </w:pPr>
    </w:p>
    <w:p w14:paraId="316DAF27" w14:textId="77777777" w:rsidR="001C6F75" w:rsidRDefault="001C6F75" w:rsidP="001C6F7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Distribúcia</w:t>
      </w:r>
    </w:p>
    <w:p w14:paraId="2D941A4A" w14:textId="33592036" w:rsidR="00337267" w:rsidRDefault="00337267" w:rsidP="00337267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Distribučný objem je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>10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 xml:space="preserve">12 l.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>99,97</w:t>
      </w:r>
      <w:r w:rsidR="001E36EC" w:rsidRPr="004E7CCC">
        <w:rPr>
          <w:rFonts w:ascii="Times New Roman" w:hAnsi="Times New Roman"/>
          <w:sz w:val="22"/>
          <w:szCs w:val="22"/>
        </w:rPr>
        <w:t> </w:t>
      </w:r>
      <w:r w:rsidRPr="004E7CCC">
        <w:rPr>
          <w:rFonts w:ascii="Times New Roman" w:hAnsi="Times New Roman"/>
          <w:sz w:val="22"/>
          <w:szCs w:val="22"/>
        </w:rPr>
        <w:t xml:space="preserve">%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>
        <w:rPr>
          <w:rFonts w:ascii="Times New Roman" w:hAnsi="Times New Roman"/>
          <w:sz w:val="22"/>
          <w:szCs w:val="22"/>
        </w:rPr>
        <w:t xml:space="preserve"> sa viaže na </w:t>
      </w:r>
      <w:r w:rsidRPr="004E7CCC">
        <w:rPr>
          <w:rFonts w:ascii="Times New Roman" w:hAnsi="Times New Roman"/>
          <w:sz w:val="22"/>
          <w:szCs w:val="22"/>
        </w:rPr>
        <w:t xml:space="preserve">špecifické transportné bielkoviny plazmy. Väzba hormónov na tieto proteíny nie je </w:t>
      </w:r>
      <w:proofErr w:type="spellStart"/>
      <w:r w:rsidRPr="004E7CCC">
        <w:rPr>
          <w:rFonts w:ascii="Times New Roman" w:hAnsi="Times New Roman"/>
          <w:sz w:val="22"/>
          <w:szCs w:val="22"/>
        </w:rPr>
        <w:t>kovalentná</w:t>
      </w:r>
      <w:proofErr w:type="spellEnd"/>
      <w:r w:rsidRPr="004E7CCC">
        <w:rPr>
          <w:rFonts w:ascii="Times New Roman" w:hAnsi="Times New Roman"/>
          <w:sz w:val="22"/>
          <w:szCs w:val="22"/>
        </w:rPr>
        <w:t>, to znamená, že prebieha konštantná a veľmi rýchla výmena medzi voľným a viazaným hormónom.</w:t>
      </w:r>
    </w:p>
    <w:p w14:paraId="10F9F663" w14:textId="77777777" w:rsidR="001C6F75" w:rsidRDefault="001C6F75" w:rsidP="001C6F75">
      <w:pPr>
        <w:rPr>
          <w:rFonts w:ascii="Times New Roman" w:hAnsi="Times New Roman"/>
          <w:sz w:val="22"/>
          <w:szCs w:val="22"/>
        </w:rPr>
      </w:pPr>
    </w:p>
    <w:p w14:paraId="606DDF59" w14:textId="77777777" w:rsidR="001C6F75" w:rsidRDefault="001C6F75" w:rsidP="001C6F7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Eliminácia</w:t>
      </w:r>
    </w:p>
    <w:p w14:paraId="0C980569" w14:textId="37825330" w:rsidR="008018B0" w:rsidRDefault="008018B0" w:rsidP="001C6F75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Metabolický </w:t>
      </w:r>
      <w:proofErr w:type="spellStart"/>
      <w:r w:rsidRPr="007A1CAE">
        <w:rPr>
          <w:rFonts w:ascii="Times New Roman" w:hAnsi="Times New Roman"/>
          <w:sz w:val="22"/>
          <w:szCs w:val="22"/>
        </w:rPr>
        <w:t>klírens</w:t>
      </w:r>
      <w:proofErr w:type="spellEnd"/>
      <w:r w:rsidR="00C51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1A92"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je približne </w:t>
      </w:r>
      <w:smartTag w:uri="urn:schemas-microsoft-com:office:smarttags" w:element="metricconverter">
        <w:smartTagPr>
          <w:attr w:name="ProductID" w:val="1,2 l"/>
        </w:smartTagPr>
        <w:r w:rsidRPr="007A1CAE">
          <w:rPr>
            <w:rFonts w:ascii="Times New Roman" w:hAnsi="Times New Roman"/>
            <w:sz w:val="22"/>
            <w:szCs w:val="22"/>
          </w:rPr>
          <w:t>1,2 l</w:t>
        </w:r>
      </w:smartTag>
      <w:r w:rsidRPr="007A1CAE">
        <w:rPr>
          <w:rFonts w:ascii="Times New Roman" w:hAnsi="Times New Roman"/>
          <w:sz w:val="22"/>
          <w:szCs w:val="22"/>
        </w:rPr>
        <w:t xml:space="preserve"> plazmy/deň</w:t>
      </w:r>
      <w:r w:rsidR="001B04DB">
        <w:rPr>
          <w:rFonts w:ascii="Times New Roman" w:hAnsi="Times New Roman"/>
          <w:sz w:val="22"/>
          <w:szCs w:val="22"/>
        </w:rPr>
        <w:t>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1B04DB">
        <w:rPr>
          <w:rFonts w:ascii="Times New Roman" w:hAnsi="Times New Roman"/>
          <w:sz w:val="22"/>
          <w:szCs w:val="22"/>
        </w:rPr>
        <w:t>K</w:t>
      </w:r>
      <w:r w:rsidRPr="007A1CAE">
        <w:rPr>
          <w:rFonts w:ascii="Times New Roman" w:hAnsi="Times New Roman"/>
          <w:sz w:val="22"/>
          <w:szCs w:val="22"/>
        </w:rPr>
        <w:t> odbúr</w:t>
      </w:r>
      <w:r w:rsidR="0030249A" w:rsidRPr="007A1CAE">
        <w:rPr>
          <w:rFonts w:ascii="Times New Roman" w:hAnsi="Times New Roman"/>
          <w:sz w:val="22"/>
          <w:szCs w:val="22"/>
        </w:rPr>
        <w:t>avaniu dochádza najmä v pečeni,</w:t>
      </w:r>
      <w:r w:rsidR="00894B4D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obličkách, mozgu a vo svaloch. </w:t>
      </w:r>
      <w:proofErr w:type="spellStart"/>
      <w:r w:rsidR="00894B4D" w:rsidRPr="004E7CCC">
        <w:rPr>
          <w:rFonts w:ascii="Times New Roman" w:hAnsi="Times New Roman"/>
          <w:sz w:val="22"/>
          <w:szCs w:val="22"/>
        </w:rPr>
        <w:t>Metabolity</w:t>
      </w:r>
      <w:proofErr w:type="spellEnd"/>
      <w:r w:rsidR="00894B4D" w:rsidRPr="004E7CCC">
        <w:rPr>
          <w:rFonts w:ascii="Times New Roman" w:hAnsi="Times New Roman"/>
          <w:sz w:val="22"/>
          <w:szCs w:val="22"/>
        </w:rPr>
        <w:t xml:space="preserve"> sa vylučujú močom a stolicou.</w:t>
      </w:r>
    </w:p>
    <w:p w14:paraId="21386429" w14:textId="77777777" w:rsidR="00894B4D" w:rsidRDefault="00894B4D" w:rsidP="001C6F75">
      <w:pPr>
        <w:rPr>
          <w:rFonts w:ascii="Times New Roman" w:hAnsi="Times New Roman"/>
          <w:sz w:val="22"/>
          <w:szCs w:val="22"/>
        </w:rPr>
      </w:pPr>
    </w:p>
    <w:p w14:paraId="35F5814A" w14:textId="1E6FA45F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Polčas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je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 xml:space="preserve">7 dní, pri </w:t>
      </w:r>
      <w:proofErr w:type="spellStart"/>
      <w:r w:rsidRPr="004E7CCC">
        <w:rPr>
          <w:rFonts w:ascii="Times New Roman" w:hAnsi="Times New Roman"/>
          <w:sz w:val="22"/>
          <w:szCs w:val="22"/>
        </w:rPr>
        <w:t>hypertyreoidizme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</w:t>
      </w:r>
      <w:r w:rsidR="00C51A92">
        <w:rPr>
          <w:rFonts w:ascii="Times New Roman" w:hAnsi="Times New Roman"/>
          <w:sz w:val="22"/>
          <w:szCs w:val="22"/>
        </w:rPr>
        <w:t xml:space="preserve">je kratší </w:t>
      </w:r>
      <w:r w:rsidRPr="004E7CCC">
        <w:rPr>
          <w:rFonts w:ascii="Times New Roman" w:hAnsi="Times New Roman"/>
          <w:sz w:val="22"/>
          <w:szCs w:val="22"/>
        </w:rPr>
        <w:t>(3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>4 dni</w:t>
      </w:r>
      <w:r w:rsidR="00936391">
        <w:rPr>
          <w:rFonts w:ascii="Times New Roman" w:hAnsi="Times New Roman"/>
          <w:sz w:val="22"/>
          <w:szCs w:val="22"/>
        </w:rPr>
        <w:t>)</w:t>
      </w:r>
      <w:r w:rsidRPr="004E7CCC">
        <w:rPr>
          <w:rFonts w:ascii="Times New Roman" w:hAnsi="Times New Roman"/>
          <w:sz w:val="22"/>
          <w:szCs w:val="22"/>
        </w:rPr>
        <w:t xml:space="preserve"> a  pri </w:t>
      </w:r>
      <w:proofErr w:type="spellStart"/>
      <w:r w:rsidRPr="004E7CCC">
        <w:rPr>
          <w:rFonts w:ascii="Times New Roman" w:hAnsi="Times New Roman"/>
          <w:sz w:val="22"/>
          <w:szCs w:val="22"/>
        </w:rPr>
        <w:t>hypotyreoidizme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</w:t>
      </w:r>
      <w:r w:rsidR="007C5247" w:rsidRPr="004E7CCC">
        <w:rPr>
          <w:rFonts w:ascii="Times New Roman" w:hAnsi="Times New Roman"/>
          <w:sz w:val="22"/>
          <w:szCs w:val="22"/>
        </w:rPr>
        <w:t xml:space="preserve">dlhší </w:t>
      </w:r>
      <w:r w:rsidRPr="004E7CCC">
        <w:rPr>
          <w:rFonts w:ascii="Times New Roman" w:hAnsi="Times New Roman"/>
          <w:sz w:val="22"/>
          <w:szCs w:val="22"/>
        </w:rPr>
        <w:t>(</w:t>
      </w:r>
      <w:r w:rsidR="00C51A92">
        <w:rPr>
          <w:rFonts w:ascii="Times New Roman" w:hAnsi="Times New Roman"/>
          <w:sz w:val="22"/>
          <w:szCs w:val="22"/>
        </w:rPr>
        <w:t xml:space="preserve">približne </w:t>
      </w:r>
      <w:r w:rsidRPr="004E7CCC">
        <w:rPr>
          <w:rFonts w:ascii="Times New Roman" w:hAnsi="Times New Roman"/>
          <w:sz w:val="22"/>
          <w:szCs w:val="22"/>
        </w:rPr>
        <w:t>9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>10 dní).</w:t>
      </w:r>
    </w:p>
    <w:p w14:paraId="04F4BCFA" w14:textId="69219D1F" w:rsidR="008018B0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0C75A76A" w14:textId="3C018DF4" w:rsidR="00894B4D" w:rsidRPr="004E7CCC" w:rsidRDefault="00894B4D" w:rsidP="00894B4D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4E7CCC">
        <w:rPr>
          <w:rFonts w:ascii="Times New Roman" w:hAnsi="Times New Roman"/>
          <w:i/>
          <w:iCs/>
          <w:sz w:val="22"/>
          <w:szCs w:val="22"/>
        </w:rPr>
        <w:t xml:space="preserve">Gravidita a </w:t>
      </w:r>
      <w:r w:rsidR="00C51A92">
        <w:rPr>
          <w:rFonts w:ascii="Times New Roman" w:hAnsi="Times New Roman"/>
          <w:i/>
          <w:iCs/>
          <w:sz w:val="22"/>
          <w:szCs w:val="22"/>
        </w:rPr>
        <w:t>dojčenie</w:t>
      </w:r>
    </w:p>
    <w:p w14:paraId="18A4573D" w14:textId="77777777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E7CCC">
        <w:rPr>
          <w:rFonts w:ascii="Times New Roman" w:hAnsi="Times New Roman"/>
          <w:sz w:val="22"/>
          <w:szCs w:val="22"/>
        </w:rPr>
        <w:t>Levotyroxín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prechádza cez placentu v malých množstvách. Pri liečbe normálnymi dávkami sa do       materského mlieka dostanú len malé množstvá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>.</w:t>
      </w:r>
    </w:p>
    <w:p w14:paraId="73B38ECE" w14:textId="77777777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</w:p>
    <w:p w14:paraId="4A7A7843" w14:textId="46CEFAFA" w:rsidR="00894B4D" w:rsidRPr="004E7CCC" w:rsidRDefault="00C51A92" w:rsidP="00894B4D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Porucha funkcie obličiek</w:t>
      </w:r>
    </w:p>
    <w:p w14:paraId="57646CBE" w14:textId="77777777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Vzhľadom na vysoký stupeň väzby na proteíny nepodlieha </w:t>
      </w:r>
      <w:proofErr w:type="spellStart"/>
      <w:r>
        <w:rPr>
          <w:rFonts w:ascii="Times New Roman" w:hAnsi="Times New Roman"/>
          <w:sz w:val="22"/>
          <w:szCs w:val="22"/>
        </w:rPr>
        <w:t>levotyroxín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 xml:space="preserve">hemodialýze ani </w:t>
      </w:r>
      <w:proofErr w:type="spellStart"/>
      <w:r w:rsidRPr="004E7CCC">
        <w:rPr>
          <w:rFonts w:ascii="Times New Roman" w:hAnsi="Times New Roman"/>
          <w:sz w:val="22"/>
          <w:szCs w:val="22"/>
        </w:rPr>
        <w:t>hemoperfúzii</w:t>
      </w:r>
      <w:proofErr w:type="spellEnd"/>
      <w:r w:rsidRPr="004E7CCC">
        <w:rPr>
          <w:rFonts w:ascii="Times New Roman" w:hAnsi="Times New Roman"/>
          <w:sz w:val="22"/>
          <w:szCs w:val="22"/>
        </w:rPr>
        <w:t>.</w:t>
      </w:r>
    </w:p>
    <w:p w14:paraId="3C02649D" w14:textId="77777777" w:rsidR="00B44334" w:rsidRPr="007A1CAE" w:rsidRDefault="00B44334">
      <w:pPr>
        <w:jc w:val="both"/>
        <w:rPr>
          <w:rFonts w:ascii="Times New Roman" w:hAnsi="Times New Roman"/>
          <w:sz w:val="22"/>
          <w:szCs w:val="22"/>
        </w:rPr>
      </w:pPr>
    </w:p>
    <w:p w14:paraId="42DAB1CD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5.3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Predklinické údaje o bezpečnosti</w:t>
      </w:r>
    </w:p>
    <w:p w14:paraId="5AE3EC59" w14:textId="77777777" w:rsidR="0030249A" w:rsidRPr="007A1CAE" w:rsidRDefault="0030249A" w:rsidP="002F028B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74EEFB3B" w14:textId="0E447D8D" w:rsidR="008018B0" w:rsidRPr="007A1CAE" w:rsidRDefault="008018B0" w:rsidP="001C6F75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Cs/>
          <w:sz w:val="22"/>
          <w:szCs w:val="22"/>
          <w:u w:val="single"/>
        </w:rPr>
        <w:t>Akútna toxicita</w:t>
      </w:r>
    </w:p>
    <w:p w14:paraId="0F28EBAA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Akútna toxicita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je veľmi nízka.</w:t>
      </w:r>
    </w:p>
    <w:p w14:paraId="2FE59B85" w14:textId="77777777" w:rsidR="005F6371" w:rsidRPr="007A1CAE" w:rsidRDefault="005F6371" w:rsidP="001C6F75">
      <w:pPr>
        <w:jc w:val="both"/>
        <w:rPr>
          <w:rFonts w:ascii="Times New Roman" w:hAnsi="Times New Roman"/>
          <w:sz w:val="22"/>
          <w:szCs w:val="22"/>
        </w:rPr>
      </w:pPr>
    </w:p>
    <w:p w14:paraId="168C1117" w14:textId="749151DA" w:rsidR="008018B0" w:rsidRPr="007A1CAE" w:rsidRDefault="008018B0" w:rsidP="001C6F75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Cs/>
          <w:sz w:val="22"/>
          <w:szCs w:val="22"/>
          <w:u w:val="single"/>
        </w:rPr>
        <w:t>Chronická toxicita</w:t>
      </w:r>
    </w:p>
    <w:p w14:paraId="167855AE" w14:textId="17C7B4C9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Chronická toxicita </w:t>
      </w:r>
      <w:r w:rsidR="009556E4" w:rsidRPr="007A1CAE">
        <w:rPr>
          <w:rFonts w:ascii="Times New Roman" w:hAnsi="Times New Roman"/>
          <w:sz w:val="22"/>
          <w:szCs w:val="22"/>
        </w:rPr>
        <w:t>bola</w:t>
      </w:r>
      <w:r w:rsidRPr="007A1CAE">
        <w:rPr>
          <w:rFonts w:ascii="Times New Roman" w:hAnsi="Times New Roman"/>
          <w:sz w:val="22"/>
          <w:szCs w:val="22"/>
        </w:rPr>
        <w:t xml:space="preserve"> sledova</w:t>
      </w:r>
      <w:r w:rsidR="009556E4" w:rsidRPr="007A1CAE">
        <w:rPr>
          <w:rFonts w:ascii="Times New Roman" w:hAnsi="Times New Roman"/>
          <w:sz w:val="22"/>
          <w:szCs w:val="22"/>
        </w:rPr>
        <w:t>ná</w:t>
      </w:r>
      <w:r w:rsidRPr="007A1CAE">
        <w:rPr>
          <w:rFonts w:ascii="Times New Roman" w:hAnsi="Times New Roman"/>
          <w:sz w:val="22"/>
          <w:szCs w:val="22"/>
        </w:rPr>
        <w:t xml:space="preserve"> na rôznych druhoch zvierat (potkany, psy). Pri vysokých dávkach sa u potkanov </w:t>
      </w:r>
      <w:r w:rsidR="00C51A92">
        <w:rPr>
          <w:rFonts w:ascii="Times New Roman" w:hAnsi="Times New Roman"/>
          <w:sz w:val="22"/>
          <w:szCs w:val="22"/>
        </w:rPr>
        <w:t>pozoroval</w:t>
      </w:r>
      <w:r w:rsidR="006D0EE7">
        <w:rPr>
          <w:rFonts w:ascii="Times New Roman" w:hAnsi="Times New Roman"/>
          <w:sz w:val="22"/>
          <w:szCs w:val="22"/>
        </w:rPr>
        <w:t>a</w:t>
      </w:r>
      <w:r w:rsidR="00C51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hepatopatia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B475F4">
        <w:rPr>
          <w:rFonts w:ascii="Times New Roman" w:hAnsi="Times New Roman"/>
          <w:sz w:val="22"/>
          <w:szCs w:val="22"/>
        </w:rPr>
        <w:t xml:space="preserve">zvýšený </w:t>
      </w:r>
      <w:r w:rsidRPr="007A1CAE">
        <w:rPr>
          <w:rFonts w:ascii="Times New Roman" w:hAnsi="Times New Roman"/>
          <w:sz w:val="22"/>
          <w:szCs w:val="22"/>
        </w:rPr>
        <w:t xml:space="preserve">výskyt spontánnych </w:t>
      </w:r>
      <w:proofErr w:type="spellStart"/>
      <w:r w:rsidRPr="007A1CAE">
        <w:rPr>
          <w:rFonts w:ascii="Times New Roman" w:hAnsi="Times New Roman"/>
          <w:sz w:val="22"/>
          <w:szCs w:val="22"/>
        </w:rPr>
        <w:t>nefróz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</w:t>
      </w:r>
      <w:r w:rsidR="00C51A92">
        <w:rPr>
          <w:rFonts w:ascii="Times New Roman" w:hAnsi="Times New Roman"/>
          <w:sz w:val="22"/>
          <w:szCs w:val="22"/>
        </w:rPr>
        <w:t xml:space="preserve"> tiež</w:t>
      </w:r>
      <w:r w:rsidRPr="007A1CAE">
        <w:rPr>
          <w:rFonts w:ascii="Times New Roman" w:hAnsi="Times New Roman"/>
          <w:sz w:val="22"/>
          <w:szCs w:val="22"/>
        </w:rPr>
        <w:t xml:space="preserve"> zmena hmotnosti orgánov.</w:t>
      </w:r>
    </w:p>
    <w:p w14:paraId="217BC223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 psov sa nezistili žiadne výrazné nežiaduce účinky.</w:t>
      </w:r>
    </w:p>
    <w:p w14:paraId="23D38EF6" w14:textId="77777777" w:rsidR="008018B0" w:rsidRDefault="008018B0" w:rsidP="001C6F75">
      <w:pPr>
        <w:jc w:val="both"/>
        <w:rPr>
          <w:rFonts w:ascii="Times New Roman" w:hAnsi="Times New Roman"/>
          <w:sz w:val="22"/>
          <w:szCs w:val="22"/>
        </w:rPr>
      </w:pPr>
    </w:p>
    <w:p w14:paraId="592C90C6" w14:textId="1DBADD0A" w:rsidR="00251B56" w:rsidRPr="002F028B" w:rsidRDefault="00251B56" w:rsidP="001C6F75">
      <w:pPr>
        <w:jc w:val="both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F028B">
        <w:rPr>
          <w:rFonts w:ascii="Times New Roman" w:hAnsi="Times New Roman"/>
          <w:sz w:val="22"/>
          <w:szCs w:val="22"/>
          <w:u w:val="single"/>
        </w:rPr>
        <w:t>Mutagenita</w:t>
      </w:r>
      <w:proofErr w:type="spellEnd"/>
    </w:p>
    <w:p w14:paraId="66154608" w14:textId="77777777" w:rsidR="00251B56" w:rsidRPr="007A1CAE" w:rsidRDefault="00251B56" w:rsidP="00251B56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Experimentálne údaje týkajúce sa mutagénneho potenciálu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nie sú k dispozícii. V súčasnosti nie sú známe žiadne údaje o vzniku poškodenia potomstva zmenou v </w:t>
      </w:r>
      <w:proofErr w:type="spellStart"/>
      <w:r w:rsidRPr="007A1CAE">
        <w:rPr>
          <w:rFonts w:ascii="Times New Roman" w:hAnsi="Times New Roman"/>
          <w:sz w:val="22"/>
          <w:szCs w:val="22"/>
        </w:rPr>
        <w:t>genóme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ako následku pôsobenia hormónov štítnej žľazy.</w:t>
      </w:r>
    </w:p>
    <w:p w14:paraId="698D2019" w14:textId="77777777" w:rsidR="00251B56" w:rsidRPr="007A1CAE" w:rsidRDefault="00251B56" w:rsidP="001C6F75">
      <w:pPr>
        <w:jc w:val="both"/>
        <w:rPr>
          <w:rFonts w:ascii="Times New Roman" w:hAnsi="Times New Roman"/>
          <w:sz w:val="22"/>
          <w:szCs w:val="22"/>
        </w:rPr>
      </w:pPr>
    </w:p>
    <w:p w14:paraId="06202978" w14:textId="77E36B22" w:rsidR="008018B0" w:rsidRPr="007A1CAE" w:rsidRDefault="008018B0" w:rsidP="001C6F75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Cs/>
          <w:sz w:val="22"/>
          <w:szCs w:val="22"/>
          <w:u w:val="single"/>
        </w:rPr>
        <w:t>Karcinog</w:t>
      </w:r>
      <w:r w:rsidR="00251B56">
        <w:rPr>
          <w:rFonts w:ascii="Times New Roman" w:hAnsi="Times New Roman"/>
          <w:iCs/>
          <w:sz w:val="22"/>
          <w:szCs w:val="22"/>
          <w:u w:val="single"/>
        </w:rPr>
        <w:t>enita</w:t>
      </w:r>
    </w:p>
    <w:p w14:paraId="1AE3999E" w14:textId="6EE1D174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Dlhodobé sledovania </w:t>
      </w:r>
      <w:r w:rsidR="00B475F4">
        <w:rPr>
          <w:rFonts w:ascii="Times New Roman" w:hAnsi="Times New Roman"/>
          <w:sz w:val="22"/>
          <w:szCs w:val="22"/>
        </w:rPr>
        <w:t xml:space="preserve">karcinogénneho potenciálu </w:t>
      </w:r>
      <w:proofErr w:type="spellStart"/>
      <w:r w:rsidR="00C4019B">
        <w:rPr>
          <w:rFonts w:ascii="Times New Roman" w:hAnsi="Times New Roman"/>
          <w:sz w:val="22"/>
          <w:szCs w:val="22"/>
        </w:rPr>
        <w:t>levotyroxínu</w:t>
      </w:r>
      <w:proofErr w:type="spellEnd"/>
      <w:r w:rsidR="00C4019B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na zvieratách neboli vykonané. </w:t>
      </w:r>
    </w:p>
    <w:p w14:paraId="2888FEA4" w14:textId="77777777" w:rsidR="008018B0" w:rsidRPr="007A1CAE" w:rsidRDefault="008018B0" w:rsidP="001C6F75">
      <w:pPr>
        <w:jc w:val="both"/>
        <w:rPr>
          <w:rFonts w:ascii="Times New Roman" w:hAnsi="Times New Roman"/>
          <w:iCs/>
          <w:sz w:val="22"/>
          <w:szCs w:val="22"/>
        </w:rPr>
      </w:pPr>
    </w:p>
    <w:p w14:paraId="2A9DB4EB" w14:textId="2E0D2BEC" w:rsidR="008018B0" w:rsidRPr="009F1A92" w:rsidRDefault="008018B0" w:rsidP="001C6F75">
      <w:pPr>
        <w:jc w:val="both"/>
        <w:rPr>
          <w:rFonts w:ascii="Times New Roman" w:hAnsi="Times New Roman"/>
          <w:i/>
          <w:sz w:val="22"/>
          <w:szCs w:val="22"/>
        </w:rPr>
      </w:pPr>
      <w:r w:rsidRPr="00FE21BF">
        <w:rPr>
          <w:rFonts w:ascii="Times New Roman" w:hAnsi="Times New Roman"/>
          <w:iCs/>
          <w:sz w:val="22"/>
          <w:szCs w:val="22"/>
          <w:u w:val="single"/>
        </w:rPr>
        <w:t>Reprodukčná</w:t>
      </w:r>
      <w:r w:rsidRPr="006D0EE7">
        <w:rPr>
          <w:rFonts w:ascii="Times New Roman" w:hAnsi="Times New Roman"/>
          <w:iCs/>
          <w:sz w:val="22"/>
          <w:szCs w:val="22"/>
          <w:u w:val="single"/>
        </w:rPr>
        <w:t xml:space="preserve"> toxicita</w:t>
      </w:r>
    </w:p>
    <w:p w14:paraId="7F325EF4" w14:textId="77777777" w:rsidR="001C6F75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Cez placentárnu membránu prechádza len veľmi malá časť hormónov štítnej žľazy.</w:t>
      </w:r>
    </w:p>
    <w:p w14:paraId="752032F4" w14:textId="77777777" w:rsidR="00DE6F72" w:rsidRDefault="00DE6F72" w:rsidP="00961CAD">
      <w:pPr>
        <w:jc w:val="both"/>
        <w:rPr>
          <w:rFonts w:ascii="Times New Roman" w:hAnsi="Times New Roman"/>
          <w:sz w:val="22"/>
          <w:szCs w:val="22"/>
        </w:rPr>
      </w:pPr>
    </w:p>
    <w:p w14:paraId="667EEFD7" w14:textId="2094A1A7" w:rsidR="00961CAD" w:rsidRDefault="00C51A92" w:rsidP="00961CA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Experimentálne ú</w:t>
      </w:r>
      <w:r w:rsidR="00961CAD">
        <w:rPr>
          <w:rFonts w:ascii="Times New Roman" w:hAnsi="Times New Roman"/>
          <w:sz w:val="22"/>
          <w:szCs w:val="22"/>
        </w:rPr>
        <w:t>daje</w:t>
      </w:r>
      <w:r w:rsidR="00961CAD" w:rsidRPr="004E7CCC">
        <w:rPr>
          <w:rFonts w:ascii="Times New Roman" w:hAnsi="Times New Roman"/>
          <w:sz w:val="22"/>
          <w:szCs w:val="22"/>
        </w:rPr>
        <w:t xml:space="preserve"> o poškodení </w:t>
      </w:r>
      <w:proofErr w:type="spellStart"/>
      <w:r w:rsidR="00961CAD" w:rsidRPr="004E7CCC">
        <w:rPr>
          <w:rFonts w:ascii="Times New Roman" w:hAnsi="Times New Roman"/>
          <w:sz w:val="22"/>
          <w:szCs w:val="22"/>
        </w:rPr>
        <w:t>fertility</w:t>
      </w:r>
      <w:proofErr w:type="spellEnd"/>
      <w:r w:rsidR="00961CAD" w:rsidRPr="004E7CCC">
        <w:rPr>
          <w:rFonts w:ascii="Times New Roman" w:hAnsi="Times New Roman"/>
          <w:sz w:val="22"/>
          <w:szCs w:val="22"/>
        </w:rPr>
        <w:t xml:space="preserve"> obidvoch pohlaví účinkom </w:t>
      </w:r>
      <w:proofErr w:type="spellStart"/>
      <w:r w:rsidR="00961CAD"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>
        <w:rPr>
          <w:rFonts w:ascii="Times New Roman" w:hAnsi="Times New Roman"/>
          <w:sz w:val="22"/>
          <w:szCs w:val="22"/>
        </w:rPr>
        <w:t xml:space="preserve"> nie sú k dispozícii. N</w:t>
      </w:r>
      <w:r w:rsidR="00961CAD" w:rsidRPr="004E7CCC">
        <w:rPr>
          <w:rFonts w:ascii="Times New Roman" w:hAnsi="Times New Roman"/>
          <w:sz w:val="22"/>
          <w:szCs w:val="22"/>
        </w:rPr>
        <w:t xml:space="preserve">ie je ani podozrenie alebo náznak, že by hormóny štítnej žľazy </w:t>
      </w:r>
      <w:proofErr w:type="spellStart"/>
      <w:r w:rsidR="00961CAD" w:rsidRPr="004E7CCC">
        <w:rPr>
          <w:rFonts w:ascii="Times New Roman" w:hAnsi="Times New Roman"/>
          <w:sz w:val="22"/>
          <w:szCs w:val="22"/>
        </w:rPr>
        <w:t>fertilitu</w:t>
      </w:r>
      <w:proofErr w:type="spellEnd"/>
      <w:r w:rsidR="00961CAD" w:rsidRPr="004E7CCC">
        <w:rPr>
          <w:rFonts w:ascii="Times New Roman" w:hAnsi="Times New Roman"/>
          <w:sz w:val="22"/>
          <w:szCs w:val="22"/>
        </w:rPr>
        <w:t xml:space="preserve"> ovplyvňovali.</w:t>
      </w:r>
    </w:p>
    <w:p w14:paraId="4A71B0B3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</w:p>
    <w:p w14:paraId="069498D3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</w:p>
    <w:p w14:paraId="0DB7894F" w14:textId="77777777" w:rsidR="008018B0" w:rsidRPr="007A1CAE" w:rsidRDefault="007F11BE">
      <w:pPr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FARMACEUTICKÉ INFORMÁCIE</w:t>
      </w:r>
    </w:p>
    <w:p w14:paraId="551B4715" w14:textId="77777777" w:rsidR="008018B0" w:rsidRPr="007A1CAE" w:rsidRDefault="008018B0">
      <w:pPr>
        <w:jc w:val="both"/>
        <w:rPr>
          <w:rFonts w:ascii="Times New Roman" w:hAnsi="Times New Roman"/>
          <w:b/>
          <w:sz w:val="22"/>
          <w:szCs w:val="22"/>
        </w:rPr>
      </w:pPr>
    </w:p>
    <w:p w14:paraId="1282D0FD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6.1 </w:t>
      </w:r>
      <w:r w:rsidR="008018B0" w:rsidRPr="007A1CAE">
        <w:rPr>
          <w:rFonts w:ascii="Times New Roman" w:hAnsi="Times New Roman"/>
          <w:b/>
          <w:sz w:val="22"/>
          <w:szCs w:val="22"/>
        </w:rPr>
        <w:t>Zoznam pomocných látok</w:t>
      </w:r>
    </w:p>
    <w:p w14:paraId="3F984404" w14:textId="77777777" w:rsidR="0030249A" w:rsidRPr="007A1CAE" w:rsidRDefault="0030249A" w:rsidP="002F028B">
      <w:pPr>
        <w:pStyle w:val="Zkladntext"/>
        <w:rPr>
          <w:rFonts w:ascii="Times New Roman" w:hAnsi="Times New Roman"/>
          <w:sz w:val="22"/>
          <w:szCs w:val="22"/>
        </w:rPr>
      </w:pPr>
    </w:p>
    <w:p w14:paraId="3C4B66E4" w14:textId="77777777" w:rsidR="00BB088D" w:rsidRDefault="009F1A92" w:rsidP="0030249A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C51A92">
        <w:rPr>
          <w:rFonts w:ascii="Times New Roman" w:hAnsi="Times New Roman"/>
          <w:sz w:val="22"/>
          <w:szCs w:val="22"/>
        </w:rPr>
        <w:t xml:space="preserve">osforečnan vápenatý, </w:t>
      </w:r>
      <w:proofErr w:type="spellStart"/>
      <w:r w:rsidR="00C51A92">
        <w:rPr>
          <w:rFonts w:ascii="Times New Roman" w:hAnsi="Times New Roman"/>
          <w:sz w:val="22"/>
          <w:szCs w:val="22"/>
        </w:rPr>
        <w:t>dihydrát</w:t>
      </w:r>
      <w:proofErr w:type="spellEnd"/>
    </w:p>
    <w:p w14:paraId="00C03197" w14:textId="33B70628" w:rsidR="008018B0" w:rsidRPr="007A1CAE" w:rsidRDefault="00F85CA4" w:rsidP="0030249A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1C6F75">
        <w:rPr>
          <w:rFonts w:ascii="Times New Roman" w:hAnsi="Times New Roman"/>
          <w:sz w:val="22"/>
          <w:szCs w:val="22"/>
        </w:rPr>
        <w:t>ikrokryštalická celulóza</w:t>
      </w:r>
    </w:p>
    <w:p w14:paraId="683B13C4" w14:textId="104195E5" w:rsidR="001C6F75" w:rsidRDefault="00F85CA4" w:rsidP="00590EF5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1C6F75"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 w:rsidR="001C6F75">
        <w:rPr>
          <w:rFonts w:ascii="Times New Roman" w:hAnsi="Times New Roman"/>
          <w:sz w:val="22"/>
          <w:szCs w:val="22"/>
        </w:rPr>
        <w:t>karboxymetylškrobu</w:t>
      </w:r>
      <w:proofErr w:type="spellEnd"/>
      <w:r w:rsidR="00976FD6" w:rsidRPr="007A1CAE">
        <w:rPr>
          <w:rFonts w:ascii="Times New Roman" w:hAnsi="Times New Roman"/>
          <w:sz w:val="22"/>
          <w:szCs w:val="22"/>
        </w:rPr>
        <w:t xml:space="preserve"> (typ A)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</w:p>
    <w:p w14:paraId="3D7242F6" w14:textId="3F202ECF" w:rsidR="00976FD6" w:rsidRPr="007A1CAE" w:rsidRDefault="00936391" w:rsidP="00590EF5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C6F75">
        <w:rPr>
          <w:rFonts w:ascii="Times New Roman" w:hAnsi="Times New Roman"/>
          <w:sz w:val="22"/>
          <w:szCs w:val="22"/>
        </w:rPr>
        <w:t>extrín</w:t>
      </w:r>
      <w:r w:rsidR="001C6F75" w:rsidRPr="007A1CAE">
        <w:rPr>
          <w:rFonts w:ascii="Times New Roman" w:hAnsi="Times New Roman"/>
          <w:sz w:val="22"/>
          <w:szCs w:val="22"/>
        </w:rPr>
        <w:t xml:space="preserve"> </w:t>
      </w:r>
      <w:r w:rsidR="00976FD6" w:rsidRPr="007A1CAE">
        <w:rPr>
          <w:rFonts w:ascii="Times New Roman" w:hAnsi="Times New Roman"/>
          <w:sz w:val="22"/>
          <w:szCs w:val="22"/>
        </w:rPr>
        <w:t>(z  kukuričného škrobu)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r w:rsidR="00976FD6" w:rsidRPr="007A1CAE">
        <w:rPr>
          <w:rFonts w:ascii="Times New Roman" w:hAnsi="Times New Roman"/>
          <w:sz w:val="22"/>
          <w:szCs w:val="22"/>
        </w:rPr>
        <w:t xml:space="preserve">          </w:t>
      </w:r>
    </w:p>
    <w:p w14:paraId="03A012DA" w14:textId="50B09304" w:rsidR="002671BF" w:rsidRDefault="00F85CA4" w:rsidP="002F028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1C6F75">
        <w:rPr>
          <w:rFonts w:ascii="Times New Roman" w:hAnsi="Times New Roman"/>
          <w:sz w:val="22"/>
          <w:szCs w:val="22"/>
        </w:rPr>
        <w:t xml:space="preserve">iastočné </w:t>
      </w:r>
      <w:proofErr w:type="spellStart"/>
      <w:r w:rsidR="001C6F75">
        <w:rPr>
          <w:rFonts w:ascii="Times New Roman" w:hAnsi="Times New Roman"/>
          <w:sz w:val="22"/>
          <w:szCs w:val="22"/>
        </w:rPr>
        <w:t>glyceridy</w:t>
      </w:r>
      <w:proofErr w:type="spellEnd"/>
      <w:r w:rsidR="001C6F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vyšších </w:t>
      </w:r>
      <w:r w:rsidR="001C6F75">
        <w:rPr>
          <w:rFonts w:ascii="Times New Roman" w:hAnsi="Times New Roman"/>
          <w:sz w:val="22"/>
          <w:szCs w:val="22"/>
        </w:rPr>
        <w:t>mastných kyselín</w:t>
      </w:r>
    </w:p>
    <w:p w14:paraId="1AB25BCE" w14:textId="77777777" w:rsidR="004267F0" w:rsidRPr="007A1CAE" w:rsidRDefault="004267F0" w:rsidP="002F028B">
      <w:pPr>
        <w:rPr>
          <w:rFonts w:ascii="Times New Roman" w:hAnsi="Times New Roman"/>
          <w:sz w:val="22"/>
          <w:szCs w:val="22"/>
        </w:rPr>
      </w:pPr>
    </w:p>
    <w:p w14:paraId="0880BB94" w14:textId="77777777" w:rsidR="001C6F75" w:rsidRDefault="00C65834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6.2 </w:t>
      </w:r>
      <w:r w:rsidR="008018B0" w:rsidRPr="007A1CAE">
        <w:rPr>
          <w:rFonts w:ascii="Times New Roman" w:hAnsi="Times New Roman"/>
          <w:b/>
          <w:sz w:val="22"/>
          <w:szCs w:val="22"/>
        </w:rPr>
        <w:t>Inkompatibility</w:t>
      </w:r>
    </w:p>
    <w:p w14:paraId="4DA8DDA7" w14:textId="77777777" w:rsidR="001C6F75" w:rsidRDefault="001C6F75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624C350B" w14:textId="77777777" w:rsidR="008018B0" w:rsidRPr="007A1CAE" w:rsidRDefault="00665FEB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Neaplikovateľné.</w:t>
      </w:r>
    </w:p>
    <w:p w14:paraId="209BDDFC" w14:textId="77777777" w:rsidR="00665FEB" w:rsidRPr="007A1CAE" w:rsidRDefault="00665FEB" w:rsidP="002F028B">
      <w:pPr>
        <w:jc w:val="both"/>
        <w:rPr>
          <w:rFonts w:ascii="Times New Roman" w:hAnsi="Times New Roman"/>
          <w:sz w:val="22"/>
          <w:szCs w:val="22"/>
        </w:rPr>
      </w:pPr>
    </w:p>
    <w:p w14:paraId="169FD11C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6.3 </w:t>
      </w:r>
      <w:r w:rsidR="008018B0" w:rsidRPr="007A1CAE">
        <w:rPr>
          <w:rFonts w:ascii="Times New Roman" w:hAnsi="Times New Roman"/>
          <w:b/>
          <w:sz w:val="22"/>
          <w:szCs w:val="22"/>
        </w:rPr>
        <w:t>Čas použiteľnosti</w:t>
      </w:r>
    </w:p>
    <w:p w14:paraId="0C25DA5E" w14:textId="77777777" w:rsidR="001C6F75" w:rsidRDefault="001C6F75" w:rsidP="001C6F75">
      <w:pPr>
        <w:jc w:val="both"/>
        <w:rPr>
          <w:rFonts w:ascii="Times New Roman" w:hAnsi="Times New Roman"/>
          <w:sz w:val="22"/>
          <w:szCs w:val="22"/>
        </w:rPr>
      </w:pPr>
    </w:p>
    <w:p w14:paraId="23370EA8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2 roky</w:t>
      </w:r>
    </w:p>
    <w:p w14:paraId="123A19F4" w14:textId="0D5823D3" w:rsidR="007F11BE" w:rsidRPr="007A1CAE" w:rsidRDefault="007F11B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5A024DBA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6.4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423A1A" w:rsidRPr="007A1CAE">
        <w:rPr>
          <w:rFonts w:ascii="Times New Roman" w:hAnsi="Times New Roman"/>
          <w:b/>
          <w:sz w:val="22"/>
          <w:szCs w:val="22"/>
        </w:rPr>
        <w:t>Špeciálne u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pozornenia na </w:t>
      </w:r>
      <w:r w:rsidR="00423A1A" w:rsidRPr="007A1CAE">
        <w:rPr>
          <w:rFonts w:ascii="Times New Roman" w:hAnsi="Times New Roman"/>
          <w:b/>
          <w:sz w:val="22"/>
          <w:szCs w:val="22"/>
        </w:rPr>
        <w:t>uchovávanie</w:t>
      </w:r>
    </w:p>
    <w:p w14:paraId="256CB93B" w14:textId="77777777" w:rsidR="0030249A" w:rsidRPr="007A1CAE" w:rsidRDefault="0030249A" w:rsidP="002F028B">
      <w:pPr>
        <w:jc w:val="both"/>
        <w:rPr>
          <w:rFonts w:ascii="Times New Roman" w:hAnsi="Times New Roman"/>
          <w:iCs/>
          <w:sz w:val="22"/>
          <w:szCs w:val="22"/>
        </w:rPr>
      </w:pPr>
    </w:p>
    <w:p w14:paraId="570ACC0C" w14:textId="77777777" w:rsidR="008018B0" w:rsidRPr="007A1CAE" w:rsidRDefault="008018B0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>U</w:t>
      </w:r>
      <w:r w:rsidRPr="007A1CAE">
        <w:rPr>
          <w:rFonts w:ascii="Times New Roman" w:hAnsi="Times New Roman"/>
          <w:sz w:val="22"/>
          <w:szCs w:val="22"/>
        </w:rPr>
        <w:t>chováva</w:t>
      </w:r>
      <w:r w:rsidR="00590EF5">
        <w:rPr>
          <w:rFonts w:ascii="Times New Roman" w:hAnsi="Times New Roman"/>
          <w:sz w:val="22"/>
          <w:szCs w:val="22"/>
        </w:rPr>
        <w:t>jte</w:t>
      </w:r>
      <w:r w:rsidRPr="007A1CAE">
        <w:rPr>
          <w:rFonts w:ascii="Times New Roman" w:hAnsi="Times New Roman"/>
          <w:sz w:val="22"/>
          <w:szCs w:val="22"/>
        </w:rPr>
        <w:t xml:space="preserve"> pri teplote do 25</w:t>
      </w:r>
      <w:r w:rsidR="00972C6A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sym w:font="Symbol" w:char="F0B0"/>
      </w:r>
      <w:r w:rsidRPr="007A1CAE">
        <w:rPr>
          <w:rFonts w:ascii="Times New Roman" w:hAnsi="Times New Roman"/>
          <w:sz w:val="22"/>
          <w:szCs w:val="22"/>
        </w:rPr>
        <w:t>C.</w:t>
      </w:r>
    </w:p>
    <w:p w14:paraId="5442CA5D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215A421B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A1CAE">
        <w:rPr>
          <w:rFonts w:ascii="Times New Roman" w:hAnsi="Times New Roman"/>
          <w:b/>
          <w:bCs/>
          <w:sz w:val="22"/>
          <w:szCs w:val="22"/>
        </w:rPr>
        <w:t xml:space="preserve">6.5 </w:t>
      </w:r>
      <w:r w:rsidR="007F11BE" w:rsidRPr="007A1CA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23A1A" w:rsidRPr="007A1CAE">
        <w:rPr>
          <w:rFonts w:ascii="Times New Roman" w:hAnsi="Times New Roman"/>
          <w:b/>
          <w:bCs/>
          <w:sz w:val="22"/>
          <w:szCs w:val="22"/>
        </w:rPr>
        <w:t>Druh</w:t>
      </w:r>
      <w:r w:rsidR="008018B0" w:rsidRPr="007A1CAE">
        <w:rPr>
          <w:rFonts w:ascii="Times New Roman" w:hAnsi="Times New Roman"/>
          <w:b/>
          <w:bCs/>
          <w:sz w:val="22"/>
          <w:szCs w:val="22"/>
        </w:rPr>
        <w:t xml:space="preserve"> obalu</w:t>
      </w:r>
      <w:r w:rsidR="00423A1A" w:rsidRPr="007A1CAE">
        <w:rPr>
          <w:rFonts w:ascii="Times New Roman" w:hAnsi="Times New Roman"/>
          <w:b/>
          <w:bCs/>
          <w:sz w:val="22"/>
          <w:szCs w:val="22"/>
        </w:rPr>
        <w:t xml:space="preserve"> a obsah balenia</w:t>
      </w:r>
    </w:p>
    <w:p w14:paraId="1EA6C400" w14:textId="77777777" w:rsidR="0030249A" w:rsidRPr="007A1CAE" w:rsidRDefault="0030249A" w:rsidP="002F028B">
      <w:pPr>
        <w:jc w:val="both"/>
        <w:rPr>
          <w:rFonts w:ascii="Times New Roman" w:hAnsi="Times New Roman"/>
          <w:iCs/>
          <w:sz w:val="22"/>
          <w:szCs w:val="22"/>
        </w:rPr>
      </w:pPr>
    </w:p>
    <w:p w14:paraId="7EBA04B2" w14:textId="77777777" w:rsidR="00D832A4" w:rsidRPr="007A1CAE" w:rsidRDefault="00D832A4" w:rsidP="001C6F75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Blister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z potiahnutej alumíniovej fólie zatavený s alumíniovou fóliou.</w:t>
      </w:r>
    </w:p>
    <w:p w14:paraId="4153128E" w14:textId="210F4856" w:rsidR="008018B0" w:rsidRPr="007A1CAE" w:rsidRDefault="0056628E" w:rsidP="001C6F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Veľkosť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balenia: 25, 50 a 100 tabliet</w:t>
      </w:r>
    </w:p>
    <w:p w14:paraId="2AFBAF06" w14:textId="397010FF" w:rsidR="008018B0" w:rsidRPr="007A1CAE" w:rsidRDefault="001C6F75" w:rsidP="001C6F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76FD6" w:rsidRPr="007A1CAE">
        <w:rPr>
          <w:rFonts w:ascii="Times New Roman" w:hAnsi="Times New Roman"/>
          <w:sz w:val="22"/>
          <w:szCs w:val="22"/>
        </w:rPr>
        <w:t>všetky veľkosti balenia.</w:t>
      </w:r>
    </w:p>
    <w:p w14:paraId="14764011" w14:textId="77777777" w:rsidR="00976FD6" w:rsidRPr="007A1CAE" w:rsidRDefault="00976FD6">
      <w:pPr>
        <w:jc w:val="both"/>
        <w:rPr>
          <w:rFonts w:ascii="Times New Roman" w:hAnsi="Times New Roman"/>
          <w:sz w:val="22"/>
          <w:szCs w:val="22"/>
        </w:rPr>
      </w:pPr>
    </w:p>
    <w:p w14:paraId="17847936" w14:textId="77777777" w:rsidR="008018B0" w:rsidRPr="007A1CAE" w:rsidRDefault="008018B0" w:rsidP="00201EDA">
      <w:pPr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6.6</w:t>
      </w:r>
      <w:r w:rsidR="00C65834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6A7DAF" w:rsidRPr="007A1CAE">
        <w:rPr>
          <w:rFonts w:ascii="Times New Roman" w:hAnsi="Times New Roman"/>
          <w:b/>
          <w:sz w:val="22"/>
          <w:szCs w:val="22"/>
        </w:rPr>
        <w:t>Špeciálne opatrenia na likvidáciu a iné zaobchádzanie s liekom</w:t>
      </w:r>
      <w:r w:rsidRPr="007A1CAE">
        <w:rPr>
          <w:rFonts w:ascii="Times New Roman" w:hAnsi="Times New Roman"/>
          <w:sz w:val="22"/>
          <w:szCs w:val="22"/>
        </w:rPr>
        <w:t xml:space="preserve">   </w:t>
      </w:r>
    </w:p>
    <w:p w14:paraId="502AC676" w14:textId="77777777" w:rsidR="007F11BE" w:rsidRPr="007A1CAE" w:rsidRDefault="007F11BE" w:rsidP="0030249A">
      <w:pPr>
        <w:jc w:val="both"/>
        <w:rPr>
          <w:rFonts w:ascii="Times New Roman" w:hAnsi="Times New Roman"/>
          <w:sz w:val="22"/>
          <w:szCs w:val="22"/>
        </w:rPr>
      </w:pPr>
    </w:p>
    <w:p w14:paraId="59345D4E" w14:textId="1B48C6C7" w:rsidR="00AF399F" w:rsidRPr="007A1CAE" w:rsidRDefault="002817B2" w:rsidP="007F11B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Všetok nepoužitý liek alebo odpad vzniknutý z lieku sa má zlikvidovať v súlade s národnými požiadavkami.</w:t>
      </w:r>
    </w:p>
    <w:p w14:paraId="48EC4CA8" w14:textId="77777777" w:rsidR="0030249A" w:rsidRDefault="0030249A">
      <w:pPr>
        <w:jc w:val="both"/>
        <w:rPr>
          <w:rFonts w:ascii="Times New Roman" w:hAnsi="Times New Roman"/>
          <w:sz w:val="22"/>
          <w:szCs w:val="22"/>
        </w:rPr>
      </w:pPr>
    </w:p>
    <w:p w14:paraId="4687F4B2" w14:textId="77777777" w:rsidR="00936391" w:rsidRPr="007A1CAE" w:rsidRDefault="00936391">
      <w:pPr>
        <w:jc w:val="both"/>
        <w:rPr>
          <w:rFonts w:ascii="Times New Roman" w:hAnsi="Times New Roman"/>
          <w:sz w:val="22"/>
          <w:szCs w:val="22"/>
        </w:rPr>
      </w:pPr>
    </w:p>
    <w:p w14:paraId="2C45A246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7.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>DRŽITEĽ ROZHODNUTIA O REGISTRÁCII</w:t>
      </w:r>
    </w:p>
    <w:p w14:paraId="066F17B9" w14:textId="51FE865A" w:rsidR="0030249A" w:rsidRPr="007A1CAE" w:rsidRDefault="0030249A" w:rsidP="0030249A">
      <w:pPr>
        <w:jc w:val="both"/>
        <w:rPr>
          <w:rFonts w:ascii="Times New Roman" w:hAnsi="Times New Roman"/>
          <w:sz w:val="22"/>
          <w:szCs w:val="22"/>
        </w:rPr>
      </w:pPr>
    </w:p>
    <w:p w14:paraId="6EEDC1D6" w14:textId="31DEEC3D" w:rsidR="00972C6A" w:rsidRPr="007A1CAE" w:rsidRDefault="008018B0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AG </w:t>
      </w:r>
    </w:p>
    <w:p w14:paraId="32322056" w14:textId="77777777" w:rsidR="008018B0" w:rsidRPr="007A1CAE" w:rsidRDefault="008018B0" w:rsidP="00AF399F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Glienicker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Weg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125</w:t>
      </w:r>
    </w:p>
    <w:p w14:paraId="480F44CE" w14:textId="77777777" w:rsidR="008018B0" w:rsidRPr="007A1CAE" w:rsidRDefault="00392F75" w:rsidP="00AF39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018B0" w:rsidRPr="007A1CAE">
        <w:rPr>
          <w:rFonts w:ascii="Times New Roman" w:hAnsi="Times New Roman"/>
          <w:sz w:val="22"/>
          <w:szCs w:val="22"/>
        </w:rPr>
        <w:t>2489 Berl</w:t>
      </w:r>
      <w:r w:rsidR="00972C6A" w:rsidRPr="007A1CAE">
        <w:rPr>
          <w:rFonts w:ascii="Times New Roman" w:hAnsi="Times New Roman"/>
          <w:sz w:val="22"/>
          <w:szCs w:val="22"/>
        </w:rPr>
        <w:t>í</w:t>
      </w:r>
      <w:r w:rsidR="008018B0" w:rsidRPr="007A1CAE">
        <w:rPr>
          <w:rFonts w:ascii="Times New Roman" w:hAnsi="Times New Roman"/>
          <w:sz w:val="22"/>
          <w:szCs w:val="22"/>
        </w:rPr>
        <w:t>n</w:t>
      </w:r>
    </w:p>
    <w:p w14:paraId="0CCF6A35" w14:textId="77777777" w:rsidR="008018B0" w:rsidRDefault="008018B0" w:rsidP="00976FD6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Nemecko</w:t>
      </w:r>
    </w:p>
    <w:p w14:paraId="0C2A1ECA" w14:textId="77777777" w:rsidR="00AF399F" w:rsidRPr="007A1CAE" w:rsidRDefault="00AF399F" w:rsidP="00976FD6">
      <w:pPr>
        <w:jc w:val="both"/>
        <w:rPr>
          <w:rFonts w:ascii="Times New Roman" w:hAnsi="Times New Roman"/>
          <w:sz w:val="22"/>
          <w:szCs w:val="22"/>
        </w:rPr>
      </w:pPr>
    </w:p>
    <w:p w14:paraId="46EBF350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64E22C49" w14:textId="77777777" w:rsidR="008018B0" w:rsidRPr="007A1CAE" w:rsidRDefault="008018B0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REGISTRAČNÉ ČÍSLO</w:t>
      </w:r>
    </w:p>
    <w:p w14:paraId="53C9DFC2" w14:textId="77777777" w:rsidR="00AF399F" w:rsidRDefault="00AF399F" w:rsidP="00A935FD">
      <w:pPr>
        <w:rPr>
          <w:rFonts w:ascii="Times New Roman" w:hAnsi="Times New Roman"/>
          <w:sz w:val="22"/>
          <w:szCs w:val="22"/>
        </w:rPr>
      </w:pPr>
    </w:p>
    <w:p w14:paraId="0299FD42" w14:textId="77777777" w:rsidR="00970E89" w:rsidRDefault="00970E89" w:rsidP="00A935FD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56/048</w:t>
      </w:r>
      <w:r w:rsidR="00A935FD" w:rsidRPr="007A1CAE">
        <w:rPr>
          <w:rFonts w:ascii="Times New Roman" w:hAnsi="Times New Roman"/>
          <w:sz w:val="22"/>
          <w:szCs w:val="22"/>
        </w:rPr>
        <w:t>9</w:t>
      </w:r>
      <w:r w:rsidRPr="007A1CAE">
        <w:rPr>
          <w:rFonts w:ascii="Times New Roman" w:hAnsi="Times New Roman"/>
          <w:sz w:val="22"/>
          <w:szCs w:val="22"/>
        </w:rPr>
        <w:t>/07-S</w:t>
      </w:r>
    </w:p>
    <w:p w14:paraId="6895700A" w14:textId="77777777" w:rsidR="00AF399F" w:rsidRPr="007A1CAE" w:rsidRDefault="00AF399F" w:rsidP="00A935FD">
      <w:pPr>
        <w:rPr>
          <w:rFonts w:ascii="Times New Roman" w:hAnsi="Times New Roman"/>
          <w:sz w:val="22"/>
          <w:szCs w:val="22"/>
        </w:rPr>
      </w:pPr>
    </w:p>
    <w:p w14:paraId="47F83023" w14:textId="77777777" w:rsidR="00970E89" w:rsidRPr="007A1CAE" w:rsidRDefault="00970E89">
      <w:pPr>
        <w:rPr>
          <w:rFonts w:ascii="Times New Roman" w:hAnsi="Times New Roman"/>
          <w:sz w:val="22"/>
          <w:szCs w:val="22"/>
        </w:rPr>
      </w:pPr>
    </w:p>
    <w:p w14:paraId="175B8CE7" w14:textId="77777777" w:rsidR="008018B0" w:rsidRPr="007A1CAE" w:rsidRDefault="008018B0">
      <w:pPr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9. </w:t>
      </w:r>
      <w:r w:rsidR="00423A1A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 xml:space="preserve">DÁTUM </w:t>
      </w:r>
      <w:r w:rsidR="00423A1A" w:rsidRPr="007A1CAE">
        <w:rPr>
          <w:rFonts w:ascii="Times New Roman" w:hAnsi="Times New Roman"/>
          <w:b/>
          <w:sz w:val="22"/>
          <w:szCs w:val="22"/>
        </w:rPr>
        <w:t xml:space="preserve">PRVEJ </w:t>
      </w:r>
      <w:r w:rsidRPr="007A1CAE">
        <w:rPr>
          <w:rFonts w:ascii="Times New Roman" w:hAnsi="Times New Roman"/>
          <w:b/>
          <w:sz w:val="22"/>
          <w:szCs w:val="22"/>
        </w:rPr>
        <w:t>REGISTRÁCIE</w:t>
      </w:r>
      <w:r w:rsidR="0030249A" w:rsidRPr="007A1CAE">
        <w:rPr>
          <w:rFonts w:ascii="Times New Roman" w:hAnsi="Times New Roman"/>
          <w:b/>
          <w:sz w:val="22"/>
          <w:szCs w:val="22"/>
        </w:rPr>
        <w:t>/PREDĹŽENIA REGISTRÁCIE</w:t>
      </w:r>
    </w:p>
    <w:p w14:paraId="2E3939C2" w14:textId="77777777" w:rsidR="0030249A" w:rsidRPr="007A1CAE" w:rsidRDefault="0030249A" w:rsidP="0030249A">
      <w:pPr>
        <w:rPr>
          <w:rFonts w:ascii="Times New Roman" w:hAnsi="Times New Roman"/>
          <w:sz w:val="22"/>
          <w:szCs w:val="22"/>
        </w:rPr>
      </w:pPr>
    </w:p>
    <w:p w14:paraId="64699806" w14:textId="2C74FE2B" w:rsidR="008018B0" w:rsidRPr="007A1CAE" w:rsidRDefault="0030249A" w:rsidP="00201EDA">
      <w:pPr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Dátum prvej registrácie: </w:t>
      </w:r>
      <w:r w:rsidR="006A7DAF" w:rsidRPr="007A1CAE">
        <w:rPr>
          <w:rFonts w:ascii="Times New Roman" w:hAnsi="Times New Roman"/>
          <w:sz w:val="22"/>
          <w:szCs w:val="22"/>
        </w:rPr>
        <w:t>17.</w:t>
      </w:r>
      <w:r w:rsidR="00F85CA4">
        <w:rPr>
          <w:rFonts w:ascii="Times New Roman" w:hAnsi="Times New Roman"/>
          <w:sz w:val="22"/>
          <w:szCs w:val="22"/>
        </w:rPr>
        <w:t xml:space="preserve"> decembra </w:t>
      </w:r>
      <w:r w:rsidR="006A7DAF" w:rsidRPr="007A1CAE">
        <w:rPr>
          <w:rFonts w:ascii="Times New Roman" w:hAnsi="Times New Roman"/>
          <w:sz w:val="22"/>
          <w:szCs w:val="22"/>
        </w:rPr>
        <w:t>2007</w:t>
      </w:r>
    </w:p>
    <w:p w14:paraId="41FA0222" w14:textId="1A257AB9" w:rsidR="0030249A" w:rsidRPr="007A1CAE" w:rsidRDefault="0030249A" w:rsidP="0030249A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Dátum predĺženia registrácie:</w:t>
      </w:r>
      <w:r w:rsidR="00F85CA4">
        <w:rPr>
          <w:rFonts w:ascii="Times New Roman" w:hAnsi="Times New Roman"/>
          <w:sz w:val="22"/>
          <w:szCs w:val="22"/>
        </w:rPr>
        <w:t xml:space="preserve"> 5. novembra 2012</w:t>
      </w:r>
    </w:p>
    <w:p w14:paraId="2F30B808" w14:textId="77777777" w:rsidR="00970E89" w:rsidRPr="007A1CAE" w:rsidRDefault="00970E89">
      <w:pPr>
        <w:rPr>
          <w:rFonts w:ascii="Times New Roman" w:hAnsi="Times New Roman"/>
          <w:sz w:val="22"/>
          <w:szCs w:val="22"/>
        </w:rPr>
      </w:pPr>
    </w:p>
    <w:p w14:paraId="7B10D109" w14:textId="77777777" w:rsidR="00970E89" w:rsidRPr="007A1CAE" w:rsidRDefault="00970E89">
      <w:pPr>
        <w:rPr>
          <w:rFonts w:ascii="Times New Roman" w:hAnsi="Times New Roman"/>
          <w:sz w:val="22"/>
          <w:szCs w:val="22"/>
        </w:rPr>
      </w:pPr>
    </w:p>
    <w:p w14:paraId="4F304712" w14:textId="77777777" w:rsidR="008018B0" w:rsidRDefault="00AF399F" w:rsidP="002F028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10. </w:t>
      </w:r>
      <w:r w:rsidR="008018B0" w:rsidRPr="007A1CAE">
        <w:rPr>
          <w:rFonts w:ascii="Times New Roman" w:hAnsi="Times New Roman"/>
          <w:b/>
          <w:sz w:val="22"/>
          <w:szCs w:val="22"/>
        </w:rPr>
        <w:t>DÁTUM  REVÍZIE TEXTU</w:t>
      </w:r>
    </w:p>
    <w:p w14:paraId="0413EC75" w14:textId="77777777" w:rsidR="00415EA7" w:rsidRDefault="00415EA7" w:rsidP="00AF399F">
      <w:pPr>
        <w:rPr>
          <w:rFonts w:ascii="Times New Roman" w:hAnsi="Times New Roman"/>
          <w:sz w:val="22"/>
          <w:szCs w:val="22"/>
        </w:rPr>
      </w:pPr>
    </w:p>
    <w:p w14:paraId="0A4065E1" w14:textId="68640E4C" w:rsidR="00970E89" w:rsidRPr="007A1CAE" w:rsidRDefault="004E51D5" w:rsidP="00AF399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03/20</w:t>
      </w:r>
      <w:r w:rsidR="006341EB">
        <w:rPr>
          <w:rFonts w:ascii="Times New Roman" w:hAnsi="Times New Roman"/>
          <w:sz w:val="22"/>
          <w:szCs w:val="22"/>
        </w:rPr>
        <w:t>20</w:t>
      </w:r>
    </w:p>
    <w:sectPr w:rsidR="00970E89" w:rsidRPr="007A1CA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B773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82297" w14:textId="77777777" w:rsidR="004932DA" w:rsidRDefault="004932DA">
      <w:r>
        <w:separator/>
      </w:r>
    </w:p>
  </w:endnote>
  <w:endnote w:type="continuationSeparator" w:id="0">
    <w:p w14:paraId="2064B1F5" w14:textId="77777777" w:rsidR="004932DA" w:rsidRDefault="0049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DB0F0" w14:textId="77777777" w:rsidR="004932DA" w:rsidRDefault="004932D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B9BC61" w14:textId="77777777" w:rsidR="004932DA" w:rsidRDefault="004932D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4982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224DC98" w14:textId="5435EFD4" w:rsidR="004932DA" w:rsidRPr="00FE21BF" w:rsidRDefault="004932D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E21BF">
          <w:rPr>
            <w:rFonts w:ascii="Times New Roman" w:hAnsi="Times New Roman"/>
            <w:sz w:val="18"/>
            <w:szCs w:val="18"/>
          </w:rPr>
          <w:fldChar w:fldCharType="begin"/>
        </w:r>
        <w:r w:rsidRPr="00FE21B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E21BF">
          <w:rPr>
            <w:rFonts w:ascii="Times New Roman" w:hAnsi="Times New Roman"/>
            <w:sz w:val="18"/>
            <w:szCs w:val="18"/>
          </w:rPr>
          <w:fldChar w:fldCharType="separate"/>
        </w:r>
        <w:r w:rsidR="002708C9">
          <w:rPr>
            <w:rFonts w:ascii="Times New Roman" w:hAnsi="Times New Roman"/>
            <w:noProof/>
            <w:sz w:val="18"/>
            <w:szCs w:val="18"/>
          </w:rPr>
          <w:t>2</w:t>
        </w:r>
        <w:r w:rsidRPr="00FE21B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5E50C2A" w14:textId="77777777" w:rsidR="004932DA" w:rsidRDefault="004932D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BD834" w14:textId="77777777" w:rsidR="004932DA" w:rsidRDefault="004932DA">
      <w:r>
        <w:separator/>
      </w:r>
    </w:p>
  </w:footnote>
  <w:footnote w:type="continuationSeparator" w:id="0">
    <w:p w14:paraId="14088B5E" w14:textId="77777777" w:rsidR="004932DA" w:rsidRDefault="0049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54589" w14:textId="6185705E" w:rsidR="004932DA" w:rsidRDefault="004932DA" w:rsidP="00FE21BF">
    <w:pPr>
      <w:rPr>
        <w:rFonts w:ascii="Times New Roman" w:hAnsi="Times New Roman"/>
        <w:sz w:val="18"/>
        <w:szCs w:val="18"/>
        <w:lang w:eastAsia="sk-SK"/>
      </w:rPr>
    </w:pPr>
  </w:p>
  <w:p w14:paraId="747A58C9" w14:textId="5734C287" w:rsidR="004932DA" w:rsidRDefault="004932DA" w:rsidP="00F861F6">
    <w:pPr>
      <w:rPr>
        <w:rFonts w:ascii="Times New Roman" w:hAnsi="Times New Roman"/>
        <w:sz w:val="18"/>
        <w:szCs w:val="18"/>
        <w:lang w:eastAsia="sk-SK"/>
      </w:rPr>
    </w:pPr>
    <w:r w:rsidRPr="00F861F6">
      <w:rPr>
        <w:rFonts w:ascii="Times New Roman" w:hAnsi="Times New Roman"/>
        <w:sz w:val="18"/>
        <w:szCs w:val="18"/>
        <w:lang w:eastAsia="sk-SK"/>
      </w:rPr>
      <w:t>Schválený text k rozhodnutiu o zmene</w:t>
    </w:r>
    <w:r>
      <w:rPr>
        <w:rFonts w:ascii="Times New Roman" w:hAnsi="Times New Roman"/>
        <w:sz w:val="18"/>
        <w:szCs w:val="18"/>
        <w:lang w:eastAsia="sk-SK"/>
      </w:rPr>
      <w:t xml:space="preserve">, </w:t>
    </w:r>
    <w:proofErr w:type="spellStart"/>
    <w:r>
      <w:rPr>
        <w:rFonts w:ascii="Times New Roman" w:hAnsi="Times New Roman"/>
        <w:sz w:val="18"/>
        <w:szCs w:val="18"/>
        <w:lang w:eastAsia="sk-SK"/>
      </w:rPr>
      <w:t>ev.č</w:t>
    </w:r>
    <w:proofErr w:type="spellEnd"/>
    <w:r>
      <w:rPr>
        <w:rFonts w:ascii="Times New Roman" w:hAnsi="Times New Roman"/>
        <w:sz w:val="18"/>
        <w:szCs w:val="18"/>
        <w:lang w:eastAsia="sk-SK"/>
      </w:rPr>
      <w:t>.: 2018/04890-ZME</w:t>
    </w:r>
  </w:p>
  <w:p w14:paraId="7D626D5C" w14:textId="24972902" w:rsidR="004932DA" w:rsidRPr="00F861F6" w:rsidRDefault="004932DA" w:rsidP="00F861F6">
    <w:pPr>
      <w:rPr>
        <w:rFonts w:ascii="Times New Roman" w:hAnsi="Times New Roman"/>
        <w:sz w:val="18"/>
        <w:szCs w:val="18"/>
        <w:lang w:eastAsia="sk-SK"/>
      </w:rPr>
    </w:pPr>
    <w:r>
      <w:rPr>
        <w:rFonts w:ascii="Times New Roman" w:hAnsi="Times New Roman"/>
        <w:sz w:val="18"/>
        <w:szCs w:val="18"/>
        <w:lang w:eastAsia="sk-SK"/>
      </w:rPr>
      <w:t xml:space="preserve">Príloha č. 1 k notifikácii o zmene, </w:t>
    </w:r>
    <w:proofErr w:type="spellStart"/>
    <w:r>
      <w:rPr>
        <w:rFonts w:ascii="Times New Roman" w:hAnsi="Times New Roman"/>
        <w:sz w:val="18"/>
        <w:szCs w:val="18"/>
        <w:lang w:eastAsia="sk-SK"/>
      </w:rPr>
      <w:t>ev.č</w:t>
    </w:r>
    <w:proofErr w:type="spellEnd"/>
    <w:r>
      <w:rPr>
        <w:rFonts w:ascii="Times New Roman" w:hAnsi="Times New Roman"/>
        <w:sz w:val="18"/>
        <w:szCs w:val="18"/>
        <w:lang w:eastAsia="sk-SK"/>
      </w:rPr>
      <w:t>.: 2018/03514-ZIB</w:t>
    </w:r>
  </w:p>
  <w:p w14:paraId="04AEA9CE" w14:textId="0C0182B7" w:rsidR="004932DA" w:rsidRDefault="004932DA" w:rsidP="00FE21BF">
    <w:pPr>
      <w:rPr>
        <w:rFonts w:ascii="Times New Roman" w:hAnsi="Times New Roman"/>
        <w:sz w:val="18"/>
        <w:szCs w:val="18"/>
        <w:lang w:eastAsia="sk-SK"/>
      </w:rPr>
    </w:pPr>
    <w:r w:rsidRPr="002708C9">
      <w:rPr>
        <w:rFonts w:ascii="Times New Roman" w:hAnsi="Times New Roman"/>
        <w:sz w:val="18"/>
        <w:szCs w:val="18"/>
        <w:lang w:eastAsia="sk-SK"/>
      </w:rPr>
      <w:t xml:space="preserve">Príloha č. 1 k notifikácii o zmene, </w:t>
    </w:r>
    <w:proofErr w:type="spellStart"/>
    <w:r w:rsidRPr="002708C9">
      <w:rPr>
        <w:rFonts w:ascii="Times New Roman" w:hAnsi="Times New Roman"/>
        <w:sz w:val="18"/>
        <w:szCs w:val="18"/>
        <w:lang w:eastAsia="sk-SK"/>
      </w:rPr>
      <w:t>ev.č</w:t>
    </w:r>
    <w:proofErr w:type="spellEnd"/>
    <w:r w:rsidRPr="002708C9">
      <w:rPr>
        <w:rFonts w:ascii="Times New Roman" w:hAnsi="Times New Roman"/>
        <w:sz w:val="18"/>
        <w:szCs w:val="18"/>
        <w:lang w:eastAsia="sk-SK"/>
      </w:rPr>
      <w:t>.: 2020/00447-ZIB</w:t>
    </w:r>
  </w:p>
  <w:p w14:paraId="5FC897C4" w14:textId="77777777" w:rsidR="004932DA" w:rsidRDefault="004932DA" w:rsidP="00FE21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3C9098"/>
    <w:lvl w:ilvl="0">
      <w:numFmt w:val="decimal"/>
      <w:lvlText w:val="*"/>
      <w:lvlJc w:val="left"/>
    </w:lvl>
  </w:abstractNum>
  <w:abstractNum w:abstractNumId="1">
    <w:nsid w:val="0D0A60B6"/>
    <w:multiLevelType w:val="hybridMultilevel"/>
    <w:tmpl w:val="2CCACD9A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4008F"/>
    <w:multiLevelType w:val="singleLevel"/>
    <w:tmpl w:val="D80257F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3">
    <w:nsid w:val="15CA1AA2"/>
    <w:multiLevelType w:val="singleLevel"/>
    <w:tmpl w:val="4712E9A4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4">
    <w:nsid w:val="16A2739B"/>
    <w:multiLevelType w:val="hybridMultilevel"/>
    <w:tmpl w:val="A4D4EFCE"/>
    <w:lvl w:ilvl="0" w:tplc="5BD43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C776C"/>
    <w:multiLevelType w:val="singleLevel"/>
    <w:tmpl w:val="953A43A4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6">
    <w:nsid w:val="27262236"/>
    <w:multiLevelType w:val="singleLevel"/>
    <w:tmpl w:val="AA029D6E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272E4523"/>
    <w:multiLevelType w:val="hybridMultilevel"/>
    <w:tmpl w:val="270406E2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170C3"/>
    <w:multiLevelType w:val="singleLevel"/>
    <w:tmpl w:val="8BEC442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>
    <w:nsid w:val="2CC53C8A"/>
    <w:multiLevelType w:val="singleLevel"/>
    <w:tmpl w:val="42AA03EC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0">
    <w:nsid w:val="35246BFD"/>
    <w:multiLevelType w:val="singleLevel"/>
    <w:tmpl w:val="0EB4537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1">
    <w:nsid w:val="37394AED"/>
    <w:multiLevelType w:val="multilevel"/>
    <w:tmpl w:val="DF2894C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52576E"/>
    <w:multiLevelType w:val="hybridMultilevel"/>
    <w:tmpl w:val="7884BCB6"/>
    <w:lvl w:ilvl="0" w:tplc="4F5C04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779D4"/>
    <w:multiLevelType w:val="hybridMultilevel"/>
    <w:tmpl w:val="6F802370"/>
    <w:lvl w:ilvl="0" w:tplc="5BD43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32D9B"/>
    <w:multiLevelType w:val="hybridMultilevel"/>
    <w:tmpl w:val="8B641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62359"/>
    <w:multiLevelType w:val="singleLevel"/>
    <w:tmpl w:val="3A5C680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6">
    <w:nsid w:val="49AB68C6"/>
    <w:multiLevelType w:val="singleLevel"/>
    <w:tmpl w:val="63227D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7">
    <w:nsid w:val="49FE5E95"/>
    <w:multiLevelType w:val="singleLevel"/>
    <w:tmpl w:val="5B7652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8">
    <w:nsid w:val="511E2220"/>
    <w:multiLevelType w:val="singleLevel"/>
    <w:tmpl w:val="4E662632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9">
    <w:nsid w:val="563913FC"/>
    <w:multiLevelType w:val="singleLevel"/>
    <w:tmpl w:val="A264488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0">
    <w:nsid w:val="58642F96"/>
    <w:multiLevelType w:val="singleLevel"/>
    <w:tmpl w:val="760AD308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1">
    <w:nsid w:val="5EC62AB2"/>
    <w:multiLevelType w:val="singleLevel"/>
    <w:tmpl w:val="63227D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2">
    <w:nsid w:val="6728325D"/>
    <w:multiLevelType w:val="singleLevel"/>
    <w:tmpl w:val="895E6D08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3">
    <w:nsid w:val="75516EE3"/>
    <w:multiLevelType w:val="singleLevel"/>
    <w:tmpl w:val="2024450A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4">
    <w:nsid w:val="76804D86"/>
    <w:multiLevelType w:val="singleLevel"/>
    <w:tmpl w:val="75B4DEBE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5">
    <w:nsid w:val="785E097A"/>
    <w:multiLevelType w:val="hybridMultilevel"/>
    <w:tmpl w:val="E086290E"/>
    <w:lvl w:ilvl="0" w:tplc="BFB64560">
      <w:start w:val="5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>
    <w:nsid w:val="78A06C2B"/>
    <w:multiLevelType w:val="singleLevel"/>
    <w:tmpl w:val="B5E462EA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7">
    <w:nsid w:val="79E16CFA"/>
    <w:multiLevelType w:val="hybridMultilevel"/>
    <w:tmpl w:val="4FF83722"/>
    <w:lvl w:ilvl="0" w:tplc="867A7ACC">
      <w:start w:val="15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16"/>
  </w:num>
  <w:num w:numId="5">
    <w:abstractNumId w:val="2"/>
  </w:num>
  <w:num w:numId="6">
    <w:abstractNumId w:val="5"/>
  </w:num>
  <w:num w:numId="7">
    <w:abstractNumId w:val="23"/>
  </w:num>
  <w:num w:numId="8">
    <w:abstractNumId w:val="18"/>
  </w:num>
  <w:num w:numId="9">
    <w:abstractNumId w:val="19"/>
  </w:num>
  <w:num w:numId="10">
    <w:abstractNumId w:val="8"/>
  </w:num>
  <w:num w:numId="11">
    <w:abstractNumId w:val="6"/>
  </w:num>
  <w:num w:numId="12">
    <w:abstractNumId w:val="22"/>
  </w:num>
  <w:num w:numId="13">
    <w:abstractNumId w:val="15"/>
  </w:num>
  <w:num w:numId="14">
    <w:abstractNumId w:val="10"/>
  </w:num>
  <w:num w:numId="15">
    <w:abstractNumId w:val="9"/>
  </w:num>
  <w:num w:numId="16">
    <w:abstractNumId w:val="26"/>
  </w:num>
  <w:num w:numId="17">
    <w:abstractNumId w:val="3"/>
  </w:num>
  <w:num w:numId="18">
    <w:abstractNumId w:val="24"/>
  </w:num>
  <w:num w:numId="19">
    <w:abstractNumId w:val="20"/>
  </w:num>
  <w:num w:numId="20">
    <w:abstractNumId w:val="11"/>
  </w:num>
  <w:num w:numId="21">
    <w:abstractNumId w:val="27"/>
  </w:num>
  <w:num w:numId="22">
    <w:abstractNumId w:val="7"/>
  </w:num>
  <w:num w:numId="23">
    <w:abstractNumId w:val="17"/>
    <w:lvlOverride w:ilvl="0">
      <w:startOverride w:val="4"/>
    </w:lvlOverride>
  </w:num>
  <w:num w:numId="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5">
    <w:abstractNumId w:val="1"/>
  </w:num>
  <w:num w:numId="26">
    <w:abstractNumId w:val="25"/>
  </w:num>
  <w:num w:numId="27">
    <w:abstractNumId w:val="13"/>
  </w:num>
  <w:num w:numId="28">
    <w:abstractNumId w:val="4"/>
  </w:num>
  <w:num w:numId="29">
    <w:abstractNumId w:val="12"/>
  </w:num>
  <w:num w:numId="3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Dočolomanská">
    <w15:presenceInfo w15:providerId="None" w15:userId="Petra Dočoloma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9"/>
    <w:rsid w:val="00002487"/>
    <w:rsid w:val="000210CA"/>
    <w:rsid w:val="00023740"/>
    <w:rsid w:val="00024579"/>
    <w:rsid w:val="000279C0"/>
    <w:rsid w:val="00032879"/>
    <w:rsid w:val="000353F8"/>
    <w:rsid w:val="00036FA5"/>
    <w:rsid w:val="00043673"/>
    <w:rsid w:val="000460DF"/>
    <w:rsid w:val="000552D2"/>
    <w:rsid w:val="000560EA"/>
    <w:rsid w:val="000677D7"/>
    <w:rsid w:val="000720A7"/>
    <w:rsid w:val="00072B4A"/>
    <w:rsid w:val="00072E2B"/>
    <w:rsid w:val="000C4945"/>
    <w:rsid w:val="000E4709"/>
    <w:rsid w:val="000E6B47"/>
    <w:rsid w:val="000E7EA9"/>
    <w:rsid w:val="00104792"/>
    <w:rsid w:val="0010559E"/>
    <w:rsid w:val="001171CB"/>
    <w:rsid w:val="00123EF4"/>
    <w:rsid w:val="00131D4E"/>
    <w:rsid w:val="00134F70"/>
    <w:rsid w:val="00137A3F"/>
    <w:rsid w:val="001427C5"/>
    <w:rsid w:val="00156CD0"/>
    <w:rsid w:val="001607D0"/>
    <w:rsid w:val="001617C6"/>
    <w:rsid w:val="0016250B"/>
    <w:rsid w:val="0017194A"/>
    <w:rsid w:val="0018136E"/>
    <w:rsid w:val="0018446E"/>
    <w:rsid w:val="001902DA"/>
    <w:rsid w:val="00196432"/>
    <w:rsid w:val="001A02C8"/>
    <w:rsid w:val="001A63B4"/>
    <w:rsid w:val="001B04DB"/>
    <w:rsid w:val="001B3A51"/>
    <w:rsid w:val="001C4DB2"/>
    <w:rsid w:val="001C6202"/>
    <w:rsid w:val="001C6F75"/>
    <w:rsid w:val="001D7909"/>
    <w:rsid w:val="001E36EC"/>
    <w:rsid w:val="001E45F5"/>
    <w:rsid w:val="001E57C4"/>
    <w:rsid w:val="001E5A1D"/>
    <w:rsid w:val="001F003E"/>
    <w:rsid w:val="002005A6"/>
    <w:rsid w:val="00201EDA"/>
    <w:rsid w:val="00211D26"/>
    <w:rsid w:val="002139A9"/>
    <w:rsid w:val="002146A1"/>
    <w:rsid w:val="00214F93"/>
    <w:rsid w:val="0021560C"/>
    <w:rsid w:val="00220A97"/>
    <w:rsid w:val="00223EB7"/>
    <w:rsid w:val="002268E0"/>
    <w:rsid w:val="00245DB9"/>
    <w:rsid w:val="002467C8"/>
    <w:rsid w:val="00251B56"/>
    <w:rsid w:val="00253E1C"/>
    <w:rsid w:val="002643B5"/>
    <w:rsid w:val="00267071"/>
    <w:rsid w:val="002671BF"/>
    <w:rsid w:val="002708C9"/>
    <w:rsid w:val="002817B2"/>
    <w:rsid w:val="00284912"/>
    <w:rsid w:val="00286C4E"/>
    <w:rsid w:val="00290788"/>
    <w:rsid w:val="002A5631"/>
    <w:rsid w:val="002A6147"/>
    <w:rsid w:val="002B62F8"/>
    <w:rsid w:val="002C4EF3"/>
    <w:rsid w:val="002D1761"/>
    <w:rsid w:val="002D4772"/>
    <w:rsid w:val="002E2613"/>
    <w:rsid w:val="002E5BED"/>
    <w:rsid w:val="002E62DF"/>
    <w:rsid w:val="002E6597"/>
    <w:rsid w:val="002F028B"/>
    <w:rsid w:val="0030249A"/>
    <w:rsid w:val="00305352"/>
    <w:rsid w:val="00320ABC"/>
    <w:rsid w:val="00323540"/>
    <w:rsid w:val="0033452C"/>
    <w:rsid w:val="00337267"/>
    <w:rsid w:val="00342685"/>
    <w:rsid w:val="00365A6F"/>
    <w:rsid w:val="00384285"/>
    <w:rsid w:val="003860AC"/>
    <w:rsid w:val="00390B66"/>
    <w:rsid w:val="00392F75"/>
    <w:rsid w:val="003A63BA"/>
    <w:rsid w:val="003C36BE"/>
    <w:rsid w:val="003C53CC"/>
    <w:rsid w:val="003D2185"/>
    <w:rsid w:val="003E373D"/>
    <w:rsid w:val="003E5F3B"/>
    <w:rsid w:val="004022F7"/>
    <w:rsid w:val="00406FBD"/>
    <w:rsid w:val="00415EA7"/>
    <w:rsid w:val="004167D0"/>
    <w:rsid w:val="00422C6F"/>
    <w:rsid w:val="00423A1A"/>
    <w:rsid w:val="004267F0"/>
    <w:rsid w:val="00432DB9"/>
    <w:rsid w:val="004376D1"/>
    <w:rsid w:val="00444D3C"/>
    <w:rsid w:val="004608C0"/>
    <w:rsid w:val="00467156"/>
    <w:rsid w:val="00467B2C"/>
    <w:rsid w:val="00474830"/>
    <w:rsid w:val="00476909"/>
    <w:rsid w:val="00476B03"/>
    <w:rsid w:val="004802A6"/>
    <w:rsid w:val="00492530"/>
    <w:rsid w:val="004932DA"/>
    <w:rsid w:val="00493508"/>
    <w:rsid w:val="004B016C"/>
    <w:rsid w:val="004C70BD"/>
    <w:rsid w:val="004D3CA6"/>
    <w:rsid w:val="004D4AB4"/>
    <w:rsid w:val="004D7AEA"/>
    <w:rsid w:val="004E2AEE"/>
    <w:rsid w:val="004E51D5"/>
    <w:rsid w:val="004E72CB"/>
    <w:rsid w:val="00502D2B"/>
    <w:rsid w:val="0050655E"/>
    <w:rsid w:val="00507C0F"/>
    <w:rsid w:val="00512793"/>
    <w:rsid w:val="00512946"/>
    <w:rsid w:val="00513160"/>
    <w:rsid w:val="00531537"/>
    <w:rsid w:val="00531848"/>
    <w:rsid w:val="005575DC"/>
    <w:rsid w:val="00562F42"/>
    <w:rsid w:val="005648EE"/>
    <w:rsid w:val="00565040"/>
    <w:rsid w:val="0056628E"/>
    <w:rsid w:val="00571F70"/>
    <w:rsid w:val="005761B8"/>
    <w:rsid w:val="00590EF5"/>
    <w:rsid w:val="005929DE"/>
    <w:rsid w:val="00594268"/>
    <w:rsid w:val="005965CE"/>
    <w:rsid w:val="005A309E"/>
    <w:rsid w:val="005A40C9"/>
    <w:rsid w:val="005A4C1C"/>
    <w:rsid w:val="005B51C0"/>
    <w:rsid w:val="005B5DBD"/>
    <w:rsid w:val="005C3508"/>
    <w:rsid w:val="005D2B1E"/>
    <w:rsid w:val="005D3BE1"/>
    <w:rsid w:val="005E550A"/>
    <w:rsid w:val="005F2C1A"/>
    <w:rsid w:val="005F423F"/>
    <w:rsid w:val="005F6371"/>
    <w:rsid w:val="005F64BA"/>
    <w:rsid w:val="00630F8B"/>
    <w:rsid w:val="006341EB"/>
    <w:rsid w:val="00641B85"/>
    <w:rsid w:val="00651EE5"/>
    <w:rsid w:val="006619FF"/>
    <w:rsid w:val="006628DD"/>
    <w:rsid w:val="0066396D"/>
    <w:rsid w:val="00665FEB"/>
    <w:rsid w:val="00675956"/>
    <w:rsid w:val="00685B1C"/>
    <w:rsid w:val="0069082C"/>
    <w:rsid w:val="006A42CD"/>
    <w:rsid w:val="006A7DAF"/>
    <w:rsid w:val="006C5E76"/>
    <w:rsid w:val="006C71DA"/>
    <w:rsid w:val="006D0EE7"/>
    <w:rsid w:val="006E4BF3"/>
    <w:rsid w:val="006E4D7A"/>
    <w:rsid w:val="006F1AA3"/>
    <w:rsid w:val="006F4B4A"/>
    <w:rsid w:val="00706D78"/>
    <w:rsid w:val="007079BB"/>
    <w:rsid w:val="00710F82"/>
    <w:rsid w:val="00711BBB"/>
    <w:rsid w:val="007218CD"/>
    <w:rsid w:val="0073101A"/>
    <w:rsid w:val="007351AF"/>
    <w:rsid w:val="00752A38"/>
    <w:rsid w:val="00761338"/>
    <w:rsid w:val="00766BEE"/>
    <w:rsid w:val="00774874"/>
    <w:rsid w:val="007753E1"/>
    <w:rsid w:val="00776CB3"/>
    <w:rsid w:val="007900AC"/>
    <w:rsid w:val="007A171B"/>
    <w:rsid w:val="007A1CAE"/>
    <w:rsid w:val="007B76E7"/>
    <w:rsid w:val="007C5247"/>
    <w:rsid w:val="007D145F"/>
    <w:rsid w:val="007D1909"/>
    <w:rsid w:val="007D675D"/>
    <w:rsid w:val="007E1547"/>
    <w:rsid w:val="007F11BE"/>
    <w:rsid w:val="008018B0"/>
    <w:rsid w:val="00810D43"/>
    <w:rsid w:val="008111CC"/>
    <w:rsid w:val="00827B1D"/>
    <w:rsid w:val="00830A4A"/>
    <w:rsid w:val="0083404D"/>
    <w:rsid w:val="00836095"/>
    <w:rsid w:val="0083642D"/>
    <w:rsid w:val="00836511"/>
    <w:rsid w:val="008428B7"/>
    <w:rsid w:val="00856FBB"/>
    <w:rsid w:val="00874606"/>
    <w:rsid w:val="00880223"/>
    <w:rsid w:val="0088550E"/>
    <w:rsid w:val="00894B4D"/>
    <w:rsid w:val="008970E3"/>
    <w:rsid w:val="008B3423"/>
    <w:rsid w:val="008B5BFE"/>
    <w:rsid w:val="008E779E"/>
    <w:rsid w:val="008E7ABA"/>
    <w:rsid w:val="008F3C95"/>
    <w:rsid w:val="00901BA3"/>
    <w:rsid w:val="00912606"/>
    <w:rsid w:val="00914A2F"/>
    <w:rsid w:val="009172E3"/>
    <w:rsid w:val="009324B5"/>
    <w:rsid w:val="00934FF8"/>
    <w:rsid w:val="00936391"/>
    <w:rsid w:val="00937D5F"/>
    <w:rsid w:val="0094415A"/>
    <w:rsid w:val="00945B3D"/>
    <w:rsid w:val="009556E4"/>
    <w:rsid w:val="00961CAD"/>
    <w:rsid w:val="00965A97"/>
    <w:rsid w:val="009665DF"/>
    <w:rsid w:val="00970E89"/>
    <w:rsid w:val="00972C6A"/>
    <w:rsid w:val="00976FD6"/>
    <w:rsid w:val="00993B27"/>
    <w:rsid w:val="00997A65"/>
    <w:rsid w:val="009A37D6"/>
    <w:rsid w:val="009B0B2A"/>
    <w:rsid w:val="009B6254"/>
    <w:rsid w:val="009B67AB"/>
    <w:rsid w:val="009B7E47"/>
    <w:rsid w:val="009C7B75"/>
    <w:rsid w:val="009E1CC6"/>
    <w:rsid w:val="009E49FF"/>
    <w:rsid w:val="009E55B2"/>
    <w:rsid w:val="009E57AD"/>
    <w:rsid w:val="009E7E0D"/>
    <w:rsid w:val="009F10A9"/>
    <w:rsid w:val="009F1A92"/>
    <w:rsid w:val="009F1C4C"/>
    <w:rsid w:val="009F37E8"/>
    <w:rsid w:val="00A0632E"/>
    <w:rsid w:val="00A11F0D"/>
    <w:rsid w:val="00A23027"/>
    <w:rsid w:val="00A26965"/>
    <w:rsid w:val="00A27D0C"/>
    <w:rsid w:val="00A3361B"/>
    <w:rsid w:val="00A6350A"/>
    <w:rsid w:val="00A75305"/>
    <w:rsid w:val="00A81FCA"/>
    <w:rsid w:val="00A85372"/>
    <w:rsid w:val="00A935FD"/>
    <w:rsid w:val="00A954E5"/>
    <w:rsid w:val="00AA4E0F"/>
    <w:rsid w:val="00AB0833"/>
    <w:rsid w:val="00AB7F5F"/>
    <w:rsid w:val="00AC3017"/>
    <w:rsid w:val="00AC71A2"/>
    <w:rsid w:val="00AD1A31"/>
    <w:rsid w:val="00AD464A"/>
    <w:rsid w:val="00AD6D42"/>
    <w:rsid w:val="00AE1322"/>
    <w:rsid w:val="00AE7135"/>
    <w:rsid w:val="00AF399F"/>
    <w:rsid w:val="00AF5D9C"/>
    <w:rsid w:val="00B01A75"/>
    <w:rsid w:val="00B41EBC"/>
    <w:rsid w:val="00B438BF"/>
    <w:rsid w:val="00B44334"/>
    <w:rsid w:val="00B475F4"/>
    <w:rsid w:val="00B502C6"/>
    <w:rsid w:val="00B63117"/>
    <w:rsid w:val="00B65972"/>
    <w:rsid w:val="00B679A8"/>
    <w:rsid w:val="00B67A05"/>
    <w:rsid w:val="00B80B4E"/>
    <w:rsid w:val="00B941A2"/>
    <w:rsid w:val="00B950B2"/>
    <w:rsid w:val="00B9569C"/>
    <w:rsid w:val="00B9601A"/>
    <w:rsid w:val="00BA27DA"/>
    <w:rsid w:val="00BA3F86"/>
    <w:rsid w:val="00BB088D"/>
    <w:rsid w:val="00BB3D6F"/>
    <w:rsid w:val="00BB5392"/>
    <w:rsid w:val="00BC40CA"/>
    <w:rsid w:val="00BD6456"/>
    <w:rsid w:val="00BE1654"/>
    <w:rsid w:val="00BE378B"/>
    <w:rsid w:val="00BF03B8"/>
    <w:rsid w:val="00BF212A"/>
    <w:rsid w:val="00BF33FA"/>
    <w:rsid w:val="00C041EA"/>
    <w:rsid w:val="00C26A7C"/>
    <w:rsid w:val="00C30692"/>
    <w:rsid w:val="00C3251B"/>
    <w:rsid w:val="00C33CA4"/>
    <w:rsid w:val="00C4019B"/>
    <w:rsid w:val="00C4325E"/>
    <w:rsid w:val="00C508A2"/>
    <w:rsid w:val="00C51A92"/>
    <w:rsid w:val="00C65834"/>
    <w:rsid w:val="00C65FCF"/>
    <w:rsid w:val="00C713D1"/>
    <w:rsid w:val="00C7756C"/>
    <w:rsid w:val="00C85F5A"/>
    <w:rsid w:val="00CB0297"/>
    <w:rsid w:val="00CB2E49"/>
    <w:rsid w:val="00CC040C"/>
    <w:rsid w:val="00CC2EBD"/>
    <w:rsid w:val="00CC3AD2"/>
    <w:rsid w:val="00CD39ED"/>
    <w:rsid w:val="00CF429B"/>
    <w:rsid w:val="00CF7B75"/>
    <w:rsid w:val="00CF7F29"/>
    <w:rsid w:val="00D014CB"/>
    <w:rsid w:val="00D11B33"/>
    <w:rsid w:val="00D139C0"/>
    <w:rsid w:val="00D15152"/>
    <w:rsid w:val="00D24EA6"/>
    <w:rsid w:val="00D26D05"/>
    <w:rsid w:val="00D30CCC"/>
    <w:rsid w:val="00D44BD1"/>
    <w:rsid w:val="00D537E4"/>
    <w:rsid w:val="00D62B9F"/>
    <w:rsid w:val="00D64664"/>
    <w:rsid w:val="00D6649E"/>
    <w:rsid w:val="00D71ECD"/>
    <w:rsid w:val="00D74F03"/>
    <w:rsid w:val="00D77567"/>
    <w:rsid w:val="00D81BFF"/>
    <w:rsid w:val="00D832A4"/>
    <w:rsid w:val="00D91FCF"/>
    <w:rsid w:val="00DA5A57"/>
    <w:rsid w:val="00DB3D2C"/>
    <w:rsid w:val="00DD6D1E"/>
    <w:rsid w:val="00DD7D1D"/>
    <w:rsid w:val="00DE6956"/>
    <w:rsid w:val="00DE6F72"/>
    <w:rsid w:val="00DE7403"/>
    <w:rsid w:val="00DF54FF"/>
    <w:rsid w:val="00E10C18"/>
    <w:rsid w:val="00E138EA"/>
    <w:rsid w:val="00E144A9"/>
    <w:rsid w:val="00E210A1"/>
    <w:rsid w:val="00E26F23"/>
    <w:rsid w:val="00E52083"/>
    <w:rsid w:val="00E66F40"/>
    <w:rsid w:val="00E7084E"/>
    <w:rsid w:val="00EA091D"/>
    <w:rsid w:val="00EA620C"/>
    <w:rsid w:val="00EA6985"/>
    <w:rsid w:val="00EB03F0"/>
    <w:rsid w:val="00EC2D8F"/>
    <w:rsid w:val="00EC31F3"/>
    <w:rsid w:val="00ED1EBB"/>
    <w:rsid w:val="00ED27A3"/>
    <w:rsid w:val="00ED5F1E"/>
    <w:rsid w:val="00EE4C83"/>
    <w:rsid w:val="00EF1054"/>
    <w:rsid w:val="00EF4C96"/>
    <w:rsid w:val="00EF740A"/>
    <w:rsid w:val="00EF7A94"/>
    <w:rsid w:val="00F00DE5"/>
    <w:rsid w:val="00F01529"/>
    <w:rsid w:val="00F56D75"/>
    <w:rsid w:val="00F6712C"/>
    <w:rsid w:val="00F85403"/>
    <w:rsid w:val="00F85CA4"/>
    <w:rsid w:val="00F861F6"/>
    <w:rsid w:val="00F87B83"/>
    <w:rsid w:val="00FA6BEF"/>
    <w:rsid w:val="00FB1CC9"/>
    <w:rsid w:val="00FB411F"/>
    <w:rsid w:val="00FC194A"/>
    <w:rsid w:val="00FC768F"/>
    <w:rsid w:val="00FD4F7A"/>
    <w:rsid w:val="00FD7592"/>
    <w:rsid w:val="00FD759D"/>
    <w:rsid w:val="00FE21BF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543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ind w:right="-260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pPr>
      <w:ind w:left="284"/>
      <w:jc w:val="both"/>
    </w:pPr>
  </w:style>
  <w:style w:type="paragraph" w:styleId="Zkladntext">
    <w:name w:val="Body Text"/>
    <w:basedOn w:val="Normlny"/>
    <w:pPr>
      <w:jc w:val="both"/>
    </w:pPr>
    <w:rPr>
      <w:bCs/>
    </w:rPr>
  </w:style>
  <w:style w:type="paragraph" w:styleId="Zarkazkladnhotextu2">
    <w:name w:val="Body Text Indent 2"/>
    <w:basedOn w:val="Normlny"/>
    <w:pPr>
      <w:ind w:left="284"/>
      <w:jc w:val="both"/>
    </w:pPr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rsid w:val="00D62B9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2849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01EDA"/>
    <w:pPr>
      <w:shd w:val="clear" w:color="auto" w:fill="000080"/>
    </w:pPr>
    <w:rPr>
      <w:rFonts w:ascii="Tahoma" w:hAnsi="Tahoma" w:cs="Tahoma"/>
      <w:sz w:val="20"/>
    </w:rPr>
  </w:style>
  <w:style w:type="character" w:styleId="Hypertextovprepojenie">
    <w:name w:val="Hyperlink"/>
    <w:rsid w:val="00706D78"/>
    <w:rPr>
      <w:color w:val="0000FF"/>
      <w:u w:val="single"/>
    </w:rPr>
  </w:style>
  <w:style w:type="character" w:styleId="Odkaznakomentr">
    <w:name w:val="annotation reference"/>
    <w:basedOn w:val="Predvolenpsmoodseku"/>
    <w:rsid w:val="00AE13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132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322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E13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1322"/>
    <w:rPr>
      <w:rFonts w:ascii="Arial" w:hAnsi="Arial"/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AB0833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902DA"/>
    <w:rPr>
      <w:rFonts w:ascii="Arial" w:hAnsi="Arial"/>
      <w:sz w:val="24"/>
      <w:lang w:eastAsia="en-US"/>
    </w:rPr>
  </w:style>
  <w:style w:type="paragraph" w:styleId="Revzia">
    <w:name w:val="Revision"/>
    <w:hidden/>
    <w:uiPriority w:val="99"/>
    <w:semiHidden/>
    <w:rsid w:val="006A42CD"/>
    <w:rPr>
      <w:rFonts w:ascii="Arial" w:hAnsi="Arial"/>
      <w:sz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36FA5"/>
    <w:rPr>
      <w:rFonts w:ascii="Arial" w:hAnsi="Arial"/>
      <w:sz w:val="24"/>
      <w:lang w:eastAsia="en-US"/>
    </w:rPr>
  </w:style>
  <w:style w:type="character" w:customStyle="1" w:styleId="tlid-translation">
    <w:name w:val="tlid-translation"/>
    <w:rsid w:val="00FA6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ind w:right="-260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pPr>
      <w:ind w:left="284"/>
      <w:jc w:val="both"/>
    </w:pPr>
  </w:style>
  <w:style w:type="paragraph" w:styleId="Zkladntext">
    <w:name w:val="Body Text"/>
    <w:basedOn w:val="Normlny"/>
    <w:pPr>
      <w:jc w:val="both"/>
    </w:pPr>
    <w:rPr>
      <w:bCs/>
    </w:rPr>
  </w:style>
  <w:style w:type="paragraph" w:styleId="Zarkazkladnhotextu2">
    <w:name w:val="Body Text Indent 2"/>
    <w:basedOn w:val="Normlny"/>
    <w:pPr>
      <w:ind w:left="284"/>
      <w:jc w:val="both"/>
    </w:pPr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rsid w:val="00D62B9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2849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01EDA"/>
    <w:pPr>
      <w:shd w:val="clear" w:color="auto" w:fill="000080"/>
    </w:pPr>
    <w:rPr>
      <w:rFonts w:ascii="Tahoma" w:hAnsi="Tahoma" w:cs="Tahoma"/>
      <w:sz w:val="20"/>
    </w:rPr>
  </w:style>
  <w:style w:type="character" w:styleId="Hypertextovprepojenie">
    <w:name w:val="Hyperlink"/>
    <w:rsid w:val="00706D78"/>
    <w:rPr>
      <w:color w:val="0000FF"/>
      <w:u w:val="single"/>
    </w:rPr>
  </w:style>
  <w:style w:type="character" w:styleId="Odkaznakomentr">
    <w:name w:val="annotation reference"/>
    <w:basedOn w:val="Predvolenpsmoodseku"/>
    <w:rsid w:val="00AE13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132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322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E13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1322"/>
    <w:rPr>
      <w:rFonts w:ascii="Arial" w:hAnsi="Arial"/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AB0833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902DA"/>
    <w:rPr>
      <w:rFonts w:ascii="Arial" w:hAnsi="Arial"/>
      <w:sz w:val="24"/>
      <w:lang w:eastAsia="en-US"/>
    </w:rPr>
  </w:style>
  <w:style w:type="paragraph" w:styleId="Revzia">
    <w:name w:val="Revision"/>
    <w:hidden/>
    <w:uiPriority w:val="99"/>
    <w:semiHidden/>
    <w:rsid w:val="006A42CD"/>
    <w:rPr>
      <w:rFonts w:ascii="Arial" w:hAnsi="Arial"/>
      <w:sz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36FA5"/>
    <w:rPr>
      <w:rFonts w:ascii="Arial" w:hAnsi="Arial"/>
      <w:sz w:val="24"/>
      <w:lang w:eastAsia="en-US"/>
    </w:rPr>
  </w:style>
  <w:style w:type="character" w:customStyle="1" w:styleId="tlid-translation">
    <w:name w:val="tlid-translation"/>
    <w:rsid w:val="00FA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11</Pages>
  <Words>3206</Words>
  <Characters>21069</Characters>
  <Application>Microsoft Office Word</Application>
  <DocSecurity>0</DocSecurity>
  <Lines>175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BERLIN CHEMIE A.G.</Company>
  <LinksUpToDate>false</LinksUpToDate>
  <CharactersWithSpaces>24227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MONITOR</dc:creator>
  <cp:lastModifiedBy>Valovičová, Monika</cp:lastModifiedBy>
  <cp:revision>54</cp:revision>
  <cp:lastPrinted>2012-05-31T13:11:00Z</cp:lastPrinted>
  <dcterms:created xsi:type="dcterms:W3CDTF">2018-04-20T15:17:00Z</dcterms:created>
  <dcterms:modified xsi:type="dcterms:W3CDTF">2020-03-10T14:00:00Z</dcterms:modified>
</cp:coreProperties>
</file>