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7A" w:rsidRPr="00BE265E" w:rsidRDefault="0064267A" w:rsidP="00BD509C">
      <w:pPr>
        <w:spacing w:before="0" w:after="0" w:line="260" w:lineRule="exact"/>
        <w:jc w:val="center"/>
        <w:outlineLvl w:val="0"/>
      </w:pPr>
      <w:r>
        <w:rPr>
          <w:b/>
        </w:rPr>
        <w:t>SÚHRN CHARAKTERISTICKÝCH VLASTNOSTÍ LIEKU</w:t>
      </w:r>
    </w:p>
    <w:p w:rsidR="000A35C5" w:rsidRDefault="000A35C5" w:rsidP="00BD509C">
      <w:pPr>
        <w:spacing w:before="0" w:after="0" w:line="260" w:lineRule="exact"/>
        <w:jc w:val="left"/>
      </w:pPr>
    </w:p>
    <w:p w:rsidR="004B1B9C" w:rsidRPr="00BE265E" w:rsidRDefault="004B1B9C" w:rsidP="00BD509C">
      <w:pPr>
        <w:spacing w:before="0" w:after="0" w:line="260" w:lineRule="exact"/>
        <w:jc w:val="left"/>
      </w:pPr>
    </w:p>
    <w:p w:rsidR="0030611B" w:rsidRDefault="00966BC2" w:rsidP="00720D00">
      <w:pPr>
        <w:pStyle w:val="Nadpis1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1.</w:t>
      </w:r>
      <w:r>
        <w:tab/>
      </w:r>
      <w:r w:rsidR="0064267A">
        <w:t>NÁZOV LIEKU</w:t>
      </w:r>
    </w:p>
    <w:p w:rsidR="004B1B9C" w:rsidRDefault="004B1B9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64267A" w:rsidRDefault="00EC5F55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proofErr w:type="spellStart"/>
      <w:r>
        <w:t>Mitomycin</w:t>
      </w:r>
      <w:proofErr w:type="spellEnd"/>
      <w:r w:rsidR="00196467">
        <w:t xml:space="preserve"> </w:t>
      </w:r>
      <w:proofErr w:type="spellStart"/>
      <w:r w:rsidR="00196467">
        <w:t>medac</w:t>
      </w:r>
      <w:proofErr w:type="spellEnd"/>
      <w:r>
        <w:t xml:space="preserve"> 40 mg </w:t>
      </w:r>
      <w:proofErr w:type="spellStart"/>
      <w:r>
        <w:t>prášo</w:t>
      </w:r>
      <w:proofErr w:type="spellEnd"/>
      <w:r w:rsidR="00966BC2">
        <w:t> </w:t>
      </w:r>
      <w:r>
        <w:t xml:space="preserve"> a rozpúšťadlo na </w:t>
      </w:r>
      <w:proofErr w:type="spellStart"/>
      <w:r>
        <w:t>intravezikálny</w:t>
      </w:r>
      <w:proofErr w:type="spellEnd"/>
      <w:r>
        <w:t xml:space="preserve"> roztok</w:t>
      </w:r>
    </w:p>
    <w:p w:rsidR="00AE1F3C" w:rsidRDefault="00AE1F3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064553" w:rsidRPr="00BE265E" w:rsidRDefault="00064553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1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2.</w:t>
      </w:r>
      <w:r>
        <w:tab/>
      </w:r>
      <w:r w:rsidR="0064267A">
        <w:t>KVALITATÍVNE A KVANTITATÍVNE ZLOŽENIE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2259DF" w:rsidRPr="00BE265E" w:rsidRDefault="003A201B" w:rsidP="00BD509C">
      <w:pPr>
        <w:spacing w:before="0" w:after="0" w:line="260" w:lineRule="exact"/>
        <w:jc w:val="left"/>
      </w:pPr>
      <w:r>
        <w:t>Jedna injekčná liekovk</w:t>
      </w:r>
      <w:r w:rsidR="00500296">
        <w:t xml:space="preserve">a </w:t>
      </w:r>
      <w:proofErr w:type="spellStart"/>
      <w:r w:rsidR="00500296">
        <w:t>Mitomycinu</w:t>
      </w:r>
      <w:proofErr w:type="spellEnd"/>
      <w:r w:rsidR="00196467">
        <w:t xml:space="preserve"> </w:t>
      </w:r>
      <w:proofErr w:type="spellStart"/>
      <w:r w:rsidR="00196467">
        <w:t>medac</w:t>
      </w:r>
      <w:proofErr w:type="spellEnd"/>
      <w:r w:rsidR="00500296">
        <w:t xml:space="preserve"> obsahuje 40 </w:t>
      </w:r>
      <w:r>
        <w:t xml:space="preserve">mg </w:t>
      </w:r>
      <w:proofErr w:type="spellStart"/>
      <w:r>
        <w:t>mitomycínu</w:t>
      </w:r>
      <w:proofErr w:type="spellEnd"/>
      <w:r>
        <w:t xml:space="preserve">. 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64267A" w:rsidRDefault="0064267A" w:rsidP="00BD509C">
      <w:pPr>
        <w:spacing w:before="0" w:after="0" w:line="260" w:lineRule="exact"/>
        <w:jc w:val="left"/>
        <w:rPr>
          <w:noProof/>
        </w:rPr>
      </w:pPr>
      <w:r>
        <w:t>Úplný zoz</w:t>
      </w:r>
      <w:r w:rsidR="00500296">
        <w:t>nam pomocných látok, pozri časť </w:t>
      </w:r>
      <w:r>
        <w:t>6.1.</w:t>
      </w:r>
    </w:p>
    <w:p w:rsidR="00553B9C" w:rsidRDefault="00553B9C" w:rsidP="00BD509C">
      <w:pPr>
        <w:spacing w:before="0" w:after="0" w:line="260" w:lineRule="exact"/>
        <w:jc w:val="left"/>
        <w:rPr>
          <w:noProof/>
        </w:rPr>
      </w:pPr>
    </w:p>
    <w:p w:rsidR="00064553" w:rsidRDefault="00064553" w:rsidP="00BD509C">
      <w:pPr>
        <w:spacing w:before="0" w:after="0" w:line="260" w:lineRule="exact"/>
        <w:jc w:val="left"/>
        <w:rPr>
          <w:noProof/>
        </w:rPr>
      </w:pPr>
    </w:p>
    <w:p w:rsidR="0030611B" w:rsidRDefault="00966BC2" w:rsidP="00720D00">
      <w:pPr>
        <w:pStyle w:val="Nadpis1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3.</w:t>
      </w:r>
      <w:r>
        <w:tab/>
      </w:r>
      <w:r w:rsidR="0064267A">
        <w:t>LIEKOVÁ FORMA</w:t>
      </w:r>
    </w:p>
    <w:p w:rsidR="004B1B9C" w:rsidRDefault="004B1B9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0A35C5" w:rsidRDefault="00553B9C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r>
        <w:t xml:space="preserve">Prášok a rozpúšťadlo na </w:t>
      </w:r>
      <w:proofErr w:type="spellStart"/>
      <w:r>
        <w:t>intravezikálny</w:t>
      </w:r>
      <w:proofErr w:type="spellEnd"/>
      <w:r>
        <w:t xml:space="preserve"> roztok</w:t>
      </w:r>
      <w:r w:rsidR="0009611E">
        <w:t>.</w:t>
      </w:r>
    </w:p>
    <w:p w:rsidR="00132BEA" w:rsidRDefault="00132BEA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132BEA" w:rsidRDefault="00132BEA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r>
        <w:t>Prášok: Sivý až sivomodrý prášok alebo koláč.</w:t>
      </w:r>
    </w:p>
    <w:p w:rsidR="00132BEA" w:rsidRPr="00132BEA" w:rsidRDefault="00132BEA" w:rsidP="00BD509C">
      <w:pPr>
        <w:widowControl w:val="0"/>
        <w:spacing w:before="0" w:after="0" w:line="260" w:lineRule="exact"/>
        <w:jc w:val="left"/>
        <w:rPr>
          <w:noProof/>
          <w:szCs w:val="22"/>
        </w:rPr>
      </w:pPr>
      <w:r>
        <w:t>Rozpúšťadlo: Číry a bezfarebný roztok</w:t>
      </w:r>
      <w:r w:rsidR="0009611E">
        <w:t>.</w:t>
      </w:r>
    </w:p>
    <w:p w:rsidR="0064267A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064553" w:rsidRPr="00BE265E" w:rsidRDefault="00064553" w:rsidP="00BD509C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1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</w:t>
      </w:r>
      <w:r>
        <w:tab/>
      </w:r>
      <w:r w:rsidR="0064267A">
        <w:t>KLINICKÉ ÚDAJE</w:t>
      </w:r>
    </w:p>
    <w:p w:rsidR="004B1B9C" w:rsidRPr="00BD509C" w:rsidRDefault="004B1B9C" w:rsidP="00BD509C">
      <w:pPr>
        <w:spacing w:before="0" w:after="0" w:line="260" w:lineRule="exact"/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4.1</w:t>
      </w:r>
      <w:r>
        <w:tab/>
      </w:r>
      <w:r w:rsidR="0064267A">
        <w:t>Terapeutické indikácie</w:t>
      </w:r>
    </w:p>
    <w:p w:rsidR="00EC5F55" w:rsidRDefault="00EC5F55" w:rsidP="00F25D73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EE6999" w:rsidP="00720D00">
      <w:pPr>
        <w:pStyle w:val="Zkladntext2"/>
        <w:jc w:val="left"/>
        <w:rPr>
          <w:noProof/>
          <w:szCs w:val="22"/>
        </w:rPr>
      </w:pPr>
      <w:proofErr w:type="spellStart"/>
      <w:r w:rsidRPr="00EE03CC">
        <w:t>Mitomycin</w:t>
      </w:r>
      <w:proofErr w:type="spellEnd"/>
      <w:r w:rsidRPr="00EE03CC">
        <w:t xml:space="preserve"> </w:t>
      </w:r>
      <w:proofErr w:type="spellStart"/>
      <w:r w:rsidRPr="00EE03CC">
        <w:t>medac</w:t>
      </w:r>
      <w:proofErr w:type="spellEnd"/>
      <w:r w:rsidRPr="00EE03CC">
        <w:t xml:space="preserve"> je indikovaný </w:t>
      </w:r>
      <w:r w:rsidR="00D87D83" w:rsidRPr="00D87D83">
        <w:t>na</w:t>
      </w:r>
      <w:r w:rsidR="00D87D83">
        <w:t xml:space="preserve"> </w:t>
      </w:r>
      <w:proofErr w:type="spellStart"/>
      <w:r w:rsidRPr="00EE03CC">
        <w:rPr>
          <w:b/>
        </w:rPr>
        <w:t>intravezikálne</w:t>
      </w:r>
      <w:proofErr w:type="spellEnd"/>
      <w:r w:rsidRPr="00EE03CC">
        <w:rPr>
          <w:b/>
        </w:rPr>
        <w:t xml:space="preserve"> </w:t>
      </w:r>
      <w:r w:rsidRPr="00EE03CC">
        <w:t xml:space="preserve">podanie na prevenciu </w:t>
      </w:r>
      <w:proofErr w:type="spellStart"/>
      <w:r w:rsidRPr="00EE03CC">
        <w:t>relapsu</w:t>
      </w:r>
      <w:proofErr w:type="spellEnd"/>
      <w:r w:rsidRPr="00EE03CC">
        <w:t xml:space="preserve"> </w:t>
      </w:r>
      <w:r w:rsidR="00FA7355" w:rsidRPr="00EE03CC">
        <w:t>dospelý</w:t>
      </w:r>
      <w:r w:rsidR="00FA7355">
        <w:t>m</w:t>
      </w:r>
      <w:r w:rsidR="00FA7355" w:rsidRPr="00EE03CC">
        <w:t xml:space="preserve"> </w:t>
      </w:r>
      <w:r w:rsidRPr="00EE03CC">
        <w:t>s</w:t>
      </w:r>
      <w:r w:rsidR="00966BC2">
        <w:t> </w:t>
      </w:r>
      <w:r w:rsidRPr="00EE03CC">
        <w:t xml:space="preserve">povrchovým karcinómom močového mechúra po </w:t>
      </w:r>
      <w:proofErr w:type="spellStart"/>
      <w:r w:rsidRPr="00EE03CC">
        <w:t>transuretrálnej</w:t>
      </w:r>
      <w:proofErr w:type="spellEnd"/>
      <w:r w:rsidRPr="00EE03CC">
        <w:t xml:space="preserve"> resekcii.</w:t>
      </w:r>
    </w:p>
    <w:p w:rsidR="00064553" w:rsidRPr="00BE265E" w:rsidRDefault="00064553" w:rsidP="00F25D73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4.2</w:t>
      </w:r>
      <w:r>
        <w:tab/>
      </w:r>
      <w:r w:rsidR="0064267A">
        <w:t>Dávkovanie a</w:t>
      </w:r>
      <w:r>
        <w:t> </w:t>
      </w:r>
      <w:r w:rsidR="0064267A">
        <w:t>spôsob podávania</w:t>
      </w:r>
    </w:p>
    <w:p w:rsidR="004B1B9C" w:rsidRDefault="004B1B9C" w:rsidP="00E13991">
      <w:pPr>
        <w:spacing w:before="0" w:after="0" w:line="260" w:lineRule="exact"/>
        <w:jc w:val="left"/>
        <w:rPr>
          <w:szCs w:val="22"/>
        </w:rPr>
      </w:pPr>
    </w:p>
    <w:p w:rsidR="004B1B9C" w:rsidRDefault="005B654C" w:rsidP="00E13991">
      <w:pPr>
        <w:spacing w:before="0" w:after="0" w:line="260" w:lineRule="exact"/>
        <w:jc w:val="left"/>
        <w:rPr>
          <w:szCs w:val="22"/>
        </w:rPr>
      </w:pPr>
      <w:proofErr w:type="spellStart"/>
      <w:r>
        <w:t>Mitomycin</w:t>
      </w:r>
      <w:proofErr w:type="spellEnd"/>
      <w:r w:rsidR="00196467">
        <w:t xml:space="preserve"> </w:t>
      </w:r>
      <w:proofErr w:type="spellStart"/>
      <w:r w:rsidR="00196467">
        <w:t>medac</w:t>
      </w:r>
      <w:proofErr w:type="spellEnd"/>
      <w:r>
        <w:t xml:space="preserve"> musia podávať lekári, ktorí majú skúsenosti s</w:t>
      </w:r>
      <w:r w:rsidR="00966BC2">
        <w:t> </w:t>
      </w:r>
      <w:r>
        <w:t xml:space="preserve">touto liečbou, iba keď je to </w:t>
      </w:r>
      <w:r w:rsidR="00FA7355">
        <w:t xml:space="preserve">jednoznačne </w:t>
      </w:r>
      <w:r>
        <w:t xml:space="preserve">indikované. </w:t>
      </w:r>
    </w:p>
    <w:p w:rsidR="004B1B9C" w:rsidRDefault="004B1B9C" w:rsidP="00E13991">
      <w:pPr>
        <w:spacing w:before="0" w:after="0" w:line="260" w:lineRule="exact"/>
        <w:jc w:val="left"/>
        <w:rPr>
          <w:szCs w:val="22"/>
        </w:rPr>
      </w:pPr>
    </w:p>
    <w:p w:rsidR="000B6B03" w:rsidRPr="00BE265E" w:rsidRDefault="005B654C" w:rsidP="00E13991">
      <w:pPr>
        <w:spacing w:before="0" w:after="0" w:line="260" w:lineRule="exact"/>
        <w:jc w:val="left"/>
        <w:rPr>
          <w:szCs w:val="22"/>
        </w:rPr>
      </w:pPr>
      <w:proofErr w:type="spellStart"/>
      <w:r>
        <w:t>Mitomycin</w:t>
      </w:r>
      <w:proofErr w:type="spellEnd"/>
      <w:r w:rsidR="00196467">
        <w:t xml:space="preserve"> </w:t>
      </w:r>
      <w:proofErr w:type="spellStart"/>
      <w:r w:rsidR="00196467">
        <w:t>medac</w:t>
      </w:r>
      <w:proofErr w:type="spellEnd"/>
      <w:r>
        <w:t xml:space="preserve"> je po rekonštitúcii určený </w:t>
      </w:r>
      <w:r w:rsidR="0009611E">
        <w:t xml:space="preserve">len </w:t>
      </w:r>
      <w:r>
        <w:t xml:space="preserve">na </w:t>
      </w:r>
      <w:proofErr w:type="spellStart"/>
      <w:r>
        <w:t>intravezikálne</w:t>
      </w:r>
      <w:proofErr w:type="spellEnd"/>
      <w:r>
        <w:t xml:space="preserve"> podávanie.</w:t>
      </w:r>
    </w:p>
    <w:p w:rsidR="004B1B9C" w:rsidRDefault="004B1B9C" w:rsidP="00E13991">
      <w:pPr>
        <w:spacing w:before="0" w:after="0" w:line="260" w:lineRule="exact"/>
        <w:jc w:val="left"/>
        <w:rPr>
          <w:b/>
          <w:i/>
          <w:szCs w:val="22"/>
        </w:rPr>
      </w:pPr>
    </w:p>
    <w:p w:rsidR="00AE1F3C" w:rsidRPr="00E13991" w:rsidRDefault="00AE1F3C" w:rsidP="00BD509C">
      <w:pPr>
        <w:spacing w:before="0" w:after="0" w:line="260" w:lineRule="exact"/>
        <w:jc w:val="left"/>
        <w:rPr>
          <w:szCs w:val="22"/>
          <w:u w:val="single"/>
        </w:rPr>
      </w:pPr>
      <w:r>
        <w:rPr>
          <w:u w:val="single"/>
        </w:rPr>
        <w:t>Dávkovanie</w:t>
      </w:r>
    </w:p>
    <w:p w:rsidR="004B1B9C" w:rsidRPr="00BE265E" w:rsidRDefault="004B1B9C" w:rsidP="00BD509C">
      <w:pPr>
        <w:spacing w:before="0" w:after="0" w:line="260" w:lineRule="exact"/>
        <w:jc w:val="left"/>
      </w:pPr>
    </w:p>
    <w:p w:rsidR="0009611E" w:rsidRPr="002A4C9B" w:rsidRDefault="0009611E" w:rsidP="0009611E">
      <w:pPr>
        <w:spacing w:before="0" w:after="0"/>
        <w:jc w:val="left"/>
        <w:rPr>
          <w:szCs w:val="24"/>
          <w:lang w:eastAsia="en-GB"/>
        </w:rPr>
      </w:pPr>
      <w:r>
        <w:rPr>
          <w:szCs w:val="24"/>
          <w:lang w:eastAsia="en-GB"/>
        </w:rPr>
        <w:t xml:space="preserve">Na jednu </w:t>
      </w:r>
      <w:proofErr w:type="spellStart"/>
      <w:r>
        <w:rPr>
          <w:szCs w:val="24"/>
          <w:lang w:eastAsia="en-GB"/>
        </w:rPr>
        <w:t>instiláciu</w:t>
      </w:r>
      <w:proofErr w:type="spellEnd"/>
      <w:r>
        <w:rPr>
          <w:szCs w:val="24"/>
          <w:lang w:eastAsia="en-GB"/>
        </w:rPr>
        <w:t xml:space="preserve"> močového mechúra je potrebný obsah jednej injekčnej liekovky</w:t>
      </w:r>
      <w:r w:rsidRPr="002A4C9B">
        <w:rPr>
          <w:szCs w:val="24"/>
          <w:lang w:eastAsia="en-GB"/>
        </w:rPr>
        <w:t>.</w:t>
      </w:r>
    </w:p>
    <w:p w:rsidR="0009611E" w:rsidRDefault="0009611E" w:rsidP="00E13991">
      <w:pPr>
        <w:spacing w:before="0" w:after="0"/>
        <w:jc w:val="left"/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t xml:space="preserve">Existuje mnoho </w:t>
      </w:r>
      <w:r w:rsidR="00FD7BF9">
        <w:t>liečebných režimov</w:t>
      </w:r>
      <w:r>
        <w:t xml:space="preserve"> </w:t>
      </w:r>
      <w:proofErr w:type="spellStart"/>
      <w:r>
        <w:t>intravezikálneho</w:t>
      </w:r>
      <w:proofErr w:type="spellEnd"/>
      <w:r>
        <w:t xml:space="preserve"> podávania </w:t>
      </w:r>
      <w:proofErr w:type="spellStart"/>
      <w:r>
        <w:t>mitomycínu</w:t>
      </w:r>
      <w:proofErr w:type="spellEnd"/>
      <w:r>
        <w:t xml:space="preserve">, ktoré sa líšia použitou dávkou </w:t>
      </w:r>
      <w:proofErr w:type="spellStart"/>
      <w:r>
        <w:t>mitomycínu</w:t>
      </w:r>
      <w:proofErr w:type="spellEnd"/>
      <w:r>
        <w:t xml:space="preserve">, frekvenciou </w:t>
      </w:r>
      <w:proofErr w:type="spellStart"/>
      <w:r>
        <w:t>instilácie</w:t>
      </w:r>
      <w:proofErr w:type="spellEnd"/>
      <w:r>
        <w:t xml:space="preserve"> a</w:t>
      </w:r>
      <w:r w:rsidR="00966BC2">
        <w:t> </w:t>
      </w:r>
      <w:r>
        <w:t xml:space="preserve">trvaním liečby. </w:t>
      </w:r>
    </w:p>
    <w:p w:rsidR="005B654C" w:rsidRPr="00F25D73" w:rsidRDefault="005B654C" w:rsidP="00F25D73">
      <w:pPr>
        <w:spacing w:before="0" w:after="0" w:line="260" w:lineRule="exact"/>
        <w:jc w:val="left"/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t>Ak nie je upresnené in</w:t>
      </w:r>
      <w:r w:rsidR="00500296">
        <w:t xml:space="preserve">ak, dávkovanie </w:t>
      </w:r>
      <w:proofErr w:type="spellStart"/>
      <w:r w:rsidR="00500296">
        <w:t>mitomycínu</w:t>
      </w:r>
      <w:proofErr w:type="spellEnd"/>
      <w:r w:rsidR="00500296">
        <w:t xml:space="preserve"> je 40 </w:t>
      </w:r>
      <w:r>
        <w:t xml:space="preserve">mg </w:t>
      </w:r>
      <w:proofErr w:type="spellStart"/>
      <w:r>
        <w:t>mitomycínu</w:t>
      </w:r>
      <w:proofErr w:type="spellEnd"/>
      <w:r>
        <w:t xml:space="preserve"> </w:t>
      </w:r>
      <w:proofErr w:type="spellStart"/>
      <w:r>
        <w:t>instilované</w:t>
      </w:r>
      <w:r w:rsidR="00E92694">
        <w:t>ho</w:t>
      </w:r>
      <w:proofErr w:type="spellEnd"/>
      <w:r>
        <w:t xml:space="preserve"> do močového mechúra raz týždenne. Tiež možno použiť </w:t>
      </w:r>
      <w:r w:rsidR="00FD7BF9">
        <w:t>liečebné režimy</w:t>
      </w:r>
      <w:r>
        <w:t xml:space="preserve"> s</w:t>
      </w:r>
      <w:r w:rsidR="00966BC2">
        <w:t> </w:t>
      </w:r>
      <w:proofErr w:type="spellStart"/>
      <w:r>
        <w:t>instiláciou</w:t>
      </w:r>
      <w:proofErr w:type="spellEnd"/>
      <w:r>
        <w:t xml:space="preserve"> každé 2 týždne, každý mesiac alebo každé 3 mesiace. </w:t>
      </w:r>
    </w:p>
    <w:p w:rsidR="005B654C" w:rsidRPr="00E13991" w:rsidRDefault="005B654C" w:rsidP="00E13991">
      <w:pPr>
        <w:autoSpaceDE w:val="0"/>
        <w:autoSpaceDN w:val="0"/>
        <w:adjustRightInd w:val="0"/>
        <w:spacing w:before="0" w:after="0"/>
        <w:jc w:val="left"/>
        <w:rPr>
          <w:szCs w:val="24"/>
        </w:rPr>
      </w:pPr>
      <w:r>
        <w:t>Špecialista by mal rozhodnúť o</w:t>
      </w:r>
      <w:r w:rsidR="00966BC2">
        <w:t> </w:t>
      </w:r>
      <w:r>
        <w:t>optimáln</w:t>
      </w:r>
      <w:r w:rsidR="00FD7BF9">
        <w:t>om liečebnom režime</w:t>
      </w:r>
      <w:r>
        <w:t>, frekvencii a</w:t>
      </w:r>
      <w:r w:rsidR="00966BC2">
        <w:t> </w:t>
      </w:r>
      <w:r>
        <w:t>trvaní liečby u</w:t>
      </w:r>
      <w:r w:rsidR="00966BC2">
        <w:t> </w:t>
      </w:r>
      <w:r>
        <w:t xml:space="preserve">každého pacienta individuálne. </w:t>
      </w:r>
    </w:p>
    <w:p w:rsidR="004B1B9C" w:rsidRPr="00720D00" w:rsidRDefault="004B1B9C" w:rsidP="00BD509C">
      <w:pPr>
        <w:spacing w:before="0" w:after="0" w:line="260" w:lineRule="exact"/>
        <w:jc w:val="left"/>
        <w:rPr>
          <w:b/>
          <w:szCs w:val="22"/>
        </w:rPr>
      </w:pPr>
    </w:p>
    <w:p w:rsidR="00A25D29" w:rsidRPr="00720D00" w:rsidRDefault="0030611B" w:rsidP="00BD509C">
      <w:pPr>
        <w:spacing w:before="0" w:after="0" w:line="260" w:lineRule="exact"/>
        <w:jc w:val="left"/>
        <w:rPr>
          <w:i/>
          <w:szCs w:val="22"/>
          <w:u w:val="single"/>
        </w:rPr>
      </w:pPr>
      <w:r w:rsidRPr="00720D00">
        <w:rPr>
          <w:i/>
          <w:u w:val="single"/>
        </w:rPr>
        <w:t xml:space="preserve">Osobitné </w:t>
      </w:r>
      <w:r w:rsidR="00515AB3">
        <w:rPr>
          <w:i/>
          <w:u w:val="single"/>
        </w:rPr>
        <w:t>skupiny pacientov</w:t>
      </w:r>
    </w:p>
    <w:p w:rsidR="004B1B9C" w:rsidRDefault="004B1B9C" w:rsidP="00BD509C">
      <w:pPr>
        <w:spacing w:before="0" w:after="0" w:line="260" w:lineRule="exact"/>
        <w:jc w:val="left"/>
        <w:rPr>
          <w:b/>
          <w:i/>
          <w:szCs w:val="22"/>
        </w:rPr>
      </w:pPr>
    </w:p>
    <w:p w:rsidR="00C10F1F" w:rsidRDefault="0030611B" w:rsidP="00E13991">
      <w:pPr>
        <w:spacing w:before="0" w:after="0"/>
        <w:jc w:val="left"/>
        <w:rPr>
          <w:i/>
          <w:szCs w:val="24"/>
        </w:rPr>
      </w:pPr>
      <w:r w:rsidRPr="00720D00">
        <w:rPr>
          <w:i/>
          <w:szCs w:val="24"/>
        </w:rPr>
        <w:t>Starši</w:t>
      </w:r>
      <w:bookmarkStart w:id="0" w:name="_GoBack"/>
      <w:bookmarkEnd w:id="0"/>
      <w:r w:rsidRPr="00720D00">
        <w:rPr>
          <w:i/>
          <w:szCs w:val="24"/>
        </w:rPr>
        <w:t>e osoby</w:t>
      </w:r>
    </w:p>
    <w:p w:rsidR="005B654C" w:rsidRPr="00C10F1F" w:rsidRDefault="005B654C" w:rsidP="00C10F1F">
      <w:pPr>
        <w:rPr>
          <w:szCs w:val="24"/>
        </w:rPr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r>
        <w:lastRenderedPageBreak/>
        <w:t>K</w:t>
      </w:r>
      <w:r w:rsidR="00966BC2">
        <w:t> </w:t>
      </w:r>
      <w:r>
        <w:t>dispozícii je nedostatočné množstvo údajov z</w:t>
      </w:r>
      <w:r w:rsidR="00966BC2">
        <w:t> </w:t>
      </w:r>
      <w:r>
        <w:t xml:space="preserve">klinických štúdií skúmajúcich použitie </w:t>
      </w:r>
      <w:proofErr w:type="spellStart"/>
      <w:r>
        <w:t>mitomycínu</w:t>
      </w:r>
      <w:proofErr w:type="spellEnd"/>
      <w:r>
        <w:t xml:space="preserve"> u</w:t>
      </w:r>
      <w:r w:rsidR="00966BC2">
        <w:t> </w:t>
      </w:r>
      <w:r>
        <w:t>pacientov vo veku ≥</w:t>
      </w:r>
      <w:r w:rsidR="009C3ECE">
        <w:t> </w:t>
      </w:r>
      <w:r>
        <w:t>65</w:t>
      </w:r>
      <w:r w:rsidR="009C3ECE">
        <w:t> </w:t>
      </w:r>
      <w:r>
        <w:t>rokov.</w:t>
      </w: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</w:p>
    <w:p w:rsidR="0009611E" w:rsidRPr="002A4C9B" w:rsidRDefault="00515AB3" w:rsidP="0009611E">
      <w:pPr>
        <w:spacing w:before="0" w:after="0"/>
        <w:jc w:val="left"/>
        <w:rPr>
          <w:i/>
          <w:szCs w:val="24"/>
        </w:rPr>
      </w:pPr>
      <w:r>
        <w:rPr>
          <w:i/>
          <w:szCs w:val="22"/>
        </w:rPr>
        <w:t>Porucha</w:t>
      </w:r>
      <w:r w:rsidR="0009611E">
        <w:rPr>
          <w:i/>
          <w:szCs w:val="22"/>
        </w:rPr>
        <w:t xml:space="preserve"> funkcie obličiek alebo pečene</w:t>
      </w:r>
    </w:p>
    <w:p w:rsidR="005B654C" w:rsidRPr="00E13991" w:rsidRDefault="005B654C" w:rsidP="00500296">
      <w:pPr>
        <w:spacing w:before="0" w:after="0"/>
        <w:jc w:val="left"/>
        <w:rPr>
          <w:szCs w:val="24"/>
        </w:rPr>
      </w:pPr>
      <w:r>
        <w:t xml:space="preserve">Tento liek sa má používať </w:t>
      </w:r>
      <w:r w:rsidR="0009611E">
        <w:t xml:space="preserve">opatrne </w:t>
      </w:r>
      <w:r>
        <w:t>u</w:t>
      </w:r>
      <w:r w:rsidR="00966BC2">
        <w:t> </w:t>
      </w:r>
      <w:r>
        <w:t>paci</w:t>
      </w:r>
      <w:r w:rsidR="00500296">
        <w:t>e</w:t>
      </w:r>
      <w:r>
        <w:t>ntov s</w:t>
      </w:r>
      <w:r w:rsidR="00966BC2">
        <w:t> </w:t>
      </w:r>
      <w:r w:rsidR="00515AB3">
        <w:t>poruchou</w:t>
      </w:r>
      <w:r w:rsidR="00500296">
        <w:t xml:space="preserve"> funkcie obličiek </w:t>
      </w:r>
      <w:r w:rsidR="0009611E">
        <w:t>alebo pečene</w:t>
      </w:r>
      <w:r>
        <w:t>.</w:t>
      </w:r>
    </w:p>
    <w:p w:rsidR="004B1B9C" w:rsidRPr="00F25D73" w:rsidRDefault="004B1B9C" w:rsidP="00BD509C">
      <w:pPr>
        <w:spacing w:before="0" w:after="0" w:line="260" w:lineRule="exact"/>
        <w:jc w:val="left"/>
      </w:pPr>
    </w:p>
    <w:p w:rsidR="00A407FE" w:rsidRPr="00E13991" w:rsidRDefault="00A407FE" w:rsidP="00BD509C">
      <w:pPr>
        <w:spacing w:before="0" w:after="0" w:line="260" w:lineRule="exact"/>
        <w:jc w:val="left"/>
        <w:rPr>
          <w:i/>
        </w:rPr>
      </w:pPr>
      <w:r>
        <w:rPr>
          <w:i/>
        </w:rPr>
        <w:t>Pediatrická populácia</w:t>
      </w:r>
    </w:p>
    <w:p w:rsidR="00250DDB" w:rsidRPr="00250DDB" w:rsidRDefault="00A407FE" w:rsidP="00BD509C">
      <w:pPr>
        <w:spacing w:before="0" w:after="0" w:line="260" w:lineRule="exact"/>
        <w:jc w:val="left"/>
      </w:pPr>
      <w:r>
        <w:t>Bezpečnosť a</w:t>
      </w:r>
      <w:r w:rsidR="00966BC2">
        <w:t> </w:t>
      </w:r>
      <w:r>
        <w:t xml:space="preserve">účinnosť </w:t>
      </w:r>
      <w:r w:rsidR="0009611E">
        <w:t>lieku</w:t>
      </w:r>
      <w:r w:rsidR="00722378" w:rsidRPr="00722378">
        <w:rPr>
          <w:b/>
        </w:rPr>
        <w:t xml:space="preserve"> </w:t>
      </w:r>
      <w:proofErr w:type="spellStart"/>
      <w:r w:rsidR="0030611B" w:rsidRPr="00720D00">
        <w:rPr>
          <w:bCs/>
        </w:rPr>
        <w:t>Mitomycin</w:t>
      </w:r>
      <w:proofErr w:type="spellEnd"/>
      <w:r w:rsidR="0030611B" w:rsidRPr="00720D00">
        <w:rPr>
          <w:bCs/>
        </w:rPr>
        <w:t xml:space="preserve"> </w:t>
      </w:r>
      <w:proofErr w:type="spellStart"/>
      <w:r w:rsidR="0030611B" w:rsidRPr="00720D00">
        <w:rPr>
          <w:bCs/>
        </w:rPr>
        <w:t>medac</w:t>
      </w:r>
      <w:proofErr w:type="spellEnd"/>
      <w:r>
        <w:t xml:space="preserve"> u</w:t>
      </w:r>
      <w:r w:rsidR="00966BC2">
        <w:t> </w:t>
      </w:r>
      <w:r>
        <w:t>detí neboli stanovené.</w:t>
      </w:r>
      <w:r w:rsidR="009C3ECE">
        <w:t xml:space="preserve"> </w:t>
      </w:r>
      <w:r w:rsidR="00250DDB">
        <w:t>K</w:t>
      </w:r>
      <w:r w:rsidR="00966BC2">
        <w:t> </w:t>
      </w:r>
      <w:r w:rsidR="00250DDB">
        <w:t>dispozícii nie sú žiadne údaje.</w:t>
      </w:r>
    </w:p>
    <w:p w:rsidR="004B1B9C" w:rsidRPr="004F5BB3" w:rsidRDefault="004B1B9C" w:rsidP="00BD509C">
      <w:pPr>
        <w:spacing w:before="0" w:after="0" w:line="260" w:lineRule="exact"/>
        <w:jc w:val="left"/>
      </w:pPr>
    </w:p>
    <w:p w:rsidR="00A407FE" w:rsidRPr="00E13991" w:rsidRDefault="00A407FE" w:rsidP="00BD509C">
      <w:pPr>
        <w:spacing w:before="0" w:after="0" w:line="260" w:lineRule="exact"/>
        <w:jc w:val="left"/>
        <w:rPr>
          <w:u w:val="single"/>
        </w:rPr>
      </w:pPr>
      <w:r>
        <w:rPr>
          <w:u w:val="single"/>
        </w:rPr>
        <w:t>Spôsob podávania</w:t>
      </w:r>
    </w:p>
    <w:p w:rsidR="004B1B9C" w:rsidRDefault="004B1B9C" w:rsidP="00F25D73">
      <w:pPr>
        <w:spacing w:before="0" w:after="0" w:line="260" w:lineRule="exact"/>
        <w:jc w:val="left"/>
        <w:rPr>
          <w:b/>
          <w:i/>
        </w:rPr>
      </w:pPr>
    </w:p>
    <w:p w:rsidR="005B654C" w:rsidRPr="00E13991" w:rsidRDefault="005B654C" w:rsidP="00E13991">
      <w:pPr>
        <w:spacing w:before="0" w:after="0"/>
        <w:jc w:val="left"/>
        <w:rPr>
          <w:szCs w:val="24"/>
        </w:rPr>
      </w:pPr>
      <w:proofErr w:type="spellStart"/>
      <w:r>
        <w:t>Mitomycin</w:t>
      </w:r>
      <w:proofErr w:type="spellEnd"/>
      <w:r w:rsidR="00196467">
        <w:t xml:space="preserve"> </w:t>
      </w:r>
      <w:proofErr w:type="spellStart"/>
      <w:r w:rsidR="00196467">
        <w:t>medac</w:t>
      </w:r>
      <w:proofErr w:type="spellEnd"/>
      <w:r>
        <w:t xml:space="preserve"> je po rozpustení určený </w:t>
      </w:r>
      <w:r w:rsidR="0009611E">
        <w:t xml:space="preserve">len </w:t>
      </w:r>
      <w:r>
        <w:t xml:space="preserve">na </w:t>
      </w:r>
      <w:proofErr w:type="spellStart"/>
      <w:r>
        <w:t>intravezikálnu</w:t>
      </w:r>
      <w:proofErr w:type="spellEnd"/>
      <w:r>
        <w:t xml:space="preserve"> </w:t>
      </w:r>
      <w:proofErr w:type="spellStart"/>
      <w:r>
        <w:t>instiláciu</w:t>
      </w:r>
      <w:proofErr w:type="spellEnd"/>
      <w:r>
        <w:t xml:space="preserve">. </w:t>
      </w:r>
    </w:p>
    <w:p w:rsidR="005B654C" w:rsidRPr="00580D4E" w:rsidRDefault="005B654C" w:rsidP="00BD509C">
      <w:pPr>
        <w:spacing w:before="0" w:after="0" w:line="260" w:lineRule="exact"/>
        <w:jc w:val="left"/>
        <w:rPr>
          <w:b/>
          <w:i/>
        </w:rPr>
      </w:pPr>
    </w:p>
    <w:p w:rsidR="0009611E" w:rsidRDefault="001F0FC1" w:rsidP="00BD509C">
      <w:pPr>
        <w:spacing w:before="0" w:after="0" w:line="260" w:lineRule="exact"/>
        <w:jc w:val="left"/>
        <w:rPr>
          <w:szCs w:val="22"/>
        </w:rPr>
      </w:pPr>
      <w:r>
        <w:rPr>
          <w:szCs w:val="22"/>
        </w:rPr>
        <w:t xml:space="preserve">Odporúča sa použiť tento liek pri jeho </w:t>
      </w:r>
      <w:r w:rsidR="0009611E" w:rsidRPr="002A4C9B">
        <w:rPr>
          <w:szCs w:val="22"/>
        </w:rPr>
        <w:t>optim</w:t>
      </w:r>
      <w:r>
        <w:rPr>
          <w:szCs w:val="22"/>
        </w:rPr>
        <w:t>álnom</w:t>
      </w:r>
      <w:r w:rsidR="0009611E" w:rsidRPr="002A4C9B">
        <w:rPr>
          <w:szCs w:val="22"/>
        </w:rPr>
        <w:t xml:space="preserve"> pH (pH</w:t>
      </w:r>
      <w:r>
        <w:rPr>
          <w:szCs w:val="22"/>
        </w:rPr>
        <w:t xml:space="preserve"> moču</w:t>
      </w:r>
      <w:r w:rsidR="0009611E" w:rsidRPr="002A4C9B">
        <w:rPr>
          <w:szCs w:val="22"/>
        </w:rPr>
        <w:t> &gt; 6) a</w:t>
      </w:r>
      <w:r w:rsidR="00966BC2">
        <w:rPr>
          <w:szCs w:val="22"/>
        </w:rPr>
        <w:t> </w:t>
      </w:r>
      <w:r w:rsidR="001229A3">
        <w:rPr>
          <w:szCs w:val="22"/>
        </w:rPr>
        <w:t>udržať</w:t>
      </w:r>
      <w:r>
        <w:rPr>
          <w:szCs w:val="22"/>
        </w:rPr>
        <w:t xml:space="preserve"> k</w:t>
      </w:r>
      <w:r w:rsidR="0009611E" w:rsidRPr="002A4C9B">
        <w:rPr>
          <w:szCs w:val="22"/>
        </w:rPr>
        <w:t>oncentr</w:t>
      </w:r>
      <w:r>
        <w:rPr>
          <w:szCs w:val="22"/>
        </w:rPr>
        <w:t>áciu</w:t>
      </w:r>
      <w:r w:rsidR="0009611E" w:rsidRPr="002A4C9B">
        <w:rPr>
          <w:szCs w:val="22"/>
        </w:rPr>
        <w:t xml:space="preserve"> </w:t>
      </w:r>
      <w:proofErr w:type="spellStart"/>
      <w:r w:rsidR="0009611E" w:rsidRPr="002A4C9B">
        <w:rPr>
          <w:szCs w:val="22"/>
        </w:rPr>
        <w:t>mitomyc</w:t>
      </w:r>
      <w:r>
        <w:rPr>
          <w:szCs w:val="22"/>
        </w:rPr>
        <w:t>ínu</w:t>
      </w:r>
      <w:proofErr w:type="spellEnd"/>
      <w:r>
        <w:rPr>
          <w:szCs w:val="22"/>
        </w:rPr>
        <w:t xml:space="preserve"> znížením príjmu tekutín pred </w:t>
      </w:r>
      <w:proofErr w:type="spellStart"/>
      <w:r>
        <w:rPr>
          <w:szCs w:val="22"/>
        </w:rPr>
        <w:t>instiláciou</w:t>
      </w:r>
      <w:proofErr w:type="spellEnd"/>
      <w:r>
        <w:rPr>
          <w:szCs w:val="22"/>
        </w:rPr>
        <w:t>, počas nej a</w:t>
      </w:r>
      <w:r w:rsidR="00966BC2">
        <w:rPr>
          <w:szCs w:val="22"/>
        </w:rPr>
        <w:t> </w:t>
      </w:r>
      <w:r>
        <w:rPr>
          <w:szCs w:val="22"/>
        </w:rPr>
        <w:t xml:space="preserve">po nej. Močový mechúr musí byť pred </w:t>
      </w:r>
      <w:proofErr w:type="spellStart"/>
      <w:r>
        <w:rPr>
          <w:szCs w:val="22"/>
        </w:rPr>
        <w:t>in</w:t>
      </w:r>
      <w:r w:rsidR="001229A3">
        <w:rPr>
          <w:szCs w:val="22"/>
        </w:rPr>
        <w:t>s</w:t>
      </w:r>
      <w:r>
        <w:rPr>
          <w:szCs w:val="22"/>
        </w:rPr>
        <w:t>tiláciou</w:t>
      </w:r>
      <w:proofErr w:type="spellEnd"/>
      <w:r>
        <w:rPr>
          <w:szCs w:val="22"/>
        </w:rPr>
        <w:t xml:space="preserve"> vypr</w:t>
      </w:r>
      <w:r w:rsidR="001229A3">
        <w:rPr>
          <w:szCs w:val="22"/>
        </w:rPr>
        <w:t>á</w:t>
      </w:r>
      <w:r>
        <w:rPr>
          <w:szCs w:val="22"/>
        </w:rPr>
        <w:t xml:space="preserve">zdnený. </w:t>
      </w:r>
      <w:proofErr w:type="spellStart"/>
      <w:r w:rsidR="0009611E" w:rsidRPr="002A4C9B">
        <w:rPr>
          <w:szCs w:val="22"/>
        </w:rPr>
        <w:t>Mitomyc</w:t>
      </w:r>
      <w:r>
        <w:rPr>
          <w:szCs w:val="22"/>
        </w:rPr>
        <w:t>í</w:t>
      </w:r>
      <w:r w:rsidR="0009611E" w:rsidRPr="002A4C9B">
        <w:rPr>
          <w:szCs w:val="22"/>
        </w:rPr>
        <w:t>n</w:t>
      </w:r>
      <w:proofErr w:type="spellEnd"/>
      <w:r w:rsidR="0009611E" w:rsidRPr="002A4C9B">
        <w:rPr>
          <w:szCs w:val="22"/>
        </w:rPr>
        <w:t xml:space="preserve"> </w:t>
      </w:r>
      <w:r>
        <w:rPr>
          <w:szCs w:val="22"/>
        </w:rPr>
        <w:t>sa zavádza do močového mechúra prostredníctvom katétra a</w:t>
      </w:r>
      <w:r w:rsidR="00966BC2">
        <w:rPr>
          <w:szCs w:val="22"/>
        </w:rPr>
        <w:t> </w:t>
      </w:r>
      <w:r>
        <w:rPr>
          <w:szCs w:val="22"/>
        </w:rPr>
        <w:t>pri nízkom tlaku. Dĺžka</w:t>
      </w:r>
      <w:r w:rsidR="0009611E" w:rsidRPr="002A4C9B">
        <w:rPr>
          <w:szCs w:val="22"/>
        </w:rPr>
        <w:t xml:space="preserve"> individu</w:t>
      </w:r>
      <w:r>
        <w:rPr>
          <w:szCs w:val="22"/>
        </w:rPr>
        <w:t xml:space="preserve">álnej </w:t>
      </w:r>
      <w:proofErr w:type="spellStart"/>
      <w:r>
        <w:rPr>
          <w:szCs w:val="22"/>
        </w:rPr>
        <w:t>instilácie</w:t>
      </w:r>
      <w:proofErr w:type="spellEnd"/>
      <w:r>
        <w:rPr>
          <w:szCs w:val="22"/>
        </w:rPr>
        <w:t xml:space="preserve"> má byť</w:t>
      </w:r>
      <w:r w:rsidR="0009611E" w:rsidRPr="002A4C9B">
        <w:rPr>
          <w:szCs w:val="22"/>
        </w:rPr>
        <w:t xml:space="preserve"> 1</w:t>
      </w:r>
      <w:r w:rsidR="0009611E">
        <w:rPr>
          <w:szCs w:val="22"/>
        </w:rPr>
        <w:t> </w:t>
      </w:r>
      <w:r w:rsidR="0009611E" w:rsidRPr="002A4C9B">
        <w:rPr>
          <w:szCs w:val="22"/>
        </w:rPr>
        <w:t>–</w:t>
      </w:r>
      <w:r w:rsidR="0009611E">
        <w:rPr>
          <w:szCs w:val="22"/>
        </w:rPr>
        <w:t xml:space="preserve"> </w:t>
      </w:r>
      <w:r w:rsidR="0009611E" w:rsidRPr="002A4C9B">
        <w:rPr>
          <w:szCs w:val="22"/>
        </w:rPr>
        <w:t>2</w:t>
      </w:r>
      <w:r w:rsidR="0009611E">
        <w:rPr>
          <w:szCs w:val="22"/>
        </w:rPr>
        <w:t> </w:t>
      </w:r>
      <w:r w:rsidR="0009611E" w:rsidRPr="002A4C9B">
        <w:rPr>
          <w:szCs w:val="22"/>
        </w:rPr>
        <w:t>h</w:t>
      </w:r>
      <w:r w:rsidR="0009611E">
        <w:rPr>
          <w:szCs w:val="22"/>
        </w:rPr>
        <w:t>o</w:t>
      </w:r>
      <w:r>
        <w:rPr>
          <w:szCs w:val="22"/>
        </w:rPr>
        <w:t>diny. Počas tejto doby roztoká má mať dostatočný kontakt s</w:t>
      </w:r>
      <w:r w:rsidR="00966BC2">
        <w:rPr>
          <w:szCs w:val="22"/>
        </w:rPr>
        <w:t> </w:t>
      </w:r>
      <w:r>
        <w:rPr>
          <w:szCs w:val="22"/>
        </w:rPr>
        <w:t>celým povrchom sliznice močového mechúra. Preto má byť</w:t>
      </w:r>
      <w:r w:rsidR="0009611E" w:rsidRPr="002A4C9B">
        <w:rPr>
          <w:szCs w:val="22"/>
        </w:rPr>
        <w:t xml:space="preserve"> pa</w:t>
      </w:r>
      <w:r>
        <w:rPr>
          <w:szCs w:val="22"/>
        </w:rPr>
        <w:t>c</w:t>
      </w:r>
      <w:r w:rsidR="0009611E" w:rsidRPr="002A4C9B">
        <w:rPr>
          <w:szCs w:val="22"/>
        </w:rPr>
        <w:t xml:space="preserve">ient </w:t>
      </w:r>
      <w:r>
        <w:rPr>
          <w:szCs w:val="22"/>
        </w:rPr>
        <w:t xml:space="preserve">čo najviac </w:t>
      </w:r>
      <w:r w:rsidR="0009611E" w:rsidRPr="002A4C9B">
        <w:rPr>
          <w:szCs w:val="22"/>
        </w:rPr>
        <w:t>mobili</w:t>
      </w:r>
      <w:r>
        <w:rPr>
          <w:szCs w:val="22"/>
        </w:rPr>
        <w:t>zovaný. Po</w:t>
      </w:r>
      <w:r w:rsidR="0009611E" w:rsidRPr="002A4C9B">
        <w:rPr>
          <w:szCs w:val="22"/>
        </w:rPr>
        <w:t xml:space="preserve"> 2 ho</w:t>
      </w:r>
      <w:r>
        <w:rPr>
          <w:szCs w:val="22"/>
        </w:rPr>
        <w:t>dinách má pacient vymočiť</w:t>
      </w:r>
      <w:r w:rsidR="0009611E" w:rsidRPr="002A4C9B">
        <w:rPr>
          <w:szCs w:val="22"/>
        </w:rPr>
        <w:t xml:space="preserve"> </w:t>
      </w:r>
      <w:proofErr w:type="spellStart"/>
      <w:r w:rsidR="0009611E" w:rsidRPr="002A4C9B">
        <w:rPr>
          <w:szCs w:val="22"/>
        </w:rPr>
        <w:t>instil</w:t>
      </w:r>
      <w:r>
        <w:rPr>
          <w:szCs w:val="22"/>
        </w:rPr>
        <w:t>ovaný</w:t>
      </w:r>
      <w:proofErr w:type="spellEnd"/>
      <w:r>
        <w:rPr>
          <w:szCs w:val="22"/>
        </w:rPr>
        <w:t xml:space="preserve"> roztok, prednostne v</w:t>
      </w:r>
      <w:r w:rsidR="00966BC2">
        <w:rPr>
          <w:szCs w:val="22"/>
        </w:rPr>
        <w:t> </w:t>
      </w:r>
      <w:r>
        <w:rPr>
          <w:szCs w:val="22"/>
        </w:rPr>
        <w:t>sediacej polohe</w:t>
      </w:r>
      <w:r w:rsidR="0009611E" w:rsidRPr="002A4C9B">
        <w:rPr>
          <w:szCs w:val="22"/>
        </w:rPr>
        <w:t>.</w:t>
      </w:r>
    </w:p>
    <w:p w:rsidR="0009611E" w:rsidRDefault="0009611E" w:rsidP="00BD509C">
      <w:pPr>
        <w:spacing w:before="0" w:after="0" w:line="260" w:lineRule="exact"/>
        <w:jc w:val="left"/>
        <w:rPr>
          <w:szCs w:val="22"/>
        </w:rPr>
      </w:pPr>
    </w:p>
    <w:p w:rsidR="004B1B9C" w:rsidRDefault="00A407FE" w:rsidP="00BD509C">
      <w:pPr>
        <w:spacing w:before="0" w:after="0" w:line="260" w:lineRule="exact"/>
        <w:jc w:val="left"/>
      </w:pPr>
      <w:r>
        <w:t>Pokyny na rekonštitúciu a</w:t>
      </w:r>
      <w:r w:rsidR="00966BC2">
        <w:t> </w:t>
      </w:r>
      <w:r>
        <w:t>riedenie</w:t>
      </w:r>
      <w:r w:rsidR="00500296">
        <w:t xml:space="preserve"> lieku pred podaním, pozri časť </w:t>
      </w:r>
      <w:r>
        <w:t>6.6.</w:t>
      </w:r>
    </w:p>
    <w:p w:rsidR="005B5836" w:rsidRDefault="005B5836" w:rsidP="00BD509C">
      <w:pPr>
        <w:spacing w:before="0" w:after="0" w:line="260" w:lineRule="exact"/>
        <w:jc w:val="left"/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4.3</w:t>
      </w:r>
      <w:r>
        <w:tab/>
      </w:r>
      <w:r w:rsidR="0064267A">
        <w:t>Kontraindikácie</w:t>
      </w:r>
    </w:p>
    <w:p w:rsidR="004B1B9C" w:rsidRDefault="004B1B9C" w:rsidP="00BD509C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2B306A" w:rsidP="00720D00">
      <w:pPr>
        <w:spacing w:before="0" w:after="0" w:line="260" w:lineRule="exact"/>
        <w:ind w:left="567" w:hanging="567"/>
        <w:jc w:val="left"/>
        <w:rPr>
          <w:noProof/>
          <w:szCs w:val="22"/>
        </w:rPr>
      </w:pPr>
      <w:r w:rsidRPr="002A4C9B">
        <w:rPr>
          <w:szCs w:val="22"/>
        </w:rPr>
        <w:t>•</w:t>
      </w:r>
      <w:r w:rsidRPr="002A4C9B">
        <w:rPr>
          <w:color w:val="000000"/>
          <w:szCs w:val="22"/>
          <w:lang w:bidi="si-LK"/>
        </w:rPr>
        <w:tab/>
      </w:r>
      <w:r w:rsidR="005963CA">
        <w:t xml:space="preserve">Precitlivenosť na liečivo </w:t>
      </w:r>
      <w:r>
        <w:t xml:space="preserve">(liečivá) </w:t>
      </w:r>
      <w:r w:rsidR="005963CA">
        <w:t>alebo na ktorúkoľvek z po</w:t>
      </w:r>
      <w:r w:rsidR="00500296">
        <w:t>mocných látok uvedených v časti </w:t>
      </w:r>
      <w:r w:rsidR="005963CA">
        <w:t>6.1.</w:t>
      </w:r>
    </w:p>
    <w:p w:rsidR="0030611B" w:rsidRDefault="002B306A" w:rsidP="00720D00">
      <w:pPr>
        <w:spacing w:before="0" w:after="0" w:line="260" w:lineRule="exact"/>
        <w:ind w:left="567" w:hanging="567"/>
        <w:jc w:val="left"/>
        <w:rPr>
          <w:noProof/>
          <w:szCs w:val="22"/>
        </w:rPr>
      </w:pPr>
      <w:r w:rsidRPr="002A4C9B">
        <w:rPr>
          <w:szCs w:val="22"/>
        </w:rPr>
        <w:t>•</w:t>
      </w:r>
      <w:r w:rsidRPr="002A4C9B">
        <w:rPr>
          <w:color w:val="000000"/>
          <w:szCs w:val="22"/>
          <w:lang w:bidi="si-LK"/>
        </w:rPr>
        <w:tab/>
      </w:r>
      <w:r w:rsidR="00FA7355">
        <w:t>Dojčenie</w:t>
      </w:r>
    </w:p>
    <w:p w:rsidR="007603CA" w:rsidRPr="00BE265E" w:rsidRDefault="002B306A" w:rsidP="00BD509C">
      <w:pPr>
        <w:spacing w:before="0" w:after="0" w:line="260" w:lineRule="exact"/>
        <w:jc w:val="left"/>
        <w:rPr>
          <w:noProof/>
          <w:szCs w:val="22"/>
        </w:rPr>
      </w:pPr>
      <w:r w:rsidRPr="002A4C9B">
        <w:rPr>
          <w:szCs w:val="22"/>
        </w:rPr>
        <w:t>•</w:t>
      </w:r>
      <w:r w:rsidRPr="002A4C9B">
        <w:rPr>
          <w:color w:val="000000"/>
          <w:szCs w:val="22"/>
          <w:lang w:bidi="si-LK"/>
        </w:rPr>
        <w:tab/>
      </w:r>
      <w:r w:rsidR="007603CA">
        <w:t xml:space="preserve">Perforácia steny močového mechúra </w:t>
      </w:r>
    </w:p>
    <w:p w:rsidR="00DC30D0" w:rsidRPr="00E13991" w:rsidRDefault="002B306A" w:rsidP="00DC30D0">
      <w:pPr>
        <w:spacing w:before="0" w:after="0" w:line="260" w:lineRule="exact"/>
        <w:jc w:val="left"/>
        <w:rPr>
          <w:noProof/>
          <w:szCs w:val="22"/>
        </w:rPr>
      </w:pPr>
      <w:r w:rsidRPr="002A4C9B">
        <w:rPr>
          <w:szCs w:val="22"/>
        </w:rPr>
        <w:t>•</w:t>
      </w:r>
      <w:r w:rsidRPr="002A4C9B">
        <w:rPr>
          <w:color w:val="000000"/>
          <w:szCs w:val="22"/>
          <w:lang w:bidi="si-LK"/>
        </w:rPr>
        <w:tab/>
      </w:r>
      <w:proofErr w:type="spellStart"/>
      <w:r w:rsidR="00DC30D0">
        <w:t>Cystitída</w:t>
      </w:r>
      <w:proofErr w:type="spellEnd"/>
    </w:p>
    <w:p w:rsidR="00DC30D0" w:rsidRDefault="00DC30D0" w:rsidP="00DC30D0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4.4</w:t>
      </w:r>
      <w:r>
        <w:tab/>
      </w:r>
      <w:r w:rsidR="0064267A">
        <w:t>Osobitné upozornenia a opatrenia pri používaní</w:t>
      </w:r>
    </w:p>
    <w:p w:rsidR="00064342" w:rsidRDefault="00064342" w:rsidP="00064342">
      <w:pPr>
        <w:spacing w:before="0" w:after="0" w:line="260" w:lineRule="exact"/>
        <w:jc w:val="left"/>
      </w:pPr>
    </w:p>
    <w:p w:rsidR="00064342" w:rsidRDefault="00064342" w:rsidP="00064342">
      <w:pPr>
        <w:spacing w:before="0" w:after="0" w:line="260" w:lineRule="exact"/>
        <w:jc w:val="left"/>
      </w:pPr>
      <w:r>
        <w:t>Ak dôjde k </w:t>
      </w:r>
      <w:proofErr w:type="spellStart"/>
      <w:r>
        <w:t>cystitíde</w:t>
      </w:r>
      <w:proofErr w:type="spellEnd"/>
      <w:r>
        <w:t xml:space="preserve">, treba podať symptomatickú liečbu miestnymi protizápalovými liekmi a analgetikami. Vo väčšine prípadov možno s liečbou </w:t>
      </w:r>
      <w:proofErr w:type="spellStart"/>
      <w:r>
        <w:t>mitomycínom</w:t>
      </w:r>
      <w:proofErr w:type="spellEnd"/>
      <w:r>
        <w:t xml:space="preserve"> pokračovať, ak je nutné zníženými dávkami. Boli hlásené ojedinelé prípady alergickej (</w:t>
      </w:r>
      <w:proofErr w:type="spellStart"/>
      <w:r>
        <w:t>eozinofilnej</w:t>
      </w:r>
      <w:proofErr w:type="spellEnd"/>
      <w:r>
        <w:t xml:space="preserve">) </w:t>
      </w:r>
      <w:proofErr w:type="spellStart"/>
      <w:r>
        <w:t>cystitídy</w:t>
      </w:r>
      <w:proofErr w:type="spellEnd"/>
      <w:r>
        <w:t xml:space="preserve">, ktoré si vynútili prerušenie liečby (pozri časť  4.8). 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DC30D0" w:rsidRPr="00E13991" w:rsidRDefault="00DC30D0" w:rsidP="00E13991">
      <w:pPr>
        <w:pStyle w:val="Zkladntext2"/>
        <w:jc w:val="left"/>
        <w:rPr>
          <w:szCs w:val="22"/>
        </w:rPr>
      </w:pPr>
      <w:r>
        <w:t xml:space="preserve">Kvôli toxickým účinkom </w:t>
      </w:r>
      <w:proofErr w:type="spellStart"/>
      <w:r>
        <w:t>mitomycínu</w:t>
      </w:r>
      <w:proofErr w:type="spellEnd"/>
      <w:r>
        <w:t xml:space="preserve"> na kostnú dreň iné modality</w:t>
      </w:r>
      <w:r w:rsidR="00FA7355">
        <w:t xml:space="preserve"> </w:t>
      </w:r>
      <w:proofErr w:type="spellStart"/>
      <w:r w:rsidR="00FA7355">
        <w:t>myelotoxickej</w:t>
      </w:r>
      <w:proofErr w:type="spellEnd"/>
      <w:r>
        <w:t xml:space="preserve"> liečby (najmä iné </w:t>
      </w:r>
      <w:proofErr w:type="spellStart"/>
      <w:r>
        <w:t>cytostatiká</w:t>
      </w:r>
      <w:proofErr w:type="spellEnd"/>
      <w:r>
        <w:t xml:space="preserve">, žiarenie) treba podávať s osobitnou opatrnosťou, za účelom minimalizácie rizika aditívnej </w:t>
      </w:r>
      <w:proofErr w:type="spellStart"/>
      <w:r>
        <w:t>myelosupresie</w:t>
      </w:r>
      <w:proofErr w:type="spellEnd"/>
      <w:r>
        <w:t xml:space="preserve">. 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 xml:space="preserve">Dlhodobá liečba môže viesť ku kumulatívnemu toxickému účinku na kostnú dreň. Útlm kostnej drene sa môže prejaviť iba s oneskorením; k najvýraznejšiemu prejavu dochádza po 4 </w:t>
      </w:r>
      <w:r>
        <w:noBreakHyphen/>
        <w:t>6 týždňoch, akumuláciou po predĺženom používaní, a preto si často vyžaduje individuálnu úpravu dávkovania.</w:t>
      </w:r>
    </w:p>
    <w:p w:rsidR="00DC30D0" w:rsidRPr="00E13991" w:rsidRDefault="00DC30D0" w:rsidP="00E13991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:rsidR="002B306A" w:rsidRPr="00720D00" w:rsidRDefault="0030611B" w:rsidP="00E13991">
      <w:pPr>
        <w:pStyle w:val="Normlnywebov"/>
        <w:spacing w:before="0" w:beforeAutospacing="0" w:after="0"/>
        <w:rPr>
          <w:i/>
          <w:color w:val="auto"/>
          <w:sz w:val="22"/>
        </w:rPr>
      </w:pPr>
      <w:r w:rsidRPr="00720D00">
        <w:rPr>
          <w:i/>
          <w:color w:val="auto"/>
          <w:sz w:val="22"/>
        </w:rPr>
        <w:t>Staršie osoby</w:t>
      </w:r>
    </w:p>
    <w:p w:rsidR="00DC30D0" w:rsidRPr="00E13991" w:rsidRDefault="00DC30D0" w:rsidP="00E13991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Starší pacienti často majú zníženú fyziologickú funkciu, útlm kostnej drene, ktoré môžu mať predĺžené trvanie, takže u tejto populácie podávajte </w:t>
      </w:r>
      <w:proofErr w:type="spellStart"/>
      <w:r>
        <w:rPr>
          <w:color w:val="auto"/>
          <w:sz w:val="22"/>
        </w:rPr>
        <w:t>mitomycín</w:t>
      </w:r>
      <w:proofErr w:type="spellEnd"/>
      <w:r>
        <w:rPr>
          <w:color w:val="auto"/>
          <w:sz w:val="22"/>
        </w:rPr>
        <w:t xml:space="preserve"> zvlášť opatrne a zároveň dôkladne sledujte pacientov stav. 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proofErr w:type="spellStart"/>
      <w:r>
        <w:t>Mitomycín</w:t>
      </w:r>
      <w:proofErr w:type="spellEnd"/>
      <w:r>
        <w:t xml:space="preserve"> je mutagénna a potenciálne karcinogénna látka </w:t>
      </w:r>
      <w:r w:rsidR="00FA7355">
        <w:t xml:space="preserve">pre </w:t>
      </w:r>
      <w:r>
        <w:t>ľudí. Treba sa vyhýbať kontaktu s pokožkou a sliznicami.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 xml:space="preserve">V prípade pľúcnych príznakov, ktoré nemožno pripísať základnému ochoreniu, liečbu treba okamžite zastaviť. Pľúcna toxicita sa dá dobre liečiť </w:t>
      </w:r>
      <w:proofErr w:type="spellStart"/>
      <w:r>
        <w:t>steroidmi</w:t>
      </w:r>
      <w:proofErr w:type="spellEnd"/>
      <w:r>
        <w:t>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szCs w:val="24"/>
        </w:rPr>
      </w:pPr>
      <w:r>
        <w:t xml:space="preserve">Liečbu treba tiež okamžite zastaviť, ak sa vyskytnú príznaky </w:t>
      </w:r>
      <w:proofErr w:type="spellStart"/>
      <w:r>
        <w:t>hemolýzy</w:t>
      </w:r>
      <w:proofErr w:type="spellEnd"/>
      <w:r>
        <w:t xml:space="preserve"> alebo náznaky dysfunkcie obličiek (</w:t>
      </w:r>
      <w:proofErr w:type="spellStart"/>
      <w:r>
        <w:t>nefrotoxicity</w:t>
      </w:r>
      <w:proofErr w:type="spellEnd"/>
      <w:r>
        <w:t xml:space="preserve">). Výskyt </w:t>
      </w:r>
      <w:proofErr w:type="spellStart"/>
      <w:r>
        <w:t>hemolyticko</w:t>
      </w:r>
      <w:proofErr w:type="spellEnd"/>
      <w:r>
        <w:t xml:space="preserve">-uremického syndrómu (HUS; nevratné zlyhanie obličiek, </w:t>
      </w:r>
      <w:proofErr w:type="spellStart"/>
      <w:r>
        <w:t>mikroangiopatická</w:t>
      </w:r>
      <w:proofErr w:type="spellEnd"/>
      <w:r>
        <w:t xml:space="preserve"> </w:t>
      </w:r>
      <w:proofErr w:type="spellStart"/>
      <w:r>
        <w:t>hemolytická</w:t>
      </w:r>
      <w:proofErr w:type="spellEnd"/>
      <w:r>
        <w:t xml:space="preserve"> anémia [MAHA syndróm] a </w:t>
      </w:r>
      <w:proofErr w:type="spellStart"/>
      <w:r>
        <w:t>trombocytopénia</w:t>
      </w:r>
      <w:proofErr w:type="spellEnd"/>
      <w:r>
        <w:t>) je obyčajne smrteľný.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  <w:r>
        <w:t xml:space="preserve"> </w:t>
      </w:r>
    </w:p>
    <w:p w:rsidR="002B306A" w:rsidRPr="002A4C9B" w:rsidRDefault="00DC30D0" w:rsidP="002B306A">
      <w:pPr>
        <w:spacing w:before="0" w:after="0"/>
        <w:jc w:val="left"/>
        <w:rPr>
          <w:szCs w:val="22"/>
        </w:rPr>
      </w:pPr>
      <w:r>
        <w:t>V</w:t>
      </w:r>
      <w:r w:rsidR="002B306A">
        <w:t xml:space="preserve"> intravenóznych </w:t>
      </w:r>
      <w:r>
        <w:t xml:space="preserve">dávkach &gt; 30 mg </w:t>
      </w:r>
      <w:proofErr w:type="spellStart"/>
      <w:r>
        <w:t>mitomycínu</w:t>
      </w:r>
      <w:proofErr w:type="spellEnd"/>
      <w:r>
        <w:t>/</w:t>
      </w:r>
      <w:r w:rsidRPr="009C3ECE">
        <w:t>m</w:t>
      </w:r>
      <w:r w:rsidR="009C3ECE">
        <w:t>²</w:t>
      </w:r>
      <w:r>
        <w:t xml:space="preserve"> telesného povrchu bola pozorovaná </w:t>
      </w:r>
      <w:proofErr w:type="spellStart"/>
      <w:r>
        <w:t>mikroangiopaticko-hemolytická</w:t>
      </w:r>
      <w:proofErr w:type="spellEnd"/>
      <w:r>
        <w:t xml:space="preserve"> anémia</w:t>
      </w:r>
      <w:r w:rsidR="002B306A">
        <w:t xml:space="preserve"> (MAHA)</w:t>
      </w:r>
      <w:r>
        <w:t>. Odporúča sa pozorné sledovanie funkcie obličiek.</w:t>
      </w:r>
      <w:r w:rsidR="002B306A">
        <w:t xml:space="preserve"> </w:t>
      </w:r>
      <w:r w:rsidR="001F0FC1">
        <w:t xml:space="preserve">Doteraz sa nepozorovali žiadne prípady </w:t>
      </w:r>
      <w:r w:rsidR="002B306A">
        <w:rPr>
          <w:szCs w:val="22"/>
        </w:rPr>
        <w:t>MAHA</w:t>
      </w:r>
      <w:r w:rsidR="001F0FC1">
        <w:rPr>
          <w:szCs w:val="22"/>
        </w:rPr>
        <w:t xml:space="preserve"> po</w:t>
      </w:r>
      <w:r w:rsidR="002B306A">
        <w:rPr>
          <w:szCs w:val="22"/>
        </w:rPr>
        <w:t xml:space="preserve"> </w:t>
      </w:r>
      <w:proofErr w:type="spellStart"/>
      <w:r w:rsidR="002B306A">
        <w:rPr>
          <w:szCs w:val="22"/>
        </w:rPr>
        <w:t>intrave</w:t>
      </w:r>
      <w:r w:rsidR="001F0FC1">
        <w:rPr>
          <w:szCs w:val="22"/>
        </w:rPr>
        <w:t>zikálnom</w:t>
      </w:r>
      <w:proofErr w:type="spellEnd"/>
      <w:r w:rsidR="001F0FC1">
        <w:rPr>
          <w:szCs w:val="22"/>
        </w:rPr>
        <w:t xml:space="preserve"> použití</w:t>
      </w:r>
      <w:r w:rsidR="002B306A">
        <w:rPr>
          <w:szCs w:val="22"/>
        </w:rPr>
        <w:t xml:space="preserve"> </w:t>
      </w:r>
      <w:proofErr w:type="spellStart"/>
      <w:r w:rsidR="002B306A">
        <w:rPr>
          <w:szCs w:val="22"/>
        </w:rPr>
        <w:t>mitomyc</w:t>
      </w:r>
      <w:r w:rsidR="001F0FC1">
        <w:rPr>
          <w:szCs w:val="22"/>
        </w:rPr>
        <w:t>ínu</w:t>
      </w:r>
      <w:proofErr w:type="spellEnd"/>
      <w:r w:rsidR="002B306A">
        <w:rPr>
          <w:szCs w:val="22"/>
        </w:rPr>
        <w:t>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DC30D0" w:rsidRPr="00E13991" w:rsidRDefault="00DC30D0" w:rsidP="00E13991">
      <w:pPr>
        <w:spacing w:before="0" w:after="0"/>
        <w:jc w:val="left"/>
        <w:rPr>
          <w:i/>
          <w:szCs w:val="22"/>
        </w:rPr>
      </w:pPr>
      <w:r>
        <w:t>Nové poznatky nasvedčujú, že môže</w:t>
      </w:r>
      <w:r w:rsidR="00FA7355">
        <w:t xml:space="preserve"> byť vhodný</w:t>
      </w:r>
      <w:r>
        <w:t xml:space="preserve"> liečebný cyklus na odstránenie imunitných komplexov, o ktorých sa zdá, že pri nástupe príznakov hrajú významnú úlohu prostredníctvom </w:t>
      </w:r>
      <w:proofErr w:type="spellStart"/>
      <w:r w:rsidR="002B306A">
        <w:t>imunoadsorpcie</w:t>
      </w:r>
      <w:proofErr w:type="spellEnd"/>
      <w:r w:rsidR="002B306A">
        <w:t xml:space="preserve"> </w:t>
      </w:r>
      <w:r>
        <w:t>stafylokokového proteínu A</w:t>
      </w:r>
      <w:r w:rsidR="002B306A">
        <w:t> na stĺpcoch</w:t>
      </w:r>
      <w:r>
        <w:t>.</w:t>
      </w:r>
    </w:p>
    <w:p w:rsidR="00DC30D0" w:rsidRPr="00E13991" w:rsidRDefault="00DC30D0" w:rsidP="00E13991">
      <w:pPr>
        <w:spacing w:before="0" w:after="0"/>
        <w:jc w:val="left"/>
        <w:rPr>
          <w:szCs w:val="22"/>
        </w:rPr>
      </w:pPr>
    </w:p>
    <w:p w:rsidR="0030611B" w:rsidRDefault="00DC30D0" w:rsidP="00720D00">
      <w:pPr>
        <w:spacing w:before="0" w:after="0"/>
        <w:jc w:val="left"/>
        <w:rPr>
          <w:noProof/>
          <w:szCs w:val="22"/>
        </w:rPr>
      </w:pPr>
      <w:r>
        <w:t xml:space="preserve">U pacientov súčasne liečených </w:t>
      </w:r>
      <w:r w:rsidR="002B306A">
        <w:t xml:space="preserve">intravenózne </w:t>
      </w:r>
      <w:proofErr w:type="spellStart"/>
      <w:r w:rsidR="002B306A">
        <w:t>mitomycínom</w:t>
      </w:r>
      <w:proofErr w:type="spellEnd"/>
      <w:r w:rsidR="002B306A">
        <w:t xml:space="preserve"> a </w:t>
      </w:r>
      <w:r>
        <w:t xml:space="preserve">inými </w:t>
      </w:r>
      <w:proofErr w:type="spellStart"/>
      <w:r>
        <w:t>antineoplastikami</w:t>
      </w:r>
      <w:proofErr w:type="spellEnd"/>
      <w:r>
        <w:t xml:space="preserve"> bol hlá</w:t>
      </w:r>
      <w:r w:rsidR="0042042B">
        <w:t>sený výskyt akútnej leukémie (v </w:t>
      </w:r>
      <w:r>
        <w:t xml:space="preserve">niektorých prípadoch po </w:t>
      </w:r>
      <w:proofErr w:type="spellStart"/>
      <w:r>
        <w:t>preleukemickej</w:t>
      </w:r>
      <w:proofErr w:type="spellEnd"/>
      <w:r>
        <w:t xml:space="preserve"> fáze) a </w:t>
      </w:r>
      <w:proofErr w:type="spellStart"/>
      <w:r>
        <w:t>myelodysplastického</w:t>
      </w:r>
      <w:proofErr w:type="spellEnd"/>
      <w:r>
        <w:t xml:space="preserve"> syndrómu.</w:t>
      </w:r>
    </w:p>
    <w:p w:rsidR="00DC30D0" w:rsidRPr="00F25D73" w:rsidRDefault="00DC30D0" w:rsidP="00F25D73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4.5</w:t>
      </w:r>
      <w:r>
        <w:tab/>
      </w:r>
      <w:r w:rsidR="0064267A">
        <w:t>Liekové a</w:t>
      </w:r>
      <w:r>
        <w:t> </w:t>
      </w:r>
      <w:r w:rsidR="0064267A">
        <w:t>iné interakcie</w:t>
      </w:r>
    </w:p>
    <w:p w:rsidR="004B1B9C" w:rsidRDefault="004B1B9C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ascii="TimesNewRoman" w:eastAsia="SimSun" w:hAnsi="TimesNewRoman" w:cs="TimesNewRoman"/>
          <w:szCs w:val="22"/>
        </w:rPr>
      </w:pPr>
    </w:p>
    <w:p w:rsidR="00FA0D98" w:rsidRPr="00720D00" w:rsidRDefault="0030611B" w:rsidP="00E13991">
      <w:pPr>
        <w:spacing w:before="0" w:after="0"/>
        <w:jc w:val="left"/>
        <w:rPr>
          <w:szCs w:val="22"/>
          <w:u w:val="single"/>
        </w:rPr>
      </w:pPr>
      <w:r w:rsidRPr="00720D00">
        <w:rPr>
          <w:u w:val="single"/>
        </w:rPr>
        <w:t>Možná interakcia počas systémovej liečby</w:t>
      </w:r>
    </w:p>
    <w:p w:rsidR="00FA0D98" w:rsidRDefault="00FA0D98" w:rsidP="00E13991">
      <w:pPr>
        <w:spacing w:before="0" w:after="0"/>
        <w:jc w:val="left"/>
        <w:rPr>
          <w:szCs w:val="24"/>
          <w:u w:val="single"/>
        </w:rPr>
      </w:pP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  <w:r>
        <w:t xml:space="preserve">Možné sú </w:t>
      </w:r>
      <w:proofErr w:type="spellStart"/>
      <w:r>
        <w:t>myelotoxické</w:t>
      </w:r>
      <w:proofErr w:type="spellEnd"/>
      <w:r>
        <w:t xml:space="preserve"> interakcie s</w:t>
      </w:r>
      <w:r w:rsidR="00966BC2">
        <w:t> </w:t>
      </w:r>
      <w:r>
        <w:t xml:space="preserve">inými liečebnými modalitami toxickými pre kostnú dreň (najmä </w:t>
      </w:r>
      <w:r w:rsidR="00FA7355">
        <w:t xml:space="preserve">inými </w:t>
      </w:r>
      <w:proofErr w:type="spellStart"/>
      <w:r>
        <w:t>cytotoxick</w:t>
      </w:r>
      <w:r w:rsidR="00FA7355">
        <w:t>ými</w:t>
      </w:r>
      <w:proofErr w:type="spellEnd"/>
      <w:r>
        <w:t xml:space="preserve"> </w:t>
      </w:r>
      <w:r w:rsidR="00FA7355">
        <w:t>liekmi</w:t>
      </w:r>
      <w:r>
        <w:t xml:space="preserve">, </w:t>
      </w:r>
      <w:r w:rsidR="00FA7355">
        <w:t>žiarením</w:t>
      </w:r>
      <w:r>
        <w:t>).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  <w:r>
        <w:t>Kombinácia s</w:t>
      </w:r>
      <w:r w:rsidR="00966BC2">
        <w:t> </w:t>
      </w:r>
      <w:proofErr w:type="spellStart"/>
      <w:r>
        <w:t>vinka</w:t>
      </w:r>
      <w:proofErr w:type="spellEnd"/>
      <w:r>
        <w:t xml:space="preserve"> alkaloidmi alebo </w:t>
      </w:r>
      <w:proofErr w:type="spellStart"/>
      <w:r>
        <w:t>bleomycínom</w:t>
      </w:r>
      <w:proofErr w:type="spellEnd"/>
      <w:r>
        <w:t xml:space="preserve"> môže zvýšiť pľúcnu toxicitu.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0D98" w:rsidP="00E13991">
      <w:pPr>
        <w:tabs>
          <w:tab w:val="left" w:pos="709"/>
        </w:tabs>
        <w:spacing w:before="0" w:after="0"/>
        <w:jc w:val="left"/>
        <w:rPr>
          <w:rFonts w:eastAsia="MS Mincho" w:cs="TimesNewRoman"/>
          <w:szCs w:val="24"/>
        </w:rPr>
      </w:pPr>
      <w:r>
        <w:t xml:space="preserve">Zvýšené riziko </w:t>
      </w:r>
      <w:proofErr w:type="spellStart"/>
      <w:r>
        <w:t>hemolyticko</w:t>
      </w:r>
      <w:proofErr w:type="spellEnd"/>
      <w:r>
        <w:t>-uremického syndrómu bolo hlásené u</w:t>
      </w:r>
      <w:r w:rsidR="00966BC2">
        <w:t> </w:t>
      </w:r>
      <w:r>
        <w:t xml:space="preserve">pacientov dostávajúcich súčasne </w:t>
      </w:r>
      <w:r w:rsidR="002B306A">
        <w:t xml:space="preserve">intravenózny </w:t>
      </w:r>
      <w:proofErr w:type="spellStart"/>
      <w:r>
        <w:t>mitomycín</w:t>
      </w:r>
      <w:proofErr w:type="spellEnd"/>
      <w:r>
        <w:t xml:space="preserve"> a</w:t>
      </w:r>
      <w:r w:rsidR="00966BC2">
        <w:t> </w:t>
      </w:r>
      <w:r>
        <w:t>5</w:t>
      </w:r>
      <w:r w:rsidR="009C3ECE">
        <w:noBreakHyphen/>
      </w:r>
      <w:r>
        <w:t xml:space="preserve">fluórouracil alebo </w:t>
      </w:r>
      <w:proofErr w:type="spellStart"/>
      <w:r>
        <w:t>tamoxif</w:t>
      </w:r>
      <w:r w:rsidR="00FE299A">
        <w:t>é</w:t>
      </w:r>
      <w:r>
        <w:t>n</w:t>
      </w:r>
      <w:proofErr w:type="spellEnd"/>
      <w:r>
        <w:t>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7355" w:rsidP="00E13991">
      <w:pPr>
        <w:spacing w:before="0" w:after="0"/>
        <w:jc w:val="left"/>
        <w:rPr>
          <w:szCs w:val="24"/>
        </w:rPr>
      </w:pPr>
      <w:r>
        <w:t xml:space="preserve">Pri </w:t>
      </w:r>
      <w:r w:rsidR="00FA0D98">
        <w:t xml:space="preserve">pokusoch na zvieratách viedlo podanie </w:t>
      </w:r>
      <w:proofErr w:type="spellStart"/>
      <w:r w:rsidR="00FA0D98">
        <w:t>pyridoxín</w:t>
      </w:r>
      <w:r>
        <w:t>ium</w:t>
      </w:r>
      <w:proofErr w:type="spellEnd"/>
      <w:r w:rsidR="00FA0D98">
        <w:t xml:space="preserve"> chloridu (vitamín</w:t>
      </w:r>
      <w:r>
        <w:t>u</w:t>
      </w:r>
      <w:r w:rsidR="00FA0D98">
        <w:t xml:space="preserve"> B</w:t>
      </w:r>
      <w:r w:rsidR="00FA0D98">
        <w:rPr>
          <w:vertAlign w:val="subscript"/>
        </w:rPr>
        <w:t>6</w:t>
      </w:r>
      <w:r w:rsidR="00FA0D98">
        <w:t>) k</w:t>
      </w:r>
      <w:r w:rsidR="00966BC2">
        <w:t> </w:t>
      </w:r>
      <w:r w:rsidR="00FA0D98">
        <w:t xml:space="preserve">strate účinku </w:t>
      </w:r>
      <w:proofErr w:type="spellStart"/>
      <w:r w:rsidR="00FA0D98">
        <w:t>mitomycínu</w:t>
      </w:r>
      <w:proofErr w:type="spellEnd"/>
      <w:r w:rsidR="00FA0D98">
        <w:t>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  <w:r>
        <w:t>V</w:t>
      </w:r>
      <w:r w:rsidR="00966BC2">
        <w:t> </w:t>
      </w:r>
      <w:r w:rsidR="00FA7355">
        <w:t xml:space="preserve">spojení </w:t>
      </w:r>
      <w:r>
        <w:t>s</w:t>
      </w:r>
      <w:r w:rsidR="00966BC2">
        <w:t> </w:t>
      </w:r>
      <w:r>
        <w:t xml:space="preserve">liečbou </w:t>
      </w:r>
      <w:proofErr w:type="spellStart"/>
      <w:r>
        <w:t>mitomycínom</w:t>
      </w:r>
      <w:proofErr w:type="spellEnd"/>
      <w:r>
        <w:t xml:space="preserve"> </w:t>
      </w:r>
      <w:r w:rsidR="00FA7355">
        <w:t xml:space="preserve">sa nemá </w:t>
      </w:r>
      <w:r>
        <w:t>očkovať žiadnymi živými vakcínami</w:t>
      </w:r>
      <w:r w:rsidR="00196467">
        <w:t>, keďže to môže viesť k</w:t>
      </w:r>
      <w:r w:rsidR="00966BC2">
        <w:t> </w:t>
      </w:r>
      <w:r w:rsidR="00196467">
        <w:t>zvýšenému riziku infekcie živou vakcínou</w:t>
      </w:r>
      <w:r>
        <w:t>.</w:t>
      </w:r>
    </w:p>
    <w:p w:rsidR="00FA0D98" w:rsidRPr="00E13991" w:rsidRDefault="00FA0D98" w:rsidP="00E13991">
      <w:pPr>
        <w:spacing w:before="0" w:after="0"/>
        <w:jc w:val="left"/>
        <w:rPr>
          <w:szCs w:val="24"/>
        </w:rPr>
      </w:pPr>
    </w:p>
    <w:p w:rsidR="0030611B" w:rsidRDefault="00FA0D98" w:rsidP="00720D00">
      <w:pPr>
        <w:spacing w:before="0" w:after="0"/>
        <w:jc w:val="left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môže zosilniť </w:t>
      </w:r>
      <w:proofErr w:type="spellStart"/>
      <w:r>
        <w:t>kardiotoxicitu</w:t>
      </w:r>
      <w:proofErr w:type="spellEnd"/>
      <w:r>
        <w:t xml:space="preserve"> </w:t>
      </w:r>
      <w:proofErr w:type="spellStart"/>
      <w:r>
        <w:t>doxorubicínu</w:t>
      </w:r>
      <w:proofErr w:type="spellEnd"/>
      <w:r>
        <w:t>.</w:t>
      </w:r>
    </w:p>
    <w:p w:rsidR="009D0274" w:rsidRPr="00BE265E" w:rsidRDefault="009D0274" w:rsidP="00F25D73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4.6</w:t>
      </w:r>
      <w:r>
        <w:tab/>
      </w:r>
      <w:proofErr w:type="spellStart"/>
      <w:r w:rsidR="0064267A">
        <w:t>Fertilita</w:t>
      </w:r>
      <w:proofErr w:type="spellEnd"/>
      <w:r w:rsidR="0064267A">
        <w:t>, gravidita a</w:t>
      </w:r>
      <w:r>
        <w:t> </w:t>
      </w:r>
      <w:r w:rsidR="0064267A">
        <w:t>laktácia</w:t>
      </w:r>
    </w:p>
    <w:p w:rsidR="004B1B9C" w:rsidRDefault="004B1B9C" w:rsidP="00BD509C">
      <w:pPr>
        <w:spacing w:before="0" w:after="0" w:line="260" w:lineRule="exact"/>
        <w:jc w:val="left"/>
        <w:rPr>
          <w:b/>
          <w:noProof/>
        </w:rPr>
      </w:pPr>
    </w:p>
    <w:p w:rsidR="009D0628" w:rsidRPr="00720D00" w:rsidRDefault="0030611B" w:rsidP="00BD509C">
      <w:pPr>
        <w:spacing w:before="0" w:after="0" w:line="260" w:lineRule="exact"/>
        <w:jc w:val="left"/>
        <w:rPr>
          <w:noProof/>
          <w:u w:val="single"/>
        </w:rPr>
      </w:pPr>
      <w:r w:rsidRPr="00720D00">
        <w:rPr>
          <w:noProof/>
          <w:u w:val="single"/>
        </w:rPr>
        <w:t>Gravidita</w:t>
      </w:r>
    </w:p>
    <w:p w:rsidR="009D0628" w:rsidRPr="00BD509C" w:rsidRDefault="009D0628" w:rsidP="00BD509C">
      <w:pPr>
        <w:spacing w:before="0" w:after="0" w:line="260" w:lineRule="exact"/>
        <w:jc w:val="left"/>
        <w:rPr>
          <w:noProof/>
        </w:rPr>
      </w:pPr>
      <w:r>
        <w:t>Nie sú k</w:t>
      </w:r>
      <w:r w:rsidR="00966BC2">
        <w:t> </w:t>
      </w:r>
      <w:r>
        <w:t>dispozícii údaje o</w:t>
      </w:r>
      <w:r w:rsidR="00966BC2">
        <w:t> </w:t>
      </w:r>
      <w:r>
        <w:t xml:space="preserve">použití </w:t>
      </w:r>
      <w:proofErr w:type="spellStart"/>
      <w:r>
        <w:t>mitomycínu</w:t>
      </w:r>
      <w:proofErr w:type="spellEnd"/>
      <w:r>
        <w:t xml:space="preserve"> u</w:t>
      </w:r>
      <w:r w:rsidR="00966BC2">
        <w:t> </w:t>
      </w:r>
      <w:r>
        <w:t>gravidných žien. Štúdie na zvieratách preukázali reprodukčnú toxicitu (pozri časť</w:t>
      </w:r>
      <w:r w:rsidR="009C3ECE">
        <w:t> </w:t>
      </w:r>
      <w:r>
        <w:t xml:space="preserve">5.3). </w:t>
      </w:r>
      <w:proofErr w:type="spellStart"/>
      <w:r>
        <w:t>Mitomycín</w:t>
      </w:r>
      <w:proofErr w:type="spellEnd"/>
      <w:r>
        <w:t xml:space="preserve"> má mutagénny, </w:t>
      </w:r>
      <w:proofErr w:type="spellStart"/>
      <w:r>
        <w:t>teratogénny</w:t>
      </w:r>
      <w:proofErr w:type="spellEnd"/>
      <w:r>
        <w:t xml:space="preserve"> a</w:t>
      </w:r>
      <w:r w:rsidR="00966BC2">
        <w:t> </w:t>
      </w:r>
      <w:r>
        <w:t>karcinogénny účinok a</w:t>
      </w:r>
      <w:r w:rsidR="00966BC2">
        <w:t> </w:t>
      </w:r>
      <w:r>
        <w:t xml:space="preserve">preto môže narušiť vývoj embrya. </w:t>
      </w:r>
    </w:p>
    <w:p w:rsidR="009D0628" w:rsidRPr="00BD509C" w:rsidRDefault="009D0628" w:rsidP="00BD509C">
      <w:pPr>
        <w:spacing w:before="0" w:after="0" w:line="260" w:lineRule="exact"/>
        <w:jc w:val="left"/>
        <w:rPr>
          <w:noProof/>
        </w:rPr>
      </w:pPr>
      <w:r>
        <w:t xml:space="preserve">Žena nesmie otehotnieť počas liečby </w:t>
      </w:r>
      <w:proofErr w:type="spellStart"/>
      <w:r>
        <w:t>mitomycínom</w:t>
      </w:r>
      <w:proofErr w:type="spellEnd"/>
      <w:r>
        <w:t>. V</w:t>
      </w:r>
      <w:r w:rsidR="00966BC2">
        <w:t> </w:t>
      </w:r>
      <w:r>
        <w:t>prípade otehotnenia počas liečby musí byť poskytnuté genetické poradenstvo.</w:t>
      </w:r>
    </w:p>
    <w:p w:rsidR="004B1B9C" w:rsidRDefault="004B1B9C" w:rsidP="00BD509C">
      <w:pPr>
        <w:spacing w:before="0" w:after="0" w:line="260" w:lineRule="exact"/>
        <w:jc w:val="left"/>
        <w:rPr>
          <w:b/>
          <w:noProof/>
        </w:rPr>
      </w:pPr>
    </w:p>
    <w:p w:rsidR="009D0628" w:rsidRPr="00720D00" w:rsidRDefault="0030611B" w:rsidP="00BD509C">
      <w:pPr>
        <w:spacing w:before="0" w:after="0" w:line="260" w:lineRule="exact"/>
        <w:jc w:val="left"/>
        <w:rPr>
          <w:noProof/>
          <w:u w:val="single"/>
        </w:rPr>
      </w:pPr>
      <w:r w:rsidRPr="00720D00">
        <w:rPr>
          <w:noProof/>
          <w:u w:val="single"/>
        </w:rPr>
        <w:t>Dojčenie</w:t>
      </w:r>
    </w:p>
    <w:p w:rsidR="009D0628" w:rsidRPr="00BD509C" w:rsidRDefault="009D0628" w:rsidP="00BD509C">
      <w:pPr>
        <w:spacing w:before="0" w:after="0" w:line="260" w:lineRule="exact"/>
        <w:jc w:val="left"/>
        <w:rPr>
          <w:noProof/>
        </w:rPr>
      </w:pPr>
      <w:r>
        <w:t xml:space="preserve">Predpokladá sa, že sa </w:t>
      </w:r>
      <w:proofErr w:type="spellStart"/>
      <w:r>
        <w:t>mitomycín</w:t>
      </w:r>
      <w:proofErr w:type="spellEnd"/>
      <w:r>
        <w:t xml:space="preserve"> vylučuje do </w:t>
      </w:r>
      <w:r w:rsidR="002B306A">
        <w:t>ľudského</w:t>
      </w:r>
      <w:r>
        <w:t xml:space="preserve"> mlieka. Vzhľadom k</w:t>
      </w:r>
      <w:r w:rsidR="00966BC2">
        <w:t> </w:t>
      </w:r>
      <w:r>
        <w:t xml:space="preserve">svojím </w:t>
      </w:r>
      <w:r w:rsidR="00FA7355">
        <w:t xml:space="preserve">dokázaným </w:t>
      </w:r>
      <w:r>
        <w:t xml:space="preserve">mutagénnym, </w:t>
      </w:r>
      <w:proofErr w:type="spellStart"/>
      <w:r>
        <w:t>teratogénnym</w:t>
      </w:r>
      <w:proofErr w:type="spellEnd"/>
      <w:r>
        <w:t xml:space="preserve"> a</w:t>
      </w:r>
      <w:r w:rsidR="00966BC2">
        <w:t> </w:t>
      </w:r>
      <w:r>
        <w:t xml:space="preserve">karcinogénnym účinkom, počas liečby </w:t>
      </w:r>
      <w:r w:rsidR="002B306A">
        <w:t xml:space="preserve">liekom </w:t>
      </w:r>
      <w:proofErr w:type="spellStart"/>
      <w:r w:rsidR="0030611B" w:rsidRPr="00720D00">
        <w:rPr>
          <w:bCs/>
        </w:rPr>
        <w:t>Mitomycin</w:t>
      </w:r>
      <w:proofErr w:type="spellEnd"/>
      <w:r w:rsidR="0030611B" w:rsidRPr="00720D00">
        <w:rPr>
          <w:bCs/>
        </w:rPr>
        <w:t xml:space="preserve"> </w:t>
      </w:r>
      <w:proofErr w:type="spellStart"/>
      <w:r w:rsidR="0030611B" w:rsidRPr="00720D00">
        <w:rPr>
          <w:bCs/>
        </w:rPr>
        <w:t>medac</w:t>
      </w:r>
      <w:proofErr w:type="spellEnd"/>
      <w:r>
        <w:t xml:space="preserve"> sa </w:t>
      </w:r>
      <w:r w:rsidR="00FA7355">
        <w:t xml:space="preserve">dojčenie </w:t>
      </w:r>
      <w:r>
        <w:t>musí prerušiť (pozri časť</w:t>
      </w:r>
      <w:r w:rsidR="009C3ECE">
        <w:t> </w:t>
      </w:r>
      <w:r>
        <w:t>4.3).</w:t>
      </w:r>
    </w:p>
    <w:p w:rsidR="004B1B9C" w:rsidRDefault="004B1B9C" w:rsidP="00BD509C">
      <w:pPr>
        <w:spacing w:before="0" w:after="0" w:line="260" w:lineRule="exact"/>
        <w:jc w:val="left"/>
        <w:rPr>
          <w:b/>
          <w:noProof/>
        </w:rPr>
      </w:pPr>
    </w:p>
    <w:p w:rsidR="009D0628" w:rsidRPr="00720D00" w:rsidRDefault="0030611B" w:rsidP="00BD509C">
      <w:pPr>
        <w:spacing w:before="0" w:after="0" w:line="260" w:lineRule="exact"/>
        <w:jc w:val="left"/>
        <w:rPr>
          <w:noProof/>
          <w:u w:val="single"/>
        </w:rPr>
      </w:pPr>
      <w:r w:rsidRPr="00720D00">
        <w:rPr>
          <w:noProof/>
          <w:u w:val="single"/>
        </w:rPr>
        <w:t>Fertilita</w:t>
      </w:r>
    </w:p>
    <w:p w:rsidR="009D0628" w:rsidRDefault="009D0628" w:rsidP="00BD509C">
      <w:pPr>
        <w:spacing w:before="0" w:after="0" w:line="260" w:lineRule="exact"/>
        <w:jc w:val="left"/>
        <w:rPr>
          <w:noProof/>
        </w:rPr>
      </w:pPr>
      <w:r>
        <w:lastRenderedPageBreak/>
        <w:t xml:space="preserve">Pohlavne zrelí pacienti </w:t>
      </w:r>
      <w:r w:rsidR="002B306A">
        <w:t>musia používať účinn</w:t>
      </w:r>
      <w:r w:rsidR="00F63597">
        <w:t>ú</w:t>
      </w:r>
      <w:r>
        <w:t xml:space="preserve"> antikoncep</w:t>
      </w:r>
      <w:r w:rsidR="00F63597">
        <w:t>ciu</w:t>
      </w:r>
      <w:r>
        <w:t xml:space="preserve"> alebo pohlavne abstinovať počas chemoterapie a</w:t>
      </w:r>
      <w:r w:rsidR="00966BC2">
        <w:t> </w:t>
      </w:r>
      <w:r>
        <w:t>počas 6</w:t>
      </w:r>
      <w:r w:rsidR="009C3ECE">
        <w:t> </w:t>
      </w:r>
      <w:r>
        <w:t>mesiacov po jej ukončení.</w:t>
      </w:r>
    </w:p>
    <w:p w:rsidR="004B1B9C" w:rsidRPr="00BD509C" w:rsidRDefault="004B1B9C" w:rsidP="00BD509C">
      <w:pPr>
        <w:spacing w:before="0" w:after="0" w:line="260" w:lineRule="exact"/>
        <w:jc w:val="left"/>
        <w:rPr>
          <w:noProof/>
        </w:rPr>
      </w:pPr>
    </w:p>
    <w:p w:rsidR="0064267A" w:rsidRPr="00BD509C" w:rsidRDefault="009D0628" w:rsidP="00BD509C">
      <w:pPr>
        <w:spacing w:before="0" w:after="0" w:line="260" w:lineRule="exact"/>
        <w:jc w:val="left"/>
        <w:rPr>
          <w:noProof/>
        </w:rPr>
      </w:pPr>
      <w:proofErr w:type="spellStart"/>
      <w:r>
        <w:t>Mitomycín</w:t>
      </w:r>
      <w:proofErr w:type="spellEnd"/>
      <w:r>
        <w:t xml:space="preserve"> je </w:t>
      </w:r>
      <w:proofErr w:type="spellStart"/>
      <w:r>
        <w:t>genotoxický</w:t>
      </w:r>
      <w:proofErr w:type="spellEnd"/>
      <w:r>
        <w:t xml:space="preserve">. Mužom liečeným </w:t>
      </w:r>
      <w:proofErr w:type="spellStart"/>
      <w:r>
        <w:t>mitomycínom</w:t>
      </w:r>
      <w:proofErr w:type="spellEnd"/>
      <w:r>
        <w:t xml:space="preserve"> sa preto odporúča nesplodiť dieťa počas liečby a</w:t>
      </w:r>
      <w:r w:rsidR="00966BC2">
        <w:t> </w:t>
      </w:r>
      <w:r>
        <w:t>do 6</w:t>
      </w:r>
      <w:r w:rsidR="009C3ECE">
        <w:t> </w:t>
      </w:r>
      <w:r>
        <w:t>mesiacov po jej ukončení, a</w:t>
      </w:r>
      <w:r w:rsidR="00966BC2">
        <w:t> </w:t>
      </w:r>
      <w:r>
        <w:t>poradiť sa o</w:t>
      </w:r>
      <w:r w:rsidR="00966BC2">
        <w:t> </w:t>
      </w:r>
      <w:r>
        <w:t>konzervácii spermy pred začiatkom liečby, vzhľadom k</w:t>
      </w:r>
      <w:r w:rsidR="00966BC2">
        <w:t> </w:t>
      </w:r>
      <w:r>
        <w:t xml:space="preserve">možnosti ireverzibilnej neplodnosti spôsobenej liečbou </w:t>
      </w:r>
      <w:proofErr w:type="spellStart"/>
      <w:r>
        <w:t>mitomycínom</w:t>
      </w:r>
      <w:proofErr w:type="spellEnd"/>
      <w:r>
        <w:t>.</w:t>
      </w:r>
    </w:p>
    <w:p w:rsidR="009D0628" w:rsidRPr="00BE265E" w:rsidRDefault="009D0628" w:rsidP="00BD509C">
      <w:pPr>
        <w:spacing w:before="0" w:after="0" w:line="260" w:lineRule="exact"/>
        <w:jc w:val="left"/>
        <w:rPr>
          <w:noProof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4.7</w:t>
      </w:r>
      <w:r>
        <w:tab/>
      </w:r>
      <w:r w:rsidR="0064267A">
        <w:t>Ovplyvnenie schopnosti viesť vozidlá a</w:t>
      </w:r>
      <w:r>
        <w:t> </w:t>
      </w:r>
      <w:r w:rsidR="0064267A">
        <w:t>obsluhovať stroje</w:t>
      </w:r>
    </w:p>
    <w:p w:rsidR="004B1B9C" w:rsidRDefault="004B1B9C" w:rsidP="00BD509C">
      <w:pPr>
        <w:spacing w:before="0" w:after="0" w:line="260" w:lineRule="exact"/>
        <w:jc w:val="left"/>
        <w:rPr>
          <w:noProof/>
        </w:rPr>
      </w:pPr>
    </w:p>
    <w:p w:rsidR="0030611B" w:rsidRDefault="00C63C92" w:rsidP="00720D00">
      <w:pPr>
        <w:spacing w:before="0" w:after="0"/>
        <w:jc w:val="left"/>
        <w:rPr>
          <w:noProof/>
        </w:rPr>
      </w:pPr>
      <w:r>
        <w:t>I</w:t>
      </w:r>
      <w:r w:rsidR="00966BC2">
        <w:t> </w:t>
      </w:r>
      <w:r>
        <w:t>v</w:t>
      </w:r>
      <w:r w:rsidR="00966BC2">
        <w:t> </w:t>
      </w:r>
      <w:r>
        <w:t>prípade keď sa používa podľa návodu, tento liek môže spôsobiť nauzeu a</w:t>
      </w:r>
      <w:r w:rsidR="00966BC2">
        <w:t> </w:t>
      </w:r>
      <w:r>
        <w:t>vracanie a</w:t>
      </w:r>
      <w:r w:rsidR="00966BC2">
        <w:t> </w:t>
      </w:r>
      <w:r>
        <w:t>tým zhoršiť reakčný čas do takej miery, že sa zníži schopnosť viesť vozidlá a</w:t>
      </w:r>
      <w:r w:rsidR="00966BC2">
        <w:t> </w:t>
      </w:r>
      <w:r>
        <w:t>obsluhovať stroje. Toto platí ešte viac v</w:t>
      </w:r>
      <w:r w:rsidR="00966BC2">
        <w:t> </w:t>
      </w:r>
      <w:r w:rsidR="00FA7355">
        <w:t xml:space="preserve">spojení </w:t>
      </w:r>
      <w:r>
        <w:t>s</w:t>
      </w:r>
      <w:r w:rsidR="00966BC2">
        <w:t> </w:t>
      </w:r>
      <w:r>
        <w:t>alkoholom.</w:t>
      </w:r>
    </w:p>
    <w:p w:rsidR="0064267A" w:rsidRPr="00BE265E" w:rsidRDefault="0064267A" w:rsidP="00BD509C">
      <w:pPr>
        <w:spacing w:before="0" w:after="0" w:line="260" w:lineRule="exact"/>
        <w:jc w:val="left"/>
        <w:rPr>
          <w:noProof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</w:pPr>
      <w:r>
        <w:t>4.8</w:t>
      </w:r>
      <w:r>
        <w:tab/>
      </w:r>
      <w:r w:rsidR="0064267A">
        <w:t>Nežiaduce účinky</w:t>
      </w:r>
    </w:p>
    <w:p w:rsidR="004B1B9C" w:rsidRDefault="004B1B9C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30611B" w:rsidRDefault="004721AE" w:rsidP="00720D00">
      <w:pPr>
        <w:pStyle w:val="Zkladntext"/>
        <w:spacing w:before="0" w:after="0"/>
        <w:jc w:val="left"/>
        <w:rPr>
          <w:szCs w:val="22"/>
        </w:rPr>
      </w:pPr>
      <w:r>
        <w:t>Prehľad nežiaducich účinkov je uvedený nižšie podľa triedy orgánových systémov a</w:t>
      </w:r>
      <w:r w:rsidR="00966BC2">
        <w:t> </w:t>
      </w:r>
      <w:r>
        <w:t>frekvencie výskytu. Frekvencie výskytu uvedené nižšie sú definované ako:</w:t>
      </w:r>
      <w:r w:rsidR="005A0B44">
        <w:t xml:space="preserve"> </w:t>
      </w:r>
      <w:r>
        <w:t>Veľmi časté (</w:t>
      </w:r>
      <w:r w:rsidRPr="00E13991">
        <w:rPr>
          <w:noProof/>
        </w:rPr>
        <w:sym w:font="Symbol" w:char="F0B3"/>
      </w:r>
      <w:r>
        <w:t> 1/10), časté (</w:t>
      </w:r>
      <w:r w:rsidRPr="00E13991">
        <w:rPr>
          <w:noProof/>
        </w:rPr>
        <w:sym w:font="Symbol" w:char="F0B3"/>
      </w:r>
      <w:r>
        <w:t> 1/100 až &lt; 1/10), menej časté (</w:t>
      </w:r>
      <w:r w:rsidRPr="00E13991">
        <w:rPr>
          <w:noProof/>
        </w:rPr>
        <w:sym w:font="Symbol" w:char="F0B3"/>
      </w:r>
      <w:r>
        <w:t> 1/1</w:t>
      </w:r>
      <w:r w:rsidR="007476D4">
        <w:t> </w:t>
      </w:r>
      <w:r>
        <w:t>000 až &lt; 1/100), zriedkavé (</w:t>
      </w:r>
      <w:r w:rsidRPr="00E13991">
        <w:rPr>
          <w:noProof/>
        </w:rPr>
        <w:sym w:font="Symbol" w:char="F0B3"/>
      </w:r>
      <w:r w:rsidR="007476D4">
        <w:t> 1/10 </w:t>
      </w:r>
      <w:r>
        <w:t>000 až &lt; 1</w:t>
      </w:r>
      <w:r w:rsidR="007476D4">
        <w:t>/1 000), veľmi zriedkavé (&lt; 1/10 </w:t>
      </w:r>
      <w:r>
        <w:t>000) alebo neznáme (z dostupných údajov).</w:t>
      </w:r>
    </w:p>
    <w:p w:rsidR="004721AE" w:rsidRDefault="004721AE" w:rsidP="00F25D73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4721AE" w:rsidRPr="00720D00" w:rsidRDefault="0030611B" w:rsidP="00E13991">
      <w:pPr>
        <w:spacing w:before="0" w:after="0"/>
        <w:jc w:val="left"/>
        <w:rPr>
          <w:bCs/>
          <w:szCs w:val="24"/>
          <w:u w:val="single"/>
        </w:rPr>
      </w:pPr>
      <w:r w:rsidRPr="00720D00">
        <w:rPr>
          <w:u w:val="single"/>
        </w:rPr>
        <w:t xml:space="preserve">Možné vedľajšie účinky počas </w:t>
      </w:r>
      <w:proofErr w:type="spellStart"/>
      <w:r w:rsidRPr="00720D00">
        <w:rPr>
          <w:u w:val="single"/>
        </w:rPr>
        <w:t>intravezikálnej</w:t>
      </w:r>
      <w:proofErr w:type="spellEnd"/>
      <w:r w:rsidRPr="00720D00">
        <w:rPr>
          <w:u w:val="single"/>
        </w:rPr>
        <w:t xml:space="preserve"> liečby</w:t>
      </w:r>
    </w:p>
    <w:p w:rsidR="004721AE" w:rsidRDefault="004721AE" w:rsidP="00E13991">
      <w:pPr>
        <w:widowControl w:val="0"/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szCs w:val="24"/>
        </w:rPr>
      </w:pPr>
    </w:p>
    <w:p w:rsidR="004721AE" w:rsidRPr="00F25D73" w:rsidRDefault="004721AE" w:rsidP="00E13991">
      <w:pPr>
        <w:spacing w:before="0" w:after="0"/>
        <w:jc w:val="left"/>
        <w:rPr>
          <w:szCs w:val="24"/>
        </w:rPr>
      </w:pPr>
      <w:r>
        <w:t xml:space="preserve">Nežiaduce reakcie môžu byť výsledkom podania roztoku na </w:t>
      </w:r>
      <w:proofErr w:type="spellStart"/>
      <w:r>
        <w:t>intravezikálnu</w:t>
      </w:r>
      <w:proofErr w:type="spellEnd"/>
      <w:r>
        <w:t xml:space="preserve"> </w:t>
      </w:r>
      <w:proofErr w:type="spellStart"/>
      <w:r>
        <w:t>instiláciu</w:t>
      </w:r>
      <w:proofErr w:type="spellEnd"/>
      <w:r>
        <w:t xml:space="preserve">, alebo </w:t>
      </w:r>
      <w:r w:rsidR="00FA7355">
        <w:t xml:space="preserve">hlbokej </w:t>
      </w:r>
      <w:r>
        <w:t>resekcie.</w:t>
      </w:r>
    </w:p>
    <w:p w:rsidR="004721AE" w:rsidRDefault="004721AE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FD1379" w:rsidRDefault="006E535D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  <w:r>
        <w:t xml:space="preserve">Najčastejším nežiaducim účinkom </w:t>
      </w:r>
      <w:proofErr w:type="spellStart"/>
      <w:r>
        <w:t>intravezikálne</w:t>
      </w:r>
      <w:proofErr w:type="spellEnd"/>
      <w:r>
        <w:t xml:space="preserve"> podaného </w:t>
      </w:r>
      <w:proofErr w:type="spellStart"/>
      <w:r>
        <w:t>mitomycínu</w:t>
      </w:r>
      <w:proofErr w:type="spellEnd"/>
      <w:r>
        <w:t xml:space="preserve"> sú kožné alergické reakcie vo forme miestneho exantému (napr. kontaktná dermatitída, tiež vo forme dlaňového alebo chodidlového </w:t>
      </w:r>
      <w:proofErr w:type="spellStart"/>
      <w:r>
        <w:t>erytému</w:t>
      </w:r>
      <w:proofErr w:type="spellEnd"/>
      <w:r>
        <w:t>) a</w:t>
      </w:r>
      <w:r w:rsidR="00966BC2">
        <w:t> </w:t>
      </w:r>
      <w:proofErr w:type="spellStart"/>
      <w:r>
        <w:t>cystitída</w:t>
      </w:r>
      <w:proofErr w:type="spellEnd"/>
      <w:r>
        <w:t xml:space="preserve">. </w:t>
      </w:r>
    </w:p>
    <w:p w:rsidR="004B1B9C" w:rsidRDefault="004B1B9C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7A5B4A" w:rsidTr="004F53AF">
        <w:tc>
          <w:tcPr>
            <w:tcW w:w="2977" w:type="dxa"/>
            <w:shd w:val="clear" w:color="auto" w:fill="auto"/>
          </w:tcPr>
          <w:p w:rsidR="007A5B4A" w:rsidRDefault="007A5B4A" w:rsidP="00BD509C">
            <w:pPr>
              <w:spacing w:before="0" w:after="0" w:line="260" w:lineRule="exact"/>
              <w:jc w:val="left"/>
              <w:rPr>
                <w:noProof/>
              </w:rPr>
            </w:pPr>
            <w:r>
              <w:t>Poruchy kože a</w:t>
            </w:r>
            <w:r w:rsidR="00966BC2">
              <w:t> </w:t>
            </w:r>
            <w:r>
              <w:t>podkožného tkaniva</w:t>
            </w:r>
          </w:p>
        </w:tc>
        <w:tc>
          <w:tcPr>
            <w:tcW w:w="6095" w:type="dxa"/>
            <w:shd w:val="clear" w:color="auto" w:fill="auto"/>
          </w:tcPr>
          <w:p w:rsidR="007A5B4A" w:rsidRPr="004F53AF" w:rsidRDefault="007A5B4A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Časté </w:t>
            </w:r>
          </w:p>
          <w:p w:rsidR="00362DBA" w:rsidRPr="00BD509C" w:rsidRDefault="005C165D" w:rsidP="00BD509C">
            <w:pPr>
              <w:spacing w:before="0" w:after="0" w:line="260" w:lineRule="exact"/>
              <w:jc w:val="left"/>
              <w:rPr>
                <w:noProof/>
              </w:rPr>
            </w:pPr>
            <w:r>
              <w:t xml:space="preserve">Alergické kožné vyrážky, kontaktná dermatitída, </w:t>
            </w:r>
            <w:proofErr w:type="spellStart"/>
            <w:r>
              <w:t>palmárno-plantárny</w:t>
            </w:r>
            <w:proofErr w:type="spellEnd"/>
            <w:r>
              <w:t xml:space="preserve"> </w:t>
            </w:r>
            <w:proofErr w:type="spellStart"/>
            <w:r>
              <w:t>erytém</w:t>
            </w:r>
            <w:proofErr w:type="spellEnd"/>
            <w:r>
              <w:t>, svrbenie</w:t>
            </w:r>
          </w:p>
          <w:p w:rsidR="00362DBA" w:rsidRPr="004F53AF" w:rsidRDefault="00362DBA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Zriedkavé </w:t>
            </w:r>
          </w:p>
          <w:p w:rsidR="00362DBA" w:rsidRPr="00580D4E" w:rsidRDefault="00362DBA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t>Generalizovaný exantém</w:t>
            </w:r>
          </w:p>
        </w:tc>
      </w:tr>
      <w:tr w:rsidR="0045357C" w:rsidTr="004F53AF">
        <w:tc>
          <w:tcPr>
            <w:tcW w:w="2977" w:type="dxa"/>
            <w:shd w:val="clear" w:color="auto" w:fill="auto"/>
          </w:tcPr>
          <w:p w:rsidR="0045357C" w:rsidRDefault="0045357C" w:rsidP="00BD509C">
            <w:pPr>
              <w:spacing w:before="0" w:after="0" w:line="260" w:lineRule="exact"/>
              <w:jc w:val="left"/>
              <w:rPr>
                <w:noProof/>
              </w:rPr>
            </w:pPr>
            <w:r>
              <w:t>Poruchy obličiek a</w:t>
            </w:r>
            <w:r w:rsidR="00966BC2">
              <w:t> </w:t>
            </w:r>
            <w:r>
              <w:t>močových ciest</w:t>
            </w:r>
          </w:p>
        </w:tc>
        <w:tc>
          <w:tcPr>
            <w:tcW w:w="6095" w:type="dxa"/>
            <w:shd w:val="clear" w:color="auto" w:fill="auto"/>
          </w:tcPr>
          <w:p w:rsidR="0045357C" w:rsidRPr="004F53AF" w:rsidRDefault="0045357C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Časté </w:t>
            </w:r>
          </w:p>
          <w:p w:rsidR="0045357C" w:rsidRDefault="0045357C" w:rsidP="00BD509C">
            <w:pPr>
              <w:spacing w:before="0" w:after="0" w:line="260" w:lineRule="exact"/>
              <w:jc w:val="left"/>
              <w:rPr>
                <w:noProof/>
              </w:rPr>
            </w:pPr>
            <w:proofErr w:type="spellStart"/>
            <w:r>
              <w:t>Cystitída</w:t>
            </w:r>
            <w:proofErr w:type="spellEnd"/>
            <w:r>
              <w:t xml:space="preserve"> (možno </w:t>
            </w:r>
            <w:proofErr w:type="spellStart"/>
            <w:r>
              <w:t>hemoragická</w:t>
            </w:r>
            <w:proofErr w:type="spellEnd"/>
            <w:r>
              <w:t xml:space="preserve">), </w:t>
            </w:r>
            <w:proofErr w:type="spellStart"/>
            <w:r>
              <w:t>dyzúria</w:t>
            </w:r>
            <w:proofErr w:type="spellEnd"/>
            <w:r>
              <w:t xml:space="preserve">, </w:t>
            </w:r>
            <w:proofErr w:type="spellStart"/>
            <w:r>
              <w:t>noktúria</w:t>
            </w:r>
            <w:proofErr w:type="spellEnd"/>
            <w:r>
              <w:t xml:space="preserve">, </w:t>
            </w:r>
            <w:proofErr w:type="spellStart"/>
            <w:r>
              <w:t>polakizúria</w:t>
            </w:r>
            <w:proofErr w:type="spellEnd"/>
            <w:r>
              <w:t xml:space="preserve">, </w:t>
            </w:r>
            <w:proofErr w:type="spellStart"/>
            <w:r>
              <w:t>hematúria</w:t>
            </w:r>
            <w:proofErr w:type="spellEnd"/>
            <w:r>
              <w:t xml:space="preserve">, miestne podráždenie steny močového mechúra </w:t>
            </w:r>
          </w:p>
          <w:p w:rsidR="0045357C" w:rsidRPr="004F53AF" w:rsidRDefault="0045357C" w:rsidP="00BD509C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Veľmi zriedkavé alebo neznáme </w:t>
            </w:r>
          </w:p>
          <w:p w:rsidR="0045357C" w:rsidRDefault="0045357C" w:rsidP="004B4A86">
            <w:pPr>
              <w:spacing w:before="0" w:after="0" w:line="260" w:lineRule="exact"/>
              <w:jc w:val="left"/>
              <w:rPr>
                <w:noProof/>
              </w:rPr>
            </w:pPr>
            <w:proofErr w:type="spellStart"/>
            <w:r>
              <w:t>Nekrotizujúca</w:t>
            </w:r>
            <w:proofErr w:type="spellEnd"/>
            <w:r>
              <w:t xml:space="preserve"> </w:t>
            </w:r>
            <w:proofErr w:type="spellStart"/>
            <w:r>
              <w:t>cystitída</w:t>
            </w:r>
            <w:proofErr w:type="spellEnd"/>
            <w:r>
              <w:t>, alergická (</w:t>
            </w:r>
            <w:proofErr w:type="spellStart"/>
            <w:r>
              <w:t>eozinofilná</w:t>
            </w:r>
            <w:proofErr w:type="spellEnd"/>
            <w:r>
              <w:t xml:space="preserve">) </w:t>
            </w:r>
            <w:proofErr w:type="spellStart"/>
            <w:r>
              <w:t>cystitída</w:t>
            </w:r>
            <w:proofErr w:type="spellEnd"/>
            <w:r>
              <w:t xml:space="preserve">, </w:t>
            </w:r>
            <w:proofErr w:type="spellStart"/>
            <w:r>
              <w:t>stenóza</w:t>
            </w:r>
            <w:proofErr w:type="spellEnd"/>
            <w:r>
              <w:t xml:space="preserve"> </w:t>
            </w:r>
            <w:proofErr w:type="spellStart"/>
            <w:r>
              <w:t>eferentnej</w:t>
            </w:r>
            <w:proofErr w:type="spellEnd"/>
            <w:r>
              <w:t xml:space="preserve"> časti močových ciest, znížená kapacita močového mechúra, zvápenatenie steny močového mechúra, </w:t>
            </w:r>
            <w:proofErr w:type="spellStart"/>
            <w:r>
              <w:t>fibróza</w:t>
            </w:r>
            <w:proofErr w:type="spellEnd"/>
            <w:r>
              <w:t xml:space="preserve"> steny močového mechúra, perforácia močového mechúra</w:t>
            </w:r>
          </w:p>
        </w:tc>
      </w:tr>
    </w:tbl>
    <w:p w:rsidR="00EC08D2" w:rsidRDefault="00EC08D2" w:rsidP="00BD509C">
      <w:pPr>
        <w:spacing w:before="0" w:after="0" w:line="260" w:lineRule="exact"/>
        <w:jc w:val="left"/>
      </w:pPr>
    </w:p>
    <w:p w:rsidR="00EC08D2" w:rsidRPr="00E13991" w:rsidRDefault="00EC08D2" w:rsidP="00F25D73">
      <w:pPr>
        <w:spacing w:before="0" w:after="0" w:line="260" w:lineRule="exact"/>
        <w:jc w:val="left"/>
      </w:pPr>
      <w:r>
        <w:t xml:space="preserve">Po </w:t>
      </w:r>
      <w:proofErr w:type="spellStart"/>
      <w:r>
        <w:t>intravezikálnom</w:t>
      </w:r>
      <w:proofErr w:type="spellEnd"/>
      <w:r>
        <w:t xml:space="preserve"> podaní sa do systémového obehu dostane len malé množstvo </w:t>
      </w:r>
      <w:proofErr w:type="spellStart"/>
      <w:r>
        <w:t>mitomycínu</w:t>
      </w:r>
      <w:proofErr w:type="spellEnd"/>
      <w:r>
        <w:t>. Napriek tomu boli vo veľmi zriedkavých prípadoch hlásené nasledovné systémové nežiaduce účinky:</w:t>
      </w:r>
    </w:p>
    <w:p w:rsidR="00EC08D2" w:rsidRDefault="00EC08D2" w:rsidP="00EC08D2">
      <w:pPr>
        <w:spacing w:before="0" w:after="0" w:line="260" w:lineRule="exact"/>
        <w:jc w:val="left"/>
        <w:rPr>
          <w:highlight w:val="yellow"/>
        </w:rPr>
      </w:pPr>
    </w:p>
    <w:p w:rsidR="00EC08D2" w:rsidRPr="00715C95" w:rsidRDefault="00EC08D2" w:rsidP="00EC08D2">
      <w:pPr>
        <w:spacing w:before="0" w:after="0" w:line="260" w:lineRule="exact"/>
        <w:jc w:val="left"/>
        <w:rPr>
          <w:u w:val="single"/>
        </w:rPr>
      </w:pPr>
      <w:r>
        <w:rPr>
          <w:u w:val="single"/>
        </w:rPr>
        <w:t xml:space="preserve">Možné systémové nežiaduce účinky, ku ktorým dochádza </w:t>
      </w:r>
      <w:r>
        <w:rPr>
          <w:b/>
          <w:u w:val="single"/>
        </w:rPr>
        <w:t>veľmi zriedkavo</w:t>
      </w:r>
      <w:r>
        <w:rPr>
          <w:u w:val="single"/>
        </w:rPr>
        <w:t xml:space="preserve"> po </w:t>
      </w:r>
      <w:proofErr w:type="spellStart"/>
      <w:r>
        <w:rPr>
          <w:u w:val="single"/>
        </w:rPr>
        <w:t>intravezikálnom</w:t>
      </w:r>
      <w:proofErr w:type="spellEnd"/>
      <w:r>
        <w:rPr>
          <w:u w:val="single"/>
        </w:rPr>
        <w:t xml:space="preserve"> podaní</w:t>
      </w:r>
      <w:r w:rsidR="00F63597">
        <w:rPr>
          <w:u w:val="single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7C179F">
            <w:pPr>
              <w:spacing w:before="0"/>
            </w:pPr>
            <w:r>
              <w:t>Poruchy krvi a</w:t>
            </w:r>
            <w:r w:rsidR="00966BC2">
              <w:t> </w:t>
            </w:r>
            <w:r>
              <w:t>lymfatického systému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proofErr w:type="spellStart"/>
            <w:r>
              <w:t>Leukocytopénia</w:t>
            </w:r>
            <w:proofErr w:type="spellEnd"/>
            <w:r>
              <w:t xml:space="preserve">, </w:t>
            </w:r>
            <w:proofErr w:type="spellStart"/>
            <w:r>
              <w:t>trombocytopénia</w:t>
            </w:r>
            <w:proofErr w:type="spellEnd"/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Poruchy dýchacej sústavy, hrudníka a</w:t>
            </w:r>
            <w:r w:rsidR="00966BC2">
              <w:t> </w:t>
            </w:r>
            <w:proofErr w:type="spellStart"/>
            <w:r>
              <w:t>mediastína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proofErr w:type="spellStart"/>
            <w:r>
              <w:t>Intersticiálna</w:t>
            </w:r>
            <w:proofErr w:type="spellEnd"/>
            <w:r>
              <w:t xml:space="preserve"> choroba pľúc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 xml:space="preserve">Poruchy </w:t>
            </w:r>
            <w:proofErr w:type="spellStart"/>
            <w:r>
              <w:t>gastrointestinálneho</w:t>
            </w:r>
            <w:proofErr w:type="spellEnd"/>
            <w:r>
              <w:t xml:space="preserve"> traktu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Nauzea, vracanie, hnačka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Poruchy pečene a</w:t>
            </w:r>
            <w:r w:rsidR="00966BC2">
              <w:t> </w:t>
            </w:r>
            <w:r>
              <w:t>žlčových ciest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 xml:space="preserve">Zvýšená hladina </w:t>
            </w:r>
            <w:proofErr w:type="spellStart"/>
            <w:r>
              <w:t>transamináz</w:t>
            </w:r>
            <w:proofErr w:type="spellEnd"/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lastRenderedPageBreak/>
              <w:t>Poruchy kože a</w:t>
            </w:r>
            <w:r w:rsidR="00966BC2">
              <w:t> </w:t>
            </w:r>
            <w:r>
              <w:t>podkožného tkaniva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FA7355" w:rsidP="00D6433C">
            <w:pPr>
              <w:spacing w:before="0" w:line="260" w:lineRule="exact"/>
              <w:jc w:val="left"/>
              <w:rPr>
                <w:noProof/>
              </w:rPr>
            </w:pPr>
            <w:proofErr w:type="spellStart"/>
            <w:r>
              <w:t>Aloplécia</w:t>
            </w:r>
            <w:proofErr w:type="spellEnd"/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Poruchy obličiek a</w:t>
            </w:r>
            <w:r w:rsidR="00966BC2">
              <w:t> </w:t>
            </w:r>
            <w:r>
              <w:t>močových ciest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noProof/>
              </w:rPr>
            </w:pPr>
            <w:r>
              <w:t>Porucha funkcie obličiek</w:t>
            </w:r>
          </w:p>
        </w:tc>
      </w:tr>
      <w:tr w:rsidR="00EC08D2" w:rsidRPr="00715C95" w:rsidTr="00D6433C">
        <w:tc>
          <w:tcPr>
            <w:tcW w:w="5529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</w:pPr>
            <w:r>
              <w:t>Celkové poruchy a</w:t>
            </w:r>
            <w:r w:rsidR="00966BC2">
              <w:t> </w:t>
            </w:r>
            <w:r>
              <w:t>reakcie v</w:t>
            </w:r>
            <w:r w:rsidR="00966BC2">
              <w:t> </w:t>
            </w:r>
            <w:r>
              <w:t>mieste podania</w:t>
            </w:r>
          </w:p>
        </w:tc>
        <w:tc>
          <w:tcPr>
            <w:tcW w:w="3543" w:type="dxa"/>
            <w:shd w:val="clear" w:color="auto" w:fill="auto"/>
          </w:tcPr>
          <w:p w:rsidR="00EC08D2" w:rsidRPr="00E13991" w:rsidRDefault="00EC08D2" w:rsidP="00D6433C">
            <w:pPr>
              <w:spacing w:before="0" w:line="260" w:lineRule="exact"/>
              <w:jc w:val="left"/>
              <w:rPr>
                <w:szCs w:val="22"/>
              </w:rPr>
            </w:pPr>
            <w:r>
              <w:t>Horúčka</w:t>
            </w:r>
          </w:p>
        </w:tc>
      </w:tr>
    </w:tbl>
    <w:p w:rsidR="004B1B9C" w:rsidRDefault="004B1B9C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</w:p>
    <w:p w:rsidR="00EC08D2" w:rsidRPr="00720D00" w:rsidRDefault="0030611B" w:rsidP="00EC08D2">
      <w:pPr>
        <w:spacing w:before="0" w:after="0"/>
        <w:rPr>
          <w:szCs w:val="22"/>
          <w:u w:val="single"/>
        </w:rPr>
      </w:pPr>
      <w:r w:rsidRPr="00720D00">
        <w:rPr>
          <w:u w:val="single"/>
        </w:rPr>
        <w:t>Možné vedľajšie účinky počas systémovej liečby</w:t>
      </w:r>
    </w:p>
    <w:p w:rsidR="00EC08D2" w:rsidRPr="00C9777C" w:rsidRDefault="00EC08D2" w:rsidP="00EC08D2">
      <w:pPr>
        <w:spacing w:before="0" w:after="0"/>
        <w:ind w:firstLine="720"/>
        <w:rPr>
          <w:b/>
          <w:bCs/>
          <w:szCs w:val="22"/>
          <w:u w:val="single"/>
        </w:rPr>
      </w:pPr>
    </w:p>
    <w:p w:rsidR="00EC08D2" w:rsidRPr="00E13991" w:rsidRDefault="00EC08D2" w:rsidP="00E13991">
      <w:pPr>
        <w:widowControl w:val="0"/>
        <w:spacing w:before="0" w:after="0"/>
        <w:jc w:val="left"/>
        <w:rPr>
          <w:szCs w:val="22"/>
        </w:rPr>
      </w:pPr>
      <w:r>
        <w:t xml:space="preserve">Najčastejšími vedľajšími účinkami </w:t>
      </w:r>
      <w:proofErr w:type="spellStart"/>
      <w:r>
        <w:t>mitomycínu</w:t>
      </w:r>
      <w:proofErr w:type="spellEnd"/>
      <w:r>
        <w:t xml:space="preserve"> podaného systémovo sú </w:t>
      </w:r>
      <w:proofErr w:type="spellStart"/>
      <w:r>
        <w:t>gastrointestinálne</w:t>
      </w:r>
      <w:proofErr w:type="spellEnd"/>
      <w:r>
        <w:t xml:space="preserve"> príznaky ako nauzea a</w:t>
      </w:r>
      <w:r w:rsidR="00966BC2">
        <w:t> </w:t>
      </w:r>
      <w:r>
        <w:t>vracanie, a</w:t>
      </w:r>
      <w:r w:rsidR="00966BC2">
        <w:t> </w:t>
      </w:r>
      <w:r>
        <w:t>útlm kostnej drene s</w:t>
      </w:r>
      <w:r w:rsidR="00966BC2">
        <w:t> </w:t>
      </w:r>
      <w:proofErr w:type="spellStart"/>
      <w:r>
        <w:t>leukopéniou</w:t>
      </w:r>
      <w:proofErr w:type="spellEnd"/>
      <w:r>
        <w:t xml:space="preserve"> a</w:t>
      </w:r>
      <w:r w:rsidR="00966BC2">
        <w:t> </w:t>
      </w:r>
      <w:r>
        <w:t xml:space="preserve">prevažne dominantnou </w:t>
      </w:r>
      <w:proofErr w:type="spellStart"/>
      <w:r>
        <w:t>trombocytopéniou</w:t>
      </w:r>
      <w:proofErr w:type="spellEnd"/>
      <w:r>
        <w:t>. K</w:t>
      </w:r>
      <w:r w:rsidR="00966BC2">
        <w:t> </w:t>
      </w:r>
      <w:r>
        <w:t>takémuto útlmu</w:t>
      </w:r>
      <w:r w:rsidR="00796207">
        <w:t xml:space="preserve"> kostnej drene dochádza až u</w:t>
      </w:r>
      <w:r w:rsidR="00966BC2">
        <w:t> </w:t>
      </w:r>
      <w:r w:rsidR="00796207">
        <w:t>65 </w:t>
      </w:r>
      <w:r>
        <w:t>% pacientov.</w:t>
      </w:r>
    </w:p>
    <w:p w:rsidR="00EC08D2" w:rsidRPr="00E13991" w:rsidRDefault="00EC08D2" w:rsidP="00E13991">
      <w:pPr>
        <w:spacing w:before="0" w:after="0"/>
        <w:jc w:val="left"/>
        <w:rPr>
          <w:szCs w:val="22"/>
        </w:rPr>
      </w:pPr>
    </w:p>
    <w:p w:rsidR="00EC08D2" w:rsidRPr="00E13991" w:rsidRDefault="00FA7355" w:rsidP="00E13991">
      <w:pPr>
        <w:spacing w:before="0" w:after="0"/>
        <w:jc w:val="left"/>
        <w:rPr>
          <w:szCs w:val="22"/>
        </w:rPr>
      </w:pPr>
      <w:r>
        <w:t>A</w:t>
      </w:r>
      <w:r w:rsidR="00796207">
        <w:t xml:space="preserve">ž </w:t>
      </w:r>
      <w:r>
        <w:t>u</w:t>
      </w:r>
      <w:r w:rsidR="00966BC2">
        <w:t> </w:t>
      </w:r>
      <w:r w:rsidR="00796207">
        <w:t>10 </w:t>
      </w:r>
      <w:r w:rsidR="00EC08D2">
        <w:t xml:space="preserve">% pacientov sa musí počítať so závažnou orgánovou toxicitou vo forme </w:t>
      </w:r>
      <w:proofErr w:type="spellStart"/>
      <w:r w:rsidR="00EC08D2">
        <w:t>intersticiálneho</w:t>
      </w:r>
      <w:proofErr w:type="spellEnd"/>
      <w:r w:rsidR="00EC08D2">
        <w:t xml:space="preserve"> zápalu pľúc alebo </w:t>
      </w:r>
      <w:proofErr w:type="spellStart"/>
      <w:r w:rsidR="00EC08D2">
        <w:t>nefrotoxicity</w:t>
      </w:r>
      <w:proofErr w:type="spellEnd"/>
      <w:r w:rsidR="00EC08D2">
        <w:t xml:space="preserve">. </w:t>
      </w:r>
    </w:p>
    <w:p w:rsidR="00EC08D2" w:rsidRPr="00E13991" w:rsidRDefault="00EC08D2" w:rsidP="00E13991">
      <w:pPr>
        <w:spacing w:before="0" w:after="0"/>
        <w:ind w:left="567" w:hanging="567"/>
        <w:jc w:val="left"/>
        <w:rPr>
          <w:szCs w:val="22"/>
        </w:rPr>
      </w:pPr>
    </w:p>
    <w:p w:rsidR="00EC08D2" w:rsidRPr="00E13991" w:rsidRDefault="00EC08D2" w:rsidP="00E13991">
      <w:pPr>
        <w:spacing w:before="0" w:after="0"/>
        <w:jc w:val="left"/>
        <w:rPr>
          <w:szCs w:val="22"/>
        </w:rPr>
      </w:pPr>
      <w:proofErr w:type="spellStart"/>
      <w:r>
        <w:t>Mitomycín</w:t>
      </w:r>
      <w:proofErr w:type="spellEnd"/>
      <w:r>
        <w:t xml:space="preserve"> je potenciálne </w:t>
      </w:r>
      <w:proofErr w:type="spellStart"/>
      <w:r>
        <w:t>hepatotoxický</w:t>
      </w:r>
      <w:proofErr w:type="spellEnd"/>
      <w:r>
        <w:t>.</w:t>
      </w:r>
    </w:p>
    <w:p w:rsidR="00EC08D2" w:rsidRPr="00E13991" w:rsidRDefault="00EC08D2" w:rsidP="00E13991">
      <w:pPr>
        <w:spacing w:before="0" w:after="0"/>
        <w:jc w:val="lef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7"/>
        <w:gridCol w:w="4253"/>
      </w:tblGrid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7C179F">
            <w:pPr>
              <w:spacing w:before="0" w:after="0"/>
              <w:rPr>
                <w:szCs w:val="22"/>
              </w:rPr>
            </w:pPr>
            <w:r>
              <w:t>Poruchy krvi a</w:t>
            </w:r>
            <w:r w:rsidR="00966BC2">
              <w:t> </w:t>
            </w:r>
            <w:r>
              <w:t>lymfatického systému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 xml:space="preserve">Útlm kostnej drene, </w:t>
            </w:r>
            <w:proofErr w:type="spellStart"/>
            <w:r>
              <w:t>leukopénia</w:t>
            </w:r>
            <w:proofErr w:type="spellEnd"/>
            <w:r>
              <w:t xml:space="preserve">, </w:t>
            </w:r>
            <w:proofErr w:type="spellStart"/>
            <w:r>
              <w:t>trombocytopénia</w:t>
            </w:r>
            <w:proofErr w:type="spellEnd"/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 xml:space="preserve">Život ohrozujúca infekcia, sepsa, 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  <w:u w:val="single"/>
              </w:rPr>
            </w:pPr>
            <w:proofErr w:type="spellStart"/>
            <w:r>
              <w:t>hemolytická</w:t>
            </w:r>
            <w:proofErr w:type="spellEnd"/>
            <w:r>
              <w:t xml:space="preserve"> anémia</w:t>
            </w:r>
            <w:r w:rsidR="00F63597">
              <w:t xml:space="preserve">, </w:t>
            </w:r>
            <w:proofErr w:type="spellStart"/>
            <w:r w:rsidR="00F63597" w:rsidRPr="002A4C9B">
              <w:rPr>
                <w:szCs w:val="22"/>
              </w:rPr>
              <w:t>trombotic</w:t>
            </w:r>
            <w:r w:rsidR="00F63597">
              <w:rPr>
                <w:szCs w:val="22"/>
              </w:rPr>
              <w:t>ká</w:t>
            </w:r>
            <w:proofErr w:type="spellEnd"/>
            <w:r w:rsidR="00F63597" w:rsidRPr="002A4C9B">
              <w:rPr>
                <w:szCs w:val="22"/>
              </w:rPr>
              <w:t xml:space="preserve"> </w:t>
            </w:r>
            <w:proofErr w:type="spellStart"/>
            <w:r w:rsidR="00F63597" w:rsidRPr="002A4C9B">
              <w:rPr>
                <w:szCs w:val="22"/>
              </w:rPr>
              <w:t>mi</w:t>
            </w:r>
            <w:r w:rsidR="00F63597">
              <w:rPr>
                <w:szCs w:val="22"/>
              </w:rPr>
              <w:t>k</w:t>
            </w:r>
            <w:r w:rsidR="00F63597" w:rsidRPr="002A4C9B">
              <w:rPr>
                <w:szCs w:val="22"/>
              </w:rPr>
              <w:t>roangiopat</w:t>
            </w:r>
            <w:r w:rsidR="00F63597">
              <w:rPr>
                <w:szCs w:val="22"/>
              </w:rPr>
              <w:t>ia</w:t>
            </w:r>
            <w:proofErr w:type="spellEnd"/>
            <w:r w:rsidR="00F63597" w:rsidRPr="002A4C9B">
              <w:rPr>
                <w:szCs w:val="22"/>
              </w:rPr>
              <w:t xml:space="preserve"> (TMA)</w:t>
            </w:r>
            <w:r w:rsidR="00F63597">
              <w:rPr>
                <w:szCs w:val="22"/>
              </w:rPr>
              <w:t xml:space="preserve"> vrátane </w:t>
            </w:r>
            <w:proofErr w:type="spellStart"/>
            <w:r w:rsidR="00F63597" w:rsidRPr="002A4C9B">
              <w:rPr>
                <w:szCs w:val="22"/>
              </w:rPr>
              <w:t>trombotic</w:t>
            </w:r>
            <w:r w:rsidR="00F63597">
              <w:rPr>
                <w:szCs w:val="22"/>
              </w:rPr>
              <w:t>kej</w:t>
            </w:r>
            <w:proofErr w:type="spellEnd"/>
            <w:r w:rsidR="00F63597" w:rsidRPr="002A4C9B">
              <w:rPr>
                <w:szCs w:val="22"/>
              </w:rPr>
              <w:t xml:space="preserve"> </w:t>
            </w:r>
            <w:proofErr w:type="spellStart"/>
            <w:r w:rsidR="00F63597" w:rsidRPr="002A4C9B">
              <w:rPr>
                <w:szCs w:val="22"/>
              </w:rPr>
              <w:t>trombocytopenic</w:t>
            </w:r>
            <w:r w:rsidR="00F63597">
              <w:rPr>
                <w:szCs w:val="22"/>
              </w:rPr>
              <w:t>kej</w:t>
            </w:r>
            <w:proofErr w:type="spellEnd"/>
            <w:r w:rsidR="00F63597" w:rsidRPr="002A4C9B">
              <w:rPr>
                <w:szCs w:val="22"/>
              </w:rPr>
              <w:t xml:space="preserve"> purpur</w:t>
            </w:r>
            <w:r w:rsidR="00F63597">
              <w:rPr>
                <w:szCs w:val="22"/>
              </w:rPr>
              <w:t>y</w:t>
            </w:r>
            <w:r w:rsidR="00F63597" w:rsidRPr="002A4C9B">
              <w:rPr>
                <w:szCs w:val="22"/>
              </w:rPr>
              <w:t xml:space="preserve"> (TTP)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imunitného systému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Veľmi zriedkavé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>Ťažká alergická reakcia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srdca</w:t>
            </w:r>
            <w:r w:rsidR="00016485">
              <w:t xml:space="preserve"> </w:t>
            </w:r>
            <w:r w:rsidR="00016485" w:rsidRPr="00016485">
              <w:t>a</w:t>
            </w:r>
            <w:r w:rsidR="00966BC2">
              <w:t> </w:t>
            </w:r>
            <w:r w:rsidR="00016485" w:rsidRPr="00016485">
              <w:t>srdcovej činnosti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 xml:space="preserve">Zlyhanie srdca po predchádzajúcej liečbe </w:t>
            </w:r>
            <w:proofErr w:type="spellStart"/>
            <w:r>
              <w:t>antracyklínmi</w:t>
            </w:r>
            <w:proofErr w:type="spellEnd"/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dýchacej sústavy, hrudníka a</w:t>
            </w:r>
            <w:r w:rsidR="00966BC2">
              <w:t> </w:t>
            </w:r>
            <w:proofErr w:type="spellStart"/>
            <w:r>
              <w:t>mediastína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30611B" w:rsidRDefault="00EC08D2" w:rsidP="00720D00">
            <w:pPr>
              <w:keepNext/>
              <w:tabs>
                <w:tab w:val="clear" w:pos="567"/>
              </w:tabs>
              <w:spacing w:before="0" w:after="0"/>
              <w:jc w:val="left"/>
              <w:outlineLvl w:val="3"/>
              <w:rPr>
                <w:szCs w:val="22"/>
              </w:rPr>
            </w:pPr>
            <w:proofErr w:type="spellStart"/>
            <w:r>
              <w:t>Intersticiálny</w:t>
            </w:r>
            <w:proofErr w:type="spellEnd"/>
            <w:r>
              <w:t xml:space="preserve"> zápal pľúc, </w:t>
            </w:r>
            <w:proofErr w:type="spellStart"/>
            <w:r>
              <w:t>dyspnoe</w:t>
            </w:r>
            <w:proofErr w:type="spellEnd"/>
            <w:r>
              <w:t>, kašeľ, dýchavičnosť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 xml:space="preserve">Pľúcna hypertenzia, pľúcna </w:t>
            </w:r>
            <w:proofErr w:type="spellStart"/>
            <w:r>
              <w:t>venookluzívna</w:t>
            </w:r>
            <w:proofErr w:type="spellEnd"/>
            <w:r>
              <w:t xml:space="preserve"> choroba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 xml:space="preserve">Poruchy </w:t>
            </w:r>
            <w:proofErr w:type="spellStart"/>
            <w:r>
              <w:t>gastrointestinálneho</w:t>
            </w:r>
            <w:proofErr w:type="spellEnd"/>
            <w:r>
              <w:t xml:space="preserve"> traktu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30611B" w:rsidRDefault="00EC08D2" w:rsidP="00720D00">
            <w:pPr>
              <w:keepNext/>
              <w:tabs>
                <w:tab w:val="clear" w:pos="567"/>
              </w:tabs>
              <w:spacing w:before="0" w:after="0" w:line="240" w:lineRule="exact"/>
              <w:jc w:val="left"/>
              <w:outlineLvl w:val="4"/>
              <w:rPr>
                <w:szCs w:val="22"/>
              </w:rPr>
            </w:pPr>
            <w:r>
              <w:t xml:space="preserve">Nauzea, vracanie 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t>Mukozitída</w:t>
            </w:r>
            <w:proofErr w:type="spellEnd"/>
            <w:r>
              <w:t xml:space="preserve">, </w:t>
            </w:r>
            <w:proofErr w:type="spellStart"/>
            <w:r>
              <w:t>stomatitída</w:t>
            </w:r>
            <w:proofErr w:type="spellEnd"/>
            <w:r>
              <w:t xml:space="preserve">, hnačka, </w:t>
            </w:r>
            <w:proofErr w:type="spellStart"/>
            <w:r>
              <w:t>anorexia</w:t>
            </w:r>
            <w:proofErr w:type="spellEnd"/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pečene a</w:t>
            </w:r>
            <w:r w:rsidR="00966BC2">
              <w:t> </w:t>
            </w:r>
            <w:r>
              <w:t>žlčových ciest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 xml:space="preserve">Porucha funkcie pečene, zvýšené hladiny </w:t>
            </w:r>
            <w:proofErr w:type="spellStart"/>
            <w:r>
              <w:t>transamináz</w:t>
            </w:r>
            <w:proofErr w:type="spellEnd"/>
            <w:r>
              <w:t xml:space="preserve">, žltačka, </w:t>
            </w:r>
            <w:proofErr w:type="spellStart"/>
            <w:r>
              <w:t>venookluzívna</w:t>
            </w:r>
            <w:proofErr w:type="spellEnd"/>
            <w:r>
              <w:t xml:space="preserve"> choroba pečene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kože a</w:t>
            </w:r>
            <w:r w:rsidR="00966BC2">
              <w:t> </w:t>
            </w:r>
            <w:r>
              <w:t>podkožného tkaniva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 xml:space="preserve">Exantém, alergické kožné vyrážky, kontaktná dermatitída, </w:t>
            </w:r>
            <w:proofErr w:type="spellStart"/>
            <w:r>
              <w:t>palmárno-plantárny</w:t>
            </w:r>
            <w:proofErr w:type="spellEnd"/>
            <w:r>
              <w:t xml:space="preserve"> </w:t>
            </w:r>
            <w:proofErr w:type="spellStart"/>
            <w:r>
              <w:t>erytém</w:t>
            </w:r>
            <w:proofErr w:type="spellEnd"/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30611B" w:rsidRDefault="00FA7355" w:rsidP="00720D00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t>Aloplécia</w:t>
            </w:r>
            <w:proofErr w:type="spellEnd"/>
            <w:r>
              <w:t xml:space="preserve"> 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>Generalizovaný exantém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  <w:r>
              <w:t>Poruchy obličiek a</w:t>
            </w:r>
            <w:r w:rsidR="00966BC2">
              <w:t> </w:t>
            </w:r>
            <w:r>
              <w:t xml:space="preserve">močových ciest </w:t>
            </w:r>
          </w:p>
          <w:p w:rsidR="00EC08D2" w:rsidRPr="00E13991" w:rsidRDefault="00EC08D2" w:rsidP="00D6433C">
            <w:pPr>
              <w:spacing w:before="0" w:after="0"/>
              <w:rPr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30611B" w:rsidRDefault="00EC08D2" w:rsidP="00720D00">
            <w:pPr>
              <w:spacing w:before="0" w:after="0"/>
              <w:jc w:val="left"/>
              <w:rPr>
                <w:iCs/>
                <w:szCs w:val="22"/>
              </w:rPr>
            </w:pPr>
            <w:r>
              <w:t xml:space="preserve">Porucha funkcie obličiek, zvýšenie hladiny sérového </w:t>
            </w:r>
            <w:proofErr w:type="spellStart"/>
            <w:r>
              <w:t>kreatinínu</w:t>
            </w:r>
            <w:proofErr w:type="spellEnd"/>
            <w:r>
              <w:t xml:space="preserve">, </w:t>
            </w:r>
            <w:proofErr w:type="spellStart"/>
            <w:r>
              <w:t>glomerulopatia</w:t>
            </w:r>
            <w:proofErr w:type="spellEnd"/>
            <w:r>
              <w:t xml:space="preserve">, </w:t>
            </w:r>
            <w:proofErr w:type="spellStart"/>
            <w:r>
              <w:t>nefrotoxicita</w:t>
            </w:r>
            <w:proofErr w:type="spellEnd"/>
            <w:r>
              <w:t xml:space="preserve"> 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proofErr w:type="spellStart"/>
            <w:r>
              <w:lastRenderedPageBreak/>
              <w:t>Hemolyticko</w:t>
            </w:r>
            <w:proofErr w:type="spellEnd"/>
            <w:r>
              <w:t xml:space="preserve">-uremický syndróm (HUS; </w:t>
            </w:r>
            <w:r w:rsidR="00FA7355">
              <w:t>často fatálny</w:t>
            </w:r>
            <w:r>
              <w:t xml:space="preserve">), </w:t>
            </w:r>
            <w:proofErr w:type="spellStart"/>
            <w:r>
              <w:t>mikroangiopaticko-hemolytická</w:t>
            </w:r>
            <w:proofErr w:type="spellEnd"/>
            <w:r>
              <w:t xml:space="preserve"> anémia (MAHA syndróm) </w:t>
            </w:r>
          </w:p>
        </w:tc>
      </w:tr>
      <w:tr w:rsidR="00EC08D2" w:rsidRPr="00C9777C" w:rsidTr="00D6433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E13991" w:rsidRDefault="00EC08D2" w:rsidP="00D6433C">
            <w:pPr>
              <w:spacing w:before="0" w:after="0"/>
              <w:rPr>
                <w:szCs w:val="22"/>
                <w:highlight w:val="yellow"/>
              </w:rPr>
            </w:pPr>
            <w:r>
              <w:lastRenderedPageBreak/>
              <w:t>Celkové poruchy a</w:t>
            </w:r>
            <w:r w:rsidR="00966BC2">
              <w:t> </w:t>
            </w:r>
            <w:r>
              <w:t>reakcie v</w:t>
            </w:r>
            <w:r w:rsidR="00966BC2">
              <w:t> </w:t>
            </w:r>
            <w:r>
              <w:t xml:space="preserve">mieste podania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30611B" w:rsidRDefault="00EC08D2" w:rsidP="00720D00">
            <w:pPr>
              <w:spacing w:before="0" w:after="0"/>
              <w:jc w:val="left"/>
              <w:rPr>
                <w:szCs w:val="22"/>
              </w:rPr>
            </w:pPr>
            <w:r>
              <w:t xml:space="preserve">Po </w:t>
            </w:r>
            <w:proofErr w:type="spellStart"/>
            <w:r>
              <w:t>extravazácii</w:t>
            </w:r>
            <w:proofErr w:type="spellEnd"/>
            <w:r>
              <w:t xml:space="preserve">: Celulitída, </w:t>
            </w:r>
            <w:proofErr w:type="spellStart"/>
            <w:r>
              <w:t>nekróza</w:t>
            </w:r>
            <w:proofErr w:type="spellEnd"/>
            <w:r>
              <w:t xml:space="preserve"> tkaniva</w:t>
            </w:r>
          </w:p>
          <w:p w:rsidR="00EC08D2" w:rsidRPr="00C9777C" w:rsidRDefault="00EC08D2" w:rsidP="00D6433C">
            <w:pPr>
              <w:spacing w:before="0" w:after="0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30611B" w:rsidRDefault="00EC08D2" w:rsidP="00720D00">
            <w:pPr>
              <w:tabs>
                <w:tab w:val="clear" w:pos="567"/>
              </w:tabs>
              <w:spacing w:before="0" w:after="0"/>
              <w:jc w:val="left"/>
              <w:outlineLvl w:val="5"/>
              <w:rPr>
                <w:szCs w:val="22"/>
              </w:rPr>
            </w:pPr>
            <w:r>
              <w:t>Horúčka</w:t>
            </w:r>
          </w:p>
        </w:tc>
      </w:tr>
    </w:tbl>
    <w:p w:rsidR="00EC08D2" w:rsidRPr="002A5950" w:rsidRDefault="00EC08D2" w:rsidP="00BD509C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</w:p>
    <w:p w:rsidR="0023713E" w:rsidRPr="0023713E" w:rsidRDefault="0023713E" w:rsidP="0023713E">
      <w:pPr>
        <w:autoSpaceDE w:val="0"/>
        <w:autoSpaceDN w:val="0"/>
        <w:adjustRightInd w:val="0"/>
        <w:spacing w:before="0" w:after="0" w:line="260" w:lineRule="exact"/>
        <w:jc w:val="left"/>
        <w:rPr>
          <w:u w:val="single"/>
        </w:rPr>
      </w:pPr>
      <w:r w:rsidRPr="0023713E">
        <w:rPr>
          <w:u w:val="single"/>
        </w:rPr>
        <w:t>Hlásenie podozrení na nežiaduce reakcie</w:t>
      </w:r>
    </w:p>
    <w:p w:rsidR="004B1B9C" w:rsidRDefault="0023713E" w:rsidP="00F25D73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  <w:r w:rsidRPr="0023713E">
        <w:t>Hlásenie podozrení na nežiaduce reakcie po registrácii lieku je dôležité. Umožňuje priebežné monitorovanie pomeru prínosu a</w:t>
      </w:r>
      <w:r w:rsidR="00966BC2">
        <w:t> </w:t>
      </w:r>
      <w:r w:rsidRPr="0023713E">
        <w:t>rizika lieku. Od zdravotníckych pracovníkov sa vyžaduje, aby hlásili akékoľvek podozrenia na nežiaduce reakcie prostredníctvom</w:t>
      </w:r>
      <w:r w:rsidRPr="0023713E">
        <w:rPr>
          <w:lang w:val="ro-RO"/>
        </w:rPr>
        <w:t xml:space="preserve"> </w:t>
      </w:r>
      <w:r w:rsidR="005A0B44" w:rsidRPr="00DD2CC4">
        <w:rPr>
          <w:highlight w:val="lightGray"/>
        </w:rPr>
        <w:t>národného systému hlásenia uvedeného v </w:t>
      </w:r>
      <w:hyperlink r:id="rId8" w:history="1">
        <w:r w:rsidR="005A0B44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5A0B44">
        <w:rPr>
          <w:rStyle w:val="Hypertextovprepojenie"/>
          <w:noProof/>
          <w:szCs w:val="22"/>
        </w:rPr>
        <w:t>.</w:t>
      </w:r>
    </w:p>
    <w:p w:rsidR="00013702" w:rsidRPr="00BE265E" w:rsidRDefault="00013702" w:rsidP="00013702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4.9</w:t>
      </w:r>
      <w:r>
        <w:tab/>
      </w:r>
      <w:r w:rsidR="0064267A">
        <w:t>Predávkovanie</w:t>
      </w:r>
    </w:p>
    <w:p w:rsidR="00EC08D2" w:rsidRDefault="00EC08D2" w:rsidP="00EC08D2">
      <w:pPr>
        <w:spacing w:before="0" w:after="0" w:line="260" w:lineRule="exact"/>
        <w:jc w:val="left"/>
        <w:rPr>
          <w:noProof/>
          <w:szCs w:val="22"/>
        </w:rPr>
      </w:pPr>
    </w:p>
    <w:p w:rsidR="00EC08D2" w:rsidRPr="00E13991" w:rsidRDefault="00EC08D2" w:rsidP="00E13991">
      <w:pPr>
        <w:spacing w:before="0" w:after="0"/>
        <w:jc w:val="left"/>
        <w:rPr>
          <w:szCs w:val="24"/>
        </w:rPr>
      </w:pPr>
      <w:r>
        <w:t>V</w:t>
      </w:r>
      <w:r w:rsidR="00966BC2">
        <w:t> </w:t>
      </w:r>
      <w:r>
        <w:t xml:space="preserve">prípade predávkovania sa musí počítať so závažnou </w:t>
      </w:r>
      <w:proofErr w:type="spellStart"/>
      <w:r>
        <w:t>myelotoxicitou</w:t>
      </w:r>
      <w:proofErr w:type="spellEnd"/>
      <w:r>
        <w:t xml:space="preserve"> alebo dokonca s</w:t>
      </w:r>
      <w:r w:rsidR="00966BC2">
        <w:t> </w:t>
      </w:r>
      <w:proofErr w:type="spellStart"/>
      <w:r w:rsidR="00FA7355">
        <w:t>myeloftízou</w:t>
      </w:r>
      <w:proofErr w:type="spellEnd"/>
      <w:r>
        <w:t>, ktorej plne rozvinutý klinický účinok sa dostaví iba po približne 2 týždňoch.</w:t>
      </w:r>
    </w:p>
    <w:p w:rsidR="00EC08D2" w:rsidRPr="00E13991" w:rsidRDefault="00EC08D2" w:rsidP="00E13991">
      <w:pPr>
        <w:spacing w:before="0" w:after="0"/>
        <w:jc w:val="left"/>
        <w:rPr>
          <w:szCs w:val="24"/>
        </w:rPr>
      </w:pPr>
    </w:p>
    <w:p w:rsidR="00EC08D2" w:rsidRPr="00E13991" w:rsidRDefault="00EC08D2" w:rsidP="00E13991">
      <w:pPr>
        <w:spacing w:before="0" w:after="0"/>
        <w:jc w:val="left"/>
        <w:rPr>
          <w:szCs w:val="24"/>
        </w:rPr>
      </w:pPr>
      <w:r>
        <w:t xml:space="preserve">Doba, za ktorú počet leukocytov klesne na najnižšiu hodnotu, môže trvať 4 týždne. Preto, ak je podozrenie na predávkovanie, treba podrobne sledovať hematologické parametre počas dlhšej doby. </w:t>
      </w:r>
    </w:p>
    <w:p w:rsidR="00AF439B" w:rsidRPr="003C5AFB" w:rsidRDefault="00AF439B" w:rsidP="00EC08D2">
      <w:pPr>
        <w:spacing w:before="0" w:after="0"/>
        <w:rPr>
          <w:szCs w:val="24"/>
          <w:u w:val="single"/>
        </w:rPr>
      </w:pPr>
    </w:p>
    <w:p w:rsidR="00D57C06" w:rsidRPr="00BE265E" w:rsidRDefault="00AF439B" w:rsidP="00BD509C">
      <w:pPr>
        <w:spacing w:before="0" w:after="0" w:line="260" w:lineRule="exact"/>
        <w:jc w:val="left"/>
        <w:rPr>
          <w:i/>
          <w:noProof/>
          <w:szCs w:val="22"/>
        </w:rPr>
      </w:pPr>
      <w:r>
        <w:t xml:space="preserve">Doteraz však neboli hlásené žiadne prípady predávkovania </w:t>
      </w:r>
      <w:proofErr w:type="spellStart"/>
      <w:r>
        <w:t>mitomycínom</w:t>
      </w:r>
      <w:proofErr w:type="spellEnd"/>
      <w:r>
        <w:t xml:space="preserve"> </w:t>
      </w:r>
      <w:proofErr w:type="spellStart"/>
      <w:r>
        <w:t>intravezikálnym</w:t>
      </w:r>
      <w:proofErr w:type="spellEnd"/>
      <w:r>
        <w:t xml:space="preserve"> podaním. </w:t>
      </w:r>
    </w:p>
    <w:p w:rsidR="00D57C06" w:rsidRPr="00BE265E" w:rsidRDefault="00D57C06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 xml:space="preserve">Keďže nie je dostupné žiadne účinné </w:t>
      </w:r>
      <w:proofErr w:type="spellStart"/>
      <w:r>
        <w:t>antidotum</w:t>
      </w:r>
      <w:proofErr w:type="spellEnd"/>
      <w:r>
        <w:t>, pri každom podaní treba byť maximálne opatrný.</w:t>
      </w:r>
    </w:p>
    <w:p w:rsidR="0064267A" w:rsidRDefault="0064267A" w:rsidP="00BD509C">
      <w:pPr>
        <w:spacing w:before="0" w:after="0" w:line="260" w:lineRule="exact"/>
        <w:jc w:val="left"/>
      </w:pPr>
    </w:p>
    <w:p w:rsidR="005A0B44" w:rsidRPr="00BE265E" w:rsidRDefault="005A0B44" w:rsidP="00BD509C">
      <w:pPr>
        <w:spacing w:before="0" w:after="0" w:line="260" w:lineRule="exact"/>
        <w:jc w:val="left"/>
      </w:pPr>
    </w:p>
    <w:p w:rsidR="0030611B" w:rsidRDefault="00966BC2" w:rsidP="00720D00">
      <w:pPr>
        <w:pStyle w:val="Nadpis1"/>
        <w:numPr>
          <w:ilvl w:val="0"/>
          <w:numId w:val="0"/>
        </w:numPr>
        <w:spacing w:before="0" w:after="0" w:line="260" w:lineRule="exact"/>
        <w:jc w:val="left"/>
      </w:pPr>
      <w:r>
        <w:t>5.</w:t>
      </w:r>
      <w:r>
        <w:tab/>
      </w:r>
      <w:r w:rsidR="0064267A">
        <w:t>FARMAKOLOGICKÉ VLASTNOSTI</w:t>
      </w:r>
    </w:p>
    <w:p w:rsidR="004B1B9C" w:rsidRPr="004B1B9C" w:rsidRDefault="004B1B9C" w:rsidP="00BD509C">
      <w:pPr>
        <w:spacing w:before="0" w:after="0" w:line="260" w:lineRule="exact"/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</w:pPr>
      <w:r>
        <w:t>5.1</w:t>
      </w:r>
      <w:r>
        <w:tab/>
      </w:r>
      <w:proofErr w:type="spellStart"/>
      <w:r w:rsidR="0064267A">
        <w:t>Farmakodynamické</w:t>
      </w:r>
      <w:proofErr w:type="spellEnd"/>
      <w:r w:rsidR="0064267A">
        <w:t xml:space="preserve"> vlastnosti</w:t>
      </w:r>
    </w:p>
    <w:p w:rsidR="004B1B9C" w:rsidRDefault="004B1B9C" w:rsidP="00BD509C">
      <w:pPr>
        <w:spacing w:before="0" w:after="0" w:line="260" w:lineRule="exact"/>
        <w:jc w:val="left"/>
      </w:pPr>
    </w:p>
    <w:p w:rsidR="0064267A" w:rsidRDefault="0064267A" w:rsidP="00BD509C">
      <w:pPr>
        <w:spacing w:before="0" w:after="0" w:line="260" w:lineRule="exact"/>
        <w:jc w:val="left"/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 w:rsidR="00091144">
        <w:t>Cytostatiká</w:t>
      </w:r>
      <w:proofErr w:type="spellEnd"/>
      <w:r w:rsidR="00091144">
        <w:t xml:space="preserve">, </w:t>
      </w:r>
      <w:proofErr w:type="spellStart"/>
      <w:r w:rsidR="00091144">
        <w:t>cytotoxické</w:t>
      </w:r>
      <w:proofErr w:type="spellEnd"/>
      <w:r w:rsidR="00091144">
        <w:t xml:space="preserve"> antibiotiká a</w:t>
      </w:r>
      <w:r w:rsidR="00966BC2">
        <w:t> </w:t>
      </w:r>
      <w:r w:rsidR="00091144">
        <w:t xml:space="preserve">podobné liečivá, </w:t>
      </w:r>
      <w:r>
        <w:t xml:space="preserve">iné </w:t>
      </w:r>
      <w:proofErr w:type="spellStart"/>
      <w:r>
        <w:t>cytotoxické</w:t>
      </w:r>
      <w:proofErr w:type="spellEnd"/>
      <w:r>
        <w:t xml:space="preserve"> antibiotiká, ATC kód: L01DC03</w:t>
      </w:r>
    </w:p>
    <w:p w:rsidR="00091144" w:rsidRPr="00BE265E" w:rsidRDefault="00091144" w:rsidP="00BD509C">
      <w:pPr>
        <w:spacing w:before="0" w:after="0" w:line="260" w:lineRule="exact"/>
        <w:jc w:val="left"/>
        <w:rPr>
          <w:bCs/>
          <w:noProof/>
          <w:szCs w:val="22"/>
        </w:rPr>
      </w:pPr>
    </w:p>
    <w:p w:rsidR="00F464A0" w:rsidRDefault="00F464A0" w:rsidP="00F464A0">
      <w:pPr>
        <w:spacing w:before="0" w:after="0"/>
      </w:pPr>
      <w:r>
        <w:t xml:space="preserve">Antibiotikum </w:t>
      </w:r>
      <w:proofErr w:type="spellStart"/>
      <w:r>
        <w:t>mitomycín</w:t>
      </w:r>
      <w:proofErr w:type="spellEnd"/>
      <w:r>
        <w:t xml:space="preserve"> je </w:t>
      </w:r>
      <w:proofErr w:type="spellStart"/>
      <w:r>
        <w:t>cytostatický</w:t>
      </w:r>
      <w:proofErr w:type="spellEnd"/>
      <w:r>
        <w:t xml:space="preserve"> liek zo skupiny </w:t>
      </w:r>
      <w:proofErr w:type="spellStart"/>
      <w:r>
        <w:t>alkylačných</w:t>
      </w:r>
      <w:proofErr w:type="spellEnd"/>
      <w:r>
        <w:t xml:space="preserve"> látok.</w:t>
      </w:r>
    </w:p>
    <w:p w:rsidR="00091144" w:rsidRPr="00E13991" w:rsidRDefault="00091144" w:rsidP="00F464A0">
      <w:pPr>
        <w:spacing w:before="0" w:after="0"/>
        <w:rPr>
          <w:szCs w:val="22"/>
        </w:rPr>
      </w:pPr>
    </w:p>
    <w:p w:rsidR="00F63597" w:rsidRPr="00720D00" w:rsidRDefault="0030611B" w:rsidP="005C165D">
      <w:pPr>
        <w:spacing w:before="0" w:after="0" w:line="260" w:lineRule="exact"/>
        <w:jc w:val="left"/>
        <w:rPr>
          <w:u w:val="single"/>
        </w:rPr>
      </w:pPr>
      <w:r w:rsidRPr="00720D00">
        <w:rPr>
          <w:u w:val="single"/>
        </w:rPr>
        <w:t>Mechanizmus účinku</w:t>
      </w:r>
    </w:p>
    <w:p w:rsidR="00F63597" w:rsidRDefault="00F63597" w:rsidP="005C165D">
      <w:pPr>
        <w:spacing w:before="0" w:after="0" w:line="260" w:lineRule="exact"/>
        <w:jc w:val="left"/>
      </w:pPr>
    </w:p>
    <w:p w:rsidR="0064267A" w:rsidRPr="00F25D73" w:rsidRDefault="00CD3C7D" w:rsidP="005C165D">
      <w:pPr>
        <w:spacing w:before="0" w:after="0" w:line="260" w:lineRule="exact"/>
        <w:jc w:val="left"/>
        <w:rPr>
          <w:bCs/>
          <w:szCs w:val="22"/>
        </w:rPr>
      </w:pPr>
      <w:proofErr w:type="spellStart"/>
      <w:r>
        <w:t>Mitomycín</w:t>
      </w:r>
      <w:proofErr w:type="spellEnd"/>
      <w:r>
        <w:t xml:space="preserve"> je antibiotikum s</w:t>
      </w:r>
      <w:r w:rsidR="00966BC2">
        <w:t> </w:t>
      </w:r>
      <w:proofErr w:type="spellStart"/>
      <w:r>
        <w:t>antineoplastickým</w:t>
      </w:r>
      <w:proofErr w:type="spellEnd"/>
      <w:r>
        <w:t xml:space="preserve"> účinkom, izolované zo </w:t>
      </w:r>
      <w:proofErr w:type="spellStart"/>
      <w:r>
        <w:rPr>
          <w:i/>
        </w:rPr>
        <w:t>Streptomyces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caespitosus</w:t>
      </w:r>
      <w:proofErr w:type="spellEnd"/>
      <w:r>
        <w:rPr>
          <w:i/>
        </w:rPr>
        <w:t xml:space="preserve">. </w:t>
      </w:r>
      <w:r>
        <w:t>Nachádza sa v</w:t>
      </w:r>
      <w:r w:rsidR="00966BC2">
        <w:t> </w:t>
      </w:r>
      <w:proofErr w:type="spellStart"/>
      <w:r>
        <w:t>inaktívnej</w:t>
      </w:r>
      <w:proofErr w:type="spellEnd"/>
      <w:r>
        <w:t xml:space="preserve"> forme. K</w:t>
      </w:r>
      <w:r w:rsidR="00966BC2">
        <w:t> </w:t>
      </w:r>
      <w:r>
        <w:t xml:space="preserve">aktivácii na </w:t>
      </w:r>
      <w:proofErr w:type="spellStart"/>
      <w:r>
        <w:t>trifunkčnú</w:t>
      </w:r>
      <w:proofErr w:type="spellEnd"/>
      <w:r>
        <w:t xml:space="preserve"> </w:t>
      </w:r>
      <w:proofErr w:type="spellStart"/>
      <w:r>
        <w:t>alkylačnú</w:t>
      </w:r>
      <w:proofErr w:type="spellEnd"/>
      <w:r>
        <w:t xml:space="preserve"> látku dochádza rýchlo buď pri fyziologickej hodnote pH v</w:t>
      </w:r>
      <w:r w:rsidR="00966BC2">
        <w:t> </w:t>
      </w:r>
      <w:r>
        <w:t>prítomnosti NADPH v</w:t>
      </w:r>
      <w:r w:rsidR="00966BC2">
        <w:t> </w:t>
      </w:r>
      <w:r>
        <w:t>sére, alebo intracelulárne, prakticky vo všetkých telesných bunkách s</w:t>
      </w:r>
      <w:r w:rsidR="00966BC2">
        <w:t> </w:t>
      </w:r>
      <w:r>
        <w:t xml:space="preserve">výnimkou mozgu, keďže </w:t>
      </w:r>
      <w:proofErr w:type="spellStart"/>
      <w:r>
        <w:t>mitomycín</w:t>
      </w:r>
      <w:proofErr w:type="spellEnd"/>
      <w:r>
        <w:t xml:space="preserve"> nepre</w:t>
      </w:r>
      <w:r w:rsidR="00B248DE">
        <w:t>konáva</w:t>
      </w:r>
      <w:r>
        <w:t xml:space="preserve"> </w:t>
      </w:r>
      <w:proofErr w:type="spellStart"/>
      <w:r>
        <w:t>hematoencefalick</w:t>
      </w:r>
      <w:r w:rsidR="00B248DE">
        <w:t>ú</w:t>
      </w:r>
      <w:proofErr w:type="spellEnd"/>
      <w:r>
        <w:t xml:space="preserve"> bariéru. </w:t>
      </w:r>
      <w:r w:rsidR="00B248DE">
        <w:t>Všetky t</w:t>
      </w:r>
      <w:r>
        <w:t xml:space="preserve">ri </w:t>
      </w:r>
      <w:proofErr w:type="spellStart"/>
      <w:r>
        <w:t>alkylačné</w:t>
      </w:r>
      <w:proofErr w:type="spellEnd"/>
      <w:r>
        <w:t xml:space="preserve"> radikály </w:t>
      </w:r>
      <w:r w:rsidR="00B248DE">
        <w:t>pochádzajú z</w:t>
      </w:r>
      <w:r w:rsidR="00966BC2">
        <w:t> </w:t>
      </w:r>
      <w:proofErr w:type="spellStart"/>
      <w:r>
        <w:t>chinónovej</w:t>
      </w:r>
      <w:proofErr w:type="spellEnd"/>
      <w:r>
        <w:t xml:space="preserve">, </w:t>
      </w:r>
      <w:proofErr w:type="spellStart"/>
      <w:r>
        <w:t>aziridínovej</w:t>
      </w:r>
      <w:proofErr w:type="spellEnd"/>
      <w:r>
        <w:t xml:space="preserve"> a</w:t>
      </w:r>
      <w:r w:rsidR="00966BC2">
        <w:t> </w:t>
      </w:r>
      <w:proofErr w:type="spellStart"/>
      <w:r>
        <w:t>uretánovej</w:t>
      </w:r>
      <w:proofErr w:type="spellEnd"/>
      <w:r>
        <w:t xml:space="preserve"> skupiny. Mechanizmus účinku sa zakladá prevažne na </w:t>
      </w:r>
      <w:proofErr w:type="spellStart"/>
      <w:r>
        <w:t>alkylácii</w:t>
      </w:r>
      <w:proofErr w:type="spellEnd"/>
      <w:r>
        <w:t xml:space="preserve"> DNA (v menšej miere RNA), so zodpovedajúcou inhibíciou syntézy DNA. Stupeň poškodenia DNA koreluje s</w:t>
      </w:r>
      <w:r w:rsidR="00966BC2">
        <w:t> </w:t>
      </w:r>
      <w:r>
        <w:t>klinickým účinkom a</w:t>
      </w:r>
      <w:r w:rsidR="00966BC2">
        <w:t> </w:t>
      </w:r>
      <w:r>
        <w:t>je nižší u</w:t>
      </w:r>
      <w:r w:rsidR="00966BC2">
        <w:t> </w:t>
      </w:r>
      <w:r>
        <w:t>rezistentných buniek ako u</w:t>
      </w:r>
      <w:r w:rsidR="00966BC2">
        <w:t> </w:t>
      </w:r>
      <w:r>
        <w:t>citlivých buniek. Ako aj v</w:t>
      </w:r>
      <w:r w:rsidR="00966BC2">
        <w:t> </w:t>
      </w:r>
      <w:r>
        <w:t>u</w:t>
      </w:r>
      <w:r w:rsidR="00966BC2">
        <w:t> </w:t>
      </w:r>
      <w:r>
        <w:t xml:space="preserve">iných </w:t>
      </w:r>
      <w:proofErr w:type="spellStart"/>
      <w:r>
        <w:t>alkylačných</w:t>
      </w:r>
      <w:proofErr w:type="spellEnd"/>
      <w:r>
        <w:t xml:space="preserve"> látok, </w:t>
      </w:r>
      <w:proofErr w:type="spellStart"/>
      <w:r>
        <w:t>proliferujúce</w:t>
      </w:r>
      <w:proofErr w:type="spellEnd"/>
      <w:r>
        <w:t xml:space="preserve"> bunky sú poškodené do väčšej miery ako tie, ktoré sú v</w:t>
      </w:r>
      <w:r w:rsidR="00966BC2">
        <w:t> </w:t>
      </w:r>
      <w:proofErr w:type="spellStart"/>
      <w:r>
        <w:t>kľudovej</w:t>
      </w:r>
      <w:proofErr w:type="spellEnd"/>
      <w:r>
        <w:t xml:space="preserve"> fáze (G0) bunkového cyklu. </w:t>
      </w:r>
      <w:r w:rsidR="00B248DE">
        <w:t xml:space="preserve">Dodatočne sa </w:t>
      </w:r>
      <w:r>
        <w:t xml:space="preserve">uvoľňujú voľné peroxidové radikály, </w:t>
      </w:r>
      <w:r w:rsidR="00B248DE">
        <w:t>najmä v</w:t>
      </w:r>
      <w:r w:rsidR="00966BC2">
        <w:t> </w:t>
      </w:r>
      <w:r w:rsidR="00B248DE">
        <w:t xml:space="preserve">prípade vyšších dávok, </w:t>
      </w:r>
      <w:r>
        <w:t>čo vedie k</w:t>
      </w:r>
      <w:r w:rsidR="00966BC2">
        <w:t> </w:t>
      </w:r>
      <w:r>
        <w:t>zlomom v</w:t>
      </w:r>
      <w:r w:rsidR="00966BC2">
        <w:t> </w:t>
      </w:r>
      <w:r>
        <w:t xml:space="preserve">DNA. Uvoľňovanie peroxidových radikálov je </w:t>
      </w:r>
      <w:r w:rsidR="004F6275">
        <w:t xml:space="preserve">spojené </w:t>
      </w:r>
      <w:r>
        <w:t>s</w:t>
      </w:r>
      <w:r w:rsidR="00966BC2">
        <w:t> </w:t>
      </w:r>
      <w:r>
        <w:t xml:space="preserve">orgánovo špecifickou kombináciou </w:t>
      </w:r>
      <w:r w:rsidR="00B248DE">
        <w:t xml:space="preserve">vedľajších </w:t>
      </w:r>
      <w:r>
        <w:t xml:space="preserve">účinkov. </w:t>
      </w:r>
    </w:p>
    <w:p w:rsidR="0064267A" w:rsidRPr="00BE265E" w:rsidRDefault="0064267A" w:rsidP="00BD509C">
      <w:pPr>
        <w:spacing w:before="0" w:after="0" w:line="260" w:lineRule="exact"/>
        <w:jc w:val="left"/>
        <w:rPr>
          <w:bCs/>
          <w:iCs/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5.2</w:t>
      </w:r>
      <w:r>
        <w:tab/>
      </w:r>
      <w:proofErr w:type="spellStart"/>
      <w:r w:rsidR="0064267A">
        <w:t>Farmakokinetické</w:t>
      </w:r>
      <w:proofErr w:type="spellEnd"/>
      <w:r w:rsidR="0064267A">
        <w:t xml:space="preserve"> vlastnosti</w:t>
      </w:r>
    </w:p>
    <w:p w:rsidR="004B1B9C" w:rsidRDefault="004B1B9C" w:rsidP="00BD509C">
      <w:pPr>
        <w:spacing w:before="0" w:after="0" w:line="260" w:lineRule="exact"/>
        <w:jc w:val="left"/>
        <w:rPr>
          <w:iCs/>
          <w:noProof/>
        </w:rPr>
      </w:pPr>
    </w:p>
    <w:p w:rsidR="0030611B" w:rsidRDefault="00F63597" w:rsidP="00720D00">
      <w:pPr>
        <w:keepNext/>
        <w:keepLines/>
        <w:spacing w:before="0" w:after="0"/>
        <w:jc w:val="left"/>
        <w:rPr>
          <w:iCs/>
          <w:noProof/>
          <w:u w:val="single"/>
        </w:rPr>
      </w:pPr>
      <w:r w:rsidRPr="002A4C9B">
        <w:rPr>
          <w:iCs/>
          <w:noProof/>
          <w:u w:val="single"/>
        </w:rPr>
        <w:lastRenderedPageBreak/>
        <w:t>Absorp</w:t>
      </w:r>
      <w:r w:rsidR="00E206E4">
        <w:rPr>
          <w:iCs/>
          <w:noProof/>
          <w:u w:val="single"/>
        </w:rPr>
        <w:t>cia</w:t>
      </w:r>
    </w:p>
    <w:p w:rsidR="0030611B" w:rsidRDefault="0030611B" w:rsidP="00720D00">
      <w:pPr>
        <w:keepNext/>
        <w:keepLines/>
        <w:spacing w:before="0" w:after="0"/>
        <w:jc w:val="left"/>
        <w:rPr>
          <w:iCs/>
          <w:noProof/>
          <w:u w:val="single"/>
        </w:rPr>
      </w:pPr>
    </w:p>
    <w:p w:rsidR="00F63597" w:rsidRPr="002A4C9B" w:rsidRDefault="00E206E4" w:rsidP="00F63597">
      <w:pPr>
        <w:keepNext/>
        <w:keepLines/>
        <w:spacing w:before="0" w:after="0"/>
        <w:jc w:val="left"/>
        <w:rPr>
          <w:szCs w:val="22"/>
        </w:rPr>
      </w:pPr>
      <w:r>
        <w:rPr>
          <w:szCs w:val="22"/>
        </w:rPr>
        <w:t>Po</w:t>
      </w:r>
      <w:r w:rsidR="00F63597" w:rsidRPr="002A4C9B">
        <w:rPr>
          <w:szCs w:val="22"/>
        </w:rPr>
        <w:t xml:space="preserve"> </w:t>
      </w:r>
      <w:proofErr w:type="spellStart"/>
      <w:r w:rsidR="00F63597" w:rsidRPr="002A4C9B">
        <w:rPr>
          <w:szCs w:val="22"/>
        </w:rPr>
        <w:t>intrave</w:t>
      </w:r>
      <w:r>
        <w:rPr>
          <w:szCs w:val="22"/>
        </w:rPr>
        <w:t>zikálnom</w:t>
      </w:r>
      <w:proofErr w:type="spellEnd"/>
      <w:r>
        <w:rPr>
          <w:szCs w:val="22"/>
        </w:rPr>
        <w:t xml:space="preserve"> podaní sa len malá časť </w:t>
      </w:r>
      <w:proofErr w:type="spellStart"/>
      <w:r w:rsidR="00F63597">
        <w:rPr>
          <w:szCs w:val="22"/>
        </w:rPr>
        <w:t>m</w:t>
      </w:r>
      <w:r w:rsidR="00F63597" w:rsidRPr="002A4C9B">
        <w:rPr>
          <w:szCs w:val="22"/>
        </w:rPr>
        <w:t>itomyc</w:t>
      </w:r>
      <w:r>
        <w:rPr>
          <w:szCs w:val="22"/>
        </w:rPr>
        <w:t>ínu</w:t>
      </w:r>
      <w:proofErr w:type="spellEnd"/>
      <w:r>
        <w:rPr>
          <w:szCs w:val="22"/>
        </w:rPr>
        <w:t xml:space="preserve"> dostane do séra. </w:t>
      </w:r>
      <w:r w:rsidR="00F63597">
        <w:rPr>
          <w:szCs w:val="22"/>
        </w:rPr>
        <w:t>Maxim</w:t>
      </w:r>
      <w:r>
        <w:rPr>
          <w:szCs w:val="22"/>
        </w:rPr>
        <w:t>álne</w:t>
      </w:r>
      <w:r w:rsidR="00F63597" w:rsidRPr="002A4C9B">
        <w:rPr>
          <w:szCs w:val="22"/>
        </w:rPr>
        <w:t xml:space="preserve"> pla</w:t>
      </w:r>
      <w:r>
        <w:rPr>
          <w:szCs w:val="22"/>
        </w:rPr>
        <w:t>z</w:t>
      </w:r>
      <w:r w:rsidR="00F63597" w:rsidRPr="002A4C9B">
        <w:rPr>
          <w:szCs w:val="22"/>
        </w:rPr>
        <w:t>ma</w:t>
      </w:r>
      <w:r>
        <w:rPr>
          <w:szCs w:val="22"/>
        </w:rPr>
        <w:t>tické hladiny</w:t>
      </w:r>
      <w:r w:rsidR="00F63597" w:rsidRPr="002A4C9B">
        <w:rPr>
          <w:szCs w:val="22"/>
        </w:rPr>
        <w:t xml:space="preserve"> </w:t>
      </w:r>
      <w:r w:rsidR="00F63597">
        <w:rPr>
          <w:szCs w:val="22"/>
        </w:rPr>
        <w:t>0</w:t>
      </w:r>
      <w:r>
        <w:rPr>
          <w:szCs w:val="22"/>
        </w:rPr>
        <w:t>,</w:t>
      </w:r>
      <w:r w:rsidR="00F63597">
        <w:rPr>
          <w:szCs w:val="22"/>
        </w:rPr>
        <w:t>0</w:t>
      </w:r>
      <w:r w:rsidR="00F63597" w:rsidRPr="002A4C9B">
        <w:rPr>
          <w:szCs w:val="22"/>
        </w:rPr>
        <w:t>5</w:t>
      </w:r>
      <w:r w:rsidR="005A0B44">
        <w:rPr>
          <w:szCs w:val="22"/>
        </w:rPr>
        <w:t> </w:t>
      </w:r>
      <w:r w:rsidR="00F63597">
        <w:rPr>
          <w:szCs w:val="22"/>
        </w:rPr>
        <w:t>µ</w:t>
      </w:r>
      <w:r w:rsidR="00F63597" w:rsidRPr="002A4C9B">
        <w:rPr>
          <w:szCs w:val="22"/>
        </w:rPr>
        <w:t>g/m</w:t>
      </w:r>
      <w:r>
        <w:rPr>
          <w:szCs w:val="22"/>
        </w:rPr>
        <w:t>l</w:t>
      </w:r>
      <w:r w:rsidR="00F63597" w:rsidRPr="002A4C9B">
        <w:rPr>
          <w:szCs w:val="22"/>
        </w:rPr>
        <w:t xml:space="preserve"> </w:t>
      </w:r>
      <w:r>
        <w:rPr>
          <w:szCs w:val="22"/>
        </w:rPr>
        <w:t xml:space="preserve">sa zistili </w:t>
      </w:r>
      <w:r w:rsidR="00F63597" w:rsidRPr="002A4C9B">
        <w:rPr>
          <w:szCs w:val="22"/>
        </w:rPr>
        <w:t>40 min</w:t>
      </w:r>
      <w:r>
        <w:rPr>
          <w:szCs w:val="22"/>
        </w:rPr>
        <w:t xml:space="preserve">út po </w:t>
      </w:r>
      <w:proofErr w:type="spellStart"/>
      <w:r w:rsidR="00F63597">
        <w:rPr>
          <w:szCs w:val="22"/>
        </w:rPr>
        <w:t>intrave</w:t>
      </w:r>
      <w:r>
        <w:rPr>
          <w:szCs w:val="22"/>
        </w:rPr>
        <w:t>zikálnej</w:t>
      </w:r>
      <w:proofErr w:type="spellEnd"/>
      <w:r>
        <w:rPr>
          <w:szCs w:val="22"/>
        </w:rPr>
        <w:t xml:space="preserve"> </w:t>
      </w:r>
      <w:proofErr w:type="spellStart"/>
      <w:r w:rsidR="00F63597" w:rsidRPr="002A4C9B">
        <w:rPr>
          <w:szCs w:val="22"/>
        </w:rPr>
        <w:t>instil</w:t>
      </w:r>
      <w:r>
        <w:rPr>
          <w:szCs w:val="22"/>
        </w:rPr>
        <w:t>ácii</w:t>
      </w:r>
      <w:proofErr w:type="spellEnd"/>
      <w:r w:rsidR="00F63597">
        <w:rPr>
          <w:szCs w:val="22"/>
        </w:rPr>
        <w:t xml:space="preserve"> 40</w:t>
      </w:r>
      <w:r w:rsidR="005A0B44">
        <w:rPr>
          <w:szCs w:val="22"/>
        </w:rPr>
        <w:t> </w:t>
      </w:r>
      <w:r w:rsidR="00F63597">
        <w:rPr>
          <w:szCs w:val="22"/>
        </w:rPr>
        <w:t xml:space="preserve">mg </w:t>
      </w:r>
      <w:proofErr w:type="spellStart"/>
      <w:r w:rsidR="00F63597">
        <w:rPr>
          <w:szCs w:val="22"/>
        </w:rPr>
        <w:t>mitomyc</w:t>
      </w:r>
      <w:r>
        <w:rPr>
          <w:szCs w:val="22"/>
        </w:rPr>
        <w:t>ínu</w:t>
      </w:r>
      <w:proofErr w:type="spellEnd"/>
      <w:r>
        <w:rPr>
          <w:szCs w:val="22"/>
        </w:rPr>
        <w:t xml:space="preserve">. To je výrazne nižšia hladina ako </w:t>
      </w:r>
      <w:r w:rsidR="00F63597">
        <w:rPr>
          <w:szCs w:val="22"/>
        </w:rPr>
        <w:t>0</w:t>
      </w:r>
      <w:r>
        <w:rPr>
          <w:szCs w:val="22"/>
        </w:rPr>
        <w:t>,</w:t>
      </w:r>
      <w:r w:rsidR="00F63597" w:rsidRPr="002A4C9B">
        <w:rPr>
          <w:szCs w:val="22"/>
        </w:rPr>
        <w:t>4</w:t>
      </w:r>
      <w:r w:rsidR="005A0B44">
        <w:rPr>
          <w:szCs w:val="22"/>
        </w:rPr>
        <w:t> </w:t>
      </w:r>
      <w:r w:rsidR="00F63597">
        <w:rPr>
          <w:szCs w:val="22"/>
        </w:rPr>
        <w:t>µ</w:t>
      </w:r>
      <w:r w:rsidR="00F63597" w:rsidRPr="002A4C9B">
        <w:rPr>
          <w:szCs w:val="22"/>
        </w:rPr>
        <w:t>g/m</w:t>
      </w:r>
      <w:r>
        <w:rPr>
          <w:szCs w:val="22"/>
        </w:rPr>
        <w:t>l</w:t>
      </w:r>
      <w:r w:rsidR="00F63597" w:rsidRPr="002A4C9B">
        <w:rPr>
          <w:szCs w:val="22"/>
        </w:rPr>
        <w:t xml:space="preserve"> </w:t>
      </w:r>
      <w:proofErr w:type="spellStart"/>
      <w:r w:rsidR="00F63597" w:rsidRPr="002A4C9B">
        <w:rPr>
          <w:szCs w:val="22"/>
        </w:rPr>
        <w:t>mitomyc</w:t>
      </w:r>
      <w:r>
        <w:rPr>
          <w:szCs w:val="22"/>
        </w:rPr>
        <w:t>ínu</w:t>
      </w:r>
      <w:proofErr w:type="spellEnd"/>
      <w:r>
        <w:rPr>
          <w:szCs w:val="22"/>
        </w:rPr>
        <w:t xml:space="preserve"> v</w:t>
      </w:r>
      <w:r w:rsidR="00966BC2">
        <w:rPr>
          <w:szCs w:val="22"/>
        </w:rPr>
        <w:t> </w:t>
      </w:r>
      <w:r>
        <w:rPr>
          <w:szCs w:val="22"/>
        </w:rPr>
        <w:t>sére, v</w:t>
      </w:r>
      <w:r w:rsidR="00966BC2">
        <w:rPr>
          <w:szCs w:val="22"/>
        </w:rPr>
        <w:t> </w:t>
      </w:r>
      <w:r>
        <w:rPr>
          <w:szCs w:val="22"/>
        </w:rPr>
        <w:t xml:space="preserve">prípade ktorej je známe, že spôsobuje </w:t>
      </w:r>
      <w:proofErr w:type="spellStart"/>
      <w:r w:rsidR="00F63597" w:rsidRPr="002A4C9B">
        <w:rPr>
          <w:szCs w:val="22"/>
        </w:rPr>
        <w:t>myelo</w:t>
      </w:r>
      <w:r w:rsidR="00F63597">
        <w:rPr>
          <w:szCs w:val="22"/>
        </w:rPr>
        <w:t>sup</w:t>
      </w:r>
      <w:r>
        <w:rPr>
          <w:szCs w:val="22"/>
        </w:rPr>
        <w:t>resiu</w:t>
      </w:r>
      <w:proofErr w:type="spellEnd"/>
      <w:r>
        <w:rPr>
          <w:szCs w:val="22"/>
        </w:rPr>
        <w:t>. S</w:t>
      </w:r>
      <w:r w:rsidR="00F63597" w:rsidRPr="002A4C9B">
        <w:rPr>
          <w:szCs w:val="22"/>
        </w:rPr>
        <w:t>yst</w:t>
      </w:r>
      <w:r>
        <w:rPr>
          <w:szCs w:val="22"/>
        </w:rPr>
        <w:t>émový účinok sa však nedá úplne vylúčiť</w:t>
      </w:r>
      <w:r w:rsidR="00F63597" w:rsidRPr="002A4C9B">
        <w:rPr>
          <w:szCs w:val="22"/>
        </w:rPr>
        <w:t>.</w:t>
      </w:r>
    </w:p>
    <w:p w:rsidR="00F63597" w:rsidRPr="002A4C9B" w:rsidRDefault="00F63597" w:rsidP="00F63597">
      <w:pPr>
        <w:spacing w:before="0" w:after="0"/>
        <w:jc w:val="left"/>
        <w:rPr>
          <w:iCs/>
          <w:noProof/>
        </w:rPr>
      </w:pPr>
    </w:p>
    <w:p w:rsidR="00F63597" w:rsidRPr="002A4C9B" w:rsidRDefault="00E206E4" w:rsidP="00F63597">
      <w:pPr>
        <w:spacing w:before="0" w:after="0"/>
        <w:jc w:val="left"/>
        <w:rPr>
          <w:szCs w:val="22"/>
        </w:rPr>
      </w:pPr>
      <w:r>
        <w:rPr>
          <w:iCs/>
          <w:noProof/>
        </w:rPr>
        <w:t xml:space="preserve">Po </w:t>
      </w:r>
      <w:r w:rsidR="00F63597" w:rsidRPr="002A4C9B">
        <w:rPr>
          <w:iCs/>
          <w:noProof/>
        </w:rPr>
        <w:t>intraven</w:t>
      </w:r>
      <w:r>
        <w:rPr>
          <w:iCs/>
          <w:noProof/>
        </w:rPr>
        <w:t>óznom podaní mitomycínu v</w:t>
      </w:r>
      <w:r w:rsidR="00966BC2">
        <w:rPr>
          <w:iCs/>
          <w:noProof/>
        </w:rPr>
        <w:t> </w:t>
      </w:r>
      <w:r>
        <w:rPr>
          <w:iCs/>
          <w:noProof/>
        </w:rPr>
        <w:t>dávke 1</w:t>
      </w:r>
      <w:r w:rsidR="00F63597" w:rsidRPr="002A4C9B">
        <w:rPr>
          <w:iCs/>
          <w:noProof/>
        </w:rPr>
        <w:t>0</w:t>
      </w:r>
      <w:r>
        <w:rPr>
          <w:iCs/>
          <w:noProof/>
        </w:rPr>
        <w:t xml:space="preserve"> – </w:t>
      </w:r>
      <w:r w:rsidR="00F63597" w:rsidRPr="002A4C9B">
        <w:rPr>
          <w:iCs/>
          <w:noProof/>
        </w:rPr>
        <w:t>20 mg/m²</w:t>
      </w:r>
      <w:r>
        <w:rPr>
          <w:iCs/>
          <w:noProof/>
        </w:rPr>
        <w:t xml:space="preserve"> sa zistili maximálne</w:t>
      </w:r>
      <w:r w:rsidR="00F63597" w:rsidRPr="002A4C9B">
        <w:rPr>
          <w:iCs/>
          <w:noProof/>
        </w:rPr>
        <w:t xml:space="preserve"> pla</w:t>
      </w:r>
      <w:r>
        <w:rPr>
          <w:iCs/>
          <w:noProof/>
        </w:rPr>
        <w:t>z</w:t>
      </w:r>
      <w:r w:rsidR="00F63597" w:rsidRPr="002A4C9B">
        <w:rPr>
          <w:iCs/>
          <w:noProof/>
        </w:rPr>
        <w:t>ma</w:t>
      </w:r>
      <w:r>
        <w:rPr>
          <w:iCs/>
          <w:noProof/>
        </w:rPr>
        <w:t xml:space="preserve">tické hladiny </w:t>
      </w:r>
      <w:r w:rsidR="00F63597" w:rsidRPr="002A4C9B">
        <w:rPr>
          <w:iCs/>
          <w:noProof/>
        </w:rPr>
        <w:t>0</w:t>
      </w:r>
      <w:r>
        <w:rPr>
          <w:iCs/>
          <w:noProof/>
        </w:rPr>
        <w:t>,</w:t>
      </w:r>
      <w:r w:rsidR="00F63597" w:rsidRPr="002A4C9B">
        <w:rPr>
          <w:iCs/>
          <w:noProof/>
        </w:rPr>
        <w:t>4</w:t>
      </w:r>
      <w:r>
        <w:rPr>
          <w:iCs/>
          <w:noProof/>
        </w:rPr>
        <w:t xml:space="preserve"> – </w:t>
      </w:r>
      <w:r w:rsidR="00F63597" w:rsidRPr="002A4C9B">
        <w:rPr>
          <w:iCs/>
          <w:noProof/>
        </w:rPr>
        <w:t>3</w:t>
      </w:r>
      <w:r>
        <w:rPr>
          <w:iCs/>
          <w:noProof/>
        </w:rPr>
        <w:t>,</w:t>
      </w:r>
      <w:r w:rsidR="00F63597" w:rsidRPr="002A4C9B">
        <w:rPr>
          <w:iCs/>
          <w:noProof/>
        </w:rPr>
        <w:t>2 μg/m</w:t>
      </w:r>
      <w:r>
        <w:rPr>
          <w:iCs/>
          <w:noProof/>
        </w:rPr>
        <w:t>l</w:t>
      </w:r>
      <w:r w:rsidR="00F63597" w:rsidRPr="002A4C9B">
        <w:rPr>
          <w:iCs/>
          <w:noProof/>
        </w:rPr>
        <w:t>.</w:t>
      </w:r>
    </w:p>
    <w:p w:rsidR="00F63597" w:rsidRPr="002A4C9B" w:rsidRDefault="00F63597" w:rsidP="00F63597">
      <w:pPr>
        <w:spacing w:before="0" w:after="0"/>
        <w:jc w:val="left"/>
        <w:rPr>
          <w:iCs/>
          <w:noProof/>
          <w:u w:val="single"/>
        </w:rPr>
      </w:pPr>
    </w:p>
    <w:p w:rsidR="00F63597" w:rsidRDefault="00F63597" w:rsidP="00F63597">
      <w:pPr>
        <w:spacing w:before="0" w:after="0"/>
        <w:jc w:val="left"/>
        <w:rPr>
          <w:iCs/>
          <w:noProof/>
          <w:u w:val="single"/>
        </w:rPr>
      </w:pPr>
      <w:r w:rsidRPr="002A4C9B">
        <w:rPr>
          <w:iCs/>
          <w:noProof/>
          <w:u w:val="single"/>
        </w:rPr>
        <w:t>Distrib</w:t>
      </w:r>
      <w:r w:rsidR="00E206E4">
        <w:rPr>
          <w:iCs/>
          <w:noProof/>
          <w:u w:val="single"/>
        </w:rPr>
        <w:t>úcia</w:t>
      </w:r>
    </w:p>
    <w:p w:rsidR="00F63597" w:rsidRPr="002A4C9B" w:rsidRDefault="00F63597" w:rsidP="00F63597">
      <w:pPr>
        <w:spacing w:before="0" w:after="0"/>
        <w:jc w:val="left"/>
        <w:rPr>
          <w:iCs/>
          <w:noProof/>
          <w:u w:val="single"/>
        </w:rPr>
      </w:pPr>
    </w:p>
    <w:p w:rsidR="00F63597" w:rsidRPr="0086697F" w:rsidRDefault="00E206E4" w:rsidP="00F63597">
      <w:pPr>
        <w:spacing w:before="0" w:after="0"/>
        <w:jc w:val="left"/>
        <w:rPr>
          <w:iCs/>
          <w:noProof/>
        </w:rPr>
      </w:pPr>
      <w:r>
        <w:rPr>
          <w:iCs/>
          <w:noProof/>
        </w:rPr>
        <w:t>B</w:t>
      </w:r>
      <w:r w:rsidR="00F63597" w:rsidRPr="0086697F">
        <w:rPr>
          <w:iCs/>
          <w:noProof/>
        </w:rPr>
        <w:t>iologic</w:t>
      </w:r>
      <w:r>
        <w:rPr>
          <w:iCs/>
          <w:noProof/>
        </w:rPr>
        <w:t xml:space="preserve">ký polčas je krátky, </w:t>
      </w:r>
      <w:r w:rsidR="00F63597" w:rsidRPr="0086697F">
        <w:rPr>
          <w:iCs/>
          <w:noProof/>
        </w:rPr>
        <w:t>40</w:t>
      </w:r>
      <w:r w:rsidR="005A0B44">
        <w:rPr>
          <w:iCs/>
          <w:noProof/>
        </w:rPr>
        <w:t> </w:t>
      </w:r>
      <w:r>
        <w:rPr>
          <w:iCs/>
          <w:noProof/>
        </w:rPr>
        <w:t>až</w:t>
      </w:r>
      <w:r w:rsidR="00F63597" w:rsidRPr="0086697F">
        <w:rPr>
          <w:iCs/>
          <w:noProof/>
        </w:rPr>
        <w:t xml:space="preserve"> 50 min</w:t>
      </w:r>
      <w:r>
        <w:rPr>
          <w:iCs/>
          <w:noProof/>
        </w:rPr>
        <w:t>ú</w:t>
      </w:r>
      <w:r w:rsidR="00F63597" w:rsidRPr="0086697F">
        <w:rPr>
          <w:iCs/>
          <w:noProof/>
        </w:rPr>
        <w:t>t</w:t>
      </w:r>
      <w:r>
        <w:rPr>
          <w:iCs/>
          <w:noProof/>
        </w:rPr>
        <w:t xml:space="preserve">. Sérové hladiny klesajú </w:t>
      </w:r>
      <w:r w:rsidR="00F63597" w:rsidRPr="0086697F">
        <w:rPr>
          <w:iCs/>
          <w:noProof/>
        </w:rPr>
        <w:t>biexponen</w:t>
      </w:r>
      <w:r>
        <w:rPr>
          <w:iCs/>
          <w:noProof/>
        </w:rPr>
        <w:t>ciálne</w:t>
      </w:r>
      <w:r w:rsidR="001229A3">
        <w:rPr>
          <w:iCs/>
          <w:noProof/>
        </w:rPr>
        <w:t>,</w:t>
      </w:r>
      <w:r>
        <w:rPr>
          <w:iCs/>
          <w:noProof/>
        </w:rPr>
        <w:t xml:space="preserve"> prudko do prvých </w:t>
      </w:r>
      <w:r w:rsidR="00F63597" w:rsidRPr="0086697F">
        <w:rPr>
          <w:iCs/>
          <w:noProof/>
        </w:rPr>
        <w:t>45 min</w:t>
      </w:r>
      <w:r>
        <w:rPr>
          <w:iCs/>
          <w:noProof/>
        </w:rPr>
        <w:t>út a</w:t>
      </w:r>
      <w:r w:rsidR="00966BC2">
        <w:rPr>
          <w:iCs/>
          <w:noProof/>
        </w:rPr>
        <w:t> </w:t>
      </w:r>
      <w:r>
        <w:rPr>
          <w:iCs/>
          <w:noProof/>
        </w:rPr>
        <w:t>potom klesajú pomalšie</w:t>
      </w:r>
      <w:r w:rsidR="00F63597" w:rsidRPr="0086697F">
        <w:rPr>
          <w:iCs/>
          <w:noProof/>
        </w:rPr>
        <w:t xml:space="preserve">. </w:t>
      </w:r>
    </w:p>
    <w:p w:rsidR="00F63597" w:rsidRPr="0086697F" w:rsidRDefault="00E206E4" w:rsidP="00F63597">
      <w:pPr>
        <w:spacing w:before="0" w:after="0"/>
        <w:jc w:val="left"/>
        <w:rPr>
          <w:iCs/>
          <w:noProof/>
        </w:rPr>
      </w:pPr>
      <w:r>
        <w:rPr>
          <w:iCs/>
          <w:noProof/>
        </w:rPr>
        <w:t xml:space="preserve">Po približne </w:t>
      </w:r>
      <w:r w:rsidR="00F63597" w:rsidRPr="0086697F">
        <w:rPr>
          <w:iCs/>
          <w:noProof/>
        </w:rPr>
        <w:t>3 ho</w:t>
      </w:r>
      <w:r>
        <w:rPr>
          <w:iCs/>
          <w:noProof/>
        </w:rPr>
        <w:t xml:space="preserve">dinách sú sérové hladiny zvyčajne nižšie ako limit </w:t>
      </w:r>
      <w:r w:rsidR="00F63597" w:rsidRPr="0086697F">
        <w:rPr>
          <w:iCs/>
          <w:noProof/>
        </w:rPr>
        <w:t>dete</w:t>
      </w:r>
      <w:r>
        <w:rPr>
          <w:iCs/>
          <w:noProof/>
        </w:rPr>
        <w:t>kcie</w:t>
      </w:r>
      <w:r w:rsidR="00F63597" w:rsidRPr="0086697F">
        <w:rPr>
          <w:iCs/>
          <w:noProof/>
        </w:rPr>
        <w:t>.</w:t>
      </w:r>
    </w:p>
    <w:p w:rsidR="00F63597" w:rsidRPr="002A4C9B" w:rsidRDefault="00F63597" w:rsidP="00F63597">
      <w:pPr>
        <w:spacing w:before="0" w:after="0"/>
        <w:jc w:val="left"/>
        <w:rPr>
          <w:iCs/>
          <w:noProof/>
          <w:u w:val="single"/>
        </w:rPr>
      </w:pPr>
    </w:p>
    <w:p w:rsidR="00F63597" w:rsidRDefault="00F63597" w:rsidP="00F63597">
      <w:pPr>
        <w:spacing w:before="0" w:after="0"/>
        <w:jc w:val="left"/>
        <w:rPr>
          <w:iCs/>
          <w:noProof/>
          <w:u w:val="single"/>
        </w:rPr>
      </w:pPr>
      <w:r w:rsidRPr="002A4C9B">
        <w:rPr>
          <w:iCs/>
          <w:noProof/>
          <w:u w:val="single"/>
        </w:rPr>
        <w:t>Biotransform</w:t>
      </w:r>
      <w:r w:rsidR="00E206E4">
        <w:rPr>
          <w:iCs/>
          <w:noProof/>
          <w:u w:val="single"/>
        </w:rPr>
        <w:t xml:space="preserve">ácia </w:t>
      </w:r>
      <w:r>
        <w:rPr>
          <w:iCs/>
          <w:noProof/>
          <w:u w:val="single"/>
        </w:rPr>
        <w:t>a</w:t>
      </w:r>
      <w:r w:rsidR="00966BC2">
        <w:rPr>
          <w:iCs/>
          <w:noProof/>
          <w:u w:val="single"/>
        </w:rPr>
        <w:t> </w:t>
      </w:r>
      <w:r>
        <w:rPr>
          <w:iCs/>
          <w:noProof/>
          <w:u w:val="single"/>
        </w:rPr>
        <w:t>elimin</w:t>
      </w:r>
      <w:r w:rsidR="00E206E4">
        <w:rPr>
          <w:iCs/>
          <w:noProof/>
          <w:u w:val="single"/>
        </w:rPr>
        <w:t>ácia</w:t>
      </w:r>
    </w:p>
    <w:p w:rsidR="00F63597" w:rsidRPr="002A4C9B" w:rsidRDefault="00F63597" w:rsidP="00F63597">
      <w:pPr>
        <w:spacing w:before="0" w:after="0"/>
        <w:jc w:val="left"/>
        <w:rPr>
          <w:iCs/>
          <w:noProof/>
          <w:u w:val="single"/>
        </w:rPr>
      </w:pPr>
    </w:p>
    <w:p w:rsidR="004E03B8" w:rsidRPr="00F25D73" w:rsidRDefault="00E206E4" w:rsidP="00F25D73">
      <w:pPr>
        <w:spacing w:before="0" w:after="0" w:line="260" w:lineRule="exact"/>
        <w:jc w:val="left"/>
        <w:rPr>
          <w:iCs/>
          <w:noProof/>
        </w:rPr>
      </w:pPr>
      <w:r>
        <w:rPr>
          <w:szCs w:val="22"/>
        </w:rPr>
        <w:t>Hlavn</w:t>
      </w:r>
      <w:r w:rsidR="001229A3">
        <w:rPr>
          <w:szCs w:val="22"/>
        </w:rPr>
        <w:t>ým</w:t>
      </w:r>
      <w:r>
        <w:rPr>
          <w:szCs w:val="22"/>
        </w:rPr>
        <w:t xml:space="preserve"> miesto</w:t>
      </w:r>
      <w:r w:rsidR="001229A3">
        <w:rPr>
          <w:szCs w:val="22"/>
        </w:rPr>
        <w:t>m</w:t>
      </w:r>
      <w:r w:rsidR="00F63597" w:rsidRPr="002A4C9B">
        <w:rPr>
          <w:szCs w:val="22"/>
        </w:rPr>
        <w:t xml:space="preserve"> metaboli</w:t>
      </w:r>
      <w:r>
        <w:rPr>
          <w:szCs w:val="22"/>
        </w:rPr>
        <w:t>zmu</w:t>
      </w:r>
      <w:r w:rsidR="00F63597" w:rsidRPr="002A4C9B">
        <w:rPr>
          <w:szCs w:val="22"/>
        </w:rPr>
        <w:t xml:space="preserve"> a</w:t>
      </w:r>
      <w:r w:rsidR="00966BC2">
        <w:rPr>
          <w:szCs w:val="22"/>
        </w:rPr>
        <w:t> </w:t>
      </w:r>
      <w:r w:rsidR="00F63597" w:rsidRPr="002A4C9B">
        <w:rPr>
          <w:szCs w:val="22"/>
        </w:rPr>
        <w:t>elimin</w:t>
      </w:r>
      <w:r>
        <w:rPr>
          <w:szCs w:val="22"/>
        </w:rPr>
        <w:t>ácie po</w:t>
      </w:r>
      <w:r w:rsidR="00F63597">
        <w:rPr>
          <w:szCs w:val="22"/>
        </w:rPr>
        <w:t xml:space="preserve"> syst</w:t>
      </w:r>
      <w:r>
        <w:rPr>
          <w:szCs w:val="22"/>
        </w:rPr>
        <w:t xml:space="preserve">émovom podaní je pečeň. </w:t>
      </w:r>
      <w:r w:rsidR="001229A3">
        <w:rPr>
          <w:szCs w:val="22"/>
        </w:rPr>
        <w:t>Preto</w:t>
      </w:r>
      <w:r>
        <w:rPr>
          <w:szCs w:val="22"/>
        </w:rPr>
        <w:t xml:space="preserve"> sa vysoké k</w:t>
      </w:r>
      <w:r w:rsidR="00F63597" w:rsidRPr="002A4C9B">
        <w:rPr>
          <w:szCs w:val="22"/>
        </w:rPr>
        <w:t>oncentr</w:t>
      </w:r>
      <w:r>
        <w:rPr>
          <w:szCs w:val="22"/>
        </w:rPr>
        <w:t xml:space="preserve">ácie </w:t>
      </w:r>
      <w:proofErr w:type="spellStart"/>
      <w:r w:rsidR="00F63597" w:rsidRPr="002A4C9B">
        <w:rPr>
          <w:szCs w:val="22"/>
        </w:rPr>
        <w:t>mitomyc</w:t>
      </w:r>
      <w:r>
        <w:rPr>
          <w:szCs w:val="22"/>
        </w:rPr>
        <w:t>ínu</w:t>
      </w:r>
      <w:proofErr w:type="spellEnd"/>
      <w:r>
        <w:rPr>
          <w:szCs w:val="22"/>
        </w:rPr>
        <w:t xml:space="preserve"> zistili v</w:t>
      </w:r>
      <w:r w:rsidR="00966BC2">
        <w:rPr>
          <w:szCs w:val="22"/>
        </w:rPr>
        <w:t> </w:t>
      </w:r>
      <w:r>
        <w:rPr>
          <w:szCs w:val="22"/>
        </w:rPr>
        <w:t>žlčníku. Pokiaľ ide o</w:t>
      </w:r>
      <w:r w:rsidR="00966BC2">
        <w:rPr>
          <w:szCs w:val="22"/>
        </w:rPr>
        <w:t> </w:t>
      </w:r>
      <w:r w:rsidR="00F63597" w:rsidRPr="002A4C9B">
        <w:rPr>
          <w:szCs w:val="22"/>
        </w:rPr>
        <w:t>elimin</w:t>
      </w:r>
      <w:r>
        <w:rPr>
          <w:szCs w:val="22"/>
        </w:rPr>
        <w:t>áciu, r</w:t>
      </w:r>
      <w:r w:rsidRPr="002A4C9B">
        <w:rPr>
          <w:szCs w:val="22"/>
        </w:rPr>
        <w:t>en</w:t>
      </w:r>
      <w:r>
        <w:rPr>
          <w:szCs w:val="22"/>
        </w:rPr>
        <w:t>álna</w:t>
      </w:r>
      <w:r w:rsidRPr="002A4C9B">
        <w:rPr>
          <w:szCs w:val="22"/>
        </w:rPr>
        <w:t xml:space="preserve"> ex</w:t>
      </w:r>
      <w:r>
        <w:rPr>
          <w:szCs w:val="22"/>
        </w:rPr>
        <w:t>krécia hrá len malú úlohu</w:t>
      </w:r>
      <w:r w:rsidR="00F63597" w:rsidRPr="002A4C9B">
        <w:rPr>
          <w:szCs w:val="22"/>
        </w:rPr>
        <w:t>.</w:t>
      </w:r>
    </w:p>
    <w:p w:rsidR="00425B18" w:rsidRPr="00BE265E" w:rsidRDefault="00425B18" w:rsidP="00BD509C">
      <w:pPr>
        <w:spacing w:before="0" w:after="0" w:line="260" w:lineRule="exact"/>
        <w:jc w:val="left"/>
        <w:rPr>
          <w:iCs/>
          <w:noProof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5.3</w:t>
      </w:r>
      <w:r>
        <w:tab/>
      </w:r>
      <w:r w:rsidR="0064267A">
        <w:t>Predklinické údaje o</w:t>
      </w:r>
      <w:r>
        <w:t> </w:t>
      </w:r>
      <w:r w:rsidR="0064267A">
        <w:t>bezpečnosti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425B18" w:rsidP="00BD509C">
      <w:pPr>
        <w:spacing w:before="0" w:after="0" w:line="260" w:lineRule="exact"/>
        <w:jc w:val="left"/>
        <w:rPr>
          <w:noProof/>
        </w:rPr>
      </w:pPr>
      <w:r>
        <w:t>V</w:t>
      </w:r>
      <w:r w:rsidR="00966BC2">
        <w:t> </w:t>
      </w:r>
      <w:r>
        <w:t>štúdiách na zvieratách mal mitomycín toxický účinok na všetky proliferujúce tkanivá, predovšetkým na bunky kostnej drene a</w:t>
      </w:r>
      <w:r w:rsidR="00966BC2">
        <w:t> </w:t>
      </w:r>
      <w:proofErr w:type="spellStart"/>
      <w:r>
        <w:t>gastrointestinálnej</w:t>
      </w:r>
      <w:proofErr w:type="spellEnd"/>
      <w:r>
        <w:t xml:space="preserve"> sliznice, a</w:t>
      </w:r>
      <w:r w:rsidR="00966BC2">
        <w:t> </w:t>
      </w:r>
      <w:proofErr w:type="spellStart"/>
      <w:r>
        <w:t>spermatogenéza</w:t>
      </w:r>
      <w:proofErr w:type="spellEnd"/>
      <w:r>
        <w:t xml:space="preserve"> bola inhibovaná. </w:t>
      </w:r>
    </w:p>
    <w:p w:rsidR="00687BA1" w:rsidRPr="00BE265E" w:rsidRDefault="00425B18" w:rsidP="00BD509C">
      <w:pPr>
        <w:spacing w:before="0" w:after="0" w:line="260" w:lineRule="exact"/>
        <w:jc w:val="left"/>
        <w:rPr>
          <w:noProof/>
        </w:rPr>
      </w:pPr>
      <w:r>
        <w:t>Mitomycín má mutagénne, karcinogénne a</w:t>
      </w:r>
      <w:r w:rsidR="00966BC2">
        <w:t> </w:t>
      </w:r>
      <w:proofErr w:type="spellStart"/>
      <w:r>
        <w:t>teratogénne</w:t>
      </w:r>
      <w:proofErr w:type="spellEnd"/>
      <w:r>
        <w:t xml:space="preserve"> vlastnosti, ktoré sa dajú preukázať na vhodných experimentálnych modeloch.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687BA1" w:rsidP="00BD509C">
      <w:pPr>
        <w:spacing w:before="0" w:after="0" w:line="260" w:lineRule="exact"/>
        <w:jc w:val="left"/>
        <w:rPr>
          <w:noProof/>
        </w:rPr>
      </w:pPr>
      <w:r>
        <w:t>Ak sa podá mimo žily, alebo v</w:t>
      </w:r>
      <w:r w:rsidR="00966BC2">
        <w:t> </w:t>
      </w:r>
      <w:r>
        <w:t xml:space="preserve">prípade </w:t>
      </w:r>
      <w:proofErr w:type="spellStart"/>
      <w:r>
        <w:t>extravazácie</w:t>
      </w:r>
      <w:proofErr w:type="spellEnd"/>
      <w:r>
        <w:t xml:space="preserve"> do okolitého tkaniva, mitomycín spôsobuje závažnú nekrózu.</w:t>
      </w:r>
    </w:p>
    <w:p w:rsidR="0064267A" w:rsidRDefault="0064267A" w:rsidP="00BD509C">
      <w:pPr>
        <w:spacing w:before="0" w:after="0" w:line="260" w:lineRule="exact"/>
        <w:jc w:val="left"/>
        <w:rPr>
          <w:noProof/>
        </w:rPr>
      </w:pPr>
    </w:p>
    <w:p w:rsidR="005D18BF" w:rsidRPr="00BE265E" w:rsidRDefault="005D18BF" w:rsidP="00BD509C">
      <w:pPr>
        <w:spacing w:before="0" w:after="0" w:line="260" w:lineRule="exact"/>
        <w:jc w:val="left"/>
        <w:rPr>
          <w:noProof/>
        </w:rPr>
      </w:pPr>
    </w:p>
    <w:p w:rsidR="0030611B" w:rsidRDefault="00966BC2" w:rsidP="00720D00">
      <w:pPr>
        <w:pStyle w:val="Nadpis1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6.</w:t>
      </w:r>
      <w:r>
        <w:tab/>
      </w:r>
      <w:r w:rsidR="0064267A">
        <w:t>FARMACEUTICKÉ INFORMÁCIE</w:t>
      </w:r>
    </w:p>
    <w:p w:rsidR="008C3C1B" w:rsidRPr="00BD509C" w:rsidRDefault="008C3C1B" w:rsidP="00BD509C">
      <w:pPr>
        <w:spacing w:before="0" w:after="0" w:line="260" w:lineRule="exact"/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6.1</w:t>
      </w:r>
      <w:r>
        <w:tab/>
      </w:r>
      <w:r w:rsidR="0064267A">
        <w:t>Zoznam pomocných látok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75907" w:rsidRPr="007A368C" w:rsidRDefault="00675907" w:rsidP="00BD509C">
      <w:pPr>
        <w:spacing w:before="0" w:after="0" w:line="260" w:lineRule="exact"/>
        <w:jc w:val="left"/>
        <w:rPr>
          <w:noProof/>
        </w:rPr>
      </w:pPr>
      <w:r>
        <w:t>Prášok na roztok na intravezikálne použitie: Močovina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E97FB4" w:rsidRDefault="00675907" w:rsidP="00BD509C">
      <w:pPr>
        <w:spacing w:before="0" w:after="0" w:line="260" w:lineRule="exact"/>
        <w:jc w:val="left"/>
        <w:rPr>
          <w:noProof/>
        </w:rPr>
      </w:pPr>
      <w:r>
        <w:t>Rozpúšťadlo pre intravezikálny roztok: Chlorid sodný a</w:t>
      </w:r>
      <w:r w:rsidR="00966BC2">
        <w:t> </w:t>
      </w:r>
      <w:r>
        <w:t>voda na injekci</w:t>
      </w:r>
      <w:r w:rsidR="00015165">
        <w:t>e</w:t>
      </w:r>
      <w:r>
        <w:t>.</w:t>
      </w:r>
    </w:p>
    <w:p w:rsidR="005D18BF" w:rsidRDefault="005D18BF" w:rsidP="00BD509C">
      <w:pPr>
        <w:spacing w:before="0" w:after="0" w:line="260" w:lineRule="exact"/>
        <w:jc w:val="left"/>
        <w:rPr>
          <w:noProof/>
        </w:rPr>
      </w:pPr>
    </w:p>
    <w:p w:rsidR="0064267A" w:rsidRPr="007A368C" w:rsidRDefault="0064267A" w:rsidP="00BD509C">
      <w:pPr>
        <w:spacing w:before="0" w:after="0" w:line="260" w:lineRule="exact"/>
        <w:jc w:val="left"/>
        <w:rPr>
          <w:noProof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6.2</w:t>
      </w:r>
      <w:r>
        <w:tab/>
      </w:r>
      <w:r w:rsidR="0064267A">
        <w:t>Inkompatibility</w:t>
      </w:r>
    </w:p>
    <w:p w:rsidR="008C3C1B" w:rsidRDefault="008C3C1B" w:rsidP="00BD509C">
      <w:pPr>
        <w:spacing w:before="0" w:after="0" w:line="260" w:lineRule="exact"/>
        <w:jc w:val="left"/>
        <w:rPr>
          <w:noProof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</w:rPr>
      </w:pPr>
      <w:r>
        <w:t>Tento liek sa nesmie miešať s</w:t>
      </w:r>
      <w:r w:rsidR="00966BC2">
        <w:t> </w:t>
      </w:r>
      <w:r>
        <w:t>inými liekmi okrem</w:t>
      </w:r>
      <w:r w:rsidR="005E7E95">
        <w:t xml:space="preserve"> tých, ktoré sú uvedené v</w:t>
      </w:r>
      <w:r w:rsidR="00966BC2">
        <w:t> </w:t>
      </w:r>
      <w:r w:rsidR="005E7E95">
        <w:t>časti </w:t>
      </w:r>
      <w:r>
        <w:t>6.6.</w:t>
      </w:r>
    </w:p>
    <w:p w:rsidR="0064267A" w:rsidRDefault="0064267A" w:rsidP="00BD509C">
      <w:pPr>
        <w:spacing w:before="0" w:after="0" w:line="260" w:lineRule="exact"/>
        <w:jc w:val="left"/>
        <w:rPr>
          <w:noProof/>
        </w:rPr>
      </w:pPr>
    </w:p>
    <w:p w:rsidR="00DE0810" w:rsidRPr="00BE265E" w:rsidRDefault="00DE0810" w:rsidP="00BD509C">
      <w:pPr>
        <w:spacing w:before="0" w:after="0" w:line="260" w:lineRule="exact"/>
        <w:jc w:val="left"/>
        <w:rPr>
          <w:noProof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6.3</w:t>
      </w:r>
      <w:r>
        <w:tab/>
      </w:r>
      <w:r w:rsidR="0064267A">
        <w:t>Čas použiteľnosti</w:t>
      </w:r>
    </w:p>
    <w:p w:rsidR="008C3C1B" w:rsidRDefault="008C3C1B" w:rsidP="00F25D73">
      <w:pPr>
        <w:spacing w:before="0" w:after="0" w:line="260" w:lineRule="exact"/>
        <w:jc w:val="left"/>
        <w:rPr>
          <w:i/>
          <w:iCs/>
          <w:noProof/>
          <w:szCs w:val="22"/>
        </w:rPr>
      </w:pPr>
    </w:p>
    <w:p w:rsidR="00675907" w:rsidRPr="003F2323" w:rsidRDefault="00EC21E8" w:rsidP="00F25D73">
      <w:pPr>
        <w:spacing w:before="0" w:after="0" w:line="260" w:lineRule="exact"/>
        <w:jc w:val="left"/>
        <w:rPr>
          <w:i/>
          <w:iCs/>
          <w:noProof/>
          <w:szCs w:val="22"/>
        </w:rPr>
      </w:pPr>
      <w:r>
        <w:rPr>
          <w:i/>
        </w:rPr>
        <w:t>Mitomycin</w:t>
      </w:r>
      <w:r w:rsidR="00196467">
        <w:rPr>
          <w:i/>
        </w:rPr>
        <w:t xml:space="preserve"> medac</w:t>
      </w:r>
      <w:r w:rsidR="005E7E95">
        <w:rPr>
          <w:i/>
        </w:rPr>
        <w:t>, injekčné liekovky so 40 </w:t>
      </w:r>
      <w:r>
        <w:rPr>
          <w:i/>
        </w:rPr>
        <w:t xml:space="preserve">mg </w:t>
      </w:r>
      <w:proofErr w:type="spellStart"/>
      <w:r>
        <w:rPr>
          <w:i/>
        </w:rPr>
        <w:t>mitomycínu</w:t>
      </w:r>
      <w:proofErr w:type="spellEnd"/>
      <w:r>
        <w:rPr>
          <w:i/>
        </w:rPr>
        <w:t xml:space="preserve"> a</w:t>
      </w:r>
      <w:r w:rsidR="00966BC2">
        <w:rPr>
          <w:i/>
        </w:rPr>
        <w:t> </w:t>
      </w:r>
      <w:proofErr w:type="spellStart"/>
      <w:r>
        <w:rPr>
          <w:i/>
        </w:rPr>
        <w:t>instilačnou</w:t>
      </w:r>
      <w:proofErr w:type="spellEnd"/>
      <w:r>
        <w:rPr>
          <w:i/>
        </w:rPr>
        <w:t xml:space="preserve"> súpravou</w:t>
      </w:r>
    </w:p>
    <w:p w:rsidR="006C42F8" w:rsidRPr="004A614F" w:rsidRDefault="005D19AE" w:rsidP="00F25D73">
      <w:pPr>
        <w:spacing w:before="0" w:after="0" w:line="260" w:lineRule="exact"/>
        <w:jc w:val="left"/>
        <w:rPr>
          <w:noProof/>
          <w:szCs w:val="22"/>
        </w:rPr>
      </w:pPr>
      <w:r w:rsidRPr="005D19AE">
        <w:t>1</w:t>
      </w:r>
      <w:r>
        <w:t> </w:t>
      </w:r>
      <w:r w:rsidRPr="005D19AE">
        <w:t>rok</w:t>
      </w:r>
      <w:r w:rsidRPr="005D19AE" w:rsidDel="005D19AE">
        <w:t xml:space="preserve"> </w:t>
      </w:r>
    </w:p>
    <w:p w:rsidR="00F63597" w:rsidRDefault="00F63597" w:rsidP="00244972">
      <w:pPr>
        <w:spacing w:before="0" w:after="0" w:line="260" w:lineRule="exact"/>
        <w:jc w:val="left"/>
      </w:pPr>
    </w:p>
    <w:p w:rsidR="00F63597" w:rsidRDefault="005D19AE" w:rsidP="00244972">
      <w:pPr>
        <w:spacing w:before="0" w:after="0" w:line="260" w:lineRule="exact"/>
        <w:jc w:val="left"/>
      </w:pPr>
      <w:r w:rsidRPr="005D19AE">
        <w:t>Po rekonštitúcii sa má liek použiť okamžite.</w:t>
      </w:r>
    </w:p>
    <w:p w:rsidR="0064267A" w:rsidRPr="00BE265E" w:rsidRDefault="005D19AE" w:rsidP="00244972">
      <w:pPr>
        <w:spacing w:before="0" w:after="0" w:line="260" w:lineRule="exact"/>
        <w:jc w:val="left"/>
        <w:rPr>
          <w:noProof/>
          <w:szCs w:val="22"/>
        </w:rPr>
      </w:pPr>
      <w:r w:rsidRPr="005D19AE">
        <w:lastRenderedPageBreak/>
        <w:t xml:space="preserve"> </w:t>
      </w: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6.4</w:t>
      </w:r>
      <w:r>
        <w:tab/>
      </w:r>
      <w:r w:rsidR="0064267A">
        <w:t>Špeciálne upozornenia na uchovávanie</w:t>
      </w:r>
    </w:p>
    <w:p w:rsidR="008C3C1B" w:rsidRDefault="008C3C1B" w:rsidP="00BD509C">
      <w:pPr>
        <w:spacing w:before="0" w:after="0" w:line="260" w:lineRule="exact"/>
        <w:jc w:val="left"/>
      </w:pPr>
    </w:p>
    <w:p w:rsidR="004670AC" w:rsidRDefault="00F51C59" w:rsidP="004329EA">
      <w:pPr>
        <w:spacing w:before="0" w:after="0" w:line="260" w:lineRule="exact"/>
        <w:jc w:val="left"/>
        <w:rPr>
          <w:noProof/>
          <w:szCs w:val="22"/>
        </w:rPr>
      </w:pPr>
      <w:r>
        <w:t>Uchovávajte pri teplote neprevyšujúcej 25</w:t>
      </w:r>
      <w:r>
        <w:sym w:font="Symbol" w:char="F0B0"/>
      </w:r>
      <w:r>
        <w:t xml:space="preserve">C. </w:t>
      </w:r>
      <w:r w:rsidR="004329EA">
        <w:t xml:space="preserve">Uchovávajte injekčnú </w:t>
      </w:r>
      <w:r>
        <w:t>liekovku vo vonkajšom obale na ochranu pred svetlom.</w:t>
      </w:r>
    </w:p>
    <w:p w:rsidR="00983D7D" w:rsidRDefault="00983D7D" w:rsidP="00983D7D">
      <w:pPr>
        <w:spacing w:before="0" w:after="0" w:line="260" w:lineRule="exact"/>
        <w:jc w:val="left"/>
        <w:rPr>
          <w:noProof/>
          <w:szCs w:val="22"/>
        </w:rPr>
      </w:pPr>
    </w:p>
    <w:p w:rsidR="00702EB5" w:rsidRPr="00720D00" w:rsidRDefault="00702EB5" w:rsidP="00702EB5">
      <w:pPr>
        <w:spacing w:before="0" w:after="0" w:line="260" w:lineRule="exact"/>
        <w:jc w:val="left"/>
        <w:rPr>
          <w:noProof/>
          <w:szCs w:val="22"/>
        </w:rPr>
      </w:pPr>
      <w:r>
        <w:t>Podmienky na uchovávanie po rekonštitúcii lieku, pozri časť</w:t>
      </w:r>
      <w:r w:rsidR="00037B71">
        <w:t> </w:t>
      </w:r>
      <w:r>
        <w:t>6.3.</w:t>
      </w:r>
    </w:p>
    <w:p w:rsidR="00DE0810" w:rsidRPr="00BE265E" w:rsidRDefault="00DE0810" w:rsidP="00BD509C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r>
        <w:t>6.5</w:t>
      </w:r>
      <w:r>
        <w:tab/>
      </w:r>
      <w:r w:rsidR="0064267A">
        <w:t>Druh obalu a</w:t>
      </w:r>
      <w:r>
        <w:t> </w:t>
      </w:r>
      <w:r w:rsidR="0064267A">
        <w:t>obsah balenia</w:t>
      </w:r>
    </w:p>
    <w:p w:rsidR="008C3C1B" w:rsidRPr="00E13991" w:rsidRDefault="008C3C1B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</w:p>
    <w:p w:rsidR="00FD59A3" w:rsidRPr="00E13991" w:rsidRDefault="00FD59A3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Mitomycin</w:t>
      </w:r>
      <w:r w:rsidR="00196467">
        <w:t xml:space="preserve"> </w:t>
      </w:r>
      <w:proofErr w:type="spellStart"/>
      <w:r w:rsidR="00196467">
        <w:t>medac</w:t>
      </w:r>
      <w:proofErr w:type="spellEnd"/>
      <w:r>
        <w:t xml:space="preserve"> sa nachádza v</w:t>
      </w:r>
      <w:r w:rsidR="00966BC2">
        <w:t> </w:t>
      </w:r>
      <w:r>
        <w:t>injekčnej liekovke z</w:t>
      </w:r>
      <w:r w:rsidR="00966BC2">
        <w:t> </w:t>
      </w:r>
      <w:r>
        <w:t>priesvitného skla (typ</w:t>
      </w:r>
      <w:r w:rsidR="00037B71">
        <w:t> </w:t>
      </w:r>
      <w:r>
        <w:t>I) s</w:t>
      </w:r>
      <w:r w:rsidR="00966BC2">
        <w:t> </w:t>
      </w:r>
      <w:proofErr w:type="spellStart"/>
      <w:r>
        <w:t>brómbutylovou</w:t>
      </w:r>
      <w:proofErr w:type="spellEnd"/>
      <w:r>
        <w:t xml:space="preserve"> gumovou zátkou potiahnutou </w:t>
      </w:r>
      <w:proofErr w:type="spellStart"/>
      <w:r>
        <w:t>fluoropolymérom</w:t>
      </w:r>
      <w:proofErr w:type="spellEnd"/>
      <w:r>
        <w:t xml:space="preserve"> a</w:t>
      </w:r>
      <w:r w:rsidR="00966BC2">
        <w:t> </w:t>
      </w:r>
      <w:r>
        <w:t>s</w:t>
      </w:r>
      <w:r w:rsidR="00966BC2">
        <w:t> </w:t>
      </w:r>
      <w:r>
        <w:t>hliníkovým odklápacím uzáverom.</w:t>
      </w:r>
    </w:p>
    <w:p w:rsidR="00FD59A3" w:rsidRPr="00E13991" w:rsidRDefault="00FD59A3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</w:p>
    <w:p w:rsidR="002F742E" w:rsidRPr="00E13991" w:rsidRDefault="002F742E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Bale</w:t>
      </w:r>
      <w:r w:rsidR="005E7E95">
        <w:t>nia s</w:t>
      </w:r>
      <w:r w:rsidR="00966BC2">
        <w:t> </w:t>
      </w:r>
      <w:r w:rsidR="005E7E95">
        <w:t>1 injekčnou liekovkou (50 </w:t>
      </w:r>
      <w:r>
        <w:t xml:space="preserve">ml), </w:t>
      </w:r>
      <w:r w:rsidR="005E7E95">
        <w:t>1</w:t>
      </w:r>
      <w:r w:rsidR="00037B71">
        <w:t> </w:t>
      </w:r>
      <w:r w:rsidR="005E7E95">
        <w:t>PVC vreckom s</w:t>
      </w:r>
      <w:r w:rsidR="00966BC2">
        <w:t> </w:t>
      </w:r>
      <w:r w:rsidR="005E7E95">
        <w:t>objemom 40 ml obsahujúcim 0,9 </w:t>
      </w:r>
      <w:r>
        <w:t>% roztok chloridu sodného, katétrami</w:t>
      </w:r>
    </w:p>
    <w:p w:rsidR="002F742E" w:rsidRPr="00E13991" w:rsidRDefault="002F742E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Balenia</w:t>
      </w:r>
      <w:r w:rsidR="005E7E95">
        <w:t xml:space="preserve"> so 4 injekčnými liekovkami (50 </w:t>
      </w:r>
      <w:r>
        <w:t>ml), 4</w:t>
      </w:r>
      <w:r w:rsidR="00037B71">
        <w:t> </w:t>
      </w:r>
      <w:r>
        <w:t>PVC vreckami s</w:t>
      </w:r>
      <w:r w:rsidR="00966BC2">
        <w:t> </w:t>
      </w:r>
      <w:r w:rsidR="005E7E95">
        <w:t>objemom 40 ml obsahujúcimi 0,9 </w:t>
      </w:r>
      <w:r>
        <w:t>% roztok chloridu sodného, katétrami</w:t>
      </w:r>
    </w:p>
    <w:p w:rsidR="002F742E" w:rsidRPr="00E13991" w:rsidRDefault="002F742E" w:rsidP="00BD509C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eastAsia="SimSun"/>
          <w:szCs w:val="22"/>
        </w:rPr>
      </w:pPr>
      <w:r>
        <w:t>Baleni</w:t>
      </w:r>
      <w:r w:rsidR="005E7E95">
        <w:t>a s</w:t>
      </w:r>
      <w:r w:rsidR="00966BC2">
        <w:t> </w:t>
      </w:r>
      <w:r w:rsidR="005E7E95">
        <w:t>5 injekčnými liekovkami (50 </w:t>
      </w:r>
      <w:r>
        <w:t>ml), 5</w:t>
      </w:r>
      <w:r w:rsidR="00037B71">
        <w:t> </w:t>
      </w:r>
      <w:r w:rsidR="005E7E95">
        <w:t>PVC vreckami s</w:t>
      </w:r>
      <w:r w:rsidR="00966BC2">
        <w:t> </w:t>
      </w:r>
      <w:r w:rsidR="005E7E95">
        <w:t>objemom 40 ml obsahujúcimi 0,9 </w:t>
      </w:r>
      <w:r>
        <w:t>% roztok chloridu sodného, katétrami</w:t>
      </w:r>
    </w:p>
    <w:p w:rsidR="00544BDC" w:rsidRPr="00E13991" w:rsidRDefault="00544BDC" w:rsidP="00BD509C">
      <w:pPr>
        <w:spacing w:before="0" w:after="0" w:line="260" w:lineRule="exact"/>
        <w:jc w:val="left"/>
        <w:rPr>
          <w:noProof/>
          <w:szCs w:val="22"/>
        </w:rPr>
      </w:pPr>
    </w:p>
    <w:p w:rsidR="004670AC" w:rsidRPr="00F25D73" w:rsidRDefault="004670AC" w:rsidP="00BD509C">
      <w:pPr>
        <w:spacing w:before="0" w:after="0" w:line="260" w:lineRule="exact"/>
        <w:jc w:val="left"/>
        <w:rPr>
          <w:noProof/>
          <w:szCs w:val="22"/>
        </w:rPr>
      </w:pPr>
      <w:r>
        <w:t>Na trh nemusia byť uvedené všetky veľkosti balenia.</w:t>
      </w:r>
    </w:p>
    <w:p w:rsidR="0064267A" w:rsidRPr="00F25D73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30611B" w:rsidRDefault="00966BC2" w:rsidP="00720D00">
      <w:pPr>
        <w:pStyle w:val="Nadpis2"/>
        <w:numPr>
          <w:ilvl w:val="0"/>
          <w:numId w:val="0"/>
        </w:numPr>
        <w:spacing w:before="0" w:after="0" w:line="260" w:lineRule="exact"/>
        <w:jc w:val="left"/>
        <w:rPr>
          <w:noProof/>
        </w:rPr>
      </w:pPr>
      <w:bookmarkStart w:id="1" w:name="OLE_LINK1"/>
      <w:r>
        <w:t>6.6</w:t>
      </w:r>
      <w:r>
        <w:tab/>
      </w:r>
      <w:r w:rsidR="0064267A">
        <w:t>Špeciálne opatrenia na likvidáciu a iné zaobchádzanie s liekom</w:t>
      </w:r>
    </w:p>
    <w:p w:rsidR="008C3C1B" w:rsidRPr="001769F3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C941D2" w:rsidRPr="00BD509C" w:rsidRDefault="00C941D2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>Rozpusťte obsah jednej injekčnej liekovky Mitomycinu</w:t>
      </w:r>
      <w:r w:rsidR="00196467">
        <w:t xml:space="preserve"> medac</w:t>
      </w:r>
      <w:r w:rsidR="005E7E95">
        <w:t xml:space="preserve"> (zodpovedajúce 40 </w:t>
      </w:r>
      <w:r>
        <w:t>mg mit</w:t>
      </w:r>
      <w:r w:rsidR="005E7E95">
        <w:t xml:space="preserve">omycínu) v 40 ml sterilného </w:t>
      </w:r>
      <w:r w:rsidR="00F63597">
        <w:t>injekčného</w:t>
      </w:r>
      <w:r>
        <w:t xml:space="preserve"> roztoku chloridu sodného</w:t>
      </w:r>
      <w:r w:rsidR="00F63597">
        <w:t xml:space="preserve"> </w:t>
      </w:r>
      <w:r w:rsidR="00F63597">
        <w:rPr>
          <w:iCs/>
          <w:noProof/>
          <w:szCs w:val="22"/>
        </w:rPr>
        <w:t>9 mg/ml (</w:t>
      </w:r>
      <w:r w:rsidR="00F63597" w:rsidRPr="002A4C9B">
        <w:rPr>
          <w:iCs/>
          <w:noProof/>
          <w:szCs w:val="22"/>
        </w:rPr>
        <w:t>0</w:t>
      </w:r>
      <w:r w:rsidR="00F63597">
        <w:rPr>
          <w:iCs/>
          <w:noProof/>
          <w:szCs w:val="22"/>
        </w:rPr>
        <w:t>,</w:t>
      </w:r>
      <w:r w:rsidR="00F63597" w:rsidRPr="002A4C9B">
        <w:rPr>
          <w:iCs/>
          <w:noProof/>
          <w:szCs w:val="22"/>
        </w:rPr>
        <w:t>9 </w:t>
      </w:r>
      <w:r w:rsidR="00F63597">
        <w:rPr>
          <w:iCs/>
          <w:noProof/>
          <w:szCs w:val="22"/>
        </w:rPr>
        <w:t>%)</w:t>
      </w:r>
      <w:r>
        <w:t>. Obsah injekčnej liekovky sa musí rozpustiť a vytvoriť modrofialový číry roztok do 2</w:t>
      </w:r>
      <w:r w:rsidR="00037B71">
        <w:t> </w:t>
      </w:r>
      <w:r>
        <w:t>minút.</w:t>
      </w:r>
    </w:p>
    <w:p w:rsidR="008C3C1B" w:rsidRPr="00BD509C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Default="00331D03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>Môžu sa použiť iba číre roztoky.</w:t>
      </w:r>
    </w:p>
    <w:p w:rsidR="008C3C1B" w:rsidRPr="00BE265E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Default="00331D03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>Obsah injekčných liekoviek je určený iba na jedno použitie/jeden vstup. Nepoužitý roztok sa musí zlikvidovať.</w:t>
      </w:r>
    </w:p>
    <w:p w:rsidR="008C3C1B" w:rsidRPr="00BE265E" w:rsidRDefault="008C3C1B" w:rsidP="00BD509C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Pr="00BE265E" w:rsidRDefault="00331D03" w:rsidP="00BD509C">
      <w:pPr>
        <w:spacing w:before="0" w:after="0" w:line="260" w:lineRule="exact"/>
        <w:jc w:val="left"/>
        <w:rPr>
          <w:iCs/>
          <w:noProof/>
          <w:szCs w:val="22"/>
        </w:rPr>
      </w:pPr>
      <w:r>
        <w:t xml:space="preserve">Chráňte rekonštituovaný roztok pred svetlom. </w:t>
      </w:r>
    </w:p>
    <w:p w:rsidR="00331D03" w:rsidRPr="00BE265E" w:rsidRDefault="00331D03" w:rsidP="00BD509C">
      <w:pPr>
        <w:spacing w:before="0" w:after="0" w:line="260" w:lineRule="exact"/>
        <w:jc w:val="left"/>
      </w:pPr>
    </w:p>
    <w:p w:rsidR="00331D03" w:rsidRPr="00BE265E" w:rsidRDefault="00C42F4A" w:rsidP="00BD509C">
      <w:pPr>
        <w:spacing w:before="0" w:after="0" w:line="260" w:lineRule="exact"/>
        <w:jc w:val="left"/>
      </w:pPr>
      <w:r>
        <w:t>Mitomycin</w:t>
      </w:r>
      <w:r w:rsidR="00196467">
        <w:t xml:space="preserve"> medac</w:t>
      </w:r>
      <w:r>
        <w:t xml:space="preserve"> sa nesmie používať v zmiešaných injekciách. Iné injekčné alebo infúzne roztoky sa musia podávať osobitne. </w:t>
      </w:r>
    </w:p>
    <w:p w:rsidR="008C3C1B" w:rsidRDefault="008C3C1B" w:rsidP="00BD509C">
      <w:pPr>
        <w:spacing w:before="0" w:after="0" w:line="260" w:lineRule="exact"/>
        <w:jc w:val="left"/>
      </w:pPr>
    </w:p>
    <w:p w:rsidR="0064267A" w:rsidRPr="00BE265E" w:rsidRDefault="0064267A" w:rsidP="00BD509C">
      <w:pPr>
        <w:spacing w:before="0" w:after="0" w:line="260" w:lineRule="exact"/>
        <w:jc w:val="left"/>
      </w:pPr>
      <w:r>
        <w:t>Nepoužitý liek alebo odpad vzniknutý z lieku treba vrátiť do lekárne.</w:t>
      </w:r>
    </w:p>
    <w:bookmarkEnd w:id="1"/>
    <w:p w:rsidR="00037B71" w:rsidRDefault="00037B71">
      <w:pPr>
        <w:tabs>
          <w:tab w:val="clear" w:pos="567"/>
        </w:tabs>
        <w:spacing w:before="0" w:after="0"/>
        <w:jc w:val="left"/>
      </w:pPr>
      <w:r>
        <w:br w:type="page"/>
      </w:r>
    </w:p>
    <w:p w:rsidR="0030611B" w:rsidRDefault="00332AD1" w:rsidP="00720D00">
      <w:pPr>
        <w:spacing w:before="100" w:beforeAutospacing="1" w:after="0"/>
        <w:rPr>
          <w:szCs w:val="22"/>
          <w:u w:val="single"/>
        </w:rPr>
      </w:pPr>
      <w:r>
        <w:rPr>
          <w:u w:val="single"/>
        </w:rPr>
        <w:lastRenderedPageBreak/>
        <w:t>Návod na použitie rozpúšťadla na intravezikálny roztok (instilačná súprava)</w:t>
      </w:r>
    </w:p>
    <w:p w:rsidR="0030611B" w:rsidRDefault="00332AD1" w:rsidP="00720D00">
      <w:pPr>
        <w:autoSpaceDE w:val="0"/>
        <w:autoSpaceDN w:val="0"/>
        <w:spacing w:before="100" w:beforeAutospacing="1" w:after="0"/>
        <w:rPr>
          <w:szCs w:val="22"/>
        </w:rPr>
      </w:pPr>
      <w:r>
        <w:t xml:space="preserve">Obr. 1 – </w:t>
      </w:r>
      <w:r w:rsidR="00D214A0">
        <w:t>8</w:t>
      </w:r>
      <w:r>
        <w:t>:</w:t>
      </w:r>
    </w:p>
    <w:p w:rsidR="0030611B" w:rsidRDefault="0030611B" w:rsidP="00720D00">
      <w:pPr>
        <w:autoSpaceDE w:val="0"/>
        <w:autoSpaceDN w:val="0"/>
        <w:spacing w:before="100" w:beforeAutospacing="1" w:after="0"/>
        <w:rPr>
          <w:szCs w:val="22"/>
        </w:rPr>
      </w:pPr>
    </w:p>
    <w:p w:rsidR="0030611B" w:rsidRDefault="00332AD1" w:rsidP="00720D00">
      <w:pPr>
        <w:tabs>
          <w:tab w:val="left" w:pos="1560"/>
        </w:tabs>
        <w:autoSpaceDE w:val="0"/>
        <w:autoSpaceDN w:val="0"/>
        <w:spacing w:before="100" w:beforeAutospacing="1" w:after="0"/>
        <w:rPr>
          <w:szCs w:val="22"/>
        </w:rPr>
      </w:pPr>
      <w:r>
        <w:t>(1)</w:t>
      </w:r>
      <w:r>
        <w:tab/>
      </w:r>
    </w:p>
    <w:p w:rsidR="00332AD1" w:rsidRPr="00495A0D" w:rsidRDefault="008B0F25" w:rsidP="00332AD1">
      <w:pPr>
        <w:tabs>
          <w:tab w:val="left" w:pos="1560"/>
        </w:tabs>
        <w:autoSpaceDE w:val="0"/>
        <w:autoSpaceDN w:val="0"/>
        <w:jc w:val="center"/>
        <w:rPr>
          <w:szCs w:val="22"/>
        </w:rPr>
      </w:pPr>
      <w:r>
        <w:rPr>
          <w:noProof/>
          <w:lang w:bidi="ar-SA"/>
        </w:rPr>
        <w:drawing>
          <wp:inline distT="0" distB="0" distL="0" distR="0">
            <wp:extent cx="835025" cy="1497330"/>
            <wp:effectExtent l="0" t="0" r="3175" b="7620"/>
            <wp:docPr id="17" name="Grafik 17" descr="Mito Abbildu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to Abbildung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9E" w:rsidRDefault="00E63E9E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</w:pP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Roztrhnite ochranný kryt, ale neodstráňte ho úplne! Toto ochráni špičku instilačného zariadenia pred kontamináciou až do poslednej chvíle.</w:t>
      </w: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</w:p>
    <w:p w:rsidR="00332AD1" w:rsidRPr="00495A0D" w:rsidRDefault="00332AD1" w:rsidP="00BD509C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(2)</w:t>
      </w:r>
      <w:r>
        <w:tab/>
      </w:r>
    </w:p>
    <w:p w:rsidR="0082410B" w:rsidRPr="008B0F25" w:rsidRDefault="008B0F25" w:rsidP="00501E41">
      <w:pPr>
        <w:tabs>
          <w:tab w:val="clear" w:pos="567"/>
        </w:tabs>
        <w:autoSpaceDE w:val="0"/>
        <w:autoSpaceDN w:val="0"/>
        <w:jc w:val="center"/>
        <w:rPr>
          <w:szCs w:val="22"/>
        </w:rPr>
      </w:pPr>
      <w:r>
        <w:rPr>
          <w:noProof/>
          <w:lang w:bidi="ar-SA"/>
        </w:rPr>
        <w:drawing>
          <wp:inline distT="0" distB="0" distL="0" distR="0">
            <wp:extent cx="1020445" cy="1510665"/>
            <wp:effectExtent l="0" t="0" r="8255" b="0"/>
            <wp:docPr id="18" name="Grafik 18" descr="Mito Abbildu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ito Abbildung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0B" w:rsidRDefault="0082410B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</w:pPr>
    </w:p>
    <w:p w:rsidR="0082410B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</w:pPr>
      <w:r>
        <w:t>Odstráňte viečka z injekčnej liekovky a z instilačného zariadenia.</w:t>
      </w: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(3)</w:t>
      </w:r>
    </w:p>
    <w:p w:rsidR="00332AD1" w:rsidRPr="00495A0D" w:rsidRDefault="00211FCC" w:rsidP="00501E41">
      <w:pPr>
        <w:tabs>
          <w:tab w:val="clear" w:pos="567"/>
        </w:tabs>
        <w:autoSpaceDE w:val="0"/>
        <w:autoSpaceDN w:val="0"/>
        <w:jc w:val="center"/>
        <w:rPr>
          <w:szCs w:val="22"/>
        </w:rPr>
      </w:pPr>
      <w:r>
        <w:rPr>
          <w:noProof/>
          <w:lang w:bidi="ar-SA"/>
        </w:rPr>
        <w:drawing>
          <wp:inline distT="0" distB="0" distL="0" distR="0">
            <wp:extent cx="1009015" cy="1734185"/>
            <wp:effectExtent l="0" t="0" r="635" b="0"/>
            <wp:docPr id="19" name="Grafik 19" descr="Mito Abbildu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ito Abbildung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9E" w:rsidRDefault="00E63E9E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color w:val="000000"/>
          <w:szCs w:val="22"/>
        </w:rPr>
      </w:pPr>
    </w:p>
    <w:p w:rsidR="00332AD1" w:rsidRPr="00495A0D" w:rsidRDefault="00D214A0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rPr>
          <w:color w:val="000000"/>
          <w:szCs w:val="22"/>
        </w:rPr>
        <w:t xml:space="preserve">Umiestnite injekčnú liekovku na pevný povrch a pevne zatlačte konektor </w:t>
      </w:r>
      <w:r w:rsidRPr="002A4C9B">
        <w:rPr>
          <w:color w:val="000000"/>
          <w:szCs w:val="22"/>
        </w:rPr>
        <w:t>instil</w:t>
      </w:r>
      <w:r>
        <w:rPr>
          <w:color w:val="000000"/>
          <w:szCs w:val="22"/>
        </w:rPr>
        <w:t>ačného</w:t>
      </w:r>
      <w:r w:rsidRPr="002A4C9B">
        <w:rPr>
          <w:color w:val="000000"/>
          <w:szCs w:val="22"/>
        </w:rPr>
        <w:t xml:space="preserve"> syst</w:t>
      </w:r>
      <w:r>
        <w:rPr>
          <w:color w:val="000000"/>
          <w:szCs w:val="22"/>
        </w:rPr>
        <w:t>ému priamo na injekčnú liekovku</w:t>
      </w:r>
      <w:r w:rsidRPr="002A4C9B">
        <w:rPr>
          <w:color w:val="000000"/>
          <w:szCs w:val="22"/>
        </w:rPr>
        <w:t>.</w:t>
      </w:r>
    </w:p>
    <w:p w:rsidR="00037B71" w:rsidRDefault="00037B71">
      <w:pPr>
        <w:tabs>
          <w:tab w:val="clear" w:pos="567"/>
        </w:tabs>
        <w:spacing w:before="0" w:after="0"/>
        <w:jc w:val="left"/>
        <w:rPr>
          <w:szCs w:val="22"/>
        </w:rPr>
      </w:pPr>
      <w:r>
        <w:rPr>
          <w:szCs w:val="22"/>
        </w:rPr>
        <w:br w:type="page"/>
      </w:r>
    </w:p>
    <w:p w:rsidR="00332AD1" w:rsidRPr="00495A0D" w:rsidRDefault="00332AD1" w:rsidP="00BD509C">
      <w:pPr>
        <w:autoSpaceDE w:val="0"/>
        <w:autoSpaceDN w:val="0"/>
        <w:spacing w:before="0" w:after="0" w:line="260" w:lineRule="exact"/>
        <w:rPr>
          <w:szCs w:val="22"/>
        </w:rPr>
      </w:pPr>
    </w:p>
    <w:p w:rsidR="00332AD1" w:rsidRPr="00495A0D" w:rsidRDefault="00211FCC" w:rsidP="00211FCC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(4)</w:t>
      </w:r>
    </w:p>
    <w:p w:rsidR="00E63E9E" w:rsidRDefault="00211FCC" w:rsidP="00501E41">
      <w:pPr>
        <w:tabs>
          <w:tab w:val="clear" w:pos="567"/>
        </w:tabs>
        <w:autoSpaceDE w:val="0"/>
        <w:autoSpaceDN w:val="0"/>
        <w:jc w:val="center"/>
        <w:rPr>
          <w:color w:val="000000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377950" cy="1881505"/>
            <wp:effectExtent l="0" t="0" r="0" b="4445"/>
            <wp:docPr id="20" name="Grafik 20" descr="2019-11-05_13h36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2019-11-05_13h36_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9E" w:rsidRDefault="00E63E9E" w:rsidP="00D214A0">
      <w:pPr>
        <w:tabs>
          <w:tab w:val="left" w:pos="1560"/>
        </w:tabs>
        <w:autoSpaceDE w:val="0"/>
        <w:autoSpaceDN w:val="0"/>
        <w:rPr>
          <w:color w:val="000000"/>
          <w:szCs w:val="22"/>
        </w:rPr>
      </w:pPr>
    </w:p>
    <w:p w:rsidR="00D214A0" w:rsidRPr="00720D00" w:rsidRDefault="00D214A0" w:rsidP="00D214A0">
      <w:pPr>
        <w:tabs>
          <w:tab w:val="left" w:pos="1560"/>
        </w:tabs>
        <w:autoSpaceDE w:val="0"/>
        <w:autoSpaceDN w:val="0"/>
        <w:rPr>
          <w:noProof/>
          <w:lang w:eastAsia="de-DE"/>
        </w:rPr>
      </w:pPr>
      <w:r>
        <w:rPr>
          <w:color w:val="000000"/>
          <w:szCs w:val="22"/>
        </w:rPr>
        <w:t>Uistite sa, či ste trikrát úplne otočili injekč</w:t>
      </w:r>
      <w:r w:rsidR="00F55709">
        <w:rPr>
          <w:color w:val="000000"/>
          <w:szCs w:val="22"/>
        </w:rPr>
        <w:t>n</w:t>
      </w:r>
      <w:r>
        <w:rPr>
          <w:color w:val="000000"/>
          <w:szCs w:val="22"/>
        </w:rPr>
        <w:t>ou liekovkou.</w:t>
      </w:r>
    </w:p>
    <w:p w:rsidR="00332AD1" w:rsidRPr="00495A0D" w:rsidRDefault="00332AD1" w:rsidP="00BD509C">
      <w:pPr>
        <w:autoSpaceDE w:val="0"/>
        <w:autoSpaceDN w:val="0"/>
        <w:spacing w:before="0" w:after="0" w:line="260" w:lineRule="exact"/>
        <w:rPr>
          <w:szCs w:val="22"/>
        </w:rPr>
      </w:pPr>
    </w:p>
    <w:p w:rsidR="00332AD1" w:rsidRPr="00495A0D" w:rsidRDefault="00AB76DA" w:rsidP="00BD509C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(5)</w:t>
      </w:r>
    </w:p>
    <w:p w:rsidR="0082410B" w:rsidRPr="00720D00" w:rsidRDefault="00211FCC" w:rsidP="00211FCC">
      <w:pPr>
        <w:tabs>
          <w:tab w:val="left" w:pos="1560"/>
        </w:tabs>
        <w:autoSpaceDE w:val="0"/>
        <w:autoSpaceDN w:val="0"/>
        <w:jc w:val="center"/>
        <w:rPr>
          <w:noProof/>
          <w:lang w:eastAsia="de-DE"/>
        </w:rPr>
      </w:pPr>
      <w:r>
        <w:rPr>
          <w:noProof/>
          <w:lang w:bidi="ar-SA"/>
        </w:rPr>
        <w:drawing>
          <wp:inline distT="0" distB="0" distL="0" distR="0">
            <wp:extent cx="1099820" cy="1670050"/>
            <wp:effectExtent l="0" t="0" r="5080" b="0"/>
            <wp:docPr id="21" name="Grafik 21" descr="Mito Abbildu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ito Abbildung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84B" w:rsidRPr="00720D00" w:rsidRDefault="00B8284B" w:rsidP="00283C88">
      <w:pPr>
        <w:tabs>
          <w:tab w:val="left" w:pos="1560"/>
        </w:tabs>
        <w:autoSpaceDE w:val="0"/>
        <w:autoSpaceDN w:val="0"/>
        <w:rPr>
          <w:noProof/>
          <w:lang w:eastAsia="de-DE"/>
        </w:rPr>
      </w:pPr>
    </w:p>
    <w:p w:rsidR="0030611B" w:rsidRDefault="00141ACD" w:rsidP="00720D00">
      <w:pPr>
        <w:tabs>
          <w:tab w:val="left" w:pos="1560"/>
        </w:tabs>
        <w:autoSpaceDE w:val="0"/>
        <w:autoSpaceDN w:val="0"/>
        <w:jc w:val="left"/>
        <w:rPr>
          <w:color w:val="000000"/>
          <w:szCs w:val="22"/>
        </w:rPr>
      </w:pPr>
      <w:r>
        <w:rPr>
          <w:color w:val="000000"/>
          <w:szCs w:val="22"/>
        </w:rPr>
        <w:t xml:space="preserve">Zlomením otvorte </w:t>
      </w:r>
      <w:r w:rsidRPr="002A4C9B">
        <w:rPr>
          <w:color w:val="000000"/>
          <w:szCs w:val="22"/>
        </w:rPr>
        <w:t>mechani</w:t>
      </w:r>
      <w:r>
        <w:rPr>
          <w:color w:val="000000"/>
          <w:szCs w:val="22"/>
        </w:rPr>
        <w:t>zmus v rúrke konektora opakovaným ohýbaním v obidvoch smeroch. Tak sa dosiahne spojenie. Počas tohto procesu držte rúrku,</w:t>
      </w:r>
      <w:r w:rsidRPr="002A4C9B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nie injekčnú liekovku</w:t>
      </w:r>
      <w:r w:rsidRPr="002A4C9B">
        <w:rPr>
          <w:color w:val="000000"/>
          <w:szCs w:val="22"/>
        </w:rPr>
        <w:t>!</w:t>
      </w:r>
      <w:r w:rsidR="00AB76DA">
        <w:rPr>
          <w:color w:val="000000"/>
          <w:szCs w:val="22"/>
        </w:rPr>
        <w:t xml:space="preserve"> </w:t>
      </w:r>
    </w:p>
    <w:p w:rsidR="00141ACD" w:rsidRDefault="00141ACD" w:rsidP="00141ACD">
      <w:pPr>
        <w:tabs>
          <w:tab w:val="left" w:pos="1560"/>
        </w:tabs>
        <w:autoSpaceDE w:val="0"/>
        <w:autoSpaceDN w:val="0"/>
        <w:rPr>
          <w:color w:val="000000"/>
          <w:szCs w:val="22"/>
        </w:rPr>
      </w:pPr>
    </w:p>
    <w:p w:rsidR="00141ACD" w:rsidRPr="00435C98" w:rsidRDefault="001F0FC1" w:rsidP="00141ACD">
      <w:pPr>
        <w:tabs>
          <w:tab w:val="left" w:pos="1560"/>
        </w:tabs>
        <w:autoSpaceDE w:val="0"/>
        <w:autoSpaceDN w:val="0"/>
        <w:rPr>
          <w:lang w:eastAsia="de-DE"/>
        </w:rPr>
      </w:pPr>
      <w:r>
        <w:rPr>
          <w:color w:val="000000"/>
          <w:szCs w:val="22"/>
        </w:rPr>
        <w:t>(6)</w:t>
      </w:r>
    </w:p>
    <w:p w:rsidR="00D214A0" w:rsidRPr="00495A0D" w:rsidRDefault="00211FCC" w:rsidP="00211FCC">
      <w:pPr>
        <w:autoSpaceDE w:val="0"/>
        <w:autoSpaceDN w:val="0"/>
        <w:jc w:val="center"/>
        <w:rPr>
          <w:szCs w:val="22"/>
        </w:rPr>
      </w:pPr>
      <w:r>
        <w:rPr>
          <w:noProof/>
          <w:lang w:bidi="ar-SA"/>
        </w:rPr>
        <w:drawing>
          <wp:inline distT="0" distB="0" distL="0" distR="0">
            <wp:extent cx="1086485" cy="1670050"/>
            <wp:effectExtent l="0" t="0" r="0" b="6350"/>
            <wp:docPr id="22" name="Grafik 22" descr="Mito Abbildu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ito Abbildung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9E" w:rsidRDefault="00E63E9E" w:rsidP="00141ACD">
      <w:pPr>
        <w:tabs>
          <w:tab w:val="center" w:pos="4536"/>
          <w:tab w:val="center" w:pos="8930"/>
        </w:tabs>
        <w:autoSpaceDE w:val="0"/>
        <w:autoSpaceDN w:val="0"/>
      </w:pPr>
    </w:p>
    <w:p w:rsidR="00141ACD" w:rsidRPr="00435C98" w:rsidRDefault="00332AD1" w:rsidP="00141ACD">
      <w:pPr>
        <w:tabs>
          <w:tab w:val="center" w:pos="4536"/>
          <w:tab w:val="center" w:pos="8930"/>
        </w:tabs>
        <w:autoSpaceDE w:val="0"/>
        <w:autoSpaceDN w:val="0"/>
        <w:rPr>
          <w:lang w:eastAsia="de-DE"/>
        </w:rPr>
      </w:pPr>
      <w:r>
        <w:t>Načerpajte tekutinu do injekčnej liekovky, ale nenaplňte ju úplne.</w:t>
      </w:r>
      <w:r w:rsidR="00141ACD">
        <w:t xml:space="preserve"> Ak tekutina netečie, znova trikrát otočte injekčnou liekovkou druhým smerom, aby sa prepážka úplne perforovala. Tento krok opakujte dovtedy, kým tekutina nezačne tiecť</w:t>
      </w:r>
      <w:r w:rsidR="00141ACD" w:rsidRPr="002A4C9B">
        <w:rPr>
          <w:color w:val="000000"/>
          <w:szCs w:val="22"/>
        </w:rPr>
        <w:t>.</w:t>
      </w:r>
    </w:p>
    <w:p w:rsidR="00037B71" w:rsidRDefault="00037B71">
      <w:pPr>
        <w:tabs>
          <w:tab w:val="clear" w:pos="567"/>
        </w:tabs>
        <w:spacing w:before="0" w:after="0"/>
        <w:jc w:val="left"/>
        <w:rPr>
          <w:szCs w:val="22"/>
        </w:rPr>
      </w:pPr>
      <w:r>
        <w:rPr>
          <w:szCs w:val="22"/>
        </w:rPr>
        <w:br w:type="page"/>
      </w:r>
    </w:p>
    <w:p w:rsidR="00292EC9" w:rsidRPr="00292EC9" w:rsidRDefault="00332AD1" w:rsidP="00BD509C">
      <w:pPr>
        <w:tabs>
          <w:tab w:val="left" w:pos="1560"/>
        </w:tabs>
        <w:autoSpaceDE w:val="0"/>
        <w:autoSpaceDN w:val="0"/>
        <w:spacing w:before="0" w:after="0" w:line="260" w:lineRule="atLeast"/>
      </w:pPr>
      <w:r>
        <w:lastRenderedPageBreak/>
        <w:t>(</w:t>
      </w:r>
      <w:r w:rsidR="00141ACD">
        <w:t>7</w:t>
      </w:r>
      <w:r w:rsidR="00B451D8">
        <w:t>)</w:t>
      </w:r>
    </w:p>
    <w:p w:rsidR="00B451D8" w:rsidRPr="00EB0695" w:rsidRDefault="00B451D8" w:rsidP="00EB0695">
      <w:pPr>
        <w:autoSpaceDE w:val="0"/>
        <w:autoSpaceDN w:val="0"/>
        <w:jc w:val="center"/>
        <w:rPr>
          <w:noProof/>
          <w:lang w:val="de-DE" w:eastAsia="de-DE" w:bidi="ar-SA"/>
        </w:rPr>
      </w:pPr>
    </w:p>
    <w:p w:rsidR="00E63E9E" w:rsidRPr="00EB0695" w:rsidRDefault="00211FCC" w:rsidP="00EB0695">
      <w:pPr>
        <w:autoSpaceDE w:val="0"/>
        <w:autoSpaceDN w:val="0"/>
        <w:jc w:val="center"/>
        <w:rPr>
          <w:noProof/>
          <w:lang w:val="de-DE" w:eastAsia="de-DE" w:bidi="ar-SA"/>
        </w:rPr>
      </w:pPr>
      <w:r>
        <w:rPr>
          <w:noProof/>
          <w:lang w:bidi="ar-SA"/>
        </w:rPr>
        <w:drawing>
          <wp:inline distT="0" distB="0" distL="0" distR="0">
            <wp:extent cx="1137600" cy="1753200"/>
            <wp:effectExtent l="0" t="0" r="5715" b="0"/>
            <wp:docPr id="24" name="Grafik 24" descr="Mito Abbildu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ito Abbildung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9E" w:rsidRPr="00EB0695" w:rsidRDefault="00E63E9E" w:rsidP="00EB0695">
      <w:pPr>
        <w:autoSpaceDE w:val="0"/>
        <w:autoSpaceDN w:val="0"/>
        <w:jc w:val="center"/>
        <w:rPr>
          <w:noProof/>
          <w:lang w:val="de-DE" w:eastAsia="de-DE" w:bidi="ar-SA"/>
        </w:rPr>
      </w:pPr>
    </w:p>
    <w:p w:rsidR="00332AD1" w:rsidRPr="00495A0D" w:rsidRDefault="00332AD1" w:rsidP="00E13991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 xml:space="preserve">Prevráťte celé zariadenie. </w:t>
      </w:r>
      <w:r w:rsidR="00141ACD">
        <w:rPr>
          <w:color w:val="000000"/>
          <w:szCs w:val="22"/>
        </w:rPr>
        <w:t xml:space="preserve">Načerpajte vzduch z </w:t>
      </w:r>
      <w:r w:rsidR="00141ACD" w:rsidRPr="002A4C9B">
        <w:rPr>
          <w:color w:val="000000"/>
          <w:szCs w:val="22"/>
        </w:rPr>
        <w:t>instil</w:t>
      </w:r>
      <w:r w:rsidR="00141ACD">
        <w:rPr>
          <w:color w:val="000000"/>
          <w:szCs w:val="22"/>
        </w:rPr>
        <w:t>ačného</w:t>
      </w:r>
      <w:r w:rsidR="00141ACD" w:rsidRPr="002A4C9B">
        <w:rPr>
          <w:color w:val="000000"/>
          <w:szCs w:val="22"/>
        </w:rPr>
        <w:t xml:space="preserve"> syst</w:t>
      </w:r>
      <w:r w:rsidR="00141ACD">
        <w:rPr>
          <w:color w:val="000000"/>
          <w:szCs w:val="22"/>
        </w:rPr>
        <w:t>ému do injekčnej liekovky vo vrchnej časti. Nasajte do instilačného systému suspe</w:t>
      </w:r>
      <w:r w:rsidR="001229A3">
        <w:rPr>
          <w:color w:val="000000"/>
          <w:szCs w:val="22"/>
        </w:rPr>
        <w:t>n</w:t>
      </w:r>
      <w:r w:rsidR="00141ACD">
        <w:rPr>
          <w:color w:val="000000"/>
          <w:szCs w:val="22"/>
        </w:rPr>
        <w:t>dovaný</w:t>
      </w:r>
      <w:r w:rsidR="00141ACD" w:rsidRPr="002A4C9B">
        <w:rPr>
          <w:color w:val="000000"/>
          <w:szCs w:val="22"/>
        </w:rPr>
        <w:t xml:space="preserve"> </w:t>
      </w:r>
      <w:r w:rsidR="00141ACD">
        <w:rPr>
          <w:color w:val="000000"/>
          <w:szCs w:val="22"/>
        </w:rPr>
        <w:t>m</w:t>
      </w:r>
      <w:r w:rsidR="00141ACD" w:rsidRPr="002A4C9B">
        <w:rPr>
          <w:color w:val="000000"/>
          <w:szCs w:val="22"/>
        </w:rPr>
        <w:t>itomyc</w:t>
      </w:r>
      <w:r w:rsidR="00141ACD">
        <w:rPr>
          <w:color w:val="000000"/>
          <w:szCs w:val="22"/>
        </w:rPr>
        <w:t>í</w:t>
      </w:r>
      <w:r w:rsidR="00141ACD" w:rsidRPr="002A4C9B">
        <w:rPr>
          <w:color w:val="000000"/>
          <w:szCs w:val="22"/>
        </w:rPr>
        <w:t>n</w:t>
      </w:r>
      <w:r w:rsidR="00141ACD">
        <w:rPr>
          <w:color w:val="000000"/>
          <w:szCs w:val="22"/>
        </w:rPr>
        <w:t>. Neodstraňujte injekčnú liekovku.</w:t>
      </w:r>
      <w:r>
        <w:t xml:space="preserve"> </w:t>
      </w:r>
    </w:p>
    <w:p w:rsidR="00332AD1" w:rsidRPr="00495A0D" w:rsidRDefault="00332AD1" w:rsidP="00E13991">
      <w:pPr>
        <w:autoSpaceDE w:val="0"/>
        <w:autoSpaceDN w:val="0"/>
        <w:spacing w:before="0" w:after="0" w:line="260" w:lineRule="exact"/>
        <w:jc w:val="left"/>
        <w:rPr>
          <w:szCs w:val="22"/>
        </w:rPr>
      </w:pPr>
    </w:p>
    <w:p w:rsidR="00332AD1" w:rsidRPr="00495A0D" w:rsidRDefault="00332AD1" w:rsidP="00BD509C">
      <w:pPr>
        <w:autoSpaceDE w:val="0"/>
        <w:autoSpaceDN w:val="0"/>
        <w:spacing w:before="0" w:after="0" w:line="260" w:lineRule="exact"/>
        <w:rPr>
          <w:szCs w:val="22"/>
        </w:rPr>
      </w:pPr>
      <w:r>
        <w:t>(</w:t>
      </w:r>
      <w:r w:rsidR="00141ACD">
        <w:t>8</w:t>
      </w:r>
      <w:r>
        <w:t>)</w:t>
      </w:r>
      <w:r>
        <w:tab/>
      </w:r>
    </w:p>
    <w:p w:rsidR="00332AD1" w:rsidRPr="00495A0D" w:rsidRDefault="00EE14B5" w:rsidP="00501E41">
      <w:pPr>
        <w:tabs>
          <w:tab w:val="clear" w:pos="567"/>
        </w:tabs>
        <w:autoSpaceDE w:val="0"/>
        <w:autoSpaceDN w:val="0"/>
        <w:rPr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106680</wp:posOffset>
            </wp:positionV>
            <wp:extent cx="881380" cy="2037080"/>
            <wp:effectExtent l="0" t="0" r="0" b="1270"/>
            <wp:wrapTight wrapText="bothSides">
              <wp:wrapPolygon edited="0">
                <wp:start x="0" y="0"/>
                <wp:lineTo x="0" y="21411"/>
                <wp:lineTo x="21009" y="21411"/>
                <wp:lineTo x="21009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611B" w:rsidRDefault="0030611B" w:rsidP="00720D00">
      <w:pPr>
        <w:autoSpaceDE w:val="0"/>
        <w:autoSpaceDN w:val="0"/>
        <w:jc w:val="left"/>
      </w:pPr>
    </w:p>
    <w:p w:rsidR="0030611B" w:rsidRDefault="0030611B" w:rsidP="00720D00">
      <w:pPr>
        <w:autoSpaceDE w:val="0"/>
        <w:autoSpaceDN w:val="0"/>
        <w:jc w:val="left"/>
      </w:pPr>
    </w:p>
    <w:p w:rsidR="0030611B" w:rsidRDefault="0030611B" w:rsidP="00720D00">
      <w:pPr>
        <w:autoSpaceDE w:val="0"/>
        <w:autoSpaceDN w:val="0"/>
        <w:jc w:val="left"/>
      </w:pPr>
    </w:p>
    <w:p w:rsidR="0030611B" w:rsidRDefault="0030611B" w:rsidP="00720D00">
      <w:pPr>
        <w:autoSpaceDE w:val="0"/>
        <w:autoSpaceDN w:val="0"/>
        <w:jc w:val="left"/>
      </w:pPr>
    </w:p>
    <w:p w:rsidR="0030611B" w:rsidRDefault="0030611B" w:rsidP="00720D00">
      <w:pPr>
        <w:autoSpaceDE w:val="0"/>
        <w:autoSpaceDN w:val="0"/>
        <w:jc w:val="left"/>
      </w:pPr>
    </w:p>
    <w:p w:rsidR="0030611B" w:rsidRDefault="0030611B" w:rsidP="00720D00">
      <w:pPr>
        <w:autoSpaceDE w:val="0"/>
        <w:autoSpaceDN w:val="0"/>
        <w:jc w:val="left"/>
      </w:pPr>
    </w:p>
    <w:p w:rsidR="0030611B" w:rsidRDefault="0030611B" w:rsidP="00720D00">
      <w:pPr>
        <w:autoSpaceDE w:val="0"/>
        <w:autoSpaceDN w:val="0"/>
        <w:jc w:val="left"/>
      </w:pPr>
    </w:p>
    <w:p w:rsidR="0030611B" w:rsidRDefault="0030611B" w:rsidP="00720D00">
      <w:pPr>
        <w:autoSpaceDE w:val="0"/>
        <w:autoSpaceDN w:val="0"/>
        <w:jc w:val="left"/>
      </w:pPr>
    </w:p>
    <w:p w:rsidR="0030611B" w:rsidRDefault="00332AD1" w:rsidP="00720D00">
      <w:pPr>
        <w:autoSpaceDE w:val="0"/>
        <w:autoSpaceDN w:val="0"/>
        <w:spacing w:before="0" w:after="0"/>
        <w:jc w:val="left"/>
      </w:pPr>
      <w:r>
        <w:t xml:space="preserve">Držte instilačné zariadenie vo zvislej polohe. Teraz úplne odstráňte ochranný kryt. Pripojte katéter na </w:t>
      </w:r>
      <w:r w:rsidR="00141ACD">
        <w:t xml:space="preserve">instilačné </w:t>
      </w:r>
      <w:r>
        <w:t xml:space="preserve">zariadenie. Teraz odlomte tesniaci mechanizmus v trubicovej časti ohýbaním dozadu a dopredu a instilujte roztok. </w:t>
      </w:r>
    </w:p>
    <w:p w:rsidR="0030611B" w:rsidRDefault="00141ACD" w:rsidP="00720D00">
      <w:pPr>
        <w:tabs>
          <w:tab w:val="left" w:pos="850"/>
        </w:tabs>
        <w:spacing w:before="0" w:after="0"/>
        <w:rPr>
          <w:color w:val="000000"/>
          <w:szCs w:val="22"/>
        </w:rPr>
      </w:pPr>
      <w:r>
        <w:rPr>
          <w:color w:val="000000"/>
          <w:szCs w:val="22"/>
        </w:rPr>
        <w:t xml:space="preserve">Po ukončení </w:t>
      </w:r>
      <w:r w:rsidRPr="002A4C9B">
        <w:rPr>
          <w:color w:val="000000"/>
          <w:szCs w:val="22"/>
        </w:rPr>
        <w:t>instil</w:t>
      </w:r>
      <w:r>
        <w:rPr>
          <w:color w:val="000000"/>
          <w:szCs w:val="22"/>
        </w:rPr>
        <w:t>ácie uvoľnite katéter pretlačením vzduchu</w:t>
      </w:r>
      <w:r w:rsidRPr="002A4C9B">
        <w:rPr>
          <w:color w:val="000000"/>
          <w:szCs w:val="22"/>
        </w:rPr>
        <w:t>.</w:t>
      </w:r>
      <w:r w:rsidRPr="002A4C9B">
        <w:rPr>
          <w:szCs w:val="22"/>
          <w:lang w:eastAsia="de-DE"/>
        </w:rPr>
        <w:t xml:space="preserve"> </w:t>
      </w:r>
    </w:p>
    <w:p w:rsidR="0030611B" w:rsidRDefault="00141ACD" w:rsidP="00720D00">
      <w:pPr>
        <w:tabs>
          <w:tab w:val="left" w:pos="850"/>
        </w:tabs>
        <w:spacing w:before="0" w:after="0"/>
        <w:rPr>
          <w:szCs w:val="22"/>
        </w:rPr>
      </w:pPr>
      <w:r>
        <w:rPr>
          <w:color w:val="000000"/>
          <w:szCs w:val="22"/>
        </w:rPr>
        <w:t xml:space="preserve">Nechajte </w:t>
      </w:r>
      <w:r w:rsidRPr="002A4C9B">
        <w:rPr>
          <w:color w:val="000000"/>
          <w:szCs w:val="22"/>
        </w:rPr>
        <w:t>instil</w:t>
      </w:r>
      <w:r>
        <w:rPr>
          <w:color w:val="000000"/>
          <w:szCs w:val="22"/>
        </w:rPr>
        <w:t>ačný</w:t>
      </w:r>
      <w:r w:rsidRPr="002A4C9B">
        <w:rPr>
          <w:color w:val="000000"/>
          <w:szCs w:val="22"/>
        </w:rPr>
        <w:t xml:space="preserve"> syst</w:t>
      </w:r>
      <w:r>
        <w:rPr>
          <w:color w:val="000000"/>
          <w:szCs w:val="22"/>
        </w:rPr>
        <w:t>é</w:t>
      </w:r>
      <w:r w:rsidRPr="002A4C9B">
        <w:rPr>
          <w:color w:val="000000"/>
          <w:szCs w:val="22"/>
        </w:rPr>
        <w:t>m</w:t>
      </w:r>
      <w:r>
        <w:rPr>
          <w:color w:val="000000"/>
          <w:szCs w:val="22"/>
        </w:rPr>
        <w:t xml:space="preserve"> stlačený a dajte ho spolu s katétrom do vrecka na odpadky</w:t>
      </w:r>
      <w:r w:rsidRPr="002A4C9B">
        <w:rPr>
          <w:color w:val="000000"/>
          <w:szCs w:val="22"/>
        </w:rPr>
        <w:t>.</w:t>
      </w:r>
    </w:p>
    <w:p w:rsidR="0030611B" w:rsidRDefault="0030611B" w:rsidP="00720D00">
      <w:pPr>
        <w:spacing w:before="0" w:after="0"/>
        <w:jc w:val="left"/>
      </w:pPr>
    </w:p>
    <w:p w:rsidR="0064267A" w:rsidRPr="00BD509C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38416C" w:rsidRDefault="0064267A" w:rsidP="00BD509C">
      <w:pPr>
        <w:spacing w:before="0" w:after="0" w:line="260" w:lineRule="exact"/>
        <w:jc w:val="left"/>
        <w:rPr>
          <w:noProof/>
          <w:szCs w:val="22"/>
        </w:rPr>
      </w:pPr>
      <w:r>
        <w:rPr>
          <w:b/>
          <w:noProof/>
        </w:rPr>
        <w:t>7.</w:t>
      </w:r>
      <w:r>
        <w:tab/>
      </w:r>
      <w:r>
        <w:rPr>
          <w:b/>
          <w:noProof/>
        </w:rPr>
        <w:t>DRŽITEĽ ROZHODNUTIA O REGISTRÁCII</w:t>
      </w:r>
    </w:p>
    <w:p w:rsidR="0064267A" w:rsidRPr="0038416C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medac Gesellschaft für klinische Spezialpräparate mbH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Theaterstr. 6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22880 Wedel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Nemecko </w:t>
      </w:r>
    </w:p>
    <w:p w:rsidR="0023713E" w:rsidRPr="0023713E" w:rsidRDefault="0023713E" w:rsidP="0023713E">
      <w:pPr>
        <w:spacing w:before="0" w:after="0" w:line="260" w:lineRule="exact"/>
        <w:jc w:val="left"/>
      </w:pPr>
      <w:r w:rsidRPr="0023713E">
        <w:t xml:space="preserve">Tel.: +49 4103 8006-0 </w:t>
      </w:r>
    </w:p>
    <w:p w:rsidR="0064267A" w:rsidRPr="00BE265E" w:rsidRDefault="0023713E" w:rsidP="0023713E">
      <w:pPr>
        <w:spacing w:before="0" w:after="0" w:line="260" w:lineRule="exact"/>
        <w:jc w:val="left"/>
        <w:rPr>
          <w:noProof/>
          <w:szCs w:val="22"/>
        </w:rPr>
      </w:pPr>
      <w:r w:rsidRPr="0023713E">
        <w:t>Fax: +49 4103 8006-100</w:t>
      </w: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b/>
          <w:noProof/>
          <w:szCs w:val="22"/>
        </w:rPr>
      </w:pPr>
      <w:r>
        <w:rPr>
          <w:b/>
          <w:noProof/>
        </w:rPr>
        <w:t>8.</w:t>
      </w:r>
      <w:r>
        <w:tab/>
      </w:r>
      <w:r>
        <w:rPr>
          <w:b/>
          <w:noProof/>
        </w:rPr>
        <w:t xml:space="preserve">REGISTRAČNÉ ČÍSLO (ČÍSLA) </w:t>
      </w:r>
    </w:p>
    <w:p w:rsidR="0064267A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9C59C0" w:rsidRDefault="00127515" w:rsidP="00BD509C">
      <w:pPr>
        <w:spacing w:before="0" w:after="0" w:line="260" w:lineRule="exact"/>
        <w:jc w:val="left"/>
      </w:pPr>
      <w:r>
        <w:t>44/0271/16-S</w:t>
      </w:r>
    </w:p>
    <w:p w:rsidR="00D87D83" w:rsidRDefault="00D87D83" w:rsidP="00BD509C">
      <w:pPr>
        <w:spacing w:before="0" w:after="0" w:line="260" w:lineRule="exact"/>
        <w:jc w:val="left"/>
      </w:pPr>
    </w:p>
    <w:p w:rsidR="00D87D83" w:rsidRPr="00BE265E" w:rsidRDefault="00D87D83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106528">
      <w:pPr>
        <w:keepNext/>
        <w:keepLines/>
        <w:spacing w:before="0" w:after="0" w:line="260" w:lineRule="exact"/>
        <w:jc w:val="left"/>
        <w:rPr>
          <w:noProof/>
          <w:szCs w:val="22"/>
        </w:rPr>
      </w:pPr>
      <w:r>
        <w:rPr>
          <w:b/>
          <w:noProof/>
        </w:rPr>
        <w:lastRenderedPageBreak/>
        <w:t>9.</w:t>
      </w:r>
      <w:r>
        <w:tab/>
      </w:r>
      <w:r>
        <w:rPr>
          <w:b/>
          <w:noProof/>
        </w:rPr>
        <w:t>DÁTUM PRVEJ REGISTRÁCIE/ PREDĹŽENIA REGISTRÁCIE</w:t>
      </w:r>
    </w:p>
    <w:p w:rsidR="0064267A" w:rsidRPr="00BE265E" w:rsidRDefault="0064267A" w:rsidP="00106528">
      <w:pPr>
        <w:keepNext/>
        <w:keepLines/>
        <w:spacing w:before="0" w:after="0" w:line="260" w:lineRule="exact"/>
        <w:jc w:val="left"/>
        <w:rPr>
          <w:i/>
          <w:noProof/>
          <w:szCs w:val="22"/>
        </w:rPr>
      </w:pPr>
    </w:p>
    <w:p w:rsidR="0064267A" w:rsidRPr="00BD509C" w:rsidRDefault="00757160" w:rsidP="00106528">
      <w:pPr>
        <w:keepNext/>
        <w:keepLines/>
        <w:spacing w:before="0" w:after="0" w:line="260" w:lineRule="exact"/>
        <w:jc w:val="left"/>
        <w:rPr>
          <w:i/>
          <w:noProof/>
          <w:szCs w:val="22"/>
        </w:rPr>
      </w:pPr>
      <w:r>
        <w:t xml:space="preserve">Dátum prvej registrácie: </w:t>
      </w:r>
      <w:r w:rsidR="000443EA">
        <w:t>22. </w:t>
      </w:r>
      <w:r w:rsidR="00DE39BA" w:rsidRPr="00DE39BA">
        <w:t>jún</w:t>
      </w:r>
      <w:r w:rsidR="000443EA">
        <w:t> </w:t>
      </w:r>
      <w:r w:rsidR="00DE39BA">
        <w:t>2016</w:t>
      </w:r>
    </w:p>
    <w:p w:rsidR="0064267A" w:rsidRPr="00332AD1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Pr="00BE265E" w:rsidRDefault="0064267A" w:rsidP="00BD509C">
      <w:pPr>
        <w:spacing w:before="0" w:after="0" w:line="260" w:lineRule="exact"/>
        <w:jc w:val="left"/>
        <w:rPr>
          <w:noProof/>
          <w:szCs w:val="22"/>
        </w:rPr>
      </w:pPr>
    </w:p>
    <w:p w:rsidR="0064267A" w:rsidRDefault="0064267A" w:rsidP="00BD509C">
      <w:pPr>
        <w:spacing w:before="0" w:after="0" w:line="260" w:lineRule="exact"/>
        <w:jc w:val="left"/>
        <w:rPr>
          <w:b/>
          <w:noProof/>
        </w:rPr>
      </w:pPr>
      <w:r>
        <w:rPr>
          <w:b/>
          <w:noProof/>
        </w:rPr>
        <w:t>10.</w:t>
      </w:r>
      <w:r>
        <w:tab/>
      </w:r>
      <w:r>
        <w:rPr>
          <w:b/>
          <w:noProof/>
        </w:rPr>
        <w:t>DÁTUM REVÍZIE TEXTU</w:t>
      </w:r>
    </w:p>
    <w:p w:rsidR="0023713E" w:rsidRPr="0023713E" w:rsidRDefault="0023713E" w:rsidP="00BD509C">
      <w:pPr>
        <w:spacing w:before="0" w:after="0" w:line="260" w:lineRule="exact"/>
        <w:jc w:val="left"/>
        <w:rPr>
          <w:noProof/>
        </w:rPr>
      </w:pPr>
    </w:p>
    <w:p w:rsidR="0030611B" w:rsidRPr="00720D00" w:rsidRDefault="000D33D4" w:rsidP="00720D00">
      <w:pPr>
        <w:spacing w:before="0" w:after="0"/>
        <w:jc w:val="left"/>
        <w:rPr>
          <w:noProof/>
          <w:szCs w:val="22"/>
        </w:rPr>
      </w:pPr>
      <w:r>
        <w:rPr>
          <w:noProof/>
        </w:rPr>
        <w:t>03/2020</w:t>
      </w:r>
    </w:p>
    <w:p w:rsidR="0023713E" w:rsidRPr="0023713E" w:rsidRDefault="0023713E" w:rsidP="00BD509C">
      <w:pPr>
        <w:spacing w:before="0" w:after="0" w:line="260" w:lineRule="exact"/>
        <w:jc w:val="left"/>
      </w:pPr>
    </w:p>
    <w:sectPr w:rsidR="0023713E" w:rsidRPr="0023713E" w:rsidSect="0054154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59" w:rsidRDefault="00A66A59" w:rsidP="00A76CC3">
      <w:r>
        <w:separator/>
      </w:r>
    </w:p>
  </w:endnote>
  <w:endnote w:type="continuationSeparator" w:id="0">
    <w:p w:rsidR="00A66A59" w:rsidRDefault="00A66A59" w:rsidP="00A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44" w:rsidRPr="00960474" w:rsidRDefault="005A0B44" w:rsidP="0054154C">
    <w:pPr>
      <w:tabs>
        <w:tab w:val="center" w:pos="4536"/>
        <w:tab w:val="right" w:pos="8306"/>
        <w:tab w:val="right" w:pos="8931"/>
      </w:tabs>
      <w:spacing w:before="0" w:after="0" w:line="260" w:lineRule="exact"/>
      <w:ind w:right="96"/>
      <w:jc w:val="lef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44" w:rsidRPr="00804656" w:rsidRDefault="005A0B44" w:rsidP="00804656">
    <w:pPr>
      <w:tabs>
        <w:tab w:val="center" w:pos="4536"/>
        <w:tab w:val="right" w:pos="8306"/>
        <w:tab w:val="right" w:pos="8931"/>
      </w:tabs>
      <w:spacing w:before="0" w:after="0" w:line="260" w:lineRule="exact"/>
      <w:ind w:right="96"/>
      <w:jc w:val="left"/>
      <w:rPr>
        <w:noProof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59" w:rsidRDefault="00A66A59" w:rsidP="00A76CC3">
      <w:r>
        <w:separator/>
      </w:r>
    </w:p>
  </w:footnote>
  <w:footnote w:type="continuationSeparator" w:id="0">
    <w:p w:rsidR="00A66A59" w:rsidRDefault="00A66A59" w:rsidP="00A76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03" w:rsidRDefault="00A15303" w:rsidP="00720D00">
    <w:pPr>
      <w:pStyle w:val="Hlavika"/>
      <w:spacing w:before="0" w:after="0"/>
      <w:rPr>
        <w:sz w:val="18"/>
        <w:szCs w:val="18"/>
      </w:rPr>
    </w:pPr>
    <w:r w:rsidRPr="00B00B60">
      <w:rPr>
        <w:sz w:val="18"/>
        <w:szCs w:val="18"/>
      </w:rPr>
      <w:t xml:space="preserve">Príloha </w:t>
    </w:r>
    <w:r>
      <w:rPr>
        <w:sz w:val="18"/>
        <w:szCs w:val="18"/>
      </w:rPr>
      <w:t>č.1</w:t>
    </w:r>
    <w:r w:rsidRPr="00B00B60">
      <w:rPr>
        <w:sz w:val="18"/>
        <w:szCs w:val="18"/>
      </w:rPr>
      <w:t xml:space="preserve"> k notifikácii o zmene, </w:t>
    </w:r>
    <w:proofErr w:type="spellStart"/>
    <w:r w:rsidRPr="00B00B60">
      <w:rPr>
        <w:sz w:val="18"/>
        <w:szCs w:val="18"/>
      </w:rPr>
      <w:t>ev.č</w:t>
    </w:r>
    <w:proofErr w:type="spellEnd"/>
    <w:r w:rsidRPr="00B00B60">
      <w:rPr>
        <w:sz w:val="18"/>
        <w:szCs w:val="18"/>
      </w:rPr>
      <w:t xml:space="preserve">.: </w:t>
    </w:r>
    <w:r>
      <w:rPr>
        <w:sz w:val="18"/>
        <w:szCs w:val="18"/>
      </w:rPr>
      <w:t xml:space="preserve">2015/07510-ZIB, </w:t>
    </w:r>
    <w:r w:rsidRPr="00B00B60">
      <w:rPr>
        <w:sz w:val="18"/>
        <w:szCs w:val="18"/>
      </w:rPr>
      <w:t>2016/02621-ZIA</w:t>
    </w:r>
  </w:p>
  <w:p w:rsidR="00A15303" w:rsidRPr="00B00B60" w:rsidRDefault="00A15303" w:rsidP="00720D00">
    <w:pPr>
      <w:pStyle w:val="Hlavika"/>
      <w:spacing w:before="0" w:after="0"/>
      <w:rPr>
        <w:sz w:val="18"/>
        <w:szCs w:val="18"/>
      </w:rPr>
    </w:pPr>
    <w:r>
      <w:rPr>
        <w:sz w:val="18"/>
        <w:szCs w:val="18"/>
      </w:rPr>
      <w:t xml:space="preserve">Schválený text k rozhodnutiu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2019/03171-ZME</w:t>
    </w:r>
  </w:p>
  <w:p w:rsidR="00064342" w:rsidRDefault="0006434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44" w:rsidRDefault="005A0B44" w:rsidP="00804656">
    <w:pPr>
      <w:tabs>
        <w:tab w:val="clear" w:pos="567"/>
        <w:tab w:val="center" w:pos="4513"/>
        <w:tab w:val="right" w:pos="9026"/>
      </w:tabs>
    </w:pPr>
    <w:r w:rsidRPr="00FA7355">
      <w:rPr>
        <w:sz w:val="18"/>
        <w:szCs w:val="18"/>
        <w:lang w:eastAsia="en-US"/>
      </w:rPr>
      <w:t>Schválený text k rozhodnutiu o registrácii, ev. č.: 2013/07036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4FA7"/>
    <w:multiLevelType w:val="multilevel"/>
    <w:tmpl w:val="20828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D31F71"/>
    <w:multiLevelType w:val="hybridMultilevel"/>
    <w:tmpl w:val="FD4048F8"/>
    <w:lvl w:ilvl="0" w:tplc="C24208B8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754F"/>
    <w:multiLevelType w:val="hybridMultilevel"/>
    <w:tmpl w:val="574C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670EC"/>
    <w:multiLevelType w:val="hybridMultilevel"/>
    <w:tmpl w:val="C1F44A84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21D1"/>
    <w:multiLevelType w:val="hybridMultilevel"/>
    <w:tmpl w:val="718EB0E0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A7E2B"/>
    <w:multiLevelType w:val="multilevel"/>
    <w:tmpl w:val="1A92B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04F0CAB"/>
    <w:multiLevelType w:val="multilevel"/>
    <w:tmpl w:val="66C86B5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624" w:hanging="624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24" w:hanging="624"/>
      </w:pPr>
      <w:rPr>
        <w:rFonts w:ascii="Times New Roman" w:hAnsi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A"/>
    <w:rsid w:val="000004C1"/>
    <w:rsid w:val="000113DD"/>
    <w:rsid w:val="00011ADB"/>
    <w:rsid w:val="0001305C"/>
    <w:rsid w:val="00013702"/>
    <w:rsid w:val="00013C1B"/>
    <w:rsid w:val="00015165"/>
    <w:rsid w:val="00016485"/>
    <w:rsid w:val="00022B6A"/>
    <w:rsid w:val="000365C8"/>
    <w:rsid w:val="00037B71"/>
    <w:rsid w:val="000443EA"/>
    <w:rsid w:val="00044EBE"/>
    <w:rsid w:val="000461BF"/>
    <w:rsid w:val="00046302"/>
    <w:rsid w:val="00046847"/>
    <w:rsid w:val="00054426"/>
    <w:rsid w:val="00060662"/>
    <w:rsid w:val="00064342"/>
    <w:rsid w:val="00064553"/>
    <w:rsid w:val="00071CAB"/>
    <w:rsid w:val="000871B8"/>
    <w:rsid w:val="00090984"/>
    <w:rsid w:val="00091144"/>
    <w:rsid w:val="0009611E"/>
    <w:rsid w:val="000A35C5"/>
    <w:rsid w:val="000A52ED"/>
    <w:rsid w:val="000B4AFE"/>
    <w:rsid w:val="000B5471"/>
    <w:rsid w:val="000B6B03"/>
    <w:rsid w:val="000B77EC"/>
    <w:rsid w:val="000C2B3B"/>
    <w:rsid w:val="000C6BF3"/>
    <w:rsid w:val="000D15C2"/>
    <w:rsid w:val="000D28E7"/>
    <w:rsid w:val="000D33D4"/>
    <w:rsid w:val="000D7B16"/>
    <w:rsid w:val="000E40E3"/>
    <w:rsid w:val="000E65F7"/>
    <w:rsid w:val="0010375B"/>
    <w:rsid w:val="0010403C"/>
    <w:rsid w:val="00104782"/>
    <w:rsid w:val="00106528"/>
    <w:rsid w:val="00111B1D"/>
    <w:rsid w:val="00113011"/>
    <w:rsid w:val="001229A3"/>
    <w:rsid w:val="00123740"/>
    <w:rsid w:val="00127515"/>
    <w:rsid w:val="00130756"/>
    <w:rsid w:val="00131278"/>
    <w:rsid w:val="00132BEA"/>
    <w:rsid w:val="00136C04"/>
    <w:rsid w:val="00141ACD"/>
    <w:rsid w:val="001449AB"/>
    <w:rsid w:val="001525D0"/>
    <w:rsid w:val="00154499"/>
    <w:rsid w:val="00155CB2"/>
    <w:rsid w:val="00171BDC"/>
    <w:rsid w:val="00171C87"/>
    <w:rsid w:val="00171EED"/>
    <w:rsid w:val="00173E45"/>
    <w:rsid w:val="001765C8"/>
    <w:rsid w:val="001769F3"/>
    <w:rsid w:val="00181465"/>
    <w:rsid w:val="001844CF"/>
    <w:rsid w:val="00196467"/>
    <w:rsid w:val="00196D00"/>
    <w:rsid w:val="001A61F1"/>
    <w:rsid w:val="001B3E38"/>
    <w:rsid w:val="001B73E3"/>
    <w:rsid w:val="001C74DD"/>
    <w:rsid w:val="001C7AFA"/>
    <w:rsid w:val="001D434D"/>
    <w:rsid w:val="001D5333"/>
    <w:rsid w:val="001E42E4"/>
    <w:rsid w:val="001F0FC1"/>
    <w:rsid w:val="001F44D4"/>
    <w:rsid w:val="00201AB0"/>
    <w:rsid w:val="00211FCC"/>
    <w:rsid w:val="002164EC"/>
    <w:rsid w:val="00224DED"/>
    <w:rsid w:val="002259DF"/>
    <w:rsid w:val="0023152D"/>
    <w:rsid w:val="00231641"/>
    <w:rsid w:val="0023713E"/>
    <w:rsid w:val="00241F57"/>
    <w:rsid w:val="00244972"/>
    <w:rsid w:val="00250DDB"/>
    <w:rsid w:val="00254DA9"/>
    <w:rsid w:val="00261A7B"/>
    <w:rsid w:val="00264419"/>
    <w:rsid w:val="0026789C"/>
    <w:rsid w:val="00271C09"/>
    <w:rsid w:val="00271FCF"/>
    <w:rsid w:val="00283C88"/>
    <w:rsid w:val="00284B53"/>
    <w:rsid w:val="00292EC9"/>
    <w:rsid w:val="002961E1"/>
    <w:rsid w:val="002A35F9"/>
    <w:rsid w:val="002A5950"/>
    <w:rsid w:val="002A7CD9"/>
    <w:rsid w:val="002A7D96"/>
    <w:rsid w:val="002B2521"/>
    <w:rsid w:val="002B306A"/>
    <w:rsid w:val="002E1C5A"/>
    <w:rsid w:val="002E7810"/>
    <w:rsid w:val="002F4403"/>
    <w:rsid w:val="002F5DDC"/>
    <w:rsid w:val="002F742E"/>
    <w:rsid w:val="0030611B"/>
    <w:rsid w:val="00306528"/>
    <w:rsid w:val="00313173"/>
    <w:rsid w:val="00314FDE"/>
    <w:rsid w:val="00317377"/>
    <w:rsid w:val="00320F55"/>
    <w:rsid w:val="00331D03"/>
    <w:rsid w:val="00332046"/>
    <w:rsid w:val="00332AD1"/>
    <w:rsid w:val="00333599"/>
    <w:rsid w:val="00336072"/>
    <w:rsid w:val="0034060F"/>
    <w:rsid w:val="00342CE3"/>
    <w:rsid w:val="003438EA"/>
    <w:rsid w:val="003547EC"/>
    <w:rsid w:val="00362DBA"/>
    <w:rsid w:val="003757CD"/>
    <w:rsid w:val="0038416C"/>
    <w:rsid w:val="00395C81"/>
    <w:rsid w:val="003A201B"/>
    <w:rsid w:val="003A5337"/>
    <w:rsid w:val="003C1BEF"/>
    <w:rsid w:val="003D6CBC"/>
    <w:rsid w:val="003E6F78"/>
    <w:rsid w:val="003F2323"/>
    <w:rsid w:val="0042042B"/>
    <w:rsid w:val="00425B18"/>
    <w:rsid w:val="0043127D"/>
    <w:rsid w:val="004329EA"/>
    <w:rsid w:val="004439FA"/>
    <w:rsid w:val="00452F20"/>
    <w:rsid w:val="0045357C"/>
    <w:rsid w:val="004670AC"/>
    <w:rsid w:val="00471B22"/>
    <w:rsid w:val="004720CD"/>
    <w:rsid w:val="004721AE"/>
    <w:rsid w:val="0048004F"/>
    <w:rsid w:val="00481B23"/>
    <w:rsid w:val="004962F9"/>
    <w:rsid w:val="0049732C"/>
    <w:rsid w:val="004A3B82"/>
    <w:rsid w:val="004A5C54"/>
    <w:rsid w:val="004A7B76"/>
    <w:rsid w:val="004B1B9C"/>
    <w:rsid w:val="004B2A0D"/>
    <w:rsid w:val="004B4A86"/>
    <w:rsid w:val="004B4C38"/>
    <w:rsid w:val="004C3169"/>
    <w:rsid w:val="004C6284"/>
    <w:rsid w:val="004C6A76"/>
    <w:rsid w:val="004D2F77"/>
    <w:rsid w:val="004D7D41"/>
    <w:rsid w:val="004E03B8"/>
    <w:rsid w:val="004E2E65"/>
    <w:rsid w:val="004E3FF0"/>
    <w:rsid w:val="004F53AF"/>
    <w:rsid w:val="004F6275"/>
    <w:rsid w:val="00500296"/>
    <w:rsid w:val="00501E41"/>
    <w:rsid w:val="00504CDD"/>
    <w:rsid w:val="005051FF"/>
    <w:rsid w:val="00512FBF"/>
    <w:rsid w:val="005144DE"/>
    <w:rsid w:val="00515AB3"/>
    <w:rsid w:val="00521E74"/>
    <w:rsid w:val="00523036"/>
    <w:rsid w:val="00524E3C"/>
    <w:rsid w:val="00535E42"/>
    <w:rsid w:val="00540EC3"/>
    <w:rsid w:val="0054154C"/>
    <w:rsid w:val="0054333A"/>
    <w:rsid w:val="00544BDC"/>
    <w:rsid w:val="005450AA"/>
    <w:rsid w:val="005531C6"/>
    <w:rsid w:val="00553B9C"/>
    <w:rsid w:val="005635D0"/>
    <w:rsid w:val="00563DF2"/>
    <w:rsid w:val="00571A8E"/>
    <w:rsid w:val="00573B40"/>
    <w:rsid w:val="00577057"/>
    <w:rsid w:val="00580459"/>
    <w:rsid w:val="00580B79"/>
    <w:rsid w:val="00580D4E"/>
    <w:rsid w:val="00587FBD"/>
    <w:rsid w:val="00590480"/>
    <w:rsid w:val="005956FB"/>
    <w:rsid w:val="005963CA"/>
    <w:rsid w:val="005A0B44"/>
    <w:rsid w:val="005B5836"/>
    <w:rsid w:val="005B654C"/>
    <w:rsid w:val="005C1030"/>
    <w:rsid w:val="005C165D"/>
    <w:rsid w:val="005C3A48"/>
    <w:rsid w:val="005D18BF"/>
    <w:rsid w:val="005D19AE"/>
    <w:rsid w:val="005D1D83"/>
    <w:rsid w:val="005D7EBD"/>
    <w:rsid w:val="005E7E95"/>
    <w:rsid w:val="005F6FC3"/>
    <w:rsid w:val="00601663"/>
    <w:rsid w:val="00630DE9"/>
    <w:rsid w:val="006318D8"/>
    <w:rsid w:val="00641A16"/>
    <w:rsid w:val="0064267A"/>
    <w:rsid w:val="006426F8"/>
    <w:rsid w:val="0065388E"/>
    <w:rsid w:val="00664A9E"/>
    <w:rsid w:val="0067064F"/>
    <w:rsid w:val="00671431"/>
    <w:rsid w:val="00675907"/>
    <w:rsid w:val="00686F4F"/>
    <w:rsid w:val="00687BA1"/>
    <w:rsid w:val="00692EEE"/>
    <w:rsid w:val="006942B7"/>
    <w:rsid w:val="006B197B"/>
    <w:rsid w:val="006C1282"/>
    <w:rsid w:val="006C42F8"/>
    <w:rsid w:val="006E535D"/>
    <w:rsid w:val="00702EB5"/>
    <w:rsid w:val="0070616E"/>
    <w:rsid w:val="00713025"/>
    <w:rsid w:val="00720D00"/>
    <w:rsid w:val="00722378"/>
    <w:rsid w:val="007260EB"/>
    <w:rsid w:val="007476D4"/>
    <w:rsid w:val="00751316"/>
    <w:rsid w:val="00757160"/>
    <w:rsid w:val="007603CA"/>
    <w:rsid w:val="007613AE"/>
    <w:rsid w:val="007719F3"/>
    <w:rsid w:val="00773962"/>
    <w:rsid w:val="007875C9"/>
    <w:rsid w:val="00790DD1"/>
    <w:rsid w:val="00791092"/>
    <w:rsid w:val="00795719"/>
    <w:rsid w:val="00796207"/>
    <w:rsid w:val="007A368C"/>
    <w:rsid w:val="007A5B4A"/>
    <w:rsid w:val="007A6934"/>
    <w:rsid w:val="007B1E2B"/>
    <w:rsid w:val="007B3C14"/>
    <w:rsid w:val="007C179F"/>
    <w:rsid w:val="007C5677"/>
    <w:rsid w:val="007D5FB8"/>
    <w:rsid w:val="007D7425"/>
    <w:rsid w:val="007E2763"/>
    <w:rsid w:val="007E546C"/>
    <w:rsid w:val="0080462D"/>
    <w:rsid w:val="00804656"/>
    <w:rsid w:val="008133C6"/>
    <w:rsid w:val="00817746"/>
    <w:rsid w:val="00817C77"/>
    <w:rsid w:val="00820BA2"/>
    <w:rsid w:val="0082410B"/>
    <w:rsid w:val="00832866"/>
    <w:rsid w:val="00843A45"/>
    <w:rsid w:val="00843DBE"/>
    <w:rsid w:val="00844130"/>
    <w:rsid w:val="008500B7"/>
    <w:rsid w:val="00853DAC"/>
    <w:rsid w:val="00874962"/>
    <w:rsid w:val="00884A65"/>
    <w:rsid w:val="008A7728"/>
    <w:rsid w:val="008B0CE5"/>
    <w:rsid w:val="008B0F25"/>
    <w:rsid w:val="008B5401"/>
    <w:rsid w:val="008B7ECB"/>
    <w:rsid w:val="008C3C1B"/>
    <w:rsid w:val="008D094F"/>
    <w:rsid w:val="008D6339"/>
    <w:rsid w:val="008D7E69"/>
    <w:rsid w:val="008E619D"/>
    <w:rsid w:val="008F1861"/>
    <w:rsid w:val="0090107A"/>
    <w:rsid w:val="00911F8A"/>
    <w:rsid w:val="00913DAE"/>
    <w:rsid w:val="00920911"/>
    <w:rsid w:val="0092588B"/>
    <w:rsid w:val="00935289"/>
    <w:rsid w:val="009555C2"/>
    <w:rsid w:val="00960474"/>
    <w:rsid w:val="0096452B"/>
    <w:rsid w:val="00966BC2"/>
    <w:rsid w:val="00970079"/>
    <w:rsid w:val="009760F6"/>
    <w:rsid w:val="00982494"/>
    <w:rsid w:val="00983D7D"/>
    <w:rsid w:val="00991F73"/>
    <w:rsid w:val="00997F81"/>
    <w:rsid w:val="009C3ECE"/>
    <w:rsid w:val="009C59C0"/>
    <w:rsid w:val="009C7648"/>
    <w:rsid w:val="009D0274"/>
    <w:rsid w:val="009D0628"/>
    <w:rsid w:val="00A11335"/>
    <w:rsid w:val="00A15303"/>
    <w:rsid w:val="00A25D29"/>
    <w:rsid w:val="00A407FE"/>
    <w:rsid w:val="00A40B54"/>
    <w:rsid w:val="00A42C9B"/>
    <w:rsid w:val="00A43C57"/>
    <w:rsid w:val="00A47B33"/>
    <w:rsid w:val="00A57CDD"/>
    <w:rsid w:val="00A63A86"/>
    <w:rsid w:val="00A66A59"/>
    <w:rsid w:val="00A67111"/>
    <w:rsid w:val="00A76CC3"/>
    <w:rsid w:val="00A9036B"/>
    <w:rsid w:val="00A91C48"/>
    <w:rsid w:val="00A93830"/>
    <w:rsid w:val="00A97FC9"/>
    <w:rsid w:val="00AA73F8"/>
    <w:rsid w:val="00AB2998"/>
    <w:rsid w:val="00AB6CBA"/>
    <w:rsid w:val="00AB76DA"/>
    <w:rsid w:val="00AC254B"/>
    <w:rsid w:val="00AC3CB5"/>
    <w:rsid w:val="00AC4586"/>
    <w:rsid w:val="00AC71AB"/>
    <w:rsid w:val="00AE1F3C"/>
    <w:rsid w:val="00AE2E06"/>
    <w:rsid w:val="00AE35D0"/>
    <w:rsid w:val="00AF16E2"/>
    <w:rsid w:val="00AF36FE"/>
    <w:rsid w:val="00AF439B"/>
    <w:rsid w:val="00B02EFC"/>
    <w:rsid w:val="00B05334"/>
    <w:rsid w:val="00B1013A"/>
    <w:rsid w:val="00B17048"/>
    <w:rsid w:val="00B248DE"/>
    <w:rsid w:val="00B26261"/>
    <w:rsid w:val="00B32AB6"/>
    <w:rsid w:val="00B33F30"/>
    <w:rsid w:val="00B36277"/>
    <w:rsid w:val="00B37A89"/>
    <w:rsid w:val="00B427D8"/>
    <w:rsid w:val="00B4432B"/>
    <w:rsid w:val="00B451D8"/>
    <w:rsid w:val="00B455AD"/>
    <w:rsid w:val="00B46B43"/>
    <w:rsid w:val="00B61317"/>
    <w:rsid w:val="00B7168B"/>
    <w:rsid w:val="00B77B6F"/>
    <w:rsid w:val="00B8284B"/>
    <w:rsid w:val="00B84748"/>
    <w:rsid w:val="00B866C6"/>
    <w:rsid w:val="00B87490"/>
    <w:rsid w:val="00B945D5"/>
    <w:rsid w:val="00BC4B32"/>
    <w:rsid w:val="00BD22AF"/>
    <w:rsid w:val="00BD3345"/>
    <w:rsid w:val="00BD509C"/>
    <w:rsid w:val="00BD59C0"/>
    <w:rsid w:val="00BE1074"/>
    <w:rsid w:val="00BE265E"/>
    <w:rsid w:val="00C0288B"/>
    <w:rsid w:val="00C10F1F"/>
    <w:rsid w:val="00C16F0B"/>
    <w:rsid w:val="00C37543"/>
    <w:rsid w:val="00C40B7C"/>
    <w:rsid w:val="00C42F4A"/>
    <w:rsid w:val="00C4478D"/>
    <w:rsid w:val="00C47167"/>
    <w:rsid w:val="00C52165"/>
    <w:rsid w:val="00C57BE1"/>
    <w:rsid w:val="00C63C92"/>
    <w:rsid w:val="00C64938"/>
    <w:rsid w:val="00C765A0"/>
    <w:rsid w:val="00C77B2B"/>
    <w:rsid w:val="00C8517E"/>
    <w:rsid w:val="00C90C76"/>
    <w:rsid w:val="00C941D2"/>
    <w:rsid w:val="00C95411"/>
    <w:rsid w:val="00C97CC1"/>
    <w:rsid w:val="00CA2532"/>
    <w:rsid w:val="00CB064B"/>
    <w:rsid w:val="00CB0CD8"/>
    <w:rsid w:val="00CB4EEA"/>
    <w:rsid w:val="00CD3C7D"/>
    <w:rsid w:val="00CD6D1E"/>
    <w:rsid w:val="00CF08A0"/>
    <w:rsid w:val="00D04938"/>
    <w:rsid w:val="00D10F02"/>
    <w:rsid w:val="00D11206"/>
    <w:rsid w:val="00D1694C"/>
    <w:rsid w:val="00D214A0"/>
    <w:rsid w:val="00D309ED"/>
    <w:rsid w:val="00D3216D"/>
    <w:rsid w:val="00D368D8"/>
    <w:rsid w:val="00D37588"/>
    <w:rsid w:val="00D423A4"/>
    <w:rsid w:val="00D43452"/>
    <w:rsid w:val="00D43D49"/>
    <w:rsid w:val="00D56C87"/>
    <w:rsid w:val="00D57C06"/>
    <w:rsid w:val="00D6433C"/>
    <w:rsid w:val="00D72181"/>
    <w:rsid w:val="00D75ED9"/>
    <w:rsid w:val="00D86E98"/>
    <w:rsid w:val="00D86F66"/>
    <w:rsid w:val="00D87D83"/>
    <w:rsid w:val="00D9048B"/>
    <w:rsid w:val="00D93B41"/>
    <w:rsid w:val="00DA573E"/>
    <w:rsid w:val="00DC30D0"/>
    <w:rsid w:val="00DE0810"/>
    <w:rsid w:val="00DE39BA"/>
    <w:rsid w:val="00DE3E25"/>
    <w:rsid w:val="00DF51AE"/>
    <w:rsid w:val="00E00D30"/>
    <w:rsid w:val="00E022D8"/>
    <w:rsid w:val="00E101A2"/>
    <w:rsid w:val="00E13991"/>
    <w:rsid w:val="00E206E4"/>
    <w:rsid w:val="00E605C5"/>
    <w:rsid w:val="00E6158D"/>
    <w:rsid w:val="00E63E9E"/>
    <w:rsid w:val="00E71439"/>
    <w:rsid w:val="00E72A16"/>
    <w:rsid w:val="00E768A9"/>
    <w:rsid w:val="00E76B1B"/>
    <w:rsid w:val="00E90E1F"/>
    <w:rsid w:val="00E91279"/>
    <w:rsid w:val="00E92694"/>
    <w:rsid w:val="00E97FB4"/>
    <w:rsid w:val="00EB0695"/>
    <w:rsid w:val="00EB708F"/>
    <w:rsid w:val="00EC08D2"/>
    <w:rsid w:val="00EC21E8"/>
    <w:rsid w:val="00EC2CCE"/>
    <w:rsid w:val="00EC5F55"/>
    <w:rsid w:val="00EE14B5"/>
    <w:rsid w:val="00EE6999"/>
    <w:rsid w:val="00F25D73"/>
    <w:rsid w:val="00F464A0"/>
    <w:rsid w:val="00F51C59"/>
    <w:rsid w:val="00F53159"/>
    <w:rsid w:val="00F55709"/>
    <w:rsid w:val="00F557CC"/>
    <w:rsid w:val="00F623EC"/>
    <w:rsid w:val="00F63597"/>
    <w:rsid w:val="00F66155"/>
    <w:rsid w:val="00F71DD4"/>
    <w:rsid w:val="00F82C97"/>
    <w:rsid w:val="00F8646A"/>
    <w:rsid w:val="00F86C5E"/>
    <w:rsid w:val="00FA0D98"/>
    <w:rsid w:val="00FA1276"/>
    <w:rsid w:val="00FA7355"/>
    <w:rsid w:val="00FB3EF5"/>
    <w:rsid w:val="00FB4853"/>
    <w:rsid w:val="00FB6D44"/>
    <w:rsid w:val="00FD0F87"/>
    <w:rsid w:val="00FD1379"/>
    <w:rsid w:val="00FD59A3"/>
    <w:rsid w:val="00FD7203"/>
    <w:rsid w:val="00FD7BF9"/>
    <w:rsid w:val="00FE299A"/>
    <w:rsid w:val="00FE2C96"/>
    <w:rsid w:val="00FE2DED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496C45-B54D-4A97-B324-F3CB1B2F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628"/>
    <w:pPr>
      <w:tabs>
        <w:tab w:val="left" w:pos="567"/>
      </w:tabs>
      <w:spacing w:before="120" w:after="60"/>
      <w:jc w:val="both"/>
    </w:pPr>
    <w:rPr>
      <w:rFonts w:ascii="Times New Roman" w:eastAsia="Times New Roman" w:hAnsi="Times New Roman" w:cs="Times New Roman"/>
      <w:sz w:val="22"/>
      <w:lang w:bidi="sk-SK"/>
    </w:rPr>
  </w:style>
  <w:style w:type="paragraph" w:styleId="Nadpis1">
    <w:name w:val="heading 1"/>
    <w:basedOn w:val="Normlny"/>
    <w:next w:val="Normlny"/>
    <w:link w:val="berschrift1Zchn"/>
    <w:uiPriority w:val="9"/>
    <w:qFormat/>
    <w:rsid w:val="009D0628"/>
    <w:pPr>
      <w:keepNext/>
      <w:numPr>
        <w:numId w:val="5"/>
      </w:numPr>
      <w:ind w:left="357" w:hanging="357"/>
      <w:outlineLvl w:val="0"/>
    </w:pPr>
    <w:rPr>
      <w:b/>
      <w:bCs/>
      <w:caps/>
      <w:kern w:val="32"/>
      <w:szCs w:val="32"/>
      <w:lang w:bidi="ar-SA"/>
    </w:rPr>
  </w:style>
  <w:style w:type="paragraph" w:styleId="Nadpis2">
    <w:name w:val="heading 2"/>
    <w:basedOn w:val="Normlny"/>
    <w:next w:val="Normlny"/>
    <w:link w:val="berschrift2Zchn"/>
    <w:uiPriority w:val="9"/>
    <w:qFormat/>
    <w:rsid w:val="009D0628"/>
    <w:pPr>
      <w:keepNext/>
      <w:numPr>
        <w:ilvl w:val="1"/>
        <w:numId w:val="5"/>
      </w:numPr>
      <w:tabs>
        <w:tab w:val="clear" w:pos="510"/>
      </w:tabs>
      <w:ind w:left="567" w:hanging="567"/>
      <w:outlineLvl w:val="1"/>
    </w:pPr>
    <w:rPr>
      <w:b/>
      <w:bCs/>
      <w:iCs/>
      <w:szCs w:val="28"/>
      <w:lang w:bidi="ar-SA"/>
    </w:rPr>
  </w:style>
  <w:style w:type="paragraph" w:styleId="Nadpis3">
    <w:name w:val="heading 3"/>
    <w:basedOn w:val="Normlny"/>
    <w:next w:val="Normlny"/>
    <w:link w:val="berschrift3Zchn"/>
    <w:uiPriority w:val="9"/>
    <w:qFormat/>
    <w:rsid w:val="00B427D8"/>
    <w:pPr>
      <w:keepNext/>
      <w:numPr>
        <w:ilvl w:val="2"/>
        <w:numId w:val="5"/>
      </w:numPr>
      <w:spacing w:before="24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y"/>
    <w:next w:val="Normlny"/>
    <w:link w:val="berschrift4Zchn"/>
    <w:uiPriority w:val="9"/>
    <w:qFormat/>
    <w:rsid w:val="00B427D8"/>
    <w:pPr>
      <w:keepNext/>
      <w:numPr>
        <w:ilvl w:val="3"/>
        <w:numId w:val="5"/>
      </w:numPr>
      <w:spacing w:before="24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dpis5">
    <w:name w:val="heading 5"/>
    <w:basedOn w:val="Normlny"/>
    <w:next w:val="Normlny"/>
    <w:link w:val="berschrift5Zchn"/>
    <w:uiPriority w:val="9"/>
    <w:qFormat/>
    <w:rsid w:val="00B427D8"/>
    <w:pPr>
      <w:numPr>
        <w:ilvl w:val="4"/>
        <w:numId w:val="5"/>
      </w:numPr>
      <w:spacing w:before="24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dpis6">
    <w:name w:val="heading 6"/>
    <w:basedOn w:val="Normlny"/>
    <w:next w:val="Normlny"/>
    <w:link w:val="berschrift6Zchn"/>
    <w:uiPriority w:val="9"/>
    <w:qFormat/>
    <w:rsid w:val="00B427D8"/>
    <w:pPr>
      <w:numPr>
        <w:ilvl w:val="5"/>
        <w:numId w:val="5"/>
      </w:numPr>
      <w:spacing w:before="240"/>
      <w:outlineLvl w:val="5"/>
    </w:pPr>
    <w:rPr>
      <w:rFonts w:ascii="Calibri" w:hAnsi="Calibri"/>
      <w:b/>
      <w:bCs/>
      <w:szCs w:val="22"/>
      <w:lang w:bidi="ar-SA"/>
    </w:rPr>
  </w:style>
  <w:style w:type="paragraph" w:styleId="Nadpis7">
    <w:name w:val="heading 7"/>
    <w:basedOn w:val="Normlny"/>
    <w:next w:val="Normlny"/>
    <w:link w:val="berschrift7Zchn"/>
    <w:uiPriority w:val="9"/>
    <w:qFormat/>
    <w:rsid w:val="00B427D8"/>
    <w:pPr>
      <w:numPr>
        <w:ilvl w:val="6"/>
        <w:numId w:val="5"/>
      </w:numPr>
      <w:spacing w:before="240"/>
      <w:outlineLvl w:val="6"/>
    </w:pPr>
    <w:rPr>
      <w:rFonts w:ascii="Calibri" w:hAnsi="Calibri"/>
      <w:sz w:val="24"/>
      <w:szCs w:val="24"/>
      <w:lang w:bidi="ar-SA"/>
    </w:rPr>
  </w:style>
  <w:style w:type="paragraph" w:styleId="Nadpis8">
    <w:name w:val="heading 8"/>
    <w:basedOn w:val="Normlny"/>
    <w:next w:val="Normlny"/>
    <w:link w:val="berschrift8Zchn"/>
    <w:uiPriority w:val="9"/>
    <w:qFormat/>
    <w:rsid w:val="00B427D8"/>
    <w:pPr>
      <w:numPr>
        <w:ilvl w:val="7"/>
        <w:numId w:val="5"/>
      </w:numPr>
      <w:spacing w:before="240"/>
      <w:outlineLvl w:val="7"/>
    </w:pPr>
    <w:rPr>
      <w:rFonts w:ascii="Calibri" w:hAnsi="Calibri"/>
      <w:i/>
      <w:iCs/>
      <w:sz w:val="24"/>
      <w:szCs w:val="24"/>
      <w:lang w:bidi="ar-SA"/>
    </w:rPr>
  </w:style>
  <w:style w:type="paragraph" w:styleId="Nadpis9">
    <w:name w:val="heading 9"/>
    <w:basedOn w:val="Normlny"/>
    <w:next w:val="Normlny"/>
    <w:link w:val="berschrift9Zchn"/>
    <w:uiPriority w:val="9"/>
    <w:qFormat/>
    <w:rsid w:val="00B427D8"/>
    <w:pPr>
      <w:numPr>
        <w:ilvl w:val="8"/>
        <w:numId w:val="5"/>
      </w:numPr>
      <w:spacing w:before="240"/>
      <w:outlineLvl w:val="8"/>
    </w:pPr>
    <w:rPr>
      <w:rFonts w:ascii="Cambria" w:hAnsi="Cambria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after="120"/>
    </w:pPr>
  </w:style>
  <w:style w:type="paragraph" w:styleId="Hlavika">
    <w:name w:val="header"/>
    <w:basedOn w:val="Normlny"/>
    <w:link w:val="KopfzeileZchn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KopfzeileZchn">
    <w:name w:val="Kopfzeile Zchn"/>
    <w:link w:val="Hlavik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paragraph" w:styleId="Pta">
    <w:name w:val="footer"/>
    <w:basedOn w:val="Normlny"/>
    <w:link w:val="FuzeileZchn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FuzeileZchn">
    <w:name w:val="Fußzeile Zchn"/>
    <w:link w:val="Pt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table" w:styleId="Mriekatabuky">
    <w:name w:val="Table Grid"/>
    <w:basedOn w:val="Normlnatabuka"/>
    <w:uiPriority w:val="59"/>
    <w:rsid w:val="00FD1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571A8E"/>
    <w:rPr>
      <w:sz w:val="16"/>
      <w:szCs w:val="16"/>
    </w:rPr>
  </w:style>
  <w:style w:type="paragraph" w:styleId="Textkomentra">
    <w:name w:val="annotation text"/>
    <w:basedOn w:val="Normlny"/>
    <w:link w:val="KommentartextZchn"/>
    <w:uiPriority w:val="99"/>
    <w:semiHidden/>
    <w:unhideWhenUsed/>
    <w:rsid w:val="00571A8E"/>
    <w:rPr>
      <w:sz w:val="20"/>
      <w:lang w:bidi="ar-SA"/>
    </w:rPr>
  </w:style>
  <w:style w:type="character" w:customStyle="1" w:styleId="KommentartextZchn">
    <w:name w:val="Kommentartext Zchn"/>
    <w:link w:val="Textkomentra"/>
    <w:uiPriority w:val="99"/>
    <w:semiHidden/>
    <w:rsid w:val="00571A8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KommentarthemaZchn"/>
    <w:uiPriority w:val="99"/>
    <w:semiHidden/>
    <w:unhideWhenUsed/>
    <w:rsid w:val="00571A8E"/>
    <w:rPr>
      <w:b/>
      <w:bCs/>
    </w:rPr>
  </w:style>
  <w:style w:type="character" w:customStyle="1" w:styleId="KommentarthemaZchn">
    <w:name w:val="Kommentarthema Zchn"/>
    <w:link w:val="Predmetkomentra"/>
    <w:uiPriority w:val="99"/>
    <w:semiHidden/>
    <w:rsid w:val="00571A8E"/>
    <w:rPr>
      <w:rFonts w:ascii="Times New Roman" w:eastAsia="Times New Roman" w:hAnsi="Times New Roman" w:cs="Times New Roman"/>
      <w:b/>
      <w:bCs/>
      <w:lang w:eastAsia="sk-SK"/>
    </w:rPr>
  </w:style>
  <w:style w:type="paragraph" w:styleId="Textbubliny">
    <w:name w:val="Balloon Text"/>
    <w:basedOn w:val="Normlny"/>
    <w:link w:val="SprechblasentextZchn"/>
    <w:uiPriority w:val="99"/>
    <w:semiHidden/>
    <w:unhideWhenUsed/>
    <w:rsid w:val="00571A8E"/>
    <w:rPr>
      <w:rFonts w:ascii="Tahoma" w:hAnsi="Tahoma"/>
      <w:sz w:val="16"/>
      <w:szCs w:val="16"/>
      <w:lang w:bidi="ar-SA"/>
    </w:rPr>
  </w:style>
  <w:style w:type="character" w:customStyle="1" w:styleId="SprechblasentextZchn">
    <w:name w:val="Sprechblasentext Zchn"/>
    <w:link w:val="Textbubliny"/>
    <w:uiPriority w:val="99"/>
    <w:semiHidden/>
    <w:rsid w:val="00571A8E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eastAsia="Times New Roman" w:hAnsi="Times New Roman" w:cs="Times New Roman"/>
      <w:sz w:val="22"/>
      <w:lang w:bidi="sk-SK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character" w:customStyle="1" w:styleId="berschrift1Zchn">
    <w:name w:val="Überschrift 1 Zchn"/>
    <w:link w:val="Nadpis1"/>
    <w:uiPriority w:val="9"/>
    <w:rsid w:val="009D0628"/>
    <w:rPr>
      <w:rFonts w:ascii="Times New Roman" w:eastAsia="Times New Roman" w:hAnsi="Times New Roman" w:cs="Times New Roman"/>
      <w:b/>
      <w:bCs/>
      <w:caps/>
      <w:kern w:val="32"/>
      <w:sz w:val="22"/>
      <w:szCs w:val="32"/>
      <w:lang w:val="sk-SK" w:eastAsia="sk-SK"/>
    </w:rPr>
  </w:style>
  <w:style w:type="character" w:customStyle="1" w:styleId="berschrift2Zchn">
    <w:name w:val="Überschrift 2 Zchn"/>
    <w:link w:val="Nadpis2"/>
    <w:uiPriority w:val="9"/>
    <w:rsid w:val="009D0628"/>
    <w:rPr>
      <w:rFonts w:ascii="Times New Roman" w:eastAsia="Times New Roman" w:hAnsi="Times New Roman" w:cs="Times New Roman"/>
      <w:b/>
      <w:bCs/>
      <w:iCs/>
      <w:sz w:val="22"/>
      <w:szCs w:val="28"/>
      <w:lang w:val="sk-SK" w:eastAsia="sk-SK"/>
    </w:rPr>
  </w:style>
  <w:style w:type="character" w:customStyle="1" w:styleId="berschrift3Zchn">
    <w:name w:val="Überschrift 3 Zchn"/>
    <w:link w:val="Nadpis3"/>
    <w:uiPriority w:val="9"/>
    <w:semiHidden/>
    <w:rsid w:val="00B427D8"/>
    <w:rPr>
      <w:rFonts w:ascii="Cambria" w:eastAsia="Times New Roman" w:hAnsi="Cambria" w:cs="Times New Roman"/>
      <w:b/>
      <w:bCs/>
      <w:sz w:val="26"/>
      <w:szCs w:val="26"/>
      <w:lang w:val="sk-SK" w:eastAsia="sk-SK"/>
    </w:rPr>
  </w:style>
  <w:style w:type="character" w:customStyle="1" w:styleId="berschrift4Zchn">
    <w:name w:val="Überschrift 4 Zchn"/>
    <w:link w:val="Nadpis4"/>
    <w:uiPriority w:val="9"/>
    <w:semiHidden/>
    <w:rsid w:val="00B427D8"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berschrift5Zchn">
    <w:name w:val="Überschrift 5 Zchn"/>
    <w:link w:val="Nadpis5"/>
    <w:uiPriority w:val="9"/>
    <w:semiHidden/>
    <w:rsid w:val="00B427D8"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berschrift6Zchn">
    <w:name w:val="Überschrift 6 Zchn"/>
    <w:link w:val="Nadpis6"/>
    <w:uiPriority w:val="9"/>
    <w:semiHidden/>
    <w:rsid w:val="00B427D8"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berschrift7Zchn">
    <w:name w:val="Überschrift 7 Zchn"/>
    <w:link w:val="Nadpis7"/>
    <w:uiPriority w:val="9"/>
    <w:semiHidden/>
    <w:rsid w:val="00B427D8"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berschrift8Zchn">
    <w:name w:val="Überschrift 8 Zchn"/>
    <w:link w:val="Nadpis8"/>
    <w:uiPriority w:val="9"/>
    <w:semiHidden/>
    <w:rsid w:val="00B427D8"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berschrift9Zchn">
    <w:name w:val="Überschrift 9 Zchn"/>
    <w:link w:val="Nadpis9"/>
    <w:uiPriority w:val="9"/>
    <w:semiHidden/>
    <w:rsid w:val="00B427D8"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2">
    <w:name w:val="Body Text 2"/>
    <w:basedOn w:val="Normlny"/>
    <w:link w:val="Textkrper2Zchn"/>
    <w:rsid w:val="00EC5F55"/>
    <w:pPr>
      <w:tabs>
        <w:tab w:val="clear" w:pos="567"/>
      </w:tabs>
      <w:spacing w:before="0" w:after="0"/>
    </w:pPr>
    <w:rPr>
      <w:color w:val="000000"/>
      <w:lang w:bidi="ar-SA"/>
    </w:rPr>
  </w:style>
  <w:style w:type="character" w:customStyle="1" w:styleId="Textkrper2Zchn">
    <w:name w:val="Textkörper 2 Zchn"/>
    <w:link w:val="Zkladntext2"/>
    <w:rsid w:val="00EC5F55"/>
    <w:rPr>
      <w:rFonts w:ascii="Times New Roman" w:eastAsia="Times New Roman" w:hAnsi="Times New Roman" w:cs="Times New Roman"/>
      <w:color w:val="000000"/>
      <w:sz w:val="22"/>
      <w:lang w:val="sk-SK" w:eastAsia="sk-SK"/>
    </w:rPr>
  </w:style>
  <w:style w:type="paragraph" w:styleId="Normlnywebov">
    <w:name w:val="Normal (Web)"/>
    <w:basedOn w:val="Normlny"/>
    <w:uiPriority w:val="99"/>
    <w:rsid w:val="00DC30D0"/>
    <w:pPr>
      <w:tabs>
        <w:tab w:val="clear" w:pos="567"/>
      </w:tabs>
      <w:spacing w:before="100" w:beforeAutospacing="1" w:after="58"/>
      <w:jc w:val="left"/>
    </w:pPr>
    <w:rPr>
      <w:color w:val="000000"/>
      <w:sz w:val="24"/>
      <w:szCs w:val="24"/>
    </w:rPr>
  </w:style>
  <w:style w:type="paragraph" w:styleId="Zkladntext">
    <w:name w:val="Body Text"/>
    <w:basedOn w:val="Normlny"/>
    <w:link w:val="TextkrperZchn"/>
    <w:uiPriority w:val="99"/>
    <w:unhideWhenUsed/>
    <w:rsid w:val="004721AE"/>
    <w:pPr>
      <w:spacing w:after="120"/>
    </w:pPr>
    <w:rPr>
      <w:lang w:bidi="ar-SA"/>
    </w:rPr>
  </w:style>
  <w:style w:type="character" w:customStyle="1" w:styleId="TextkrperZchn">
    <w:name w:val="Textkörper Zchn"/>
    <w:link w:val="Zkladntext"/>
    <w:uiPriority w:val="99"/>
    <w:rsid w:val="004721AE"/>
    <w:rPr>
      <w:rFonts w:ascii="Times New Roman" w:eastAsia="Times New Roman" w:hAnsi="Times New Roman" w:cs="Times New Roman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C179-D0D2-440C-9E8E-60631E6B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2816</Words>
  <Characters>16056</Characters>
  <Application>Microsoft Office Word</Application>
  <DocSecurity>0</DocSecurity>
  <Lines>133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Z29308</vt:lpstr>
    </vt:vector>
  </TitlesOfParts>
  <Manager>K021</Manager>
  <Company>Zebra Translations Limited</Company>
  <LinksUpToDate>false</LinksUpToDate>
  <CharactersWithSpaces>18835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40 mg SPC updated - SK</dc:subject>
  <dc:creator>P042</dc:creator>
  <cp:lastModifiedBy>Bolebruchová Monika</cp:lastModifiedBy>
  <cp:revision>2</cp:revision>
  <cp:lastPrinted>2020-03-26T09:34:00Z</cp:lastPrinted>
  <dcterms:created xsi:type="dcterms:W3CDTF">2020-03-26T09:35:00Z</dcterms:created>
  <dcterms:modified xsi:type="dcterms:W3CDTF">2020-03-26T09:35:00Z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11/12/2019 11:28:12 AM</vt:lpwstr>
  </property>
  <property fmtid="{D5CDD505-2E9C-101B-9397-08002B2CF9AE}" pid="3" name="OS_LastOpenUser">
    <vt:lpwstr>MISCHEC</vt:lpwstr>
  </property>
</Properties>
</file>