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20F5" w14:textId="77777777"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  <w:bookmarkStart w:id="0" w:name="_GoBack"/>
      <w:bookmarkEnd w:id="0"/>
      <w:r w:rsidRPr="00730F51">
        <w:rPr>
          <w:szCs w:val="22"/>
        </w:rPr>
        <w:t>SÚHRN CHARAKTERISTICKÝCH VLASTNOSTÍ LIEKU</w:t>
      </w:r>
    </w:p>
    <w:p w14:paraId="01A81EF0" w14:textId="77777777"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14:paraId="29B79F0D" w14:textId="77777777"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14:paraId="045D829B" w14:textId="77777777" w:rsidR="00730F51" w:rsidRPr="00730F51" w:rsidRDefault="00730F51" w:rsidP="00BC2E05">
      <w:pPr>
        <w:pStyle w:val="StyleJustified"/>
        <w:ind w:left="0" w:firstLine="0"/>
        <w:jc w:val="left"/>
        <w:rPr>
          <w:rStyle w:val="StyleBold"/>
          <w:szCs w:val="22"/>
        </w:rPr>
      </w:pPr>
      <w:r w:rsidRPr="00730F51">
        <w:rPr>
          <w:rStyle w:val="StyleStyleJustifiedBoldChar"/>
          <w:rFonts w:ascii="Times New Roman" w:hAnsi="Times New Roman"/>
          <w:szCs w:val="22"/>
        </w:rPr>
        <w:t>1.</w:t>
      </w:r>
      <w:r w:rsidRPr="00730F51">
        <w:rPr>
          <w:szCs w:val="22"/>
        </w:rPr>
        <w:tab/>
      </w:r>
      <w:r w:rsidRPr="00730F51">
        <w:rPr>
          <w:rStyle w:val="StyleBold"/>
          <w:szCs w:val="22"/>
        </w:rPr>
        <w:t>NÁZOV LIEKU</w:t>
      </w:r>
    </w:p>
    <w:p w14:paraId="12681ADD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EDB4200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Alerid</w:t>
      </w:r>
      <w:proofErr w:type="spellEnd"/>
      <w:r w:rsidRPr="00730F51">
        <w:rPr>
          <w:sz w:val="22"/>
          <w:szCs w:val="22"/>
        </w:rPr>
        <w:t xml:space="preserve"> </w:t>
      </w:r>
    </w:p>
    <w:p w14:paraId="7C7FD48C" w14:textId="77777777" w:rsidR="00730F51" w:rsidRPr="00730F51" w:rsidRDefault="00B44181" w:rsidP="00BC2E05">
      <w:pPr>
        <w:pStyle w:val="StyleJustified"/>
        <w:jc w:val="left"/>
        <w:rPr>
          <w:szCs w:val="22"/>
        </w:rPr>
      </w:pPr>
      <w:r>
        <w:rPr>
          <w:szCs w:val="22"/>
        </w:rPr>
        <w:t>1</w:t>
      </w:r>
      <w:r w:rsidR="00B137AD">
        <w:rPr>
          <w:szCs w:val="22"/>
        </w:rPr>
        <w:t xml:space="preserve">0 mg </w:t>
      </w:r>
      <w:r w:rsidRPr="00B44181">
        <w:rPr>
          <w:noProof/>
          <w:sz w:val="24"/>
          <w:szCs w:val="22"/>
        </w:rPr>
        <w:t>filmom obalen</w:t>
      </w:r>
      <w:r>
        <w:rPr>
          <w:noProof/>
          <w:sz w:val="24"/>
          <w:szCs w:val="22"/>
        </w:rPr>
        <w:t>é</w:t>
      </w:r>
      <w:r w:rsidRPr="00B44181">
        <w:rPr>
          <w:noProof/>
          <w:sz w:val="24"/>
          <w:szCs w:val="22"/>
        </w:rPr>
        <w:t xml:space="preserve"> tablet</w:t>
      </w:r>
      <w:r>
        <w:rPr>
          <w:noProof/>
          <w:sz w:val="24"/>
          <w:szCs w:val="22"/>
        </w:rPr>
        <w:t>y</w:t>
      </w:r>
    </w:p>
    <w:p w14:paraId="4F09FF9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4D9EF9BA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2.</w:t>
      </w:r>
      <w:r w:rsidRPr="00730F51">
        <w:rPr>
          <w:szCs w:val="22"/>
        </w:rPr>
        <w:tab/>
        <w:t>KVALITATÍVNE A KVANTITATÍVNE ZLOŽENIE</w:t>
      </w:r>
    </w:p>
    <w:p w14:paraId="66DF456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E76BC1E" w14:textId="2D6DAB17" w:rsidR="00730F51" w:rsidRPr="00730F51" w:rsidRDefault="00730F51" w:rsidP="009F6C76">
      <w:pPr>
        <w:pStyle w:val="StyleJustified"/>
        <w:rPr>
          <w:szCs w:val="22"/>
        </w:rPr>
      </w:pPr>
      <w:r w:rsidRPr="00730F51">
        <w:rPr>
          <w:szCs w:val="22"/>
        </w:rPr>
        <w:t xml:space="preserve">Každá filmom obalená tableta obsahuje 10 mg </w:t>
      </w:r>
      <w:proofErr w:type="spellStart"/>
      <w:r w:rsidRPr="00730F51">
        <w:rPr>
          <w:szCs w:val="22"/>
        </w:rPr>
        <w:t>cetirizín</w:t>
      </w:r>
      <w:r w:rsidR="00BB3BB8">
        <w:rPr>
          <w:szCs w:val="22"/>
        </w:rPr>
        <w:t>ium-</w:t>
      </w:r>
      <w:r w:rsidRPr="00730F51">
        <w:rPr>
          <w:szCs w:val="22"/>
        </w:rPr>
        <w:t>dihydrochloridu</w:t>
      </w:r>
      <w:proofErr w:type="spellEnd"/>
      <w:r w:rsidRPr="00730F51">
        <w:rPr>
          <w:szCs w:val="22"/>
        </w:rPr>
        <w:t>.</w:t>
      </w:r>
    </w:p>
    <w:p w14:paraId="4C1B7EC0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</w:p>
    <w:p w14:paraId="55DA59E6" w14:textId="77777777"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Pomocné látky so známym účinkom:</w:t>
      </w:r>
      <w:r w:rsidR="00FA4D1F">
        <w:rPr>
          <w:sz w:val="22"/>
          <w:szCs w:val="22"/>
        </w:rPr>
        <w:t xml:space="preserve"> </w:t>
      </w:r>
      <w:r w:rsidRPr="00730F51">
        <w:rPr>
          <w:sz w:val="22"/>
          <w:szCs w:val="22"/>
        </w:rPr>
        <w:t>monohydrát laktózy</w:t>
      </w:r>
    </w:p>
    <w:p w14:paraId="34B7B7B4" w14:textId="77777777" w:rsidR="00730F51" w:rsidRPr="00730F51" w:rsidRDefault="00730F51" w:rsidP="00BC2E05">
      <w:pPr>
        <w:rPr>
          <w:sz w:val="22"/>
          <w:szCs w:val="22"/>
        </w:rPr>
      </w:pPr>
    </w:p>
    <w:p w14:paraId="070F447E" w14:textId="77777777"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Úplný zoznam pomocných látok, pozri časť 6.1.</w:t>
      </w:r>
    </w:p>
    <w:p w14:paraId="6FC34FEA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2DDC26A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0782079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3.</w:t>
      </w:r>
      <w:r w:rsidRPr="00730F51">
        <w:rPr>
          <w:szCs w:val="22"/>
        </w:rPr>
        <w:tab/>
        <w:t>LIEKOVÁ FORMA</w:t>
      </w:r>
    </w:p>
    <w:p w14:paraId="1B826BC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56D25AD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Filmom obalené </w:t>
      </w:r>
      <w:r w:rsidR="008777E9" w:rsidRPr="00730F51">
        <w:rPr>
          <w:sz w:val="22"/>
          <w:szCs w:val="22"/>
        </w:rPr>
        <w:t>tablet</w:t>
      </w:r>
      <w:r w:rsidR="008777E9">
        <w:rPr>
          <w:sz w:val="22"/>
          <w:szCs w:val="22"/>
        </w:rPr>
        <w:t>a</w:t>
      </w:r>
      <w:r w:rsidRPr="00730F51">
        <w:rPr>
          <w:sz w:val="22"/>
          <w:szCs w:val="22"/>
        </w:rPr>
        <w:t>.</w:t>
      </w:r>
    </w:p>
    <w:p w14:paraId="774B63A1" w14:textId="77777777"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  <w:r w:rsidRPr="00730F51">
        <w:rPr>
          <w:szCs w:val="22"/>
        </w:rPr>
        <w:t xml:space="preserve">Biele </w:t>
      </w:r>
      <w:r w:rsidR="001678C7">
        <w:rPr>
          <w:szCs w:val="22"/>
        </w:rPr>
        <w:t xml:space="preserve">okrúhle bikonvexné </w:t>
      </w:r>
      <w:r w:rsidRPr="00730F51">
        <w:rPr>
          <w:szCs w:val="22"/>
        </w:rPr>
        <w:t>filmom obalené tablety s</w:t>
      </w:r>
      <w:r w:rsidR="001678C7">
        <w:rPr>
          <w:szCs w:val="22"/>
        </w:rPr>
        <w:t> vyrazeným A na jednej strane a h</w:t>
      </w:r>
      <w:r w:rsidR="007E46DC">
        <w:rPr>
          <w:szCs w:val="22"/>
        </w:rPr>
        <w:t>l</w:t>
      </w:r>
      <w:r w:rsidR="001678C7">
        <w:rPr>
          <w:szCs w:val="22"/>
        </w:rPr>
        <w:t>b</w:t>
      </w:r>
      <w:r w:rsidR="007E46DC">
        <w:rPr>
          <w:szCs w:val="22"/>
        </w:rPr>
        <w:t>ok</w:t>
      </w:r>
      <w:r w:rsidR="001678C7">
        <w:rPr>
          <w:szCs w:val="22"/>
        </w:rPr>
        <w:t>ou</w:t>
      </w:r>
      <w:r w:rsidRPr="00730F51">
        <w:rPr>
          <w:szCs w:val="22"/>
        </w:rPr>
        <w:t xml:space="preserve"> ryhou</w:t>
      </w:r>
      <w:r w:rsidR="001678C7">
        <w:rPr>
          <w:szCs w:val="22"/>
        </w:rPr>
        <w:t xml:space="preserve"> na druhej strane</w:t>
      </w:r>
      <w:r w:rsidRPr="00730F51">
        <w:rPr>
          <w:szCs w:val="22"/>
        </w:rPr>
        <w:t>.</w:t>
      </w:r>
    </w:p>
    <w:p w14:paraId="223A10CD" w14:textId="77777777"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14:paraId="28A33EF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9B2A5C7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</w:t>
      </w:r>
      <w:r w:rsidRPr="00730F51">
        <w:rPr>
          <w:szCs w:val="22"/>
        </w:rPr>
        <w:tab/>
        <w:t>KLINICKÉ ÚDAJE</w:t>
      </w:r>
    </w:p>
    <w:p w14:paraId="758E914A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968C774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4.1</w:t>
      </w:r>
      <w:r w:rsidRPr="00730F51">
        <w:rPr>
          <w:szCs w:val="22"/>
        </w:rPr>
        <w:tab/>
        <w:t>Terapeutické indikácie</w:t>
      </w:r>
    </w:p>
    <w:p w14:paraId="43B8ABD8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EA55D4E" w14:textId="77777777" w:rsidR="00730F51" w:rsidRPr="00730F51" w:rsidRDefault="00BF413D" w:rsidP="00BC2E05">
      <w:pPr>
        <w:pStyle w:val="StyleJustifiedFirstline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 w:rsidR="00730F51" w:rsidRPr="00730F51">
        <w:rPr>
          <w:sz w:val="22"/>
          <w:szCs w:val="22"/>
        </w:rPr>
        <w:t xml:space="preserve"> je indikovaný dospelým a deťom vo veku 6 </w:t>
      </w:r>
      <w:r>
        <w:rPr>
          <w:sz w:val="22"/>
          <w:szCs w:val="22"/>
        </w:rPr>
        <w:t> rokov a starším</w:t>
      </w:r>
      <w:r w:rsidR="00730F51" w:rsidRPr="00730F51">
        <w:rPr>
          <w:sz w:val="22"/>
          <w:szCs w:val="22"/>
        </w:rPr>
        <w:t>:</w:t>
      </w:r>
    </w:p>
    <w:p w14:paraId="48F93906" w14:textId="77777777"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nosových a očných príznakov sezónnej a celoročnej alergickej </w:t>
      </w:r>
      <w:proofErr w:type="spellStart"/>
      <w:r w:rsidRPr="00730F51">
        <w:rPr>
          <w:szCs w:val="22"/>
        </w:rPr>
        <w:t>rinitídy</w:t>
      </w:r>
      <w:proofErr w:type="spellEnd"/>
    </w:p>
    <w:p w14:paraId="1C0D8428" w14:textId="77777777"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prejavov chronickej </w:t>
      </w:r>
      <w:proofErr w:type="spellStart"/>
      <w:r w:rsidRPr="00730F51">
        <w:rPr>
          <w:szCs w:val="22"/>
        </w:rPr>
        <w:t>idiopatickej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urtikárie</w:t>
      </w:r>
      <w:proofErr w:type="spellEnd"/>
      <w:r w:rsidRPr="00730F51">
        <w:rPr>
          <w:szCs w:val="22"/>
        </w:rPr>
        <w:t>.</w:t>
      </w:r>
    </w:p>
    <w:p w14:paraId="4D93B85D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714ACB7" w14:textId="77777777" w:rsidR="00730F51" w:rsidRPr="00730F51" w:rsidRDefault="00730F51" w:rsidP="00BC2E05">
      <w:pPr>
        <w:pStyle w:val="StyleBoldJustified"/>
        <w:ind w:left="540" w:hanging="540"/>
        <w:rPr>
          <w:szCs w:val="22"/>
          <w:vertAlign w:val="superscript"/>
        </w:rPr>
      </w:pPr>
      <w:r w:rsidRPr="00730F51">
        <w:rPr>
          <w:szCs w:val="22"/>
        </w:rPr>
        <w:t>4.2</w:t>
      </w:r>
      <w:r w:rsidRPr="00730F51">
        <w:rPr>
          <w:szCs w:val="22"/>
        </w:rPr>
        <w:tab/>
        <w:t>Dávkovanie a spôsob podávania</w:t>
      </w:r>
    </w:p>
    <w:p w14:paraId="2F32B5A8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476FCB51" w14:textId="77777777"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Dávkovanie:</w:t>
      </w:r>
    </w:p>
    <w:p w14:paraId="26D7C1BD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10 mg 1x denne</w:t>
      </w:r>
      <w:r w:rsidR="00BF413D">
        <w:rPr>
          <w:sz w:val="22"/>
          <w:szCs w:val="22"/>
        </w:rPr>
        <w:t xml:space="preserve"> </w:t>
      </w:r>
      <w:r w:rsidR="00BF413D" w:rsidRPr="00730F51">
        <w:rPr>
          <w:sz w:val="22"/>
          <w:szCs w:val="22"/>
        </w:rPr>
        <w:t>(1 tableta)</w:t>
      </w:r>
      <w:r w:rsidRPr="00730F51">
        <w:rPr>
          <w:sz w:val="22"/>
          <w:szCs w:val="22"/>
        </w:rPr>
        <w:t>.</w:t>
      </w:r>
    </w:p>
    <w:p w14:paraId="3E3024EF" w14:textId="77777777"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14:paraId="5805C448" w14:textId="77777777"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>Osobitné skupiny pacientov</w:t>
      </w:r>
    </w:p>
    <w:p w14:paraId="7047E7BA" w14:textId="777417E6" w:rsidR="00730F51" w:rsidRPr="00730F51" w:rsidRDefault="00730F51" w:rsidP="00DE451E">
      <w:pPr>
        <w:pStyle w:val="StyleJustifiedLeft063cm"/>
        <w:ind w:firstLine="0"/>
        <w:rPr>
          <w:rStyle w:val="StyleStyleJustifiedLeft063cmUnderlineChar"/>
          <w:i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</w:rPr>
        <w:t>Starš</w:t>
      </w:r>
      <w:r w:rsidR="006720EC">
        <w:rPr>
          <w:rStyle w:val="StyleStyleJustifiedLeft063cmUnderlineChar"/>
          <w:i/>
          <w:sz w:val="22"/>
          <w:szCs w:val="22"/>
        </w:rPr>
        <w:t>í pacienti</w:t>
      </w:r>
    </w:p>
    <w:p w14:paraId="1191C827" w14:textId="0B2A395F" w:rsidR="00730F51" w:rsidRPr="00730F51" w:rsidRDefault="006720EC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6720EC">
        <w:rPr>
          <w:rStyle w:val="StyleStyleJustifiedLeft063cmUnderlineChar"/>
          <w:sz w:val="22"/>
          <w:szCs w:val="22"/>
          <w:u w:val="none"/>
        </w:rPr>
        <w:t>Údaje nenaznačujú potrebu zníženia dávky u starších pacientov za predpokladu, že funkcia obličiek je normálna.</w:t>
      </w:r>
    </w:p>
    <w:p w14:paraId="20B84421" w14:textId="77777777"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14:paraId="581A7629" w14:textId="6DE799E5" w:rsidR="00730F51" w:rsidRPr="00730F51" w:rsidRDefault="006720EC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>
        <w:rPr>
          <w:rStyle w:val="StyleStyleJustifiedLeft063cmUnderlineChar"/>
          <w:i/>
          <w:iCs/>
          <w:sz w:val="22"/>
          <w:szCs w:val="22"/>
        </w:rPr>
        <w:t>Porucha funkcie obličiek</w:t>
      </w:r>
    </w:p>
    <w:p w14:paraId="0A33EA60" w14:textId="6907E2B8"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rStyle w:val="StyleStyleJustifiedLeft063cmUnderlineChar"/>
          <w:sz w:val="22"/>
          <w:szCs w:val="22"/>
          <w:u w:val="none"/>
        </w:rPr>
        <w:t>Neexistujú údaje dokumentujúce pomer účinnosť/bezpečnosť u pacientov s poruchami funkcie obličiek</w:t>
      </w:r>
      <w:r w:rsidR="00730F51" w:rsidRPr="00730F51">
        <w:rPr>
          <w:sz w:val="22"/>
          <w:szCs w:val="22"/>
        </w:rPr>
        <w:t xml:space="preserve">. Vzhľadom </w:t>
      </w:r>
      <w:r w:rsidR="007950F8">
        <w:rPr>
          <w:sz w:val="22"/>
          <w:szCs w:val="22"/>
        </w:rPr>
        <w:t>na</w:t>
      </w:r>
      <w:r w:rsidR="00730F51" w:rsidRPr="00730F51">
        <w:rPr>
          <w:sz w:val="22"/>
          <w:szCs w:val="22"/>
        </w:rPr>
        <w:t xml:space="preserve"> to, že </w:t>
      </w:r>
      <w:proofErr w:type="spellStart"/>
      <w:r w:rsidR="00730F51" w:rsidRPr="00730F51">
        <w:rPr>
          <w:sz w:val="22"/>
          <w:szCs w:val="22"/>
        </w:rPr>
        <w:t>cetirizín</w:t>
      </w:r>
      <w:proofErr w:type="spellEnd"/>
      <w:r w:rsidR="00730F51" w:rsidRPr="00730F51">
        <w:rPr>
          <w:sz w:val="22"/>
          <w:szCs w:val="22"/>
        </w:rPr>
        <w:t xml:space="preserve"> sa vylučuje hlavne obličkami (pozri časť 5.2), môžu sa v prípade, že neexistuje iná alternatíva liečba, intervaly dávkovania prispôsobiť individuálne podľa funkcie obličiek. </w:t>
      </w:r>
    </w:p>
    <w:p w14:paraId="04B3126F" w14:textId="77777777"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sz w:val="22"/>
          <w:szCs w:val="22"/>
        </w:rPr>
        <w:t xml:space="preserve">Pozrite si nasledovnú tabuľku a dávkovanie upravte podľa uvedených informácií </w:t>
      </w:r>
      <w:r>
        <w:rPr>
          <w:sz w:val="22"/>
          <w:szCs w:val="22"/>
        </w:rPr>
        <w:t xml:space="preserve">. </w:t>
      </w:r>
      <w:r w:rsidRPr="00431DB8">
        <w:rPr>
          <w:sz w:val="22"/>
          <w:szCs w:val="22"/>
        </w:rPr>
        <w:t xml:space="preserve">Aby sa táto tabuľka dala využiť, treba vykonať odhad </w:t>
      </w:r>
      <w:proofErr w:type="spellStart"/>
      <w:r w:rsidRPr="00431DB8">
        <w:rPr>
          <w:sz w:val="22"/>
          <w:szCs w:val="22"/>
        </w:rPr>
        <w:t>klírensu</w:t>
      </w:r>
      <w:proofErr w:type="spellEnd"/>
      <w:r w:rsidRPr="00431DB8">
        <w:rPr>
          <w:sz w:val="22"/>
          <w:szCs w:val="22"/>
        </w:rPr>
        <w:t xml:space="preserve"> kreatinínu pacienta</w:t>
      </w:r>
      <w:r w:rsidR="00730F51" w:rsidRPr="00730F51">
        <w:rPr>
          <w:sz w:val="22"/>
          <w:szCs w:val="22"/>
        </w:rPr>
        <w:t xml:space="preserve"> (</w:t>
      </w:r>
      <w:proofErr w:type="spellStart"/>
      <w:r w:rsidR="00730F51" w:rsidRPr="00730F51">
        <w:rPr>
          <w:sz w:val="22"/>
          <w:szCs w:val="22"/>
        </w:rPr>
        <w:t>CL</w:t>
      </w:r>
      <w:r w:rsidR="00730F51" w:rsidRPr="00730F51">
        <w:rPr>
          <w:sz w:val="22"/>
          <w:szCs w:val="22"/>
          <w:vertAlign w:val="subscript"/>
        </w:rPr>
        <w:t>cr</w:t>
      </w:r>
      <w:proofErr w:type="spellEnd"/>
      <w:r w:rsidR="00730F51" w:rsidRPr="00730F51">
        <w:rPr>
          <w:sz w:val="22"/>
          <w:szCs w:val="22"/>
        </w:rPr>
        <w:t>) v ml/min</w:t>
      </w:r>
      <w:r>
        <w:rPr>
          <w:sz w:val="22"/>
          <w:szCs w:val="22"/>
        </w:rPr>
        <w:t xml:space="preserve">. </w:t>
      </w:r>
      <w:r w:rsidR="00730F51" w:rsidRPr="00730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Hodnotu </w:t>
      </w:r>
      <w:proofErr w:type="spellStart"/>
      <w:r w:rsidRPr="00DE451E">
        <w:rPr>
          <w:szCs w:val="22"/>
        </w:rPr>
        <w:t>CL</w:t>
      </w:r>
      <w:r w:rsidRPr="00DE451E">
        <w:rPr>
          <w:szCs w:val="22"/>
          <w:vertAlign w:val="subscript"/>
        </w:rPr>
        <w:t>cr</w:t>
      </w:r>
      <w:proofErr w:type="spellEnd"/>
      <w:r w:rsidRPr="00DE451E">
        <w:rPr>
          <w:szCs w:val="22"/>
          <w:vertAlign w:val="subscript"/>
        </w:rPr>
        <w:t xml:space="preserve"> </w:t>
      </w:r>
      <w:r w:rsidRPr="00431DB8">
        <w:rPr>
          <w:sz w:val="22"/>
          <w:szCs w:val="22"/>
        </w:rPr>
        <w:t>(ml/min) možno odhadnúť zo stanoveného sérového kreatinínu (mg/dl) s pomocou nasledovného vzorca</w:t>
      </w:r>
      <w:r w:rsidR="00730F51" w:rsidRPr="00730F51">
        <w:rPr>
          <w:sz w:val="22"/>
          <w:szCs w:val="22"/>
        </w:rPr>
        <w:t>:</w:t>
      </w:r>
    </w:p>
    <w:p w14:paraId="64D6F09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730F51" w:rsidRPr="00730F51" w14:paraId="21F4F007" w14:textId="77777777" w:rsidTr="00E91BEC">
        <w:tc>
          <w:tcPr>
            <w:tcW w:w="4860" w:type="dxa"/>
          </w:tcPr>
          <w:p w14:paraId="24D8702D" w14:textId="77777777" w:rsidR="00730F51" w:rsidRPr="00730F51" w:rsidRDefault="00730F51" w:rsidP="00BC2E05">
            <w:pPr>
              <w:pStyle w:val="StyleJustified"/>
              <w:jc w:val="left"/>
              <w:rPr>
                <w:szCs w:val="22"/>
              </w:rPr>
            </w:pPr>
            <w:r w:rsidRPr="00730F51">
              <w:rPr>
                <w:position w:val="-22"/>
                <w:szCs w:val="22"/>
              </w:rPr>
              <w:object w:dxaOrig="4580" w:dyaOrig="560" w14:anchorId="689D4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27.75pt" o:ole="">
                  <v:imagedata r:id="rId7" o:title=""/>
                </v:shape>
                <o:OLEObject Type="Embed" ProgID="Equation.3" ShapeID="_x0000_i1025" DrawAspect="Content" ObjectID="_1647162782" r:id="rId8"/>
              </w:object>
            </w:r>
          </w:p>
        </w:tc>
        <w:tc>
          <w:tcPr>
            <w:tcW w:w="3062" w:type="dxa"/>
            <w:vAlign w:val="center"/>
          </w:tcPr>
          <w:p w14:paraId="1E544557" w14:textId="77777777" w:rsidR="00730F51" w:rsidRPr="00730F51" w:rsidRDefault="00730F51" w:rsidP="00BC2E05">
            <w:pPr>
              <w:rPr>
                <w:i/>
                <w:sz w:val="22"/>
                <w:szCs w:val="22"/>
              </w:rPr>
            </w:pPr>
            <w:r w:rsidRPr="00730F51">
              <w:rPr>
                <w:i/>
                <w:sz w:val="22"/>
                <w:szCs w:val="22"/>
              </w:rPr>
              <w:t>(x 0,85 pre ženy)</w:t>
            </w:r>
          </w:p>
        </w:tc>
      </w:tr>
    </w:tbl>
    <w:p w14:paraId="4CA8F2B7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8743CD6" w14:textId="6E91A8D9" w:rsidR="00730F51" w:rsidRPr="00730F51" w:rsidRDefault="0098480D" w:rsidP="00BC2E05">
      <w:pPr>
        <w:pStyle w:val="StyleJustified"/>
        <w:jc w:val="left"/>
        <w:rPr>
          <w:szCs w:val="22"/>
        </w:rPr>
      </w:pPr>
      <w:r w:rsidRPr="0098480D">
        <w:rPr>
          <w:szCs w:val="22"/>
        </w:rPr>
        <w:t xml:space="preserve">Úprava dávkovania </w:t>
      </w:r>
      <w:r w:rsidR="006720EC">
        <w:rPr>
          <w:szCs w:val="22"/>
        </w:rPr>
        <w:t>u dospelých pacientov</w:t>
      </w:r>
      <w:r w:rsidRPr="0098480D">
        <w:rPr>
          <w:szCs w:val="22"/>
        </w:rPr>
        <w:t xml:space="preserve"> s poruchou funkcie obličiek:</w:t>
      </w:r>
    </w:p>
    <w:tbl>
      <w:tblPr>
        <w:tblW w:w="92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880"/>
        <w:gridCol w:w="2618"/>
      </w:tblGrid>
      <w:tr w:rsidR="00730F51" w:rsidRPr="00730F51" w14:paraId="7CCD3E43" w14:textId="77777777" w:rsidTr="00DE451E">
        <w:tc>
          <w:tcPr>
            <w:tcW w:w="3751" w:type="dxa"/>
            <w:vAlign w:val="center"/>
          </w:tcPr>
          <w:p w14:paraId="6E4E95DC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lastRenderedPageBreak/>
              <w:t>Skupina</w:t>
            </w:r>
          </w:p>
        </w:tc>
        <w:tc>
          <w:tcPr>
            <w:tcW w:w="2880" w:type="dxa"/>
            <w:vAlign w:val="center"/>
          </w:tcPr>
          <w:p w14:paraId="57D81AFF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Klírens kreatinínu (ml/min)</w:t>
            </w:r>
          </w:p>
        </w:tc>
        <w:tc>
          <w:tcPr>
            <w:tcW w:w="2618" w:type="dxa"/>
            <w:vAlign w:val="center"/>
          </w:tcPr>
          <w:p w14:paraId="18908F11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Dávkovanie a frekvencia</w:t>
            </w:r>
          </w:p>
        </w:tc>
      </w:tr>
      <w:tr w:rsidR="00730F51" w:rsidRPr="00730F51" w14:paraId="5544AA1F" w14:textId="77777777" w:rsidTr="00DE451E">
        <w:tc>
          <w:tcPr>
            <w:tcW w:w="3751" w:type="dxa"/>
            <w:vAlign w:val="center"/>
          </w:tcPr>
          <w:p w14:paraId="68DA8E4B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Normálna</w:t>
            </w:r>
            <w:r w:rsidR="007950F8">
              <w:rPr>
                <w:sz w:val="22"/>
                <w:szCs w:val="22"/>
              </w:rPr>
              <w:t xml:space="preserve"> funkcia obličiek</w:t>
            </w:r>
          </w:p>
        </w:tc>
        <w:tc>
          <w:tcPr>
            <w:tcW w:w="2880" w:type="dxa"/>
            <w:vAlign w:val="center"/>
          </w:tcPr>
          <w:p w14:paraId="2391BA20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14:paraId="289E202A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14:paraId="1E376A46" w14:textId="77777777" w:rsidTr="00DE451E">
        <w:tc>
          <w:tcPr>
            <w:tcW w:w="3751" w:type="dxa"/>
            <w:vAlign w:val="center"/>
          </w:tcPr>
          <w:p w14:paraId="463F5050" w14:textId="65077E46" w:rsidR="00730F51" w:rsidRPr="00730F51" w:rsidRDefault="006720EC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Ľahká </w:t>
            </w:r>
            <w:r w:rsidR="007950F8">
              <w:rPr>
                <w:sz w:val="22"/>
                <w:szCs w:val="22"/>
              </w:rPr>
              <w:t xml:space="preserve">porucha </w:t>
            </w:r>
          </w:p>
        </w:tc>
        <w:tc>
          <w:tcPr>
            <w:tcW w:w="2880" w:type="dxa"/>
            <w:vAlign w:val="center"/>
          </w:tcPr>
          <w:p w14:paraId="05F8D9DE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14:paraId="36CAD418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14:paraId="5EA5A9ED" w14:textId="77777777" w:rsidTr="00DE451E">
        <w:tc>
          <w:tcPr>
            <w:tcW w:w="3751" w:type="dxa"/>
            <w:vAlign w:val="center"/>
          </w:tcPr>
          <w:p w14:paraId="4EF4B2D4" w14:textId="6B841D91" w:rsidR="00730F51" w:rsidRPr="00730F51" w:rsidRDefault="006720EC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Stredne </w:t>
            </w:r>
            <w:r w:rsidR="007950F8">
              <w:rPr>
                <w:sz w:val="22"/>
                <w:szCs w:val="22"/>
              </w:rPr>
              <w:t xml:space="preserve">ťažká porucha </w:t>
            </w:r>
          </w:p>
        </w:tc>
        <w:tc>
          <w:tcPr>
            <w:tcW w:w="2880" w:type="dxa"/>
            <w:vAlign w:val="center"/>
          </w:tcPr>
          <w:p w14:paraId="1C7D6016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14:paraId="10DBE325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denne</w:t>
            </w:r>
          </w:p>
        </w:tc>
      </w:tr>
      <w:tr w:rsidR="00730F51" w:rsidRPr="00730F51" w14:paraId="2828C584" w14:textId="77777777" w:rsidTr="00DE451E">
        <w:tc>
          <w:tcPr>
            <w:tcW w:w="3751" w:type="dxa"/>
            <w:vAlign w:val="center"/>
          </w:tcPr>
          <w:p w14:paraId="1474DEBD" w14:textId="466F3139" w:rsidR="00730F51" w:rsidRPr="00730F51" w:rsidRDefault="006720EC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Ťažká </w:t>
            </w:r>
            <w:r w:rsidR="007950F8">
              <w:rPr>
                <w:sz w:val="22"/>
                <w:szCs w:val="22"/>
              </w:rPr>
              <w:t>porucha</w:t>
            </w:r>
            <w:r w:rsidR="00225D5A">
              <w:t xml:space="preserve"> </w:t>
            </w:r>
          </w:p>
        </w:tc>
        <w:tc>
          <w:tcPr>
            <w:tcW w:w="2880" w:type="dxa"/>
            <w:vAlign w:val="center"/>
          </w:tcPr>
          <w:p w14:paraId="6291B2E1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14:paraId="0A8840C0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za 2 dni</w:t>
            </w:r>
          </w:p>
        </w:tc>
      </w:tr>
      <w:tr w:rsidR="00730F51" w:rsidRPr="00730F51" w14:paraId="3F63D591" w14:textId="77777777" w:rsidTr="00DE451E">
        <w:trPr>
          <w:trHeight w:val="546"/>
        </w:trPr>
        <w:tc>
          <w:tcPr>
            <w:tcW w:w="3751" w:type="dxa"/>
            <w:vAlign w:val="center"/>
          </w:tcPr>
          <w:p w14:paraId="3F2E2288" w14:textId="32C020C3" w:rsidR="00730F51" w:rsidRPr="00730F51" w:rsidRDefault="006720EC" w:rsidP="006720EC">
            <w:pPr>
              <w:rPr>
                <w:sz w:val="22"/>
                <w:szCs w:val="22"/>
              </w:rPr>
            </w:pPr>
            <w:r w:rsidRPr="006720EC">
              <w:rPr>
                <w:sz w:val="22"/>
                <w:szCs w:val="22"/>
              </w:rPr>
              <w:t xml:space="preserve">Terminálne štádium ochorenia obličiek </w:t>
            </w:r>
            <w:r w:rsidR="00730F51" w:rsidRPr="00730F51">
              <w:rPr>
                <w:sz w:val="22"/>
                <w:szCs w:val="22"/>
              </w:rPr>
              <w:t xml:space="preserve"> - pacienti podstupujúci dialýzu</w:t>
            </w:r>
          </w:p>
        </w:tc>
        <w:tc>
          <w:tcPr>
            <w:tcW w:w="2880" w:type="dxa"/>
            <w:vAlign w:val="center"/>
          </w:tcPr>
          <w:p w14:paraId="67EFA37B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14:paraId="6F5F8AFC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kontraindikované</w:t>
            </w:r>
          </w:p>
        </w:tc>
      </w:tr>
    </w:tbl>
    <w:p w14:paraId="7404E46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ABC381C" w14:textId="77777777" w:rsidR="00730F51" w:rsidRPr="00730F51" w:rsidRDefault="00730F51" w:rsidP="00BC2E05">
      <w:pPr>
        <w:pStyle w:val="StyleJustifiedLeft063cm1"/>
        <w:jc w:val="left"/>
      </w:pPr>
    </w:p>
    <w:p w14:paraId="21C17698" w14:textId="77777777" w:rsidR="0098480D" w:rsidRDefault="0098480D" w:rsidP="00BC2E05">
      <w:pPr>
        <w:pStyle w:val="StyleJustifiedLeft063cm1"/>
        <w:jc w:val="left"/>
      </w:pPr>
    </w:p>
    <w:p w14:paraId="15EF78C4" w14:textId="0FB5B681" w:rsidR="00730F51" w:rsidRPr="00076EDA" w:rsidRDefault="006720EC" w:rsidP="00BC2E05">
      <w:pPr>
        <w:pStyle w:val="StyleJustifiedLeft063cm1"/>
        <w:jc w:val="left"/>
      </w:pPr>
      <w:r>
        <w:t>Porucha</w:t>
      </w:r>
      <w:r w:rsidR="00730F51" w:rsidRPr="00076EDA">
        <w:t xml:space="preserve"> funkcie pečene</w:t>
      </w:r>
    </w:p>
    <w:p w14:paraId="1EF8BEFD" w14:textId="49272849" w:rsidR="00730F51" w:rsidRPr="00730F51" w:rsidRDefault="0098480D" w:rsidP="00BC2E05">
      <w:pPr>
        <w:pStyle w:val="StyleJustifiedLeft063cm1"/>
        <w:jc w:val="left"/>
      </w:pPr>
      <w:r w:rsidRPr="0098480D">
        <w:t xml:space="preserve">U pacientov iba s poruchou funkcie pečene nie je nutná úprava dávkovania. U pacientov s poruchou funkcie pečene a poruchou funkcie obličiek sa odporúča úprava dávkovania (pozri vyššie </w:t>
      </w:r>
      <w:r w:rsidR="006720EC">
        <w:t>Porucha</w:t>
      </w:r>
      <w:r w:rsidRPr="0098480D">
        <w:t xml:space="preserve"> funkcie obličiek).</w:t>
      </w:r>
    </w:p>
    <w:p w14:paraId="47C3A3D6" w14:textId="77777777" w:rsidR="0098480D" w:rsidRDefault="0098480D" w:rsidP="00BC2E05">
      <w:pPr>
        <w:rPr>
          <w:i/>
          <w:sz w:val="22"/>
          <w:szCs w:val="22"/>
          <w:u w:val="single"/>
        </w:rPr>
      </w:pPr>
    </w:p>
    <w:p w14:paraId="37711DDD" w14:textId="77777777" w:rsidR="00730F51" w:rsidRPr="00DE451E" w:rsidRDefault="00730F51" w:rsidP="00BC2E05">
      <w:pPr>
        <w:rPr>
          <w:i/>
          <w:sz w:val="22"/>
          <w:szCs w:val="22"/>
        </w:rPr>
      </w:pPr>
      <w:r w:rsidRPr="00DE451E">
        <w:rPr>
          <w:i/>
          <w:sz w:val="22"/>
          <w:szCs w:val="22"/>
        </w:rPr>
        <w:t>Pediatrická populácia</w:t>
      </w:r>
    </w:p>
    <w:p w14:paraId="099367F4" w14:textId="77777777" w:rsidR="0098480D" w:rsidRDefault="0098480D" w:rsidP="00BC2E05">
      <w:pPr>
        <w:pStyle w:val="StyleJustifiedLeft063cm1"/>
        <w:jc w:val="left"/>
      </w:pPr>
      <w:r>
        <w:t>Lieková forma tableta sa nemá používať u detí mladších ako 6 rokov, pretože neumožňuje potrebnú úpravu dávkovania.</w:t>
      </w:r>
    </w:p>
    <w:p w14:paraId="7707A5BF" w14:textId="77777777" w:rsidR="0098480D" w:rsidRDefault="0098480D" w:rsidP="00BC2E05">
      <w:pPr>
        <w:pStyle w:val="StyleJustifiedLeft063cm1"/>
        <w:jc w:val="left"/>
      </w:pPr>
    </w:p>
    <w:p w14:paraId="7B6E93BC" w14:textId="77777777" w:rsidR="0098480D" w:rsidRDefault="0098480D" w:rsidP="00BC2E05">
      <w:pPr>
        <w:pStyle w:val="StyleJustifiedLeft063cm1"/>
        <w:jc w:val="left"/>
      </w:pPr>
      <w:r>
        <w:t>Deti vo veku od 6 do 12 rokov: 5 mg dvakrát denne (polovica tablety dvakrát denne).</w:t>
      </w:r>
    </w:p>
    <w:p w14:paraId="5C267D2B" w14:textId="77777777" w:rsidR="0098480D" w:rsidRDefault="0098480D" w:rsidP="00BC2E05">
      <w:pPr>
        <w:pStyle w:val="StyleJustifiedLeft063cm1"/>
        <w:jc w:val="left"/>
      </w:pPr>
    </w:p>
    <w:p w14:paraId="4B9CCDC9" w14:textId="77777777" w:rsidR="0098480D" w:rsidRDefault="0098480D" w:rsidP="00BC2E05">
      <w:pPr>
        <w:pStyle w:val="StyleJustifiedLeft063cm1"/>
        <w:jc w:val="left"/>
      </w:pPr>
      <w:r>
        <w:t>Dosp</w:t>
      </w:r>
      <w:r w:rsidR="00A861C5">
        <w:t>elí a deti</w:t>
      </w:r>
      <w:r>
        <w:t xml:space="preserve"> starš</w:t>
      </w:r>
      <w:r w:rsidR="006720EC">
        <w:t>i</w:t>
      </w:r>
      <w:r w:rsidR="00A861C5">
        <w:t>e</w:t>
      </w:r>
      <w:r>
        <w:t xml:space="preserve"> ako 12 rokov: 10 mg jedenkrát denne (1 tableta).</w:t>
      </w:r>
    </w:p>
    <w:p w14:paraId="598F78D3" w14:textId="77777777" w:rsidR="0098480D" w:rsidRDefault="0098480D" w:rsidP="00BC2E05">
      <w:pPr>
        <w:pStyle w:val="StyleJustifiedLeft063cm1"/>
        <w:jc w:val="left"/>
      </w:pPr>
    </w:p>
    <w:p w14:paraId="701B2A90" w14:textId="7E4165E9" w:rsidR="00730F51" w:rsidRPr="00730F51" w:rsidRDefault="0098480D" w:rsidP="00DE451E">
      <w:pPr>
        <w:pStyle w:val="StyleJustified"/>
        <w:ind w:left="0" w:firstLine="0"/>
        <w:jc w:val="left"/>
        <w:rPr>
          <w:szCs w:val="22"/>
        </w:rPr>
      </w:pPr>
      <w:r>
        <w:t xml:space="preserve">U </w:t>
      </w:r>
      <w:r w:rsidR="006720EC">
        <w:t xml:space="preserve">pediatrických </w:t>
      </w:r>
      <w:r>
        <w:t>pacientov s poruchou funkcie obličiek sa má upraviť dávkovanie individuálne, s ohľadom na hodnotu renálneho klírensu každého pacienta, vek a</w:t>
      </w:r>
      <w:r w:rsidR="00A861C5">
        <w:t xml:space="preserve"> jeho</w:t>
      </w:r>
      <w:r>
        <w:t xml:space="preserve"> telesnú hmotnosť.</w:t>
      </w:r>
    </w:p>
    <w:p w14:paraId="5D3CD670" w14:textId="77777777"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14:paraId="01FB77E9" w14:textId="77777777"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Spôsob podávania</w:t>
      </w:r>
    </w:p>
    <w:p w14:paraId="2733C45E" w14:textId="77777777" w:rsidR="00A861C5" w:rsidRPr="00730F51" w:rsidRDefault="00BF413D" w:rsidP="00DE451E">
      <w:pPr>
        <w:pStyle w:val="StyleJustified"/>
        <w:ind w:left="0" w:firstLine="0"/>
        <w:jc w:val="left"/>
        <w:rPr>
          <w:szCs w:val="22"/>
        </w:rPr>
      </w:pPr>
      <w:r w:rsidRPr="00BF413D">
        <w:rPr>
          <w:szCs w:val="22"/>
        </w:rPr>
        <w:t>Tablety sa majú prehltnúť a zapiť pohárom vody.</w:t>
      </w:r>
    </w:p>
    <w:p w14:paraId="08010FC3" w14:textId="77777777" w:rsidR="00730F51" w:rsidRPr="00730F51" w:rsidRDefault="00730F51" w:rsidP="00DE451E">
      <w:pPr>
        <w:pStyle w:val="StyleJustified"/>
        <w:jc w:val="left"/>
        <w:rPr>
          <w:szCs w:val="22"/>
        </w:rPr>
      </w:pPr>
    </w:p>
    <w:p w14:paraId="2BC66C81" w14:textId="77777777" w:rsidR="00730F51" w:rsidRPr="00874740" w:rsidRDefault="00730F51" w:rsidP="00DE451E">
      <w:pPr>
        <w:pStyle w:val="StyleJustified"/>
        <w:jc w:val="left"/>
        <w:rPr>
          <w:szCs w:val="22"/>
          <w:vertAlign w:val="superscript"/>
        </w:rPr>
      </w:pPr>
      <w:r w:rsidRPr="00874740">
        <w:rPr>
          <w:b/>
          <w:szCs w:val="22"/>
        </w:rPr>
        <w:t>4.3</w:t>
      </w:r>
      <w:r w:rsidR="00874740">
        <w:rPr>
          <w:b/>
          <w:szCs w:val="22"/>
        </w:rPr>
        <w:tab/>
      </w:r>
      <w:r w:rsidRPr="00874740">
        <w:rPr>
          <w:b/>
          <w:szCs w:val="22"/>
        </w:rPr>
        <w:t>Kontraindikácie</w:t>
      </w:r>
    </w:p>
    <w:p w14:paraId="763D615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2BCBFD3B" w14:textId="2DEFA35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>Precitlivenosť na liečivo, na ktorúkoľvek z pomocných látok uvedených v časti 6.1, na hydroxyzín alebo ktorýkoľvek derivát piperazínu.</w:t>
      </w:r>
    </w:p>
    <w:p w14:paraId="4BBE83F2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66D8A7A3" w14:textId="77777777" w:rsidR="00730F51" w:rsidRPr="00730F51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Pacienti s ťažkou poruchou funkcie obličiek s klírensom kreatinínu pod</w:t>
      </w:r>
      <w:r>
        <w:rPr>
          <w:sz w:val="22"/>
          <w:szCs w:val="22"/>
        </w:rPr>
        <w:t xml:space="preserve"> </w:t>
      </w:r>
      <w:r w:rsidRPr="0098480D">
        <w:rPr>
          <w:sz w:val="22"/>
          <w:szCs w:val="22"/>
        </w:rPr>
        <w:t>10 ml/min.</w:t>
      </w:r>
    </w:p>
    <w:p w14:paraId="20A4186B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249928B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4.4</w:t>
      </w:r>
      <w:r w:rsidRPr="00730F51">
        <w:rPr>
          <w:szCs w:val="22"/>
        </w:rPr>
        <w:tab/>
        <w:t>Osobitné upozornenia a opatrenia pri používaní</w:t>
      </w:r>
    </w:p>
    <w:p w14:paraId="6B87B7E2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50A64DB0" w14:textId="77777777"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Pri liečebných dávkach sa nepreukázali žiadne klinicky významné interakcie s alkoholom (pri hladine alkoholu v krvi 0,5 g/l). Ak však pacient súbežne požíva alkohol, odporúča sa opatrnosť.</w:t>
      </w:r>
    </w:p>
    <w:p w14:paraId="16FF4B0E" w14:textId="77777777"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14:paraId="5AEF2410" w14:textId="5D5A18A5"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Op</w:t>
      </w:r>
      <w:r w:rsidR="006720EC">
        <w:rPr>
          <w:sz w:val="22"/>
          <w:szCs w:val="22"/>
        </w:rPr>
        <w:t>a</w:t>
      </w:r>
      <w:r w:rsidRPr="0098480D">
        <w:rPr>
          <w:sz w:val="22"/>
          <w:szCs w:val="22"/>
        </w:rPr>
        <w:t xml:space="preserve">trnosť je potrebná u pacientov s predispozičným faktorom retencie moču (napr. lézia miechy, hyperplázia prostaty), nakoľko cetirizín môže zvýšiť riziko retencie moču. </w:t>
      </w:r>
    </w:p>
    <w:p w14:paraId="23475AB2" w14:textId="77777777"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14:paraId="036F3330" w14:textId="77777777"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Opatrnosť sa odporúča u pacientov s epilepsiou a u pacientov s rizikom výskytu kŕčov.</w:t>
      </w:r>
    </w:p>
    <w:p w14:paraId="5C0B67B7" w14:textId="77777777"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14:paraId="3C96C8EC" w14:textId="77777777" w:rsidR="00A861C5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Antihistaminiká inhibujú testy kožnej alergie a preto je potrebné neužívať liek 3 dni pred ich uskutočnením.</w:t>
      </w:r>
    </w:p>
    <w:p w14:paraId="7FA6DFB8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3FE19BD1" w14:textId="77777777" w:rsidR="00F02D1F" w:rsidRPr="003F5C1A" w:rsidRDefault="00F02D1F" w:rsidP="00BC2E05">
      <w:pPr>
        <w:pStyle w:val="StyleJustifiedLeft063cm"/>
        <w:ind w:firstLine="0"/>
        <w:rPr>
          <w:i/>
          <w:sz w:val="22"/>
          <w:szCs w:val="22"/>
        </w:rPr>
      </w:pPr>
      <w:r w:rsidRPr="003F5C1A">
        <w:rPr>
          <w:i/>
          <w:sz w:val="22"/>
          <w:szCs w:val="22"/>
        </w:rPr>
        <w:t>Pomocná látka</w:t>
      </w:r>
    </w:p>
    <w:p w14:paraId="4D237213" w14:textId="77777777" w:rsidR="00F02D1F" w:rsidRDefault="00F02D1F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Alerid obsahuje monohydrát laktózy.</w:t>
      </w:r>
    </w:p>
    <w:p w14:paraId="63DC11E0" w14:textId="77777777" w:rsidR="00730F51" w:rsidRPr="00730F51" w:rsidRDefault="00F02D1F" w:rsidP="00BC2E05">
      <w:pPr>
        <w:pStyle w:val="StyleJustifiedLeft063cm"/>
        <w:ind w:firstLine="0"/>
        <w:rPr>
          <w:sz w:val="22"/>
          <w:szCs w:val="22"/>
        </w:rPr>
      </w:pPr>
      <w:r w:rsidRPr="004A4F90">
        <w:rPr>
          <w:sz w:val="22"/>
          <w:szCs w:val="22"/>
        </w:rPr>
        <w:t>Pacienti so zriedkavými dedičnými problémami galaktózovej intolerancie, celkovým deficitom laktázy alebo glukózo-galaktózovou malabsorpciou nesmú užívať tento liek.</w:t>
      </w:r>
      <w:r w:rsidRPr="00730F51">
        <w:rPr>
          <w:sz w:val="22"/>
          <w:szCs w:val="22"/>
        </w:rPr>
        <w:t xml:space="preserve"> </w:t>
      </w:r>
    </w:p>
    <w:p w14:paraId="0CA6A973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70BF69E8" w14:textId="77777777" w:rsidR="00A861C5" w:rsidRPr="00A861C5" w:rsidRDefault="00B93AFE" w:rsidP="00BC2E05">
      <w:pPr>
        <w:pStyle w:val="StyleJustified"/>
        <w:ind w:left="0" w:firstLine="0"/>
        <w:jc w:val="left"/>
        <w:rPr>
          <w:szCs w:val="22"/>
        </w:rPr>
      </w:pPr>
      <w:r w:rsidRPr="00A861C5">
        <w:rPr>
          <w:szCs w:val="22"/>
        </w:rPr>
        <w:lastRenderedPageBreak/>
        <w:t>Po vysadení cetirizínu sa môže vyskytnúť svrbenie</w:t>
      </w:r>
      <w:r w:rsidR="00D04C45">
        <w:rPr>
          <w:szCs w:val="22"/>
        </w:rPr>
        <w:t xml:space="preserve"> </w:t>
      </w:r>
      <w:r w:rsidRPr="00A861C5">
        <w:rPr>
          <w:szCs w:val="22"/>
        </w:rPr>
        <w:t>a/alebo žihľavka, aj keď sa tieto príznaky pred začiatkom liečby nevyskytli. V niektorých prípadoch</w:t>
      </w:r>
      <w:r w:rsidR="00A861C5">
        <w:rPr>
          <w:szCs w:val="22"/>
        </w:rPr>
        <w:t xml:space="preserve"> </w:t>
      </w:r>
      <w:r w:rsidRPr="00A861C5">
        <w:rPr>
          <w:szCs w:val="22"/>
        </w:rPr>
        <w:t>môžu byť príznaky intenzívne a môžu si vyžiadať opätovné začatie liečby. Po opakovanom začatí liečby majú príznaky odznieť.</w:t>
      </w:r>
    </w:p>
    <w:p w14:paraId="7A4ECDE8" w14:textId="77777777" w:rsidR="009A4F36" w:rsidRPr="00A861C5" w:rsidRDefault="009A4F36" w:rsidP="00BC2E05">
      <w:pPr>
        <w:rPr>
          <w:i/>
          <w:sz w:val="22"/>
          <w:szCs w:val="22"/>
          <w:u w:val="single"/>
        </w:rPr>
      </w:pPr>
    </w:p>
    <w:p w14:paraId="3C3E3B63" w14:textId="77777777" w:rsidR="009A4F36" w:rsidRPr="00730F51" w:rsidRDefault="009A4F36" w:rsidP="00BC2E05">
      <w:pPr>
        <w:rPr>
          <w:i/>
          <w:sz w:val="22"/>
          <w:szCs w:val="22"/>
          <w:u w:val="single"/>
        </w:rPr>
      </w:pPr>
      <w:r w:rsidRPr="00730F51">
        <w:rPr>
          <w:i/>
          <w:sz w:val="22"/>
          <w:szCs w:val="22"/>
          <w:u w:val="single"/>
        </w:rPr>
        <w:t>Pediatrická populácia</w:t>
      </w:r>
    </w:p>
    <w:p w14:paraId="3A79136A" w14:textId="64705C30" w:rsidR="009A4F36" w:rsidRPr="00730F51" w:rsidRDefault="009A4F36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 xml:space="preserve">Použitie liekovej formy filmom obalených tabliet sa neodporúča u detí mladších ako 6 rokov, pretože táto lieková forma </w:t>
      </w:r>
      <w:r w:rsidR="00D04C45">
        <w:rPr>
          <w:sz w:val="22"/>
          <w:szCs w:val="22"/>
        </w:rPr>
        <w:t>neumožňuje</w:t>
      </w:r>
      <w:r w:rsidR="00D04C45" w:rsidRPr="00730F51">
        <w:rPr>
          <w:sz w:val="22"/>
          <w:szCs w:val="22"/>
        </w:rPr>
        <w:t xml:space="preserve"> </w:t>
      </w:r>
      <w:r w:rsidRPr="00730F51">
        <w:rPr>
          <w:sz w:val="22"/>
          <w:szCs w:val="22"/>
        </w:rPr>
        <w:t>vhodnú úpravu dávky. Odporúča sa použiť liekovú formu určenú na pediatrické použitie.</w:t>
      </w:r>
    </w:p>
    <w:p w14:paraId="51EAAA2A" w14:textId="77777777" w:rsidR="0098480D" w:rsidRPr="00730F51" w:rsidRDefault="0098480D" w:rsidP="00BC2E05">
      <w:pPr>
        <w:pStyle w:val="StyleJustified"/>
        <w:jc w:val="left"/>
        <w:rPr>
          <w:szCs w:val="22"/>
        </w:rPr>
      </w:pPr>
    </w:p>
    <w:p w14:paraId="328EF33D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4.5</w:t>
      </w:r>
      <w:r w:rsidRPr="00730F51">
        <w:rPr>
          <w:szCs w:val="22"/>
        </w:rPr>
        <w:tab/>
        <w:t>Liekové a iné interakcie</w:t>
      </w:r>
    </w:p>
    <w:p w14:paraId="311626C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9DB76CA" w14:textId="77777777" w:rsidR="009A4F36" w:rsidRDefault="009A4F36" w:rsidP="00BC2E05">
      <w:pPr>
        <w:pStyle w:val="StyleJustifiedLeft063cm1"/>
        <w:jc w:val="left"/>
      </w:pPr>
      <w:r>
        <w:t>Vzhľadom na farmakokinetický a farmakodynamický profil a profil znášanlivosti cetirizínu sa neočakávajú interakcie s týmto antihistaminikom. V uskutočnených štúdiách liekových interakcií neboli aktuálne preukázané farmakodynamické ani významné farmakokinetické interakcie, obzvlášť s pseudoefedrínom alebo teofylínom (400 mg/deň).</w:t>
      </w:r>
    </w:p>
    <w:p w14:paraId="336907F0" w14:textId="77777777" w:rsidR="009A4F36" w:rsidRDefault="009A4F36" w:rsidP="00BC2E05">
      <w:pPr>
        <w:pStyle w:val="StyleJustifiedLeft063cm1"/>
        <w:jc w:val="left"/>
      </w:pPr>
    </w:p>
    <w:p w14:paraId="5F6252E2" w14:textId="77777777" w:rsidR="009A4F36" w:rsidRDefault="009A4F36" w:rsidP="00BC2E05">
      <w:pPr>
        <w:pStyle w:val="StyleJustifiedLeft063cm1"/>
        <w:jc w:val="left"/>
      </w:pPr>
      <w:r>
        <w:t>Príjem potravy neznižuje mieru absorpcie cetirizínu, ale dochádza k zníženiu rýchlosti absorpcie.</w:t>
      </w:r>
    </w:p>
    <w:p w14:paraId="5A1299FE" w14:textId="77777777" w:rsidR="009A4F36" w:rsidRDefault="009A4F36" w:rsidP="00BC2E05">
      <w:pPr>
        <w:pStyle w:val="StyleJustifiedLeft063cm1"/>
        <w:jc w:val="left"/>
      </w:pPr>
    </w:p>
    <w:p w14:paraId="16AA82B6" w14:textId="77777777" w:rsidR="00A861C5" w:rsidRDefault="009A4F36" w:rsidP="00DE451E">
      <w:pPr>
        <w:pStyle w:val="StyleJustified"/>
        <w:ind w:left="0" w:firstLine="0"/>
        <w:jc w:val="left"/>
      </w:pPr>
      <w:r>
        <w:t>U citlivých pacientov môže súbežné požívanie alkoholu alebo užívanie iných látok tlmiacich CNS vyvolať ďalšie zníženie bdelosti a zníženie výkonnosti, aj keď cetirizín nezosilňuje účinok alkoholu (hladina v krvi 0,5 g/l).</w:t>
      </w:r>
    </w:p>
    <w:p w14:paraId="26654700" w14:textId="77777777"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14:paraId="16619E66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4.6</w:t>
      </w:r>
      <w:r w:rsidRPr="00730F51">
        <w:rPr>
          <w:szCs w:val="22"/>
        </w:rPr>
        <w:tab/>
        <w:t>Fertilita, gravidita a laktácia</w:t>
      </w:r>
    </w:p>
    <w:p w14:paraId="3A0668E6" w14:textId="77777777"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14:paraId="22F32216" w14:textId="77777777" w:rsidR="00730F51" w:rsidRPr="00DE451E" w:rsidRDefault="00730F51" w:rsidP="00BC2E05">
      <w:pPr>
        <w:pStyle w:val="StyleJustified"/>
        <w:keepNext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Gravidita</w:t>
      </w:r>
    </w:p>
    <w:p w14:paraId="646F7A5C" w14:textId="77777777" w:rsidR="009A4F36" w:rsidRPr="009A4F36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r w:rsidRPr="009A4F36">
        <w:rPr>
          <w:szCs w:val="22"/>
        </w:rPr>
        <w:t>Prospektívne získané údaje o cetirizíne a gravidite nenaznačujú pri vyššie uvedenom dávkovaní potenciál toxicity pre matku alebo plod/embryo.</w:t>
      </w:r>
    </w:p>
    <w:p w14:paraId="23B6097E" w14:textId="77777777" w:rsidR="00730F51" w:rsidRPr="00730F51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r w:rsidRPr="009A4F36">
        <w:rPr>
          <w:szCs w:val="22"/>
        </w:rPr>
        <w:t>Štúdie na zvieratách nepreukázali priame alebo nepriame škodlivé účinky na graviditu, embryonálny/fetálny vývoj, pôrod alebo postnatálny vývoj. Pri predpisovaní lieku tehotným ženám je potrebná opatrnosť.</w:t>
      </w:r>
    </w:p>
    <w:p w14:paraId="1996FA19" w14:textId="77777777"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14:paraId="500543F5" w14:textId="77777777" w:rsidR="00730F51" w:rsidRPr="00730F51" w:rsidRDefault="009144F4" w:rsidP="00BC2E05">
      <w:pPr>
        <w:pStyle w:val="StyleJustified"/>
        <w:jc w:val="left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14:paraId="750CF4A7" w14:textId="77777777" w:rsidR="00D04C45" w:rsidRDefault="00D04C45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Cetirizín prestupuje do ľudského mlieka. Nedá sa vylúčiť riziko výskytu nežiaducich účinkov u dojčených detí.</w:t>
      </w:r>
    </w:p>
    <w:p w14:paraId="0D12A508" w14:textId="77777777" w:rsidR="005C55D8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Cetirizín sa vylučuje do ľudského mlieka v koncentráciách predstavujúcich 25 % až 90 %, nameraných v plazme, v závislosti od času odberu vzoriek po podaní. Preto je potrebná opatrnosť pri predpisovaní cetirizínu dojčiacim ženám.</w:t>
      </w:r>
    </w:p>
    <w:p w14:paraId="1F51C8D9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1F92F55D" w14:textId="77777777" w:rsidR="00730F51" w:rsidRPr="00730F51" w:rsidRDefault="00730F51" w:rsidP="00BC2E05">
      <w:pPr>
        <w:rPr>
          <w:sz w:val="22"/>
          <w:szCs w:val="22"/>
          <w:u w:val="single"/>
        </w:rPr>
      </w:pPr>
      <w:r w:rsidRPr="00730F51">
        <w:rPr>
          <w:sz w:val="22"/>
          <w:szCs w:val="22"/>
          <w:u w:val="single"/>
        </w:rPr>
        <w:t>Fertilita</w:t>
      </w:r>
    </w:p>
    <w:p w14:paraId="63DBC407" w14:textId="77777777"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 xml:space="preserve">K dispozícii sú iba obmedzené údaje o vplyve na fertilitu u ľudí, ale neboli identifikované žiadne problémy týkajúce sa bezpečnosti. </w:t>
      </w:r>
    </w:p>
    <w:p w14:paraId="00FC392F" w14:textId="77777777" w:rsidR="00730F51" w:rsidRPr="00730F51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Štúdie na zvieratách nepreukazujú žiadne bezpečnostné riziko u ľudí.</w:t>
      </w:r>
    </w:p>
    <w:p w14:paraId="672A5E1E" w14:textId="77777777"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14:paraId="5F699EE2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4.7</w:t>
      </w:r>
      <w:r w:rsidRPr="00730F51">
        <w:rPr>
          <w:szCs w:val="22"/>
        </w:rPr>
        <w:tab/>
        <w:t>Ovplyvnenie schopnosti viesť motorové vozidlá a obsluhovať stroje</w:t>
      </w:r>
    </w:p>
    <w:p w14:paraId="72011E50" w14:textId="77777777"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14:paraId="2FF4D794" w14:textId="77777777"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Objektívne meranie schopnosti viesť vozidlá, latencie spánku a výkonnosti pri montážnej linke nepreukázalo žiadne klinicky relevantné účinky pri odporúčanej dávke 10 mg.</w:t>
      </w:r>
    </w:p>
    <w:p w14:paraId="5EFF0DA0" w14:textId="77777777" w:rsidR="005371E2" w:rsidRDefault="009A4F36" w:rsidP="00DE451E">
      <w:pPr>
        <w:pStyle w:val="StyleJustified"/>
        <w:ind w:left="0" w:firstLine="0"/>
        <w:jc w:val="left"/>
        <w:rPr>
          <w:szCs w:val="22"/>
        </w:rPr>
      </w:pPr>
      <w:r w:rsidRPr="009A4F36">
        <w:rPr>
          <w:szCs w:val="22"/>
        </w:rPr>
        <w:t>Napriek tomu pacienti, ktorí pociťujú ospalosť, nemajú viesť vozidlá, zúčastňovať sa na potenciálne nebezpečných činnostiach alebo obsluhovať stroje. Nemajú prekračovať odporúčanú dávku a majú zohľadniť reakcie svojho organizmu na daný liek.</w:t>
      </w:r>
    </w:p>
    <w:p w14:paraId="79BA8A30" w14:textId="77777777"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14:paraId="04545631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4.8</w:t>
      </w:r>
      <w:r w:rsidRPr="00730F51">
        <w:rPr>
          <w:szCs w:val="22"/>
        </w:rPr>
        <w:tab/>
        <w:t>Nežiaduce účinky</w:t>
      </w:r>
    </w:p>
    <w:p w14:paraId="327B47E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E833CCB" w14:textId="77777777"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 xml:space="preserve">Klinické štúdie </w:t>
      </w:r>
    </w:p>
    <w:p w14:paraId="4BC00E96" w14:textId="77777777" w:rsidR="00730F51" w:rsidRPr="00DE451E" w:rsidRDefault="009A4F36" w:rsidP="00BC2E05">
      <w:pPr>
        <w:pStyle w:val="StyleJustified"/>
        <w:jc w:val="left"/>
        <w:rPr>
          <w:i/>
          <w:szCs w:val="22"/>
        </w:rPr>
      </w:pPr>
      <w:r>
        <w:rPr>
          <w:i/>
          <w:szCs w:val="22"/>
        </w:rPr>
        <w:t>Prehľad</w:t>
      </w:r>
    </w:p>
    <w:p w14:paraId="21FC7E57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E878E05" w14:textId="77777777" w:rsidR="00730F51" w:rsidRPr="00730F51" w:rsidRDefault="00730F51" w:rsidP="00BC2E05">
      <w:pPr>
        <w:pStyle w:val="StyleJustifiedLeft063cm1"/>
        <w:jc w:val="left"/>
      </w:pPr>
      <w:r w:rsidRPr="00730F51">
        <w:lastRenderedPageBreak/>
        <w:t xml:space="preserve">Klinické štúdie </w:t>
      </w:r>
      <w:r w:rsidR="005371E2">
        <w:t>pre</w:t>
      </w:r>
      <w:r w:rsidRPr="00730F51">
        <w:t>ukázali, že pri odporúčanom dávkovaní má cetirizín mierne nežiaduce účinky na CNS, vrátane ospalosti, únavy, závratu a bolesti hlavy. V niektorých prípadoch sa hlásila paradoxná stimulácia CNS.</w:t>
      </w:r>
    </w:p>
    <w:p w14:paraId="61603B6B" w14:textId="77777777" w:rsidR="009A4F36" w:rsidRDefault="009A4F36" w:rsidP="00BC2E05">
      <w:pPr>
        <w:pStyle w:val="StyleJustifiedLeft063cm1"/>
        <w:jc w:val="left"/>
      </w:pPr>
    </w:p>
    <w:p w14:paraId="43D45D66" w14:textId="77777777" w:rsidR="00730F51" w:rsidRPr="00730F51" w:rsidRDefault="00730F51" w:rsidP="00BC2E05">
      <w:pPr>
        <w:pStyle w:val="StyleJustifiedLeft063cm1"/>
        <w:jc w:val="left"/>
      </w:pPr>
      <w:r w:rsidRPr="00730F51">
        <w:t>Napriek tomu, že cetirizín je selektívny antagonista periférnych H</w:t>
      </w:r>
      <w:r w:rsidRPr="00730F51">
        <w:rPr>
          <w:vertAlign w:val="subscript"/>
        </w:rPr>
        <w:t>1</w:t>
      </w:r>
      <w:r w:rsidRPr="00730F51">
        <w:t xml:space="preserve"> receptorov a nevykazuje relatívne anticholinergné pôsobenie, hlásili sa ojedinelé prípady ťažkostí s močením, poruchy akomodácie oka a pocit sucha v ústach.</w:t>
      </w:r>
    </w:p>
    <w:p w14:paraId="450FF09D" w14:textId="77777777" w:rsidR="00D04C45" w:rsidRDefault="00D04C45" w:rsidP="00BC2E05">
      <w:pPr>
        <w:pStyle w:val="StyleJustifiedLeft063cm1"/>
        <w:jc w:val="left"/>
      </w:pPr>
    </w:p>
    <w:p w14:paraId="0F8E99B8" w14:textId="458D8D01" w:rsidR="00730F51" w:rsidRPr="00730F51" w:rsidRDefault="00730F51" w:rsidP="00BC2E05">
      <w:pPr>
        <w:pStyle w:val="StyleJustifiedLeft063cm1"/>
        <w:jc w:val="left"/>
      </w:pPr>
      <w:r w:rsidRPr="00730F51">
        <w:t>Ďalej sa hlásili prípady abnormálnej funkcie pečene so zvýšenou hladinou pečeňových enzýmov, sprevádzané zvýšenou hladinou bilirubínu. Tieto príznaky po ukončení liečby cetirizín</w:t>
      </w:r>
      <w:r w:rsidR="00BB3BB8">
        <w:t>om</w:t>
      </w:r>
      <w:r w:rsidRPr="00730F51">
        <w:t xml:space="preserve"> zväčša odzneli.</w:t>
      </w:r>
    </w:p>
    <w:p w14:paraId="6CABE3C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94E7BDA" w14:textId="77777777" w:rsidR="005371E2" w:rsidRPr="00662FB3" w:rsidRDefault="009A4F36" w:rsidP="00BC2E05">
      <w:pPr>
        <w:pStyle w:val="StyleJustifiedLeft063cm1"/>
        <w:jc w:val="left"/>
        <w:rPr>
          <w:i/>
        </w:rPr>
      </w:pPr>
      <w:r w:rsidRPr="00662FB3">
        <w:rPr>
          <w:i/>
        </w:rPr>
        <w:t>Zoznam nežiaducich reakcií</w:t>
      </w:r>
      <w:r w:rsidRPr="00662FB3" w:rsidDel="00386016">
        <w:rPr>
          <w:i/>
        </w:rPr>
        <w:t xml:space="preserve"> </w:t>
      </w:r>
    </w:p>
    <w:p w14:paraId="72F207F9" w14:textId="77777777" w:rsidR="00730F51" w:rsidRPr="00730F51" w:rsidRDefault="00730F51" w:rsidP="00BC2E05">
      <w:pPr>
        <w:pStyle w:val="StyleJustifiedLeft063cm1"/>
        <w:jc w:val="left"/>
      </w:pPr>
      <w:r w:rsidRPr="00730F51">
        <w:t>Dvojito</w:t>
      </w:r>
      <w:r w:rsidR="005371E2">
        <w:t xml:space="preserve"> </w:t>
      </w:r>
      <w:r w:rsidRPr="00730F51">
        <w:t>zaslepené kontrolované klinické alebo farmakoklinické štúdie porovnávajúce cetirizín s placebom alebo inými antihistaminikami v odporúčanej dávke (10 mg denne u cetirizínu), z ktorých sú k dispozícii kvantifikované údaje o bezpečnosti, zahŕňali vyše 3 200 pacientov, ktorým podávali cetirizín.</w:t>
      </w:r>
    </w:p>
    <w:p w14:paraId="4A28DAFC" w14:textId="77777777" w:rsidR="00730F51" w:rsidRPr="00730F51" w:rsidRDefault="00730F51" w:rsidP="00BC2E05">
      <w:pPr>
        <w:pStyle w:val="StyleJustifiedLeft063cm1"/>
        <w:jc w:val="left"/>
      </w:pPr>
      <w:r w:rsidRPr="00730F51">
        <w:t>Z tohto súboru sa pri dávke cetirizínu 10 mg v štúdiách kontrolovaných placebom hlásili tieto nežiaduce účinky s mierou výskytu 1,0 % a viac:</w:t>
      </w:r>
    </w:p>
    <w:p w14:paraId="1C65D56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14:paraId="1AAFC761" w14:textId="77777777" w:rsidTr="00E91BEC">
        <w:tc>
          <w:tcPr>
            <w:tcW w:w="4140" w:type="dxa"/>
            <w:vAlign w:val="center"/>
          </w:tcPr>
          <w:p w14:paraId="09B7D04B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Nežiaduce reakcie</w:t>
            </w:r>
          </w:p>
          <w:p w14:paraId="6BBE8FDB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WHO-ART</w:t>
            </w:r>
          </w:p>
        </w:tc>
        <w:tc>
          <w:tcPr>
            <w:tcW w:w="1980" w:type="dxa"/>
            <w:vAlign w:val="center"/>
          </w:tcPr>
          <w:p w14:paraId="08A1B0C2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Cetirizín 10 mg</w:t>
            </w:r>
          </w:p>
          <w:p w14:paraId="3E06C10B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14:paraId="2428902D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Placebo</w:t>
            </w:r>
          </w:p>
          <w:p w14:paraId="432FC545" w14:textId="77777777"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3 061)</w:t>
            </w:r>
          </w:p>
        </w:tc>
      </w:tr>
      <w:tr w:rsidR="00730F51" w:rsidRPr="00730F51" w14:paraId="4AACDCC5" w14:textId="77777777" w:rsidTr="00E91BEC">
        <w:tc>
          <w:tcPr>
            <w:tcW w:w="4140" w:type="dxa"/>
            <w:vAlign w:val="center"/>
          </w:tcPr>
          <w:p w14:paraId="64808983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Celkové poruchy a reakcie v mieste podania</w:t>
            </w:r>
          </w:p>
          <w:p w14:paraId="3228460D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14:paraId="4E1423EF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75B35F0A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14:paraId="7D51ECF4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4AFC4340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0,95 %</w:t>
            </w:r>
          </w:p>
        </w:tc>
      </w:tr>
      <w:tr w:rsidR="00730F51" w:rsidRPr="00730F51" w14:paraId="5D877BE2" w14:textId="77777777" w:rsidTr="00E91BEC">
        <w:tc>
          <w:tcPr>
            <w:tcW w:w="4140" w:type="dxa"/>
            <w:vAlign w:val="center"/>
          </w:tcPr>
          <w:p w14:paraId="649E4855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nervového systému</w:t>
            </w:r>
          </w:p>
          <w:p w14:paraId="2749CBC2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Závraty</w:t>
            </w:r>
          </w:p>
          <w:p w14:paraId="551A9403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14:paraId="77AD1C51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4724387A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53976D45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1,10 %</w:t>
            </w:r>
          </w:p>
          <w:p w14:paraId="7347DECF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14:paraId="273B96DF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3417C39A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0EB7B594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14:paraId="38BD9EF2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8,07 %</w:t>
            </w:r>
          </w:p>
        </w:tc>
      </w:tr>
      <w:tr w:rsidR="00730F51" w:rsidRPr="00730F51" w14:paraId="3031DDD0" w14:textId="77777777" w:rsidTr="00E91BEC">
        <w:tc>
          <w:tcPr>
            <w:tcW w:w="4140" w:type="dxa"/>
            <w:vAlign w:val="center"/>
          </w:tcPr>
          <w:p w14:paraId="31A8825E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gastrointestinálneho traktu</w:t>
            </w:r>
          </w:p>
          <w:p w14:paraId="289E0DE4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brucha</w:t>
            </w:r>
          </w:p>
          <w:p w14:paraId="5287B114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Sucho v ústach</w:t>
            </w:r>
          </w:p>
          <w:p w14:paraId="3AA13085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14:paraId="54CF3981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2CDDE5E0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14:paraId="57C89E50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2,09 %</w:t>
            </w:r>
          </w:p>
          <w:p w14:paraId="466E3808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14:paraId="0D686400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78D10659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1,08 %</w:t>
            </w:r>
          </w:p>
          <w:p w14:paraId="05ED86F0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0,82 %</w:t>
            </w:r>
          </w:p>
          <w:p w14:paraId="045E4962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1,14 %</w:t>
            </w:r>
          </w:p>
        </w:tc>
      </w:tr>
      <w:tr w:rsidR="00730F51" w:rsidRPr="00730F51" w14:paraId="4745B874" w14:textId="77777777" w:rsidTr="00E91BEC">
        <w:tc>
          <w:tcPr>
            <w:tcW w:w="4140" w:type="dxa"/>
            <w:vAlign w:val="center"/>
          </w:tcPr>
          <w:p w14:paraId="04174AA9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14:paraId="0C97DD8F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14:paraId="391B7836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6DDF9179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14:paraId="34DCB157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14:paraId="118C1D1E" w14:textId="77777777"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5,00 %</w:t>
            </w:r>
          </w:p>
        </w:tc>
      </w:tr>
      <w:tr w:rsidR="00730F51" w:rsidRPr="00730F51" w14:paraId="62970EAB" w14:textId="77777777" w:rsidTr="00E91BEC">
        <w:tc>
          <w:tcPr>
            <w:tcW w:w="4140" w:type="dxa"/>
            <w:vAlign w:val="center"/>
          </w:tcPr>
          <w:p w14:paraId="58C20897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Poruchy dýchacej sústavy, hrudníka a mediastína</w:t>
            </w:r>
            <w:r w:rsidRPr="00730F51">
              <w:rPr>
                <w:sz w:val="22"/>
                <w:szCs w:val="22"/>
              </w:rPr>
              <w:br/>
              <w:t>Zápal hltanu</w:t>
            </w:r>
          </w:p>
        </w:tc>
        <w:tc>
          <w:tcPr>
            <w:tcW w:w="1980" w:type="dxa"/>
            <w:vAlign w:val="center"/>
          </w:tcPr>
          <w:p w14:paraId="26D06984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246CAC92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14:paraId="782518AE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4230BB87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1,34 %</w:t>
            </w:r>
          </w:p>
        </w:tc>
      </w:tr>
    </w:tbl>
    <w:p w14:paraId="581AB42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37E0394" w14:textId="77777777" w:rsidR="00730F51" w:rsidRPr="00730F51" w:rsidRDefault="00076EDA" w:rsidP="00BC2E05">
      <w:pPr>
        <w:pStyle w:val="StyleJustifiedLeft063cm1"/>
        <w:jc w:val="left"/>
      </w:pPr>
      <w:r w:rsidRPr="00076EDA">
        <w:t>Napriek tomu, že ospalosť sa vyskytovala štatisticky častejšie než v skupine s placebom, zväčša išlo o prípady miernej až strednej ospalosti. Objektívne testy dokázané inými štúdiami preukázali, že zvyčajné každodenné činnosti pri odporúčanej dávke u zdravých mladých dobrovoľníkov nie sú ovplyvnené.</w:t>
      </w:r>
    </w:p>
    <w:p w14:paraId="645BFC36" w14:textId="77777777" w:rsidR="005371E2" w:rsidRDefault="005371E2" w:rsidP="00BC2E05">
      <w:pPr>
        <w:pStyle w:val="StyleJustifiedLeft063cm1"/>
        <w:jc w:val="left"/>
      </w:pPr>
    </w:p>
    <w:p w14:paraId="37E78D58" w14:textId="77777777" w:rsidR="00730F51" w:rsidRPr="00076EDA" w:rsidRDefault="00730F51" w:rsidP="00BC2E05">
      <w:pPr>
        <w:pStyle w:val="StyleJustifiedLeft063cm1"/>
        <w:jc w:val="left"/>
      </w:pPr>
      <w:r w:rsidRPr="00076EDA">
        <w:t>Pediatrická populácia</w:t>
      </w:r>
    </w:p>
    <w:p w14:paraId="492627C2" w14:textId="77777777" w:rsidR="00730F51" w:rsidRPr="00076EDA" w:rsidRDefault="00730F51" w:rsidP="00BC2E05">
      <w:pPr>
        <w:pStyle w:val="StyleJustifiedLeft063cm1"/>
        <w:jc w:val="left"/>
      </w:pPr>
      <w:r w:rsidRPr="00940034">
        <w:t xml:space="preserve">Nežiaduce reakcie s mierou výskytu 1 % alebo viac u detí vo veku od 6 mesiacov do 12 rokov, vrátane klinických alebo farmakoklinických štúdií </w:t>
      </w:r>
      <w:r w:rsidRPr="00B93AFE">
        <w:t>kontrolovaných placebom, sú:</w:t>
      </w:r>
    </w:p>
    <w:p w14:paraId="57D01F8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14:paraId="27706398" w14:textId="77777777" w:rsidTr="00E91BEC">
        <w:tc>
          <w:tcPr>
            <w:tcW w:w="4140" w:type="dxa"/>
            <w:vAlign w:val="center"/>
          </w:tcPr>
          <w:p w14:paraId="665781DF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Nežiaduca reakcia na liek</w:t>
            </w:r>
          </w:p>
          <w:p w14:paraId="461E2872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E026E7D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Cetirizín 10 mg</w:t>
            </w:r>
          </w:p>
          <w:p w14:paraId="0E55796B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14:paraId="001FC6B5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Placebo</w:t>
            </w:r>
          </w:p>
          <w:p w14:paraId="5E16B025" w14:textId="77777777"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1 294)</w:t>
            </w:r>
          </w:p>
        </w:tc>
      </w:tr>
      <w:tr w:rsidR="00730F51" w:rsidRPr="00730F51" w14:paraId="3CBD6627" w14:textId="77777777" w:rsidTr="00E91BEC">
        <w:tc>
          <w:tcPr>
            <w:tcW w:w="4140" w:type="dxa"/>
            <w:vAlign w:val="center"/>
          </w:tcPr>
          <w:p w14:paraId="1DA99284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gastrointestinálneho traktu</w:t>
            </w:r>
          </w:p>
          <w:p w14:paraId="0D6692B2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14:paraId="331667BE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7D96BCE3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14:paraId="1AD93AA4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1AAB67E4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0,6 %</w:t>
            </w:r>
          </w:p>
        </w:tc>
      </w:tr>
      <w:tr w:rsidR="00730F51" w:rsidRPr="00730F51" w14:paraId="46AC3212" w14:textId="77777777" w:rsidTr="00E91BEC">
        <w:tc>
          <w:tcPr>
            <w:tcW w:w="4140" w:type="dxa"/>
            <w:vAlign w:val="center"/>
          </w:tcPr>
          <w:p w14:paraId="4904B538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14:paraId="54A8F105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14:paraId="70333830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77FF6E70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14:paraId="1D3CB933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3D998C67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</w:tr>
      <w:tr w:rsidR="00730F51" w:rsidRPr="00730F51" w14:paraId="1C09FB8B" w14:textId="77777777" w:rsidTr="00E91BEC">
        <w:tc>
          <w:tcPr>
            <w:tcW w:w="4140" w:type="dxa"/>
            <w:vAlign w:val="center"/>
          </w:tcPr>
          <w:p w14:paraId="5709B088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lastRenderedPageBreak/>
              <w:t>Poruchy dýchacej sústavy, hrudníka a mediastína</w:t>
            </w:r>
          </w:p>
          <w:p w14:paraId="29C64300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Nádcha</w:t>
            </w:r>
          </w:p>
        </w:tc>
        <w:tc>
          <w:tcPr>
            <w:tcW w:w="1980" w:type="dxa"/>
            <w:vAlign w:val="center"/>
          </w:tcPr>
          <w:p w14:paraId="36051890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7C8C23AD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14:paraId="27419C1C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1B0EA62E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1,1 %</w:t>
            </w:r>
          </w:p>
        </w:tc>
      </w:tr>
      <w:tr w:rsidR="00730F51" w:rsidRPr="00730F51" w14:paraId="0D3C626E" w14:textId="77777777" w:rsidTr="00E91BEC">
        <w:tc>
          <w:tcPr>
            <w:tcW w:w="4140" w:type="dxa"/>
            <w:vAlign w:val="center"/>
          </w:tcPr>
          <w:p w14:paraId="4603CC40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Celkové poruchy a reakcie v mieste podania</w:t>
            </w:r>
          </w:p>
          <w:p w14:paraId="1ABF9B67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14:paraId="43B98453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3F16500D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14:paraId="5609CBC7" w14:textId="77777777" w:rsidR="00730F51" w:rsidRPr="00730F51" w:rsidRDefault="00730F51" w:rsidP="00BC2E05">
            <w:pPr>
              <w:rPr>
                <w:sz w:val="22"/>
                <w:szCs w:val="22"/>
              </w:rPr>
            </w:pPr>
          </w:p>
          <w:p w14:paraId="50DB6EF4" w14:textId="77777777"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0,3 %</w:t>
            </w:r>
          </w:p>
        </w:tc>
      </w:tr>
    </w:tbl>
    <w:p w14:paraId="6098DCF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362DD9A" w14:textId="77777777" w:rsidR="00730F51" w:rsidRPr="00DE451E" w:rsidRDefault="00730F51" w:rsidP="00BC2E05">
      <w:pPr>
        <w:pStyle w:val="StyleBoldJustified"/>
        <w:rPr>
          <w:b w:val="0"/>
          <w:bCs w:val="0"/>
          <w:iCs/>
          <w:szCs w:val="22"/>
          <w:u w:val="single"/>
        </w:rPr>
      </w:pPr>
      <w:r w:rsidRPr="00DE451E">
        <w:rPr>
          <w:b w:val="0"/>
          <w:bCs w:val="0"/>
          <w:iCs/>
          <w:szCs w:val="22"/>
          <w:u w:val="single"/>
        </w:rPr>
        <w:t>Skúsenosti po uvedení lieku na trh</w:t>
      </w:r>
    </w:p>
    <w:p w14:paraId="62DC5B46" w14:textId="77777777" w:rsidR="00730F51" w:rsidRPr="00730F51" w:rsidRDefault="00730F51" w:rsidP="00BC2E05">
      <w:pPr>
        <w:pStyle w:val="StyleBoldJustified"/>
        <w:rPr>
          <w:b w:val="0"/>
          <w:bCs w:val="0"/>
          <w:i/>
          <w:iCs/>
          <w:szCs w:val="22"/>
        </w:rPr>
      </w:pPr>
    </w:p>
    <w:p w14:paraId="3AA66FB6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 w:rsidDel="004E3EB2">
        <w:rPr>
          <w:szCs w:val="22"/>
          <w:u w:val="single"/>
        </w:rPr>
        <w:t xml:space="preserve"> </w:t>
      </w:r>
      <w:r w:rsidRPr="00730F51">
        <w:rPr>
          <w:sz w:val="22"/>
          <w:szCs w:val="22"/>
        </w:rPr>
        <w:t xml:space="preserve">Popri nežiaducich rekciách hlásených počas klinických štúdií a uvedených vyššie sa v rámci skúseností po uvedení lieku na trh hlásili nasledovné ojedinelé nežiaduce reakcie. </w:t>
      </w:r>
    </w:p>
    <w:p w14:paraId="1E186672" w14:textId="77777777" w:rsidR="00730F51" w:rsidRPr="00730F51" w:rsidRDefault="00730F51" w:rsidP="00BC2E05">
      <w:pPr>
        <w:pStyle w:val="StyleItalicJustifiedLeft063cm"/>
        <w:jc w:val="left"/>
      </w:pPr>
    </w:p>
    <w:p w14:paraId="291EE846" w14:textId="77777777" w:rsidR="00730F51" w:rsidRPr="00076EDA" w:rsidRDefault="00730F51" w:rsidP="00BC2E05">
      <w:pPr>
        <w:pStyle w:val="StyleItalicJustifiedLeft063cm"/>
        <w:jc w:val="left"/>
        <w:rPr>
          <w:i w:val="0"/>
        </w:rPr>
      </w:pPr>
      <w:r w:rsidRPr="00076EDA">
        <w:rPr>
          <w:i w:val="0"/>
        </w:rPr>
        <w:t>Nežiaduce účinky sú popísané podľa tried orgánových systémov MedDRA a podľa odhadovanej frekvencie na základe skúseností po uvedení lieku na trh.</w:t>
      </w:r>
    </w:p>
    <w:p w14:paraId="21C19C80" w14:textId="77777777"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1B9D9087" w14:textId="77777777"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06BE3D19" w14:textId="77777777" w:rsidR="00730F51" w:rsidRPr="00730F51" w:rsidRDefault="00730F51" w:rsidP="00BC2E05">
      <w:pPr>
        <w:pStyle w:val="StyleItalicJustifiedLeft063cm"/>
        <w:jc w:val="left"/>
      </w:pPr>
      <w:r w:rsidRPr="00076EDA">
        <w:rPr>
          <w:i w:val="0"/>
        </w:rPr>
        <w:t>Frekvencie sú definované nasledovne: Veľmi časté (≥ 1/10); časté (≥ 1/100 až &lt; 1/10); menej časté (≥ 1/1000 až &lt; 1/100); zriedkavé (≥ 1/10 000 až &lt; 1/1000); veľmi zriedkavé (&lt; 1/10 000), neznáme (z dostupných údajov).</w:t>
      </w:r>
    </w:p>
    <w:p w14:paraId="4B3AA87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 w:rsidDel="004E3EB2">
        <w:rPr>
          <w:szCs w:val="22"/>
        </w:rPr>
        <w:t xml:space="preserve"> </w:t>
      </w:r>
    </w:p>
    <w:p w14:paraId="245CF861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krvi a lymfatického systému</w:t>
      </w:r>
    </w:p>
    <w:p w14:paraId="1DB1685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trombocytopénia.</w:t>
      </w:r>
    </w:p>
    <w:p w14:paraId="39FCE04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5348AEA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imunitného systému</w:t>
      </w:r>
    </w:p>
    <w:p w14:paraId="3BC1F04D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hypersenzitivita;</w:t>
      </w:r>
    </w:p>
    <w:p w14:paraId="1A2C83C8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anafylaktický šok.</w:t>
      </w:r>
    </w:p>
    <w:p w14:paraId="38C83FE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548A695" w14:textId="77777777"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  <w:r w:rsidRPr="00730F51">
        <w:rPr>
          <w:i/>
          <w:iCs/>
          <w:szCs w:val="22"/>
        </w:rPr>
        <w:t>Poruchy metabolizmu a výživy</w:t>
      </w:r>
    </w:p>
    <w:p w14:paraId="7F2B9344" w14:textId="77777777"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szCs w:val="22"/>
        </w:rPr>
      </w:pPr>
      <w:r w:rsidRPr="00730F51">
        <w:rPr>
          <w:szCs w:val="22"/>
        </w:rPr>
        <w:t>Neznáme: zvýšená chuť do jedla</w:t>
      </w:r>
    </w:p>
    <w:p w14:paraId="45BDA2B2" w14:textId="77777777"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</w:p>
    <w:p w14:paraId="17175E68" w14:textId="77777777" w:rsidR="00730F51" w:rsidRPr="00730F51" w:rsidRDefault="00730F51" w:rsidP="00BC2E05">
      <w:pPr>
        <w:pStyle w:val="StyleItalicJustifiedLeft063cm"/>
        <w:jc w:val="left"/>
      </w:pPr>
      <w:r w:rsidRPr="00730F51">
        <w:t>Psychické poruchy</w:t>
      </w:r>
    </w:p>
    <w:p w14:paraId="768D8A27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agitovanosť;</w:t>
      </w:r>
    </w:p>
    <w:p w14:paraId="2EF9FA3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agresivita, zmätenosť, depresia, halucinácie, nespavosť;</w:t>
      </w:r>
    </w:p>
    <w:p w14:paraId="47012084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tiky</w:t>
      </w:r>
    </w:p>
    <w:p w14:paraId="1149508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neznáme: samovražedné myšlienky, nočné mory.</w:t>
      </w:r>
    </w:p>
    <w:p w14:paraId="44A420F1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79090B8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nervového systému</w:t>
      </w:r>
    </w:p>
    <w:p w14:paraId="300CD48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parestézia;</w:t>
      </w:r>
    </w:p>
    <w:p w14:paraId="77416E1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kŕče, poruchy pohybu;</w:t>
      </w:r>
    </w:p>
    <w:p w14:paraId="242A6E8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porucha chuti, synkopa, tras, dystónia, dyskinézia.</w:t>
      </w:r>
    </w:p>
    <w:p w14:paraId="0ADE4394" w14:textId="77777777" w:rsidR="00730F51" w:rsidRPr="00730F51" w:rsidRDefault="00076EDA" w:rsidP="00BC2E05">
      <w:pPr>
        <w:pStyle w:val="StyleJustified"/>
        <w:tabs>
          <w:tab w:val="left" w:pos="2268"/>
        </w:tabs>
        <w:jc w:val="left"/>
        <w:rPr>
          <w:szCs w:val="22"/>
        </w:rPr>
      </w:pPr>
      <w:r>
        <w:rPr>
          <w:szCs w:val="22"/>
        </w:rPr>
        <w:t>n</w:t>
      </w:r>
      <w:r w:rsidR="00730F51" w:rsidRPr="00730F51">
        <w:rPr>
          <w:szCs w:val="22"/>
        </w:rPr>
        <w:t>eznáme: amnézia, poruchy pamäti</w:t>
      </w:r>
    </w:p>
    <w:p w14:paraId="0BD329C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EF6AD28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oka</w:t>
      </w:r>
    </w:p>
    <w:p w14:paraId="185DA6A9" w14:textId="77777777" w:rsidR="00730F51" w:rsidRPr="00730F51" w:rsidRDefault="00730F51" w:rsidP="00BC2E05">
      <w:pPr>
        <w:pStyle w:val="StyleJustifiedLeft126cm"/>
        <w:jc w:val="left"/>
      </w:pPr>
      <w:r w:rsidRPr="00076EDA">
        <w:t>veľmi zriedkavé: poruchy akomodácie šošovky, neostré/rozmazané videnie, okulogyrácia</w:t>
      </w:r>
      <w:r w:rsidRPr="00730F51">
        <w:t>.</w:t>
      </w:r>
    </w:p>
    <w:p w14:paraId="5BCF4DAD" w14:textId="77777777" w:rsidR="00730F51" w:rsidRPr="00730F51" w:rsidRDefault="00730F51" w:rsidP="00BC2E05">
      <w:pPr>
        <w:pStyle w:val="StyleJustifiedLeft126cm"/>
        <w:jc w:val="left"/>
      </w:pPr>
    </w:p>
    <w:p w14:paraId="3AE3CD19" w14:textId="77777777" w:rsidR="00730F51" w:rsidRPr="00076EDA" w:rsidRDefault="00730F51" w:rsidP="00BC2E05">
      <w:pPr>
        <w:pStyle w:val="StyleJustifiedLeft126cm"/>
        <w:jc w:val="left"/>
      </w:pPr>
      <w:r w:rsidRPr="00076EDA">
        <w:t>Poruchy ucha a labyrintu</w:t>
      </w:r>
    </w:p>
    <w:p w14:paraId="50401D76" w14:textId="77777777" w:rsidR="00730F51" w:rsidRPr="00076EDA" w:rsidRDefault="00730F51" w:rsidP="00BC2E05">
      <w:pPr>
        <w:pStyle w:val="StyleJustifiedLeft126cm"/>
        <w:jc w:val="left"/>
      </w:pPr>
      <w:r w:rsidRPr="00076EDA">
        <w:t>Neznáme: vertigo</w:t>
      </w:r>
    </w:p>
    <w:p w14:paraId="46B7087D" w14:textId="77777777" w:rsidR="00730F51" w:rsidRPr="00730F51" w:rsidRDefault="00730F51" w:rsidP="00BC2E05">
      <w:pPr>
        <w:pStyle w:val="StyleJustifiedLeft126cm"/>
        <w:jc w:val="left"/>
      </w:pPr>
    </w:p>
    <w:p w14:paraId="76CD8E54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srdca a srdcovej činnosti</w:t>
      </w:r>
    </w:p>
    <w:p w14:paraId="46DA346F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tachykardia.</w:t>
      </w:r>
    </w:p>
    <w:p w14:paraId="3C1A7358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DC7DBD2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gastrointestinálneho traktu</w:t>
      </w:r>
    </w:p>
    <w:p w14:paraId="5748F3DC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hnačka.</w:t>
      </w:r>
    </w:p>
    <w:p w14:paraId="24C0205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9A51572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pečene a žlčových ciest</w:t>
      </w:r>
    </w:p>
    <w:p w14:paraId="4D34BBF0" w14:textId="1717E2CB" w:rsidR="00730F51" w:rsidRDefault="00730F51" w:rsidP="00BC2E05">
      <w:pPr>
        <w:pStyle w:val="StyleJustifiedLeft126cm"/>
        <w:jc w:val="left"/>
      </w:pPr>
      <w:r w:rsidRPr="00076EDA">
        <w:t>zriedkavé: abnormálna funkcia pečene (zvýšené transaminázy, alkalická fosfatáza, γ-GT a bilirubín)</w:t>
      </w:r>
    </w:p>
    <w:p w14:paraId="7B1AB409" w14:textId="77777777" w:rsidR="00D04C45" w:rsidRPr="00076EDA" w:rsidRDefault="00D04C45" w:rsidP="00BC2E05">
      <w:pPr>
        <w:pStyle w:val="StyleJustifiedLeft126cm"/>
        <w:jc w:val="left"/>
      </w:pPr>
      <w:r>
        <w:lastRenderedPageBreak/>
        <w:t>n</w:t>
      </w:r>
      <w:r w:rsidRPr="00D04C45">
        <w:t>eznáme: hepatitída</w:t>
      </w:r>
      <w:r>
        <w:t>.</w:t>
      </w:r>
    </w:p>
    <w:p w14:paraId="4A79B2E8" w14:textId="77777777" w:rsidR="00730F51" w:rsidRPr="00730F51" w:rsidRDefault="00730F51" w:rsidP="00BC2E05">
      <w:pPr>
        <w:pStyle w:val="StyleJustifiedLeft126cm"/>
        <w:jc w:val="left"/>
      </w:pPr>
    </w:p>
    <w:p w14:paraId="39D14F04" w14:textId="77777777" w:rsidR="00730F51" w:rsidRPr="00730F51" w:rsidRDefault="00730F51" w:rsidP="00BC2E05">
      <w:pPr>
        <w:pStyle w:val="StyleItalicJustifiedLeft063cm"/>
        <w:jc w:val="left"/>
      </w:pPr>
      <w:r w:rsidRPr="00730F51">
        <w:t>Poruchy kože a podkožného tkaniva</w:t>
      </w:r>
    </w:p>
    <w:p w14:paraId="2DD1130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pruritus, vyrážka</w:t>
      </w:r>
    </w:p>
    <w:p w14:paraId="48D41E28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urtikária;</w:t>
      </w:r>
    </w:p>
    <w:p w14:paraId="0C95AEDD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angioneurotický edém, lokalizované kožné erupcie.</w:t>
      </w:r>
    </w:p>
    <w:p w14:paraId="65620EF4" w14:textId="77777777"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 xml:space="preserve">neznáme: </w:t>
      </w:r>
      <w:r w:rsidR="00076EDA">
        <w:rPr>
          <w:sz w:val="22"/>
          <w:szCs w:val="22"/>
        </w:rPr>
        <w:t>a</w:t>
      </w:r>
      <w:r w:rsidRPr="00730F51">
        <w:rPr>
          <w:sz w:val="22"/>
          <w:szCs w:val="22"/>
        </w:rPr>
        <w:t>kútna generalizovaná exantematózna pustulóza</w:t>
      </w:r>
    </w:p>
    <w:p w14:paraId="7DE48918" w14:textId="77777777" w:rsidR="00940034" w:rsidRDefault="00940034" w:rsidP="00BC2E05">
      <w:pPr>
        <w:pStyle w:val="StyleItalicJustifiedLeft063cm"/>
        <w:jc w:val="left"/>
      </w:pPr>
    </w:p>
    <w:p w14:paraId="436C517C" w14:textId="77777777" w:rsidR="00940034" w:rsidRPr="00730F51" w:rsidRDefault="00940034" w:rsidP="00BC2E05">
      <w:pPr>
        <w:pStyle w:val="StyleItalicJustifiedLeft063cm"/>
        <w:jc w:val="left"/>
      </w:pPr>
      <w:r w:rsidRPr="00730F51">
        <w:t>Poruchy obličiek a močových ciest</w:t>
      </w:r>
    </w:p>
    <w:p w14:paraId="2D7ECDF3" w14:textId="77777777"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ťažkosti s močením, enuréza</w:t>
      </w:r>
    </w:p>
    <w:p w14:paraId="74AFBD30" w14:textId="77777777"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neznáme: retencia moču.</w:t>
      </w:r>
    </w:p>
    <w:p w14:paraId="14F9D97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0179965" w14:textId="77777777" w:rsidR="00730F51" w:rsidRPr="00730F51" w:rsidRDefault="00730F51" w:rsidP="00BC2E05">
      <w:pPr>
        <w:pStyle w:val="StyleItalicJustifiedLeft063cm"/>
        <w:jc w:val="left"/>
      </w:pPr>
      <w:r w:rsidRPr="00730F51">
        <w:t>Celkové poruchy a reakcie v mieste podania:</w:t>
      </w:r>
    </w:p>
    <w:p w14:paraId="34648D4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asténia, nevoľnosť;</w:t>
      </w:r>
    </w:p>
    <w:p w14:paraId="108C0774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edém.</w:t>
      </w:r>
    </w:p>
    <w:p w14:paraId="6706A4E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4F077B4" w14:textId="77777777" w:rsidR="00730F51" w:rsidRPr="00076EDA" w:rsidRDefault="00730F51" w:rsidP="00BC2E05">
      <w:pPr>
        <w:pStyle w:val="StyleItalicJustifiedLeft063cm"/>
        <w:jc w:val="left"/>
      </w:pPr>
      <w:r w:rsidRPr="00076EDA">
        <w:t>Laboratórne a funkčné vyšetrenia</w:t>
      </w:r>
    </w:p>
    <w:p w14:paraId="182CE2B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prírastok </w:t>
      </w:r>
      <w:r w:rsidR="006D2634">
        <w:rPr>
          <w:szCs w:val="22"/>
        </w:rPr>
        <w:t xml:space="preserve">telesnej </w:t>
      </w:r>
      <w:r w:rsidRPr="00730F51">
        <w:rPr>
          <w:szCs w:val="22"/>
        </w:rPr>
        <w:t>hmotnosti.</w:t>
      </w:r>
    </w:p>
    <w:p w14:paraId="0D01AA3F" w14:textId="77777777" w:rsidR="006D2634" w:rsidRDefault="006D26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3ECF5BA" w14:textId="0A6439AD" w:rsidR="00940034" w:rsidRPr="00B93AF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93AFE">
        <w:rPr>
          <w:sz w:val="22"/>
          <w:szCs w:val="22"/>
          <w:u w:val="single"/>
        </w:rPr>
        <w:t xml:space="preserve">Popis vybraných nežiaducich </w:t>
      </w:r>
      <w:r w:rsidR="00CF2ED4">
        <w:rPr>
          <w:sz w:val="22"/>
          <w:szCs w:val="22"/>
          <w:u w:val="single"/>
        </w:rPr>
        <w:t>účinkov</w:t>
      </w:r>
    </w:p>
    <w:p w14:paraId="049B94F3" w14:textId="77777777" w:rsidR="00730F51" w:rsidRPr="00DE451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DE451E">
        <w:rPr>
          <w:sz w:val="22"/>
          <w:szCs w:val="22"/>
        </w:rPr>
        <w:t>Pruritus (intenzívne svrbenie) a/alebo urtikária boli hlásené po vysadení cetirizínu.</w:t>
      </w:r>
    </w:p>
    <w:p w14:paraId="5FADE07A" w14:textId="77777777" w:rsidR="00940034" w:rsidRDefault="009400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C899CFC" w14:textId="77777777" w:rsidR="00730F51" w:rsidRPr="00730F51" w:rsidRDefault="00730F51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730F51">
        <w:rPr>
          <w:sz w:val="22"/>
          <w:szCs w:val="22"/>
          <w:u w:val="single"/>
        </w:rPr>
        <w:t>Hlásenie podozrení na nežiaduce reakcie</w:t>
      </w:r>
    </w:p>
    <w:p w14:paraId="36584245" w14:textId="77777777" w:rsidR="00730F51" w:rsidRPr="00730F51" w:rsidRDefault="00730F51" w:rsidP="00BC2E05">
      <w:pPr>
        <w:autoSpaceDE w:val="0"/>
        <w:autoSpaceDN w:val="0"/>
        <w:adjustRightInd w:val="0"/>
        <w:rPr>
          <w:sz w:val="22"/>
          <w:szCs w:val="22"/>
        </w:rPr>
      </w:pPr>
      <w:r w:rsidRPr="00730F5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730F51">
        <w:rPr>
          <w:sz w:val="22"/>
          <w:szCs w:val="22"/>
          <w:highlight w:val="lightGray"/>
        </w:rPr>
        <w:t>národné centrum hlásenia uvedené v </w:t>
      </w:r>
      <w:hyperlink r:id="rId9" w:history="1">
        <w:r w:rsidRPr="00730F51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30F51">
        <w:rPr>
          <w:sz w:val="22"/>
          <w:szCs w:val="22"/>
        </w:rPr>
        <w:t>.</w:t>
      </w:r>
    </w:p>
    <w:p w14:paraId="72F318EB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30FF6FD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4.9</w:t>
      </w:r>
      <w:r w:rsidRPr="00730F51">
        <w:rPr>
          <w:szCs w:val="22"/>
        </w:rPr>
        <w:tab/>
        <w:t>Predávkovanie</w:t>
      </w:r>
    </w:p>
    <w:p w14:paraId="46833F6C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424E149" w14:textId="77777777" w:rsidR="00730F51" w:rsidRPr="00730F51" w:rsidRDefault="00940034" w:rsidP="00BC2E05">
      <w:pPr>
        <w:pStyle w:val="StyleBoldJustifiedFirstline063cm"/>
        <w:jc w:val="left"/>
      </w:pPr>
      <w:r>
        <w:t>Príznaky</w:t>
      </w:r>
    </w:p>
    <w:p w14:paraId="05E37933" w14:textId="77777777" w:rsidR="00730F51" w:rsidRPr="00940034" w:rsidRDefault="006D2634" w:rsidP="00BC2E05">
      <w:pPr>
        <w:pStyle w:val="StyleJustifiedLeft063cm1"/>
        <w:jc w:val="left"/>
      </w:pPr>
      <w:r>
        <w:t>Príznaky</w:t>
      </w:r>
      <w:r w:rsidRPr="00940034">
        <w:t xml:space="preserve"> </w:t>
      </w:r>
      <w:r w:rsidR="00730F51" w:rsidRPr="00940034">
        <w:t>pozorované po predávkovaní cetirizínom sú spojené predovšetkým s účinkami CNS alebo s javmi, ktoré by mohli naznačovať anticholinergný účinok.</w:t>
      </w:r>
    </w:p>
    <w:p w14:paraId="02AD5E8A" w14:textId="77777777" w:rsidR="00730F51" w:rsidRPr="00940034" w:rsidRDefault="00730F51" w:rsidP="00BC2E05">
      <w:pPr>
        <w:pStyle w:val="StyleJustifiedLeft063cm1"/>
        <w:jc w:val="left"/>
      </w:pPr>
      <w:r w:rsidRPr="00940034">
        <w:t xml:space="preserve">Nežiaduce udalosti hlásené po požití minimálne 5 odporúčaných denných dávok sú: zmätenosť, hnačka, závraty, únava, bolesť hlavy, nevoľnosť, rozšírenie zreničky, svrbenie, nepokoj, sedácia, ospalosť, stupor, tachykardia, tras a zadržiavanie moču. </w:t>
      </w:r>
    </w:p>
    <w:p w14:paraId="501092C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26DB8A14" w14:textId="77777777" w:rsidR="00730F51" w:rsidRPr="00730F51" w:rsidRDefault="00730F51" w:rsidP="00BC2E05">
      <w:pPr>
        <w:pStyle w:val="StyleBoldJustifiedFirstline063cm"/>
        <w:jc w:val="left"/>
      </w:pPr>
      <w:r w:rsidRPr="00730F51">
        <w:t>Opatrenia</w:t>
      </w:r>
    </w:p>
    <w:p w14:paraId="4F4CEB12" w14:textId="77777777"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Nie je známe žiadne špecifické antidotum cetirizínu.</w:t>
      </w:r>
    </w:p>
    <w:p w14:paraId="54E2E828" w14:textId="77777777"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Pokiaľ dôjde k predávkovaniu, odporúča sa symptomatická alebo podporná liečba.</w:t>
      </w:r>
    </w:p>
    <w:p w14:paraId="1FF11F79" w14:textId="77777777"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Odporúča sa zvážiť výplach žalúdka čo najskôr po užití lieku.</w:t>
      </w:r>
    </w:p>
    <w:p w14:paraId="00512FBD" w14:textId="77777777"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Cetirizín nie je účinne odstránený </w:t>
      </w:r>
      <w:r w:rsidR="00D04C45">
        <w:rPr>
          <w:sz w:val="22"/>
          <w:szCs w:val="22"/>
        </w:rPr>
        <w:t>hemo</w:t>
      </w:r>
      <w:r w:rsidRPr="00730F51">
        <w:rPr>
          <w:sz w:val="22"/>
          <w:szCs w:val="22"/>
        </w:rPr>
        <w:t>dialýzou.</w:t>
      </w:r>
    </w:p>
    <w:p w14:paraId="45A123C7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1E6530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C0BEB38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5.</w:t>
      </w:r>
      <w:r w:rsidRPr="00730F51">
        <w:rPr>
          <w:szCs w:val="22"/>
        </w:rPr>
        <w:tab/>
        <w:t>FARMAKOLOGICKÉ VLASTNOSTI</w:t>
      </w:r>
    </w:p>
    <w:p w14:paraId="404B753F" w14:textId="77777777" w:rsidR="00730F51" w:rsidRPr="00730F51" w:rsidRDefault="00730F51" w:rsidP="00BC2E05">
      <w:pPr>
        <w:pStyle w:val="StyleBoldJustified"/>
        <w:keepNext/>
        <w:rPr>
          <w:szCs w:val="22"/>
        </w:rPr>
      </w:pPr>
    </w:p>
    <w:p w14:paraId="29DDCAAE" w14:textId="77777777" w:rsidR="00730F51" w:rsidRPr="00730F51" w:rsidRDefault="00730F51" w:rsidP="00BC2E05">
      <w:pPr>
        <w:pStyle w:val="StyleJustified"/>
        <w:keepNext/>
        <w:tabs>
          <w:tab w:val="left" w:pos="540"/>
        </w:tabs>
        <w:jc w:val="left"/>
        <w:rPr>
          <w:rStyle w:val="StyleBold"/>
          <w:szCs w:val="22"/>
        </w:rPr>
      </w:pPr>
      <w:r w:rsidRPr="00730F51">
        <w:rPr>
          <w:rStyle w:val="StyleBold"/>
          <w:szCs w:val="22"/>
        </w:rPr>
        <w:t>5.1</w:t>
      </w:r>
      <w:r w:rsidRPr="00730F51">
        <w:rPr>
          <w:rStyle w:val="StyleBold"/>
          <w:szCs w:val="22"/>
        </w:rPr>
        <w:tab/>
        <w:t>Farmakodynamické vlastnosti</w:t>
      </w:r>
      <w:r w:rsidRPr="00730F51">
        <w:rPr>
          <w:szCs w:val="22"/>
        </w:rPr>
        <w:t>:</w:t>
      </w:r>
    </w:p>
    <w:p w14:paraId="3CB5320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E4E097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Farmakoterapeutická skupina:</w:t>
      </w:r>
      <w:r w:rsidRPr="00730F51">
        <w:rPr>
          <w:rStyle w:val="StyleBold"/>
          <w:szCs w:val="22"/>
        </w:rPr>
        <w:t xml:space="preserve"> </w:t>
      </w:r>
      <w:r w:rsidRPr="00730F51">
        <w:rPr>
          <w:szCs w:val="22"/>
        </w:rPr>
        <w:t xml:space="preserve">Antihistaminiká na systémové použitie, deriváty piperazínu </w:t>
      </w:r>
    </w:p>
    <w:p w14:paraId="62CD2364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ATC kód: R06AE07</w:t>
      </w:r>
    </w:p>
    <w:p w14:paraId="72D3B061" w14:textId="77777777" w:rsidR="00730F51" w:rsidRPr="00730F51" w:rsidRDefault="00730F51" w:rsidP="00BC2E05">
      <w:pPr>
        <w:pStyle w:val="StyleJustifiedLeft063cm1"/>
        <w:jc w:val="left"/>
      </w:pPr>
    </w:p>
    <w:p w14:paraId="3E227F83" w14:textId="77777777" w:rsidR="00730F51" w:rsidRPr="00730F51" w:rsidRDefault="00730F51" w:rsidP="00BC2E05">
      <w:pPr>
        <w:pStyle w:val="StyleJustifiedLeft063cm1"/>
        <w:jc w:val="left"/>
      </w:pPr>
      <w:r w:rsidRPr="00730F51">
        <w:t>Mechanizmus účinku</w:t>
      </w:r>
    </w:p>
    <w:p w14:paraId="4C828B3F" w14:textId="77777777" w:rsidR="00730F51" w:rsidRPr="00940034" w:rsidRDefault="00730F51" w:rsidP="00BC2E05">
      <w:pPr>
        <w:pStyle w:val="StyleJustifiedLeft063cm1"/>
        <w:jc w:val="left"/>
      </w:pPr>
      <w:r w:rsidRPr="00940034">
        <w:t>Cetirizín, ľudský metabolit hydroxyzínu, je účinný a selektívny antagonista periférnych H</w:t>
      </w:r>
      <w:r w:rsidRPr="00940034">
        <w:rPr>
          <w:vertAlign w:val="subscript"/>
        </w:rPr>
        <w:t>1</w:t>
      </w:r>
      <w:r w:rsidRPr="00940034">
        <w:t xml:space="preserve"> receptorov. Štúdie viazania receptorov</w:t>
      </w:r>
      <w:r w:rsidRPr="00940034">
        <w:rPr>
          <w:i/>
        </w:rPr>
        <w:t xml:space="preserve"> in vitro</w:t>
      </w:r>
      <w:r w:rsidRPr="00940034">
        <w:t xml:space="preserve"> nedokázali žiadnu inú merateľnú afinitu pre iné ako H</w:t>
      </w:r>
      <w:r w:rsidRPr="00940034">
        <w:rPr>
          <w:vertAlign w:val="subscript"/>
        </w:rPr>
        <w:t>1</w:t>
      </w:r>
      <w:r w:rsidRPr="00940034">
        <w:t xml:space="preserve"> receptory.</w:t>
      </w:r>
    </w:p>
    <w:p w14:paraId="4724D4BD" w14:textId="77777777" w:rsidR="00730F51" w:rsidRPr="00730F51" w:rsidRDefault="00730F51" w:rsidP="00BC2E05">
      <w:pPr>
        <w:pStyle w:val="StyleJustifiedLeft063cm1"/>
        <w:jc w:val="left"/>
      </w:pPr>
    </w:p>
    <w:p w14:paraId="6B02433B" w14:textId="77777777" w:rsidR="00730F51" w:rsidRPr="00730F51" w:rsidRDefault="00730F51" w:rsidP="00BC2E05">
      <w:pPr>
        <w:pStyle w:val="StyleJustifiedLeft063cm1"/>
        <w:jc w:val="left"/>
      </w:pPr>
      <w:r w:rsidRPr="00730F51">
        <w:t>Farmakodynamické účinky</w:t>
      </w:r>
    </w:p>
    <w:p w14:paraId="50DA0FD7" w14:textId="77777777" w:rsidR="00730F51" w:rsidRPr="00730F51" w:rsidRDefault="00730F51" w:rsidP="00BC2E05">
      <w:pPr>
        <w:pStyle w:val="StyleJustifiedLeft063cm1"/>
        <w:jc w:val="left"/>
      </w:pPr>
      <w:r w:rsidRPr="00730F51">
        <w:lastRenderedPageBreak/>
        <w:t>Okrem jeho anti-H</w:t>
      </w:r>
      <w:r w:rsidRPr="00730F51">
        <w:rPr>
          <w:vertAlign w:val="subscript"/>
        </w:rPr>
        <w:t>1</w:t>
      </w:r>
      <w:r w:rsidRPr="00730F51">
        <w:t xml:space="preserve"> účinkov sa u cetirizínu tiež dokázalo antialergické pôsobenie: pri dávke 10 mg jedenkrát alebo dvakrát denne inhibuje neskorú fázu prieniku eozinofilov do pokožky a spojovky atopických pacientov vystavených pôsobeniu antigénov.</w:t>
      </w:r>
    </w:p>
    <w:p w14:paraId="589E8A0A" w14:textId="77777777" w:rsidR="00730F51" w:rsidRPr="00730F51" w:rsidRDefault="00730F51" w:rsidP="00BC2E05">
      <w:pPr>
        <w:pStyle w:val="StyleJustifiedLeft063cm1"/>
        <w:jc w:val="left"/>
      </w:pPr>
    </w:p>
    <w:p w14:paraId="552280CA" w14:textId="77777777" w:rsidR="00730F51" w:rsidRPr="00730F51" w:rsidRDefault="00730F51" w:rsidP="00BC2E05">
      <w:pPr>
        <w:pStyle w:val="StyleJustifiedLeft063cm1"/>
        <w:jc w:val="left"/>
      </w:pPr>
      <w:r w:rsidRPr="00730F51">
        <w:t>Klinická účinnosť a bezpečnosť</w:t>
      </w:r>
    </w:p>
    <w:p w14:paraId="27B3B973" w14:textId="77777777" w:rsidR="00730F51" w:rsidRPr="00730F51" w:rsidRDefault="00730F51" w:rsidP="00BC2E05">
      <w:pPr>
        <w:pStyle w:val="StyleJustifiedLeft063cm1"/>
        <w:jc w:val="left"/>
      </w:pPr>
      <w:r w:rsidRPr="00730F51">
        <w:t>Štúdie na zdravých dobrovoľníkoch ukazujú, že cetirizín v dávkach 5 a 10 mg silne inhibuje „wheal and flare“ reakciu vyvolanú veľmi vysokými koncentráciami histamínu v pokožke, avšak vzťah k účinnosti nebol stanovený.</w:t>
      </w:r>
    </w:p>
    <w:p w14:paraId="34DE321E" w14:textId="77777777" w:rsidR="00730F51" w:rsidRPr="00730F51" w:rsidRDefault="00730F51" w:rsidP="00BC2E05">
      <w:pPr>
        <w:pStyle w:val="StyleJustifiedLeft063cm1"/>
        <w:jc w:val="left"/>
      </w:pPr>
    </w:p>
    <w:p w14:paraId="4B356B5C" w14:textId="77777777" w:rsidR="00730F51" w:rsidRPr="00730F51" w:rsidRDefault="00730F51" w:rsidP="00BC2E05">
      <w:pPr>
        <w:pStyle w:val="StyleJustifiedLeft063cm1"/>
        <w:jc w:val="left"/>
      </w:pPr>
      <w:r w:rsidRPr="00730F51">
        <w:t xml:space="preserve">Počas šesťtýždňovej štúdie kontrolovanej placebom, na ktorej sa zúčastnilo 186 pacientov s alergickou nádchou a súčasne s miernou až stredne závažnou astmou, dávka 10 mg cetirizínu jedenkrát denne viedla k zlepšeniu </w:t>
      </w:r>
      <w:r w:rsidR="006D2634">
        <w:t>príznakov</w:t>
      </w:r>
      <w:r w:rsidRPr="00730F51">
        <w:t xml:space="preserve"> nádchy a neovplyvnila pľúcne funkcie. Táto štúdia podporuje bezpečnosť podávania cetirizínu alergickým pacientom s miernou až stredne závažnou astmou.</w:t>
      </w:r>
    </w:p>
    <w:p w14:paraId="5B6486AE" w14:textId="77777777" w:rsidR="00940034" w:rsidRDefault="00940034" w:rsidP="00BC2E05">
      <w:pPr>
        <w:pStyle w:val="StyleJustifiedLeft063cm1"/>
        <w:jc w:val="left"/>
      </w:pPr>
    </w:p>
    <w:p w14:paraId="3A8FAE62" w14:textId="77777777" w:rsidR="00730F51" w:rsidRPr="00730F51" w:rsidRDefault="00730F51" w:rsidP="00BC2E05">
      <w:pPr>
        <w:pStyle w:val="StyleJustifiedLeft063cm1"/>
        <w:jc w:val="left"/>
      </w:pPr>
      <w:r w:rsidRPr="00730F51">
        <w:t>V placebom kontrolovanej štúdii</w:t>
      </w:r>
      <w:r w:rsidR="006D2634">
        <w:t>,</w:t>
      </w:r>
      <w:r w:rsidRPr="00730F51">
        <w:t xml:space="preserve"> cetirizín podávaný vo vysokých denných dávkach 60 mg počas 7 dní</w:t>
      </w:r>
      <w:r w:rsidR="006D2634">
        <w:t>,</w:t>
      </w:r>
      <w:r w:rsidRPr="00730F51">
        <w:t xml:space="preserve"> nespôsobil žiadne štatisticky významné predĺženie QT intervalu.</w:t>
      </w:r>
    </w:p>
    <w:p w14:paraId="3521B208" w14:textId="77777777" w:rsidR="00940034" w:rsidRDefault="00940034" w:rsidP="00BC2E05">
      <w:pPr>
        <w:pStyle w:val="StyleJustifiedLeft063cm1"/>
        <w:jc w:val="left"/>
      </w:pPr>
    </w:p>
    <w:p w14:paraId="68B79ADF" w14:textId="77777777" w:rsidR="00730F51" w:rsidRPr="00730F51" w:rsidRDefault="00730F51" w:rsidP="00BC2E05">
      <w:pPr>
        <w:pStyle w:val="StyleJustifiedLeft063cm1"/>
        <w:jc w:val="left"/>
      </w:pPr>
      <w:r w:rsidRPr="00730F51">
        <w:t>Pri odporúčanom dávkovaní cetirizín preukázal zlepšenie kvality života pacientov s celoročnou alebo sezónnou alergickou rinitídou.</w:t>
      </w:r>
    </w:p>
    <w:p w14:paraId="66BD3F2A" w14:textId="77777777" w:rsidR="00730F51" w:rsidRPr="00730F51" w:rsidRDefault="00730F51" w:rsidP="00BC2E05">
      <w:pPr>
        <w:pStyle w:val="StyleJustifiedLeft063cm1"/>
        <w:jc w:val="left"/>
      </w:pPr>
    </w:p>
    <w:p w14:paraId="052D2C84" w14:textId="77777777" w:rsidR="00940034" w:rsidRPr="00DE451E" w:rsidRDefault="00940034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Pediatrická populácia</w:t>
      </w:r>
    </w:p>
    <w:p w14:paraId="311179E7" w14:textId="77777777" w:rsidR="00730F51" w:rsidRPr="00730F51" w:rsidRDefault="00730F51" w:rsidP="00BC2E05">
      <w:pPr>
        <w:pStyle w:val="StyleJustifiedLeft063cm1"/>
        <w:jc w:val="left"/>
      </w:pPr>
      <w:r w:rsidRPr="00730F51">
        <w:t>Štúdia s deťmi vo veku od 5 do 12 rokov, trvajúca 35 dní, nezistila žiadnu toleranciu na antihistamínový účinok cetirizínu (inhibícia „wheal and flare“). Po ukončení liečby s opakovaným podávaním cetirizínu pokožka obnoví svoju normálnu reaktivitu na histamín v priebehu 3 dní.</w:t>
      </w:r>
    </w:p>
    <w:p w14:paraId="067E645E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39DD2EA2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5.2</w:t>
      </w:r>
      <w:r w:rsidRPr="00730F51">
        <w:rPr>
          <w:szCs w:val="22"/>
        </w:rPr>
        <w:tab/>
        <w:t>Farmakokinetické vlastnosti</w:t>
      </w:r>
    </w:p>
    <w:p w14:paraId="7552D770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61FD4AF" w14:textId="77777777" w:rsidR="00730F51" w:rsidRPr="00730F51" w:rsidRDefault="00730F51" w:rsidP="00BC2E05">
      <w:pPr>
        <w:pStyle w:val="StyleJustifiedLeft063cm1"/>
        <w:jc w:val="left"/>
      </w:pPr>
      <w:r w:rsidRPr="00730F51">
        <w:t>Absorpcia</w:t>
      </w:r>
    </w:p>
    <w:p w14:paraId="0E2EEDC2" w14:textId="77777777" w:rsidR="00730F51" w:rsidRPr="00730F51" w:rsidRDefault="00730F51" w:rsidP="00BC2E05">
      <w:pPr>
        <w:pStyle w:val="StyleJustifiedLeft063cm1"/>
        <w:jc w:val="left"/>
      </w:pPr>
      <w:r w:rsidRPr="00730F51">
        <w:t>Maximálna plazmatická koncentrácia v rovnovážnom stave je približne 300 ng/ml a dosiahne sa za 1,0 ± 0,5 h. Rozloženie farmakokinetických parametrov, ako je maximálna plazmatická koncentrácia (C</w:t>
      </w:r>
      <w:r w:rsidRPr="00730F51">
        <w:rPr>
          <w:vertAlign w:val="subscript"/>
        </w:rPr>
        <w:t>max</w:t>
      </w:r>
      <w:r w:rsidRPr="00730F51">
        <w:t>) a plocha pod krivkou (AUC) je unimodálne.</w:t>
      </w:r>
    </w:p>
    <w:p w14:paraId="3963D716" w14:textId="77777777" w:rsidR="00730F51" w:rsidRPr="00730F51" w:rsidRDefault="00730F51" w:rsidP="00BC2E05">
      <w:pPr>
        <w:pStyle w:val="StyleJustifiedLeft063cm1"/>
        <w:jc w:val="left"/>
      </w:pPr>
    </w:p>
    <w:p w14:paraId="463F35E4" w14:textId="77777777" w:rsidR="00730F51" w:rsidRPr="00730F51" w:rsidRDefault="00730F51" w:rsidP="00BC2E05">
      <w:pPr>
        <w:pStyle w:val="StyleJustifiedLeft063cm1"/>
        <w:jc w:val="left"/>
      </w:pPr>
      <w:r w:rsidRPr="00730F51">
        <w:t>Príjmom potravy sa neznižuje miera absorpcie cetirizínu, ale dochádza k zníženiu rýchlosti absorpcie. Biologická dostupnosť cetirizínu je porovnateľná ako v prípade podania cetirizínu vo forme roztoku, kapsúl alebo tabliet.</w:t>
      </w:r>
    </w:p>
    <w:p w14:paraId="02034FF0" w14:textId="77777777" w:rsidR="00730F51" w:rsidRPr="00730F51" w:rsidRDefault="00730F51" w:rsidP="00BC2E05">
      <w:pPr>
        <w:pStyle w:val="StyleJustifiedLeft063cm1"/>
        <w:jc w:val="left"/>
      </w:pPr>
    </w:p>
    <w:p w14:paraId="541E5113" w14:textId="77777777"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Distribúcia</w:t>
      </w:r>
    </w:p>
    <w:p w14:paraId="2A192A29" w14:textId="77777777" w:rsidR="00730F51" w:rsidRPr="00730F51" w:rsidRDefault="00730F51" w:rsidP="00BC2E05">
      <w:pPr>
        <w:pStyle w:val="StyleJustifiedLeft063cm1"/>
        <w:jc w:val="left"/>
      </w:pPr>
      <w:r w:rsidRPr="00730F51">
        <w:t>Zdanlivý distribučný objem je 0,50 l/kg. Väzba cetirizínu na plazmatické bielkoviny je 93 ± 0,3 %. Cetirizín neovplyvňuje väzbu warfarínu na plazmatické bielkoviny.</w:t>
      </w:r>
    </w:p>
    <w:p w14:paraId="227332B9" w14:textId="77777777" w:rsidR="00730F51" w:rsidRPr="00730F51" w:rsidRDefault="00730F51" w:rsidP="00BC2E05">
      <w:pPr>
        <w:pStyle w:val="StyleJustifiedLeft063cm1"/>
        <w:jc w:val="left"/>
      </w:pPr>
    </w:p>
    <w:p w14:paraId="386DB627" w14:textId="77777777"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Biotransformácia</w:t>
      </w:r>
    </w:p>
    <w:p w14:paraId="63F1D2ED" w14:textId="77777777" w:rsidR="00730F51" w:rsidRPr="00730F51" w:rsidRDefault="00730F51" w:rsidP="00BC2E05">
      <w:pPr>
        <w:pStyle w:val="StyleJustifiedLeft063cm1"/>
        <w:jc w:val="left"/>
      </w:pPr>
      <w:r w:rsidRPr="00730F51">
        <w:t xml:space="preserve">Pri prvom prechode („first-pass“) pečeňou cetirizín neprechádza extenzívnym metabolizmom. </w:t>
      </w:r>
    </w:p>
    <w:p w14:paraId="4F35C95B" w14:textId="77777777" w:rsidR="00730F51" w:rsidRPr="00730F51" w:rsidRDefault="00730F51" w:rsidP="00BC2E05">
      <w:pPr>
        <w:pStyle w:val="StyleJustifiedLeft063cm1"/>
        <w:jc w:val="left"/>
      </w:pPr>
    </w:p>
    <w:p w14:paraId="5D7A7A2E" w14:textId="77777777"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Eliminácia</w:t>
      </w:r>
    </w:p>
    <w:p w14:paraId="3EAE138C" w14:textId="77777777" w:rsidR="005704AE" w:rsidRDefault="005704AE" w:rsidP="00BC2E05">
      <w:pPr>
        <w:pStyle w:val="StyleJustifiedLeft063cm1"/>
        <w:jc w:val="left"/>
      </w:pPr>
      <w:r>
        <w:t>Terminálny polčas je približne 10 hodín a nepozoruje sa žiadna akumulácia pri denných dávkach 10 mg po dobu 10 dní.</w:t>
      </w:r>
    </w:p>
    <w:p w14:paraId="3730BDB9" w14:textId="77777777" w:rsidR="00730F51" w:rsidRPr="00730F51" w:rsidRDefault="005704AE" w:rsidP="00BC2E05">
      <w:pPr>
        <w:pStyle w:val="StyleJustifiedLeft063cm1"/>
        <w:jc w:val="left"/>
      </w:pPr>
      <w:r>
        <w:t>Približne dve tretiny dávky sa vylučujú močom v nezmenenej forme.</w:t>
      </w:r>
      <w:r w:rsidR="00730F51" w:rsidRPr="00730F51">
        <w:t xml:space="preserve"> </w:t>
      </w:r>
    </w:p>
    <w:p w14:paraId="63EB303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0A53E77" w14:textId="77777777"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Linearita/nelinearita</w:t>
      </w:r>
    </w:p>
    <w:p w14:paraId="6E5A339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Cetirizín vykazuje v rozsahu 5 až 60 mg lineárnu kinetiku.</w:t>
      </w:r>
    </w:p>
    <w:p w14:paraId="157947CD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8C43C57" w14:textId="77777777"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obličiek</w:t>
      </w:r>
      <w:r w:rsidRPr="00BC2E05">
        <w:t>: Farmakokinetika lieku u pacientov s ľahkou poruchou funkcie obličiek (klírens kreatinínu vyšší ako 40 ml/min) bola podobná ako u zdravých dobrovoľníkov. U pacientov so stredne ťažkou poruchou funkcie obličiek v porovnaní so zdravými dobrovoľníkmi došlo k trojnásobnému zvýšeniu biologického polčasu a k 70 % zníženiu klírensu.</w:t>
      </w:r>
    </w:p>
    <w:p w14:paraId="4B4BD0A3" w14:textId="77777777" w:rsidR="00BC2E05" w:rsidRPr="00BC2E05" w:rsidRDefault="00BC2E05" w:rsidP="00BC2E05">
      <w:pPr>
        <w:pStyle w:val="StyleBoldJustifiedFirstline063cm1"/>
      </w:pPr>
      <w:r w:rsidRPr="00BC2E05">
        <w:lastRenderedPageBreak/>
        <w:t>Pacienti na hemodialýze (klírens kreatinínu nižší ako 7 ml/min), ktorým sa perorálne podala jednorazová dávka 10 mg, mali v porovnaní so zdravými dobrovoľníkmi trojnásobné predĺženie biologického polčasu a 70 % zníženie klírensu. Stupeň odstránenia cetirizínu hemodialýzou bol nízky. U pacientov so stredne ťažkou alebo ťažkou poruchou funkcie obličiek je nutné upraviť dávkovanie (pozri časť 4.2).</w:t>
      </w:r>
    </w:p>
    <w:p w14:paraId="368FE0CC" w14:textId="77777777" w:rsidR="00BC2E05" w:rsidRPr="00BC2E05" w:rsidRDefault="00BC2E05" w:rsidP="00BC2E05">
      <w:pPr>
        <w:pStyle w:val="StyleBoldJustifiedFirstline063cm1"/>
      </w:pPr>
    </w:p>
    <w:p w14:paraId="48AFB4F2" w14:textId="77777777"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pečene</w:t>
      </w:r>
      <w:r w:rsidRPr="00BC2E05">
        <w:t>: U pacientov s chronickými ochoreniami pečene (hepatocelulárna, cholestatická a biliárna cirhóza), ktorým sa podalo 10 alebo 20 mg cetirizínu jednorazovo, v porovnaní so zdravými jedincami došlo k 50 % predĺženiu biologického polčasu a k 40 % zníženiu klírensu.</w:t>
      </w:r>
    </w:p>
    <w:p w14:paraId="17BD82A8" w14:textId="77777777" w:rsidR="00730F51" w:rsidRPr="00BC2E05" w:rsidRDefault="00BC2E05" w:rsidP="00BC2E05">
      <w:pPr>
        <w:pStyle w:val="StyleBoldJustifiedFirstline063cm1"/>
      </w:pPr>
      <w:r w:rsidRPr="00BC2E05">
        <w:t>Úprava dávkovania je nevyhnutná iba u pacientov s poruchou funkcie pečene, ktorí majú súčasne aj poruchu funkcie obličiek.</w:t>
      </w:r>
    </w:p>
    <w:p w14:paraId="5C4A193B" w14:textId="77777777" w:rsidR="00BC2E05" w:rsidRPr="00BC2E05" w:rsidRDefault="00BC2E05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14:paraId="21B6E119" w14:textId="60F20AF8" w:rsidR="00BC2E05" w:rsidRPr="00BC2E05" w:rsidRDefault="00CF2ED4" w:rsidP="00DE451E">
      <w:pPr>
        <w:pStyle w:val="StyleJustifiedLeft063cm"/>
        <w:ind w:firstLine="0"/>
        <w:rPr>
          <w:rStyle w:val="StyleStyleJustifiedLeft063cmUnderlineChar"/>
          <w:bCs/>
          <w:sz w:val="22"/>
          <w:szCs w:val="22"/>
        </w:rPr>
      </w:pPr>
      <w:r>
        <w:rPr>
          <w:rStyle w:val="StyleStyleJustifiedLeft063cmUnderlineChar"/>
          <w:i/>
          <w:sz w:val="22"/>
          <w:szCs w:val="22"/>
          <w:u w:val="none"/>
        </w:rPr>
        <w:t>Starší pacienti</w:t>
      </w:r>
      <w:r w:rsidR="00BC2E05" w:rsidRPr="00BC2E05">
        <w:rPr>
          <w:rStyle w:val="StyleStyleJustifiedLeft063cmUnderlineChar"/>
          <w:sz w:val="22"/>
          <w:szCs w:val="22"/>
        </w:rPr>
        <w:t xml:space="preserve">: </w:t>
      </w:r>
      <w:r w:rsidR="00BC2E05" w:rsidRPr="00662FB3">
        <w:rPr>
          <w:rStyle w:val="StyleStyleJustifiedLeft063cmUnderlineChar"/>
          <w:sz w:val="22"/>
          <w:szCs w:val="22"/>
          <w:u w:val="none"/>
        </w:rPr>
        <w:t xml:space="preserve">Po perorálnom podaní jednej 10 mg dávky u 16 starších </w:t>
      </w:r>
      <w:r w:rsidRPr="00662FB3">
        <w:rPr>
          <w:rStyle w:val="StyleStyleJustifiedLeft063cmUnderlineChar"/>
          <w:sz w:val="22"/>
          <w:szCs w:val="22"/>
          <w:u w:val="none"/>
        </w:rPr>
        <w:t xml:space="preserve">pacientov </w:t>
      </w:r>
      <w:r w:rsidR="00BC2E05" w:rsidRPr="00662FB3">
        <w:rPr>
          <w:rStyle w:val="StyleStyleJustifiedLeft063cmUnderlineChar"/>
          <w:sz w:val="22"/>
          <w:szCs w:val="22"/>
          <w:u w:val="none"/>
        </w:rPr>
        <w:t>v porovnaní s mladšími pacientmi došlo k zvýšeniu polčasu približne o 50 % a klírens klesol o 40 %. Zdá sa, že pokles klírensu cetirizínu u týchto starších dobrovoľníkov súvisel s ich zníženou funkciou obličiek.</w:t>
      </w:r>
    </w:p>
    <w:p w14:paraId="7FE64ECD" w14:textId="77777777" w:rsidR="00BC2E05" w:rsidRPr="00BC2E05" w:rsidRDefault="00BC2E05" w:rsidP="00BC2E05">
      <w:pPr>
        <w:pStyle w:val="StyleJustifiedLeft063cm"/>
        <w:rPr>
          <w:rStyle w:val="StyleStyleJustifiedLeft063cmUnderlineChar"/>
          <w:sz w:val="22"/>
          <w:szCs w:val="22"/>
        </w:rPr>
      </w:pPr>
    </w:p>
    <w:p w14:paraId="4169FCB1" w14:textId="77777777" w:rsidR="006D2634" w:rsidRDefault="00BC2E05" w:rsidP="00DE451E">
      <w:pPr>
        <w:pStyle w:val="StyleJustified"/>
        <w:ind w:left="0" w:firstLine="0"/>
        <w:jc w:val="left"/>
        <w:rPr>
          <w:rStyle w:val="StyleStyleJustifiedLeft063cmUnderlineChar"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Pediatrická populácia</w:t>
      </w:r>
      <w:r w:rsidRPr="00E15B7F">
        <w:rPr>
          <w:rStyle w:val="StyleStyleJustifiedLeft063cmUnderlineChar"/>
          <w:sz w:val="22"/>
          <w:szCs w:val="22"/>
          <w:u w:val="none"/>
        </w:rPr>
        <w:t>: U detí vo veku od 6 do 12 rokov bol biologický polčas cetirizínu asi 6 hodín a u detí vo veku od 2 do 6 rokov 5 hodín. U dojčiat a batoliat vo veku od 6 do 24 mesiacov je znížený na</w:t>
      </w:r>
      <w:r w:rsidRPr="00BC2E05">
        <w:rPr>
          <w:rStyle w:val="StyleStyleJustifiedLeft063cmUnderlineChar"/>
          <w:sz w:val="22"/>
          <w:szCs w:val="22"/>
        </w:rPr>
        <w:t xml:space="preserve"> </w:t>
      </w:r>
      <w:r w:rsidRPr="00662FB3">
        <w:rPr>
          <w:rStyle w:val="StyleStyleJustifiedLeft063cmUnderlineChar"/>
          <w:sz w:val="22"/>
          <w:szCs w:val="22"/>
          <w:u w:val="none"/>
        </w:rPr>
        <w:t>3,1 hodiny,</w:t>
      </w:r>
    </w:p>
    <w:p w14:paraId="1A0FF3A3" w14:textId="77777777"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14:paraId="710265D1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5.3</w:t>
      </w:r>
      <w:r w:rsidRPr="00730F51">
        <w:rPr>
          <w:szCs w:val="22"/>
        </w:rPr>
        <w:tab/>
        <w:t>Predklinické údaje o bezpečnosti</w:t>
      </w:r>
    </w:p>
    <w:p w14:paraId="0408E63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4744CA7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Predklinické údaje na základe obvyklých štúdií farmakologickej bezpečnosti, toxicity po opakovanom podávaní, genotoxicity, karcinogénneho potenciálu a reprodukčnej toxicity neodhalili žiadne osobitné riziko pre ľudí. </w:t>
      </w:r>
    </w:p>
    <w:p w14:paraId="5CAD94DB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A348EDF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D59B769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</w:t>
      </w:r>
      <w:r w:rsidRPr="00730F51">
        <w:rPr>
          <w:szCs w:val="22"/>
        </w:rPr>
        <w:tab/>
        <w:t>FARMACEUTICKÉ INFORMÁCIE</w:t>
      </w:r>
    </w:p>
    <w:p w14:paraId="15DE0C0B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0280ADC2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6.1</w:t>
      </w:r>
      <w:r w:rsidRPr="00730F51">
        <w:rPr>
          <w:szCs w:val="22"/>
        </w:rPr>
        <w:tab/>
        <w:t>Zoznam pomocných látok</w:t>
      </w:r>
    </w:p>
    <w:p w14:paraId="1D96A1F4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60851B0" w14:textId="409BC2EE" w:rsidR="00DB40ED" w:rsidRDefault="00F02D1F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kukuričný </w:t>
      </w:r>
      <w:r w:rsidR="00730F51" w:rsidRPr="00730F51">
        <w:rPr>
          <w:b w:val="0"/>
          <w:szCs w:val="22"/>
        </w:rPr>
        <w:t>škrob, monohydrát laktózy</w:t>
      </w:r>
    </w:p>
    <w:p w14:paraId="40C61B84" w14:textId="77777777" w:rsidR="00DB40ED" w:rsidRDefault="00B64799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bezvodý </w:t>
      </w:r>
      <w:r w:rsidR="00730F51" w:rsidRPr="00730F51">
        <w:rPr>
          <w:b w:val="0"/>
          <w:szCs w:val="22"/>
        </w:rPr>
        <w:t>koloidný oxid kremičitý</w:t>
      </w:r>
    </w:p>
    <w:p w14:paraId="486271A6" w14:textId="21AF839F" w:rsidR="00DB40ED" w:rsidRDefault="00B64799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>stearát horečnatý</w:t>
      </w:r>
    </w:p>
    <w:p w14:paraId="7FF6C26F" w14:textId="65593C0F" w:rsidR="00DB40ED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mastenec</w:t>
      </w:r>
    </w:p>
    <w:p w14:paraId="36CFC325" w14:textId="325B9F30" w:rsidR="00730F51" w:rsidRPr="00730F51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mikrokryštalická celulóza.</w:t>
      </w:r>
    </w:p>
    <w:p w14:paraId="5B7E2115" w14:textId="661BF440" w:rsidR="00730F51" w:rsidRPr="00730F51" w:rsidRDefault="00DB40ED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>b</w:t>
      </w:r>
      <w:r w:rsidR="00EB04EB">
        <w:rPr>
          <w:b w:val="0"/>
          <w:szCs w:val="22"/>
        </w:rPr>
        <w:t xml:space="preserve">iela </w:t>
      </w:r>
      <w:r>
        <w:rPr>
          <w:b w:val="0"/>
          <w:szCs w:val="22"/>
        </w:rPr>
        <w:t>o</w:t>
      </w:r>
      <w:r w:rsidR="00730F51" w:rsidRPr="00730F51">
        <w:rPr>
          <w:b w:val="0"/>
          <w:szCs w:val="22"/>
        </w:rPr>
        <w:t xml:space="preserve">padry 31F58914, zloženie (% w/w): </w:t>
      </w:r>
    </w:p>
    <w:p w14:paraId="776B4B15" w14:textId="3C83C43E" w:rsidR="00DB40ED" w:rsidRDefault="00DB40ED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>h</w:t>
      </w:r>
      <w:r w:rsidR="00730F51" w:rsidRPr="00730F51">
        <w:rPr>
          <w:b w:val="0"/>
          <w:szCs w:val="22"/>
        </w:rPr>
        <w:t>ypromelóza</w:t>
      </w:r>
      <w:r w:rsidR="003C3360">
        <w:rPr>
          <w:b w:val="0"/>
          <w:szCs w:val="22"/>
        </w:rPr>
        <w:t xml:space="preserve"> </w:t>
      </w:r>
      <w:r w:rsidR="000C1A77" w:rsidRPr="000C1A77">
        <w:rPr>
          <w:b w:val="0"/>
          <w:szCs w:val="22"/>
        </w:rPr>
        <w:t>(E464)</w:t>
      </w:r>
    </w:p>
    <w:p w14:paraId="1F3DE6CC" w14:textId="260C49AE" w:rsidR="00DB40ED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monohydrát laktózy</w:t>
      </w:r>
    </w:p>
    <w:p w14:paraId="604B87DF" w14:textId="407352CE" w:rsidR="00DB40ED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oxid titaničitý</w:t>
      </w:r>
      <w:r w:rsidR="00F02D1F">
        <w:rPr>
          <w:b w:val="0"/>
          <w:szCs w:val="22"/>
        </w:rPr>
        <w:t xml:space="preserve"> </w:t>
      </w:r>
      <w:r w:rsidR="00F02D1F" w:rsidRPr="00965B43">
        <w:rPr>
          <w:b w:val="0"/>
          <w:szCs w:val="22"/>
        </w:rPr>
        <w:t>(E171)</w:t>
      </w:r>
    </w:p>
    <w:p w14:paraId="0D5F9612" w14:textId="233C8453" w:rsidR="00DB40ED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makrogol 4000</w:t>
      </w:r>
    </w:p>
    <w:p w14:paraId="688BA180" w14:textId="33411B0E" w:rsidR="00DB40ED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 xml:space="preserve">dihydrát </w:t>
      </w:r>
      <w:r w:rsidR="00B64799" w:rsidRPr="00730F51">
        <w:rPr>
          <w:b w:val="0"/>
          <w:szCs w:val="22"/>
        </w:rPr>
        <w:t>citr</w:t>
      </w:r>
      <w:r w:rsidR="00B64799">
        <w:rPr>
          <w:b w:val="0"/>
          <w:szCs w:val="22"/>
        </w:rPr>
        <w:t>ónan</w:t>
      </w:r>
      <w:r w:rsidR="00B64799" w:rsidRPr="00730F51">
        <w:rPr>
          <w:b w:val="0"/>
          <w:szCs w:val="22"/>
        </w:rPr>
        <w:t xml:space="preserve">u </w:t>
      </w:r>
      <w:r w:rsidRPr="00730F51">
        <w:rPr>
          <w:b w:val="0"/>
          <w:szCs w:val="22"/>
        </w:rPr>
        <w:t>sodného</w:t>
      </w:r>
      <w:r w:rsidR="00F02D1F">
        <w:rPr>
          <w:b w:val="0"/>
          <w:szCs w:val="22"/>
        </w:rPr>
        <w:t xml:space="preserve"> </w:t>
      </w:r>
      <w:r w:rsidR="00F02D1F" w:rsidRPr="0079641D">
        <w:rPr>
          <w:b w:val="0"/>
          <w:szCs w:val="22"/>
        </w:rPr>
        <w:t>(E331)</w:t>
      </w:r>
    </w:p>
    <w:p w14:paraId="10C7F6C7" w14:textId="63B7BB1B" w:rsidR="00730F51" w:rsidRPr="00730F51" w:rsidRDefault="00730F51" w:rsidP="00BC2E05">
      <w:pPr>
        <w:pStyle w:val="StyleBoldJustified"/>
        <w:rPr>
          <w:b w:val="0"/>
          <w:szCs w:val="22"/>
        </w:rPr>
      </w:pPr>
      <w:r w:rsidRPr="00730F51">
        <w:rPr>
          <w:b w:val="0"/>
          <w:szCs w:val="22"/>
        </w:rPr>
        <w:t>čistená voda</w:t>
      </w:r>
    </w:p>
    <w:p w14:paraId="6252E318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0DEEF68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6.2</w:t>
      </w:r>
      <w:r w:rsidRPr="00730F51">
        <w:rPr>
          <w:szCs w:val="22"/>
        </w:rPr>
        <w:tab/>
        <w:t>Inkompatibility</w:t>
      </w:r>
    </w:p>
    <w:p w14:paraId="23931A8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D6DC49F" w14:textId="77777777" w:rsidR="00730F51" w:rsidRPr="00730F51" w:rsidRDefault="00730F51" w:rsidP="00BC2E05">
      <w:pPr>
        <w:tabs>
          <w:tab w:val="left" w:pos="357"/>
        </w:tabs>
        <w:rPr>
          <w:sz w:val="22"/>
          <w:szCs w:val="22"/>
        </w:rPr>
      </w:pPr>
      <w:r w:rsidRPr="00730F51">
        <w:rPr>
          <w:sz w:val="22"/>
          <w:szCs w:val="22"/>
        </w:rPr>
        <w:t>Neaplikovateľné</w:t>
      </w:r>
    </w:p>
    <w:p w14:paraId="571CF33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CAB243B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6.3</w:t>
      </w:r>
      <w:r w:rsidRPr="00730F51">
        <w:rPr>
          <w:szCs w:val="22"/>
        </w:rPr>
        <w:tab/>
        <w:t>Čas použiteľnosti</w:t>
      </w:r>
    </w:p>
    <w:p w14:paraId="1C999519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4AF99342" w14:textId="77777777" w:rsidR="00730F51" w:rsidRPr="00730F51" w:rsidRDefault="00730F51" w:rsidP="00BC2E05">
      <w:pPr>
        <w:tabs>
          <w:tab w:val="left" w:pos="357"/>
        </w:tabs>
        <w:rPr>
          <w:sz w:val="22"/>
          <w:szCs w:val="22"/>
          <w:u w:val="single"/>
        </w:rPr>
      </w:pPr>
      <w:r w:rsidRPr="00730F51">
        <w:rPr>
          <w:sz w:val="22"/>
          <w:szCs w:val="22"/>
        </w:rPr>
        <w:t>36 mesiacov</w:t>
      </w:r>
    </w:p>
    <w:p w14:paraId="63932723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1F515397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6.4</w:t>
      </w:r>
      <w:r w:rsidRPr="00730F51">
        <w:rPr>
          <w:szCs w:val="22"/>
        </w:rPr>
        <w:tab/>
        <w:t xml:space="preserve">Špeciálne upozornenia na uchovávanie </w:t>
      </w:r>
    </w:p>
    <w:p w14:paraId="0E00949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4750F1F8" w14:textId="77777777" w:rsidR="006D2634" w:rsidRDefault="008777E9" w:rsidP="00BC2E05">
      <w:pPr>
        <w:pStyle w:val="StyleJustified"/>
        <w:jc w:val="left"/>
        <w:rPr>
          <w:szCs w:val="22"/>
        </w:rPr>
      </w:pPr>
      <w:r>
        <w:rPr>
          <w:szCs w:val="22"/>
        </w:rPr>
        <w:t>Uchovávajte p</w:t>
      </w:r>
      <w:r w:rsidR="00730F51" w:rsidRPr="00730F51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 ﾰC"/>
        </w:smartTagPr>
        <w:r w:rsidR="00730F51" w:rsidRPr="00730F51">
          <w:rPr>
            <w:szCs w:val="22"/>
          </w:rPr>
          <w:t>25 °C</w:t>
        </w:r>
      </w:smartTag>
      <w:r w:rsidR="00730F51" w:rsidRPr="00730F51">
        <w:rPr>
          <w:szCs w:val="22"/>
        </w:rPr>
        <w:t xml:space="preserve">. </w:t>
      </w:r>
    </w:p>
    <w:p w14:paraId="075F88C5" w14:textId="77777777" w:rsidR="006D2634" w:rsidRDefault="006D2634" w:rsidP="00BC2E05">
      <w:pPr>
        <w:pStyle w:val="StyleJustified"/>
        <w:jc w:val="left"/>
        <w:rPr>
          <w:szCs w:val="22"/>
        </w:rPr>
      </w:pPr>
    </w:p>
    <w:p w14:paraId="770EA097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733B573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6.5</w:t>
      </w:r>
      <w:r w:rsidRPr="00730F51">
        <w:rPr>
          <w:szCs w:val="22"/>
        </w:rPr>
        <w:tab/>
        <w:t>Druh obalu a obsah balenia</w:t>
      </w:r>
    </w:p>
    <w:p w14:paraId="65C4A22A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438E1799" w14:textId="77777777" w:rsidR="00730F51" w:rsidRPr="00730F51" w:rsidRDefault="00005D1D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A</w:t>
      </w:r>
      <w:r>
        <w:rPr>
          <w:sz w:val="22"/>
          <w:szCs w:val="22"/>
        </w:rPr>
        <w:t>l</w:t>
      </w:r>
      <w:r w:rsidR="00730F51" w:rsidRPr="00730F51">
        <w:rPr>
          <w:sz w:val="22"/>
          <w:szCs w:val="22"/>
        </w:rPr>
        <w:t>/PVC blister</w:t>
      </w:r>
    </w:p>
    <w:p w14:paraId="3D2C2977" w14:textId="77777777" w:rsidR="00730F51" w:rsidRPr="00730F51" w:rsidRDefault="00005D1D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Obsah</w:t>
      </w:r>
      <w:r w:rsidRPr="00730F51">
        <w:rPr>
          <w:sz w:val="22"/>
          <w:szCs w:val="22"/>
        </w:rPr>
        <w:t xml:space="preserve"> </w:t>
      </w:r>
      <w:r w:rsidR="00730F51" w:rsidRPr="00730F51">
        <w:rPr>
          <w:sz w:val="22"/>
          <w:szCs w:val="22"/>
        </w:rPr>
        <w:t>balenia: 10, 20, 50 alebo 100 filmom obalených tabliet.</w:t>
      </w:r>
    </w:p>
    <w:p w14:paraId="623F8EBF" w14:textId="77777777"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14:paraId="3B543165" w14:textId="77777777" w:rsidR="00730F51" w:rsidRPr="00730F51" w:rsidRDefault="00730F51" w:rsidP="00BC2E05">
      <w:pPr>
        <w:rPr>
          <w:sz w:val="22"/>
          <w:szCs w:val="22"/>
          <w:lang w:eastAsia="sk-SK"/>
        </w:rPr>
      </w:pPr>
      <w:r w:rsidRPr="00730F51">
        <w:rPr>
          <w:sz w:val="22"/>
          <w:szCs w:val="22"/>
        </w:rPr>
        <w:t>Na trh nemusia byť uvedené všetky veľkosti balenia.</w:t>
      </w:r>
    </w:p>
    <w:p w14:paraId="27F7BAC5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5C4F18E" w14:textId="77777777" w:rsidR="00730F51" w:rsidRPr="00730F51" w:rsidRDefault="00730F51" w:rsidP="00BC2E05">
      <w:pPr>
        <w:tabs>
          <w:tab w:val="left" w:pos="540"/>
        </w:tabs>
        <w:rPr>
          <w:rStyle w:val="StyleBold"/>
          <w:szCs w:val="22"/>
        </w:rPr>
      </w:pPr>
      <w:r w:rsidRPr="00730F51">
        <w:rPr>
          <w:rStyle w:val="StyleBold"/>
          <w:szCs w:val="22"/>
        </w:rPr>
        <w:t>6.6</w:t>
      </w:r>
      <w:r w:rsidRPr="00730F51">
        <w:rPr>
          <w:rStyle w:val="StyleBold"/>
          <w:szCs w:val="22"/>
        </w:rPr>
        <w:tab/>
        <w:t xml:space="preserve">Špeciálne opatrenia na likvidáciu a iné zaobchádzanie s liekom </w:t>
      </w:r>
    </w:p>
    <w:p w14:paraId="4F73B432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24D4B350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Žiadne zvláštne požiadavky na likvidáciu.</w:t>
      </w:r>
    </w:p>
    <w:p w14:paraId="0EEFD30A" w14:textId="77777777"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Všetok nepoužitý liek alebo odpad vzniknutý z lieku sa má zlikvidovať v súlade s národnými požiadavkami.</w:t>
      </w:r>
    </w:p>
    <w:p w14:paraId="217FEB58" w14:textId="77777777"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14:paraId="43745819" w14:textId="77777777"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14:paraId="61649BB6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7.</w:t>
      </w:r>
      <w:r w:rsidRPr="00730F51">
        <w:rPr>
          <w:szCs w:val="22"/>
        </w:rPr>
        <w:tab/>
        <w:t>DRŽITEĽ ROZHODNUTIA O REGISTRÁCII</w:t>
      </w:r>
    </w:p>
    <w:p w14:paraId="6BB66CC8" w14:textId="77777777" w:rsidR="00730F51" w:rsidRDefault="00730F51" w:rsidP="00BC2E05">
      <w:pPr>
        <w:pStyle w:val="StyleFirstline063cm"/>
        <w:rPr>
          <w:sz w:val="22"/>
          <w:szCs w:val="22"/>
        </w:rPr>
      </w:pPr>
    </w:p>
    <w:p w14:paraId="5078226D" w14:textId="77777777" w:rsidR="00730F51" w:rsidRPr="00730F51" w:rsidRDefault="001E35DD" w:rsidP="00BC2E05">
      <w:pPr>
        <w:pStyle w:val="StyleJustified"/>
        <w:jc w:val="left"/>
        <w:rPr>
          <w:szCs w:val="22"/>
        </w:rPr>
      </w:pPr>
      <w:r w:rsidRPr="001E35DD">
        <w:rPr>
          <w:szCs w:val="22"/>
        </w:rPr>
        <w:t>Cipla Europe NV</w:t>
      </w:r>
      <w:r>
        <w:rPr>
          <w:szCs w:val="22"/>
        </w:rPr>
        <w:t xml:space="preserve">, </w:t>
      </w:r>
      <w:r w:rsidRPr="001E35DD">
        <w:rPr>
          <w:szCs w:val="22"/>
        </w:rPr>
        <w:t>De Keyserlei 58-60, Box-19</w:t>
      </w:r>
      <w:r>
        <w:rPr>
          <w:szCs w:val="22"/>
        </w:rPr>
        <w:t xml:space="preserve">, </w:t>
      </w:r>
      <w:r w:rsidRPr="001E35DD">
        <w:rPr>
          <w:szCs w:val="22"/>
        </w:rPr>
        <w:t>2018 Antwerp,</w:t>
      </w:r>
      <w:r>
        <w:rPr>
          <w:szCs w:val="22"/>
        </w:rPr>
        <w:t xml:space="preserve"> </w:t>
      </w:r>
      <w:r w:rsidRPr="001E35DD">
        <w:rPr>
          <w:szCs w:val="22"/>
        </w:rPr>
        <w:t>Belgicko</w:t>
      </w:r>
      <w:r w:rsidR="00730F51" w:rsidRPr="00730F51">
        <w:rPr>
          <w:szCs w:val="22"/>
        </w:rPr>
        <w:t xml:space="preserve"> </w:t>
      </w:r>
    </w:p>
    <w:p w14:paraId="2BCD8D7C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07B99861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76177BE7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8.</w:t>
      </w:r>
      <w:r w:rsidRPr="00730F51">
        <w:rPr>
          <w:szCs w:val="22"/>
        </w:rPr>
        <w:tab/>
        <w:t>REGISTRAČNÉ ČÍSLO</w:t>
      </w:r>
    </w:p>
    <w:p w14:paraId="7DF955BC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15B0136" w14:textId="77777777"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24/0128/97-S</w:t>
      </w:r>
    </w:p>
    <w:p w14:paraId="7B4A4E74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6CB0B02C" w14:textId="77777777" w:rsidR="00730F51" w:rsidRPr="00730F51" w:rsidRDefault="00730F51" w:rsidP="00BC2E05">
      <w:pPr>
        <w:pStyle w:val="StyleJustified"/>
        <w:jc w:val="left"/>
        <w:rPr>
          <w:szCs w:val="22"/>
        </w:rPr>
      </w:pPr>
    </w:p>
    <w:p w14:paraId="516387E3" w14:textId="77777777"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9.</w:t>
      </w:r>
      <w:r w:rsidRPr="00730F51">
        <w:rPr>
          <w:szCs w:val="22"/>
        </w:rPr>
        <w:tab/>
        <w:t>DÁTUM PRVEJ REGISTRÁCIE / PREDĹŽENIA REGISTRÁCIE</w:t>
      </w:r>
    </w:p>
    <w:p w14:paraId="7260EBB3" w14:textId="77777777"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14:paraId="0B3F22DF" w14:textId="77777777" w:rsidR="00730F51" w:rsidRPr="00730F51" w:rsidRDefault="00E6069B" w:rsidP="00BC2E05">
      <w:pPr>
        <w:pStyle w:val="StyleJustified"/>
        <w:jc w:val="left"/>
        <w:rPr>
          <w:szCs w:val="22"/>
        </w:rPr>
      </w:pPr>
      <w:r w:rsidRPr="00E6069B">
        <w:rPr>
          <w:szCs w:val="22"/>
        </w:rPr>
        <w:t xml:space="preserve">Dátum prvej registrácie: </w:t>
      </w:r>
      <w:r w:rsidR="00730F51" w:rsidRPr="00730F51">
        <w:rPr>
          <w:szCs w:val="22"/>
        </w:rPr>
        <w:t>13.03.1997</w:t>
      </w:r>
    </w:p>
    <w:p w14:paraId="10298DC5" w14:textId="77777777" w:rsidR="00730F51" w:rsidRPr="00730F51" w:rsidRDefault="00E6069B" w:rsidP="00BC2E05">
      <w:pPr>
        <w:pStyle w:val="StyleBoldJustified"/>
        <w:rPr>
          <w:szCs w:val="22"/>
        </w:rPr>
      </w:pPr>
      <w:r w:rsidRPr="00E6069B">
        <w:rPr>
          <w:b w:val="0"/>
          <w:bCs w:val="0"/>
          <w:szCs w:val="22"/>
          <w:lang w:eastAsia="sk-SK"/>
        </w:rPr>
        <w:t>Dátum posledného predĺženia registrácie:</w:t>
      </w:r>
      <w:r w:rsidRPr="00E6069B">
        <w:t xml:space="preserve"> </w:t>
      </w:r>
      <w:r w:rsidRPr="00E6069B">
        <w:rPr>
          <w:b w:val="0"/>
          <w:bCs w:val="0"/>
          <w:szCs w:val="22"/>
          <w:lang w:eastAsia="sk-SK"/>
        </w:rPr>
        <w:t>07.12.2006</w:t>
      </w:r>
      <w:r>
        <w:rPr>
          <w:b w:val="0"/>
          <w:bCs w:val="0"/>
          <w:szCs w:val="22"/>
          <w:lang w:eastAsia="sk-SK"/>
        </w:rPr>
        <w:t xml:space="preserve"> </w:t>
      </w:r>
    </w:p>
    <w:p w14:paraId="2530805B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50B8E8F7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10.</w:t>
      </w:r>
      <w:r w:rsidRPr="00730F51">
        <w:rPr>
          <w:szCs w:val="22"/>
        </w:rPr>
        <w:tab/>
        <w:t>DÁTUM REVÍZIE TEXTU</w:t>
      </w:r>
    </w:p>
    <w:p w14:paraId="60CE37A0" w14:textId="77777777"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</w:p>
    <w:p w14:paraId="6238E48B" w14:textId="1A91DE8A" w:rsidR="00730F51" w:rsidRPr="00730F51" w:rsidRDefault="00824F1B" w:rsidP="00BC2E05">
      <w:pPr>
        <w:pStyle w:val="StyleJustified"/>
        <w:jc w:val="left"/>
        <w:rPr>
          <w:rStyle w:val="StyleBold"/>
          <w:szCs w:val="22"/>
        </w:rPr>
      </w:pPr>
      <w:r>
        <w:rPr>
          <w:szCs w:val="22"/>
        </w:rPr>
        <w:t>Apríl 2020</w:t>
      </w:r>
    </w:p>
    <w:p w14:paraId="3BA48628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31BB8852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026978D3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34CF19F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59DE38BB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3D3331DB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700C62D1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637D7F9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47654299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12B8CAF1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564E2D7B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1033AECA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9C52C76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0C4783BC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E95871C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396CFF69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258F2880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001189AD" w14:textId="77777777" w:rsidR="00730F51" w:rsidRPr="00730F51" w:rsidRDefault="00730F51" w:rsidP="00BC2E05">
      <w:pPr>
        <w:pStyle w:val="StyleBoldJustified"/>
        <w:rPr>
          <w:szCs w:val="22"/>
        </w:rPr>
      </w:pPr>
    </w:p>
    <w:p w14:paraId="3BDB56CA" w14:textId="77777777" w:rsidR="00B471ED" w:rsidRPr="00730F51" w:rsidRDefault="00B471ED" w:rsidP="00BC2E05"/>
    <w:sectPr w:rsidR="00B471ED" w:rsidRPr="00730F51" w:rsidSect="00075932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1DC8A" w14:textId="77777777" w:rsidR="004E0D82" w:rsidRDefault="004E0D82">
      <w:r>
        <w:separator/>
      </w:r>
    </w:p>
  </w:endnote>
  <w:endnote w:type="continuationSeparator" w:id="0">
    <w:p w14:paraId="01B8FCF6" w14:textId="77777777" w:rsidR="004E0D82" w:rsidRDefault="004E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C4D53" w14:textId="77777777" w:rsidR="00075932" w:rsidRDefault="00561411" w:rsidP="0007593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9F32CE" w14:textId="77777777" w:rsidR="00075932" w:rsidRDefault="002410B0" w:rsidP="0007593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53EC" w14:textId="77777777" w:rsidR="00075932" w:rsidRPr="00AC6BB4" w:rsidRDefault="00561411" w:rsidP="00075932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AC6BB4">
      <w:rPr>
        <w:rStyle w:val="slostrany"/>
        <w:sz w:val="16"/>
        <w:szCs w:val="16"/>
      </w:rPr>
      <w:fldChar w:fldCharType="begin"/>
    </w:r>
    <w:r w:rsidRPr="00AC6BB4">
      <w:rPr>
        <w:rStyle w:val="slostrany"/>
        <w:sz w:val="16"/>
        <w:szCs w:val="16"/>
      </w:rPr>
      <w:instrText xml:space="preserve">PAGE  </w:instrText>
    </w:r>
    <w:r w:rsidRPr="00AC6BB4">
      <w:rPr>
        <w:rStyle w:val="slostrany"/>
        <w:sz w:val="16"/>
        <w:szCs w:val="16"/>
      </w:rPr>
      <w:fldChar w:fldCharType="separate"/>
    </w:r>
    <w:r w:rsidR="00BB3BB8">
      <w:rPr>
        <w:rStyle w:val="slostrany"/>
        <w:noProof/>
        <w:sz w:val="16"/>
        <w:szCs w:val="16"/>
      </w:rPr>
      <w:t>4</w:t>
    </w:r>
    <w:r w:rsidRPr="00AC6BB4">
      <w:rPr>
        <w:rStyle w:val="slostrany"/>
        <w:sz w:val="16"/>
        <w:szCs w:val="16"/>
      </w:rPr>
      <w:fldChar w:fldCharType="end"/>
    </w:r>
  </w:p>
  <w:p w14:paraId="29964EC4" w14:textId="77777777" w:rsidR="00075932" w:rsidRDefault="002410B0" w:rsidP="0007593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30E3" w14:textId="77777777" w:rsidR="004E0D82" w:rsidRDefault="004E0D82">
      <w:r>
        <w:separator/>
      </w:r>
    </w:p>
  </w:footnote>
  <w:footnote w:type="continuationSeparator" w:id="0">
    <w:p w14:paraId="40427EFA" w14:textId="77777777" w:rsidR="004E0D82" w:rsidRDefault="004E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A5E4" w14:textId="691324E7" w:rsidR="00874740" w:rsidRDefault="00156D53" w:rsidP="00874740">
    <w:pPr>
      <w:pStyle w:val="Hlavika"/>
    </w:pPr>
    <w:r>
      <w:rPr>
        <w:sz w:val="18"/>
        <w:szCs w:val="18"/>
      </w:rPr>
      <w:t>Príloha č. 1 k notifikácii o zmene v registrácii, ev. č.:</w:t>
    </w:r>
    <w:r w:rsidR="00BD56F8">
      <w:rPr>
        <w:sz w:val="18"/>
        <w:szCs w:val="18"/>
      </w:rPr>
      <w:t xml:space="preserve"> </w:t>
    </w:r>
    <w:r w:rsidR="00DB40ED" w:rsidRPr="00DB40ED">
      <w:rPr>
        <w:sz w:val="18"/>
        <w:szCs w:val="18"/>
      </w:rPr>
      <w:t>2019/06864-Z1B</w:t>
    </w:r>
  </w:p>
  <w:p w14:paraId="5FE3FA9C" w14:textId="77777777" w:rsidR="00874740" w:rsidRDefault="00874740">
    <w:pPr>
      <w:pStyle w:val="Hlavika"/>
    </w:pPr>
  </w:p>
  <w:p w14:paraId="48122A42" w14:textId="77777777" w:rsidR="00075932" w:rsidRDefault="002410B0">
    <w:pPr>
      <w:pStyle w:val="Hlavika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B2E"/>
    <w:multiLevelType w:val="hybridMultilevel"/>
    <w:tmpl w:val="12382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44ED"/>
    <w:multiLevelType w:val="hybridMultilevel"/>
    <w:tmpl w:val="D76CF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3559B"/>
    <w:multiLevelType w:val="hybridMultilevel"/>
    <w:tmpl w:val="AC5A7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7D00"/>
    <w:multiLevelType w:val="hybridMultilevel"/>
    <w:tmpl w:val="717C2E4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1"/>
    <w:rsid w:val="00005D1D"/>
    <w:rsid w:val="00047C14"/>
    <w:rsid w:val="00076EDA"/>
    <w:rsid w:val="00092BCB"/>
    <w:rsid w:val="000C1A77"/>
    <w:rsid w:val="000E79CF"/>
    <w:rsid w:val="00156D53"/>
    <w:rsid w:val="001678C7"/>
    <w:rsid w:val="001A3630"/>
    <w:rsid w:val="001A3E0E"/>
    <w:rsid w:val="001E35DD"/>
    <w:rsid w:val="00225D5A"/>
    <w:rsid w:val="00282314"/>
    <w:rsid w:val="002A6828"/>
    <w:rsid w:val="002B0814"/>
    <w:rsid w:val="002B0C65"/>
    <w:rsid w:val="002B52D2"/>
    <w:rsid w:val="002B677B"/>
    <w:rsid w:val="002C7EDA"/>
    <w:rsid w:val="002E0F9C"/>
    <w:rsid w:val="00361DB5"/>
    <w:rsid w:val="003C3360"/>
    <w:rsid w:val="003D7FE3"/>
    <w:rsid w:val="00420EAD"/>
    <w:rsid w:val="00431DB8"/>
    <w:rsid w:val="00434ED9"/>
    <w:rsid w:val="00462799"/>
    <w:rsid w:val="004E0D82"/>
    <w:rsid w:val="004E32A0"/>
    <w:rsid w:val="00523CC3"/>
    <w:rsid w:val="00531CE7"/>
    <w:rsid w:val="005371E2"/>
    <w:rsid w:val="00561411"/>
    <w:rsid w:val="00562516"/>
    <w:rsid w:val="005704AE"/>
    <w:rsid w:val="005817C0"/>
    <w:rsid w:val="00585E18"/>
    <w:rsid w:val="005C55D8"/>
    <w:rsid w:val="00614C33"/>
    <w:rsid w:val="0061506D"/>
    <w:rsid w:val="006613CD"/>
    <w:rsid w:val="00662FB3"/>
    <w:rsid w:val="006720EC"/>
    <w:rsid w:val="00682187"/>
    <w:rsid w:val="00696CBA"/>
    <w:rsid w:val="006D2634"/>
    <w:rsid w:val="006D4500"/>
    <w:rsid w:val="006F0A79"/>
    <w:rsid w:val="00730F51"/>
    <w:rsid w:val="00773B69"/>
    <w:rsid w:val="007950F8"/>
    <w:rsid w:val="00797C78"/>
    <w:rsid w:val="007B25A8"/>
    <w:rsid w:val="007C64D7"/>
    <w:rsid w:val="007E46DC"/>
    <w:rsid w:val="00824F1B"/>
    <w:rsid w:val="0082502B"/>
    <w:rsid w:val="00874740"/>
    <w:rsid w:val="008777E9"/>
    <w:rsid w:val="008C7B33"/>
    <w:rsid w:val="009022D8"/>
    <w:rsid w:val="009056D1"/>
    <w:rsid w:val="009144F4"/>
    <w:rsid w:val="00940034"/>
    <w:rsid w:val="0098480D"/>
    <w:rsid w:val="009A4F36"/>
    <w:rsid w:val="009B6F65"/>
    <w:rsid w:val="009F6C76"/>
    <w:rsid w:val="00A2512D"/>
    <w:rsid w:val="00A30BC3"/>
    <w:rsid w:val="00A861C5"/>
    <w:rsid w:val="00AD074C"/>
    <w:rsid w:val="00B11271"/>
    <w:rsid w:val="00B12054"/>
    <w:rsid w:val="00B137AD"/>
    <w:rsid w:val="00B44181"/>
    <w:rsid w:val="00B471ED"/>
    <w:rsid w:val="00B64799"/>
    <w:rsid w:val="00B87D02"/>
    <w:rsid w:val="00B93AFE"/>
    <w:rsid w:val="00BB3BB8"/>
    <w:rsid w:val="00BC2E05"/>
    <w:rsid w:val="00BD56F8"/>
    <w:rsid w:val="00BF413D"/>
    <w:rsid w:val="00C45E6B"/>
    <w:rsid w:val="00CC1CCE"/>
    <w:rsid w:val="00CC2C5C"/>
    <w:rsid w:val="00CC53B3"/>
    <w:rsid w:val="00CE2CCD"/>
    <w:rsid w:val="00CF2ED4"/>
    <w:rsid w:val="00D04C45"/>
    <w:rsid w:val="00D32A43"/>
    <w:rsid w:val="00D63B02"/>
    <w:rsid w:val="00D71E01"/>
    <w:rsid w:val="00D7758A"/>
    <w:rsid w:val="00DA1DC8"/>
    <w:rsid w:val="00DB40ED"/>
    <w:rsid w:val="00DE451E"/>
    <w:rsid w:val="00DF425C"/>
    <w:rsid w:val="00E15B7F"/>
    <w:rsid w:val="00E6069B"/>
    <w:rsid w:val="00E87A30"/>
    <w:rsid w:val="00EB04EB"/>
    <w:rsid w:val="00EE1CA6"/>
    <w:rsid w:val="00EF1C34"/>
    <w:rsid w:val="00EF3367"/>
    <w:rsid w:val="00F02D1F"/>
    <w:rsid w:val="00F911DE"/>
    <w:rsid w:val="00F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17326DB"/>
  <w15:docId w15:val="{224681AF-A6E3-44E1-996A-4FCAD955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ovChar">
    <w:name w:val="Názov Char"/>
    <w:basedOn w:val="Predvolenpsmoodseku"/>
    <w:link w:val="Nzo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Pta">
    <w:name w:val="footer"/>
    <w:basedOn w:val="Normlny"/>
    <w:link w:val="PtaChar"/>
    <w:rsid w:val="00730F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y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y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y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y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y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y"/>
    <w:autoRedefine/>
    <w:rsid w:val="00730F51"/>
    <w:rPr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y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y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prepojenie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77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2742</Words>
  <Characters>15634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mp20171103</dc:creator>
  <cp:lastModifiedBy>ME</cp:lastModifiedBy>
  <cp:revision>2</cp:revision>
  <dcterms:created xsi:type="dcterms:W3CDTF">2020-03-31T10:27:00Z</dcterms:created>
  <dcterms:modified xsi:type="dcterms:W3CDTF">2020-03-31T10:27:00Z</dcterms:modified>
</cp:coreProperties>
</file>