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3147E" w14:textId="77777777" w:rsidR="00476851" w:rsidRDefault="00476851">
      <w:pPr>
        <w:autoSpaceDE w:val="0"/>
        <w:autoSpaceDN w:val="0"/>
        <w:adjustRightInd w:val="0"/>
        <w:jc w:val="center"/>
        <w:rPr>
          <w:rFonts w:ascii="Times New Roman" w:hAnsi="Times New Roman"/>
          <w:b/>
          <w:bCs/>
        </w:rPr>
      </w:pPr>
    </w:p>
    <w:p w14:paraId="24410EF7" w14:textId="77777777" w:rsidR="00553706" w:rsidRPr="000C67CB" w:rsidRDefault="00553706">
      <w:pPr>
        <w:autoSpaceDE w:val="0"/>
        <w:autoSpaceDN w:val="0"/>
        <w:adjustRightInd w:val="0"/>
        <w:jc w:val="center"/>
        <w:rPr>
          <w:rFonts w:ascii="Times New Roman" w:hAnsi="Times New Roman"/>
          <w:b/>
          <w:bCs/>
        </w:rPr>
      </w:pPr>
      <w:r w:rsidRPr="000C67CB">
        <w:rPr>
          <w:rFonts w:ascii="Times New Roman" w:hAnsi="Times New Roman"/>
          <w:b/>
          <w:bCs/>
        </w:rPr>
        <w:t>S</w:t>
      </w:r>
      <w:r w:rsidR="009C75F7" w:rsidRPr="000C67CB">
        <w:rPr>
          <w:rFonts w:ascii="Times New Roman" w:hAnsi="Times New Roman"/>
          <w:b/>
          <w:bCs/>
        </w:rPr>
        <w:t>ÚHRN CHARAKTERISTICKÝCH VLASTNOSTÍ LIEKU</w:t>
      </w:r>
    </w:p>
    <w:p w14:paraId="6EE7F0B8" w14:textId="77777777" w:rsidR="00553706" w:rsidRPr="000C67CB" w:rsidRDefault="00553706">
      <w:pPr>
        <w:autoSpaceDE w:val="0"/>
        <w:autoSpaceDN w:val="0"/>
        <w:adjustRightInd w:val="0"/>
        <w:rPr>
          <w:rFonts w:ascii="Times New Roman" w:hAnsi="Times New Roman"/>
          <w:bCs/>
        </w:rPr>
      </w:pPr>
    </w:p>
    <w:p w14:paraId="530ABEA0" w14:textId="77777777" w:rsidR="00553706" w:rsidRPr="000C67CB" w:rsidRDefault="00553706">
      <w:pPr>
        <w:autoSpaceDE w:val="0"/>
        <w:autoSpaceDN w:val="0"/>
        <w:adjustRightInd w:val="0"/>
        <w:rPr>
          <w:rFonts w:ascii="Times New Roman" w:hAnsi="Times New Roman"/>
          <w:bCs/>
        </w:rPr>
      </w:pPr>
    </w:p>
    <w:p w14:paraId="5E3FDCA9"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1. </w:t>
      </w:r>
      <w:r w:rsidRPr="000C67CB">
        <w:rPr>
          <w:rFonts w:ascii="Times New Roman" w:hAnsi="Times New Roman"/>
          <w:b/>
          <w:bCs/>
        </w:rPr>
        <w:tab/>
        <w:t>NÁZOV LIEKU</w:t>
      </w:r>
    </w:p>
    <w:p w14:paraId="530125BF" w14:textId="77777777" w:rsidR="00553706" w:rsidRPr="000C67CB" w:rsidRDefault="00553706">
      <w:pPr>
        <w:autoSpaceDE w:val="0"/>
        <w:autoSpaceDN w:val="0"/>
        <w:adjustRightInd w:val="0"/>
        <w:rPr>
          <w:rFonts w:ascii="Times New Roman" w:hAnsi="Times New Roman"/>
        </w:rPr>
      </w:pPr>
    </w:p>
    <w:p w14:paraId="6E11EEDE" w14:textId="77777777" w:rsidR="00553706" w:rsidRPr="00E660E4" w:rsidRDefault="00553706">
      <w:pPr>
        <w:autoSpaceDE w:val="0"/>
        <w:autoSpaceDN w:val="0"/>
        <w:adjustRightInd w:val="0"/>
        <w:rPr>
          <w:rFonts w:ascii="Times New Roman" w:hAnsi="Times New Roman"/>
          <w:bCs/>
        </w:rPr>
      </w:pPr>
      <w:r w:rsidRPr="00E660E4">
        <w:rPr>
          <w:rFonts w:ascii="Times New Roman" w:hAnsi="Times New Roman"/>
          <w:bCs/>
        </w:rPr>
        <w:t xml:space="preserve">Levetiracetam STADA 250 mg </w:t>
      </w:r>
    </w:p>
    <w:p w14:paraId="4105BCB9" w14:textId="77777777" w:rsidR="00553706" w:rsidRPr="00E660E4" w:rsidRDefault="00553706">
      <w:pPr>
        <w:autoSpaceDE w:val="0"/>
        <w:autoSpaceDN w:val="0"/>
        <w:adjustRightInd w:val="0"/>
        <w:rPr>
          <w:rFonts w:ascii="Times New Roman" w:hAnsi="Times New Roman"/>
          <w:bCs/>
        </w:rPr>
      </w:pPr>
      <w:r w:rsidRPr="00E660E4">
        <w:rPr>
          <w:rFonts w:ascii="Times New Roman" w:hAnsi="Times New Roman"/>
          <w:bCs/>
        </w:rPr>
        <w:t xml:space="preserve">Levetiracetam STADA 500 mg </w:t>
      </w:r>
    </w:p>
    <w:p w14:paraId="1425EBA3" w14:textId="77777777" w:rsidR="00553706" w:rsidRPr="00E660E4" w:rsidRDefault="00553706">
      <w:pPr>
        <w:autoSpaceDE w:val="0"/>
        <w:autoSpaceDN w:val="0"/>
        <w:adjustRightInd w:val="0"/>
        <w:rPr>
          <w:rFonts w:ascii="Times New Roman" w:hAnsi="Times New Roman"/>
          <w:bCs/>
        </w:rPr>
      </w:pPr>
      <w:r w:rsidRPr="00E660E4">
        <w:rPr>
          <w:rFonts w:ascii="Times New Roman" w:hAnsi="Times New Roman"/>
          <w:bCs/>
        </w:rPr>
        <w:t xml:space="preserve">Levetiracetam STADA 1000 mg </w:t>
      </w:r>
    </w:p>
    <w:p w14:paraId="0DCD8B4F" w14:textId="77777777" w:rsidR="00553706" w:rsidRPr="00E660E4" w:rsidRDefault="00553706">
      <w:pPr>
        <w:autoSpaceDE w:val="0"/>
        <w:autoSpaceDN w:val="0"/>
        <w:adjustRightInd w:val="0"/>
        <w:rPr>
          <w:rFonts w:ascii="Times New Roman" w:hAnsi="Times New Roman"/>
          <w:bCs/>
        </w:rPr>
      </w:pPr>
      <w:r w:rsidRPr="00E660E4">
        <w:rPr>
          <w:rFonts w:ascii="Times New Roman" w:hAnsi="Times New Roman"/>
          <w:bCs/>
        </w:rPr>
        <w:t>filmom obalené tablety</w:t>
      </w:r>
    </w:p>
    <w:p w14:paraId="216606EE" w14:textId="77777777" w:rsidR="00553706" w:rsidRPr="000C67CB" w:rsidRDefault="00553706">
      <w:pPr>
        <w:autoSpaceDE w:val="0"/>
        <w:autoSpaceDN w:val="0"/>
        <w:adjustRightInd w:val="0"/>
        <w:rPr>
          <w:rFonts w:ascii="Times New Roman" w:hAnsi="Times New Roman"/>
          <w:bCs/>
        </w:rPr>
      </w:pPr>
    </w:p>
    <w:p w14:paraId="622498E6" w14:textId="77777777" w:rsidR="00553706" w:rsidRPr="000C67CB" w:rsidRDefault="00553706">
      <w:pPr>
        <w:autoSpaceDE w:val="0"/>
        <w:autoSpaceDN w:val="0"/>
        <w:adjustRightInd w:val="0"/>
        <w:rPr>
          <w:rFonts w:ascii="Times New Roman" w:hAnsi="Times New Roman"/>
          <w:bCs/>
        </w:rPr>
      </w:pPr>
    </w:p>
    <w:p w14:paraId="310A917D"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2. </w:t>
      </w:r>
      <w:r w:rsidRPr="000C67CB">
        <w:rPr>
          <w:rFonts w:ascii="Times New Roman" w:hAnsi="Times New Roman"/>
          <w:b/>
          <w:bCs/>
        </w:rPr>
        <w:tab/>
        <w:t>KVALITATÍVNE A KVANTITATÍVNE ZLOŽENIE</w:t>
      </w:r>
    </w:p>
    <w:p w14:paraId="7D7C2B65" w14:textId="77777777" w:rsidR="00553706" w:rsidRPr="000C67CB" w:rsidRDefault="00553706">
      <w:pPr>
        <w:autoSpaceDE w:val="0"/>
        <w:autoSpaceDN w:val="0"/>
        <w:adjustRightInd w:val="0"/>
        <w:rPr>
          <w:rFonts w:ascii="Times New Roman" w:hAnsi="Times New Roman"/>
        </w:rPr>
      </w:pPr>
    </w:p>
    <w:p w14:paraId="1F99AA5E" w14:textId="77777777" w:rsidR="00553706" w:rsidRPr="00E660E4" w:rsidRDefault="00553706">
      <w:pPr>
        <w:autoSpaceDE w:val="0"/>
        <w:autoSpaceDN w:val="0"/>
        <w:adjustRightInd w:val="0"/>
        <w:rPr>
          <w:rFonts w:ascii="Times New Roman" w:hAnsi="Times New Roman"/>
          <w:bCs/>
          <w:i/>
        </w:rPr>
      </w:pPr>
      <w:r w:rsidRPr="00E660E4">
        <w:rPr>
          <w:rFonts w:ascii="Times New Roman" w:hAnsi="Times New Roman"/>
          <w:bCs/>
          <w:i/>
        </w:rPr>
        <w:t xml:space="preserve">Levetiracetam STADA 250 mg </w:t>
      </w:r>
    </w:p>
    <w:p w14:paraId="6529A88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Každá filmom obalená tableta obsahuje 250 mg levetiracetamu.</w:t>
      </w:r>
    </w:p>
    <w:p w14:paraId="0A33D8E1" w14:textId="77777777" w:rsidR="00553706" w:rsidRPr="00E660E4" w:rsidRDefault="00553706">
      <w:pPr>
        <w:autoSpaceDE w:val="0"/>
        <w:autoSpaceDN w:val="0"/>
        <w:adjustRightInd w:val="0"/>
        <w:rPr>
          <w:rFonts w:ascii="Times New Roman" w:hAnsi="Times New Roman"/>
          <w:bCs/>
          <w:i/>
        </w:rPr>
      </w:pPr>
    </w:p>
    <w:p w14:paraId="0213F74D" w14:textId="77777777" w:rsidR="00553706" w:rsidRPr="00E660E4" w:rsidRDefault="00553706">
      <w:pPr>
        <w:autoSpaceDE w:val="0"/>
        <w:autoSpaceDN w:val="0"/>
        <w:adjustRightInd w:val="0"/>
        <w:rPr>
          <w:rFonts w:ascii="Times New Roman" w:hAnsi="Times New Roman"/>
          <w:bCs/>
          <w:i/>
        </w:rPr>
      </w:pPr>
      <w:r w:rsidRPr="00E660E4">
        <w:rPr>
          <w:rFonts w:ascii="Times New Roman" w:hAnsi="Times New Roman"/>
          <w:bCs/>
          <w:i/>
        </w:rPr>
        <w:t xml:space="preserve">Levetiracetam STADA 500 mg </w:t>
      </w:r>
    </w:p>
    <w:p w14:paraId="5302E3F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Každá filmom obalená tableta obsahuje 500 mg levetiracetamu.</w:t>
      </w:r>
    </w:p>
    <w:p w14:paraId="30F168C2" w14:textId="77777777" w:rsidR="00553706" w:rsidRPr="00E660E4" w:rsidRDefault="00553706">
      <w:pPr>
        <w:autoSpaceDE w:val="0"/>
        <w:autoSpaceDN w:val="0"/>
        <w:adjustRightInd w:val="0"/>
        <w:rPr>
          <w:rFonts w:ascii="Times New Roman" w:hAnsi="Times New Roman"/>
          <w:bCs/>
          <w:i/>
        </w:rPr>
      </w:pPr>
    </w:p>
    <w:p w14:paraId="384CB105" w14:textId="77777777" w:rsidR="00553706" w:rsidRPr="00E660E4" w:rsidRDefault="00553706">
      <w:pPr>
        <w:autoSpaceDE w:val="0"/>
        <w:autoSpaceDN w:val="0"/>
        <w:adjustRightInd w:val="0"/>
        <w:rPr>
          <w:rFonts w:ascii="Times New Roman" w:hAnsi="Times New Roman"/>
          <w:bCs/>
          <w:i/>
        </w:rPr>
      </w:pPr>
      <w:r w:rsidRPr="00E660E4">
        <w:rPr>
          <w:rFonts w:ascii="Times New Roman" w:hAnsi="Times New Roman"/>
          <w:bCs/>
          <w:i/>
        </w:rPr>
        <w:t xml:space="preserve">Levetiracetam STADA 1000 mg </w:t>
      </w:r>
    </w:p>
    <w:p w14:paraId="712FDEC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Každá filmom obalená tableta obsahuje 1000 mg levetiracetamu.</w:t>
      </w:r>
    </w:p>
    <w:p w14:paraId="5482BA48" w14:textId="77777777" w:rsidR="00553706" w:rsidRPr="000C67CB" w:rsidRDefault="00553706">
      <w:pPr>
        <w:autoSpaceDE w:val="0"/>
        <w:autoSpaceDN w:val="0"/>
        <w:adjustRightInd w:val="0"/>
        <w:rPr>
          <w:rFonts w:ascii="Times New Roman" w:hAnsi="Times New Roman"/>
        </w:rPr>
      </w:pPr>
    </w:p>
    <w:p w14:paraId="3631405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Úplný zoznam pomocných látok, pozri časť 6.1.</w:t>
      </w:r>
    </w:p>
    <w:p w14:paraId="1A7DF777" w14:textId="77777777" w:rsidR="00553706" w:rsidRPr="000C67CB" w:rsidRDefault="00553706">
      <w:pPr>
        <w:autoSpaceDE w:val="0"/>
        <w:autoSpaceDN w:val="0"/>
        <w:adjustRightInd w:val="0"/>
        <w:rPr>
          <w:rFonts w:ascii="Times New Roman" w:hAnsi="Times New Roman"/>
          <w:bCs/>
        </w:rPr>
      </w:pPr>
    </w:p>
    <w:p w14:paraId="6D8B49FF" w14:textId="77777777" w:rsidR="00553706" w:rsidRPr="000C67CB" w:rsidRDefault="00553706">
      <w:pPr>
        <w:autoSpaceDE w:val="0"/>
        <w:autoSpaceDN w:val="0"/>
        <w:adjustRightInd w:val="0"/>
        <w:rPr>
          <w:rFonts w:ascii="Times New Roman" w:hAnsi="Times New Roman"/>
          <w:bCs/>
        </w:rPr>
      </w:pPr>
    </w:p>
    <w:p w14:paraId="13A2BD91"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3. </w:t>
      </w:r>
      <w:r w:rsidRPr="000C67CB">
        <w:rPr>
          <w:rFonts w:ascii="Times New Roman" w:hAnsi="Times New Roman"/>
          <w:b/>
          <w:bCs/>
        </w:rPr>
        <w:tab/>
        <w:t>LIEKOVÁ FORMA</w:t>
      </w:r>
    </w:p>
    <w:p w14:paraId="654F15F3" w14:textId="77777777" w:rsidR="00553706" w:rsidRPr="000C67CB" w:rsidRDefault="00553706">
      <w:pPr>
        <w:autoSpaceDE w:val="0"/>
        <w:autoSpaceDN w:val="0"/>
        <w:adjustRightInd w:val="0"/>
        <w:rPr>
          <w:rFonts w:ascii="Times New Roman" w:hAnsi="Times New Roman"/>
        </w:rPr>
      </w:pPr>
    </w:p>
    <w:p w14:paraId="260A06E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Filmom obalená tableta.</w:t>
      </w:r>
    </w:p>
    <w:p w14:paraId="69B7E73E" w14:textId="77777777" w:rsidR="00553706" w:rsidRPr="000C67CB" w:rsidRDefault="00553706">
      <w:pPr>
        <w:autoSpaceDE w:val="0"/>
        <w:autoSpaceDN w:val="0"/>
        <w:adjustRightInd w:val="0"/>
        <w:rPr>
          <w:rFonts w:ascii="Times New Roman" w:hAnsi="Times New Roman"/>
        </w:rPr>
      </w:pPr>
    </w:p>
    <w:p w14:paraId="4F2F241E" w14:textId="77777777" w:rsidR="00553706" w:rsidRPr="00E660E4" w:rsidRDefault="00553706">
      <w:pPr>
        <w:autoSpaceDE w:val="0"/>
        <w:autoSpaceDN w:val="0"/>
        <w:adjustRightInd w:val="0"/>
        <w:rPr>
          <w:rFonts w:ascii="Times New Roman" w:hAnsi="Times New Roman"/>
          <w:bCs/>
          <w:i/>
        </w:rPr>
      </w:pPr>
      <w:r w:rsidRPr="00E660E4">
        <w:rPr>
          <w:rFonts w:ascii="Times New Roman" w:hAnsi="Times New Roman"/>
          <w:bCs/>
          <w:i/>
        </w:rPr>
        <w:t xml:space="preserve">Levetiracetam STADA 250 mg </w:t>
      </w:r>
    </w:p>
    <w:p w14:paraId="5E8970A2" w14:textId="77777777" w:rsidR="00553706" w:rsidRPr="00E660E4" w:rsidRDefault="00553706">
      <w:pPr>
        <w:pStyle w:val="Zkladntext2"/>
        <w:rPr>
          <w:noProof/>
          <w:sz w:val="22"/>
          <w:szCs w:val="22"/>
        </w:rPr>
      </w:pPr>
      <w:r w:rsidRPr="00E660E4">
        <w:rPr>
          <w:sz w:val="22"/>
          <w:szCs w:val="22"/>
        </w:rPr>
        <w:t xml:space="preserve">Modré, podlhovasté, obojstranne vypuklé filmom obalené tablety s deliacou ryhou na jednej strane s dĺžkou cca. </w:t>
      </w:r>
      <w:smartTag w:uri="urn:schemas-microsoft-com:office:smarttags" w:element="metricconverter">
        <w:smartTagPr>
          <w:attr w:name="ProductID" w:val="12,8 mm"/>
        </w:smartTagPr>
        <w:r w:rsidRPr="00E660E4">
          <w:rPr>
            <w:sz w:val="22"/>
            <w:szCs w:val="22"/>
          </w:rPr>
          <w:t>12,8 mm</w:t>
        </w:r>
      </w:smartTag>
      <w:r w:rsidRPr="00E660E4">
        <w:rPr>
          <w:sz w:val="22"/>
          <w:szCs w:val="22"/>
        </w:rPr>
        <w:t xml:space="preserve">. </w:t>
      </w:r>
      <w:r w:rsidRPr="00E660E4">
        <w:rPr>
          <w:noProof/>
          <w:sz w:val="22"/>
          <w:szCs w:val="22"/>
        </w:rPr>
        <w:t>Tableta sa môže rozdeliť na rovnaké</w:t>
      </w:r>
      <w:r w:rsidR="00405CBA" w:rsidRPr="00E660E4">
        <w:rPr>
          <w:noProof/>
          <w:sz w:val="22"/>
          <w:szCs w:val="22"/>
          <w:lang w:val="sk-SK"/>
        </w:rPr>
        <w:t xml:space="preserve"> </w:t>
      </w:r>
      <w:r w:rsidR="00152C55" w:rsidRPr="00E660E4">
        <w:rPr>
          <w:noProof/>
          <w:sz w:val="22"/>
          <w:szCs w:val="22"/>
          <w:lang w:val="sk-SK"/>
        </w:rPr>
        <w:t>dávky</w:t>
      </w:r>
      <w:r w:rsidRPr="00E660E4">
        <w:rPr>
          <w:noProof/>
          <w:sz w:val="22"/>
          <w:szCs w:val="22"/>
        </w:rPr>
        <w:t>.</w:t>
      </w:r>
    </w:p>
    <w:p w14:paraId="59B2D99B" w14:textId="77777777" w:rsidR="00553706" w:rsidRPr="00E660E4" w:rsidRDefault="00553706">
      <w:pPr>
        <w:pStyle w:val="Zkladntext2"/>
        <w:rPr>
          <w:noProof/>
          <w:sz w:val="22"/>
          <w:szCs w:val="22"/>
        </w:rPr>
      </w:pPr>
    </w:p>
    <w:p w14:paraId="3D52F895" w14:textId="77777777" w:rsidR="00553706" w:rsidRPr="00E660E4" w:rsidRDefault="00553706">
      <w:pPr>
        <w:pStyle w:val="Zkladntext2"/>
        <w:rPr>
          <w:noProof/>
          <w:sz w:val="22"/>
          <w:szCs w:val="22"/>
        </w:rPr>
      </w:pPr>
      <w:r w:rsidRPr="00E660E4">
        <w:rPr>
          <w:bCs/>
          <w:i/>
          <w:sz w:val="22"/>
          <w:szCs w:val="22"/>
        </w:rPr>
        <w:t>Levetiracetam STADA 500 mg</w:t>
      </w:r>
    </w:p>
    <w:p w14:paraId="33174DD6" w14:textId="77777777" w:rsidR="00553706" w:rsidRPr="00E660E4" w:rsidRDefault="00553706">
      <w:pPr>
        <w:pStyle w:val="Zkladntext2"/>
        <w:rPr>
          <w:noProof/>
          <w:sz w:val="22"/>
          <w:szCs w:val="22"/>
        </w:rPr>
      </w:pPr>
      <w:r w:rsidRPr="00E660E4">
        <w:rPr>
          <w:sz w:val="22"/>
          <w:szCs w:val="22"/>
        </w:rPr>
        <w:t xml:space="preserve">Žlté, podlhovasté, obojstranne vypuklé filmom obalené tablety s deliacou ryhou na jednej strane s dĺžkou cca. </w:t>
      </w:r>
      <w:smartTag w:uri="urn:schemas-microsoft-com:office:smarttags" w:element="metricconverter">
        <w:smartTagPr>
          <w:attr w:name="ProductID" w:val="16,4 mm"/>
        </w:smartTagPr>
        <w:r w:rsidRPr="00E660E4">
          <w:rPr>
            <w:sz w:val="22"/>
            <w:szCs w:val="22"/>
          </w:rPr>
          <w:t>16,4 mm</w:t>
        </w:r>
      </w:smartTag>
      <w:r w:rsidRPr="00E660E4">
        <w:rPr>
          <w:sz w:val="22"/>
          <w:szCs w:val="22"/>
        </w:rPr>
        <w:t xml:space="preserve">. </w:t>
      </w:r>
      <w:r w:rsidRPr="00E660E4">
        <w:rPr>
          <w:noProof/>
          <w:sz w:val="22"/>
          <w:szCs w:val="22"/>
        </w:rPr>
        <w:t>Tableta sa môže rozdeliť na rovnaké</w:t>
      </w:r>
      <w:r w:rsidR="00405CBA" w:rsidRPr="00E660E4">
        <w:rPr>
          <w:noProof/>
          <w:sz w:val="22"/>
          <w:szCs w:val="22"/>
          <w:lang w:val="sk-SK"/>
        </w:rPr>
        <w:t xml:space="preserve"> </w:t>
      </w:r>
      <w:r w:rsidR="00152C55" w:rsidRPr="00E660E4">
        <w:rPr>
          <w:noProof/>
          <w:sz w:val="22"/>
          <w:szCs w:val="22"/>
          <w:lang w:val="sk-SK"/>
        </w:rPr>
        <w:t>dávky</w:t>
      </w:r>
      <w:r w:rsidRPr="00E660E4">
        <w:rPr>
          <w:noProof/>
          <w:sz w:val="22"/>
          <w:szCs w:val="22"/>
        </w:rPr>
        <w:t>.</w:t>
      </w:r>
    </w:p>
    <w:p w14:paraId="2011DF30" w14:textId="77777777" w:rsidR="00553706" w:rsidRPr="00E660E4" w:rsidRDefault="00553706">
      <w:pPr>
        <w:pStyle w:val="Zkladntext2"/>
        <w:rPr>
          <w:noProof/>
          <w:sz w:val="22"/>
          <w:szCs w:val="22"/>
        </w:rPr>
      </w:pPr>
    </w:p>
    <w:p w14:paraId="68AC031C" w14:textId="77777777" w:rsidR="00553706" w:rsidRPr="00E660E4" w:rsidRDefault="00553706">
      <w:pPr>
        <w:pStyle w:val="Zkladntext2"/>
        <w:rPr>
          <w:noProof/>
          <w:sz w:val="22"/>
          <w:szCs w:val="22"/>
        </w:rPr>
      </w:pPr>
      <w:r w:rsidRPr="00E660E4">
        <w:rPr>
          <w:bCs/>
          <w:i/>
          <w:sz w:val="22"/>
          <w:szCs w:val="22"/>
        </w:rPr>
        <w:t>Levetiracetam STADA 1000 mg</w:t>
      </w:r>
    </w:p>
    <w:p w14:paraId="2A003EBC" w14:textId="77777777" w:rsidR="00553706" w:rsidRPr="00E660E4" w:rsidRDefault="00553706">
      <w:pPr>
        <w:pStyle w:val="Zkladntext2"/>
        <w:rPr>
          <w:noProof/>
          <w:sz w:val="22"/>
          <w:szCs w:val="22"/>
        </w:rPr>
      </w:pPr>
      <w:r w:rsidRPr="00E660E4">
        <w:rPr>
          <w:sz w:val="22"/>
          <w:szCs w:val="22"/>
        </w:rPr>
        <w:t xml:space="preserve">Biele, podlhovasté, obojstranne vypuklé filmom obalené tablety s deliacou ryhou na jednej strane s dĺžkou cca. </w:t>
      </w:r>
      <w:smartTag w:uri="urn:schemas-microsoft-com:office:smarttags" w:element="metricconverter">
        <w:smartTagPr>
          <w:attr w:name="ProductID" w:val="19,1 mm"/>
        </w:smartTagPr>
        <w:r w:rsidRPr="00E660E4">
          <w:rPr>
            <w:sz w:val="22"/>
            <w:szCs w:val="22"/>
          </w:rPr>
          <w:t>19,1 mm</w:t>
        </w:r>
      </w:smartTag>
      <w:r w:rsidRPr="00E660E4">
        <w:rPr>
          <w:sz w:val="22"/>
          <w:szCs w:val="22"/>
        </w:rPr>
        <w:t xml:space="preserve">. </w:t>
      </w:r>
      <w:r w:rsidRPr="00E660E4">
        <w:rPr>
          <w:noProof/>
          <w:sz w:val="22"/>
          <w:szCs w:val="22"/>
        </w:rPr>
        <w:t>Deliaca ryha iba pomáha rozlom</w:t>
      </w:r>
      <w:r w:rsidR="00152C55" w:rsidRPr="00E660E4">
        <w:rPr>
          <w:noProof/>
          <w:sz w:val="22"/>
          <w:szCs w:val="22"/>
          <w:lang w:val="sk-SK"/>
        </w:rPr>
        <w:t xml:space="preserve">iť tabletu, aby sa dala </w:t>
      </w:r>
      <w:r w:rsidRPr="00E660E4">
        <w:rPr>
          <w:noProof/>
          <w:sz w:val="22"/>
          <w:szCs w:val="22"/>
        </w:rPr>
        <w:t xml:space="preserve"> ľahšie </w:t>
      </w:r>
      <w:r w:rsidR="00152C55" w:rsidRPr="00E660E4">
        <w:rPr>
          <w:noProof/>
          <w:sz w:val="22"/>
          <w:szCs w:val="22"/>
          <w:lang w:val="sk-SK"/>
        </w:rPr>
        <w:t xml:space="preserve">prehltnúť </w:t>
      </w:r>
      <w:r w:rsidRPr="00E660E4">
        <w:rPr>
          <w:noProof/>
          <w:sz w:val="22"/>
          <w:szCs w:val="22"/>
        </w:rPr>
        <w:t xml:space="preserve">a neslúži </w:t>
      </w:r>
      <w:r w:rsidR="00152C55" w:rsidRPr="00E660E4">
        <w:rPr>
          <w:noProof/>
          <w:sz w:val="22"/>
          <w:szCs w:val="22"/>
          <w:lang w:val="sk-SK"/>
        </w:rPr>
        <w:t xml:space="preserve">na </w:t>
      </w:r>
      <w:r w:rsidRPr="00E660E4">
        <w:rPr>
          <w:noProof/>
          <w:sz w:val="22"/>
          <w:szCs w:val="22"/>
        </w:rPr>
        <w:t>rozdelenie na rovnaké dávky</w:t>
      </w:r>
      <w:r w:rsidR="008E1CBA" w:rsidRPr="00E660E4">
        <w:rPr>
          <w:noProof/>
          <w:sz w:val="22"/>
          <w:szCs w:val="22"/>
        </w:rPr>
        <w:t>.</w:t>
      </w:r>
    </w:p>
    <w:p w14:paraId="66738BE9" w14:textId="77777777" w:rsidR="00553706" w:rsidRPr="000C67CB" w:rsidRDefault="00553706">
      <w:pPr>
        <w:pStyle w:val="Zkladntext2"/>
        <w:rPr>
          <w:noProof/>
          <w:sz w:val="22"/>
          <w:szCs w:val="22"/>
        </w:rPr>
      </w:pPr>
    </w:p>
    <w:p w14:paraId="79CB4CC5" w14:textId="77777777" w:rsidR="00553706" w:rsidRPr="000C67CB" w:rsidRDefault="00553706">
      <w:pPr>
        <w:autoSpaceDE w:val="0"/>
        <w:autoSpaceDN w:val="0"/>
        <w:adjustRightInd w:val="0"/>
        <w:rPr>
          <w:rFonts w:ascii="Times New Roman" w:hAnsi="Times New Roman"/>
          <w:bCs/>
        </w:rPr>
      </w:pPr>
    </w:p>
    <w:p w14:paraId="074D2DB0"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 </w:t>
      </w:r>
      <w:r w:rsidRPr="000C67CB">
        <w:rPr>
          <w:rFonts w:ascii="Times New Roman" w:hAnsi="Times New Roman"/>
          <w:b/>
          <w:bCs/>
        </w:rPr>
        <w:tab/>
        <w:t>KLINICKÉ ÚDAJE</w:t>
      </w:r>
    </w:p>
    <w:p w14:paraId="36DE5FD4" w14:textId="77777777" w:rsidR="00553706" w:rsidRPr="000C67CB" w:rsidRDefault="00553706">
      <w:pPr>
        <w:autoSpaceDE w:val="0"/>
        <w:autoSpaceDN w:val="0"/>
        <w:adjustRightInd w:val="0"/>
        <w:rPr>
          <w:rFonts w:ascii="Times New Roman" w:hAnsi="Times New Roman"/>
          <w:bCs/>
        </w:rPr>
      </w:pPr>
    </w:p>
    <w:p w14:paraId="0C0F05E9"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4.1 </w:t>
      </w:r>
      <w:r w:rsidRPr="000C67CB">
        <w:rPr>
          <w:rFonts w:ascii="Times New Roman" w:hAnsi="Times New Roman"/>
          <w:b/>
          <w:bCs/>
        </w:rPr>
        <w:tab/>
        <w:t>Terapeutické indikácie</w:t>
      </w:r>
    </w:p>
    <w:p w14:paraId="37627078" w14:textId="77777777" w:rsidR="00553706" w:rsidRPr="000C67CB" w:rsidRDefault="00553706">
      <w:pPr>
        <w:autoSpaceDE w:val="0"/>
        <w:autoSpaceDN w:val="0"/>
        <w:adjustRightInd w:val="0"/>
        <w:rPr>
          <w:rFonts w:ascii="Times New Roman" w:hAnsi="Times New Roman"/>
        </w:rPr>
      </w:pPr>
    </w:p>
    <w:p w14:paraId="5681879B" w14:textId="0006B2D0"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STADA  je indikovaný ako monoterapia pri liečbe parciálnych záchvatov so</w:t>
      </w:r>
      <w:r w:rsidR="00210A92">
        <w:rPr>
          <w:rFonts w:ascii="Times New Roman" w:hAnsi="Times New Roman"/>
        </w:rPr>
        <w:t> </w:t>
      </w:r>
      <w:r w:rsidRPr="000C67CB">
        <w:rPr>
          <w:rFonts w:ascii="Times New Roman" w:hAnsi="Times New Roman"/>
        </w:rPr>
        <w:t xml:space="preserve">sekundárnou generalizáciou alebo bez nej u </w:t>
      </w:r>
      <w:r w:rsidR="007D4B90" w:rsidRPr="000C67CB">
        <w:rPr>
          <w:rFonts w:ascii="Times New Roman" w:hAnsi="Times New Roman"/>
        </w:rPr>
        <w:t xml:space="preserve">dospelých a dospievajúcich </w:t>
      </w:r>
      <w:r w:rsidRPr="000C67CB">
        <w:rPr>
          <w:rFonts w:ascii="Times New Roman" w:hAnsi="Times New Roman"/>
        </w:rPr>
        <w:t>od veku 16 rokov s práve diagnostikovanou epilepsiou.</w:t>
      </w:r>
    </w:p>
    <w:p w14:paraId="423C213F" w14:textId="77777777" w:rsidR="00553706" w:rsidRPr="000C67CB" w:rsidRDefault="00553706">
      <w:pPr>
        <w:autoSpaceDE w:val="0"/>
        <w:autoSpaceDN w:val="0"/>
        <w:adjustRightInd w:val="0"/>
        <w:rPr>
          <w:rFonts w:ascii="Times New Roman" w:hAnsi="Times New Roman"/>
        </w:rPr>
      </w:pPr>
    </w:p>
    <w:p w14:paraId="17D442D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STADA  je indikovaný ako prídavná terapia</w:t>
      </w:r>
      <w:r w:rsidR="00471739" w:rsidRPr="000C67CB">
        <w:rPr>
          <w:rFonts w:ascii="Times New Roman" w:hAnsi="Times New Roman"/>
        </w:rPr>
        <w:t>.</w:t>
      </w:r>
    </w:p>
    <w:p w14:paraId="6A5A4D04" w14:textId="4AC2DFA0" w:rsidR="00553706" w:rsidRPr="00E660E4" w:rsidRDefault="00553706">
      <w:pPr>
        <w:tabs>
          <w:tab w:val="left" w:pos="7335"/>
        </w:tabs>
        <w:rPr>
          <w:rFonts w:ascii="Times New Roman" w:hAnsi="Times New Roman"/>
        </w:rPr>
      </w:pPr>
    </w:p>
    <w:p w14:paraId="2549950E" w14:textId="3612DA01" w:rsidR="00553706" w:rsidRPr="000C67CB" w:rsidRDefault="00553706">
      <w:pPr>
        <w:autoSpaceDE w:val="0"/>
        <w:autoSpaceDN w:val="0"/>
        <w:adjustRightInd w:val="0"/>
        <w:rPr>
          <w:rFonts w:ascii="Times New Roman" w:hAnsi="Times New Roman"/>
        </w:rPr>
      </w:pPr>
      <w:r w:rsidRPr="000C67CB">
        <w:rPr>
          <w:rFonts w:ascii="Times New Roman" w:eastAsia="SymbolMT" w:hAnsi="Times New Roman"/>
        </w:rPr>
        <w:t xml:space="preserve">• </w:t>
      </w:r>
      <w:r w:rsidRPr="000C67CB">
        <w:rPr>
          <w:rFonts w:ascii="Times New Roman" w:hAnsi="Times New Roman"/>
        </w:rPr>
        <w:t>pri liečbe parciálnych záchvatov s</w:t>
      </w:r>
      <w:r w:rsidR="00210A92">
        <w:rPr>
          <w:rFonts w:ascii="Times New Roman" w:hAnsi="Times New Roman"/>
        </w:rPr>
        <w:t xml:space="preserve">o </w:t>
      </w:r>
      <w:r w:rsidRPr="000C67CB">
        <w:rPr>
          <w:rFonts w:ascii="Times New Roman" w:hAnsi="Times New Roman"/>
        </w:rPr>
        <w:t>sekundárn</w:t>
      </w:r>
      <w:r w:rsidR="00210A92">
        <w:rPr>
          <w:rFonts w:ascii="Times New Roman" w:hAnsi="Times New Roman"/>
        </w:rPr>
        <w:t>ou</w:t>
      </w:r>
      <w:r w:rsidRPr="000C67CB">
        <w:rPr>
          <w:rFonts w:ascii="Times New Roman" w:hAnsi="Times New Roman"/>
        </w:rPr>
        <w:t xml:space="preserve"> generalizáci</w:t>
      </w:r>
      <w:r w:rsidR="00210A92">
        <w:rPr>
          <w:rFonts w:ascii="Times New Roman" w:hAnsi="Times New Roman"/>
        </w:rPr>
        <w:t>ou alebo bez nej</w:t>
      </w:r>
      <w:r w:rsidRPr="000C67CB">
        <w:rPr>
          <w:rFonts w:ascii="Times New Roman" w:hAnsi="Times New Roman"/>
        </w:rPr>
        <w:t xml:space="preserve"> u dospelých, </w:t>
      </w:r>
      <w:r w:rsidR="007D4B90" w:rsidRPr="000C67CB">
        <w:rPr>
          <w:rFonts w:ascii="Times New Roman" w:hAnsi="Times New Roman"/>
        </w:rPr>
        <w:t xml:space="preserve">dospievajúcich, </w:t>
      </w:r>
      <w:r w:rsidRPr="000C67CB">
        <w:rPr>
          <w:rFonts w:ascii="Times New Roman" w:hAnsi="Times New Roman"/>
        </w:rPr>
        <w:t>detí a</w:t>
      </w:r>
      <w:r w:rsidR="00471739" w:rsidRPr="000C67CB">
        <w:rPr>
          <w:rFonts w:ascii="Times New Roman" w:hAnsi="Times New Roman"/>
        </w:rPr>
        <w:t xml:space="preserve"> </w:t>
      </w:r>
      <w:r w:rsidRPr="000C67CB">
        <w:rPr>
          <w:rFonts w:ascii="Times New Roman" w:hAnsi="Times New Roman"/>
        </w:rPr>
        <w:t>dojčiat vo veku od 1 mesiaca s epilepsiou.</w:t>
      </w:r>
    </w:p>
    <w:p w14:paraId="12E80491" w14:textId="77777777" w:rsidR="00553706" w:rsidRPr="000C67CB" w:rsidRDefault="00553706">
      <w:pPr>
        <w:autoSpaceDE w:val="0"/>
        <w:autoSpaceDN w:val="0"/>
        <w:adjustRightInd w:val="0"/>
        <w:rPr>
          <w:rFonts w:ascii="Times New Roman" w:hAnsi="Times New Roman"/>
        </w:rPr>
      </w:pPr>
      <w:r w:rsidRPr="000C67CB">
        <w:rPr>
          <w:rFonts w:ascii="Times New Roman" w:eastAsia="SymbolMT" w:hAnsi="Times New Roman"/>
        </w:rPr>
        <w:lastRenderedPageBreak/>
        <w:t xml:space="preserve">• </w:t>
      </w:r>
      <w:r w:rsidRPr="000C67CB">
        <w:rPr>
          <w:rFonts w:ascii="Times New Roman" w:hAnsi="Times New Roman"/>
        </w:rPr>
        <w:t xml:space="preserve">pri liečbe myoklonických záchvatov u dospelých a </w:t>
      </w:r>
      <w:r w:rsidR="00EB648B" w:rsidRPr="000C67CB">
        <w:rPr>
          <w:rFonts w:ascii="Times New Roman" w:hAnsi="Times New Roman"/>
        </w:rPr>
        <w:t xml:space="preserve">dospievajúcich </w:t>
      </w:r>
      <w:r w:rsidRPr="000C67CB">
        <w:rPr>
          <w:rFonts w:ascii="Times New Roman" w:hAnsi="Times New Roman"/>
        </w:rPr>
        <w:t>od veku 12 rokov s juvenilnou</w:t>
      </w:r>
    </w:p>
    <w:p w14:paraId="6A03F74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myoklonickou epilepsiou.</w:t>
      </w:r>
    </w:p>
    <w:p w14:paraId="35325F5F" w14:textId="77777777" w:rsidR="00553706" w:rsidRPr="000C67CB" w:rsidRDefault="00553706">
      <w:pPr>
        <w:autoSpaceDE w:val="0"/>
        <w:autoSpaceDN w:val="0"/>
        <w:adjustRightInd w:val="0"/>
        <w:rPr>
          <w:rFonts w:ascii="Times New Roman" w:hAnsi="Times New Roman"/>
        </w:rPr>
      </w:pPr>
      <w:r w:rsidRPr="000C67CB">
        <w:rPr>
          <w:rFonts w:ascii="Times New Roman" w:eastAsia="SymbolMT" w:hAnsi="Times New Roman"/>
        </w:rPr>
        <w:t xml:space="preserve">• </w:t>
      </w:r>
      <w:r w:rsidRPr="000C67CB">
        <w:rPr>
          <w:rFonts w:ascii="Times New Roman" w:hAnsi="Times New Roman"/>
        </w:rPr>
        <w:t>pri liečbe primárnych generalizovaných tonicko-klonických záchvatov u dospelých a</w:t>
      </w:r>
      <w:r w:rsidR="00471739" w:rsidRPr="000C67CB">
        <w:rPr>
          <w:rFonts w:ascii="Times New Roman" w:hAnsi="Times New Roman"/>
        </w:rPr>
        <w:t xml:space="preserve"> </w:t>
      </w:r>
      <w:r w:rsidR="00EB648B" w:rsidRPr="000C67CB">
        <w:rPr>
          <w:rFonts w:ascii="Times New Roman" w:hAnsi="Times New Roman"/>
        </w:rPr>
        <w:t xml:space="preserve">dospievajúcich </w:t>
      </w:r>
      <w:r w:rsidRPr="000C67CB">
        <w:rPr>
          <w:rFonts w:ascii="Times New Roman" w:hAnsi="Times New Roman"/>
        </w:rPr>
        <w:t>od veku 12 rokov s idiopatickou generalizovanou epilepsiou.</w:t>
      </w:r>
    </w:p>
    <w:p w14:paraId="68818DA9" w14:textId="77777777" w:rsidR="00553706" w:rsidRPr="000C67CB" w:rsidRDefault="00553706">
      <w:pPr>
        <w:autoSpaceDE w:val="0"/>
        <w:autoSpaceDN w:val="0"/>
        <w:adjustRightInd w:val="0"/>
        <w:rPr>
          <w:rFonts w:ascii="Times New Roman" w:hAnsi="Times New Roman"/>
          <w:bCs/>
        </w:rPr>
      </w:pPr>
    </w:p>
    <w:p w14:paraId="4D24778B"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4.2 </w:t>
      </w:r>
      <w:r w:rsidRPr="000C67CB">
        <w:rPr>
          <w:rFonts w:ascii="Times New Roman" w:hAnsi="Times New Roman"/>
          <w:b/>
          <w:bCs/>
        </w:rPr>
        <w:tab/>
        <w:t>Dávkovanie a spôsob podávania</w:t>
      </w:r>
    </w:p>
    <w:p w14:paraId="0B0ADF99" w14:textId="77777777" w:rsidR="00553706" w:rsidRPr="000C67CB" w:rsidRDefault="00553706">
      <w:pPr>
        <w:autoSpaceDE w:val="0"/>
        <w:autoSpaceDN w:val="0"/>
        <w:adjustRightInd w:val="0"/>
        <w:rPr>
          <w:rFonts w:ascii="Times New Roman" w:hAnsi="Times New Roman"/>
        </w:rPr>
      </w:pPr>
    </w:p>
    <w:p w14:paraId="3B30AABA"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Dávkovanie</w:t>
      </w:r>
    </w:p>
    <w:p w14:paraId="5512799C" w14:textId="77777777" w:rsidR="00553706" w:rsidRPr="000C67CB" w:rsidRDefault="00553706">
      <w:pPr>
        <w:autoSpaceDE w:val="0"/>
        <w:autoSpaceDN w:val="0"/>
        <w:adjustRightInd w:val="0"/>
        <w:rPr>
          <w:rFonts w:ascii="Times New Roman" w:hAnsi="Times New Roman"/>
          <w:i/>
          <w:iCs/>
        </w:rPr>
      </w:pPr>
    </w:p>
    <w:p w14:paraId="40D03FEC" w14:textId="77777777" w:rsidR="00553706" w:rsidRPr="000C67CB" w:rsidRDefault="00553706">
      <w:pPr>
        <w:pStyle w:val="Odsekzoznamu1"/>
        <w:numPr>
          <w:ilvl w:val="0"/>
          <w:numId w:val="1"/>
        </w:numPr>
        <w:autoSpaceDE w:val="0"/>
        <w:autoSpaceDN w:val="0"/>
        <w:adjustRightInd w:val="0"/>
        <w:ind w:left="567" w:hanging="567"/>
        <w:rPr>
          <w:rFonts w:ascii="Times New Roman" w:hAnsi="Times New Roman"/>
          <w:i/>
          <w:iCs/>
        </w:rPr>
      </w:pPr>
      <w:r w:rsidRPr="000C67CB">
        <w:rPr>
          <w:rFonts w:ascii="Times New Roman" w:hAnsi="Times New Roman"/>
          <w:i/>
          <w:iCs/>
        </w:rPr>
        <w:t>Monoterapia u dospelých a dospievajúcich od veku 16 rokov</w:t>
      </w:r>
    </w:p>
    <w:p w14:paraId="103109F1" w14:textId="77777777" w:rsidR="00553706" w:rsidRPr="000C67CB" w:rsidRDefault="00553706">
      <w:pPr>
        <w:autoSpaceDE w:val="0"/>
        <w:autoSpaceDN w:val="0"/>
        <w:adjustRightInd w:val="0"/>
        <w:rPr>
          <w:rFonts w:ascii="Times New Roman" w:hAnsi="Times New Roman"/>
        </w:rPr>
      </w:pPr>
    </w:p>
    <w:p w14:paraId="445727C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Odporúčaná úvodná dávka je 250 mg dvakrát denne, ktorú je možné po 2 týždňoch zvýšiť na</w:t>
      </w:r>
    </w:p>
    <w:p w14:paraId="5E9E1D9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začiatočnú terapeutickú dávku 500 mg dvakrát denne. Dávku je možné ďalej zvyšovať o 250 mg</w:t>
      </w:r>
    </w:p>
    <w:p w14:paraId="72E10B7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dvakrát denne každé dva týždne v závislosti na klinickej odpovedi. Maximálna dávka je 1500 mg</w:t>
      </w:r>
    </w:p>
    <w:p w14:paraId="3E8161C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dvakrát denne.</w:t>
      </w:r>
    </w:p>
    <w:p w14:paraId="04917DF2" w14:textId="77777777" w:rsidR="00553706" w:rsidRPr="000C67CB" w:rsidRDefault="00553706">
      <w:pPr>
        <w:autoSpaceDE w:val="0"/>
        <w:autoSpaceDN w:val="0"/>
        <w:adjustRightInd w:val="0"/>
        <w:rPr>
          <w:rFonts w:ascii="Times New Roman" w:hAnsi="Times New Roman"/>
        </w:rPr>
      </w:pPr>
    </w:p>
    <w:p w14:paraId="5C994E2E"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Prídavná lie</w:t>
      </w:r>
      <w:r w:rsidRPr="000C67CB">
        <w:rPr>
          <w:rFonts w:ascii="Times New Roman" w:eastAsia="TimesNewRomanPS-ItalicMT" w:hAnsi="Times New Roman"/>
          <w:i/>
          <w:iCs/>
        </w:rPr>
        <w:t>č</w:t>
      </w:r>
      <w:r w:rsidRPr="000C67CB">
        <w:rPr>
          <w:rFonts w:ascii="Times New Roman" w:hAnsi="Times New Roman"/>
          <w:i/>
          <w:iCs/>
        </w:rPr>
        <w:t>ba u dospelých (</w:t>
      </w:r>
      <w:r w:rsidRPr="000C67CB">
        <w:rPr>
          <w:rFonts w:ascii="Times New Roman" w:eastAsia="TimesNewRomanPS-ItalicMT" w:hAnsi="Times New Roman"/>
          <w:i/>
          <w:iCs/>
        </w:rPr>
        <w:t xml:space="preserve">≥ </w:t>
      </w:r>
      <w:r w:rsidRPr="000C67CB">
        <w:rPr>
          <w:rFonts w:ascii="Times New Roman" w:hAnsi="Times New Roman"/>
          <w:i/>
          <w:iCs/>
        </w:rPr>
        <w:t>18 rokov) a dospievajúcich (12 až 17 rokov) s hmotnos</w:t>
      </w:r>
      <w:r w:rsidRPr="000C67CB">
        <w:rPr>
          <w:rFonts w:ascii="Times New Roman" w:eastAsia="TimesNewRomanPS-ItalicMT" w:hAnsi="Times New Roman"/>
          <w:i/>
          <w:iCs/>
        </w:rPr>
        <w:t>ť</w:t>
      </w:r>
      <w:r w:rsidRPr="000C67CB">
        <w:rPr>
          <w:rFonts w:ascii="Times New Roman" w:hAnsi="Times New Roman"/>
          <w:i/>
          <w:iCs/>
        </w:rPr>
        <w:t xml:space="preserve">ou </w:t>
      </w:r>
      <w:smartTag w:uri="urn:schemas-microsoft-com:office:smarttags" w:element="metricconverter">
        <w:smartTagPr>
          <w:attr w:name="ProductID" w:val="50 kg"/>
        </w:smartTagPr>
        <w:r w:rsidRPr="000C67CB">
          <w:rPr>
            <w:rFonts w:ascii="Times New Roman" w:hAnsi="Times New Roman"/>
            <w:i/>
            <w:iCs/>
          </w:rPr>
          <w:t>50 kg</w:t>
        </w:r>
      </w:smartTag>
    </w:p>
    <w:p w14:paraId="00592D6E"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alebo vyššou</w:t>
      </w:r>
    </w:p>
    <w:p w14:paraId="50860F94" w14:textId="77777777" w:rsidR="001F42CC" w:rsidRDefault="001F42CC">
      <w:pPr>
        <w:autoSpaceDE w:val="0"/>
        <w:autoSpaceDN w:val="0"/>
        <w:adjustRightInd w:val="0"/>
        <w:rPr>
          <w:rFonts w:ascii="Times New Roman" w:hAnsi="Times New Roman"/>
        </w:rPr>
      </w:pPr>
    </w:p>
    <w:p w14:paraId="78308BF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Začiatočná terapeutická dávka je 500 mg dvakrát denne. S touto dávkou možno začať v prvý deň</w:t>
      </w:r>
    </w:p>
    <w:p w14:paraId="79761C4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liečby.</w:t>
      </w:r>
    </w:p>
    <w:p w14:paraId="4327DC22" w14:textId="77777777" w:rsidR="00553706" w:rsidRPr="000C67CB" w:rsidRDefault="00553706">
      <w:pPr>
        <w:autoSpaceDE w:val="0"/>
        <w:autoSpaceDN w:val="0"/>
        <w:adjustRightInd w:val="0"/>
        <w:rPr>
          <w:rFonts w:ascii="Times New Roman" w:hAnsi="Times New Roman"/>
        </w:rPr>
      </w:pPr>
    </w:p>
    <w:p w14:paraId="6B34E66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závislosti od klinickej odpovede a znášanlivosti možno dennú dávku zvýšiť až na 1500 mg dvakrát</w:t>
      </w:r>
    </w:p>
    <w:p w14:paraId="6779013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denne. Dávku je možné zvyšovať alebo znižovať o 500 mg dvakrát denne každé dva až štyri týždne.</w:t>
      </w:r>
    </w:p>
    <w:p w14:paraId="2831AE52" w14:textId="77777777" w:rsidR="006E3934" w:rsidRPr="000C67CB" w:rsidRDefault="006E3934">
      <w:pPr>
        <w:autoSpaceDE w:val="0"/>
        <w:autoSpaceDN w:val="0"/>
        <w:adjustRightInd w:val="0"/>
        <w:rPr>
          <w:rFonts w:ascii="Times New Roman" w:hAnsi="Times New Roman"/>
        </w:rPr>
      </w:pPr>
    </w:p>
    <w:p w14:paraId="14F950DD" w14:textId="77777777" w:rsidR="00405CBA" w:rsidRPr="000C67CB" w:rsidRDefault="00405CBA">
      <w:pPr>
        <w:autoSpaceDE w:val="0"/>
        <w:autoSpaceDN w:val="0"/>
        <w:adjustRightInd w:val="0"/>
        <w:rPr>
          <w:rFonts w:ascii="Times New Roman" w:eastAsia="TimesNewRomanPSMT" w:hAnsi="Times New Roman"/>
          <w:u w:val="single"/>
          <w:lang w:eastAsia="sk-SK"/>
        </w:rPr>
      </w:pPr>
      <w:r w:rsidRPr="000C67CB">
        <w:rPr>
          <w:rFonts w:ascii="Times New Roman" w:eastAsia="TimesNewRomanPSMT" w:hAnsi="Times New Roman"/>
          <w:u w:val="single"/>
          <w:lang w:eastAsia="sk-SK"/>
        </w:rPr>
        <w:t>Ukončenie liečby</w:t>
      </w:r>
    </w:p>
    <w:p w14:paraId="3B9FF64B" w14:textId="77777777" w:rsidR="00405CBA" w:rsidRPr="000C67CB" w:rsidRDefault="00405CBA">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Ak je potrebné liečbu levetiracetamom ukončiť, odporúča sa vysadzovať ju postupne (napr. u</w:t>
      </w:r>
    </w:p>
    <w:p w14:paraId="02B86415" w14:textId="77777777" w:rsidR="00405CBA" w:rsidRPr="000C67CB" w:rsidRDefault="00405CBA">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dospelých a dospievajúcich s hmotnosťou vyššou ako 50 kg: znižovanie o 500 mg dvakrát denne,</w:t>
      </w:r>
    </w:p>
    <w:p w14:paraId="76E41C05" w14:textId="77777777" w:rsidR="00405CBA" w:rsidRPr="000C67CB" w:rsidRDefault="00405CBA">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každé dva až štyri týždne, u dojčiat starších ako 6 mesiacov, detí a dospievajúcich s hmotnosťou</w:t>
      </w:r>
    </w:p>
    <w:p w14:paraId="2813D3F9" w14:textId="77777777" w:rsidR="00405CBA" w:rsidRPr="000C67CB" w:rsidRDefault="00405CBA">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nižšou ako 50 kg: dávka sa má znižovať maximálne o 10 mg/kg dvakrát denne každé dva týždne; u</w:t>
      </w:r>
    </w:p>
    <w:p w14:paraId="1BB7AE15" w14:textId="77777777" w:rsidR="00405CBA" w:rsidRPr="000C67CB" w:rsidRDefault="00405CBA">
      <w:pPr>
        <w:autoSpaceDE w:val="0"/>
        <w:autoSpaceDN w:val="0"/>
        <w:adjustRightInd w:val="0"/>
        <w:rPr>
          <w:rFonts w:ascii="Times New Roman" w:hAnsi="Times New Roman"/>
        </w:rPr>
      </w:pPr>
      <w:r w:rsidRPr="000C67CB">
        <w:rPr>
          <w:rFonts w:ascii="Times New Roman" w:eastAsia="TimesNewRomanPSMT" w:hAnsi="Times New Roman"/>
          <w:lang w:eastAsia="sk-SK"/>
        </w:rPr>
        <w:t>dojčiat (pod 6 mesiacov): zníženie dávky nemá presiahnuť 7 mg/kg dvakrát denne, každé 2 týždne).</w:t>
      </w:r>
    </w:p>
    <w:p w14:paraId="709E1F10" w14:textId="77777777" w:rsidR="00553706" w:rsidRPr="000C67CB" w:rsidRDefault="00553706">
      <w:pPr>
        <w:autoSpaceDE w:val="0"/>
        <w:autoSpaceDN w:val="0"/>
        <w:adjustRightInd w:val="0"/>
        <w:rPr>
          <w:rFonts w:ascii="Times New Roman" w:hAnsi="Times New Roman"/>
        </w:rPr>
      </w:pPr>
    </w:p>
    <w:p w14:paraId="7D1A94EE"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Osobitné skupiny pacientov</w:t>
      </w:r>
    </w:p>
    <w:p w14:paraId="7FD072DB" w14:textId="77777777" w:rsidR="00553706" w:rsidRPr="000C67CB" w:rsidRDefault="00553706">
      <w:pPr>
        <w:autoSpaceDE w:val="0"/>
        <w:autoSpaceDN w:val="0"/>
        <w:adjustRightInd w:val="0"/>
        <w:rPr>
          <w:rFonts w:ascii="Times New Roman" w:hAnsi="Times New Roman"/>
        </w:rPr>
      </w:pPr>
    </w:p>
    <w:p w14:paraId="7AD33A42"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 xml:space="preserve">Starší </w:t>
      </w:r>
      <w:r w:rsidR="006E3934" w:rsidRPr="000C67CB">
        <w:rPr>
          <w:rFonts w:ascii="Times New Roman" w:hAnsi="Times New Roman"/>
          <w:i/>
          <w:iCs/>
        </w:rPr>
        <w:t xml:space="preserve">ľudia </w:t>
      </w:r>
      <w:r w:rsidRPr="000C67CB">
        <w:rPr>
          <w:rFonts w:ascii="Times New Roman" w:hAnsi="Times New Roman"/>
          <w:i/>
          <w:iCs/>
        </w:rPr>
        <w:t>(65 rokov a starší)</w:t>
      </w:r>
    </w:p>
    <w:p w14:paraId="146EFC2D" w14:textId="77777777" w:rsidR="00553706" w:rsidRPr="000C67CB" w:rsidRDefault="00553706">
      <w:pPr>
        <w:autoSpaceDE w:val="0"/>
        <w:autoSpaceDN w:val="0"/>
        <w:adjustRightInd w:val="0"/>
        <w:rPr>
          <w:rFonts w:ascii="Times New Roman" w:hAnsi="Times New Roman"/>
        </w:rPr>
      </w:pPr>
    </w:p>
    <w:p w14:paraId="00CD0A1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U starších </w:t>
      </w:r>
      <w:r w:rsidR="006E3934" w:rsidRPr="000C67CB">
        <w:rPr>
          <w:rFonts w:ascii="Times New Roman" w:hAnsi="Times New Roman"/>
        </w:rPr>
        <w:t xml:space="preserve">ľudí </w:t>
      </w:r>
      <w:r w:rsidRPr="000C67CB">
        <w:rPr>
          <w:rFonts w:ascii="Times New Roman" w:hAnsi="Times New Roman"/>
        </w:rPr>
        <w:t>so zhoršenou funkciou obličiek (pozri „Porucha funkcie obličiek“ nižšie) sa</w:t>
      </w:r>
    </w:p>
    <w:p w14:paraId="5509C41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odporúča úprava dávky.</w:t>
      </w:r>
    </w:p>
    <w:p w14:paraId="72B5749C" w14:textId="77777777" w:rsidR="00553706" w:rsidRPr="000C67CB" w:rsidRDefault="00553706">
      <w:pPr>
        <w:autoSpaceDE w:val="0"/>
        <w:autoSpaceDN w:val="0"/>
        <w:adjustRightInd w:val="0"/>
        <w:rPr>
          <w:rFonts w:ascii="Times New Roman" w:hAnsi="Times New Roman"/>
          <w:i/>
          <w:iCs/>
        </w:rPr>
      </w:pPr>
    </w:p>
    <w:p w14:paraId="36477571"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Porucha funkcie obli</w:t>
      </w:r>
      <w:r w:rsidRPr="000C67CB">
        <w:rPr>
          <w:rFonts w:ascii="Times New Roman" w:eastAsia="TimesNewRomanPS-ItalicMT" w:hAnsi="Times New Roman"/>
          <w:i/>
          <w:iCs/>
        </w:rPr>
        <w:t>č</w:t>
      </w:r>
      <w:r w:rsidRPr="000C67CB">
        <w:rPr>
          <w:rFonts w:ascii="Times New Roman" w:hAnsi="Times New Roman"/>
          <w:i/>
          <w:iCs/>
        </w:rPr>
        <w:t>iek</w:t>
      </w:r>
    </w:p>
    <w:p w14:paraId="42108638" w14:textId="77777777" w:rsidR="001F42CC" w:rsidRDefault="001F42CC">
      <w:pPr>
        <w:autoSpaceDE w:val="0"/>
        <w:autoSpaceDN w:val="0"/>
        <w:adjustRightInd w:val="0"/>
        <w:rPr>
          <w:rFonts w:ascii="Times New Roman" w:hAnsi="Times New Roman"/>
        </w:rPr>
      </w:pPr>
    </w:p>
    <w:p w14:paraId="6E7131C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Denná dávka sa musí upraviť individuálne podľa funkcie obličiek.</w:t>
      </w:r>
    </w:p>
    <w:p w14:paraId="078EEB26" w14:textId="77777777" w:rsidR="00553706" w:rsidRPr="000C67CB" w:rsidRDefault="00553706">
      <w:pPr>
        <w:autoSpaceDE w:val="0"/>
        <w:autoSpaceDN w:val="0"/>
        <w:adjustRightInd w:val="0"/>
        <w:rPr>
          <w:rFonts w:ascii="Times New Roman" w:hAnsi="Times New Roman"/>
        </w:rPr>
      </w:pPr>
    </w:p>
    <w:p w14:paraId="710CEBC3" w14:textId="0C423B32" w:rsidR="00553706" w:rsidRPr="000C67CB" w:rsidRDefault="00553706">
      <w:pPr>
        <w:autoSpaceDE w:val="0"/>
        <w:autoSpaceDN w:val="0"/>
        <w:adjustRightInd w:val="0"/>
        <w:rPr>
          <w:rFonts w:ascii="Times New Roman" w:hAnsi="Times New Roman"/>
        </w:rPr>
      </w:pPr>
      <w:r w:rsidRPr="000C67CB">
        <w:rPr>
          <w:rFonts w:ascii="Times New Roman" w:hAnsi="Times New Roman"/>
        </w:rPr>
        <w:t>Pre dospelých pacientov použite nasledovnú tabuľku a dávku upravte zodpovedajúcim spôsobom. Pri</w:t>
      </w:r>
      <w:r w:rsidR="00210A92">
        <w:rPr>
          <w:rFonts w:ascii="Times New Roman" w:hAnsi="Times New Roman"/>
        </w:rPr>
        <w:t> </w:t>
      </w:r>
      <w:r w:rsidRPr="000C67CB">
        <w:rPr>
          <w:rFonts w:ascii="Times New Roman" w:hAnsi="Times New Roman"/>
        </w:rPr>
        <w:t>použití tejto tabuľky pre dávkovanie je potrebné stanoviť klírens kreatinínu (CLcr) pacienta v ml/min.</w:t>
      </w:r>
    </w:p>
    <w:p w14:paraId="17BD790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U dospelých a dospievajúcich s hmotnosťou </w:t>
      </w:r>
      <w:smartTag w:uri="urn:schemas-microsoft-com:office:smarttags" w:element="metricconverter">
        <w:smartTagPr>
          <w:attr w:name="ProductID" w:val="50 kg"/>
        </w:smartTagPr>
        <w:r w:rsidRPr="000C67CB">
          <w:rPr>
            <w:rFonts w:ascii="Times New Roman" w:hAnsi="Times New Roman"/>
          </w:rPr>
          <w:t>50 kg</w:t>
        </w:r>
      </w:smartTag>
      <w:r w:rsidRPr="000C67CB">
        <w:rPr>
          <w:rFonts w:ascii="Times New Roman" w:hAnsi="Times New Roman"/>
        </w:rPr>
        <w:t xml:space="preserve"> alebo vyššou je možné CLcr v ml/min stanoviť</w:t>
      </w:r>
    </w:p>
    <w:p w14:paraId="5AD8A54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 merania kreatinínu v sére (mg/dl) pomocou nasledovnej rovnice.</w:t>
      </w:r>
    </w:p>
    <w:p w14:paraId="4449ADA6" w14:textId="77777777" w:rsidR="00553706" w:rsidRPr="000C67CB" w:rsidRDefault="00553706">
      <w:pPr>
        <w:autoSpaceDE w:val="0"/>
        <w:autoSpaceDN w:val="0"/>
        <w:adjustRightInd w:val="0"/>
        <w:rPr>
          <w:rFonts w:ascii="Times New Roman" w:hAnsi="Times New Roman"/>
        </w:rPr>
      </w:pPr>
    </w:p>
    <w:p w14:paraId="599781C2" w14:textId="77777777" w:rsidR="00553706" w:rsidRPr="000C67CB" w:rsidRDefault="00553706">
      <w:pPr>
        <w:autoSpaceDE w:val="0"/>
        <w:autoSpaceDN w:val="0"/>
        <w:adjustRightInd w:val="0"/>
        <w:ind w:left="1416" w:firstLine="708"/>
        <w:rPr>
          <w:rFonts w:ascii="Times New Roman" w:hAnsi="Times New Roman"/>
        </w:rPr>
      </w:pPr>
      <w:r w:rsidRPr="000C67CB">
        <w:rPr>
          <w:rFonts w:ascii="Times New Roman" w:hAnsi="Times New Roman"/>
        </w:rPr>
        <w:t>[140-vek (roky)] x hmotnosť (kg)</w:t>
      </w:r>
    </w:p>
    <w:p w14:paraId="2459E21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CLcr (ml/min) = --------------------------------------------                     (x 0,85 u žien)</w:t>
      </w:r>
    </w:p>
    <w:p w14:paraId="27446F4B" w14:textId="77777777" w:rsidR="00553706" w:rsidRPr="000C67CB" w:rsidRDefault="00553706">
      <w:pPr>
        <w:autoSpaceDE w:val="0"/>
        <w:autoSpaceDN w:val="0"/>
        <w:adjustRightInd w:val="0"/>
        <w:ind w:left="1416" w:firstLine="708"/>
        <w:rPr>
          <w:rFonts w:ascii="Times New Roman" w:hAnsi="Times New Roman"/>
        </w:rPr>
      </w:pPr>
      <w:r w:rsidRPr="000C67CB">
        <w:rPr>
          <w:rFonts w:ascii="Times New Roman" w:hAnsi="Times New Roman"/>
        </w:rPr>
        <w:t>72 x kreatinín v sére (mg/dl)</w:t>
      </w:r>
    </w:p>
    <w:p w14:paraId="076E5449" w14:textId="77777777" w:rsidR="00553706" w:rsidRPr="000C67CB" w:rsidRDefault="00553706">
      <w:pPr>
        <w:autoSpaceDE w:val="0"/>
        <w:autoSpaceDN w:val="0"/>
        <w:adjustRightInd w:val="0"/>
        <w:rPr>
          <w:rFonts w:ascii="Times New Roman" w:hAnsi="Times New Roman"/>
        </w:rPr>
      </w:pPr>
    </w:p>
    <w:p w14:paraId="2EA4254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CLcr sa potom prepočíta podľa nasledujúceho vzorca na plochu povrchu tela (body surface area,</w:t>
      </w:r>
    </w:p>
    <w:p w14:paraId="6A37B7F6" w14:textId="77777777" w:rsidR="00553706" w:rsidRDefault="00553706">
      <w:pPr>
        <w:autoSpaceDE w:val="0"/>
        <w:autoSpaceDN w:val="0"/>
        <w:adjustRightInd w:val="0"/>
        <w:rPr>
          <w:rFonts w:ascii="Times New Roman" w:hAnsi="Times New Roman"/>
        </w:rPr>
      </w:pPr>
      <w:r w:rsidRPr="000C67CB">
        <w:rPr>
          <w:rFonts w:ascii="Times New Roman" w:hAnsi="Times New Roman"/>
        </w:rPr>
        <w:t>BSA):</w:t>
      </w:r>
    </w:p>
    <w:p w14:paraId="0EF9E9F0" w14:textId="77777777" w:rsidR="001F42CC" w:rsidRPr="000C67CB" w:rsidRDefault="001F42CC">
      <w:pPr>
        <w:autoSpaceDE w:val="0"/>
        <w:autoSpaceDN w:val="0"/>
        <w:adjustRightInd w:val="0"/>
        <w:rPr>
          <w:rFonts w:ascii="Times New Roman" w:hAnsi="Times New Roman"/>
        </w:rPr>
      </w:pPr>
    </w:p>
    <w:p w14:paraId="76995306" w14:textId="77777777" w:rsidR="00553706" w:rsidRPr="000C67CB" w:rsidRDefault="00553706">
      <w:pPr>
        <w:autoSpaceDE w:val="0"/>
        <w:autoSpaceDN w:val="0"/>
        <w:adjustRightInd w:val="0"/>
        <w:rPr>
          <w:rFonts w:ascii="Times New Roman" w:hAnsi="Times New Roman"/>
        </w:rPr>
      </w:pPr>
    </w:p>
    <w:p w14:paraId="7312F447" w14:textId="77777777" w:rsidR="00553706" w:rsidRPr="000C67CB" w:rsidRDefault="00553706" w:rsidP="00476851">
      <w:pPr>
        <w:keepNext/>
        <w:autoSpaceDE w:val="0"/>
        <w:autoSpaceDN w:val="0"/>
        <w:adjustRightInd w:val="0"/>
        <w:ind w:left="2124" w:firstLine="708"/>
        <w:rPr>
          <w:rFonts w:ascii="Times New Roman" w:hAnsi="Times New Roman"/>
        </w:rPr>
      </w:pPr>
      <w:r w:rsidRPr="000C67CB">
        <w:rPr>
          <w:rFonts w:ascii="Times New Roman" w:hAnsi="Times New Roman"/>
        </w:rPr>
        <w:lastRenderedPageBreak/>
        <w:t>Clcr (ml/min)</w:t>
      </w:r>
    </w:p>
    <w:p w14:paraId="39324599" w14:textId="77777777" w:rsidR="00553706" w:rsidRPr="000C67CB" w:rsidRDefault="00553706" w:rsidP="00476851">
      <w:pPr>
        <w:keepNext/>
        <w:autoSpaceDE w:val="0"/>
        <w:autoSpaceDN w:val="0"/>
        <w:adjustRightInd w:val="0"/>
        <w:rPr>
          <w:rFonts w:ascii="Times New Roman" w:hAnsi="Times New Roman"/>
        </w:rPr>
      </w:pPr>
      <w:r w:rsidRPr="000C67CB">
        <w:rPr>
          <w:rFonts w:ascii="Times New Roman" w:hAnsi="Times New Roman"/>
        </w:rPr>
        <w:t>CLcr (ml/min/1,73 m²) = ------------------------               x 1,73</w:t>
      </w:r>
    </w:p>
    <w:p w14:paraId="58A4D785" w14:textId="77777777" w:rsidR="00553706" w:rsidRPr="000C67CB" w:rsidRDefault="00553706" w:rsidP="00476851">
      <w:pPr>
        <w:keepNext/>
        <w:autoSpaceDE w:val="0"/>
        <w:autoSpaceDN w:val="0"/>
        <w:adjustRightInd w:val="0"/>
        <w:ind w:left="2124" w:firstLine="708"/>
        <w:rPr>
          <w:rFonts w:ascii="Times New Roman" w:hAnsi="Times New Roman"/>
        </w:rPr>
      </w:pPr>
      <w:r w:rsidRPr="000C67CB">
        <w:rPr>
          <w:rFonts w:ascii="Times New Roman" w:hAnsi="Times New Roman"/>
        </w:rPr>
        <w:t>BSA pacienta (m²)</w:t>
      </w:r>
    </w:p>
    <w:p w14:paraId="46ECFA75" w14:textId="77777777" w:rsidR="00553706" w:rsidRPr="000C67CB" w:rsidRDefault="00553706">
      <w:pPr>
        <w:autoSpaceDE w:val="0"/>
        <w:autoSpaceDN w:val="0"/>
        <w:adjustRightInd w:val="0"/>
        <w:rPr>
          <w:rFonts w:ascii="Times New Roman" w:hAnsi="Times New Roman"/>
        </w:rPr>
      </w:pPr>
    </w:p>
    <w:p w14:paraId="0C513EF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Úprava dávky u dospelých a dospievajúcich pacientov s telesnou hmotnosťou viac ako </w:t>
      </w:r>
      <w:smartTag w:uri="urn:schemas-microsoft-com:office:smarttags" w:element="metricconverter">
        <w:smartTagPr>
          <w:attr w:name="ProductID" w:val="50 kg"/>
        </w:smartTagPr>
        <w:r w:rsidRPr="000C67CB">
          <w:rPr>
            <w:rFonts w:ascii="Times New Roman" w:hAnsi="Times New Roman"/>
          </w:rPr>
          <w:t>50 kg</w:t>
        </w:r>
      </w:smartTag>
    </w:p>
    <w:p w14:paraId="23EA134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 poruchou funkcie obličiek:</w:t>
      </w:r>
    </w:p>
    <w:p w14:paraId="65F25A71" w14:textId="77777777" w:rsidR="00553706" w:rsidRPr="000C67CB" w:rsidRDefault="00553706">
      <w:pPr>
        <w:autoSpaceDE w:val="0"/>
        <w:autoSpaceDN w:val="0"/>
        <w:adjustRightInd w:val="0"/>
        <w:rPr>
          <w:rFonts w:ascii="Times New Roman" w:hAnsi="Times New Roman"/>
        </w:rPr>
      </w:pPr>
    </w:p>
    <w:p w14:paraId="7EE6E8E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r>
      <w:r w:rsidRPr="000C67CB">
        <w:rPr>
          <w:rFonts w:ascii="Times New Roman" w:hAnsi="Times New Roman"/>
        </w:rPr>
        <w:softHyphen/>
        <w:t xml:space="preserve">Skupina </w:t>
      </w:r>
      <w:r w:rsidRPr="000C67CB">
        <w:rPr>
          <w:rFonts w:ascii="Times New Roman" w:hAnsi="Times New Roman"/>
        </w:rPr>
        <w:tab/>
      </w:r>
      <w:r w:rsidRPr="000C67CB">
        <w:rPr>
          <w:rFonts w:ascii="Times New Roman" w:hAnsi="Times New Roman"/>
        </w:rPr>
        <w:tab/>
      </w:r>
      <w:r w:rsidRPr="000C67CB">
        <w:rPr>
          <w:rFonts w:ascii="Times New Roman" w:hAnsi="Times New Roman"/>
        </w:rPr>
        <w:tab/>
        <w:t xml:space="preserve">Klírens kreatinínu </w:t>
      </w:r>
      <w:r w:rsidRPr="000C67CB">
        <w:rPr>
          <w:rFonts w:ascii="Times New Roman" w:hAnsi="Times New Roman"/>
        </w:rPr>
        <w:tab/>
      </w:r>
      <w:r w:rsidRPr="000C67CB">
        <w:rPr>
          <w:rFonts w:ascii="Times New Roman" w:hAnsi="Times New Roman"/>
        </w:rPr>
        <w:tab/>
      </w:r>
      <w:r w:rsidRPr="000C67CB">
        <w:rPr>
          <w:rFonts w:ascii="Times New Roman" w:hAnsi="Times New Roman"/>
        </w:rPr>
        <w:tab/>
        <w:t>Dávka a frekvencia</w:t>
      </w:r>
    </w:p>
    <w:p w14:paraId="7B83272F" w14:textId="77777777" w:rsidR="00553706" w:rsidRPr="000C67CB" w:rsidRDefault="00553706">
      <w:pPr>
        <w:pBdr>
          <w:bottom w:val="single" w:sz="12" w:space="1" w:color="auto"/>
        </w:pBdr>
        <w:autoSpaceDE w:val="0"/>
        <w:autoSpaceDN w:val="0"/>
        <w:adjustRightInd w:val="0"/>
        <w:ind w:left="2406" w:firstLine="426"/>
        <w:rPr>
          <w:rFonts w:ascii="Times New Roman" w:hAnsi="Times New Roman"/>
        </w:rPr>
      </w:pPr>
      <w:r w:rsidRPr="000C67CB">
        <w:rPr>
          <w:rFonts w:ascii="Times New Roman" w:hAnsi="Times New Roman"/>
        </w:rPr>
        <w:t>(ml/min/1,73 m2)</w:t>
      </w:r>
    </w:p>
    <w:p w14:paraId="71833AC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Normálna</w:t>
      </w:r>
      <w:r w:rsidRPr="000C67CB">
        <w:rPr>
          <w:rFonts w:ascii="Times New Roman" w:hAnsi="Times New Roman"/>
        </w:rPr>
        <w:tab/>
      </w:r>
      <w:r w:rsidRPr="000C67CB">
        <w:rPr>
          <w:rFonts w:ascii="Times New Roman" w:hAnsi="Times New Roman"/>
        </w:rPr>
        <w:tab/>
      </w:r>
      <w:r w:rsidRPr="000C67CB">
        <w:rPr>
          <w:rFonts w:ascii="Times New Roman" w:hAnsi="Times New Roman"/>
        </w:rPr>
        <w:tab/>
      </w:r>
      <w:r w:rsidRPr="000C67CB">
        <w:rPr>
          <w:rFonts w:ascii="Times New Roman" w:hAnsi="Times New Roman"/>
        </w:rPr>
        <w:tab/>
        <w:t>&gt; 80</w:t>
      </w:r>
      <w:r w:rsidRPr="000C67CB">
        <w:rPr>
          <w:rFonts w:ascii="Times New Roman" w:hAnsi="Times New Roman"/>
        </w:rPr>
        <w:tab/>
      </w:r>
      <w:r w:rsidRPr="000C67CB">
        <w:rPr>
          <w:rFonts w:ascii="Times New Roman" w:hAnsi="Times New Roman"/>
        </w:rPr>
        <w:tab/>
      </w:r>
      <w:r w:rsidRPr="000C67CB">
        <w:rPr>
          <w:rFonts w:ascii="Times New Roman" w:hAnsi="Times New Roman"/>
        </w:rPr>
        <w:tab/>
        <w:t>500 až 1500 mg dvakrát denne</w:t>
      </w:r>
    </w:p>
    <w:p w14:paraId="52728BC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Mierna</w:t>
      </w:r>
      <w:r w:rsidRPr="000C67CB">
        <w:rPr>
          <w:rFonts w:ascii="Times New Roman" w:hAnsi="Times New Roman"/>
        </w:rPr>
        <w:tab/>
      </w:r>
      <w:r w:rsidRPr="000C67CB">
        <w:rPr>
          <w:rFonts w:ascii="Times New Roman" w:hAnsi="Times New Roman"/>
        </w:rPr>
        <w:tab/>
      </w:r>
      <w:r w:rsidRPr="000C67CB">
        <w:rPr>
          <w:rFonts w:ascii="Times New Roman" w:hAnsi="Times New Roman"/>
        </w:rPr>
        <w:tab/>
      </w:r>
      <w:r w:rsidRPr="000C67CB">
        <w:rPr>
          <w:rFonts w:ascii="Times New Roman" w:hAnsi="Times New Roman"/>
        </w:rPr>
        <w:tab/>
      </w:r>
      <w:r w:rsidRPr="000C67CB">
        <w:rPr>
          <w:rFonts w:ascii="Times New Roman" w:hAnsi="Times New Roman"/>
        </w:rPr>
        <w:tab/>
        <w:t>50-79</w:t>
      </w:r>
      <w:r w:rsidRPr="000C67CB">
        <w:rPr>
          <w:rFonts w:ascii="Times New Roman" w:hAnsi="Times New Roman"/>
        </w:rPr>
        <w:tab/>
      </w:r>
      <w:r w:rsidRPr="000C67CB">
        <w:rPr>
          <w:rFonts w:ascii="Times New Roman" w:hAnsi="Times New Roman"/>
        </w:rPr>
        <w:tab/>
      </w:r>
      <w:r w:rsidRPr="000C67CB">
        <w:rPr>
          <w:rFonts w:ascii="Times New Roman" w:hAnsi="Times New Roman"/>
        </w:rPr>
        <w:tab/>
        <w:t>500 až 1000 mg dvakrát denne</w:t>
      </w:r>
    </w:p>
    <w:p w14:paraId="0F69470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Stredne závažná</w:t>
      </w:r>
      <w:r w:rsidRPr="000C67CB">
        <w:rPr>
          <w:rFonts w:ascii="Times New Roman" w:hAnsi="Times New Roman"/>
        </w:rPr>
        <w:tab/>
      </w:r>
      <w:r w:rsidRPr="000C67CB">
        <w:rPr>
          <w:rFonts w:ascii="Times New Roman" w:hAnsi="Times New Roman"/>
        </w:rPr>
        <w:tab/>
      </w:r>
      <w:r w:rsidRPr="000C67CB">
        <w:rPr>
          <w:rFonts w:ascii="Times New Roman" w:hAnsi="Times New Roman"/>
        </w:rPr>
        <w:tab/>
        <w:t>30-49</w:t>
      </w:r>
      <w:r w:rsidRPr="000C67CB">
        <w:rPr>
          <w:rFonts w:ascii="Times New Roman" w:hAnsi="Times New Roman"/>
        </w:rPr>
        <w:tab/>
      </w:r>
      <w:r w:rsidRPr="000C67CB">
        <w:rPr>
          <w:rFonts w:ascii="Times New Roman" w:hAnsi="Times New Roman"/>
        </w:rPr>
        <w:tab/>
      </w:r>
      <w:r w:rsidRPr="000C67CB">
        <w:rPr>
          <w:rFonts w:ascii="Times New Roman" w:hAnsi="Times New Roman"/>
        </w:rPr>
        <w:tab/>
        <w:t>250 až 750 mg dvakrát denne</w:t>
      </w:r>
    </w:p>
    <w:p w14:paraId="54D5D8E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Závažná</w:t>
      </w:r>
      <w:r w:rsidRPr="000C67CB">
        <w:rPr>
          <w:rFonts w:ascii="Times New Roman" w:hAnsi="Times New Roman"/>
        </w:rPr>
        <w:tab/>
      </w:r>
      <w:r w:rsidRPr="000C67CB">
        <w:rPr>
          <w:rFonts w:ascii="Times New Roman" w:hAnsi="Times New Roman"/>
        </w:rPr>
        <w:tab/>
      </w:r>
      <w:r w:rsidRPr="000C67CB">
        <w:rPr>
          <w:rFonts w:ascii="Times New Roman" w:hAnsi="Times New Roman"/>
        </w:rPr>
        <w:tab/>
      </w:r>
      <w:r w:rsidRPr="000C67CB">
        <w:rPr>
          <w:rFonts w:ascii="Times New Roman" w:hAnsi="Times New Roman"/>
        </w:rPr>
        <w:tab/>
        <w:t>&lt; 30</w:t>
      </w:r>
      <w:r w:rsidRPr="000C67CB">
        <w:rPr>
          <w:rFonts w:ascii="Times New Roman" w:hAnsi="Times New Roman"/>
        </w:rPr>
        <w:tab/>
      </w:r>
      <w:r w:rsidRPr="000C67CB">
        <w:rPr>
          <w:rFonts w:ascii="Times New Roman" w:hAnsi="Times New Roman"/>
        </w:rPr>
        <w:tab/>
      </w:r>
      <w:r w:rsidRPr="000C67CB">
        <w:rPr>
          <w:rFonts w:ascii="Times New Roman" w:hAnsi="Times New Roman"/>
        </w:rPr>
        <w:tab/>
        <w:t>250 až 500 mg dvakrát denne</w:t>
      </w:r>
    </w:p>
    <w:p w14:paraId="2AEF63E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Dialyzovaní pacienti</w:t>
      </w:r>
      <w:r w:rsidRPr="000C67CB">
        <w:rPr>
          <w:rFonts w:ascii="Times New Roman" w:hAnsi="Times New Roman"/>
        </w:rPr>
        <w:tab/>
        <w:t xml:space="preserve"> </w:t>
      </w:r>
      <w:r w:rsidRPr="000C67CB">
        <w:rPr>
          <w:rFonts w:ascii="Times New Roman" w:hAnsi="Times New Roman"/>
        </w:rPr>
        <w:tab/>
      </w:r>
      <w:r w:rsidRPr="000C67CB">
        <w:rPr>
          <w:rFonts w:ascii="Times New Roman" w:hAnsi="Times New Roman"/>
        </w:rPr>
        <w:tab/>
        <w:t>-</w:t>
      </w:r>
      <w:r w:rsidRPr="000C67CB">
        <w:rPr>
          <w:rFonts w:ascii="Times New Roman" w:hAnsi="Times New Roman"/>
        </w:rPr>
        <w:tab/>
      </w:r>
      <w:r w:rsidRPr="000C67CB">
        <w:rPr>
          <w:rFonts w:ascii="Times New Roman" w:hAnsi="Times New Roman"/>
        </w:rPr>
        <w:tab/>
      </w:r>
      <w:r w:rsidRPr="000C67CB">
        <w:rPr>
          <w:rFonts w:ascii="Times New Roman" w:hAnsi="Times New Roman"/>
        </w:rPr>
        <w:tab/>
        <w:t xml:space="preserve">500 až 1000 mg jedenkrát denne </w:t>
      </w:r>
      <w:r w:rsidRPr="000C67CB">
        <w:rPr>
          <w:rFonts w:ascii="Times New Roman" w:hAnsi="Times New Roman"/>
          <w:vertAlign w:val="superscript"/>
        </w:rPr>
        <w:t>(2)</w:t>
      </w:r>
    </w:p>
    <w:p w14:paraId="3CD82EB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terminálnom</w:t>
      </w:r>
    </w:p>
    <w:p w14:paraId="4C8428B9" w14:textId="77777777" w:rsidR="00553706" w:rsidRPr="000C67CB" w:rsidRDefault="00553706">
      <w:pPr>
        <w:pBdr>
          <w:bottom w:val="single" w:sz="12" w:space="1" w:color="auto"/>
        </w:pBdr>
        <w:autoSpaceDE w:val="0"/>
        <w:autoSpaceDN w:val="0"/>
        <w:adjustRightInd w:val="0"/>
        <w:rPr>
          <w:rFonts w:ascii="Times New Roman" w:hAnsi="Times New Roman"/>
        </w:rPr>
      </w:pPr>
      <w:r w:rsidRPr="000C67CB">
        <w:rPr>
          <w:rFonts w:ascii="Times New Roman" w:hAnsi="Times New Roman"/>
        </w:rPr>
        <w:t xml:space="preserve">štádiu zlyhania obličiek </w:t>
      </w:r>
      <w:r w:rsidRPr="000C67CB">
        <w:rPr>
          <w:rFonts w:ascii="Times New Roman" w:hAnsi="Times New Roman"/>
          <w:vertAlign w:val="superscript"/>
        </w:rPr>
        <w:t>(1)</w:t>
      </w:r>
    </w:p>
    <w:p w14:paraId="051B14AE" w14:textId="77777777" w:rsidR="00553706" w:rsidRPr="000C67CB" w:rsidRDefault="00553706">
      <w:pPr>
        <w:autoSpaceDE w:val="0"/>
        <w:autoSpaceDN w:val="0"/>
        <w:adjustRightInd w:val="0"/>
        <w:rPr>
          <w:rFonts w:ascii="Times New Roman" w:hAnsi="Times New Roman"/>
        </w:rPr>
      </w:pPr>
    </w:p>
    <w:p w14:paraId="7AF5180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 V prvý deň liečby levetiracetamom sa odporúča podať úvodnú dávku 750 mg.</w:t>
      </w:r>
    </w:p>
    <w:p w14:paraId="27A77C9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(2) Po dialýze sa odporúča dodatočná dávka 250 až 500 mg.</w:t>
      </w:r>
    </w:p>
    <w:p w14:paraId="5F638199" w14:textId="77777777" w:rsidR="00553706" w:rsidRPr="000C67CB" w:rsidRDefault="00553706">
      <w:pPr>
        <w:autoSpaceDE w:val="0"/>
        <w:autoSpaceDN w:val="0"/>
        <w:adjustRightInd w:val="0"/>
        <w:rPr>
          <w:rFonts w:ascii="Times New Roman" w:hAnsi="Times New Roman"/>
        </w:rPr>
      </w:pPr>
    </w:p>
    <w:p w14:paraId="076FB52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detí s poruchou funkcie obličiek je potrebné upraviť dávku levetiracetamu podľa funkcie obličiek,</w:t>
      </w:r>
    </w:p>
    <w:p w14:paraId="6384981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pretože klírens levetiracetamu závisí od funkcie obličiek. Toto odporúčanie je založené na štúdii</w:t>
      </w:r>
    </w:p>
    <w:p w14:paraId="70CA9F4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 dospelými pacientmi s poruchou funkcie obličiek.</w:t>
      </w:r>
    </w:p>
    <w:p w14:paraId="284DAEEE" w14:textId="77777777" w:rsidR="00553706" w:rsidRPr="000C67CB" w:rsidRDefault="00553706">
      <w:pPr>
        <w:autoSpaceDE w:val="0"/>
        <w:autoSpaceDN w:val="0"/>
        <w:adjustRightInd w:val="0"/>
        <w:rPr>
          <w:rFonts w:ascii="Times New Roman" w:hAnsi="Times New Roman"/>
        </w:rPr>
      </w:pPr>
    </w:p>
    <w:p w14:paraId="473C9A3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CLcr v ml/min/1,73 m² je možné odhadnúť zo stanoveného sérového kreatinínu (mg/dl) pre mladých</w:t>
      </w:r>
    </w:p>
    <w:p w14:paraId="7AF5A4F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dospievajúcich, deti a dojčatá s použitím nasledujúceho vzorca (Schwartzov vzorec):</w:t>
      </w:r>
    </w:p>
    <w:p w14:paraId="3CC7A321" w14:textId="77777777" w:rsidR="00553706" w:rsidRPr="000C67CB" w:rsidRDefault="00553706">
      <w:pPr>
        <w:autoSpaceDE w:val="0"/>
        <w:autoSpaceDN w:val="0"/>
        <w:adjustRightInd w:val="0"/>
        <w:rPr>
          <w:rFonts w:ascii="Times New Roman" w:hAnsi="Times New Roman"/>
        </w:rPr>
      </w:pPr>
    </w:p>
    <w:p w14:paraId="51C9F065" w14:textId="77777777" w:rsidR="00553706" w:rsidRPr="000C67CB" w:rsidRDefault="00553706">
      <w:pPr>
        <w:autoSpaceDE w:val="0"/>
        <w:autoSpaceDN w:val="0"/>
        <w:adjustRightInd w:val="0"/>
        <w:ind w:left="2124" w:firstLine="708"/>
        <w:rPr>
          <w:rFonts w:ascii="Times New Roman" w:hAnsi="Times New Roman"/>
        </w:rPr>
      </w:pPr>
      <w:r w:rsidRPr="000C67CB">
        <w:rPr>
          <w:rFonts w:ascii="Times New Roman" w:hAnsi="Times New Roman"/>
        </w:rPr>
        <w:t>Výška (cm) x ks</w:t>
      </w:r>
    </w:p>
    <w:p w14:paraId="4B18308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CLcr (ml/min/1,73 m2) = --------------------------------------</w:t>
      </w:r>
    </w:p>
    <w:p w14:paraId="7A098838" w14:textId="77777777" w:rsidR="00553706" w:rsidRPr="000C67CB" w:rsidRDefault="00553706">
      <w:pPr>
        <w:autoSpaceDE w:val="0"/>
        <w:autoSpaceDN w:val="0"/>
        <w:adjustRightInd w:val="0"/>
        <w:ind w:left="2124" w:firstLine="708"/>
        <w:rPr>
          <w:rFonts w:ascii="Times New Roman" w:hAnsi="Times New Roman"/>
        </w:rPr>
      </w:pPr>
      <w:r w:rsidRPr="000C67CB">
        <w:rPr>
          <w:rFonts w:ascii="Times New Roman" w:hAnsi="Times New Roman"/>
        </w:rPr>
        <w:t>Sérový kreatinín (mg/dl)</w:t>
      </w:r>
    </w:p>
    <w:p w14:paraId="5ABBD7DC" w14:textId="77777777" w:rsidR="00553706" w:rsidRPr="000C67CB" w:rsidRDefault="00553706">
      <w:pPr>
        <w:autoSpaceDE w:val="0"/>
        <w:autoSpaceDN w:val="0"/>
        <w:adjustRightInd w:val="0"/>
        <w:rPr>
          <w:rFonts w:ascii="Times New Roman" w:hAnsi="Times New Roman"/>
        </w:rPr>
      </w:pPr>
    </w:p>
    <w:p w14:paraId="7354F52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ks = 0,45 pre donosené dojčatá vo veku do 1 roka; ks = 0,55 pre deti mladšie ako 13 rokov</w:t>
      </w:r>
    </w:p>
    <w:p w14:paraId="1D4DB80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 dospievajúce dievčatá; ks = 0,7 pre dospievajúcich chlapcov</w:t>
      </w:r>
    </w:p>
    <w:p w14:paraId="4999BCE2" w14:textId="77777777" w:rsidR="00553706" w:rsidRPr="000C67CB" w:rsidRDefault="00553706">
      <w:pPr>
        <w:autoSpaceDE w:val="0"/>
        <w:autoSpaceDN w:val="0"/>
        <w:adjustRightInd w:val="0"/>
        <w:rPr>
          <w:rFonts w:ascii="Times New Roman" w:hAnsi="Times New Roman"/>
        </w:rPr>
      </w:pPr>
    </w:p>
    <w:p w14:paraId="29F009D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Úprava dávkovania pre dojčatá, deti a dospievajúcich pacientov s telesnou hmotnosťou menej ako</w:t>
      </w:r>
    </w:p>
    <w:p w14:paraId="78B71C01" w14:textId="77777777" w:rsidR="00553706" w:rsidRDefault="00553706">
      <w:pPr>
        <w:autoSpaceDE w:val="0"/>
        <w:autoSpaceDN w:val="0"/>
        <w:adjustRightInd w:val="0"/>
        <w:rPr>
          <w:rFonts w:ascii="Times New Roman" w:hAnsi="Times New Roman"/>
        </w:rPr>
      </w:pPr>
      <w:smartTag w:uri="urn:schemas-microsoft-com:office:smarttags" w:element="metricconverter">
        <w:smartTagPr>
          <w:attr w:name="ProductID" w:val="50 kg"/>
        </w:smartTagPr>
        <w:r w:rsidRPr="000C67CB">
          <w:rPr>
            <w:rFonts w:ascii="Times New Roman" w:hAnsi="Times New Roman"/>
          </w:rPr>
          <w:t>50 kg</w:t>
        </w:r>
      </w:smartTag>
      <w:r w:rsidRPr="000C67CB">
        <w:rPr>
          <w:rFonts w:ascii="Times New Roman" w:hAnsi="Times New Roman"/>
        </w:rPr>
        <w:t xml:space="preserve"> s poruchou funkcie obličiek:</w:t>
      </w:r>
    </w:p>
    <w:p w14:paraId="26EBCD00" w14:textId="77777777" w:rsidR="001F42CC" w:rsidRPr="000C67CB" w:rsidRDefault="001F42CC">
      <w:pPr>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E660E4" w:rsidRPr="00E660E4" w14:paraId="049672EA" w14:textId="77777777" w:rsidTr="009B3CB8">
        <w:tc>
          <w:tcPr>
            <w:tcW w:w="2303" w:type="dxa"/>
          </w:tcPr>
          <w:p w14:paraId="3B215754" w14:textId="77777777" w:rsidR="00553706" w:rsidRPr="000C67CB" w:rsidRDefault="00553706">
            <w:pPr>
              <w:autoSpaceDE w:val="0"/>
              <w:autoSpaceDN w:val="0"/>
              <w:adjustRightInd w:val="0"/>
              <w:jc w:val="center"/>
              <w:rPr>
                <w:rFonts w:ascii="Times New Roman" w:hAnsi="Times New Roman"/>
                <w:b/>
              </w:rPr>
            </w:pPr>
            <w:r w:rsidRPr="000C67CB">
              <w:rPr>
                <w:rFonts w:ascii="Times New Roman" w:hAnsi="Times New Roman"/>
                <w:b/>
              </w:rPr>
              <w:t>Skupina</w:t>
            </w:r>
          </w:p>
        </w:tc>
        <w:tc>
          <w:tcPr>
            <w:tcW w:w="2303" w:type="dxa"/>
          </w:tcPr>
          <w:p w14:paraId="091FF39B" w14:textId="77777777" w:rsidR="00553706" w:rsidRPr="000C67CB" w:rsidRDefault="00553706">
            <w:pPr>
              <w:autoSpaceDE w:val="0"/>
              <w:autoSpaceDN w:val="0"/>
              <w:adjustRightInd w:val="0"/>
              <w:jc w:val="center"/>
              <w:rPr>
                <w:rFonts w:ascii="Times New Roman" w:hAnsi="Times New Roman"/>
                <w:b/>
              </w:rPr>
            </w:pPr>
            <w:r w:rsidRPr="000C67CB">
              <w:rPr>
                <w:rFonts w:ascii="Times New Roman" w:hAnsi="Times New Roman"/>
                <w:b/>
              </w:rPr>
              <w:t>Klírens</w:t>
            </w:r>
          </w:p>
          <w:p w14:paraId="29D13CBA" w14:textId="77777777" w:rsidR="00553706" w:rsidRPr="000C67CB" w:rsidRDefault="00553706">
            <w:pPr>
              <w:autoSpaceDE w:val="0"/>
              <w:autoSpaceDN w:val="0"/>
              <w:adjustRightInd w:val="0"/>
              <w:jc w:val="center"/>
              <w:rPr>
                <w:rFonts w:ascii="Times New Roman" w:hAnsi="Times New Roman"/>
                <w:b/>
              </w:rPr>
            </w:pPr>
            <w:r w:rsidRPr="000C67CB">
              <w:rPr>
                <w:rFonts w:ascii="Times New Roman" w:hAnsi="Times New Roman"/>
                <w:b/>
              </w:rPr>
              <w:t>kreatinínu</w:t>
            </w:r>
          </w:p>
          <w:p w14:paraId="5B1386FB" w14:textId="77777777" w:rsidR="00553706" w:rsidRPr="000C67CB" w:rsidRDefault="00553706">
            <w:pPr>
              <w:autoSpaceDE w:val="0"/>
              <w:autoSpaceDN w:val="0"/>
              <w:adjustRightInd w:val="0"/>
              <w:jc w:val="center"/>
              <w:rPr>
                <w:rFonts w:ascii="Times New Roman" w:hAnsi="Times New Roman"/>
                <w:b/>
              </w:rPr>
            </w:pPr>
            <w:r w:rsidRPr="000C67CB">
              <w:rPr>
                <w:rFonts w:ascii="Times New Roman" w:hAnsi="Times New Roman"/>
                <w:b/>
              </w:rPr>
              <w:t>(ml/min/1,73 m</w:t>
            </w:r>
            <w:r w:rsidRPr="000C67CB">
              <w:rPr>
                <w:rFonts w:ascii="Times New Roman" w:hAnsi="Times New Roman"/>
                <w:b/>
                <w:vertAlign w:val="superscript"/>
              </w:rPr>
              <w:t>2</w:t>
            </w:r>
            <w:r w:rsidRPr="000C67CB">
              <w:rPr>
                <w:rFonts w:ascii="Times New Roman" w:hAnsi="Times New Roman"/>
                <w:b/>
              </w:rPr>
              <w:t>)</w:t>
            </w:r>
          </w:p>
          <w:p w14:paraId="172E3C1A" w14:textId="77777777" w:rsidR="00553706" w:rsidRPr="000C67CB" w:rsidRDefault="00553706">
            <w:pPr>
              <w:autoSpaceDE w:val="0"/>
              <w:autoSpaceDN w:val="0"/>
              <w:adjustRightInd w:val="0"/>
              <w:jc w:val="center"/>
              <w:rPr>
                <w:rFonts w:ascii="Times New Roman" w:hAnsi="Times New Roman"/>
                <w:b/>
              </w:rPr>
            </w:pPr>
          </w:p>
        </w:tc>
        <w:tc>
          <w:tcPr>
            <w:tcW w:w="4606" w:type="dxa"/>
            <w:gridSpan w:val="2"/>
          </w:tcPr>
          <w:p w14:paraId="63C48104" w14:textId="77777777" w:rsidR="00553706" w:rsidRPr="000C67CB" w:rsidRDefault="00553706">
            <w:pPr>
              <w:autoSpaceDE w:val="0"/>
              <w:autoSpaceDN w:val="0"/>
              <w:adjustRightInd w:val="0"/>
              <w:jc w:val="center"/>
              <w:rPr>
                <w:rFonts w:ascii="Times New Roman" w:hAnsi="Times New Roman"/>
                <w:b/>
              </w:rPr>
            </w:pPr>
            <w:r w:rsidRPr="000C67CB">
              <w:rPr>
                <w:rFonts w:ascii="Times New Roman" w:hAnsi="Times New Roman"/>
                <w:b/>
              </w:rPr>
              <w:t>Dávka a frekvencia (1)</w:t>
            </w:r>
          </w:p>
        </w:tc>
      </w:tr>
      <w:tr w:rsidR="00E660E4" w:rsidRPr="00E660E4" w14:paraId="34D76824" w14:textId="77777777" w:rsidTr="009B3CB8">
        <w:tc>
          <w:tcPr>
            <w:tcW w:w="2303" w:type="dxa"/>
          </w:tcPr>
          <w:p w14:paraId="1AC3232C" w14:textId="77777777" w:rsidR="00553706" w:rsidRPr="000C67CB" w:rsidRDefault="00553706" w:rsidP="00E660E4">
            <w:pPr>
              <w:autoSpaceDE w:val="0"/>
              <w:autoSpaceDN w:val="0"/>
              <w:adjustRightInd w:val="0"/>
              <w:rPr>
                <w:rFonts w:ascii="Times New Roman" w:hAnsi="Times New Roman"/>
              </w:rPr>
            </w:pPr>
          </w:p>
        </w:tc>
        <w:tc>
          <w:tcPr>
            <w:tcW w:w="2303" w:type="dxa"/>
          </w:tcPr>
          <w:p w14:paraId="4B29103F" w14:textId="77777777" w:rsidR="00553706" w:rsidRPr="000C67CB" w:rsidRDefault="00553706">
            <w:pPr>
              <w:autoSpaceDE w:val="0"/>
              <w:autoSpaceDN w:val="0"/>
              <w:adjustRightInd w:val="0"/>
              <w:rPr>
                <w:rFonts w:ascii="Times New Roman" w:hAnsi="Times New Roman"/>
              </w:rPr>
            </w:pPr>
          </w:p>
        </w:tc>
        <w:tc>
          <w:tcPr>
            <w:tcW w:w="2303" w:type="dxa"/>
          </w:tcPr>
          <w:p w14:paraId="016122B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Dojčatá od 1 do 6 mesiacov</w:t>
            </w:r>
          </w:p>
        </w:tc>
        <w:tc>
          <w:tcPr>
            <w:tcW w:w="2303" w:type="dxa"/>
          </w:tcPr>
          <w:p w14:paraId="067EB56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Dojčatá od 6 do</w:t>
            </w:r>
          </w:p>
          <w:p w14:paraId="46021D3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23 mesiacov, deti a</w:t>
            </w:r>
          </w:p>
          <w:p w14:paraId="5A27A26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dospievajúci s hmotnosťou</w:t>
            </w:r>
          </w:p>
          <w:p w14:paraId="3D8F093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do </w:t>
            </w:r>
            <w:smartTag w:uri="urn:schemas-microsoft-com:office:smarttags" w:element="metricconverter">
              <w:smartTagPr>
                <w:attr w:name="ProductID" w:val="50 kg"/>
              </w:smartTagPr>
              <w:r w:rsidRPr="000C67CB">
                <w:rPr>
                  <w:rFonts w:ascii="Times New Roman" w:hAnsi="Times New Roman"/>
                </w:rPr>
                <w:t>50 kg</w:t>
              </w:r>
            </w:smartTag>
          </w:p>
          <w:p w14:paraId="33613FC0" w14:textId="77777777" w:rsidR="00553706" w:rsidRPr="000C67CB" w:rsidRDefault="00553706">
            <w:pPr>
              <w:autoSpaceDE w:val="0"/>
              <w:autoSpaceDN w:val="0"/>
              <w:adjustRightInd w:val="0"/>
              <w:rPr>
                <w:rFonts w:ascii="Times New Roman" w:hAnsi="Times New Roman"/>
              </w:rPr>
            </w:pPr>
          </w:p>
        </w:tc>
      </w:tr>
      <w:tr w:rsidR="00E660E4" w:rsidRPr="00E660E4" w14:paraId="51667CD3" w14:textId="77777777" w:rsidTr="009B3CB8">
        <w:tc>
          <w:tcPr>
            <w:tcW w:w="2303" w:type="dxa"/>
          </w:tcPr>
          <w:p w14:paraId="46C2FA2E" w14:textId="77777777" w:rsidR="00553706" w:rsidRPr="000C67CB" w:rsidRDefault="00553706" w:rsidP="00E660E4">
            <w:pPr>
              <w:autoSpaceDE w:val="0"/>
              <w:autoSpaceDN w:val="0"/>
              <w:adjustRightInd w:val="0"/>
              <w:rPr>
                <w:rFonts w:ascii="Times New Roman" w:hAnsi="Times New Roman"/>
              </w:rPr>
            </w:pPr>
            <w:r w:rsidRPr="000C67CB">
              <w:rPr>
                <w:rFonts w:ascii="Times New Roman" w:hAnsi="Times New Roman"/>
              </w:rPr>
              <w:t>Normálna</w:t>
            </w:r>
          </w:p>
        </w:tc>
        <w:tc>
          <w:tcPr>
            <w:tcW w:w="2303" w:type="dxa"/>
          </w:tcPr>
          <w:p w14:paraId="41048D0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&gt; 80</w:t>
            </w:r>
          </w:p>
        </w:tc>
        <w:tc>
          <w:tcPr>
            <w:tcW w:w="2303" w:type="dxa"/>
          </w:tcPr>
          <w:p w14:paraId="66A328F9" w14:textId="3F244953"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7 až 21 mg/kg </w:t>
            </w:r>
            <w:r w:rsidR="001F42CC">
              <w:rPr>
                <w:rFonts w:ascii="Times New Roman" w:hAnsi="Times New Roman"/>
              </w:rPr>
              <w:t xml:space="preserve">(0,07 až 0,21 ml/kg) </w:t>
            </w:r>
            <w:r w:rsidRPr="000C67CB">
              <w:rPr>
                <w:rFonts w:ascii="Times New Roman" w:hAnsi="Times New Roman"/>
              </w:rPr>
              <w:t>dvakrát denne</w:t>
            </w:r>
          </w:p>
        </w:tc>
        <w:tc>
          <w:tcPr>
            <w:tcW w:w="2303" w:type="dxa"/>
          </w:tcPr>
          <w:p w14:paraId="1C67B3B9" w14:textId="4035A32A"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10 až 30 mg/kg </w:t>
            </w:r>
            <w:r w:rsidR="001F42CC">
              <w:rPr>
                <w:rFonts w:ascii="Times New Roman" w:hAnsi="Times New Roman"/>
              </w:rPr>
              <w:t xml:space="preserve">(0,10 až 0,30 ml/kg) </w:t>
            </w:r>
            <w:r w:rsidRPr="000C67CB">
              <w:rPr>
                <w:rFonts w:ascii="Times New Roman" w:hAnsi="Times New Roman"/>
              </w:rPr>
              <w:t>dvakrát denne</w:t>
            </w:r>
          </w:p>
        </w:tc>
      </w:tr>
      <w:tr w:rsidR="00E660E4" w:rsidRPr="00E660E4" w14:paraId="06D7749B" w14:textId="77777777" w:rsidTr="009B3CB8">
        <w:tc>
          <w:tcPr>
            <w:tcW w:w="2303" w:type="dxa"/>
          </w:tcPr>
          <w:p w14:paraId="63CF8277" w14:textId="77777777" w:rsidR="00553706" w:rsidRPr="000C67CB" w:rsidRDefault="00553706" w:rsidP="00E660E4">
            <w:pPr>
              <w:autoSpaceDE w:val="0"/>
              <w:autoSpaceDN w:val="0"/>
              <w:adjustRightInd w:val="0"/>
              <w:rPr>
                <w:rFonts w:ascii="Times New Roman" w:hAnsi="Times New Roman"/>
              </w:rPr>
            </w:pPr>
            <w:r w:rsidRPr="000C67CB">
              <w:rPr>
                <w:rFonts w:ascii="Times New Roman" w:hAnsi="Times New Roman"/>
              </w:rPr>
              <w:t>Mierna</w:t>
            </w:r>
          </w:p>
        </w:tc>
        <w:tc>
          <w:tcPr>
            <w:tcW w:w="2303" w:type="dxa"/>
          </w:tcPr>
          <w:p w14:paraId="2ACD0AF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50-79</w:t>
            </w:r>
          </w:p>
        </w:tc>
        <w:tc>
          <w:tcPr>
            <w:tcW w:w="2303" w:type="dxa"/>
          </w:tcPr>
          <w:p w14:paraId="17296EC2" w14:textId="7807EF56"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7 až 14 mg/kg </w:t>
            </w:r>
            <w:r w:rsidR="001F42CC">
              <w:rPr>
                <w:rFonts w:ascii="Times New Roman" w:hAnsi="Times New Roman"/>
              </w:rPr>
              <w:t>(0,07 až 0,21 ml/kg)</w:t>
            </w:r>
            <w:r w:rsidR="00210A92">
              <w:rPr>
                <w:rFonts w:ascii="Times New Roman" w:hAnsi="Times New Roman"/>
              </w:rPr>
              <w:t xml:space="preserve"> </w:t>
            </w:r>
            <w:r w:rsidRPr="000C67CB">
              <w:rPr>
                <w:rFonts w:ascii="Times New Roman" w:hAnsi="Times New Roman"/>
              </w:rPr>
              <w:t>dvakrát denne</w:t>
            </w:r>
          </w:p>
        </w:tc>
        <w:tc>
          <w:tcPr>
            <w:tcW w:w="2303" w:type="dxa"/>
          </w:tcPr>
          <w:p w14:paraId="2B8ACC97" w14:textId="4C3A8B23"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10 až 20 mg/kg </w:t>
            </w:r>
            <w:r w:rsidR="001F42CC">
              <w:rPr>
                <w:rFonts w:ascii="Times New Roman" w:hAnsi="Times New Roman"/>
              </w:rPr>
              <w:t xml:space="preserve">(0,10 až 0,20 ml/kg) </w:t>
            </w:r>
            <w:r w:rsidRPr="000C67CB">
              <w:rPr>
                <w:rFonts w:ascii="Times New Roman" w:hAnsi="Times New Roman"/>
              </w:rPr>
              <w:t>dvakrát denne</w:t>
            </w:r>
          </w:p>
        </w:tc>
      </w:tr>
      <w:tr w:rsidR="00E660E4" w:rsidRPr="00E660E4" w14:paraId="76D8455C" w14:textId="77777777" w:rsidTr="009B3CB8">
        <w:tc>
          <w:tcPr>
            <w:tcW w:w="2303" w:type="dxa"/>
          </w:tcPr>
          <w:p w14:paraId="12A1172F" w14:textId="77777777" w:rsidR="00553706" w:rsidRPr="000C67CB" w:rsidRDefault="00553706" w:rsidP="00E660E4">
            <w:pPr>
              <w:autoSpaceDE w:val="0"/>
              <w:autoSpaceDN w:val="0"/>
              <w:adjustRightInd w:val="0"/>
              <w:rPr>
                <w:rFonts w:ascii="Times New Roman" w:hAnsi="Times New Roman"/>
              </w:rPr>
            </w:pPr>
            <w:r w:rsidRPr="000C67CB">
              <w:rPr>
                <w:rFonts w:ascii="Times New Roman" w:hAnsi="Times New Roman"/>
              </w:rPr>
              <w:t>Stredne závažná</w:t>
            </w:r>
          </w:p>
        </w:tc>
        <w:tc>
          <w:tcPr>
            <w:tcW w:w="2303" w:type="dxa"/>
          </w:tcPr>
          <w:p w14:paraId="4903146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30-49</w:t>
            </w:r>
          </w:p>
        </w:tc>
        <w:tc>
          <w:tcPr>
            <w:tcW w:w="2303" w:type="dxa"/>
          </w:tcPr>
          <w:p w14:paraId="1631B0D2" w14:textId="354759E3"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3,5 až 10,5 mg/kg </w:t>
            </w:r>
            <w:r w:rsidR="001F42CC">
              <w:rPr>
                <w:rFonts w:ascii="Times New Roman" w:hAnsi="Times New Roman"/>
              </w:rPr>
              <w:t xml:space="preserve">(0,035 až 0,105 ml/kg) </w:t>
            </w:r>
            <w:r w:rsidRPr="000C67CB">
              <w:rPr>
                <w:rFonts w:ascii="Times New Roman" w:hAnsi="Times New Roman"/>
              </w:rPr>
              <w:lastRenderedPageBreak/>
              <w:t>dvakrát denne</w:t>
            </w:r>
          </w:p>
        </w:tc>
        <w:tc>
          <w:tcPr>
            <w:tcW w:w="2303" w:type="dxa"/>
          </w:tcPr>
          <w:p w14:paraId="0B592B21" w14:textId="41624390" w:rsidR="00553706" w:rsidRPr="000C67CB" w:rsidRDefault="00553706">
            <w:pPr>
              <w:autoSpaceDE w:val="0"/>
              <w:autoSpaceDN w:val="0"/>
              <w:adjustRightInd w:val="0"/>
              <w:rPr>
                <w:rFonts w:ascii="Times New Roman" w:hAnsi="Times New Roman"/>
              </w:rPr>
            </w:pPr>
            <w:r w:rsidRPr="000C67CB">
              <w:rPr>
                <w:rFonts w:ascii="Times New Roman" w:hAnsi="Times New Roman"/>
              </w:rPr>
              <w:lastRenderedPageBreak/>
              <w:t xml:space="preserve">5 až 15 mg/kg </w:t>
            </w:r>
            <w:r w:rsidR="001F42CC">
              <w:rPr>
                <w:rFonts w:ascii="Times New Roman" w:hAnsi="Times New Roman"/>
              </w:rPr>
              <w:t xml:space="preserve">(0,05 až 0,15 ml/kg) </w:t>
            </w:r>
            <w:r w:rsidRPr="000C67CB">
              <w:rPr>
                <w:rFonts w:ascii="Times New Roman" w:hAnsi="Times New Roman"/>
              </w:rPr>
              <w:t xml:space="preserve">dvakrát </w:t>
            </w:r>
            <w:r w:rsidRPr="000C67CB">
              <w:rPr>
                <w:rFonts w:ascii="Times New Roman" w:hAnsi="Times New Roman"/>
              </w:rPr>
              <w:lastRenderedPageBreak/>
              <w:t>denne</w:t>
            </w:r>
          </w:p>
        </w:tc>
      </w:tr>
      <w:tr w:rsidR="00E660E4" w:rsidRPr="00E660E4" w14:paraId="61207E74" w14:textId="77777777" w:rsidTr="009B3CB8">
        <w:tc>
          <w:tcPr>
            <w:tcW w:w="2303" w:type="dxa"/>
          </w:tcPr>
          <w:p w14:paraId="61E9D959" w14:textId="77777777" w:rsidR="00553706" w:rsidRPr="000C67CB" w:rsidRDefault="00553706" w:rsidP="00E660E4">
            <w:pPr>
              <w:autoSpaceDE w:val="0"/>
              <w:autoSpaceDN w:val="0"/>
              <w:adjustRightInd w:val="0"/>
              <w:rPr>
                <w:rFonts w:ascii="Times New Roman" w:hAnsi="Times New Roman"/>
              </w:rPr>
            </w:pPr>
            <w:r w:rsidRPr="000C67CB">
              <w:rPr>
                <w:rFonts w:ascii="Times New Roman" w:hAnsi="Times New Roman"/>
              </w:rPr>
              <w:lastRenderedPageBreak/>
              <w:t>Závažná</w:t>
            </w:r>
          </w:p>
        </w:tc>
        <w:tc>
          <w:tcPr>
            <w:tcW w:w="2303" w:type="dxa"/>
          </w:tcPr>
          <w:p w14:paraId="6344202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&lt; 30</w:t>
            </w:r>
          </w:p>
        </w:tc>
        <w:tc>
          <w:tcPr>
            <w:tcW w:w="2303" w:type="dxa"/>
          </w:tcPr>
          <w:p w14:paraId="47920C19" w14:textId="6375A429"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3,5 až 7 mg/kg </w:t>
            </w:r>
            <w:r w:rsidR="001F42CC">
              <w:rPr>
                <w:rFonts w:ascii="Times New Roman" w:hAnsi="Times New Roman"/>
              </w:rPr>
              <w:t>(0,035 až 0,07 ml/kg)</w:t>
            </w:r>
            <w:r w:rsidR="00210A92">
              <w:rPr>
                <w:rFonts w:ascii="Times New Roman" w:hAnsi="Times New Roman"/>
              </w:rPr>
              <w:t xml:space="preserve"> </w:t>
            </w:r>
            <w:r w:rsidRPr="000C67CB">
              <w:rPr>
                <w:rFonts w:ascii="Times New Roman" w:hAnsi="Times New Roman"/>
              </w:rPr>
              <w:t>dvakrát denne</w:t>
            </w:r>
          </w:p>
        </w:tc>
        <w:tc>
          <w:tcPr>
            <w:tcW w:w="2303" w:type="dxa"/>
          </w:tcPr>
          <w:p w14:paraId="48E7010F" w14:textId="3327A4B8"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5 až 10 mg/kg </w:t>
            </w:r>
            <w:r w:rsidR="001F42CC">
              <w:rPr>
                <w:rFonts w:ascii="Times New Roman" w:hAnsi="Times New Roman"/>
              </w:rPr>
              <w:t>(0,05 až 0,10 ml/kg)</w:t>
            </w:r>
            <w:r w:rsidR="00210A92">
              <w:rPr>
                <w:rFonts w:ascii="Times New Roman" w:hAnsi="Times New Roman"/>
              </w:rPr>
              <w:t xml:space="preserve"> </w:t>
            </w:r>
            <w:r w:rsidRPr="000C67CB">
              <w:rPr>
                <w:rFonts w:ascii="Times New Roman" w:hAnsi="Times New Roman"/>
              </w:rPr>
              <w:t>dvakrát denne</w:t>
            </w:r>
          </w:p>
        </w:tc>
      </w:tr>
      <w:tr w:rsidR="00E660E4" w:rsidRPr="00E660E4" w14:paraId="7AD3188C" w14:textId="77777777" w:rsidTr="009B3CB8">
        <w:tc>
          <w:tcPr>
            <w:tcW w:w="2303" w:type="dxa"/>
          </w:tcPr>
          <w:p w14:paraId="36A01876" w14:textId="77777777" w:rsidR="00553706" w:rsidRPr="000C67CB" w:rsidRDefault="00553706" w:rsidP="00E660E4">
            <w:pPr>
              <w:autoSpaceDE w:val="0"/>
              <w:autoSpaceDN w:val="0"/>
              <w:adjustRightInd w:val="0"/>
              <w:rPr>
                <w:rFonts w:ascii="Times New Roman" w:hAnsi="Times New Roman"/>
              </w:rPr>
            </w:pPr>
            <w:r w:rsidRPr="000C67CB">
              <w:rPr>
                <w:rFonts w:ascii="Times New Roman" w:hAnsi="Times New Roman"/>
              </w:rPr>
              <w:t>Dialyzovaní pacienti</w:t>
            </w:r>
          </w:p>
          <w:p w14:paraId="36D7250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terminálnom štádiu</w:t>
            </w:r>
          </w:p>
          <w:p w14:paraId="76B5812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zlyhania obličiek</w:t>
            </w:r>
          </w:p>
          <w:p w14:paraId="2C285A55" w14:textId="77777777" w:rsidR="00553706" w:rsidRPr="000C67CB" w:rsidRDefault="00553706">
            <w:pPr>
              <w:autoSpaceDE w:val="0"/>
              <w:autoSpaceDN w:val="0"/>
              <w:adjustRightInd w:val="0"/>
              <w:rPr>
                <w:rFonts w:ascii="Times New Roman" w:hAnsi="Times New Roman"/>
              </w:rPr>
            </w:pPr>
          </w:p>
        </w:tc>
        <w:tc>
          <w:tcPr>
            <w:tcW w:w="2303" w:type="dxa"/>
          </w:tcPr>
          <w:p w14:paraId="231E4C5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w:t>
            </w:r>
          </w:p>
        </w:tc>
        <w:tc>
          <w:tcPr>
            <w:tcW w:w="2303" w:type="dxa"/>
          </w:tcPr>
          <w:p w14:paraId="4AC75818" w14:textId="233282E6"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7 až 14 mg/kg </w:t>
            </w:r>
            <w:r w:rsidR="001F42CC">
              <w:rPr>
                <w:rFonts w:ascii="Times New Roman" w:hAnsi="Times New Roman"/>
              </w:rPr>
              <w:t xml:space="preserve">(0,07 až 0,14 ml/kg) </w:t>
            </w:r>
            <w:r w:rsidRPr="000C67CB">
              <w:rPr>
                <w:rFonts w:ascii="Times New Roman" w:hAnsi="Times New Roman"/>
              </w:rPr>
              <w:t>jedenkrát denne</w:t>
            </w:r>
            <w:r w:rsidR="001F42CC">
              <w:rPr>
                <w:rFonts w:ascii="Times New Roman" w:hAnsi="Times New Roman"/>
              </w:rPr>
              <w:t xml:space="preserve"> </w:t>
            </w:r>
            <w:r w:rsidRPr="00476851">
              <w:rPr>
                <w:rFonts w:ascii="Times New Roman" w:hAnsi="Times New Roman"/>
                <w:vertAlign w:val="superscript"/>
              </w:rPr>
              <w:t>(2) (4)</w:t>
            </w:r>
          </w:p>
          <w:p w14:paraId="5C8B70ED" w14:textId="77777777" w:rsidR="00553706" w:rsidRPr="000C67CB" w:rsidRDefault="00553706">
            <w:pPr>
              <w:autoSpaceDE w:val="0"/>
              <w:autoSpaceDN w:val="0"/>
              <w:adjustRightInd w:val="0"/>
              <w:rPr>
                <w:rFonts w:ascii="Times New Roman" w:hAnsi="Times New Roman"/>
              </w:rPr>
            </w:pPr>
          </w:p>
        </w:tc>
        <w:tc>
          <w:tcPr>
            <w:tcW w:w="2303" w:type="dxa"/>
          </w:tcPr>
          <w:p w14:paraId="5608F2DB" w14:textId="55240813"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10 až 20 mg/kg </w:t>
            </w:r>
            <w:r w:rsidR="001F42CC">
              <w:rPr>
                <w:rFonts w:ascii="Times New Roman" w:hAnsi="Times New Roman"/>
              </w:rPr>
              <w:t xml:space="preserve">(0,10 až 0,20 ml/kg) </w:t>
            </w:r>
            <w:r w:rsidRPr="000C67CB">
              <w:rPr>
                <w:rFonts w:ascii="Times New Roman" w:hAnsi="Times New Roman"/>
              </w:rPr>
              <w:t>jedenkrát denne</w:t>
            </w:r>
            <w:r w:rsidR="001F42CC">
              <w:rPr>
                <w:rFonts w:ascii="Times New Roman" w:hAnsi="Times New Roman"/>
              </w:rPr>
              <w:t xml:space="preserve"> </w:t>
            </w:r>
            <w:r w:rsidRPr="001F42CC">
              <w:rPr>
                <w:rFonts w:ascii="Times New Roman" w:hAnsi="Times New Roman"/>
                <w:vertAlign w:val="superscript"/>
              </w:rPr>
              <w:t>(3) (5)</w:t>
            </w:r>
          </w:p>
          <w:p w14:paraId="3059A9C8" w14:textId="77777777" w:rsidR="00553706" w:rsidRPr="000C67CB" w:rsidRDefault="00553706">
            <w:pPr>
              <w:autoSpaceDE w:val="0"/>
              <w:autoSpaceDN w:val="0"/>
              <w:adjustRightInd w:val="0"/>
              <w:rPr>
                <w:rFonts w:ascii="Times New Roman" w:hAnsi="Times New Roman"/>
              </w:rPr>
            </w:pPr>
          </w:p>
        </w:tc>
      </w:tr>
    </w:tbl>
    <w:p w14:paraId="0F61AA39" w14:textId="77777777" w:rsidR="00553706" w:rsidRPr="00476851" w:rsidRDefault="00553706" w:rsidP="00E660E4">
      <w:pPr>
        <w:autoSpaceDE w:val="0"/>
        <w:autoSpaceDN w:val="0"/>
        <w:adjustRightInd w:val="0"/>
        <w:rPr>
          <w:rFonts w:ascii="Times New Roman" w:hAnsi="Times New Roman"/>
          <w:sz w:val="20"/>
          <w:szCs w:val="20"/>
        </w:rPr>
      </w:pPr>
    </w:p>
    <w:p w14:paraId="30CC0DD2" w14:textId="77777777" w:rsidR="00553706" w:rsidRPr="00476851" w:rsidRDefault="00553706">
      <w:pPr>
        <w:autoSpaceDE w:val="0"/>
        <w:autoSpaceDN w:val="0"/>
        <w:adjustRightInd w:val="0"/>
        <w:ind w:left="426" w:hanging="426"/>
        <w:rPr>
          <w:rFonts w:ascii="Times New Roman" w:hAnsi="Times New Roman"/>
          <w:sz w:val="20"/>
          <w:szCs w:val="20"/>
        </w:rPr>
      </w:pPr>
      <w:r w:rsidRPr="00476851">
        <w:rPr>
          <w:rFonts w:ascii="Times New Roman" w:hAnsi="Times New Roman"/>
          <w:sz w:val="20"/>
          <w:szCs w:val="20"/>
        </w:rPr>
        <w:t xml:space="preserve"> (1) Levetiracetam perorálny roztok sa má používať pre dávky nižšie ako </w:t>
      </w:r>
      <w:r w:rsidR="006E3934" w:rsidRPr="00476851">
        <w:rPr>
          <w:rFonts w:ascii="Times New Roman" w:hAnsi="Times New Roman"/>
          <w:sz w:val="20"/>
          <w:szCs w:val="20"/>
        </w:rPr>
        <w:t>1</w:t>
      </w:r>
      <w:r w:rsidRPr="00476851">
        <w:rPr>
          <w:rFonts w:ascii="Times New Roman" w:hAnsi="Times New Roman"/>
          <w:sz w:val="20"/>
          <w:szCs w:val="20"/>
        </w:rPr>
        <w:t>25 mg</w:t>
      </w:r>
      <w:r w:rsidR="006E3934" w:rsidRPr="00476851">
        <w:rPr>
          <w:rFonts w:ascii="Times New Roman" w:hAnsi="Times New Roman"/>
          <w:sz w:val="20"/>
          <w:szCs w:val="20"/>
        </w:rPr>
        <w:t>,</w:t>
      </w:r>
      <w:r w:rsidRPr="00476851">
        <w:rPr>
          <w:rFonts w:ascii="Times New Roman" w:hAnsi="Times New Roman"/>
          <w:sz w:val="20"/>
          <w:szCs w:val="20"/>
        </w:rPr>
        <w:t xml:space="preserve"> </w:t>
      </w:r>
      <w:r w:rsidR="006E3934" w:rsidRPr="00476851">
        <w:rPr>
          <w:rFonts w:ascii="Times New Roman" w:eastAsia="TimesNewRomanPSMT" w:hAnsi="Times New Roman"/>
          <w:sz w:val="20"/>
          <w:szCs w:val="20"/>
          <w:lang w:eastAsia="sk-SK"/>
        </w:rPr>
        <w:t xml:space="preserve">pre dávky, ktoré nie sú násobkom 125 mg, keď odporúčané dávkovanie nie je možné dosiahnuť podaním viacerých tabliet </w:t>
      </w:r>
      <w:r w:rsidRPr="00476851">
        <w:rPr>
          <w:rFonts w:ascii="Times New Roman" w:hAnsi="Times New Roman"/>
          <w:sz w:val="20"/>
          <w:szCs w:val="20"/>
        </w:rPr>
        <w:t>a pre pacientov, ktorí nie sú schopní prehĺtať tablety.</w:t>
      </w:r>
    </w:p>
    <w:p w14:paraId="1F3B0536" w14:textId="77777777" w:rsidR="00553706" w:rsidRPr="00476851" w:rsidRDefault="00553706">
      <w:pPr>
        <w:autoSpaceDE w:val="0"/>
        <w:autoSpaceDN w:val="0"/>
        <w:adjustRightInd w:val="0"/>
        <w:rPr>
          <w:rFonts w:ascii="Times New Roman" w:hAnsi="Times New Roman"/>
          <w:sz w:val="20"/>
          <w:szCs w:val="20"/>
        </w:rPr>
      </w:pPr>
      <w:r w:rsidRPr="00476851">
        <w:rPr>
          <w:rFonts w:ascii="Times New Roman" w:hAnsi="Times New Roman"/>
          <w:sz w:val="20"/>
          <w:szCs w:val="20"/>
        </w:rPr>
        <w:t>(2) V prvý deň liečby levetiracetamom sa odporúča úvodná dávka 10,5 mg/kg (0,105 ml/kg).</w:t>
      </w:r>
    </w:p>
    <w:p w14:paraId="3643ACE1" w14:textId="77777777" w:rsidR="00553706" w:rsidRPr="00476851" w:rsidRDefault="00553706">
      <w:pPr>
        <w:autoSpaceDE w:val="0"/>
        <w:autoSpaceDN w:val="0"/>
        <w:adjustRightInd w:val="0"/>
        <w:rPr>
          <w:rFonts w:ascii="Times New Roman" w:hAnsi="Times New Roman"/>
          <w:sz w:val="20"/>
          <w:szCs w:val="20"/>
        </w:rPr>
      </w:pPr>
      <w:r w:rsidRPr="00476851">
        <w:rPr>
          <w:rFonts w:ascii="Times New Roman" w:hAnsi="Times New Roman"/>
          <w:sz w:val="20"/>
          <w:szCs w:val="20"/>
        </w:rPr>
        <w:t>(3) V prvý deň liečby levetiracetamom sa odporúča úvodná dávka 15 mg/kg (0,15 ml/kg).</w:t>
      </w:r>
    </w:p>
    <w:p w14:paraId="5D4BF96C" w14:textId="77777777" w:rsidR="00553706" w:rsidRPr="00476851" w:rsidRDefault="00553706">
      <w:pPr>
        <w:autoSpaceDE w:val="0"/>
        <w:autoSpaceDN w:val="0"/>
        <w:adjustRightInd w:val="0"/>
        <w:rPr>
          <w:rFonts w:ascii="Times New Roman" w:hAnsi="Times New Roman"/>
          <w:sz w:val="20"/>
          <w:szCs w:val="20"/>
        </w:rPr>
      </w:pPr>
      <w:r w:rsidRPr="00476851">
        <w:rPr>
          <w:rFonts w:ascii="Times New Roman" w:hAnsi="Times New Roman"/>
          <w:sz w:val="20"/>
          <w:szCs w:val="20"/>
        </w:rPr>
        <w:t>(4) Po dialýze sa odporúča dodatočná dávka 3,5 až 7 mg/kg (0,035 až 0,07 ml/kg).</w:t>
      </w:r>
    </w:p>
    <w:p w14:paraId="46AC7B3A" w14:textId="77777777" w:rsidR="00553706" w:rsidRPr="00476851" w:rsidRDefault="00553706">
      <w:pPr>
        <w:autoSpaceDE w:val="0"/>
        <w:autoSpaceDN w:val="0"/>
        <w:adjustRightInd w:val="0"/>
        <w:rPr>
          <w:rFonts w:ascii="Times New Roman" w:hAnsi="Times New Roman"/>
          <w:sz w:val="20"/>
          <w:szCs w:val="20"/>
        </w:rPr>
      </w:pPr>
      <w:r w:rsidRPr="00476851">
        <w:rPr>
          <w:rFonts w:ascii="Times New Roman" w:hAnsi="Times New Roman"/>
          <w:sz w:val="20"/>
          <w:szCs w:val="20"/>
        </w:rPr>
        <w:t>(5) Po dialýze sa odporúča dodatočná dávka 5 až 10 mg/kg (0,05 až 0,1 ml/kg).</w:t>
      </w:r>
    </w:p>
    <w:p w14:paraId="6200357D" w14:textId="77777777" w:rsidR="00553706" w:rsidRPr="000C67CB" w:rsidRDefault="00553706">
      <w:pPr>
        <w:autoSpaceDE w:val="0"/>
        <w:autoSpaceDN w:val="0"/>
        <w:adjustRightInd w:val="0"/>
        <w:rPr>
          <w:rFonts w:ascii="Times New Roman" w:hAnsi="Times New Roman"/>
        </w:rPr>
      </w:pPr>
    </w:p>
    <w:p w14:paraId="3D10D8F2"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Porucha funkcie pe</w:t>
      </w:r>
      <w:r w:rsidRPr="000C67CB">
        <w:rPr>
          <w:rFonts w:ascii="Times New Roman" w:eastAsia="TimesNewRomanPS-ItalicMT" w:hAnsi="Times New Roman"/>
          <w:i/>
          <w:iCs/>
        </w:rPr>
        <w:t>č</w:t>
      </w:r>
      <w:r w:rsidRPr="000C67CB">
        <w:rPr>
          <w:rFonts w:ascii="Times New Roman" w:hAnsi="Times New Roman"/>
          <w:i/>
          <w:iCs/>
        </w:rPr>
        <w:t>ene</w:t>
      </w:r>
    </w:p>
    <w:p w14:paraId="4A5FA244" w14:textId="77777777" w:rsidR="00553706" w:rsidRPr="000C67CB" w:rsidRDefault="00553706">
      <w:pPr>
        <w:autoSpaceDE w:val="0"/>
        <w:autoSpaceDN w:val="0"/>
        <w:adjustRightInd w:val="0"/>
        <w:rPr>
          <w:rFonts w:ascii="Times New Roman" w:hAnsi="Times New Roman"/>
        </w:rPr>
      </w:pPr>
    </w:p>
    <w:p w14:paraId="51E0E93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pacientov s miernou až stredne závažnou poruchou funkcie pečene nie je potrebná žiadna úprava</w:t>
      </w:r>
    </w:p>
    <w:p w14:paraId="3C5EB22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dávky. U pacientov so závažnou poruchou funkcie pečene môže klírens kreatinínu podhodnocovať</w:t>
      </w:r>
    </w:p>
    <w:p w14:paraId="17E5423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insuficienciu obličiek. </w:t>
      </w:r>
    </w:p>
    <w:p w14:paraId="512AB6E3" w14:textId="77777777" w:rsidR="00553706" w:rsidRPr="000C67CB" w:rsidRDefault="00553706">
      <w:pPr>
        <w:autoSpaceDE w:val="0"/>
        <w:autoSpaceDN w:val="0"/>
        <w:adjustRightInd w:val="0"/>
        <w:rPr>
          <w:rFonts w:ascii="Times New Roman" w:hAnsi="Times New Roman"/>
        </w:rPr>
      </w:pPr>
    </w:p>
    <w:p w14:paraId="6EB6FA0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Preto sa pri klírense kreatinínu &lt; 60 ml/min/1,73 m</w:t>
      </w:r>
      <w:r w:rsidRPr="000C67CB">
        <w:rPr>
          <w:rFonts w:ascii="Times New Roman" w:hAnsi="Times New Roman"/>
          <w:vertAlign w:val="superscript"/>
        </w:rPr>
        <w:t>2</w:t>
      </w:r>
      <w:r w:rsidRPr="000C67CB">
        <w:rPr>
          <w:rFonts w:ascii="Times New Roman" w:hAnsi="Times New Roman"/>
        </w:rPr>
        <w:t xml:space="preserve"> odporúča znížiť dennú udržiavaciu dávku o 50 %.</w:t>
      </w:r>
    </w:p>
    <w:p w14:paraId="7CA3D1E2" w14:textId="77777777" w:rsidR="00553706" w:rsidRPr="000C67CB" w:rsidRDefault="00553706">
      <w:pPr>
        <w:autoSpaceDE w:val="0"/>
        <w:autoSpaceDN w:val="0"/>
        <w:adjustRightInd w:val="0"/>
        <w:rPr>
          <w:rFonts w:ascii="Times New Roman" w:hAnsi="Times New Roman"/>
        </w:rPr>
      </w:pPr>
    </w:p>
    <w:p w14:paraId="33B7D366" w14:textId="77777777" w:rsidR="00553706" w:rsidRPr="000C67CB" w:rsidRDefault="009C75F7">
      <w:pPr>
        <w:autoSpaceDE w:val="0"/>
        <w:autoSpaceDN w:val="0"/>
        <w:adjustRightInd w:val="0"/>
        <w:rPr>
          <w:rFonts w:ascii="Times New Roman" w:hAnsi="Times New Roman"/>
        </w:rPr>
      </w:pPr>
      <w:r w:rsidRPr="000C67CB">
        <w:rPr>
          <w:rFonts w:ascii="Times New Roman" w:hAnsi="Times New Roman"/>
          <w:u w:val="single"/>
        </w:rPr>
        <w:t>Pediatrická populácia</w:t>
      </w:r>
    </w:p>
    <w:p w14:paraId="2E35B31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Lekár má predpísať najvhodnejšiu liekovú formu, balenie a silu podľa veku, hmotnosti a dávky.</w:t>
      </w:r>
    </w:p>
    <w:p w14:paraId="5D254F2D" w14:textId="77777777" w:rsidR="00553706" w:rsidRPr="000C67CB" w:rsidRDefault="00553706">
      <w:pPr>
        <w:autoSpaceDE w:val="0"/>
        <w:autoSpaceDN w:val="0"/>
        <w:adjustRightInd w:val="0"/>
        <w:rPr>
          <w:rFonts w:ascii="Times New Roman" w:hAnsi="Times New Roman"/>
        </w:rPr>
      </w:pPr>
    </w:p>
    <w:p w14:paraId="7B5B63E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Lieková forma tablety nie je prispôsobená na používanie u dojčiat a detí vo veku do 6 rokov. Levetiracetam perorálny roztok je uprednostňovaná lieková forma na používanie u tejto populácie. Okrem toho dostupné sily tabliet nie sú vhodné na začiatok liečby u detí s telesnou hmotnosťou menej ako </w:t>
      </w:r>
      <w:smartTag w:uri="urn:schemas-microsoft-com:office:smarttags" w:element="metricconverter">
        <w:smartTagPr>
          <w:attr w:name="ProductID" w:val="25 kg"/>
        </w:smartTagPr>
        <w:r w:rsidRPr="000C67CB">
          <w:rPr>
            <w:rFonts w:ascii="Times New Roman" w:hAnsi="Times New Roman"/>
          </w:rPr>
          <w:t>25 kg</w:t>
        </w:r>
      </w:smartTag>
      <w:r w:rsidRPr="000C67CB">
        <w:rPr>
          <w:rFonts w:ascii="Times New Roman" w:hAnsi="Times New Roman"/>
        </w:rPr>
        <w:t>, pre pacientov, ktorí nie sú schopní prehĺtať tablety alebo pre podávanie dávok nižších ako 250 mg. Vo všetkých vyššie uvedených prípadoch sa má použiť perorálny roztok.</w:t>
      </w:r>
    </w:p>
    <w:p w14:paraId="7C14D76E" w14:textId="77777777" w:rsidR="00553706" w:rsidRPr="000C67CB" w:rsidRDefault="00553706">
      <w:pPr>
        <w:autoSpaceDE w:val="0"/>
        <w:autoSpaceDN w:val="0"/>
        <w:adjustRightInd w:val="0"/>
        <w:rPr>
          <w:rFonts w:ascii="Times New Roman" w:hAnsi="Times New Roman"/>
          <w:i/>
          <w:iCs/>
        </w:rPr>
      </w:pPr>
    </w:p>
    <w:p w14:paraId="4699857B"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Monoterapia</w:t>
      </w:r>
    </w:p>
    <w:p w14:paraId="0AA29687" w14:textId="77777777" w:rsidR="00553706" w:rsidRPr="000C67CB" w:rsidRDefault="00553706">
      <w:pPr>
        <w:autoSpaceDE w:val="0"/>
        <w:autoSpaceDN w:val="0"/>
        <w:adjustRightInd w:val="0"/>
        <w:rPr>
          <w:rFonts w:ascii="Times New Roman" w:hAnsi="Times New Roman"/>
        </w:rPr>
      </w:pPr>
    </w:p>
    <w:p w14:paraId="1A75808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Bezpečnosť a účinnosť levetiracetamu u detí a dospievajúcich vo veku do 16 rokov ako monoterapie neboli stanovené.</w:t>
      </w:r>
    </w:p>
    <w:p w14:paraId="28D0797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 dispozícii nie sú žiadne údaje.</w:t>
      </w:r>
    </w:p>
    <w:p w14:paraId="60D0631B" w14:textId="77777777" w:rsidR="00553706" w:rsidRPr="000C67CB" w:rsidRDefault="00553706">
      <w:pPr>
        <w:autoSpaceDE w:val="0"/>
        <w:autoSpaceDN w:val="0"/>
        <w:adjustRightInd w:val="0"/>
        <w:rPr>
          <w:rFonts w:ascii="Times New Roman" w:hAnsi="Times New Roman"/>
        </w:rPr>
      </w:pPr>
    </w:p>
    <w:p w14:paraId="2DBC09CE" w14:textId="63E5B70B"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Prídavná lie</w:t>
      </w:r>
      <w:r w:rsidRPr="000C67CB">
        <w:rPr>
          <w:rFonts w:ascii="Times New Roman" w:eastAsia="TimesNewRomanPS-ItalicMT" w:hAnsi="Times New Roman"/>
          <w:i/>
          <w:iCs/>
        </w:rPr>
        <w:t>č</w:t>
      </w:r>
      <w:r w:rsidRPr="000C67CB">
        <w:rPr>
          <w:rFonts w:ascii="Times New Roman" w:hAnsi="Times New Roman"/>
          <w:i/>
          <w:iCs/>
        </w:rPr>
        <w:t>ba pre doj</w:t>
      </w:r>
      <w:r w:rsidRPr="000C67CB">
        <w:rPr>
          <w:rFonts w:ascii="Times New Roman" w:eastAsia="TimesNewRomanPS-ItalicMT" w:hAnsi="Times New Roman"/>
          <w:i/>
          <w:iCs/>
        </w:rPr>
        <w:t>č</w:t>
      </w:r>
      <w:r w:rsidRPr="000C67CB">
        <w:rPr>
          <w:rFonts w:ascii="Times New Roman" w:hAnsi="Times New Roman"/>
          <w:i/>
          <w:iCs/>
        </w:rPr>
        <w:t xml:space="preserve">atá vo veku </w:t>
      </w:r>
      <w:r w:rsidR="0055326E">
        <w:rPr>
          <w:rFonts w:ascii="Times New Roman" w:hAnsi="Times New Roman"/>
          <w:i/>
          <w:iCs/>
        </w:rPr>
        <w:t xml:space="preserve">od </w:t>
      </w:r>
      <w:r w:rsidRPr="000C67CB">
        <w:rPr>
          <w:rFonts w:ascii="Times New Roman" w:hAnsi="Times New Roman"/>
          <w:i/>
          <w:iCs/>
        </w:rPr>
        <w:t xml:space="preserve">6 </w:t>
      </w:r>
      <w:r w:rsidR="0055326E">
        <w:rPr>
          <w:rFonts w:ascii="Times New Roman" w:hAnsi="Times New Roman"/>
          <w:i/>
          <w:iCs/>
        </w:rPr>
        <w:t>do</w:t>
      </w:r>
      <w:r w:rsidRPr="000C67CB">
        <w:rPr>
          <w:rFonts w:ascii="Times New Roman" w:hAnsi="Times New Roman"/>
          <w:i/>
          <w:iCs/>
        </w:rPr>
        <w:t xml:space="preserve"> 23 mesiacov, deti (2 až 11 rokov) a dospievajúcich (12 až 17rokov) s hmotnos</w:t>
      </w:r>
      <w:r w:rsidRPr="000C67CB">
        <w:rPr>
          <w:rFonts w:ascii="Times New Roman" w:eastAsia="TimesNewRomanPS-ItalicMT" w:hAnsi="Times New Roman"/>
          <w:i/>
          <w:iCs/>
        </w:rPr>
        <w:t>ť</w:t>
      </w:r>
      <w:r w:rsidRPr="000C67CB">
        <w:rPr>
          <w:rFonts w:ascii="Times New Roman" w:hAnsi="Times New Roman"/>
          <w:i/>
          <w:iCs/>
        </w:rPr>
        <w:t xml:space="preserve">ou nižšou ako </w:t>
      </w:r>
      <w:smartTag w:uri="urn:schemas-microsoft-com:office:smarttags" w:element="metricconverter">
        <w:smartTagPr>
          <w:attr w:name="ProductID" w:val="50 kg"/>
        </w:smartTagPr>
        <w:r w:rsidRPr="000C67CB">
          <w:rPr>
            <w:rFonts w:ascii="Times New Roman" w:hAnsi="Times New Roman"/>
            <w:i/>
            <w:iCs/>
          </w:rPr>
          <w:t>50 kg</w:t>
        </w:r>
      </w:smartTag>
    </w:p>
    <w:p w14:paraId="21D0E028" w14:textId="77777777" w:rsidR="00553706" w:rsidRPr="000C67CB" w:rsidRDefault="00553706">
      <w:pPr>
        <w:autoSpaceDE w:val="0"/>
        <w:autoSpaceDN w:val="0"/>
        <w:adjustRightInd w:val="0"/>
        <w:rPr>
          <w:rFonts w:ascii="Times New Roman" w:hAnsi="Times New Roman"/>
        </w:rPr>
      </w:pPr>
    </w:p>
    <w:p w14:paraId="65341A79" w14:textId="7EABFE94"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perorálny roztok je uprednostňovaná lieková forma pre používanie u dojčiat a detí vo</w:t>
      </w:r>
      <w:r w:rsidR="00210A92">
        <w:rPr>
          <w:rFonts w:ascii="Times New Roman" w:hAnsi="Times New Roman"/>
        </w:rPr>
        <w:t> </w:t>
      </w:r>
      <w:r w:rsidRPr="000C67CB">
        <w:rPr>
          <w:rFonts w:ascii="Times New Roman" w:hAnsi="Times New Roman"/>
        </w:rPr>
        <w:t>veku do</w:t>
      </w:r>
      <w:r w:rsidR="00010619" w:rsidRPr="000C67CB">
        <w:rPr>
          <w:rFonts w:ascii="Times New Roman" w:hAnsi="Times New Roman"/>
        </w:rPr>
        <w:t xml:space="preserve"> </w:t>
      </w:r>
      <w:r w:rsidRPr="000C67CB">
        <w:rPr>
          <w:rFonts w:ascii="Times New Roman" w:hAnsi="Times New Roman"/>
        </w:rPr>
        <w:t>6 rokov.</w:t>
      </w:r>
    </w:p>
    <w:p w14:paraId="1AE879CA" w14:textId="77777777" w:rsidR="006E3934" w:rsidRPr="000C67CB" w:rsidRDefault="006E3934">
      <w:pPr>
        <w:autoSpaceDE w:val="0"/>
        <w:autoSpaceDN w:val="0"/>
        <w:adjustRightInd w:val="0"/>
        <w:rPr>
          <w:rFonts w:ascii="Times New Roman" w:hAnsi="Times New Roman"/>
        </w:rPr>
      </w:pPr>
    </w:p>
    <w:p w14:paraId="6394E816" w14:textId="77777777" w:rsidR="006E3934" w:rsidRPr="000C67CB" w:rsidRDefault="006E3934">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Perorálny roztok sa má u detí vo veku od 6 rokov použiť pre dávky nižšie ako 125 mg, pre</w:t>
      </w:r>
    </w:p>
    <w:p w14:paraId="62988C8D" w14:textId="77777777" w:rsidR="006E3934" w:rsidRPr="000C67CB" w:rsidRDefault="006E3934">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dávky, ktoré nie sú násobkom 125 mg, keď odporúčané dávkovanie nie je možné dosiahnuť podaním</w:t>
      </w:r>
    </w:p>
    <w:p w14:paraId="1154E108" w14:textId="77777777" w:rsidR="006E3934" w:rsidRPr="000C67CB" w:rsidRDefault="006E3934">
      <w:pPr>
        <w:autoSpaceDE w:val="0"/>
        <w:autoSpaceDN w:val="0"/>
        <w:adjustRightInd w:val="0"/>
        <w:rPr>
          <w:rFonts w:ascii="Times New Roman" w:hAnsi="Times New Roman"/>
        </w:rPr>
      </w:pPr>
      <w:r w:rsidRPr="000C67CB">
        <w:rPr>
          <w:rFonts w:ascii="Times New Roman" w:eastAsia="TimesNewRomanPSMT" w:hAnsi="Times New Roman"/>
          <w:lang w:eastAsia="sk-SK"/>
        </w:rPr>
        <w:t>viacerých tabliet a u pacientov, ktorí nie sú schopní prehĺtať tablety.</w:t>
      </w:r>
    </w:p>
    <w:p w14:paraId="0049A14A" w14:textId="77777777" w:rsidR="00553706" w:rsidRPr="000C67CB" w:rsidRDefault="00553706">
      <w:pPr>
        <w:autoSpaceDE w:val="0"/>
        <w:autoSpaceDN w:val="0"/>
        <w:adjustRightInd w:val="0"/>
        <w:rPr>
          <w:rFonts w:ascii="Times New Roman" w:hAnsi="Times New Roman"/>
        </w:rPr>
      </w:pPr>
    </w:p>
    <w:p w14:paraId="37930454" w14:textId="56D3F96F" w:rsidR="0055326E" w:rsidRPr="0055326E" w:rsidRDefault="00553706" w:rsidP="0055326E">
      <w:pPr>
        <w:autoSpaceDE w:val="0"/>
        <w:autoSpaceDN w:val="0"/>
        <w:adjustRightInd w:val="0"/>
        <w:rPr>
          <w:rFonts w:ascii="Times New Roman" w:hAnsi="Times New Roman"/>
        </w:rPr>
      </w:pPr>
      <w:r w:rsidRPr="000C67CB">
        <w:rPr>
          <w:rFonts w:ascii="Times New Roman" w:hAnsi="Times New Roman"/>
        </w:rPr>
        <w:t>Má sa použiť najnižšia účinná dávka.</w:t>
      </w:r>
      <w:r w:rsidR="0055326E">
        <w:rPr>
          <w:rFonts w:ascii="Times New Roman" w:hAnsi="Times New Roman"/>
        </w:rPr>
        <w:t xml:space="preserve"> Za</w:t>
      </w:r>
      <w:r w:rsidR="0055326E" w:rsidRPr="0055326E">
        <w:rPr>
          <w:rFonts w:ascii="Times New Roman" w:hAnsi="Times New Roman"/>
        </w:rPr>
        <w:t xml:space="preserve">čiatočná terapeutická dávka u detí alebo dospievajúcich </w:t>
      </w:r>
    </w:p>
    <w:p w14:paraId="12FF788C" w14:textId="14ED3DDE" w:rsidR="00553706" w:rsidRPr="000C67CB" w:rsidRDefault="0055326E" w:rsidP="0055326E">
      <w:pPr>
        <w:autoSpaceDE w:val="0"/>
        <w:autoSpaceDN w:val="0"/>
        <w:adjustRightInd w:val="0"/>
        <w:rPr>
          <w:rFonts w:ascii="Times New Roman" w:hAnsi="Times New Roman"/>
        </w:rPr>
      </w:pPr>
      <w:r w:rsidRPr="0055326E">
        <w:rPr>
          <w:rFonts w:ascii="Times New Roman" w:hAnsi="Times New Roman"/>
        </w:rPr>
        <w:t xml:space="preserve">s hmotnosťou do 25 kg  je 250 mg </w:t>
      </w:r>
      <w:r>
        <w:rPr>
          <w:rFonts w:ascii="Times New Roman" w:hAnsi="Times New Roman"/>
        </w:rPr>
        <w:t>dva</w:t>
      </w:r>
      <w:r w:rsidRPr="0055326E">
        <w:rPr>
          <w:rFonts w:ascii="Times New Roman" w:hAnsi="Times New Roman"/>
        </w:rPr>
        <w:t xml:space="preserve">krát denne s maximálnou dávkou 750 mg </w:t>
      </w:r>
      <w:r>
        <w:rPr>
          <w:rFonts w:ascii="Times New Roman" w:hAnsi="Times New Roman"/>
        </w:rPr>
        <w:t>dva</w:t>
      </w:r>
      <w:r w:rsidRPr="0055326E">
        <w:rPr>
          <w:rFonts w:ascii="Times New Roman" w:hAnsi="Times New Roman"/>
        </w:rPr>
        <w:t>krát denne.</w:t>
      </w:r>
    </w:p>
    <w:p w14:paraId="04A4BF6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Dávka u detí s hmotnosťou </w:t>
      </w:r>
      <w:smartTag w:uri="urn:schemas-microsoft-com:office:smarttags" w:element="metricconverter">
        <w:smartTagPr>
          <w:attr w:name="ProductID" w:val="50 kg"/>
        </w:smartTagPr>
        <w:r w:rsidRPr="000C67CB">
          <w:rPr>
            <w:rFonts w:ascii="Times New Roman" w:hAnsi="Times New Roman"/>
          </w:rPr>
          <w:t>50 kg</w:t>
        </w:r>
      </w:smartTag>
      <w:r w:rsidRPr="000C67CB">
        <w:rPr>
          <w:rFonts w:ascii="Times New Roman" w:hAnsi="Times New Roman"/>
        </w:rPr>
        <w:t xml:space="preserve"> alebo vyššou je rovnaká ako u dospelých.</w:t>
      </w:r>
    </w:p>
    <w:p w14:paraId="350F0DA7" w14:textId="77777777" w:rsidR="00553706" w:rsidRPr="000C67CB" w:rsidRDefault="00553706">
      <w:pPr>
        <w:autoSpaceDE w:val="0"/>
        <w:autoSpaceDN w:val="0"/>
        <w:adjustRightInd w:val="0"/>
        <w:rPr>
          <w:rFonts w:ascii="Times New Roman" w:hAnsi="Times New Roman"/>
          <w:i/>
          <w:iCs/>
        </w:rPr>
      </w:pPr>
    </w:p>
    <w:p w14:paraId="1D8B9670"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Prídavná lie</w:t>
      </w:r>
      <w:r w:rsidRPr="000C67CB">
        <w:rPr>
          <w:rFonts w:ascii="Times New Roman" w:eastAsia="TimesNewRomanPS-ItalicMT" w:hAnsi="Times New Roman"/>
          <w:i/>
          <w:iCs/>
        </w:rPr>
        <w:t>č</w:t>
      </w:r>
      <w:r w:rsidRPr="000C67CB">
        <w:rPr>
          <w:rFonts w:ascii="Times New Roman" w:hAnsi="Times New Roman"/>
          <w:i/>
          <w:iCs/>
        </w:rPr>
        <w:t>ba pre doj</w:t>
      </w:r>
      <w:r w:rsidRPr="000C67CB">
        <w:rPr>
          <w:rFonts w:ascii="Times New Roman" w:eastAsia="TimesNewRomanPS-ItalicMT" w:hAnsi="Times New Roman"/>
          <w:i/>
          <w:iCs/>
        </w:rPr>
        <w:t>č</w:t>
      </w:r>
      <w:r w:rsidRPr="000C67CB">
        <w:rPr>
          <w:rFonts w:ascii="Times New Roman" w:hAnsi="Times New Roman"/>
          <w:i/>
          <w:iCs/>
        </w:rPr>
        <w:t>atá vo veku 1 až 6 mesiacov</w:t>
      </w:r>
    </w:p>
    <w:p w14:paraId="0F170734" w14:textId="77777777" w:rsidR="00553706" w:rsidRPr="000C67CB" w:rsidRDefault="00553706">
      <w:pPr>
        <w:autoSpaceDE w:val="0"/>
        <w:autoSpaceDN w:val="0"/>
        <w:adjustRightInd w:val="0"/>
        <w:rPr>
          <w:rFonts w:ascii="Times New Roman" w:hAnsi="Times New Roman"/>
        </w:rPr>
      </w:pPr>
    </w:p>
    <w:p w14:paraId="017C186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Na používanie u dojčiat je určená lieková forma perorálny roztok.</w:t>
      </w:r>
    </w:p>
    <w:p w14:paraId="10C1F2D4" w14:textId="77777777" w:rsidR="00FB0237" w:rsidRPr="000C67CB" w:rsidRDefault="00FB0237">
      <w:pPr>
        <w:autoSpaceDE w:val="0"/>
        <w:autoSpaceDN w:val="0"/>
        <w:adjustRightInd w:val="0"/>
        <w:rPr>
          <w:rFonts w:ascii="Times New Roman" w:hAnsi="Times New Roman"/>
          <w:u w:val="single"/>
        </w:rPr>
      </w:pPr>
    </w:p>
    <w:p w14:paraId="7C4FDEB1"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Spôsob pod</w:t>
      </w:r>
      <w:r w:rsidR="009C75F7" w:rsidRPr="000C67CB">
        <w:rPr>
          <w:rFonts w:ascii="Times New Roman" w:hAnsi="Times New Roman"/>
          <w:u w:val="single"/>
        </w:rPr>
        <w:t>áv</w:t>
      </w:r>
      <w:r w:rsidRPr="000C67CB">
        <w:rPr>
          <w:rFonts w:ascii="Times New Roman" w:hAnsi="Times New Roman"/>
          <w:u w:val="single"/>
        </w:rPr>
        <w:t>ania</w:t>
      </w:r>
    </w:p>
    <w:p w14:paraId="1F1F1BD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Filmom obalené tablety sa musia užívať perorálne, prehĺtať s dostatočným množstvom tekutiny a</w:t>
      </w:r>
    </w:p>
    <w:p w14:paraId="615BC74D" w14:textId="02B584F1" w:rsidR="00553706" w:rsidRPr="000C67CB" w:rsidRDefault="00553706">
      <w:pPr>
        <w:autoSpaceDE w:val="0"/>
        <w:autoSpaceDN w:val="0"/>
        <w:adjustRightInd w:val="0"/>
        <w:rPr>
          <w:rFonts w:ascii="Times New Roman" w:hAnsi="Times New Roman"/>
        </w:rPr>
      </w:pPr>
      <w:r w:rsidRPr="000C67CB">
        <w:rPr>
          <w:rFonts w:ascii="Times New Roman" w:hAnsi="Times New Roman"/>
        </w:rPr>
        <w:t>možno ich užívať s jedlom alebo bez jedla.</w:t>
      </w:r>
      <w:r w:rsidR="0055326E" w:rsidRPr="0055326E">
        <w:rPr>
          <w:rFonts w:ascii="Times New Roman" w:hAnsi="Times New Roman"/>
        </w:rPr>
        <w:t xml:space="preserve"> Po perorálnom užití môžete cítiť horkú chuť levetiracetamu.</w:t>
      </w:r>
      <w:r w:rsidRPr="000C67CB">
        <w:rPr>
          <w:rFonts w:ascii="Times New Roman" w:hAnsi="Times New Roman"/>
        </w:rPr>
        <w:t xml:space="preserve"> Denná dávka sa podáva v dvoch rovnakých čiastkových</w:t>
      </w:r>
      <w:r w:rsidR="0055326E">
        <w:rPr>
          <w:rFonts w:ascii="Times New Roman" w:hAnsi="Times New Roman"/>
        </w:rPr>
        <w:t xml:space="preserve"> </w:t>
      </w:r>
      <w:r w:rsidRPr="000C67CB">
        <w:rPr>
          <w:rFonts w:ascii="Times New Roman" w:hAnsi="Times New Roman"/>
        </w:rPr>
        <w:t>dávkach.</w:t>
      </w:r>
    </w:p>
    <w:p w14:paraId="18F9BF00" w14:textId="77777777" w:rsidR="00553706" w:rsidRPr="000C67CB" w:rsidRDefault="00553706">
      <w:pPr>
        <w:autoSpaceDE w:val="0"/>
        <w:autoSpaceDN w:val="0"/>
        <w:adjustRightInd w:val="0"/>
        <w:rPr>
          <w:rFonts w:ascii="Times New Roman" w:hAnsi="Times New Roman"/>
          <w:b/>
          <w:bCs/>
        </w:rPr>
      </w:pPr>
    </w:p>
    <w:p w14:paraId="4021174D"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4.3 </w:t>
      </w:r>
      <w:r w:rsidRPr="000C67CB">
        <w:rPr>
          <w:rFonts w:ascii="Times New Roman" w:hAnsi="Times New Roman"/>
          <w:b/>
          <w:bCs/>
        </w:rPr>
        <w:tab/>
        <w:t>Kontraindikácie</w:t>
      </w:r>
    </w:p>
    <w:p w14:paraId="5087B692" w14:textId="77777777" w:rsidR="00553706" w:rsidRPr="000C67CB" w:rsidRDefault="00553706">
      <w:pPr>
        <w:autoSpaceDE w:val="0"/>
        <w:autoSpaceDN w:val="0"/>
        <w:adjustRightInd w:val="0"/>
        <w:rPr>
          <w:rFonts w:ascii="Times New Roman" w:hAnsi="Times New Roman"/>
        </w:rPr>
      </w:pPr>
    </w:p>
    <w:p w14:paraId="0173D17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Precitlivenosť na </w:t>
      </w:r>
      <w:r w:rsidR="00DF6C80" w:rsidRPr="000C67CB">
        <w:rPr>
          <w:rFonts w:ascii="Times New Roman" w:hAnsi="Times New Roman"/>
        </w:rPr>
        <w:t xml:space="preserve">liečivo </w:t>
      </w:r>
      <w:r w:rsidRPr="000C67CB">
        <w:rPr>
          <w:rFonts w:ascii="Times New Roman" w:hAnsi="Times New Roman"/>
        </w:rPr>
        <w:t>alebo na iné deriváty pyrolidónu alebo na ktorúkoľvek z pomocných látok</w:t>
      </w:r>
      <w:r w:rsidR="009C75F7" w:rsidRPr="000C67CB">
        <w:rPr>
          <w:rFonts w:ascii="Times New Roman" w:hAnsi="Times New Roman"/>
        </w:rPr>
        <w:t xml:space="preserve"> uvedených v časti 6.1</w:t>
      </w:r>
      <w:r w:rsidRPr="000C67CB">
        <w:rPr>
          <w:rFonts w:ascii="Times New Roman" w:hAnsi="Times New Roman"/>
        </w:rPr>
        <w:t>.</w:t>
      </w:r>
    </w:p>
    <w:p w14:paraId="53376E36" w14:textId="77777777" w:rsidR="00553706" w:rsidRPr="000C67CB" w:rsidRDefault="00553706">
      <w:pPr>
        <w:autoSpaceDE w:val="0"/>
        <w:autoSpaceDN w:val="0"/>
        <w:adjustRightInd w:val="0"/>
        <w:rPr>
          <w:rFonts w:ascii="Times New Roman" w:hAnsi="Times New Roman"/>
          <w:b/>
          <w:bCs/>
        </w:rPr>
      </w:pPr>
    </w:p>
    <w:p w14:paraId="108BFF5D"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4.4 </w:t>
      </w:r>
      <w:r w:rsidRPr="000C67CB">
        <w:rPr>
          <w:rFonts w:ascii="Times New Roman" w:hAnsi="Times New Roman"/>
          <w:b/>
          <w:bCs/>
        </w:rPr>
        <w:tab/>
        <w:t>Osobitné upozornenia a opatrenia pri používaní</w:t>
      </w:r>
    </w:p>
    <w:p w14:paraId="65D04762" w14:textId="77777777" w:rsidR="00553706" w:rsidRPr="000C67CB" w:rsidRDefault="00553706">
      <w:pPr>
        <w:autoSpaceDE w:val="0"/>
        <w:autoSpaceDN w:val="0"/>
        <w:adjustRightInd w:val="0"/>
        <w:rPr>
          <w:rFonts w:ascii="Times New Roman" w:hAnsi="Times New Roman"/>
        </w:rPr>
      </w:pPr>
    </w:p>
    <w:p w14:paraId="3B5862D7" w14:textId="77777777" w:rsidR="00473788" w:rsidRPr="000C67CB" w:rsidRDefault="00405CBA">
      <w:pPr>
        <w:autoSpaceDE w:val="0"/>
        <w:autoSpaceDN w:val="0"/>
        <w:adjustRightInd w:val="0"/>
        <w:rPr>
          <w:rFonts w:ascii="Times New Roman" w:hAnsi="Times New Roman"/>
          <w:u w:val="single"/>
        </w:rPr>
      </w:pPr>
      <w:r w:rsidRPr="000C67CB">
        <w:rPr>
          <w:rFonts w:ascii="Times New Roman" w:hAnsi="Times New Roman"/>
          <w:u w:val="single"/>
        </w:rPr>
        <w:t xml:space="preserve">Porucha funkcie </w:t>
      </w:r>
      <w:r w:rsidR="00DF6C80" w:rsidRPr="000C67CB">
        <w:rPr>
          <w:rFonts w:ascii="Times New Roman" w:hAnsi="Times New Roman"/>
          <w:u w:val="single"/>
        </w:rPr>
        <w:t xml:space="preserve">obličiek </w:t>
      </w:r>
    </w:p>
    <w:p w14:paraId="263A0BB7" w14:textId="77777777" w:rsidR="00676A48" w:rsidRPr="000C67CB" w:rsidRDefault="00553706">
      <w:pPr>
        <w:autoSpaceDE w:val="0"/>
        <w:autoSpaceDN w:val="0"/>
        <w:adjustRightInd w:val="0"/>
        <w:rPr>
          <w:rFonts w:ascii="Times New Roman" w:hAnsi="Times New Roman"/>
        </w:rPr>
      </w:pPr>
      <w:r w:rsidRPr="000C67CB">
        <w:rPr>
          <w:rFonts w:ascii="Times New Roman" w:hAnsi="Times New Roman"/>
        </w:rPr>
        <w:t xml:space="preserve">Podávanie levetiracetamu pacientom s poruchou funkcie obličiek si môže vyžadovať úpravu dávky. </w:t>
      </w:r>
    </w:p>
    <w:p w14:paraId="18C098EE" w14:textId="46F77BD6" w:rsidR="00553706" w:rsidRPr="000C67CB" w:rsidRDefault="00553706">
      <w:pPr>
        <w:autoSpaceDE w:val="0"/>
        <w:autoSpaceDN w:val="0"/>
        <w:adjustRightInd w:val="0"/>
        <w:rPr>
          <w:rFonts w:ascii="Times New Roman" w:hAnsi="Times New Roman"/>
        </w:rPr>
      </w:pPr>
      <w:r w:rsidRPr="000C67CB">
        <w:rPr>
          <w:rFonts w:ascii="Times New Roman" w:hAnsi="Times New Roman"/>
        </w:rPr>
        <w:t>U</w:t>
      </w:r>
      <w:r w:rsidR="00676A48" w:rsidRPr="000C67CB">
        <w:rPr>
          <w:rFonts w:ascii="Times New Roman" w:hAnsi="Times New Roman"/>
        </w:rPr>
        <w:t> </w:t>
      </w:r>
      <w:r w:rsidRPr="000C67CB">
        <w:rPr>
          <w:rFonts w:ascii="Times New Roman" w:hAnsi="Times New Roman"/>
        </w:rPr>
        <w:t>pacientov so závažnou poruchou funkcie pečene sa pred stanovením dávky odporúča posúdiť funkciu</w:t>
      </w:r>
      <w:r w:rsidR="0055326E">
        <w:rPr>
          <w:rFonts w:ascii="Times New Roman" w:hAnsi="Times New Roman"/>
        </w:rPr>
        <w:t xml:space="preserve"> </w:t>
      </w:r>
      <w:r w:rsidRPr="000C67CB">
        <w:rPr>
          <w:rFonts w:ascii="Times New Roman" w:hAnsi="Times New Roman"/>
        </w:rPr>
        <w:t>obličiek (pozri časť 4.2).</w:t>
      </w:r>
    </w:p>
    <w:p w14:paraId="2FB7938A" w14:textId="77777777" w:rsidR="00553706" w:rsidRPr="000C67CB" w:rsidRDefault="00553706">
      <w:pPr>
        <w:autoSpaceDE w:val="0"/>
        <w:autoSpaceDN w:val="0"/>
        <w:adjustRightInd w:val="0"/>
        <w:rPr>
          <w:rFonts w:ascii="Times New Roman" w:hAnsi="Times New Roman"/>
        </w:rPr>
      </w:pPr>
    </w:p>
    <w:p w14:paraId="2E43AF28" w14:textId="77777777" w:rsidR="006A6569" w:rsidRPr="000C67CB" w:rsidRDefault="006A6569">
      <w:pPr>
        <w:pStyle w:val="Default"/>
        <w:rPr>
          <w:color w:val="auto"/>
          <w:sz w:val="22"/>
          <w:szCs w:val="22"/>
          <w:u w:val="single"/>
        </w:rPr>
      </w:pPr>
      <w:r w:rsidRPr="000C67CB">
        <w:rPr>
          <w:color w:val="auto"/>
          <w:sz w:val="22"/>
          <w:szCs w:val="22"/>
          <w:u w:val="single"/>
        </w:rPr>
        <w:t xml:space="preserve">Akútne poškodenie obličiek </w:t>
      </w:r>
    </w:p>
    <w:p w14:paraId="75A361A0" w14:textId="77777777" w:rsidR="006A6569" w:rsidRPr="000C67CB" w:rsidRDefault="006A6569">
      <w:pPr>
        <w:pStyle w:val="Default"/>
        <w:rPr>
          <w:color w:val="auto"/>
          <w:sz w:val="22"/>
          <w:szCs w:val="22"/>
        </w:rPr>
      </w:pPr>
      <w:r w:rsidRPr="000C67CB">
        <w:rPr>
          <w:color w:val="auto"/>
          <w:sz w:val="22"/>
          <w:szCs w:val="22"/>
        </w:rPr>
        <w:t xml:space="preserve">Podávanie levetiracetamu bolo veľmi zriedkavo spojené s akútnym poškodením obličiek, ku ktorému došlo v časovom rozmedzí od niekoľkých dní až po niekoľko mesiacov. </w:t>
      </w:r>
    </w:p>
    <w:p w14:paraId="17E53E00" w14:textId="77777777" w:rsidR="006A6569" w:rsidRPr="000C67CB" w:rsidRDefault="006A6569">
      <w:pPr>
        <w:pStyle w:val="Default"/>
        <w:rPr>
          <w:color w:val="auto"/>
          <w:sz w:val="22"/>
          <w:szCs w:val="22"/>
        </w:rPr>
      </w:pPr>
    </w:p>
    <w:p w14:paraId="508837AD" w14:textId="77777777" w:rsidR="006A6569" w:rsidRPr="000C67CB" w:rsidRDefault="006A6569">
      <w:pPr>
        <w:pStyle w:val="Default"/>
        <w:rPr>
          <w:color w:val="auto"/>
          <w:sz w:val="22"/>
          <w:szCs w:val="22"/>
          <w:u w:val="single"/>
        </w:rPr>
      </w:pPr>
      <w:r w:rsidRPr="000C67CB">
        <w:rPr>
          <w:color w:val="auto"/>
          <w:sz w:val="22"/>
          <w:szCs w:val="22"/>
          <w:u w:val="single"/>
        </w:rPr>
        <w:t xml:space="preserve">Krvný obraz </w:t>
      </w:r>
    </w:p>
    <w:p w14:paraId="14CCD219" w14:textId="77777777" w:rsidR="006A6569" w:rsidRPr="000C67CB" w:rsidRDefault="006A6569">
      <w:pPr>
        <w:pStyle w:val="Default"/>
        <w:rPr>
          <w:color w:val="auto"/>
          <w:sz w:val="22"/>
          <w:szCs w:val="22"/>
        </w:rPr>
      </w:pPr>
      <w:r w:rsidRPr="000C67CB">
        <w:rPr>
          <w:color w:val="auto"/>
          <w:sz w:val="22"/>
          <w:szCs w:val="22"/>
        </w:rPr>
        <w:t xml:space="preserve">V súvislosti s podávaním levetiracetamu boli opísané zriedkavé prípady zníženia hodnôt krvného obrazu (neutropénia, agranulocytóza, leukopénia, trombocytopénia a pancytopénia), zvyčajne </w:t>
      </w:r>
    </w:p>
    <w:p w14:paraId="00E804FB" w14:textId="77777777" w:rsidR="00676A48" w:rsidRPr="00E660E4" w:rsidRDefault="006A6569">
      <w:pPr>
        <w:autoSpaceDE w:val="0"/>
        <w:autoSpaceDN w:val="0"/>
        <w:adjustRightInd w:val="0"/>
        <w:rPr>
          <w:rFonts w:ascii="Times New Roman" w:hAnsi="Times New Roman"/>
        </w:rPr>
      </w:pPr>
      <w:r w:rsidRPr="00E660E4">
        <w:rPr>
          <w:rFonts w:ascii="Times New Roman" w:hAnsi="Times New Roman"/>
        </w:rPr>
        <w:t xml:space="preserve">na začiatku liečby. U pacientov s významnou slabosťou, horúčkou, rekurentnými infekciami alebo </w:t>
      </w:r>
    </w:p>
    <w:p w14:paraId="10A4D24A" w14:textId="62578A17" w:rsidR="006A6569" w:rsidRPr="00E660E4" w:rsidRDefault="006A6569">
      <w:pPr>
        <w:autoSpaceDE w:val="0"/>
        <w:autoSpaceDN w:val="0"/>
        <w:adjustRightInd w:val="0"/>
        <w:rPr>
          <w:rFonts w:ascii="Times New Roman" w:hAnsi="Times New Roman"/>
        </w:rPr>
      </w:pPr>
      <w:r w:rsidRPr="00E660E4">
        <w:rPr>
          <w:rFonts w:ascii="Times New Roman" w:hAnsi="Times New Roman"/>
        </w:rPr>
        <w:t>s</w:t>
      </w:r>
      <w:r w:rsidR="00676A48" w:rsidRPr="00E660E4">
        <w:rPr>
          <w:rFonts w:ascii="Times New Roman" w:hAnsi="Times New Roman"/>
        </w:rPr>
        <w:t> </w:t>
      </w:r>
      <w:r w:rsidRPr="00E660E4">
        <w:rPr>
          <w:rFonts w:ascii="Times New Roman" w:hAnsi="Times New Roman"/>
        </w:rPr>
        <w:t>poruchou zráža</w:t>
      </w:r>
      <w:r w:rsidR="00676A48" w:rsidRPr="00E660E4">
        <w:rPr>
          <w:rFonts w:ascii="Times New Roman" w:hAnsi="Times New Roman"/>
        </w:rPr>
        <w:t>nli</w:t>
      </w:r>
      <w:r w:rsidRPr="00E660E4">
        <w:rPr>
          <w:rFonts w:ascii="Times New Roman" w:hAnsi="Times New Roman"/>
        </w:rPr>
        <w:t>vosti krvi je vhodné skontrolovať celkový krvný obraz (pozri časť 4.8).</w:t>
      </w:r>
    </w:p>
    <w:p w14:paraId="1E24261E" w14:textId="77777777" w:rsidR="006A6569" w:rsidRPr="000C67CB" w:rsidRDefault="006A6569">
      <w:pPr>
        <w:autoSpaceDE w:val="0"/>
        <w:autoSpaceDN w:val="0"/>
        <w:adjustRightInd w:val="0"/>
        <w:rPr>
          <w:rFonts w:ascii="Times New Roman" w:hAnsi="Times New Roman"/>
        </w:rPr>
      </w:pPr>
    </w:p>
    <w:p w14:paraId="30A3EE00"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Samovražda</w:t>
      </w:r>
    </w:p>
    <w:p w14:paraId="1BEE39D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pacientov liečených antiepileptikami (vrátane levetiracetamu) boli hlásené prípady samovraždy,</w:t>
      </w:r>
    </w:p>
    <w:p w14:paraId="1D2CA2C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pokusov o samovraždu, samovražedných myšlienok a správania. Meta-analýza randomizovaných,</w:t>
      </w:r>
    </w:p>
    <w:p w14:paraId="546E5BD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placebom kontrolovaných štúdií s antiepileptikami preukázala malé zvýšenie rizika samovražedných</w:t>
      </w:r>
    </w:p>
    <w:p w14:paraId="28C5A73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myšlienok a správania. Mechanizmus vzniku tohto rizika nie je známy.</w:t>
      </w:r>
    </w:p>
    <w:p w14:paraId="41ABA7BE" w14:textId="77777777" w:rsidR="00553706" w:rsidRPr="000C67CB" w:rsidRDefault="00553706">
      <w:pPr>
        <w:autoSpaceDE w:val="0"/>
        <w:autoSpaceDN w:val="0"/>
        <w:adjustRightInd w:val="0"/>
        <w:rPr>
          <w:rFonts w:ascii="Times New Roman" w:hAnsi="Times New Roman"/>
        </w:rPr>
      </w:pPr>
    </w:p>
    <w:p w14:paraId="714EEC8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 tohto dôvodu sa majú u pacientov sledovať príznaky depresie a/alebo samovražedných myšlienok a</w:t>
      </w:r>
    </w:p>
    <w:p w14:paraId="7BD5D6D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správania, prípadne sa má zvážiť vhodná liečba. Pacientom (a ich opatrovateľom) sa má odporučiť,</w:t>
      </w:r>
    </w:p>
    <w:p w14:paraId="559F7BB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aby v prípade výskytu príznakov depresie a/alebo samovražedných myšlienok alebo správania,</w:t>
      </w:r>
    </w:p>
    <w:p w14:paraId="625A5A05" w14:textId="77777777" w:rsidR="00553706" w:rsidRDefault="00553706">
      <w:pPr>
        <w:autoSpaceDE w:val="0"/>
        <w:autoSpaceDN w:val="0"/>
        <w:adjustRightInd w:val="0"/>
        <w:rPr>
          <w:rFonts w:ascii="Times New Roman" w:hAnsi="Times New Roman"/>
        </w:rPr>
      </w:pPr>
      <w:r w:rsidRPr="000C67CB">
        <w:rPr>
          <w:rFonts w:ascii="Times New Roman" w:hAnsi="Times New Roman"/>
        </w:rPr>
        <w:t>okamžite vyhľadali lekársku pomoc.</w:t>
      </w:r>
    </w:p>
    <w:p w14:paraId="08B9CCAC" w14:textId="77777777" w:rsidR="0055326E" w:rsidRDefault="0055326E">
      <w:pPr>
        <w:autoSpaceDE w:val="0"/>
        <w:autoSpaceDN w:val="0"/>
        <w:adjustRightInd w:val="0"/>
        <w:rPr>
          <w:rFonts w:ascii="Times New Roman" w:hAnsi="Times New Roman"/>
        </w:rPr>
      </w:pPr>
    </w:p>
    <w:p w14:paraId="6F32CB4D" w14:textId="77777777" w:rsidR="0055326E" w:rsidRPr="0055326E" w:rsidRDefault="0055326E" w:rsidP="0055326E">
      <w:pPr>
        <w:autoSpaceDE w:val="0"/>
        <w:autoSpaceDN w:val="0"/>
        <w:adjustRightInd w:val="0"/>
        <w:rPr>
          <w:rFonts w:ascii="Times New Roman" w:hAnsi="Times New Roman"/>
        </w:rPr>
      </w:pPr>
      <w:r w:rsidRPr="0055326E">
        <w:rPr>
          <w:rFonts w:ascii="Times New Roman" w:hAnsi="Times New Roman"/>
        </w:rPr>
        <w:t>Abnormálne a agresívne správanie</w:t>
      </w:r>
    </w:p>
    <w:p w14:paraId="0AAE4CB3" w14:textId="77777777" w:rsidR="0055326E" w:rsidRPr="0055326E" w:rsidRDefault="0055326E" w:rsidP="0055326E">
      <w:pPr>
        <w:autoSpaceDE w:val="0"/>
        <w:autoSpaceDN w:val="0"/>
        <w:adjustRightInd w:val="0"/>
        <w:rPr>
          <w:rFonts w:ascii="Times New Roman" w:hAnsi="Times New Roman"/>
        </w:rPr>
      </w:pPr>
      <w:r w:rsidRPr="0055326E">
        <w:rPr>
          <w:rFonts w:ascii="Times New Roman" w:hAnsi="Times New Roman"/>
        </w:rPr>
        <w:t xml:space="preserve">Levetiracetam môže spôsobiť psychotické príznaky a abnormálne správanie vrátane podráždenosti </w:t>
      </w:r>
    </w:p>
    <w:p w14:paraId="5BC12EF1" w14:textId="77777777" w:rsidR="0055326E" w:rsidRPr="0055326E" w:rsidRDefault="0055326E" w:rsidP="0055326E">
      <w:pPr>
        <w:autoSpaceDE w:val="0"/>
        <w:autoSpaceDN w:val="0"/>
        <w:adjustRightInd w:val="0"/>
        <w:rPr>
          <w:rFonts w:ascii="Times New Roman" w:hAnsi="Times New Roman"/>
        </w:rPr>
      </w:pPr>
      <w:r w:rsidRPr="0055326E">
        <w:rPr>
          <w:rFonts w:ascii="Times New Roman" w:hAnsi="Times New Roman"/>
        </w:rPr>
        <w:t xml:space="preserve">a agresivity. U pacientov liečených levetiracetamom je potrebné sledovať výskyt psychiatrických </w:t>
      </w:r>
    </w:p>
    <w:p w14:paraId="1D32AB12" w14:textId="77777777" w:rsidR="0055326E" w:rsidRPr="0055326E" w:rsidRDefault="0055326E" w:rsidP="0055326E">
      <w:pPr>
        <w:autoSpaceDE w:val="0"/>
        <w:autoSpaceDN w:val="0"/>
        <w:adjustRightInd w:val="0"/>
        <w:rPr>
          <w:rFonts w:ascii="Times New Roman" w:hAnsi="Times New Roman"/>
        </w:rPr>
      </w:pPr>
      <w:r w:rsidRPr="0055326E">
        <w:rPr>
          <w:rFonts w:ascii="Times New Roman" w:hAnsi="Times New Roman"/>
        </w:rPr>
        <w:t xml:space="preserve">prejavov naznačujúcich významné zmeny nálady a/alebo osobnosti. V prípade spozorovania tohto </w:t>
      </w:r>
    </w:p>
    <w:p w14:paraId="3BD98B02" w14:textId="77777777" w:rsidR="0055326E" w:rsidRPr="0055326E" w:rsidRDefault="0055326E" w:rsidP="0055326E">
      <w:pPr>
        <w:autoSpaceDE w:val="0"/>
        <w:autoSpaceDN w:val="0"/>
        <w:adjustRightInd w:val="0"/>
        <w:rPr>
          <w:rFonts w:ascii="Times New Roman" w:hAnsi="Times New Roman"/>
        </w:rPr>
      </w:pPr>
      <w:r w:rsidRPr="0055326E">
        <w:rPr>
          <w:rFonts w:ascii="Times New Roman" w:hAnsi="Times New Roman"/>
        </w:rPr>
        <w:t xml:space="preserve">správania je potrebné zvážiť úpravu liečby alebo postupné ukončenie liečby. V prípade zvažovania </w:t>
      </w:r>
    </w:p>
    <w:p w14:paraId="5AEDA206" w14:textId="23B6B1C8" w:rsidR="0055326E" w:rsidRPr="000C67CB" w:rsidRDefault="0055326E" w:rsidP="0055326E">
      <w:pPr>
        <w:autoSpaceDE w:val="0"/>
        <w:autoSpaceDN w:val="0"/>
        <w:adjustRightInd w:val="0"/>
        <w:rPr>
          <w:rFonts w:ascii="Times New Roman" w:hAnsi="Times New Roman"/>
        </w:rPr>
      </w:pPr>
      <w:r w:rsidRPr="0055326E">
        <w:rPr>
          <w:rFonts w:ascii="Times New Roman" w:hAnsi="Times New Roman"/>
        </w:rPr>
        <w:t>ukončenia liečby, pozri časť 4.2.</w:t>
      </w:r>
    </w:p>
    <w:p w14:paraId="3F3C6EA6" w14:textId="77777777" w:rsidR="00553706" w:rsidRPr="000C67CB" w:rsidRDefault="00553706">
      <w:pPr>
        <w:autoSpaceDE w:val="0"/>
        <w:autoSpaceDN w:val="0"/>
        <w:adjustRightInd w:val="0"/>
        <w:rPr>
          <w:rFonts w:ascii="Times New Roman" w:hAnsi="Times New Roman"/>
        </w:rPr>
      </w:pPr>
    </w:p>
    <w:p w14:paraId="0C6DA150" w14:textId="77777777" w:rsidR="00F507B9" w:rsidRPr="000C67CB" w:rsidRDefault="009C75F7">
      <w:pPr>
        <w:autoSpaceDE w:val="0"/>
        <w:autoSpaceDN w:val="0"/>
        <w:adjustRightInd w:val="0"/>
        <w:rPr>
          <w:rFonts w:ascii="Times New Roman" w:hAnsi="Times New Roman"/>
          <w:u w:val="single"/>
        </w:rPr>
      </w:pPr>
      <w:r w:rsidRPr="000C67CB">
        <w:rPr>
          <w:rFonts w:ascii="Times New Roman" w:hAnsi="Times New Roman"/>
          <w:u w:val="single"/>
        </w:rPr>
        <w:t xml:space="preserve">Pediatrická populácia </w:t>
      </w:r>
    </w:p>
    <w:p w14:paraId="64D226B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Tabletová lieková forma nie je prispôsobená na používanie u dojčiat a detí mladších ako 6 rokov.</w:t>
      </w:r>
    </w:p>
    <w:p w14:paraId="6D244492" w14:textId="77777777" w:rsidR="00553706" w:rsidRPr="000C67CB" w:rsidRDefault="00553706">
      <w:pPr>
        <w:autoSpaceDE w:val="0"/>
        <w:autoSpaceDN w:val="0"/>
        <w:adjustRightInd w:val="0"/>
        <w:rPr>
          <w:rFonts w:ascii="Times New Roman" w:hAnsi="Times New Roman"/>
        </w:rPr>
      </w:pPr>
    </w:p>
    <w:p w14:paraId="23678C2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Dostupné údaje u detí nenaznačili vplyv na rast a pubertu. Avšak dlhodobé účinky u detí na schopnosť</w:t>
      </w:r>
    </w:p>
    <w:p w14:paraId="56796CF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učiť sa, inteligenciu, rast, endokrinnú funkciu, pubertu a plodnosť sú naďalej neznáme.</w:t>
      </w:r>
    </w:p>
    <w:p w14:paraId="0B573387" w14:textId="77777777" w:rsidR="00553706" w:rsidRPr="000C67CB" w:rsidRDefault="00553706">
      <w:pPr>
        <w:autoSpaceDE w:val="0"/>
        <w:autoSpaceDN w:val="0"/>
        <w:adjustRightInd w:val="0"/>
        <w:rPr>
          <w:rFonts w:ascii="Times New Roman" w:hAnsi="Times New Roman"/>
        </w:rPr>
      </w:pPr>
    </w:p>
    <w:p w14:paraId="2B60810F"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4.5 </w:t>
      </w:r>
      <w:r w:rsidRPr="000C67CB">
        <w:rPr>
          <w:rFonts w:ascii="Times New Roman" w:hAnsi="Times New Roman"/>
          <w:b/>
          <w:bCs/>
        </w:rPr>
        <w:tab/>
        <w:t>Liekové a iné interakcie</w:t>
      </w:r>
    </w:p>
    <w:p w14:paraId="3043ED13" w14:textId="77777777" w:rsidR="00553706" w:rsidRPr="000C67CB" w:rsidRDefault="00553706">
      <w:pPr>
        <w:autoSpaceDE w:val="0"/>
        <w:autoSpaceDN w:val="0"/>
        <w:adjustRightInd w:val="0"/>
        <w:rPr>
          <w:rFonts w:ascii="Times New Roman" w:hAnsi="Times New Roman"/>
        </w:rPr>
      </w:pPr>
    </w:p>
    <w:p w14:paraId="38EAB676"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Antiepileptiká</w:t>
      </w:r>
    </w:p>
    <w:p w14:paraId="1F66AE6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Predmarketingové údaje z klinických štúdií vykonaných na dospelých ukazujú, že levetiracetam nemal</w:t>
      </w:r>
    </w:p>
    <w:p w14:paraId="413E521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vplyv na sérové koncentrácie už podávaných antiepileptík (fenytoín, karbamazepín, kyselina</w:t>
      </w:r>
    </w:p>
    <w:p w14:paraId="0EE0ACB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valproová, fenobarbital, lamotrigín, gabapentín a primidon) a že tieto antiepileptiká neovplyvnili</w:t>
      </w:r>
    </w:p>
    <w:p w14:paraId="5C4F2A0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farmakokinetiku levetiracetamu.</w:t>
      </w:r>
    </w:p>
    <w:p w14:paraId="640BE279" w14:textId="77777777" w:rsidR="00553706" w:rsidRPr="000C67CB" w:rsidRDefault="00553706">
      <w:pPr>
        <w:autoSpaceDE w:val="0"/>
        <w:autoSpaceDN w:val="0"/>
        <w:adjustRightInd w:val="0"/>
        <w:rPr>
          <w:rFonts w:ascii="Times New Roman" w:hAnsi="Times New Roman"/>
        </w:rPr>
      </w:pPr>
    </w:p>
    <w:p w14:paraId="36FC21E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Rovnako ako u dospelých, ani u </w:t>
      </w:r>
      <w:r w:rsidR="00063406" w:rsidRPr="000C67CB">
        <w:rPr>
          <w:rFonts w:ascii="Times New Roman" w:hAnsi="Times New Roman"/>
        </w:rPr>
        <w:t>detí a dospievajúcich</w:t>
      </w:r>
      <w:r w:rsidRPr="000C67CB">
        <w:rPr>
          <w:rFonts w:ascii="Times New Roman" w:hAnsi="Times New Roman"/>
        </w:rPr>
        <w:t xml:space="preserve"> užívajúcich až do 60 mg/kg/deň levetiracetamu</w:t>
      </w:r>
    </w:p>
    <w:p w14:paraId="01AEAFD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nie je žiadny dôkaz klinicky významných liekových interakcií.</w:t>
      </w:r>
    </w:p>
    <w:p w14:paraId="259C485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Retrospektívne hodnotenie farmakokinetických interakcií u detí a dospievajúcich s epilepsiou (4 až</w:t>
      </w:r>
    </w:p>
    <w:p w14:paraId="778FC96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17 rokov) potvrdilo, že prídavná liečba s perorálne podávaným levetiracetamom neovplyvnila sérové</w:t>
      </w:r>
    </w:p>
    <w:p w14:paraId="622F8F0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koncentrácie v rovnovážnom stave súbežne podávaného karbamazepínu a valproátu. Avšak údaje</w:t>
      </w:r>
    </w:p>
    <w:p w14:paraId="558EC20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naznačujú o 20 % vyšší klírens levetiracetamu u detí užívajúcich enzýmy indukujúce antiepileptiká.</w:t>
      </w:r>
    </w:p>
    <w:p w14:paraId="60B57E9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Úprava dávky sa nevyžaduje.</w:t>
      </w:r>
    </w:p>
    <w:p w14:paraId="2DC786EF" w14:textId="77777777" w:rsidR="00553706" w:rsidRPr="000C67CB" w:rsidRDefault="00553706">
      <w:pPr>
        <w:autoSpaceDE w:val="0"/>
        <w:autoSpaceDN w:val="0"/>
        <w:adjustRightInd w:val="0"/>
        <w:rPr>
          <w:rFonts w:ascii="Times New Roman" w:hAnsi="Times New Roman"/>
        </w:rPr>
      </w:pPr>
    </w:p>
    <w:p w14:paraId="5A904B40"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Probenecid</w:t>
      </w:r>
    </w:p>
    <w:p w14:paraId="6CA3BA9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Zistilo sa, že probenecid (500 mg štyrikrát denne), blokátor renálnej tubulárnej sekrécie, inhibuje</w:t>
      </w:r>
    </w:p>
    <w:p w14:paraId="6039A1E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renálny klírens primárneho metabolitu, nie však levetiracetamu. Koncentrácia uvedeného metabolitu</w:t>
      </w:r>
    </w:p>
    <w:p w14:paraId="1E05B2C7" w14:textId="535977EF"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však zostáva nízka. </w:t>
      </w:r>
    </w:p>
    <w:p w14:paraId="5BA8402D" w14:textId="77777777" w:rsidR="00553706" w:rsidRPr="000C67CB" w:rsidRDefault="00553706">
      <w:pPr>
        <w:autoSpaceDE w:val="0"/>
        <w:autoSpaceDN w:val="0"/>
        <w:adjustRightInd w:val="0"/>
        <w:rPr>
          <w:rFonts w:ascii="Times New Roman" w:hAnsi="Times New Roman"/>
        </w:rPr>
      </w:pPr>
    </w:p>
    <w:p w14:paraId="60B2EDEA" w14:textId="77777777" w:rsidR="00DF6C80" w:rsidRPr="0055326E" w:rsidRDefault="00DF6C80">
      <w:pPr>
        <w:autoSpaceDE w:val="0"/>
        <w:autoSpaceDN w:val="0"/>
        <w:adjustRightInd w:val="0"/>
        <w:rPr>
          <w:rFonts w:ascii="Times New Roman" w:hAnsi="Times New Roman"/>
          <w:u w:val="single"/>
          <w:lang w:eastAsia="sk-SK"/>
        </w:rPr>
      </w:pPr>
      <w:r w:rsidRPr="0055326E">
        <w:rPr>
          <w:rFonts w:ascii="Times New Roman" w:hAnsi="Times New Roman"/>
          <w:u w:val="single"/>
          <w:lang w:eastAsia="sk-SK"/>
        </w:rPr>
        <w:t>Metotrexát</w:t>
      </w:r>
    </w:p>
    <w:p w14:paraId="4B5E159B" w14:textId="77777777" w:rsidR="00DF6C80" w:rsidRPr="000C67CB" w:rsidRDefault="00DF6C80">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Pri súčasnom pod</w:t>
      </w:r>
      <w:r w:rsidRPr="000C67CB">
        <w:rPr>
          <w:rFonts w:ascii="Times New Roman" w:hAnsi="Times New Roman"/>
          <w:lang w:eastAsia="sk-SK"/>
        </w:rPr>
        <w:t xml:space="preserve">ávaní levetiracetamu a metotrexátu bolo </w:t>
      </w:r>
      <w:r w:rsidRPr="000C67CB">
        <w:rPr>
          <w:rFonts w:ascii="Times New Roman" w:eastAsia="TimesNewRomanPSMT" w:hAnsi="Times New Roman"/>
          <w:lang w:eastAsia="sk-SK"/>
        </w:rPr>
        <w:t>hlásené zníženie klírensu metotrexátu, čo</w:t>
      </w:r>
    </w:p>
    <w:p w14:paraId="736FAEDA" w14:textId="77777777" w:rsidR="00DF6C80" w:rsidRPr="000C67CB" w:rsidRDefault="00DF6C80">
      <w:pPr>
        <w:autoSpaceDE w:val="0"/>
        <w:autoSpaceDN w:val="0"/>
        <w:adjustRightInd w:val="0"/>
        <w:rPr>
          <w:rFonts w:ascii="Times New Roman" w:hAnsi="Times New Roman"/>
          <w:lang w:eastAsia="sk-SK"/>
        </w:rPr>
      </w:pPr>
      <w:r w:rsidRPr="000C67CB">
        <w:rPr>
          <w:rFonts w:ascii="Times New Roman" w:hAnsi="Times New Roman"/>
          <w:lang w:eastAsia="sk-SK"/>
        </w:rPr>
        <w:t>vedie k zvýšeniu (</w:t>
      </w:r>
      <w:r w:rsidRPr="000C67CB">
        <w:rPr>
          <w:rFonts w:ascii="Times New Roman" w:eastAsia="TimesNewRomanPSMT" w:hAnsi="Times New Roman"/>
          <w:lang w:eastAsia="sk-SK"/>
        </w:rPr>
        <w:t xml:space="preserve">predĺženiu) </w:t>
      </w:r>
      <w:r w:rsidRPr="000C67CB">
        <w:rPr>
          <w:rFonts w:ascii="Times New Roman" w:hAnsi="Times New Roman"/>
          <w:lang w:eastAsia="sk-SK"/>
        </w:rPr>
        <w:t>času koncentrácie metotrexátu v krvi na potenciálne toxické hladiny.</w:t>
      </w:r>
    </w:p>
    <w:p w14:paraId="1E93CF58" w14:textId="77777777" w:rsidR="00DF6C80" w:rsidRPr="000C67CB" w:rsidRDefault="00DF6C80">
      <w:pPr>
        <w:autoSpaceDE w:val="0"/>
        <w:autoSpaceDN w:val="0"/>
        <w:adjustRightInd w:val="0"/>
        <w:rPr>
          <w:rFonts w:ascii="Times New Roman" w:hAnsi="Times New Roman"/>
          <w:lang w:eastAsia="sk-SK"/>
        </w:rPr>
      </w:pPr>
      <w:r w:rsidRPr="000C67CB">
        <w:rPr>
          <w:rFonts w:ascii="Times New Roman" w:hAnsi="Times New Roman"/>
          <w:lang w:eastAsia="sk-SK"/>
        </w:rPr>
        <w:t xml:space="preserve">Hladiny metotrexátu a levetiracetamu v krvi by </w:t>
      </w:r>
      <w:r w:rsidRPr="000C67CB">
        <w:rPr>
          <w:rFonts w:ascii="Times New Roman" w:eastAsia="TimesNewRomanPSMT" w:hAnsi="Times New Roman"/>
          <w:lang w:eastAsia="sk-SK"/>
        </w:rPr>
        <w:t xml:space="preserve">mali byť starostlivo </w:t>
      </w:r>
      <w:r w:rsidRPr="000C67CB">
        <w:rPr>
          <w:rFonts w:ascii="Times New Roman" w:hAnsi="Times New Roman"/>
          <w:lang w:eastAsia="sk-SK"/>
        </w:rPr>
        <w:t>monitorované u pacientov, ktorí</w:t>
      </w:r>
    </w:p>
    <w:p w14:paraId="2786170C" w14:textId="77777777" w:rsidR="00DF6C80" w:rsidRPr="000C67CB" w:rsidRDefault="00DF6C80">
      <w:pPr>
        <w:autoSpaceDE w:val="0"/>
        <w:autoSpaceDN w:val="0"/>
        <w:adjustRightInd w:val="0"/>
        <w:rPr>
          <w:rFonts w:ascii="Times New Roman" w:hAnsi="Times New Roman"/>
          <w:lang w:eastAsia="sk-SK"/>
        </w:rPr>
      </w:pPr>
      <w:r w:rsidRPr="000C67CB">
        <w:rPr>
          <w:rFonts w:ascii="Times New Roman" w:hAnsi="Times New Roman"/>
          <w:lang w:eastAsia="sk-SK"/>
        </w:rPr>
        <w:t xml:space="preserve">užívajú </w:t>
      </w:r>
      <w:r w:rsidRPr="000C67CB">
        <w:rPr>
          <w:rFonts w:ascii="Times New Roman" w:eastAsia="TimesNewRomanPSMT" w:hAnsi="Times New Roman"/>
          <w:lang w:eastAsia="sk-SK"/>
        </w:rPr>
        <w:t xml:space="preserve">súčasne oba </w:t>
      </w:r>
      <w:r w:rsidRPr="000C67CB">
        <w:rPr>
          <w:rFonts w:ascii="Times New Roman" w:hAnsi="Times New Roman"/>
          <w:lang w:eastAsia="sk-SK"/>
        </w:rPr>
        <w:t>lieky.</w:t>
      </w:r>
    </w:p>
    <w:p w14:paraId="5E2EE40D" w14:textId="77777777" w:rsidR="00DF6C80" w:rsidRPr="000C67CB" w:rsidRDefault="00DF6C80">
      <w:pPr>
        <w:autoSpaceDE w:val="0"/>
        <w:autoSpaceDN w:val="0"/>
        <w:adjustRightInd w:val="0"/>
        <w:rPr>
          <w:rFonts w:ascii="Times New Roman" w:hAnsi="Times New Roman"/>
        </w:rPr>
      </w:pPr>
    </w:p>
    <w:p w14:paraId="47EFA582"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Perorálne kontraceptíva a iné farmakokinetické interakcie</w:t>
      </w:r>
    </w:p>
    <w:p w14:paraId="4FAD3D7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v dávke 1000 mg denne nemal vplyv na farmakokinetiku perorálnych kontraceptív</w:t>
      </w:r>
    </w:p>
    <w:p w14:paraId="441B3AB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(etinylestradiol a levonorgestrel); endokrinné parametre (luteinizačný hormón a progesterón) sa</w:t>
      </w:r>
    </w:p>
    <w:p w14:paraId="63A88BC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nezmenili. Levetiracetam v dávke 2000 mg denne nemal vplyv na farmakokinetiku digoxínu</w:t>
      </w:r>
    </w:p>
    <w:p w14:paraId="5407DA9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 warfarínu; protrombínové časy sa nezmenili. Súbežné podávanie s digoxínom, perorálnymi</w:t>
      </w:r>
    </w:p>
    <w:p w14:paraId="4C5A9A2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kontraceptívami a warfarínom neovplyvnilo farmakokinetiku levetiracetamu.</w:t>
      </w:r>
    </w:p>
    <w:p w14:paraId="4AD84080" w14:textId="77777777" w:rsidR="00553706" w:rsidRPr="000C67CB" w:rsidRDefault="00553706">
      <w:pPr>
        <w:autoSpaceDE w:val="0"/>
        <w:autoSpaceDN w:val="0"/>
        <w:adjustRightInd w:val="0"/>
        <w:rPr>
          <w:rFonts w:ascii="Times New Roman" w:hAnsi="Times New Roman"/>
        </w:rPr>
      </w:pPr>
    </w:p>
    <w:p w14:paraId="653B7DA4" w14:textId="77777777" w:rsidR="007D4B90" w:rsidRPr="000C67CB" w:rsidRDefault="007D4B90">
      <w:pPr>
        <w:pStyle w:val="Default"/>
        <w:rPr>
          <w:color w:val="auto"/>
          <w:sz w:val="22"/>
          <w:szCs w:val="22"/>
          <w:u w:val="single"/>
        </w:rPr>
      </w:pPr>
      <w:r w:rsidRPr="000C67CB">
        <w:rPr>
          <w:color w:val="auto"/>
          <w:sz w:val="22"/>
          <w:szCs w:val="22"/>
          <w:u w:val="single"/>
        </w:rPr>
        <w:t xml:space="preserve">Laxatíva </w:t>
      </w:r>
    </w:p>
    <w:p w14:paraId="364FF25E" w14:textId="77777777" w:rsidR="007D4B90" w:rsidRPr="000C67CB" w:rsidRDefault="007D4B90">
      <w:pPr>
        <w:autoSpaceDE w:val="0"/>
        <w:autoSpaceDN w:val="0"/>
        <w:adjustRightInd w:val="0"/>
        <w:rPr>
          <w:rFonts w:ascii="Times New Roman" w:hAnsi="Times New Roman"/>
        </w:rPr>
      </w:pPr>
      <w:r w:rsidRPr="00E660E4">
        <w:rPr>
          <w:rFonts w:ascii="Times New Roman" w:hAnsi="Times New Roman"/>
        </w:rPr>
        <w:t>Zaznamenali sa izolované prípady zníženej účinnosti levetiracetamu pri podávaní osmotického laxatíva makrogolu súbežne s perorálnym levetiracetamom. Preto sa makrogol nemá užívať perorálne počas jednej hodiny pred užitím levetiracetamu a počas jednej hodiny po jeho užití.</w:t>
      </w:r>
    </w:p>
    <w:p w14:paraId="3411C84E" w14:textId="77777777" w:rsidR="00553706" w:rsidRPr="000C67CB" w:rsidRDefault="00553706">
      <w:pPr>
        <w:autoSpaceDE w:val="0"/>
        <w:autoSpaceDN w:val="0"/>
        <w:adjustRightInd w:val="0"/>
        <w:rPr>
          <w:rFonts w:ascii="Times New Roman" w:hAnsi="Times New Roman"/>
        </w:rPr>
      </w:pPr>
    </w:p>
    <w:p w14:paraId="293E2F1B"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Jedlo a alkohol</w:t>
      </w:r>
    </w:p>
    <w:p w14:paraId="51A1DF5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Jedlo neovplyvnilo rozsah vstrebávania levetiracetamu, ale rýchlosť vstrebávania sa mierne znížila.</w:t>
      </w:r>
    </w:p>
    <w:p w14:paraId="2B75862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Nie sú k dispozícií žiadne údaje o interakcii levetiracetamu s alkoholom.</w:t>
      </w:r>
    </w:p>
    <w:p w14:paraId="56A8E24E" w14:textId="77777777" w:rsidR="00553706" w:rsidRPr="000C67CB" w:rsidRDefault="00553706">
      <w:pPr>
        <w:autoSpaceDE w:val="0"/>
        <w:autoSpaceDN w:val="0"/>
        <w:adjustRightInd w:val="0"/>
        <w:rPr>
          <w:rFonts w:ascii="Times New Roman" w:hAnsi="Times New Roman"/>
        </w:rPr>
      </w:pPr>
    </w:p>
    <w:p w14:paraId="27FEBD81" w14:textId="77777777" w:rsidR="00553706" w:rsidRPr="000C67CB" w:rsidRDefault="00553706" w:rsidP="000C67CB">
      <w:pPr>
        <w:keepNext/>
        <w:autoSpaceDE w:val="0"/>
        <w:autoSpaceDN w:val="0"/>
        <w:adjustRightInd w:val="0"/>
        <w:rPr>
          <w:rFonts w:ascii="Times New Roman" w:hAnsi="Times New Roman"/>
          <w:b/>
          <w:bCs/>
        </w:rPr>
      </w:pPr>
      <w:r w:rsidRPr="000C67CB">
        <w:rPr>
          <w:rFonts w:ascii="Times New Roman" w:hAnsi="Times New Roman"/>
          <w:b/>
          <w:bCs/>
        </w:rPr>
        <w:t xml:space="preserve">4.6 </w:t>
      </w:r>
      <w:r w:rsidRPr="000C67CB">
        <w:rPr>
          <w:rFonts w:ascii="Times New Roman" w:hAnsi="Times New Roman"/>
          <w:b/>
          <w:bCs/>
        </w:rPr>
        <w:tab/>
        <w:t>Fertilita, gravidita a laktácia</w:t>
      </w:r>
    </w:p>
    <w:p w14:paraId="72B8B84E" w14:textId="77777777" w:rsidR="00553706" w:rsidRPr="000C67CB" w:rsidRDefault="00553706" w:rsidP="000C67CB">
      <w:pPr>
        <w:keepNext/>
        <w:autoSpaceDE w:val="0"/>
        <w:autoSpaceDN w:val="0"/>
        <w:adjustRightInd w:val="0"/>
        <w:rPr>
          <w:rFonts w:ascii="Times New Roman" w:hAnsi="Times New Roman"/>
        </w:rPr>
      </w:pPr>
    </w:p>
    <w:p w14:paraId="648FAD41" w14:textId="77777777" w:rsidR="00E03CB3" w:rsidRPr="000C67CB" w:rsidRDefault="00E03CB3" w:rsidP="000C67CB">
      <w:pPr>
        <w:keepNext/>
        <w:autoSpaceDE w:val="0"/>
        <w:autoSpaceDN w:val="0"/>
        <w:adjustRightInd w:val="0"/>
        <w:rPr>
          <w:rFonts w:ascii="Times New Roman" w:hAnsi="Times New Roman"/>
          <w:u w:val="single"/>
          <w:lang w:eastAsia="sk-SK"/>
        </w:rPr>
      </w:pPr>
      <w:r w:rsidRPr="000C67CB">
        <w:rPr>
          <w:rFonts w:ascii="Times New Roman" w:hAnsi="Times New Roman"/>
          <w:u w:val="single"/>
          <w:lang w:eastAsia="sk-SK"/>
        </w:rPr>
        <w:t xml:space="preserve">Ženy vo fertilnom veku </w:t>
      </w:r>
    </w:p>
    <w:p w14:paraId="489944E5" w14:textId="77777777" w:rsidR="00E03CB3" w:rsidRPr="000C67CB" w:rsidRDefault="00E03CB3" w:rsidP="000C67CB">
      <w:pPr>
        <w:pStyle w:val="Default"/>
        <w:keepNext/>
        <w:rPr>
          <w:color w:val="auto"/>
          <w:sz w:val="22"/>
          <w:szCs w:val="22"/>
        </w:rPr>
      </w:pPr>
      <w:r w:rsidRPr="000C67CB">
        <w:rPr>
          <w:color w:val="auto"/>
          <w:sz w:val="22"/>
          <w:szCs w:val="22"/>
        </w:rPr>
        <w:t xml:space="preserve">Ženy vo fertilnom veku majú byť poučené odborným lekárom. Keď žena plánuje otehotnieť, liečba levetiracetamom sa musí prehodnotiť. Rovnako ako pri všetkých antiepileptikách, je nutné sa vyvarovať náhlemu prerušeniu liečby levetiracetamom, pretože to môže viesť k záchvatom typu „breakthrough“, ktoré môžu mať závažné následky pre ženu a nenarodené dieťa. Vždy keď je to možné, je potrebné uprednostniť monoterapiu, pretože liečba viacerými antiepileptikami môže súvisieť s vyšším rizikom kongenitálnych malformácií v porovnaní s monoterapiou, v závislosti od pridružených antiepileptík. </w:t>
      </w:r>
    </w:p>
    <w:p w14:paraId="422DC34A" w14:textId="77777777" w:rsidR="00E03CB3" w:rsidRPr="000C67CB" w:rsidRDefault="00E03CB3">
      <w:pPr>
        <w:pStyle w:val="Default"/>
        <w:rPr>
          <w:color w:val="auto"/>
          <w:sz w:val="22"/>
          <w:szCs w:val="22"/>
        </w:rPr>
      </w:pPr>
    </w:p>
    <w:p w14:paraId="3AF4D7D7" w14:textId="77777777" w:rsidR="00E03CB3" w:rsidRPr="000C67CB" w:rsidRDefault="00E03CB3">
      <w:pPr>
        <w:autoSpaceDE w:val="0"/>
        <w:autoSpaceDN w:val="0"/>
        <w:adjustRightInd w:val="0"/>
        <w:rPr>
          <w:rFonts w:ascii="Times New Roman" w:hAnsi="Times New Roman"/>
          <w:u w:val="single"/>
          <w:lang w:eastAsia="sk-SK"/>
        </w:rPr>
      </w:pPr>
      <w:r w:rsidRPr="000C67CB">
        <w:rPr>
          <w:rFonts w:ascii="Times New Roman" w:hAnsi="Times New Roman"/>
          <w:u w:val="single"/>
          <w:lang w:eastAsia="sk-SK"/>
        </w:rPr>
        <w:t xml:space="preserve">Gravidita </w:t>
      </w:r>
    </w:p>
    <w:p w14:paraId="5E0913FE" w14:textId="53F5A90C" w:rsidR="00E03CB3" w:rsidRPr="000C67CB" w:rsidRDefault="00E03CB3">
      <w:pPr>
        <w:autoSpaceDE w:val="0"/>
        <w:autoSpaceDN w:val="0"/>
        <w:adjustRightInd w:val="0"/>
        <w:rPr>
          <w:rFonts w:ascii="Times New Roman" w:hAnsi="Times New Roman"/>
          <w:lang w:eastAsia="sk-SK"/>
        </w:rPr>
      </w:pPr>
      <w:r w:rsidRPr="000C67CB">
        <w:rPr>
          <w:rFonts w:ascii="Times New Roman" w:hAnsi="Times New Roman"/>
          <w:lang w:eastAsia="sk-SK"/>
        </w:rPr>
        <w:t xml:space="preserve">Veľké množstvo postmarketingových údajov o tehotných ženách liečených levetiracetamom v monoterapii (viac ako 1 800, pričom u viac ako 1 500 z nich liečba prebiehala počas prvého trimestra), nenaznačujú zvýšenie rizika väčších kongenitálnych malformácií. K dispozícii sú len obmedzené dôkazy o vývoji nervovej sústavy detí, vystavených monoterapii levetiracetamom </w:t>
      </w:r>
      <w:r w:rsidRPr="000C67CB">
        <w:rPr>
          <w:rFonts w:ascii="Times New Roman" w:hAnsi="Times New Roman"/>
          <w:i/>
          <w:iCs/>
          <w:lang w:eastAsia="sk-SK"/>
        </w:rPr>
        <w:t>in utero</w:t>
      </w:r>
      <w:r w:rsidRPr="000C67CB">
        <w:rPr>
          <w:rFonts w:ascii="Times New Roman" w:hAnsi="Times New Roman"/>
          <w:lang w:eastAsia="sk-SK"/>
        </w:rPr>
        <w:t xml:space="preserve">. Súčasné epidemiologické štúdie (približne u 100 detí) však nenaznačujú zvýšené riziko porúch alebo oneskorení neurologického vývoja. </w:t>
      </w:r>
    </w:p>
    <w:p w14:paraId="3916194F" w14:textId="1D50DCA7" w:rsidR="00E03CB3" w:rsidRPr="000C67CB" w:rsidRDefault="00E03CB3">
      <w:pPr>
        <w:autoSpaceDE w:val="0"/>
        <w:autoSpaceDN w:val="0"/>
        <w:adjustRightInd w:val="0"/>
        <w:rPr>
          <w:rFonts w:ascii="Times New Roman" w:hAnsi="Times New Roman"/>
        </w:rPr>
      </w:pPr>
      <w:r w:rsidRPr="000C67CB">
        <w:rPr>
          <w:rFonts w:ascii="Times New Roman" w:hAnsi="Times New Roman"/>
          <w:lang w:eastAsia="sk-SK"/>
        </w:rPr>
        <w:t>Levetiracetam možno používať počas gravidity, ak je táto liečba po dôkladnom posúdení považovaná za klinicky potrebnú. V takom prípade sa odporúča najnižšia účinná dávka.</w:t>
      </w:r>
    </w:p>
    <w:p w14:paraId="6D8BBEEE" w14:textId="2258F825" w:rsidR="00553706" w:rsidRPr="000C67CB" w:rsidRDefault="00DF6C80">
      <w:pPr>
        <w:autoSpaceDE w:val="0"/>
        <w:autoSpaceDN w:val="0"/>
        <w:adjustRightInd w:val="0"/>
        <w:rPr>
          <w:rFonts w:ascii="Times New Roman" w:hAnsi="Times New Roman"/>
        </w:rPr>
      </w:pPr>
      <w:r w:rsidRPr="000C67CB">
        <w:rPr>
          <w:rFonts w:ascii="Times New Roman" w:hAnsi="Times New Roman"/>
        </w:rPr>
        <w:t>F</w:t>
      </w:r>
      <w:r w:rsidR="00553706" w:rsidRPr="000C67CB">
        <w:rPr>
          <w:rFonts w:ascii="Times New Roman" w:hAnsi="Times New Roman"/>
        </w:rPr>
        <w:t>yziologické zmeny počas gravidity môžu ovplyvniť koncentráciu</w:t>
      </w:r>
      <w:r w:rsidRPr="000C67CB">
        <w:rPr>
          <w:rFonts w:ascii="Times New Roman" w:hAnsi="Times New Roman"/>
        </w:rPr>
        <w:t xml:space="preserve"> </w:t>
      </w:r>
      <w:r w:rsidR="00553706" w:rsidRPr="000C67CB">
        <w:rPr>
          <w:rFonts w:ascii="Times New Roman" w:hAnsi="Times New Roman"/>
        </w:rPr>
        <w:t>levetiracetamu. Počas gravidity bol pozorovaný pokles plazmatickej koncentrácie levetiracetamu.</w:t>
      </w:r>
      <w:r w:rsidRPr="000C67CB">
        <w:rPr>
          <w:rFonts w:ascii="Times New Roman" w:hAnsi="Times New Roman"/>
        </w:rPr>
        <w:t xml:space="preserve"> </w:t>
      </w:r>
      <w:r w:rsidR="00553706" w:rsidRPr="000C67CB">
        <w:rPr>
          <w:rFonts w:ascii="Times New Roman" w:hAnsi="Times New Roman"/>
        </w:rPr>
        <w:t xml:space="preserve">Tento pokles je výraznejší počas </w:t>
      </w:r>
      <w:r w:rsidR="008167E7" w:rsidRPr="000C67CB">
        <w:rPr>
          <w:rFonts w:ascii="Times New Roman" w:hAnsi="Times New Roman"/>
        </w:rPr>
        <w:t xml:space="preserve">tretieho </w:t>
      </w:r>
      <w:r w:rsidR="00553706" w:rsidRPr="000C67CB">
        <w:rPr>
          <w:rFonts w:ascii="Times New Roman" w:hAnsi="Times New Roman"/>
        </w:rPr>
        <w:t>trimestra (do 60 % východiskovej hodnoty koncentrácie pred</w:t>
      </w:r>
      <w:r w:rsidRPr="000C67CB">
        <w:rPr>
          <w:rFonts w:ascii="Times New Roman" w:hAnsi="Times New Roman"/>
        </w:rPr>
        <w:t xml:space="preserve"> </w:t>
      </w:r>
      <w:r w:rsidR="00553706" w:rsidRPr="000C67CB">
        <w:rPr>
          <w:rFonts w:ascii="Times New Roman" w:hAnsi="Times New Roman"/>
        </w:rPr>
        <w:t>graviditou). Pre gravidnú ženu liečenú levetiracetamom sa má zabezpečiť adekvátny klinický</w:t>
      </w:r>
      <w:r w:rsidRPr="000C67CB">
        <w:rPr>
          <w:rFonts w:ascii="Times New Roman" w:hAnsi="Times New Roman"/>
        </w:rPr>
        <w:t xml:space="preserve"> </w:t>
      </w:r>
      <w:r w:rsidR="00553706" w:rsidRPr="000C67CB">
        <w:rPr>
          <w:rFonts w:ascii="Times New Roman" w:hAnsi="Times New Roman"/>
        </w:rPr>
        <w:t xml:space="preserve">manažment. </w:t>
      </w:r>
    </w:p>
    <w:p w14:paraId="2528A50D" w14:textId="77777777" w:rsidR="00553706" w:rsidRPr="000C67CB" w:rsidRDefault="00553706">
      <w:pPr>
        <w:autoSpaceDE w:val="0"/>
        <w:autoSpaceDN w:val="0"/>
        <w:adjustRightInd w:val="0"/>
        <w:rPr>
          <w:rFonts w:ascii="Times New Roman" w:hAnsi="Times New Roman"/>
        </w:rPr>
      </w:pPr>
    </w:p>
    <w:p w14:paraId="2350AF7A" w14:textId="77777777" w:rsidR="00553706" w:rsidRPr="000C67CB" w:rsidRDefault="00152C55">
      <w:pPr>
        <w:autoSpaceDE w:val="0"/>
        <w:autoSpaceDN w:val="0"/>
        <w:adjustRightInd w:val="0"/>
        <w:rPr>
          <w:rFonts w:ascii="Times New Roman" w:hAnsi="Times New Roman"/>
          <w:u w:val="single"/>
        </w:rPr>
      </w:pPr>
      <w:r w:rsidRPr="000C67CB">
        <w:rPr>
          <w:rFonts w:ascii="Times New Roman" w:hAnsi="Times New Roman"/>
          <w:u w:val="single"/>
        </w:rPr>
        <w:t>Dojčenie</w:t>
      </w:r>
    </w:p>
    <w:p w14:paraId="6968A74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sa vylučuje do materského mlieka. Dojčenie sa preto neodporúča. Avšak v prípade, že</w:t>
      </w:r>
    </w:p>
    <w:p w14:paraId="6EE6EF7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je liečba levetiracetamom potrebná počas dojčenia, </w:t>
      </w:r>
      <w:r w:rsidR="00F17E46" w:rsidRPr="000C67CB">
        <w:rPr>
          <w:rFonts w:ascii="Times New Roman" w:hAnsi="Times New Roman"/>
        </w:rPr>
        <w:t xml:space="preserve">má sa zvážiť </w:t>
      </w:r>
      <w:r w:rsidRPr="000C67CB">
        <w:rPr>
          <w:rFonts w:ascii="Times New Roman" w:hAnsi="Times New Roman"/>
        </w:rPr>
        <w:t xml:space="preserve">pomer prínosu/rizika liečby </w:t>
      </w:r>
    </w:p>
    <w:p w14:paraId="2C7E894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vzhľadom k významu dojčenia.</w:t>
      </w:r>
    </w:p>
    <w:p w14:paraId="0D65D7E4" w14:textId="77777777" w:rsidR="00553706" w:rsidRPr="000C67CB" w:rsidRDefault="00553706">
      <w:pPr>
        <w:autoSpaceDE w:val="0"/>
        <w:autoSpaceDN w:val="0"/>
        <w:adjustRightInd w:val="0"/>
        <w:rPr>
          <w:rFonts w:ascii="Times New Roman" w:hAnsi="Times New Roman"/>
        </w:rPr>
      </w:pPr>
    </w:p>
    <w:p w14:paraId="171810E9"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Fertilita</w:t>
      </w:r>
    </w:p>
    <w:p w14:paraId="114D6E4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štúdiách u zvierat sa nezistil žiadny vplyv na fertilitu (pozri časť 5.3). Nie sú k dispozícii žiadne</w:t>
      </w:r>
    </w:p>
    <w:p w14:paraId="628C2CA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klinické údaje, nie je známe potenciálne riziko u ľudí.</w:t>
      </w:r>
    </w:p>
    <w:p w14:paraId="369AB9FF" w14:textId="77777777" w:rsidR="00553706" w:rsidRPr="000C67CB" w:rsidRDefault="00553706">
      <w:pPr>
        <w:autoSpaceDE w:val="0"/>
        <w:autoSpaceDN w:val="0"/>
        <w:adjustRightInd w:val="0"/>
        <w:rPr>
          <w:rFonts w:ascii="Times New Roman" w:hAnsi="Times New Roman"/>
        </w:rPr>
      </w:pPr>
    </w:p>
    <w:p w14:paraId="68DE3A9C"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4.7 </w:t>
      </w:r>
      <w:r w:rsidRPr="000C67CB">
        <w:rPr>
          <w:rFonts w:ascii="Times New Roman" w:hAnsi="Times New Roman"/>
          <w:b/>
          <w:bCs/>
        </w:rPr>
        <w:tab/>
        <w:t>Ovplyvnenie schopnosti vies</w:t>
      </w:r>
      <w:r w:rsidRPr="000C67CB">
        <w:rPr>
          <w:rFonts w:ascii="Times New Roman" w:eastAsia="TimesNewRomanPS-BoldMT" w:hAnsi="Times New Roman"/>
          <w:b/>
          <w:bCs/>
        </w:rPr>
        <w:t xml:space="preserve">ť </w:t>
      </w:r>
      <w:r w:rsidRPr="000C67CB">
        <w:rPr>
          <w:rFonts w:ascii="Times New Roman" w:hAnsi="Times New Roman"/>
          <w:b/>
          <w:bCs/>
        </w:rPr>
        <w:t>vozidlá a obsluhova</w:t>
      </w:r>
      <w:r w:rsidRPr="000C67CB">
        <w:rPr>
          <w:rFonts w:ascii="Times New Roman" w:eastAsia="TimesNewRomanPS-BoldMT" w:hAnsi="Times New Roman"/>
          <w:b/>
          <w:bCs/>
        </w:rPr>
        <w:t xml:space="preserve">ť </w:t>
      </w:r>
      <w:r w:rsidRPr="000C67CB">
        <w:rPr>
          <w:rFonts w:ascii="Times New Roman" w:hAnsi="Times New Roman"/>
          <w:b/>
          <w:bCs/>
        </w:rPr>
        <w:t>stroje</w:t>
      </w:r>
    </w:p>
    <w:p w14:paraId="307B5DBF" w14:textId="77777777" w:rsidR="00553706" w:rsidRPr="000C67CB" w:rsidRDefault="00553706">
      <w:pPr>
        <w:autoSpaceDE w:val="0"/>
        <w:autoSpaceDN w:val="0"/>
        <w:adjustRightInd w:val="0"/>
        <w:rPr>
          <w:rFonts w:ascii="Times New Roman" w:hAnsi="Times New Roman"/>
        </w:rPr>
      </w:pPr>
    </w:p>
    <w:p w14:paraId="07C83185" w14:textId="77777777" w:rsidR="00553706" w:rsidRPr="000C67CB" w:rsidRDefault="00DF6C80">
      <w:pPr>
        <w:autoSpaceDE w:val="0"/>
        <w:autoSpaceDN w:val="0"/>
        <w:adjustRightInd w:val="0"/>
        <w:rPr>
          <w:rFonts w:ascii="Times New Roman" w:hAnsi="Times New Roman"/>
        </w:rPr>
      </w:pPr>
      <w:r w:rsidRPr="00E660E4">
        <w:rPr>
          <w:rFonts w:ascii="Times New Roman" w:eastAsia="TimesNewRomanPSMT" w:hAnsi="Times New Roman"/>
          <w:lang w:eastAsia="sk-SK"/>
        </w:rPr>
        <w:t xml:space="preserve">Levetiracetam má zanedbateľný alebo mierny vplyv </w:t>
      </w:r>
      <w:r w:rsidR="00553706" w:rsidRPr="000C67CB">
        <w:rPr>
          <w:rFonts w:ascii="Times New Roman" w:hAnsi="Times New Roman"/>
        </w:rPr>
        <w:t>na schopnosť viesť vozidlá a obsluhovať stroje.</w:t>
      </w:r>
    </w:p>
    <w:p w14:paraId="2620799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Vzhľadom na možnú rozdielnu individuálnu citlivosť niektorí pacienti môžu najmä na začiatku liečby</w:t>
      </w:r>
    </w:p>
    <w:p w14:paraId="46E520C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alebo po zvýšení dávky pociťovať ospalosť alebo iné symptómy v súvislosti s centrálnym nervovým</w:t>
      </w:r>
    </w:p>
    <w:p w14:paraId="5F27F98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systémom. Preto sa u týchto pacientov odporúča opatrnosť pri vykonávaní náročných aktivít, napr. pri</w:t>
      </w:r>
    </w:p>
    <w:p w14:paraId="1B9C1AC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vedení vozidiel alebo pri obsluhe strojov. Pacientom sa neodporúča viesť vozidlá ani obsluhovať</w:t>
      </w:r>
    </w:p>
    <w:p w14:paraId="4EBB949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stroje, kým sa nestanoví, že ich schopnosť vykonávať takéto činnosti nie je ovplyvnená.</w:t>
      </w:r>
    </w:p>
    <w:p w14:paraId="0D3F3D78" w14:textId="77777777" w:rsidR="00553706" w:rsidRPr="000C67CB" w:rsidRDefault="00553706">
      <w:pPr>
        <w:autoSpaceDE w:val="0"/>
        <w:autoSpaceDN w:val="0"/>
        <w:adjustRightInd w:val="0"/>
        <w:rPr>
          <w:rFonts w:ascii="Times New Roman" w:hAnsi="Times New Roman"/>
          <w:b/>
          <w:bCs/>
        </w:rPr>
      </w:pPr>
    </w:p>
    <w:p w14:paraId="4E25E050"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4.8 </w:t>
      </w:r>
      <w:r w:rsidRPr="000C67CB">
        <w:rPr>
          <w:rFonts w:ascii="Times New Roman" w:hAnsi="Times New Roman"/>
          <w:b/>
          <w:bCs/>
        </w:rPr>
        <w:tab/>
        <w:t>Nežiaduce ú</w:t>
      </w:r>
      <w:r w:rsidRPr="000C67CB">
        <w:rPr>
          <w:rFonts w:ascii="Times New Roman" w:eastAsia="TimesNewRomanPS-BoldMT" w:hAnsi="Times New Roman"/>
          <w:b/>
          <w:bCs/>
        </w:rPr>
        <w:t>č</w:t>
      </w:r>
      <w:r w:rsidRPr="000C67CB">
        <w:rPr>
          <w:rFonts w:ascii="Times New Roman" w:hAnsi="Times New Roman"/>
          <w:b/>
          <w:bCs/>
        </w:rPr>
        <w:t>inky</w:t>
      </w:r>
    </w:p>
    <w:p w14:paraId="1E1B2DFD" w14:textId="77777777" w:rsidR="00553706" w:rsidRPr="000C67CB" w:rsidRDefault="00553706">
      <w:pPr>
        <w:autoSpaceDE w:val="0"/>
        <w:autoSpaceDN w:val="0"/>
        <w:adjustRightInd w:val="0"/>
        <w:rPr>
          <w:rFonts w:ascii="Times New Roman" w:hAnsi="Times New Roman"/>
        </w:rPr>
      </w:pPr>
    </w:p>
    <w:p w14:paraId="13BFFCFC"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Súhrn bezpečnostného profilu</w:t>
      </w:r>
    </w:p>
    <w:p w14:paraId="1F56A8D2" w14:textId="77777777" w:rsidR="0055326E" w:rsidRDefault="0055326E">
      <w:pPr>
        <w:autoSpaceDE w:val="0"/>
        <w:autoSpaceDN w:val="0"/>
        <w:adjustRightInd w:val="0"/>
        <w:rPr>
          <w:rFonts w:ascii="Times New Roman" w:eastAsia="TimesNewRomanPSMT" w:hAnsi="Times New Roman"/>
          <w:lang w:eastAsia="sk-SK"/>
        </w:rPr>
      </w:pPr>
    </w:p>
    <w:p w14:paraId="4758FA42" w14:textId="77777777" w:rsidR="00DF6C80" w:rsidRPr="000C67CB" w:rsidRDefault="00DF6C80">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Najčastejšie hlásené nežiaduce reakcie boli nazofaryngitída, somnolencia, bolesť hlavy, únava a</w:t>
      </w:r>
    </w:p>
    <w:p w14:paraId="3B857DFC" w14:textId="77777777" w:rsidR="00553706" w:rsidRPr="000C67CB" w:rsidRDefault="00DF6C80">
      <w:pPr>
        <w:autoSpaceDE w:val="0"/>
        <w:autoSpaceDN w:val="0"/>
        <w:adjustRightInd w:val="0"/>
        <w:rPr>
          <w:rFonts w:ascii="Times New Roman" w:hAnsi="Times New Roman"/>
        </w:rPr>
      </w:pPr>
      <w:r w:rsidRPr="000C67CB">
        <w:rPr>
          <w:rFonts w:ascii="Times New Roman" w:eastAsia="TimesNewRomanPSMT" w:hAnsi="Times New Roman"/>
          <w:lang w:eastAsia="sk-SK"/>
        </w:rPr>
        <w:t xml:space="preserve">závrat. </w:t>
      </w:r>
      <w:r w:rsidR="007D4B90" w:rsidRPr="00E660E4">
        <w:rPr>
          <w:rFonts w:ascii="Times New Roman" w:hAnsi="Times New Roman"/>
        </w:rPr>
        <w:t xml:space="preserve">Profil nežiaducich </w:t>
      </w:r>
      <w:r w:rsidRPr="00E660E4">
        <w:rPr>
          <w:rFonts w:ascii="Times New Roman" w:hAnsi="Times New Roman"/>
        </w:rPr>
        <w:t xml:space="preserve">reakcií </w:t>
      </w:r>
      <w:r w:rsidR="007D4B90" w:rsidRPr="00E660E4">
        <w:rPr>
          <w:rFonts w:ascii="Times New Roman" w:hAnsi="Times New Roman"/>
        </w:rPr>
        <w:t xml:space="preserve">uvedený nižšie vychádza z analýzy združených placebom kontrolovaných klinických skúšaní so všetkými skúmanými indikáciami s celkovým počtom 3 416 pacientov liečených levetiracetamom. Tieto údaje sú doplnené o používanie levetiracetamu v zodpovedajúcom nezaslepenom predĺžení štúdií rovnako ako zo sledovania po uvedení lieku na trh. Profil bezpečnosti levetiracetamu je celkovo podobný vo všetkých vekových skupinách (dospelí, detskí a dospievajúci pacienti) a vo všetkých schválených epileptických indikáciách. </w:t>
      </w:r>
    </w:p>
    <w:p w14:paraId="0B3EF561" w14:textId="77777777" w:rsidR="00553706" w:rsidRPr="000C67CB" w:rsidRDefault="00553706">
      <w:pPr>
        <w:autoSpaceDE w:val="0"/>
        <w:autoSpaceDN w:val="0"/>
        <w:adjustRightInd w:val="0"/>
        <w:rPr>
          <w:rFonts w:ascii="Times New Roman" w:hAnsi="Times New Roman"/>
        </w:rPr>
      </w:pPr>
    </w:p>
    <w:p w14:paraId="095852FF" w14:textId="77777777" w:rsidR="00553706" w:rsidRPr="000C67CB" w:rsidRDefault="00553706" w:rsidP="000C67CB">
      <w:pPr>
        <w:keepNext/>
        <w:autoSpaceDE w:val="0"/>
        <w:autoSpaceDN w:val="0"/>
        <w:adjustRightInd w:val="0"/>
        <w:rPr>
          <w:rFonts w:ascii="Times New Roman" w:hAnsi="Times New Roman"/>
          <w:u w:val="single"/>
        </w:rPr>
      </w:pPr>
      <w:r w:rsidRPr="000C67CB">
        <w:rPr>
          <w:rFonts w:ascii="Times New Roman" w:hAnsi="Times New Roman"/>
          <w:u w:val="single"/>
        </w:rPr>
        <w:t>Zoznam nežiaducich reakcií zoradených do tabuľky</w:t>
      </w:r>
    </w:p>
    <w:p w14:paraId="5A973F3A" w14:textId="77777777" w:rsidR="0055326E" w:rsidRDefault="0055326E" w:rsidP="000C67CB">
      <w:pPr>
        <w:keepNext/>
        <w:autoSpaceDE w:val="0"/>
        <w:autoSpaceDN w:val="0"/>
        <w:adjustRightInd w:val="0"/>
        <w:rPr>
          <w:rFonts w:ascii="Times New Roman" w:hAnsi="Times New Roman"/>
        </w:rPr>
      </w:pPr>
    </w:p>
    <w:p w14:paraId="1C74C26D" w14:textId="77777777" w:rsidR="00553706" w:rsidRPr="000C67CB" w:rsidRDefault="00553706" w:rsidP="000C67CB">
      <w:pPr>
        <w:keepNext/>
        <w:autoSpaceDE w:val="0"/>
        <w:autoSpaceDN w:val="0"/>
        <w:adjustRightInd w:val="0"/>
        <w:rPr>
          <w:rFonts w:ascii="Times New Roman" w:hAnsi="Times New Roman"/>
        </w:rPr>
      </w:pPr>
      <w:r w:rsidRPr="000C67CB">
        <w:rPr>
          <w:rFonts w:ascii="Times New Roman" w:hAnsi="Times New Roman"/>
        </w:rPr>
        <w:t>Nežiaduce reakcie hlásené v klinických štúdiách (u dospelých, dospievajúcich, detí a dojčiat</w:t>
      </w:r>
    </w:p>
    <w:p w14:paraId="4653958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&gt; 1 mesiac) a z</w:t>
      </w:r>
      <w:r w:rsidR="00A33E67" w:rsidRPr="000C67CB">
        <w:rPr>
          <w:rFonts w:ascii="Times New Roman" w:hAnsi="Times New Roman"/>
        </w:rPr>
        <w:t>o</w:t>
      </w:r>
      <w:r w:rsidRPr="000C67CB">
        <w:rPr>
          <w:rFonts w:ascii="Times New Roman" w:hAnsi="Times New Roman"/>
        </w:rPr>
        <w:t xml:space="preserve"> skúseností</w:t>
      </w:r>
      <w:r w:rsidR="00A33E67" w:rsidRPr="000C67CB">
        <w:rPr>
          <w:rFonts w:ascii="Times New Roman" w:hAnsi="Times New Roman"/>
        </w:rPr>
        <w:t xml:space="preserve"> po uvedení lieku na trh</w:t>
      </w:r>
      <w:r w:rsidRPr="000C67CB">
        <w:rPr>
          <w:rFonts w:ascii="Times New Roman" w:hAnsi="Times New Roman"/>
        </w:rPr>
        <w:t xml:space="preserve"> sú uvedené v nasledujúcej tabuľke podľa tried</w:t>
      </w:r>
    </w:p>
    <w:p w14:paraId="0F9B61C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orgánových systémov a podľa </w:t>
      </w:r>
      <w:r w:rsidR="00405CBA" w:rsidRPr="000C67CB">
        <w:rPr>
          <w:rFonts w:ascii="Times New Roman" w:hAnsi="Times New Roman"/>
        </w:rPr>
        <w:t>frekvencie. Nežiaduce</w:t>
      </w:r>
      <w:r w:rsidR="007178B3" w:rsidRPr="00E660E4">
        <w:rPr>
          <w:rFonts w:ascii="Times New Roman" w:hAnsi="Times New Roman"/>
          <w:lang w:eastAsia="sk-SK"/>
        </w:rPr>
        <w:t xml:space="preserve"> reakcie sú zoradené </w:t>
      </w:r>
      <w:r w:rsidR="007178B3" w:rsidRPr="00E660E4">
        <w:rPr>
          <w:rFonts w:ascii="Times New Roman" w:eastAsia="TimesNewRomanPSMT" w:hAnsi="Times New Roman"/>
          <w:lang w:eastAsia="sk-SK"/>
        </w:rPr>
        <w:t xml:space="preserve">podľa klesajúcej závažnosti </w:t>
      </w:r>
      <w:r w:rsidR="007178B3" w:rsidRPr="00E660E4">
        <w:rPr>
          <w:rFonts w:ascii="Times New Roman" w:hAnsi="Times New Roman"/>
          <w:lang w:eastAsia="sk-SK"/>
        </w:rPr>
        <w:t xml:space="preserve">a ich frekvencia je definovaná </w:t>
      </w:r>
      <w:r w:rsidR="007178B3" w:rsidRPr="00E660E4">
        <w:rPr>
          <w:rFonts w:ascii="Times New Roman" w:eastAsia="TimesNewRomanPSMT" w:hAnsi="Times New Roman"/>
          <w:lang w:eastAsia="sk-SK"/>
        </w:rPr>
        <w:t>nasledovne</w:t>
      </w:r>
      <w:r w:rsidRPr="000C67CB">
        <w:rPr>
          <w:rFonts w:ascii="Times New Roman" w:hAnsi="Times New Roman"/>
        </w:rPr>
        <w:t>: veľmi</w:t>
      </w:r>
      <w:r w:rsidR="007D4B90" w:rsidRPr="000C67CB">
        <w:rPr>
          <w:rFonts w:ascii="Times New Roman" w:hAnsi="Times New Roman"/>
        </w:rPr>
        <w:t xml:space="preserve"> </w:t>
      </w:r>
      <w:r w:rsidRPr="000C67CB">
        <w:rPr>
          <w:rFonts w:ascii="Times New Roman" w:hAnsi="Times New Roman"/>
        </w:rPr>
        <w:t>časté (≥ 1/10); časté (≥ 1/100 až &lt; 1/10); menej časté (≥ 1/1</w:t>
      </w:r>
      <w:r w:rsidR="007D4B90" w:rsidRPr="000C67CB">
        <w:rPr>
          <w:rFonts w:ascii="Times New Roman" w:hAnsi="Times New Roman"/>
        </w:rPr>
        <w:t xml:space="preserve"> </w:t>
      </w:r>
      <w:r w:rsidRPr="000C67CB">
        <w:rPr>
          <w:rFonts w:ascii="Times New Roman" w:hAnsi="Times New Roman"/>
        </w:rPr>
        <w:t>000 až &lt; 1/100); zriedkavé</w:t>
      </w:r>
      <w:r w:rsidR="007178B3" w:rsidRPr="000C67CB">
        <w:rPr>
          <w:rFonts w:ascii="Times New Roman" w:hAnsi="Times New Roman"/>
        </w:rPr>
        <w:t xml:space="preserve"> </w:t>
      </w:r>
      <w:r w:rsidRPr="000C67CB">
        <w:rPr>
          <w:rFonts w:ascii="Times New Roman" w:hAnsi="Times New Roman"/>
        </w:rPr>
        <w:t>(</w:t>
      </w:r>
      <w:r w:rsidRPr="000C67CB">
        <w:rPr>
          <w:rFonts w:ascii="Times New Roman" w:eastAsia="SymbolMT" w:hAnsi="Times New Roman"/>
        </w:rPr>
        <w:t xml:space="preserve">≥ </w:t>
      </w:r>
      <w:r w:rsidRPr="000C67CB">
        <w:rPr>
          <w:rFonts w:ascii="Times New Roman" w:hAnsi="Times New Roman"/>
        </w:rPr>
        <w:t>1/10 000 až</w:t>
      </w:r>
      <w:r w:rsidR="007D4B90" w:rsidRPr="000C67CB">
        <w:rPr>
          <w:rFonts w:ascii="Times New Roman" w:hAnsi="Times New Roman"/>
        </w:rPr>
        <w:t xml:space="preserve"> </w:t>
      </w:r>
      <w:r w:rsidRPr="000C67CB">
        <w:rPr>
          <w:rFonts w:ascii="Times New Roman" w:hAnsi="Times New Roman"/>
        </w:rPr>
        <w:t>&lt; 1/1</w:t>
      </w:r>
      <w:r w:rsidR="007D4B90" w:rsidRPr="000C67CB">
        <w:rPr>
          <w:rFonts w:ascii="Times New Roman" w:hAnsi="Times New Roman"/>
        </w:rPr>
        <w:t xml:space="preserve"> </w:t>
      </w:r>
      <w:r w:rsidRPr="000C67CB">
        <w:rPr>
          <w:rFonts w:ascii="Times New Roman" w:hAnsi="Times New Roman"/>
        </w:rPr>
        <w:t>000)</w:t>
      </w:r>
      <w:r w:rsidR="007D4B90" w:rsidRPr="000C67CB">
        <w:rPr>
          <w:rFonts w:ascii="Times New Roman" w:hAnsi="Times New Roman"/>
        </w:rPr>
        <w:t xml:space="preserve"> a</w:t>
      </w:r>
      <w:r w:rsidRPr="000C67CB">
        <w:rPr>
          <w:rFonts w:ascii="Times New Roman" w:hAnsi="Times New Roman"/>
        </w:rPr>
        <w:t xml:space="preserve"> veľmi zriedkavé (&lt; 1/10 000).</w:t>
      </w:r>
    </w:p>
    <w:p w14:paraId="0C33B4DB" w14:textId="77777777" w:rsidR="008A416B" w:rsidRPr="00E660E4" w:rsidRDefault="008A416B">
      <w:pPr>
        <w:autoSpaceDE w:val="0"/>
        <w:autoSpaceDN w:val="0"/>
        <w:adjustRightInd w:val="0"/>
        <w:rPr>
          <w:rFonts w:ascii="Times New Roman" w:hAnsi="Times New Roman"/>
          <w:noProof/>
        </w:rPr>
      </w:pPr>
    </w:p>
    <w:tbl>
      <w:tblPr>
        <w:tblW w:w="9000" w:type="dxa"/>
        <w:tblInd w:w="5" w:type="dxa"/>
        <w:tblLayout w:type="fixed"/>
        <w:tblCellMar>
          <w:left w:w="0" w:type="dxa"/>
          <w:right w:w="0" w:type="dxa"/>
        </w:tblCellMar>
        <w:tblLook w:val="0000" w:firstRow="0" w:lastRow="0" w:firstColumn="0" w:lastColumn="0" w:noHBand="0" w:noVBand="0"/>
      </w:tblPr>
      <w:tblGrid>
        <w:gridCol w:w="1933"/>
        <w:gridCol w:w="1573"/>
        <w:gridCol w:w="1597"/>
        <w:gridCol w:w="2088"/>
        <w:gridCol w:w="1809"/>
      </w:tblGrid>
      <w:tr w:rsidR="00E660E4" w:rsidRPr="00E660E4" w14:paraId="19CCF60D" w14:textId="77777777" w:rsidTr="005D78EE">
        <w:trPr>
          <w:trHeight w:hRule="exact" w:val="499"/>
        </w:trPr>
        <w:tc>
          <w:tcPr>
            <w:tcW w:w="1933" w:type="dxa"/>
            <w:vMerge w:val="restart"/>
            <w:tcBorders>
              <w:top w:val="single" w:sz="4" w:space="0" w:color="000000"/>
              <w:left w:val="single" w:sz="4" w:space="0" w:color="000000"/>
              <w:bottom w:val="single" w:sz="4" w:space="0" w:color="000000"/>
              <w:right w:val="single" w:sz="4" w:space="0" w:color="000000"/>
            </w:tcBorders>
          </w:tcPr>
          <w:p w14:paraId="36ADEAFC" w14:textId="77777777" w:rsidR="008A416B" w:rsidRPr="00E660E4" w:rsidRDefault="008A416B">
            <w:pPr>
              <w:widowControl w:val="0"/>
              <w:autoSpaceDE w:val="0"/>
              <w:autoSpaceDN w:val="0"/>
              <w:adjustRightInd w:val="0"/>
              <w:rPr>
                <w:rFonts w:ascii="Times New Roman" w:hAnsi="Times New Roman"/>
                <w:b/>
              </w:rPr>
            </w:pPr>
          </w:p>
          <w:p w14:paraId="491C8C94"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TOS M</w:t>
            </w:r>
            <w:r w:rsidRPr="00E660E4">
              <w:rPr>
                <w:rFonts w:ascii="Times New Roman" w:hAnsi="Times New Roman"/>
                <w:b/>
                <w:spacing w:val="-1"/>
              </w:rPr>
              <w:t>e</w:t>
            </w:r>
            <w:r w:rsidRPr="00E660E4">
              <w:rPr>
                <w:rFonts w:ascii="Times New Roman" w:hAnsi="Times New Roman"/>
                <w:b/>
              </w:rPr>
              <w:t>dDRA</w:t>
            </w:r>
          </w:p>
        </w:tc>
        <w:tc>
          <w:tcPr>
            <w:tcW w:w="7067" w:type="dxa"/>
            <w:gridSpan w:val="4"/>
            <w:tcBorders>
              <w:top w:val="single" w:sz="4" w:space="0" w:color="000000"/>
              <w:left w:val="single" w:sz="4" w:space="0" w:color="000000"/>
              <w:bottom w:val="single" w:sz="4" w:space="0" w:color="000000"/>
              <w:right w:val="single" w:sz="4" w:space="0" w:color="000000"/>
            </w:tcBorders>
          </w:tcPr>
          <w:p w14:paraId="6749EB18" w14:textId="77777777" w:rsidR="008A416B" w:rsidRPr="00E660E4" w:rsidRDefault="008A416B">
            <w:pPr>
              <w:widowControl w:val="0"/>
              <w:autoSpaceDE w:val="0"/>
              <w:autoSpaceDN w:val="0"/>
              <w:adjustRightInd w:val="0"/>
              <w:ind w:left="2848" w:right="2155"/>
              <w:jc w:val="center"/>
              <w:rPr>
                <w:rFonts w:ascii="Times New Roman" w:hAnsi="Times New Roman"/>
                <w:b/>
              </w:rPr>
            </w:pPr>
            <w:r w:rsidRPr="00E660E4">
              <w:rPr>
                <w:rFonts w:ascii="Times New Roman" w:hAnsi="Times New Roman"/>
                <w:b/>
              </w:rPr>
              <w:t>Kategória</w:t>
            </w:r>
            <w:r w:rsidRPr="00E660E4">
              <w:rPr>
                <w:rFonts w:ascii="Times New Roman" w:hAnsi="Times New Roman"/>
                <w:b/>
                <w:spacing w:val="-1"/>
              </w:rPr>
              <w:t xml:space="preserve"> </w:t>
            </w:r>
            <w:r w:rsidR="00A064BC" w:rsidRPr="00E660E4">
              <w:rPr>
                <w:rFonts w:ascii="Times New Roman" w:hAnsi="Times New Roman"/>
                <w:b/>
                <w:spacing w:val="-1"/>
              </w:rPr>
              <w:t>frekvencie</w:t>
            </w:r>
          </w:p>
        </w:tc>
      </w:tr>
      <w:tr w:rsidR="00E660E4" w:rsidRPr="00E660E4" w14:paraId="12DC3A6F" w14:textId="77777777" w:rsidTr="005D78EE">
        <w:trPr>
          <w:trHeight w:hRule="exact" w:val="532"/>
        </w:trPr>
        <w:tc>
          <w:tcPr>
            <w:tcW w:w="1933" w:type="dxa"/>
            <w:vMerge/>
            <w:tcBorders>
              <w:top w:val="single" w:sz="4" w:space="0" w:color="000000"/>
              <w:left w:val="single" w:sz="4" w:space="0" w:color="000000"/>
              <w:bottom w:val="single" w:sz="4" w:space="0" w:color="000000"/>
              <w:right w:val="single" w:sz="4" w:space="0" w:color="000000"/>
            </w:tcBorders>
          </w:tcPr>
          <w:p w14:paraId="67080DA3" w14:textId="77777777" w:rsidR="008A416B" w:rsidRPr="00E660E4" w:rsidRDefault="008A416B">
            <w:pPr>
              <w:widowControl w:val="0"/>
              <w:autoSpaceDE w:val="0"/>
              <w:autoSpaceDN w:val="0"/>
              <w:adjustRightInd w:val="0"/>
              <w:ind w:left="2848" w:right="2828"/>
              <w:jc w:val="center"/>
              <w:rPr>
                <w:rFonts w:ascii="Times New Roman" w:hAnsi="Times New Roman"/>
                <w:b/>
              </w:rPr>
            </w:pPr>
          </w:p>
        </w:tc>
        <w:tc>
          <w:tcPr>
            <w:tcW w:w="1573" w:type="dxa"/>
            <w:tcBorders>
              <w:top w:val="single" w:sz="4" w:space="0" w:color="000000"/>
              <w:left w:val="single" w:sz="4" w:space="0" w:color="000000"/>
              <w:bottom w:val="single" w:sz="4" w:space="0" w:color="000000"/>
              <w:right w:val="single" w:sz="4" w:space="0" w:color="000000"/>
            </w:tcBorders>
          </w:tcPr>
          <w:p w14:paraId="3B0019E8"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Veľ</w:t>
            </w:r>
            <w:r w:rsidRPr="00E660E4">
              <w:rPr>
                <w:rFonts w:ascii="Times New Roman" w:hAnsi="Times New Roman"/>
                <w:b/>
                <w:spacing w:val="-2"/>
              </w:rPr>
              <w:t>mi</w:t>
            </w:r>
            <w:r w:rsidRPr="00E660E4">
              <w:rPr>
                <w:rFonts w:ascii="Times New Roman" w:hAnsi="Times New Roman"/>
                <w:b/>
                <w:spacing w:val="2"/>
              </w:rPr>
              <w:t xml:space="preserve"> </w:t>
            </w:r>
            <w:r w:rsidRPr="00E660E4">
              <w:rPr>
                <w:rFonts w:ascii="Times New Roman" w:hAnsi="Times New Roman"/>
                <w:b/>
              </w:rPr>
              <w:t>časté</w:t>
            </w:r>
          </w:p>
        </w:tc>
        <w:tc>
          <w:tcPr>
            <w:tcW w:w="1597" w:type="dxa"/>
            <w:tcBorders>
              <w:top w:val="single" w:sz="4" w:space="0" w:color="000000"/>
              <w:left w:val="single" w:sz="4" w:space="0" w:color="000000"/>
              <w:bottom w:val="single" w:sz="4" w:space="0" w:color="000000"/>
              <w:right w:val="single" w:sz="4" w:space="0" w:color="000000"/>
            </w:tcBorders>
          </w:tcPr>
          <w:p w14:paraId="0DEE9E25"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Časté</w:t>
            </w:r>
          </w:p>
        </w:tc>
        <w:tc>
          <w:tcPr>
            <w:tcW w:w="2088" w:type="dxa"/>
            <w:tcBorders>
              <w:top w:val="single" w:sz="4" w:space="0" w:color="000000"/>
              <w:left w:val="single" w:sz="4" w:space="0" w:color="000000"/>
              <w:bottom w:val="single" w:sz="4" w:space="0" w:color="000000"/>
              <w:right w:val="single" w:sz="4" w:space="0" w:color="000000"/>
            </w:tcBorders>
          </w:tcPr>
          <w:p w14:paraId="1635A226"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Me</w:t>
            </w:r>
            <w:r w:rsidRPr="00E660E4">
              <w:rPr>
                <w:rFonts w:ascii="Times New Roman" w:hAnsi="Times New Roman"/>
                <w:b/>
                <w:spacing w:val="1"/>
              </w:rPr>
              <w:t>n</w:t>
            </w:r>
            <w:r w:rsidRPr="00E660E4">
              <w:rPr>
                <w:rFonts w:ascii="Times New Roman" w:hAnsi="Times New Roman"/>
                <w:b/>
              </w:rPr>
              <w:t>ej časté</w:t>
            </w:r>
          </w:p>
        </w:tc>
        <w:tc>
          <w:tcPr>
            <w:tcW w:w="1809" w:type="dxa"/>
            <w:tcBorders>
              <w:top w:val="single" w:sz="4" w:space="0" w:color="000000"/>
              <w:left w:val="single" w:sz="4" w:space="0" w:color="000000"/>
              <w:bottom w:val="single" w:sz="4" w:space="0" w:color="000000"/>
              <w:right w:val="single" w:sz="4" w:space="0" w:color="000000"/>
            </w:tcBorders>
          </w:tcPr>
          <w:p w14:paraId="229A41D5"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Zriedkavé</w:t>
            </w:r>
          </w:p>
        </w:tc>
      </w:tr>
      <w:tr w:rsidR="00E660E4" w:rsidRPr="00E660E4" w14:paraId="5C79F796" w14:textId="77777777" w:rsidTr="005D78EE">
        <w:trPr>
          <w:trHeight w:hRule="exact" w:val="240"/>
        </w:trPr>
        <w:tc>
          <w:tcPr>
            <w:tcW w:w="1933" w:type="dxa"/>
            <w:tcBorders>
              <w:top w:val="single" w:sz="4" w:space="0" w:color="000000"/>
              <w:left w:val="single" w:sz="4" w:space="0" w:color="000000"/>
              <w:bottom w:val="single" w:sz="4" w:space="0" w:color="000000"/>
              <w:right w:val="single" w:sz="4" w:space="0" w:color="000000"/>
            </w:tcBorders>
          </w:tcPr>
          <w:p w14:paraId="25BA74B1"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I</w:t>
            </w:r>
            <w:r w:rsidRPr="00E660E4">
              <w:rPr>
                <w:rFonts w:ascii="Times New Roman" w:hAnsi="Times New Roman"/>
                <w:b/>
                <w:spacing w:val="-1"/>
              </w:rPr>
              <w:t>n</w:t>
            </w:r>
            <w:r w:rsidRPr="00E660E4">
              <w:rPr>
                <w:rFonts w:ascii="Times New Roman" w:hAnsi="Times New Roman"/>
                <w:b/>
              </w:rPr>
              <w:t>fekcie a</w:t>
            </w:r>
            <w:r w:rsidRPr="00E660E4">
              <w:rPr>
                <w:rFonts w:ascii="Times New Roman" w:hAnsi="Times New Roman"/>
                <w:b/>
                <w:spacing w:val="-1"/>
              </w:rPr>
              <w:t xml:space="preserve"> n</w:t>
            </w:r>
            <w:r w:rsidRPr="00E660E4">
              <w:rPr>
                <w:rFonts w:ascii="Times New Roman" w:hAnsi="Times New Roman"/>
                <w:b/>
              </w:rPr>
              <w:t>ák</w:t>
            </w:r>
            <w:r w:rsidRPr="00E660E4">
              <w:rPr>
                <w:rFonts w:ascii="Times New Roman" w:hAnsi="Times New Roman"/>
                <w:b/>
                <w:spacing w:val="-1"/>
              </w:rPr>
              <w:t>a</w:t>
            </w:r>
            <w:r w:rsidRPr="00E660E4">
              <w:rPr>
                <w:rFonts w:ascii="Times New Roman" w:hAnsi="Times New Roman"/>
                <w:b/>
              </w:rPr>
              <w:t>zy</w:t>
            </w:r>
          </w:p>
        </w:tc>
        <w:tc>
          <w:tcPr>
            <w:tcW w:w="1573" w:type="dxa"/>
            <w:tcBorders>
              <w:top w:val="single" w:sz="4" w:space="0" w:color="000000"/>
              <w:left w:val="single" w:sz="4" w:space="0" w:color="000000"/>
              <w:bottom w:val="single" w:sz="4" w:space="0" w:color="000000"/>
              <w:right w:val="single" w:sz="4" w:space="0" w:color="000000"/>
            </w:tcBorders>
          </w:tcPr>
          <w:p w14:paraId="7D1B5EE6"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Nazofar</w:t>
            </w:r>
            <w:r w:rsidRPr="00E660E4">
              <w:rPr>
                <w:rFonts w:ascii="Times New Roman" w:hAnsi="Times New Roman"/>
                <w:spacing w:val="-2"/>
              </w:rPr>
              <w:t>y</w:t>
            </w:r>
            <w:r w:rsidRPr="00E660E4">
              <w:rPr>
                <w:rFonts w:ascii="Times New Roman" w:hAnsi="Times New Roman"/>
                <w:spacing w:val="1"/>
              </w:rPr>
              <w:t>ng</w:t>
            </w:r>
            <w:r w:rsidRPr="00E660E4">
              <w:rPr>
                <w:rFonts w:ascii="Times New Roman" w:hAnsi="Times New Roman"/>
              </w:rPr>
              <w:t>itída</w:t>
            </w:r>
          </w:p>
        </w:tc>
        <w:tc>
          <w:tcPr>
            <w:tcW w:w="1597" w:type="dxa"/>
            <w:tcBorders>
              <w:top w:val="single" w:sz="4" w:space="0" w:color="000000"/>
              <w:left w:val="single" w:sz="4" w:space="0" w:color="000000"/>
              <w:bottom w:val="single" w:sz="4" w:space="0" w:color="000000"/>
              <w:right w:val="single" w:sz="4" w:space="0" w:color="000000"/>
            </w:tcBorders>
          </w:tcPr>
          <w:p w14:paraId="1E148B07" w14:textId="77777777" w:rsidR="008A416B" w:rsidRPr="00E660E4" w:rsidRDefault="008A416B">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15264D8F" w14:textId="77777777" w:rsidR="008A416B" w:rsidRPr="00E660E4" w:rsidRDefault="008A416B">
            <w:pPr>
              <w:widowControl w:val="0"/>
              <w:autoSpaceDE w:val="0"/>
              <w:autoSpaceDN w:val="0"/>
              <w:adjustRightInd w:val="0"/>
              <w:rPr>
                <w:rFonts w:ascii="Times New Roman" w:hAnsi="Times New Roman"/>
              </w:rPr>
            </w:pPr>
          </w:p>
        </w:tc>
        <w:tc>
          <w:tcPr>
            <w:tcW w:w="1809" w:type="dxa"/>
            <w:tcBorders>
              <w:top w:val="single" w:sz="4" w:space="0" w:color="000000"/>
              <w:left w:val="single" w:sz="4" w:space="0" w:color="000000"/>
              <w:bottom w:val="single" w:sz="4" w:space="0" w:color="000000"/>
              <w:right w:val="single" w:sz="4" w:space="0" w:color="000000"/>
            </w:tcBorders>
          </w:tcPr>
          <w:p w14:paraId="797A1B65" w14:textId="77777777" w:rsidR="008A416B" w:rsidRPr="00E660E4" w:rsidRDefault="008A416B">
            <w:pPr>
              <w:widowControl w:val="0"/>
              <w:autoSpaceDE w:val="0"/>
              <w:autoSpaceDN w:val="0"/>
              <w:adjustRightInd w:val="0"/>
              <w:ind w:left="103" w:right="-20"/>
              <w:rPr>
                <w:rFonts w:ascii="Times New Roman" w:hAnsi="Times New Roman"/>
              </w:rPr>
            </w:pPr>
            <w:r w:rsidRPr="00E660E4">
              <w:rPr>
                <w:rFonts w:ascii="Times New Roman" w:hAnsi="Times New Roman"/>
              </w:rPr>
              <w:t>Infe</w:t>
            </w:r>
            <w:r w:rsidRPr="00E660E4">
              <w:rPr>
                <w:rFonts w:ascii="Times New Roman" w:hAnsi="Times New Roman"/>
                <w:spacing w:val="1"/>
              </w:rPr>
              <w:t>k</w:t>
            </w:r>
            <w:r w:rsidRPr="00E660E4">
              <w:rPr>
                <w:rFonts w:ascii="Times New Roman" w:hAnsi="Times New Roman"/>
              </w:rPr>
              <w:t>cia</w:t>
            </w:r>
          </w:p>
        </w:tc>
      </w:tr>
      <w:tr w:rsidR="00E660E4" w:rsidRPr="00E660E4" w14:paraId="255619B5" w14:textId="77777777" w:rsidTr="0055326E">
        <w:trPr>
          <w:trHeight w:hRule="exact" w:val="792"/>
        </w:trPr>
        <w:tc>
          <w:tcPr>
            <w:tcW w:w="1933" w:type="dxa"/>
            <w:tcBorders>
              <w:top w:val="single" w:sz="4" w:space="0" w:color="000000"/>
              <w:left w:val="single" w:sz="4" w:space="0" w:color="000000"/>
              <w:bottom w:val="single" w:sz="4" w:space="0" w:color="000000"/>
              <w:right w:val="single" w:sz="4" w:space="0" w:color="000000"/>
            </w:tcBorders>
          </w:tcPr>
          <w:p w14:paraId="4E1C261C"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spacing w:val="1"/>
              </w:rPr>
              <w:t>Po</w:t>
            </w:r>
            <w:r w:rsidRPr="00E660E4">
              <w:rPr>
                <w:rFonts w:ascii="Times New Roman" w:hAnsi="Times New Roman"/>
                <w:b/>
                <w:spacing w:val="-1"/>
              </w:rPr>
              <w:t>r</w:t>
            </w:r>
            <w:r w:rsidRPr="00E660E4">
              <w:rPr>
                <w:rFonts w:ascii="Times New Roman" w:hAnsi="Times New Roman"/>
                <w:b/>
                <w:spacing w:val="1"/>
              </w:rPr>
              <w:t>u</w:t>
            </w:r>
            <w:r w:rsidRPr="00E660E4">
              <w:rPr>
                <w:rFonts w:ascii="Times New Roman" w:hAnsi="Times New Roman"/>
                <w:b/>
                <w:spacing w:val="-1"/>
              </w:rPr>
              <w:t>c</w:t>
            </w:r>
            <w:r w:rsidRPr="00E660E4">
              <w:rPr>
                <w:rFonts w:ascii="Times New Roman" w:hAnsi="Times New Roman"/>
                <w:b/>
                <w:spacing w:val="1"/>
              </w:rPr>
              <w:t>hy</w:t>
            </w:r>
            <w:r w:rsidRPr="00E660E4">
              <w:rPr>
                <w:rFonts w:ascii="Times New Roman" w:hAnsi="Times New Roman"/>
                <w:b/>
                <w:spacing w:val="-2"/>
              </w:rPr>
              <w:t xml:space="preserve"> </w:t>
            </w:r>
            <w:r w:rsidRPr="00E660E4">
              <w:rPr>
                <w:rFonts w:ascii="Times New Roman" w:hAnsi="Times New Roman"/>
                <w:b/>
                <w:spacing w:val="1"/>
              </w:rPr>
              <w:t>k</w:t>
            </w:r>
            <w:r w:rsidRPr="00E660E4">
              <w:rPr>
                <w:rFonts w:ascii="Times New Roman" w:hAnsi="Times New Roman"/>
                <w:b/>
                <w:spacing w:val="-1"/>
              </w:rPr>
              <w:t>r</w:t>
            </w:r>
            <w:r w:rsidRPr="00E660E4">
              <w:rPr>
                <w:rFonts w:ascii="Times New Roman" w:hAnsi="Times New Roman"/>
                <w:b/>
                <w:spacing w:val="1"/>
              </w:rPr>
              <w:t>vi</w:t>
            </w:r>
          </w:p>
          <w:p w14:paraId="28EEDA3D"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a l</w:t>
            </w:r>
            <w:r w:rsidRPr="00E660E4">
              <w:rPr>
                <w:rFonts w:ascii="Times New Roman" w:hAnsi="Times New Roman"/>
                <w:b/>
                <w:spacing w:val="1"/>
              </w:rPr>
              <w:t>y</w:t>
            </w:r>
            <w:r w:rsidRPr="00E660E4">
              <w:rPr>
                <w:rFonts w:ascii="Times New Roman" w:hAnsi="Times New Roman"/>
                <w:b/>
                <w:spacing w:val="-2"/>
              </w:rPr>
              <w:t>m</w:t>
            </w:r>
            <w:r w:rsidRPr="00E660E4">
              <w:rPr>
                <w:rFonts w:ascii="Times New Roman" w:hAnsi="Times New Roman"/>
                <w:b/>
              </w:rPr>
              <w:t>fatic</w:t>
            </w:r>
            <w:r w:rsidRPr="00E660E4">
              <w:rPr>
                <w:rFonts w:ascii="Times New Roman" w:hAnsi="Times New Roman"/>
                <w:b/>
                <w:spacing w:val="1"/>
              </w:rPr>
              <w:t>k</w:t>
            </w:r>
            <w:r w:rsidRPr="00E660E4">
              <w:rPr>
                <w:rFonts w:ascii="Times New Roman" w:hAnsi="Times New Roman"/>
                <w:b/>
              </w:rPr>
              <w:t>é</w:t>
            </w:r>
            <w:r w:rsidRPr="00E660E4">
              <w:rPr>
                <w:rFonts w:ascii="Times New Roman" w:hAnsi="Times New Roman"/>
                <w:b/>
                <w:spacing w:val="1"/>
              </w:rPr>
              <w:t>h</w:t>
            </w:r>
            <w:r w:rsidRPr="00E660E4">
              <w:rPr>
                <w:rFonts w:ascii="Times New Roman" w:hAnsi="Times New Roman"/>
                <w:b/>
              </w:rPr>
              <w:t>o</w:t>
            </w:r>
          </w:p>
          <w:p w14:paraId="6E37165F"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syst</w:t>
            </w:r>
            <w:r w:rsidRPr="00E660E4">
              <w:rPr>
                <w:rFonts w:ascii="Times New Roman" w:hAnsi="Times New Roman"/>
                <w:b/>
                <w:spacing w:val="1"/>
              </w:rPr>
              <w:t>é</w:t>
            </w:r>
            <w:r w:rsidRPr="00E660E4">
              <w:rPr>
                <w:rFonts w:ascii="Times New Roman" w:hAnsi="Times New Roman"/>
                <w:b/>
                <w:spacing w:val="-2"/>
              </w:rPr>
              <w:t>m</w:t>
            </w:r>
            <w:r w:rsidRPr="00E660E4">
              <w:rPr>
                <w:rFonts w:ascii="Times New Roman" w:hAnsi="Times New Roman"/>
                <w:b/>
              </w:rPr>
              <w:t>u</w:t>
            </w:r>
          </w:p>
        </w:tc>
        <w:tc>
          <w:tcPr>
            <w:tcW w:w="1573" w:type="dxa"/>
            <w:tcBorders>
              <w:top w:val="single" w:sz="4" w:space="0" w:color="000000"/>
              <w:left w:val="single" w:sz="4" w:space="0" w:color="000000"/>
              <w:bottom w:val="single" w:sz="4" w:space="0" w:color="000000"/>
              <w:right w:val="single" w:sz="4" w:space="0" w:color="000000"/>
            </w:tcBorders>
          </w:tcPr>
          <w:p w14:paraId="52622DE7"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1B87C645" w14:textId="77777777" w:rsidR="008A416B" w:rsidRPr="00E660E4" w:rsidRDefault="008A416B">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42CE0641" w14:textId="77777777" w:rsidR="008A416B" w:rsidRPr="00E660E4" w:rsidRDefault="008A416B">
            <w:pPr>
              <w:widowControl w:val="0"/>
              <w:autoSpaceDE w:val="0"/>
              <w:autoSpaceDN w:val="0"/>
              <w:adjustRightInd w:val="0"/>
              <w:ind w:left="102" w:right="445"/>
              <w:rPr>
                <w:rFonts w:ascii="Times New Roman" w:hAnsi="Times New Roman"/>
              </w:rPr>
            </w:pPr>
            <w:r w:rsidRPr="00E660E4">
              <w:rPr>
                <w:rFonts w:ascii="Times New Roman" w:hAnsi="Times New Roman"/>
              </w:rPr>
              <w:t>Tro</w:t>
            </w:r>
            <w:r w:rsidRPr="00E660E4">
              <w:rPr>
                <w:rFonts w:ascii="Times New Roman" w:hAnsi="Times New Roman"/>
                <w:spacing w:val="-2"/>
              </w:rPr>
              <w:t>m</w:t>
            </w:r>
            <w:r w:rsidRPr="00E660E4">
              <w:rPr>
                <w:rFonts w:ascii="Times New Roman" w:hAnsi="Times New Roman"/>
              </w:rPr>
              <w:t>boc</w:t>
            </w:r>
            <w:r w:rsidRPr="00E660E4">
              <w:rPr>
                <w:rFonts w:ascii="Times New Roman" w:hAnsi="Times New Roman"/>
                <w:spacing w:val="-1"/>
              </w:rPr>
              <w:t>y</w:t>
            </w:r>
            <w:r w:rsidRPr="00E660E4">
              <w:rPr>
                <w:rFonts w:ascii="Times New Roman" w:hAnsi="Times New Roman"/>
              </w:rPr>
              <w:t>t</w:t>
            </w:r>
            <w:r w:rsidRPr="00E660E4">
              <w:rPr>
                <w:rFonts w:ascii="Times New Roman" w:hAnsi="Times New Roman"/>
                <w:spacing w:val="-1"/>
              </w:rPr>
              <w:t>o</w:t>
            </w:r>
            <w:r w:rsidRPr="00E660E4">
              <w:rPr>
                <w:rFonts w:ascii="Times New Roman" w:hAnsi="Times New Roman"/>
                <w:spacing w:val="1"/>
              </w:rPr>
              <w:t>p</w:t>
            </w:r>
            <w:r w:rsidRPr="00E660E4">
              <w:rPr>
                <w:rFonts w:ascii="Times New Roman" w:hAnsi="Times New Roman"/>
                <w:spacing w:val="-1"/>
              </w:rPr>
              <w:t>é</w:t>
            </w:r>
            <w:r w:rsidRPr="00E660E4">
              <w:rPr>
                <w:rFonts w:ascii="Times New Roman" w:hAnsi="Times New Roman"/>
                <w:spacing w:val="1"/>
              </w:rPr>
              <w:t>n</w:t>
            </w:r>
            <w:r w:rsidRPr="00E660E4">
              <w:rPr>
                <w:rFonts w:ascii="Times New Roman" w:hAnsi="Times New Roman"/>
              </w:rPr>
              <w:t>ia, le</w:t>
            </w:r>
            <w:r w:rsidRPr="00E660E4">
              <w:rPr>
                <w:rFonts w:ascii="Times New Roman" w:hAnsi="Times New Roman"/>
                <w:spacing w:val="1"/>
              </w:rPr>
              <w:t>u</w:t>
            </w:r>
            <w:r w:rsidRPr="00E660E4">
              <w:rPr>
                <w:rFonts w:ascii="Times New Roman" w:hAnsi="Times New Roman"/>
                <w:spacing w:val="-1"/>
              </w:rPr>
              <w:t>k</w:t>
            </w:r>
            <w:r w:rsidRPr="00E660E4">
              <w:rPr>
                <w:rFonts w:ascii="Times New Roman" w:hAnsi="Times New Roman"/>
                <w:spacing w:val="1"/>
              </w:rPr>
              <w:t>op</w:t>
            </w:r>
            <w:r w:rsidRPr="00E660E4">
              <w:rPr>
                <w:rFonts w:ascii="Times New Roman" w:hAnsi="Times New Roman"/>
                <w:spacing w:val="-1"/>
              </w:rPr>
              <w:t>é</w:t>
            </w:r>
            <w:r w:rsidRPr="00E660E4">
              <w:rPr>
                <w:rFonts w:ascii="Times New Roman" w:hAnsi="Times New Roman"/>
                <w:spacing w:val="1"/>
              </w:rPr>
              <w:t>n</w:t>
            </w:r>
            <w:r w:rsidRPr="00E660E4">
              <w:rPr>
                <w:rFonts w:ascii="Times New Roman" w:hAnsi="Times New Roman"/>
              </w:rPr>
              <w:t>ia</w:t>
            </w:r>
          </w:p>
        </w:tc>
        <w:tc>
          <w:tcPr>
            <w:tcW w:w="1809" w:type="dxa"/>
            <w:tcBorders>
              <w:top w:val="single" w:sz="4" w:space="0" w:color="000000"/>
              <w:left w:val="single" w:sz="4" w:space="0" w:color="000000"/>
              <w:bottom w:val="single" w:sz="4" w:space="0" w:color="000000"/>
              <w:right w:val="single" w:sz="4" w:space="0" w:color="000000"/>
            </w:tcBorders>
          </w:tcPr>
          <w:p w14:paraId="74D2C680"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Pa</w:t>
            </w:r>
            <w:r w:rsidRPr="00E660E4">
              <w:rPr>
                <w:rFonts w:ascii="Times New Roman" w:hAnsi="Times New Roman"/>
                <w:spacing w:val="1"/>
              </w:rPr>
              <w:t>n</w:t>
            </w:r>
            <w:r w:rsidRPr="00E660E4">
              <w:rPr>
                <w:rFonts w:ascii="Times New Roman" w:hAnsi="Times New Roman"/>
              </w:rPr>
              <w:t>cyto</w:t>
            </w:r>
            <w:r w:rsidRPr="00E660E4">
              <w:rPr>
                <w:rFonts w:ascii="Times New Roman" w:hAnsi="Times New Roman"/>
                <w:spacing w:val="1"/>
              </w:rPr>
              <w:t>p</w:t>
            </w:r>
            <w:r w:rsidRPr="00E660E4">
              <w:rPr>
                <w:rFonts w:ascii="Times New Roman" w:hAnsi="Times New Roman"/>
              </w:rPr>
              <w:t>é</w:t>
            </w:r>
            <w:r w:rsidRPr="00E660E4">
              <w:rPr>
                <w:rFonts w:ascii="Times New Roman" w:hAnsi="Times New Roman"/>
                <w:spacing w:val="1"/>
              </w:rPr>
              <w:t>n</w:t>
            </w:r>
            <w:r w:rsidRPr="00E660E4">
              <w:rPr>
                <w:rFonts w:ascii="Times New Roman" w:hAnsi="Times New Roman"/>
              </w:rPr>
              <w:t>ia,</w:t>
            </w:r>
          </w:p>
          <w:p w14:paraId="55160300"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spacing w:val="1"/>
              </w:rPr>
              <w:t>neu</w:t>
            </w:r>
            <w:r w:rsidRPr="00E660E4">
              <w:rPr>
                <w:rFonts w:ascii="Times New Roman" w:hAnsi="Times New Roman"/>
                <w:spacing w:val="-2"/>
              </w:rPr>
              <w:t>t</w:t>
            </w:r>
            <w:r w:rsidRPr="00E660E4">
              <w:rPr>
                <w:rFonts w:ascii="Times New Roman" w:hAnsi="Times New Roman"/>
                <w:spacing w:val="1"/>
              </w:rPr>
              <w:t>r</w:t>
            </w:r>
            <w:r w:rsidRPr="00E660E4">
              <w:rPr>
                <w:rFonts w:ascii="Times New Roman" w:hAnsi="Times New Roman"/>
                <w:spacing w:val="-1"/>
              </w:rPr>
              <w:t>o</w:t>
            </w:r>
            <w:r w:rsidRPr="00E660E4">
              <w:rPr>
                <w:rFonts w:ascii="Times New Roman" w:hAnsi="Times New Roman"/>
                <w:spacing w:val="1"/>
              </w:rPr>
              <w:t>p</w:t>
            </w:r>
            <w:r w:rsidRPr="00E660E4">
              <w:rPr>
                <w:rFonts w:ascii="Times New Roman" w:hAnsi="Times New Roman"/>
                <w:spacing w:val="-1"/>
              </w:rPr>
              <w:t>é</w:t>
            </w:r>
            <w:r w:rsidRPr="00E660E4">
              <w:rPr>
                <w:rFonts w:ascii="Times New Roman" w:hAnsi="Times New Roman"/>
                <w:spacing w:val="1"/>
              </w:rPr>
              <w:t>n</w:t>
            </w:r>
            <w:r w:rsidRPr="00E660E4">
              <w:rPr>
                <w:rFonts w:ascii="Times New Roman" w:hAnsi="Times New Roman"/>
                <w:spacing w:val="-1"/>
              </w:rPr>
              <w:t>i</w:t>
            </w:r>
            <w:r w:rsidRPr="00E660E4">
              <w:rPr>
                <w:rFonts w:ascii="Times New Roman" w:hAnsi="Times New Roman"/>
              </w:rPr>
              <w:t>a,</w:t>
            </w:r>
          </w:p>
          <w:p w14:paraId="487E036C"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agranulocytóza</w:t>
            </w:r>
          </w:p>
        </w:tc>
      </w:tr>
      <w:tr w:rsidR="00E660E4" w:rsidRPr="00E660E4" w14:paraId="04B8AE6A" w14:textId="77777777" w:rsidTr="00D71043">
        <w:trPr>
          <w:trHeight w:hRule="exact" w:val="2285"/>
        </w:trPr>
        <w:tc>
          <w:tcPr>
            <w:tcW w:w="1933" w:type="dxa"/>
            <w:tcBorders>
              <w:top w:val="single" w:sz="4" w:space="0" w:color="000000"/>
              <w:left w:val="single" w:sz="4" w:space="0" w:color="000000"/>
              <w:bottom w:val="single" w:sz="4" w:space="0" w:color="000000"/>
              <w:right w:val="single" w:sz="4" w:space="0" w:color="000000"/>
            </w:tcBorders>
          </w:tcPr>
          <w:p w14:paraId="7324F590" w14:textId="77777777" w:rsidR="008A416B" w:rsidRPr="00E660E4" w:rsidRDefault="008A416B" w:rsidP="00E660E4">
            <w:pPr>
              <w:widowControl w:val="0"/>
              <w:autoSpaceDE w:val="0"/>
              <w:autoSpaceDN w:val="0"/>
              <w:adjustRightInd w:val="0"/>
              <w:ind w:left="102" w:right="-20"/>
              <w:rPr>
                <w:rFonts w:ascii="Times New Roman" w:hAnsi="Times New Roman"/>
                <w:b/>
                <w:spacing w:val="1"/>
              </w:rPr>
            </w:pPr>
            <w:r w:rsidRPr="00E660E4">
              <w:rPr>
                <w:rFonts w:ascii="Times New Roman" w:hAnsi="Times New Roman"/>
                <w:b/>
                <w:spacing w:val="1"/>
              </w:rPr>
              <w:t>Poruchy imunitného systému</w:t>
            </w:r>
          </w:p>
        </w:tc>
        <w:tc>
          <w:tcPr>
            <w:tcW w:w="1573" w:type="dxa"/>
            <w:tcBorders>
              <w:top w:val="single" w:sz="4" w:space="0" w:color="000000"/>
              <w:left w:val="single" w:sz="4" w:space="0" w:color="000000"/>
              <w:bottom w:val="single" w:sz="4" w:space="0" w:color="000000"/>
              <w:right w:val="single" w:sz="4" w:space="0" w:color="000000"/>
            </w:tcBorders>
          </w:tcPr>
          <w:p w14:paraId="6BED9A15"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153D12BD" w14:textId="77777777" w:rsidR="008A416B" w:rsidRPr="00E660E4" w:rsidRDefault="008A416B">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6304A0EB" w14:textId="77777777" w:rsidR="008A416B" w:rsidRPr="00E660E4" w:rsidRDefault="008A416B">
            <w:pPr>
              <w:widowControl w:val="0"/>
              <w:autoSpaceDE w:val="0"/>
              <w:autoSpaceDN w:val="0"/>
              <w:adjustRightInd w:val="0"/>
              <w:ind w:left="102" w:right="445"/>
              <w:rPr>
                <w:rFonts w:ascii="Times New Roman" w:hAnsi="Times New Roman"/>
              </w:rPr>
            </w:pPr>
          </w:p>
        </w:tc>
        <w:tc>
          <w:tcPr>
            <w:tcW w:w="1809" w:type="dxa"/>
            <w:tcBorders>
              <w:top w:val="single" w:sz="4" w:space="0" w:color="000000"/>
              <w:left w:val="single" w:sz="4" w:space="0" w:color="000000"/>
              <w:bottom w:val="single" w:sz="4" w:space="0" w:color="000000"/>
              <w:right w:val="single" w:sz="4" w:space="0" w:color="000000"/>
            </w:tcBorders>
          </w:tcPr>
          <w:p w14:paraId="439E436B" w14:textId="77777777" w:rsidR="008A416B" w:rsidRPr="00E660E4" w:rsidRDefault="008A416B">
            <w:pPr>
              <w:autoSpaceDE w:val="0"/>
              <w:autoSpaceDN w:val="0"/>
              <w:adjustRightInd w:val="0"/>
              <w:rPr>
                <w:rFonts w:ascii="Times New Roman" w:hAnsi="Times New Roman"/>
              </w:rPr>
            </w:pPr>
            <w:r w:rsidRPr="00E660E4">
              <w:rPr>
                <w:rFonts w:ascii="Times New Roman" w:hAnsi="Times New Roman"/>
              </w:rPr>
              <w:t>Lieková reakcia s eozinofíliou a systémovými symptómami (DRESS)</w:t>
            </w:r>
            <w:r w:rsidR="007178B3" w:rsidRPr="000C67CB">
              <w:rPr>
                <w:rFonts w:ascii="Times New Roman" w:hAnsi="Times New Roman"/>
                <w:lang w:eastAsia="sk-SK"/>
              </w:rPr>
              <w:t xml:space="preserve"> </w:t>
            </w:r>
          </w:p>
          <w:p w14:paraId="298D36DD" w14:textId="77777777" w:rsidR="007178B3" w:rsidRPr="000C67CB" w:rsidRDefault="007178B3">
            <w:pPr>
              <w:autoSpaceDE w:val="0"/>
              <w:autoSpaceDN w:val="0"/>
              <w:adjustRightInd w:val="0"/>
              <w:rPr>
                <w:rFonts w:ascii="Times New Roman" w:hAnsi="Times New Roman"/>
                <w:lang w:eastAsia="sk-SK"/>
              </w:rPr>
            </w:pPr>
            <w:r w:rsidRPr="000C67CB">
              <w:rPr>
                <w:rFonts w:ascii="Times New Roman" w:hAnsi="Times New Roman"/>
                <w:lang w:eastAsia="sk-SK"/>
              </w:rPr>
              <w:t>hypersenzitivita</w:t>
            </w:r>
          </w:p>
          <w:p w14:paraId="297E91B5" w14:textId="77777777" w:rsidR="007178B3" w:rsidRPr="000C67CB" w:rsidRDefault="007178B3">
            <w:pPr>
              <w:autoSpaceDE w:val="0"/>
              <w:autoSpaceDN w:val="0"/>
              <w:adjustRightInd w:val="0"/>
              <w:rPr>
                <w:rFonts w:ascii="Times New Roman" w:hAnsi="Times New Roman"/>
                <w:lang w:eastAsia="sk-SK"/>
              </w:rPr>
            </w:pPr>
            <w:r w:rsidRPr="000C67CB">
              <w:rPr>
                <w:rFonts w:ascii="Times New Roman" w:hAnsi="Times New Roman"/>
                <w:lang w:eastAsia="sk-SK"/>
              </w:rPr>
              <w:t>(vrátane</w:t>
            </w:r>
          </w:p>
          <w:p w14:paraId="77A882ED" w14:textId="77777777" w:rsidR="007178B3" w:rsidRPr="000C67CB" w:rsidRDefault="007178B3">
            <w:pPr>
              <w:autoSpaceDE w:val="0"/>
              <w:autoSpaceDN w:val="0"/>
              <w:adjustRightInd w:val="0"/>
              <w:rPr>
                <w:rFonts w:ascii="Times New Roman" w:hAnsi="Times New Roman"/>
                <w:lang w:eastAsia="sk-SK"/>
              </w:rPr>
            </w:pPr>
            <w:r w:rsidRPr="000C67CB">
              <w:rPr>
                <w:rFonts w:ascii="Times New Roman" w:hAnsi="Times New Roman"/>
                <w:lang w:eastAsia="sk-SK"/>
              </w:rPr>
              <w:t>angioedému a</w:t>
            </w:r>
          </w:p>
          <w:p w14:paraId="16B3A474" w14:textId="77777777" w:rsidR="007178B3" w:rsidRPr="00E660E4" w:rsidRDefault="007178B3">
            <w:pPr>
              <w:widowControl w:val="0"/>
              <w:autoSpaceDE w:val="0"/>
              <w:autoSpaceDN w:val="0"/>
              <w:adjustRightInd w:val="0"/>
              <w:ind w:right="-20"/>
              <w:rPr>
                <w:rFonts w:ascii="Times New Roman" w:hAnsi="Times New Roman"/>
              </w:rPr>
            </w:pPr>
            <w:r w:rsidRPr="000C67CB">
              <w:rPr>
                <w:rFonts w:ascii="Times New Roman" w:hAnsi="Times New Roman"/>
                <w:lang w:eastAsia="sk-SK"/>
              </w:rPr>
              <w:t>anafylaxie)</w:t>
            </w:r>
          </w:p>
        </w:tc>
      </w:tr>
      <w:tr w:rsidR="00E660E4" w:rsidRPr="00E660E4" w14:paraId="463C1540" w14:textId="77777777" w:rsidTr="0055326E">
        <w:trPr>
          <w:trHeight w:hRule="exact" w:val="792"/>
        </w:trPr>
        <w:tc>
          <w:tcPr>
            <w:tcW w:w="1933" w:type="dxa"/>
            <w:tcBorders>
              <w:top w:val="single" w:sz="4" w:space="0" w:color="000000"/>
              <w:left w:val="single" w:sz="4" w:space="0" w:color="000000"/>
              <w:bottom w:val="single" w:sz="4" w:space="0" w:color="000000"/>
              <w:right w:val="single" w:sz="4" w:space="0" w:color="000000"/>
            </w:tcBorders>
          </w:tcPr>
          <w:p w14:paraId="3C07DBCB"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Poru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w:t>
            </w:r>
          </w:p>
          <w:p w14:paraId="1487D8EF"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meta</w:t>
            </w:r>
            <w:r w:rsidRPr="00E660E4">
              <w:rPr>
                <w:rFonts w:ascii="Times New Roman" w:hAnsi="Times New Roman"/>
                <w:b/>
                <w:spacing w:val="1"/>
              </w:rPr>
              <w:t>bo</w:t>
            </w:r>
            <w:r w:rsidRPr="00E660E4">
              <w:rPr>
                <w:rFonts w:ascii="Times New Roman" w:hAnsi="Times New Roman"/>
                <w:b/>
              </w:rPr>
              <w:t>li</w:t>
            </w:r>
            <w:r w:rsidRPr="00E660E4">
              <w:rPr>
                <w:rFonts w:ascii="Times New Roman" w:hAnsi="Times New Roman"/>
                <w:b/>
                <w:spacing w:val="1"/>
              </w:rPr>
              <w:t>z</w:t>
            </w:r>
            <w:r w:rsidRPr="00E660E4">
              <w:rPr>
                <w:rFonts w:ascii="Times New Roman" w:hAnsi="Times New Roman"/>
                <w:b/>
                <w:spacing w:val="-2"/>
              </w:rPr>
              <w:t>m</w:t>
            </w:r>
            <w:r w:rsidRPr="00E660E4">
              <w:rPr>
                <w:rFonts w:ascii="Times New Roman" w:hAnsi="Times New Roman"/>
                <w:b/>
              </w:rPr>
              <w:t>u</w:t>
            </w:r>
            <w:r w:rsidRPr="00E660E4">
              <w:rPr>
                <w:rFonts w:ascii="Times New Roman" w:hAnsi="Times New Roman"/>
                <w:b/>
                <w:spacing w:val="1"/>
              </w:rPr>
              <w:t xml:space="preserve"> </w:t>
            </w:r>
            <w:r w:rsidRPr="00E660E4">
              <w:rPr>
                <w:rFonts w:ascii="Times New Roman" w:hAnsi="Times New Roman"/>
                <w:b/>
              </w:rPr>
              <w:t>a</w:t>
            </w:r>
          </w:p>
          <w:p w14:paraId="3A9A08AA"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výž</w:t>
            </w:r>
            <w:r w:rsidRPr="00E660E4">
              <w:rPr>
                <w:rFonts w:ascii="Times New Roman" w:hAnsi="Times New Roman"/>
                <w:b/>
                <w:spacing w:val="-2"/>
              </w:rPr>
              <w:t>i</w:t>
            </w:r>
            <w:r w:rsidRPr="00E660E4">
              <w:rPr>
                <w:rFonts w:ascii="Times New Roman" w:hAnsi="Times New Roman"/>
                <w:b/>
                <w:spacing w:val="1"/>
              </w:rPr>
              <w:t>v</w:t>
            </w:r>
            <w:r w:rsidRPr="00E660E4">
              <w:rPr>
                <w:rFonts w:ascii="Times New Roman" w:hAnsi="Times New Roman"/>
                <w:b/>
              </w:rPr>
              <w:t>y</w:t>
            </w:r>
          </w:p>
        </w:tc>
        <w:tc>
          <w:tcPr>
            <w:tcW w:w="1573" w:type="dxa"/>
            <w:tcBorders>
              <w:top w:val="single" w:sz="4" w:space="0" w:color="000000"/>
              <w:left w:val="single" w:sz="4" w:space="0" w:color="000000"/>
              <w:bottom w:val="single" w:sz="4" w:space="0" w:color="000000"/>
              <w:right w:val="single" w:sz="4" w:space="0" w:color="000000"/>
            </w:tcBorders>
          </w:tcPr>
          <w:p w14:paraId="424B324E"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59D5BE4A"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A</w:t>
            </w:r>
            <w:r w:rsidRPr="00E660E4">
              <w:rPr>
                <w:rFonts w:ascii="Times New Roman" w:hAnsi="Times New Roman"/>
                <w:spacing w:val="-1"/>
              </w:rPr>
              <w:t>n</w:t>
            </w:r>
            <w:r w:rsidRPr="00E660E4">
              <w:rPr>
                <w:rFonts w:ascii="Times New Roman" w:hAnsi="Times New Roman"/>
              </w:rPr>
              <w:t>o</w:t>
            </w:r>
            <w:r w:rsidRPr="00E660E4">
              <w:rPr>
                <w:rFonts w:ascii="Times New Roman" w:hAnsi="Times New Roman"/>
                <w:spacing w:val="-1"/>
              </w:rPr>
              <w:t>r</w:t>
            </w:r>
            <w:r w:rsidRPr="00E660E4">
              <w:rPr>
                <w:rFonts w:ascii="Times New Roman" w:hAnsi="Times New Roman"/>
              </w:rPr>
              <w:t>exia</w:t>
            </w:r>
          </w:p>
        </w:tc>
        <w:tc>
          <w:tcPr>
            <w:tcW w:w="2088" w:type="dxa"/>
            <w:tcBorders>
              <w:top w:val="single" w:sz="4" w:space="0" w:color="000000"/>
              <w:left w:val="single" w:sz="4" w:space="0" w:color="000000"/>
              <w:bottom w:val="single" w:sz="4" w:space="0" w:color="000000"/>
              <w:right w:val="single" w:sz="4" w:space="0" w:color="000000"/>
            </w:tcBorders>
          </w:tcPr>
          <w:p w14:paraId="77F2028F"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Zníženie</w:t>
            </w:r>
            <w:r w:rsidRPr="00E660E4">
              <w:rPr>
                <w:rFonts w:ascii="Times New Roman" w:hAnsi="Times New Roman"/>
                <w:spacing w:val="-1"/>
              </w:rPr>
              <w:t xml:space="preserve"> </w:t>
            </w:r>
            <w:r w:rsidRPr="00E660E4">
              <w:rPr>
                <w:rFonts w:ascii="Times New Roman" w:hAnsi="Times New Roman"/>
              </w:rPr>
              <w:t>h</w:t>
            </w:r>
            <w:r w:rsidRPr="00E660E4">
              <w:rPr>
                <w:rFonts w:ascii="Times New Roman" w:hAnsi="Times New Roman"/>
                <w:spacing w:val="-2"/>
              </w:rPr>
              <w:t>m</w:t>
            </w:r>
            <w:r w:rsidRPr="00E660E4">
              <w:rPr>
                <w:rFonts w:ascii="Times New Roman" w:hAnsi="Times New Roman"/>
              </w:rPr>
              <w:t>otnost</w:t>
            </w:r>
            <w:r w:rsidRPr="00E660E4">
              <w:rPr>
                <w:rFonts w:ascii="Times New Roman" w:hAnsi="Times New Roman"/>
                <w:spacing w:val="-2"/>
              </w:rPr>
              <w:t>i</w:t>
            </w:r>
            <w:r w:rsidRPr="00E660E4">
              <w:rPr>
                <w:rFonts w:ascii="Times New Roman" w:hAnsi="Times New Roman"/>
              </w:rPr>
              <w:t>,</w:t>
            </w:r>
          </w:p>
          <w:p w14:paraId="1A591473"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zv</w:t>
            </w:r>
            <w:r w:rsidRPr="00E660E4">
              <w:rPr>
                <w:rFonts w:ascii="Times New Roman" w:hAnsi="Times New Roman"/>
                <w:spacing w:val="-1"/>
              </w:rPr>
              <w:t>ý</w:t>
            </w:r>
            <w:r w:rsidRPr="00E660E4">
              <w:rPr>
                <w:rFonts w:ascii="Times New Roman" w:hAnsi="Times New Roman"/>
              </w:rPr>
              <w:t>šen</w:t>
            </w:r>
            <w:r w:rsidRPr="00E660E4">
              <w:rPr>
                <w:rFonts w:ascii="Times New Roman" w:hAnsi="Times New Roman"/>
                <w:spacing w:val="-1"/>
              </w:rPr>
              <w:t>i</w:t>
            </w:r>
            <w:r w:rsidRPr="00E660E4">
              <w:rPr>
                <w:rFonts w:ascii="Times New Roman" w:hAnsi="Times New Roman"/>
              </w:rPr>
              <w:t>e</w:t>
            </w:r>
            <w:r w:rsidRPr="00E660E4">
              <w:rPr>
                <w:rFonts w:ascii="Times New Roman" w:hAnsi="Times New Roman"/>
                <w:spacing w:val="-1"/>
              </w:rPr>
              <w:t xml:space="preserve"> </w:t>
            </w:r>
            <w:r w:rsidRPr="00E660E4">
              <w:rPr>
                <w:rFonts w:ascii="Times New Roman" w:hAnsi="Times New Roman"/>
              </w:rPr>
              <w:t>h</w:t>
            </w:r>
            <w:r w:rsidRPr="00E660E4">
              <w:rPr>
                <w:rFonts w:ascii="Times New Roman" w:hAnsi="Times New Roman"/>
                <w:spacing w:val="-2"/>
              </w:rPr>
              <w:t>m</w:t>
            </w:r>
            <w:r w:rsidRPr="00E660E4">
              <w:rPr>
                <w:rFonts w:ascii="Times New Roman" w:hAnsi="Times New Roman"/>
              </w:rPr>
              <w:t>o</w:t>
            </w:r>
            <w:r w:rsidRPr="00E660E4">
              <w:rPr>
                <w:rFonts w:ascii="Times New Roman" w:hAnsi="Times New Roman"/>
                <w:spacing w:val="-1"/>
              </w:rPr>
              <w:t>t</w:t>
            </w:r>
            <w:r w:rsidRPr="00E660E4">
              <w:rPr>
                <w:rFonts w:ascii="Times New Roman" w:hAnsi="Times New Roman"/>
              </w:rPr>
              <w:t>nos</w:t>
            </w:r>
            <w:r w:rsidRPr="00E660E4">
              <w:rPr>
                <w:rFonts w:ascii="Times New Roman" w:hAnsi="Times New Roman"/>
                <w:spacing w:val="-1"/>
              </w:rPr>
              <w:t>t</w:t>
            </w:r>
            <w:r w:rsidRPr="00E660E4">
              <w:rPr>
                <w:rFonts w:ascii="Times New Roman" w:hAnsi="Times New Roman"/>
              </w:rPr>
              <w:t>i</w:t>
            </w:r>
          </w:p>
        </w:tc>
        <w:tc>
          <w:tcPr>
            <w:tcW w:w="1809" w:type="dxa"/>
            <w:tcBorders>
              <w:top w:val="single" w:sz="4" w:space="0" w:color="000000"/>
              <w:left w:val="single" w:sz="4" w:space="0" w:color="000000"/>
              <w:bottom w:val="single" w:sz="4" w:space="0" w:color="000000"/>
              <w:right w:val="single" w:sz="4" w:space="0" w:color="000000"/>
            </w:tcBorders>
          </w:tcPr>
          <w:p w14:paraId="667233DA" w14:textId="77777777" w:rsidR="008A416B" w:rsidRPr="00E660E4" w:rsidRDefault="008A416B">
            <w:pPr>
              <w:widowControl w:val="0"/>
              <w:autoSpaceDE w:val="0"/>
              <w:autoSpaceDN w:val="0"/>
              <w:adjustRightInd w:val="0"/>
              <w:ind w:left="102"/>
              <w:rPr>
                <w:rFonts w:ascii="Times New Roman" w:hAnsi="Times New Roman"/>
              </w:rPr>
            </w:pPr>
            <w:r w:rsidRPr="00E660E4">
              <w:rPr>
                <w:rFonts w:ascii="Times New Roman" w:hAnsi="Times New Roman"/>
              </w:rPr>
              <w:t>Hyponatriémia</w:t>
            </w:r>
          </w:p>
        </w:tc>
      </w:tr>
      <w:tr w:rsidR="00E660E4" w:rsidRPr="00E660E4" w14:paraId="4B0D3663" w14:textId="77777777" w:rsidTr="005D78EE">
        <w:trPr>
          <w:trHeight w:val="2327"/>
        </w:trPr>
        <w:tc>
          <w:tcPr>
            <w:tcW w:w="1933" w:type="dxa"/>
            <w:tcBorders>
              <w:top w:val="single" w:sz="4" w:space="0" w:color="000000"/>
              <w:left w:val="single" w:sz="4" w:space="0" w:color="000000"/>
              <w:right w:val="single" w:sz="4" w:space="0" w:color="000000"/>
            </w:tcBorders>
          </w:tcPr>
          <w:p w14:paraId="0A08170A"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Psyc</w:t>
            </w:r>
            <w:r w:rsidRPr="00E660E4">
              <w:rPr>
                <w:rFonts w:ascii="Times New Roman" w:hAnsi="Times New Roman"/>
                <w:b/>
                <w:spacing w:val="1"/>
              </w:rPr>
              <w:t>h</w:t>
            </w:r>
            <w:r w:rsidRPr="00E660E4">
              <w:rPr>
                <w:rFonts w:ascii="Times New Roman" w:hAnsi="Times New Roman"/>
                <w:b/>
              </w:rPr>
              <w:t>ic</w:t>
            </w:r>
            <w:r w:rsidRPr="00E660E4">
              <w:rPr>
                <w:rFonts w:ascii="Times New Roman" w:hAnsi="Times New Roman"/>
                <w:b/>
                <w:spacing w:val="1"/>
              </w:rPr>
              <w:t>k</w:t>
            </w:r>
            <w:r w:rsidRPr="00E660E4">
              <w:rPr>
                <w:rFonts w:ascii="Times New Roman" w:hAnsi="Times New Roman"/>
                <w:b/>
              </w:rPr>
              <w:t>é p</w:t>
            </w:r>
            <w:r w:rsidRPr="00E660E4">
              <w:rPr>
                <w:rFonts w:ascii="Times New Roman" w:hAnsi="Times New Roman"/>
                <w:b/>
                <w:spacing w:val="1"/>
              </w:rPr>
              <w:t>o</w:t>
            </w:r>
            <w:r w:rsidRPr="00E660E4">
              <w:rPr>
                <w:rFonts w:ascii="Times New Roman" w:hAnsi="Times New Roman"/>
                <w:b/>
              </w:rPr>
              <w:t>ruc</w:t>
            </w:r>
            <w:r w:rsidRPr="00E660E4">
              <w:rPr>
                <w:rFonts w:ascii="Times New Roman" w:hAnsi="Times New Roman"/>
                <w:b/>
                <w:spacing w:val="1"/>
              </w:rPr>
              <w:t>h</w:t>
            </w:r>
            <w:r w:rsidRPr="00E660E4">
              <w:rPr>
                <w:rFonts w:ascii="Times New Roman" w:hAnsi="Times New Roman"/>
                <w:b/>
              </w:rPr>
              <w:t>y</w:t>
            </w:r>
          </w:p>
        </w:tc>
        <w:tc>
          <w:tcPr>
            <w:tcW w:w="1573" w:type="dxa"/>
            <w:tcBorders>
              <w:top w:val="single" w:sz="4" w:space="0" w:color="000000"/>
              <w:left w:val="single" w:sz="4" w:space="0" w:color="000000"/>
              <w:right w:val="single" w:sz="4" w:space="0" w:color="000000"/>
            </w:tcBorders>
          </w:tcPr>
          <w:p w14:paraId="7368857D"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right w:val="single" w:sz="4" w:space="0" w:color="000000"/>
            </w:tcBorders>
          </w:tcPr>
          <w:p w14:paraId="0BD608B8" w14:textId="77777777" w:rsidR="008A416B" w:rsidRPr="00E660E4" w:rsidRDefault="008A416B">
            <w:pPr>
              <w:widowControl w:val="0"/>
              <w:autoSpaceDE w:val="0"/>
              <w:autoSpaceDN w:val="0"/>
              <w:adjustRightInd w:val="0"/>
              <w:ind w:left="102" w:right="328"/>
              <w:rPr>
                <w:rFonts w:ascii="Times New Roman" w:hAnsi="Times New Roman"/>
              </w:rPr>
            </w:pPr>
            <w:r w:rsidRPr="00E660E4">
              <w:rPr>
                <w:rFonts w:ascii="Times New Roman" w:hAnsi="Times New Roman"/>
              </w:rPr>
              <w:t>Depresia,</w:t>
            </w:r>
            <w:r w:rsidRPr="00E660E4">
              <w:rPr>
                <w:rFonts w:ascii="Times New Roman" w:hAnsi="Times New Roman"/>
                <w:spacing w:val="-1"/>
              </w:rPr>
              <w:t xml:space="preserve"> </w:t>
            </w:r>
            <w:r w:rsidRPr="00E660E4">
              <w:rPr>
                <w:rFonts w:ascii="Times New Roman" w:hAnsi="Times New Roman"/>
              </w:rPr>
              <w:t>h</w:t>
            </w:r>
            <w:r w:rsidRPr="00E660E4">
              <w:rPr>
                <w:rFonts w:ascii="Times New Roman" w:hAnsi="Times New Roman"/>
                <w:spacing w:val="1"/>
              </w:rPr>
              <w:t>o</w:t>
            </w:r>
            <w:r w:rsidRPr="00E660E4">
              <w:rPr>
                <w:rFonts w:ascii="Times New Roman" w:hAnsi="Times New Roman"/>
              </w:rPr>
              <w:t>stilita/ agres</w:t>
            </w:r>
            <w:r w:rsidRPr="00E660E4">
              <w:rPr>
                <w:rFonts w:ascii="Times New Roman" w:hAnsi="Times New Roman"/>
                <w:spacing w:val="-2"/>
              </w:rPr>
              <w:t>i</w:t>
            </w:r>
            <w:r w:rsidRPr="00E660E4">
              <w:rPr>
                <w:rFonts w:ascii="Times New Roman" w:hAnsi="Times New Roman"/>
              </w:rPr>
              <w:t>v</w:t>
            </w:r>
            <w:r w:rsidRPr="00E660E4">
              <w:rPr>
                <w:rFonts w:ascii="Times New Roman" w:hAnsi="Times New Roman"/>
                <w:spacing w:val="-1"/>
              </w:rPr>
              <w:t>it</w:t>
            </w:r>
            <w:r w:rsidRPr="00E660E4">
              <w:rPr>
                <w:rFonts w:ascii="Times New Roman" w:hAnsi="Times New Roman"/>
              </w:rPr>
              <w:t>a,</w:t>
            </w:r>
            <w:r w:rsidRPr="00E660E4">
              <w:rPr>
                <w:rFonts w:ascii="Times New Roman" w:hAnsi="Times New Roman"/>
                <w:spacing w:val="1"/>
              </w:rPr>
              <w:t xml:space="preserve"> </w:t>
            </w:r>
            <w:r w:rsidRPr="00E660E4">
              <w:rPr>
                <w:rFonts w:ascii="Times New Roman" w:hAnsi="Times New Roman"/>
                <w:spacing w:val="-1"/>
              </w:rPr>
              <w:t>a</w:t>
            </w:r>
            <w:r w:rsidRPr="00E660E4">
              <w:rPr>
                <w:rFonts w:ascii="Times New Roman" w:hAnsi="Times New Roman"/>
              </w:rPr>
              <w:t>nx</w:t>
            </w:r>
            <w:r w:rsidRPr="00E660E4">
              <w:rPr>
                <w:rFonts w:ascii="Times New Roman" w:hAnsi="Times New Roman"/>
                <w:spacing w:val="-2"/>
              </w:rPr>
              <w:t>i</w:t>
            </w:r>
            <w:r w:rsidRPr="00E660E4">
              <w:rPr>
                <w:rFonts w:ascii="Times New Roman" w:hAnsi="Times New Roman"/>
              </w:rPr>
              <w:t>e</w:t>
            </w:r>
            <w:r w:rsidRPr="00E660E4">
              <w:rPr>
                <w:rFonts w:ascii="Times New Roman" w:hAnsi="Times New Roman"/>
                <w:spacing w:val="-1"/>
              </w:rPr>
              <w:t>t</w:t>
            </w:r>
            <w:r w:rsidRPr="00E660E4">
              <w:rPr>
                <w:rFonts w:ascii="Times New Roman" w:hAnsi="Times New Roman"/>
              </w:rPr>
              <w:t>a, i</w:t>
            </w:r>
            <w:r w:rsidRPr="00E660E4">
              <w:rPr>
                <w:rFonts w:ascii="Times New Roman" w:hAnsi="Times New Roman"/>
                <w:spacing w:val="1"/>
              </w:rPr>
              <w:t>n</w:t>
            </w:r>
            <w:r w:rsidRPr="00E660E4">
              <w:rPr>
                <w:rFonts w:ascii="Times New Roman" w:hAnsi="Times New Roman"/>
              </w:rPr>
              <w:t>s</w:t>
            </w:r>
            <w:r w:rsidRPr="00E660E4">
              <w:rPr>
                <w:rFonts w:ascii="Times New Roman" w:hAnsi="Times New Roman"/>
                <w:spacing w:val="1"/>
              </w:rPr>
              <w:t>o</w:t>
            </w:r>
            <w:r w:rsidRPr="00E660E4">
              <w:rPr>
                <w:rFonts w:ascii="Times New Roman" w:hAnsi="Times New Roman"/>
                <w:spacing w:val="-2"/>
              </w:rPr>
              <w:t>m</w:t>
            </w:r>
            <w:r w:rsidRPr="00E660E4">
              <w:rPr>
                <w:rFonts w:ascii="Times New Roman" w:hAnsi="Times New Roman"/>
                <w:spacing w:val="1"/>
              </w:rPr>
              <w:t>n</w:t>
            </w:r>
            <w:r w:rsidRPr="00E660E4">
              <w:rPr>
                <w:rFonts w:ascii="Times New Roman" w:hAnsi="Times New Roman"/>
              </w:rPr>
              <w:t>ia,</w:t>
            </w:r>
          </w:p>
          <w:p w14:paraId="7FA47F6C" w14:textId="77777777" w:rsidR="00E03CB3"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ne</w:t>
            </w:r>
            <w:r w:rsidRPr="00E660E4">
              <w:rPr>
                <w:rFonts w:ascii="Times New Roman" w:hAnsi="Times New Roman"/>
                <w:spacing w:val="-1"/>
              </w:rPr>
              <w:t>rv</w:t>
            </w:r>
            <w:r w:rsidRPr="00E660E4">
              <w:rPr>
                <w:rFonts w:ascii="Times New Roman" w:hAnsi="Times New Roman"/>
              </w:rPr>
              <w:t>ozita/</w:t>
            </w:r>
          </w:p>
          <w:p w14:paraId="2D193B82" w14:textId="64B94001"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spacing w:val="1"/>
              </w:rPr>
              <w:t>p</w:t>
            </w:r>
            <w:r w:rsidRPr="00E660E4">
              <w:rPr>
                <w:rFonts w:ascii="Times New Roman" w:hAnsi="Times New Roman"/>
                <w:spacing w:val="-1"/>
              </w:rPr>
              <w:t>o</w:t>
            </w:r>
            <w:r w:rsidRPr="00E660E4">
              <w:rPr>
                <w:rFonts w:ascii="Times New Roman" w:hAnsi="Times New Roman"/>
                <w:spacing w:val="1"/>
              </w:rPr>
              <w:t>d</w:t>
            </w:r>
            <w:r w:rsidRPr="00E660E4">
              <w:rPr>
                <w:rFonts w:ascii="Times New Roman" w:hAnsi="Times New Roman"/>
                <w:spacing w:val="-1"/>
              </w:rPr>
              <w:t>r</w:t>
            </w:r>
            <w:r w:rsidRPr="00E660E4">
              <w:rPr>
                <w:rFonts w:ascii="Times New Roman" w:hAnsi="Times New Roman"/>
              </w:rPr>
              <w:t>ážde</w:t>
            </w:r>
            <w:r w:rsidRPr="00E660E4">
              <w:rPr>
                <w:rFonts w:ascii="Times New Roman" w:hAnsi="Times New Roman"/>
                <w:spacing w:val="-1"/>
              </w:rPr>
              <w:t>n</w:t>
            </w:r>
            <w:r w:rsidRPr="00E660E4">
              <w:rPr>
                <w:rFonts w:ascii="Times New Roman" w:hAnsi="Times New Roman"/>
              </w:rPr>
              <w:t>osť</w:t>
            </w:r>
          </w:p>
        </w:tc>
        <w:tc>
          <w:tcPr>
            <w:tcW w:w="2088" w:type="dxa"/>
            <w:tcBorders>
              <w:top w:val="single" w:sz="4" w:space="0" w:color="000000"/>
              <w:left w:val="single" w:sz="4" w:space="0" w:color="000000"/>
              <w:right w:val="single" w:sz="4" w:space="0" w:color="000000"/>
            </w:tcBorders>
          </w:tcPr>
          <w:p w14:paraId="3C0CBAB3"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Po</w:t>
            </w:r>
            <w:r w:rsidRPr="00E660E4">
              <w:rPr>
                <w:rFonts w:ascii="Times New Roman" w:hAnsi="Times New Roman"/>
                <w:spacing w:val="1"/>
              </w:rPr>
              <w:t>ku</w:t>
            </w:r>
            <w:r w:rsidRPr="00E660E4">
              <w:rPr>
                <w:rFonts w:ascii="Times New Roman" w:hAnsi="Times New Roman"/>
              </w:rPr>
              <w:t>s</w:t>
            </w:r>
            <w:r w:rsidRPr="00E660E4">
              <w:rPr>
                <w:rFonts w:ascii="Times New Roman" w:hAnsi="Times New Roman"/>
                <w:spacing w:val="-1"/>
              </w:rPr>
              <w:t xml:space="preserve"> </w:t>
            </w:r>
            <w:r w:rsidRPr="00E660E4">
              <w:rPr>
                <w:rFonts w:ascii="Times New Roman" w:hAnsi="Times New Roman"/>
              </w:rPr>
              <w:t>o sa</w:t>
            </w:r>
            <w:r w:rsidRPr="00E660E4">
              <w:rPr>
                <w:rFonts w:ascii="Times New Roman" w:hAnsi="Times New Roman"/>
                <w:spacing w:val="-2"/>
              </w:rPr>
              <w:t>m</w:t>
            </w:r>
            <w:r w:rsidRPr="00E660E4">
              <w:rPr>
                <w:rFonts w:ascii="Times New Roman" w:hAnsi="Times New Roman"/>
                <w:spacing w:val="1"/>
              </w:rPr>
              <w:t>o</w:t>
            </w:r>
            <w:r w:rsidRPr="00E660E4">
              <w:rPr>
                <w:rFonts w:ascii="Times New Roman" w:hAnsi="Times New Roman"/>
              </w:rPr>
              <w:t>v</w:t>
            </w:r>
            <w:r w:rsidRPr="00E660E4">
              <w:rPr>
                <w:rFonts w:ascii="Times New Roman" w:hAnsi="Times New Roman"/>
                <w:spacing w:val="1"/>
              </w:rPr>
              <w:t>r</w:t>
            </w:r>
            <w:r w:rsidRPr="00E660E4">
              <w:rPr>
                <w:rFonts w:ascii="Times New Roman" w:hAnsi="Times New Roman"/>
              </w:rPr>
              <w:t>ažd</w:t>
            </w:r>
            <w:r w:rsidRPr="00E660E4">
              <w:rPr>
                <w:rFonts w:ascii="Times New Roman" w:hAnsi="Times New Roman"/>
                <w:spacing w:val="1"/>
              </w:rPr>
              <w:t>u</w:t>
            </w:r>
            <w:r w:rsidRPr="00E660E4">
              <w:rPr>
                <w:rFonts w:ascii="Times New Roman" w:hAnsi="Times New Roman"/>
              </w:rPr>
              <w:t>,</w:t>
            </w:r>
          </w:p>
          <w:p w14:paraId="4F634203" w14:textId="77777777" w:rsidR="008A416B" w:rsidRPr="00E660E4" w:rsidRDefault="008A416B">
            <w:pPr>
              <w:widowControl w:val="0"/>
              <w:autoSpaceDE w:val="0"/>
              <w:autoSpaceDN w:val="0"/>
              <w:adjustRightInd w:val="0"/>
              <w:ind w:left="102" w:right="43"/>
              <w:rPr>
                <w:rFonts w:ascii="Times New Roman" w:hAnsi="Times New Roman"/>
              </w:rPr>
            </w:pPr>
            <w:r w:rsidRPr="00E660E4">
              <w:rPr>
                <w:rFonts w:ascii="Times New Roman" w:hAnsi="Times New Roman"/>
                <w:spacing w:val="-1"/>
              </w:rPr>
              <w:t>my</w:t>
            </w:r>
            <w:r w:rsidRPr="00E660E4">
              <w:rPr>
                <w:rFonts w:ascii="Times New Roman" w:hAnsi="Times New Roman"/>
              </w:rPr>
              <w:t>šlienky na sa</w:t>
            </w:r>
            <w:r w:rsidRPr="00E660E4">
              <w:rPr>
                <w:rFonts w:ascii="Times New Roman" w:hAnsi="Times New Roman"/>
                <w:spacing w:val="-2"/>
              </w:rPr>
              <w:t>m</w:t>
            </w:r>
            <w:r w:rsidRPr="00E660E4">
              <w:rPr>
                <w:rFonts w:ascii="Times New Roman" w:hAnsi="Times New Roman"/>
              </w:rPr>
              <w:t>ovraž</w:t>
            </w:r>
            <w:r w:rsidRPr="00E660E4">
              <w:rPr>
                <w:rFonts w:ascii="Times New Roman" w:hAnsi="Times New Roman"/>
                <w:spacing w:val="-1"/>
              </w:rPr>
              <w:t>d</w:t>
            </w:r>
            <w:r w:rsidRPr="00E660E4">
              <w:rPr>
                <w:rFonts w:ascii="Times New Roman" w:hAnsi="Times New Roman"/>
                <w:spacing w:val="1"/>
              </w:rPr>
              <w:t>u</w:t>
            </w:r>
            <w:r w:rsidRPr="00E660E4">
              <w:rPr>
                <w:rFonts w:ascii="Times New Roman" w:hAnsi="Times New Roman"/>
              </w:rPr>
              <w:t>, ps</w:t>
            </w:r>
            <w:r w:rsidRPr="00E660E4">
              <w:rPr>
                <w:rFonts w:ascii="Times New Roman" w:hAnsi="Times New Roman"/>
                <w:spacing w:val="-1"/>
              </w:rPr>
              <w:t>y</w:t>
            </w:r>
            <w:r w:rsidRPr="00E660E4">
              <w:rPr>
                <w:rFonts w:ascii="Times New Roman" w:hAnsi="Times New Roman"/>
              </w:rPr>
              <w:t>c</w:t>
            </w:r>
            <w:r w:rsidRPr="00E660E4">
              <w:rPr>
                <w:rFonts w:ascii="Times New Roman" w:hAnsi="Times New Roman"/>
                <w:spacing w:val="-1"/>
              </w:rPr>
              <w:t>h</w:t>
            </w:r>
            <w:r w:rsidRPr="00E660E4">
              <w:rPr>
                <w:rFonts w:ascii="Times New Roman" w:hAnsi="Times New Roman"/>
                <w:spacing w:val="1"/>
              </w:rPr>
              <w:t>o</w:t>
            </w:r>
            <w:r w:rsidRPr="00E660E4">
              <w:rPr>
                <w:rFonts w:ascii="Times New Roman" w:hAnsi="Times New Roman"/>
                <w:spacing w:val="-1"/>
              </w:rPr>
              <w:t>ti</w:t>
            </w:r>
            <w:r w:rsidRPr="00E660E4">
              <w:rPr>
                <w:rFonts w:ascii="Times New Roman" w:hAnsi="Times New Roman"/>
              </w:rPr>
              <w:t xml:space="preserve">cká </w:t>
            </w:r>
            <w:r w:rsidRPr="00E660E4">
              <w:rPr>
                <w:rFonts w:ascii="Times New Roman" w:hAnsi="Times New Roman"/>
                <w:spacing w:val="-1"/>
              </w:rPr>
              <w:t>po</w:t>
            </w:r>
            <w:r w:rsidRPr="00E660E4">
              <w:rPr>
                <w:rFonts w:ascii="Times New Roman" w:hAnsi="Times New Roman"/>
              </w:rPr>
              <w:t>ru</w:t>
            </w:r>
            <w:r w:rsidRPr="00E660E4">
              <w:rPr>
                <w:rFonts w:ascii="Times New Roman" w:hAnsi="Times New Roman"/>
                <w:spacing w:val="-1"/>
              </w:rPr>
              <w:t>c</w:t>
            </w:r>
            <w:r w:rsidRPr="00E660E4">
              <w:rPr>
                <w:rFonts w:ascii="Times New Roman" w:hAnsi="Times New Roman"/>
              </w:rPr>
              <w:t>h</w:t>
            </w:r>
            <w:r w:rsidRPr="00E660E4">
              <w:rPr>
                <w:rFonts w:ascii="Times New Roman" w:hAnsi="Times New Roman"/>
                <w:spacing w:val="-1"/>
              </w:rPr>
              <w:t>a</w:t>
            </w:r>
            <w:r w:rsidRPr="00E660E4">
              <w:rPr>
                <w:rFonts w:ascii="Times New Roman" w:hAnsi="Times New Roman"/>
              </w:rPr>
              <w:t>,</w:t>
            </w:r>
          </w:p>
          <w:p w14:paraId="2DE856E4" w14:textId="77777777" w:rsidR="008A416B" w:rsidRPr="00E660E4" w:rsidRDefault="008A416B">
            <w:pPr>
              <w:widowControl w:val="0"/>
              <w:autoSpaceDE w:val="0"/>
              <w:autoSpaceDN w:val="0"/>
              <w:adjustRightInd w:val="0"/>
              <w:ind w:left="102" w:right="144"/>
              <w:rPr>
                <w:rFonts w:ascii="Times New Roman" w:hAnsi="Times New Roman"/>
              </w:rPr>
            </w:pPr>
            <w:r w:rsidRPr="00E660E4">
              <w:rPr>
                <w:rFonts w:ascii="Times New Roman" w:hAnsi="Times New Roman"/>
              </w:rPr>
              <w:t>abnor</w:t>
            </w:r>
            <w:r w:rsidRPr="00E660E4">
              <w:rPr>
                <w:rFonts w:ascii="Times New Roman" w:hAnsi="Times New Roman"/>
                <w:spacing w:val="-2"/>
              </w:rPr>
              <w:t>m</w:t>
            </w:r>
            <w:r w:rsidRPr="00E660E4">
              <w:rPr>
                <w:rFonts w:ascii="Times New Roman" w:hAnsi="Times New Roman"/>
              </w:rPr>
              <w:t xml:space="preserve">álne </w:t>
            </w:r>
            <w:r w:rsidRPr="00E660E4">
              <w:rPr>
                <w:rFonts w:ascii="Times New Roman" w:hAnsi="Times New Roman"/>
                <w:spacing w:val="1"/>
              </w:rPr>
              <w:t>spr</w:t>
            </w:r>
            <w:r w:rsidRPr="00E660E4">
              <w:rPr>
                <w:rFonts w:ascii="Times New Roman" w:hAnsi="Times New Roman"/>
                <w:spacing w:val="-1"/>
              </w:rPr>
              <w:t>á</w:t>
            </w:r>
            <w:r w:rsidRPr="00E660E4">
              <w:rPr>
                <w:rFonts w:ascii="Times New Roman" w:hAnsi="Times New Roman"/>
                <w:spacing w:val="1"/>
              </w:rPr>
              <w:t>v</w:t>
            </w:r>
            <w:r w:rsidRPr="00E660E4">
              <w:rPr>
                <w:rFonts w:ascii="Times New Roman" w:hAnsi="Times New Roman"/>
                <w:spacing w:val="-1"/>
              </w:rPr>
              <w:t>a</w:t>
            </w:r>
            <w:r w:rsidRPr="00E660E4">
              <w:rPr>
                <w:rFonts w:ascii="Times New Roman" w:hAnsi="Times New Roman"/>
                <w:spacing w:val="1"/>
              </w:rPr>
              <w:t>n</w:t>
            </w:r>
            <w:r w:rsidRPr="00E660E4">
              <w:rPr>
                <w:rFonts w:ascii="Times New Roman" w:hAnsi="Times New Roman"/>
                <w:spacing w:val="-1"/>
              </w:rPr>
              <w:t>ie</w:t>
            </w:r>
            <w:r w:rsidRPr="00E660E4">
              <w:rPr>
                <w:rFonts w:ascii="Times New Roman" w:hAnsi="Times New Roman"/>
              </w:rPr>
              <w:t>, hal</w:t>
            </w:r>
            <w:r w:rsidRPr="00E660E4">
              <w:rPr>
                <w:rFonts w:ascii="Times New Roman" w:hAnsi="Times New Roman"/>
                <w:spacing w:val="1"/>
              </w:rPr>
              <w:t>u</w:t>
            </w:r>
            <w:r w:rsidRPr="00E660E4">
              <w:rPr>
                <w:rFonts w:ascii="Times New Roman" w:hAnsi="Times New Roman"/>
              </w:rPr>
              <w:t>cin</w:t>
            </w:r>
            <w:r w:rsidRPr="00E660E4">
              <w:rPr>
                <w:rFonts w:ascii="Times New Roman" w:hAnsi="Times New Roman"/>
                <w:spacing w:val="-1"/>
              </w:rPr>
              <w:t>á</w:t>
            </w:r>
            <w:r w:rsidRPr="00E660E4">
              <w:rPr>
                <w:rFonts w:ascii="Times New Roman" w:hAnsi="Times New Roman"/>
              </w:rPr>
              <w:t>cia, hn</w:t>
            </w:r>
            <w:r w:rsidRPr="00E660E4">
              <w:rPr>
                <w:rFonts w:ascii="Times New Roman" w:hAnsi="Times New Roman"/>
                <w:spacing w:val="-1"/>
              </w:rPr>
              <w:t>e</w:t>
            </w:r>
            <w:r w:rsidRPr="00E660E4">
              <w:rPr>
                <w:rFonts w:ascii="Times New Roman" w:hAnsi="Times New Roman"/>
                <w:spacing w:val="1"/>
              </w:rPr>
              <w:t>v</w:t>
            </w:r>
            <w:r w:rsidRPr="00E660E4">
              <w:rPr>
                <w:rFonts w:ascii="Times New Roman" w:hAnsi="Times New Roman"/>
              </w:rPr>
              <w:t>, stav z</w:t>
            </w:r>
            <w:r w:rsidRPr="00E660E4">
              <w:rPr>
                <w:rFonts w:ascii="Times New Roman" w:hAnsi="Times New Roman"/>
                <w:spacing w:val="-2"/>
              </w:rPr>
              <w:t>m</w:t>
            </w:r>
            <w:r w:rsidRPr="00E660E4">
              <w:rPr>
                <w:rFonts w:ascii="Times New Roman" w:hAnsi="Times New Roman"/>
              </w:rPr>
              <w:t>ätenosti, panický</w:t>
            </w:r>
          </w:p>
          <w:p w14:paraId="455A2E96" w14:textId="77777777" w:rsidR="008A416B" w:rsidRPr="00E660E4" w:rsidRDefault="008A416B">
            <w:pPr>
              <w:widowControl w:val="0"/>
              <w:autoSpaceDE w:val="0"/>
              <w:autoSpaceDN w:val="0"/>
              <w:adjustRightInd w:val="0"/>
              <w:ind w:left="102" w:right="144"/>
              <w:rPr>
                <w:rFonts w:ascii="Times New Roman" w:hAnsi="Times New Roman"/>
              </w:rPr>
            </w:pPr>
            <w:r w:rsidRPr="00E660E4">
              <w:rPr>
                <w:rFonts w:ascii="Times New Roman" w:hAnsi="Times New Roman"/>
              </w:rPr>
              <w:t xml:space="preserve">záchvat, </w:t>
            </w:r>
            <w:r w:rsidRPr="00E660E4">
              <w:rPr>
                <w:rFonts w:ascii="Times New Roman" w:hAnsi="Times New Roman"/>
                <w:spacing w:val="-1"/>
              </w:rPr>
              <w:t>cit</w:t>
            </w:r>
            <w:r w:rsidRPr="00E660E4">
              <w:rPr>
                <w:rFonts w:ascii="Times New Roman" w:hAnsi="Times New Roman"/>
                <w:spacing w:val="1"/>
              </w:rPr>
              <w:t>ov</w:t>
            </w:r>
            <w:r w:rsidRPr="00E660E4">
              <w:rPr>
                <w:rFonts w:ascii="Times New Roman" w:hAnsi="Times New Roman"/>
              </w:rPr>
              <w:t xml:space="preserve">á </w:t>
            </w:r>
            <w:r w:rsidRPr="00E660E4">
              <w:rPr>
                <w:rFonts w:ascii="Times New Roman" w:hAnsi="Times New Roman"/>
                <w:spacing w:val="-1"/>
              </w:rPr>
              <w:t>la</w:t>
            </w:r>
            <w:r w:rsidRPr="00E660E4">
              <w:rPr>
                <w:rFonts w:ascii="Times New Roman" w:hAnsi="Times New Roman"/>
                <w:spacing w:val="1"/>
              </w:rPr>
              <w:t>b</w:t>
            </w:r>
            <w:r w:rsidRPr="00E660E4">
              <w:rPr>
                <w:rFonts w:ascii="Times New Roman" w:hAnsi="Times New Roman"/>
                <w:spacing w:val="-1"/>
              </w:rPr>
              <w:t>ilita</w:t>
            </w:r>
            <w:r w:rsidRPr="00E660E4">
              <w:rPr>
                <w:rFonts w:ascii="Times New Roman" w:hAnsi="Times New Roman"/>
                <w:spacing w:val="1"/>
              </w:rPr>
              <w:t>/ko</w:t>
            </w:r>
            <w:r w:rsidRPr="00E660E4">
              <w:rPr>
                <w:rFonts w:ascii="Times New Roman" w:hAnsi="Times New Roman"/>
                <w:spacing w:val="-1"/>
              </w:rPr>
              <w:t>lísa</w:t>
            </w:r>
            <w:r w:rsidRPr="00E660E4">
              <w:rPr>
                <w:rFonts w:ascii="Times New Roman" w:hAnsi="Times New Roman"/>
                <w:spacing w:val="1"/>
              </w:rPr>
              <w:t>n</w:t>
            </w:r>
            <w:r w:rsidRPr="00E660E4">
              <w:rPr>
                <w:rFonts w:ascii="Times New Roman" w:hAnsi="Times New Roman"/>
                <w:spacing w:val="-1"/>
              </w:rPr>
              <w:t xml:space="preserve">ie </w:t>
            </w:r>
            <w:r w:rsidRPr="00E660E4">
              <w:rPr>
                <w:rFonts w:ascii="Times New Roman" w:hAnsi="Times New Roman"/>
              </w:rPr>
              <w:t xml:space="preserve">nálady, </w:t>
            </w:r>
            <w:r w:rsidRPr="00E660E4">
              <w:rPr>
                <w:rFonts w:ascii="Times New Roman" w:hAnsi="Times New Roman"/>
                <w:spacing w:val="-1"/>
              </w:rPr>
              <w:t>a</w:t>
            </w:r>
            <w:r w:rsidRPr="00E660E4">
              <w:rPr>
                <w:rFonts w:ascii="Times New Roman" w:hAnsi="Times New Roman"/>
                <w:spacing w:val="1"/>
              </w:rPr>
              <w:t>g</w:t>
            </w:r>
            <w:r w:rsidRPr="00E660E4">
              <w:rPr>
                <w:rFonts w:ascii="Times New Roman" w:hAnsi="Times New Roman"/>
              </w:rPr>
              <w:t>itácia</w:t>
            </w:r>
          </w:p>
        </w:tc>
        <w:tc>
          <w:tcPr>
            <w:tcW w:w="1809" w:type="dxa"/>
            <w:tcBorders>
              <w:top w:val="single" w:sz="4" w:space="0" w:color="000000"/>
              <w:left w:val="single" w:sz="4" w:space="0" w:color="000000"/>
              <w:right w:val="single" w:sz="4" w:space="0" w:color="000000"/>
            </w:tcBorders>
          </w:tcPr>
          <w:p w14:paraId="2FBA0E74" w14:textId="77777777" w:rsidR="008A416B" w:rsidRPr="00E660E4" w:rsidRDefault="008A416B">
            <w:pPr>
              <w:widowControl w:val="0"/>
              <w:autoSpaceDE w:val="0"/>
              <w:autoSpaceDN w:val="0"/>
              <w:adjustRightInd w:val="0"/>
              <w:ind w:left="102" w:right="298"/>
              <w:rPr>
                <w:rFonts w:ascii="Times New Roman" w:hAnsi="Times New Roman"/>
              </w:rPr>
            </w:pPr>
            <w:r w:rsidRPr="00E660E4">
              <w:rPr>
                <w:rFonts w:ascii="Times New Roman" w:hAnsi="Times New Roman"/>
              </w:rPr>
              <w:t>D</w:t>
            </w:r>
            <w:r w:rsidRPr="00E660E4">
              <w:rPr>
                <w:rFonts w:ascii="Times New Roman" w:hAnsi="Times New Roman"/>
                <w:spacing w:val="-1"/>
              </w:rPr>
              <w:t>ok</w:t>
            </w:r>
            <w:r w:rsidRPr="00E660E4">
              <w:rPr>
                <w:rFonts w:ascii="Times New Roman" w:hAnsi="Times New Roman"/>
              </w:rPr>
              <w:t>on</w:t>
            </w:r>
            <w:r w:rsidRPr="00E660E4">
              <w:rPr>
                <w:rFonts w:ascii="Times New Roman" w:hAnsi="Times New Roman"/>
                <w:spacing w:val="-1"/>
              </w:rPr>
              <w:t>a</w:t>
            </w:r>
            <w:r w:rsidRPr="00E660E4">
              <w:rPr>
                <w:rFonts w:ascii="Times New Roman" w:hAnsi="Times New Roman"/>
              </w:rPr>
              <w:t>ná sa</w:t>
            </w:r>
            <w:r w:rsidRPr="00E660E4">
              <w:rPr>
                <w:rFonts w:ascii="Times New Roman" w:hAnsi="Times New Roman"/>
                <w:spacing w:val="-2"/>
              </w:rPr>
              <w:t>m</w:t>
            </w:r>
            <w:r w:rsidRPr="00E660E4">
              <w:rPr>
                <w:rFonts w:ascii="Times New Roman" w:hAnsi="Times New Roman"/>
              </w:rPr>
              <w:t>ovražda, p</w:t>
            </w:r>
            <w:r w:rsidRPr="00E660E4">
              <w:rPr>
                <w:rFonts w:ascii="Times New Roman" w:hAnsi="Times New Roman"/>
                <w:spacing w:val="-1"/>
              </w:rPr>
              <w:t>or</w:t>
            </w:r>
            <w:r w:rsidRPr="00E660E4">
              <w:rPr>
                <w:rFonts w:ascii="Times New Roman" w:hAnsi="Times New Roman"/>
                <w:spacing w:val="1"/>
              </w:rPr>
              <w:t>u</w:t>
            </w:r>
            <w:r w:rsidRPr="00E660E4">
              <w:rPr>
                <w:rFonts w:ascii="Times New Roman" w:hAnsi="Times New Roman"/>
              </w:rPr>
              <w:t>cha</w:t>
            </w:r>
          </w:p>
          <w:p w14:paraId="0FC94971"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spacing w:val="1"/>
              </w:rPr>
              <w:t>o</w:t>
            </w:r>
            <w:r w:rsidRPr="00E660E4">
              <w:rPr>
                <w:rFonts w:ascii="Times New Roman" w:hAnsi="Times New Roman"/>
              </w:rPr>
              <w:t>sob</w:t>
            </w:r>
            <w:r w:rsidRPr="00E660E4">
              <w:rPr>
                <w:rFonts w:ascii="Times New Roman" w:hAnsi="Times New Roman"/>
                <w:spacing w:val="1"/>
              </w:rPr>
              <w:t>n</w:t>
            </w:r>
            <w:r w:rsidRPr="00E660E4">
              <w:rPr>
                <w:rFonts w:ascii="Times New Roman" w:hAnsi="Times New Roman"/>
              </w:rPr>
              <w:t>osti,</w:t>
            </w:r>
          </w:p>
          <w:p w14:paraId="38132A99"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nezv</w:t>
            </w:r>
            <w:r w:rsidRPr="00E660E4">
              <w:rPr>
                <w:rFonts w:ascii="Times New Roman" w:hAnsi="Times New Roman"/>
                <w:spacing w:val="-1"/>
              </w:rPr>
              <w:t>y</w:t>
            </w:r>
            <w:r w:rsidRPr="00E660E4">
              <w:rPr>
                <w:rFonts w:ascii="Times New Roman" w:hAnsi="Times New Roman"/>
              </w:rPr>
              <w:t>č</w:t>
            </w:r>
            <w:r w:rsidRPr="00E660E4">
              <w:rPr>
                <w:rFonts w:ascii="Times New Roman" w:hAnsi="Times New Roman"/>
                <w:spacing w:val="-1"/>
              </w:rPr>
              <w:t>a</w:t>
            </w:r>
            <w:r w:rsidRPr="00E660E4">
              <w:rPr>
                <w:rFonts w:ascii="Times New Roman" w:hAnsi="Times New Roman"/>
                <w:spacing w:val="1"/>
              </w:rPr>
              <w:t>j</w:t>
            </w:r>
            <w:r w:rsidRPr="00E660E4">
              <w:rPr>
                <w:rFonts w:ascii="Times New Roman" w:hAnsi="Times New Roman"/>
                <w:spacing w:val="-1"/>
              </w:rPr>
              <w:t>né</w:t>
            </w:r>
          </w:p>
          <w:p w14:paraId="52561269" w14:textId="77618416"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mysle</w:t>
            </w:r>
            <w:r w:rsidRPr="00E660E4">
              <w:rPr>
                <w:rFonts w:ascii="Times New Roman" w:hAnsi="Times New Roman"/>
                <w:spacing w:val="1"/>
              </w:rPr>
              <w:t>n</w:t>
            </w:r>
            <w:r w:rsidRPr="00E660E4">
              <w:rPr>
                <w:rFonts w:ascii="Times New Roman" w:hAnsi="Times New Roman"/>
              </w:rPr>
              <w:t>ie</w:t>
            </w:r>
            <w:r w:rsidR="0055326E">
              <w:rPr>
                <w:rFonts w:ascii="Times New Roman" w:hAnsi="Times New Roman"/>
              </w:rPr>
              <w:t>, delírium</w:t>
            </w:r>
          </w:p>
        </w:tc>
      </w:tr>
      <w:tr w:rsidR="00E660E4" w:rsidRPr="00E660E4" w14:paraId="1BC120A3" w14:textId="77777777" w:rsidTr="00E03CB3">
        <w:trPr>
          <w:trHeight w:hRule="exact" w:val="1566"/>
        </w:trPr>
        <w:tc>
          <w:tcPr>
            <w:tcW w:w="1933" w:type="dxa"/>
            <w:tcBorders>
              <w:top w:val="single" w:sz="4" w:space="0" w:color="000000"/>
              <w:left w:val="single" w:sz="4" w:space="0" w:color="000000"/>
              <w:bottom w:val="single" w:sz="4" w:space="0" w:color="000000"/>
              <w:right w:val="single" w:sz="4" w:space="0" w:color="000000"/>
            </w:tcBorders>
          </w:tcPr>
          <w:p w14:paraId="54EC518D"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spacing w:val="-1"/>
              </w:rPr>
              <w:t>P</w:t>
            </w:r>
            <w:r w:rsidRPr="00E660E4">
              <w:rPr>
                <w:rFonts w:ascii="Times New Roman" w:hAnsi="Times New Roman"/>
                <w:b/>
                <w:spacing w:val="1"/>
              </w:rPr>
              <w:t>o</w:t>
            </w:r>
            <w:r w:rsidRPr="00E660E4">
              <w:rPr>
                <w:rFonts w:ascii="Times New Roman" w:hAnsi="Times New Roman"/>
                <w:b/>
                <w:spacing w:val="-1"/>
              </w:rPr>
              <w:t>r</w:t>
            </w:r>
            <w:r w:rsidRPr="00E660E4">
              <w:rPr>
                <w:rFonts w:ascii="Times New Roman" w:hAnsi="Times New Roman"/>
                <w:b/>
                <w:spacing w:val="1"/>
              </w:rPr>
              <w:t>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w:t>
            </w:r>
            <w:r w:rsidRPr="00E660E4">
              <w:rPr>
                <w:rFonts w:ascii="Times New Roman" w:hAnsi="Times New Roman"/>
                <w:b/>
                <w:spacing w:val="-2"/>
              </w:rPr>
              <w:t xml:space="preserve"> </w:t>
            </w:r>
            <w:r w:rsidRPr="00E660E4">
              <w:rPr>
                <w:rFonts w:ascii="Times New Roman" w:hAnsi="Times New Roman"/>
                <w:b/>
                <w:spacing w:val="1"/>
              </w:rPr>
              <w:t>n</w:t>
            </w:r>
            <w:r w:rsidRPr="00E660E4">
              <w:rPr>
                <w:rFonts w:ascii="Times New Roman" w:hAnsi="Times New Roman"/>
                <w:b/>
              </w:rPr>
              <w:t>e</w:t>
            </w:r>
            <w:r w:rsidRPr="00E660E4">
              <w:rPr>
                <w:rFonts w:ascii="Times New Roman" w:hAnsi="Times New Roman"/>
                <w:b/>
                <w:spacing w:val="-1"/>
              </w:rPr>
              <w:t>r</w:t>
            </w:r>
            <w:r w:rsidRPr="00E660E4">
              <w:rPr>
                <w:rFonts w:ascii="Times New Roman" w:hAnsi="Times New Roman"/>
                <w:b/>
                <w:spacing w:val="1"/>
              </w:rPr>
              <w:t>v</w:t>
            </w:r>
            <w:r w:rsidRPr="00E660E4">
              <w:rPr>
                <w:rFonts w:ascii="Times New Roman" w:hAnsi="Times New Roman"/>
                <w:b/>
                <w:spacing w:val="-1"/>
              </w:rPr>
              <w:t>o</w:t>
            </w:r>
            <w:r w:rsidRPr="00E660E4">
              <w:rPr>
                <w:rFonts w:ascii="Times New Roman" w:hAnsi="Times New Roman"/>
                <w:b/>
                <w:spacing w:val="1"/>
              </w:rPr>
              <w:t>v</w:t>
            </w:r>
            <w:r w:rsidRPr="00E660E4">
              <w:rPr>
                <w:rFonts w:ascii="Times New Roman" w:hAnsi="Times New Roman"/>
                <w:b/>
                <w:spacing w:val="-1"/>
              </w:rPr>
              <w:t>ého</w:t>
            </w:r>
          </w:p>
          <w:p w14:paraId="0901630C"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syst</w:t>
            </w:r>
            <w:r w:rsidRPr="00E660E4">
              <w:rPr>
                <w:rFonts w:ascii="Times New Roman" w:hAnsi="Times New Roman"/>
                <w:b/>
                <w:spacing w:val="1"/>
              </w:rPr>
              <w:t>é</w:t>
            </w:r>
            <w:r w:rsidRPr="00E660E4">
              <w:rPr>
                <w:rFonts w:ascii="Times New Roman" w:hAnsi="Times New Roman"/>
                <w:b/>
                <w:spacing w:val="-2"/>
              </w:rPr>
              <w:t>m</w:t>
            </w:r>
            <w:r w:rsidRPr="00E660E4">
              <w:rPr>
                <w:rFonts w:ascii="Times New Roman" w:hAnsi="Times New Roman"/>
                <w:b/>
              </w:rPr>
              <w:t>u</w:t>
            </w:r>
          </w:p>
        </w:tc>
        <w:tc>
          <w:tcPr>
            <w:tcW w:w="1573" w:type="dxa"/>
            <w:tcBorders>
              <w:top w:val="single" w:sz="4" w:space="0" w:color="000000"/>
              <w:left w:val="single" w:sz="4" w:space="0" w:color="000000"/>
              <w:bottom w:val="single" w:sz="4" w:space="0" w:color="000000"/>
              <w:right w:val="single" w:sz="4" w:space="0" w:color="000000"/>
            </w:tcBorders>
          </w:tcPr>
          <w:p w14:paraId="15416827"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So</w:t>
            </w:r>
            <w:r w:rsidRPr="00E660E4">
              <w:rPr>
                <w:rFonts w:ascii="Times New Roman" w:hAnsi="Times New Roman"/>
                <w:spacing w:val="-2"/>
              </w:rPr>
              <w:t>m</w:t>
            </w:r>
            <w:r w:rsidRPr="00E660E4">
              <w:rPr>
                <w:rFonts w:ascii="Times New Roman" w:hAnsi="Times New Roman"/>
              </w:rPr>
              <w:t>nolencia,</w:t>
            </w:r>
          </w:p>
          <w:p w14:paraId="09455AC4"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bo</w:t>
            </w:r>
            <w:r w:rsidRPr="00E660E4">
              <w:rPr>
                <w:rFonts w:ascii="Times New Roman" w:hAnsi="Times New Roman"/>
                <w:spacing w:val="-1"/>
              </w:rPr>
              <w:t>l</w:t>
            </w:r>
            <w:r w:rsidRPr="00E660E4">
              <w:rPr>
                <w:rFonts w:ascii="Times New Roman" w:hAnsi="Times New Roman"/>
              </w:rPr>
              <w:t>esť</w:t>
            </w:r>
            <w:r w:rsidRPr="00E660E4">
              <w:rPr>
                <w:rFonts w:ascii="Times New Roman" w:hAnsi="Times New Roman"/>
                <w:spacing w:val="-1"/>
              </w:rPr>
              <w:t xml:space="preserve"> </w:t>
            </w:r>
            <w:r w:rsidRPr="00E660E4">
              <w:rPr>
                <w:rFonts w:ascii="Times New Roman" w:hAnsi="Times New Roman"/>
              </w:rPr>
              <w:t>h</w:t>
            </w:r>
            <w:r w:rsidRPr="00E660E4">
              <w:rPr>
                <w:rFonts w:ascii="Times New Roman" w:hAnsi="Times New Roman"/>
                <w:spacing w:val="-1"/>
              </w:rPr>
              <w:t>l</w:t>
            </w:r>
            <w:r w:rsidRPr="00E660E4">
              <w:rPr>
                <w:rFonts w:ascii="Times New Roman" w:hAnsi="Times New Roman"/>
              </w:rPr>
              <w:t>avy</w:t>
            </w:r>
          </w:p>
        </w:tc>
        <w:tc>
          <w:tcPr>
            <w:tcW w:w="1597" w:type="dxa"/>
            <w:tcBorders>
              <w:top w:val="single" w:sz="4" w:space="0" w:color="000000"/>
              <w:left w:val="single" w:sz="4" w:space="0" w:color="000000"/>
              <w:bottom w:val="single" w:sz="4" w:space="0" w:color="000000"/>
              <w:right w:val="single" w:sz="4" w:space="0" w:color="000000"/>
            </w:tcBorders>
          </w:tcPr>
          <w:p w14:paraId="44B7C654"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Záchvat,</w:t>
            </w:r>
            <w:r w:rsidRPr="00E660E4">
              <w:rPr>
                <w:rFonts w:ascii="Times New Roman" w:hAnsi="Times New Roman"/>
                <w:spacing w:val="-1"/>
              </w:rPr>
              <w:t xml:space="preserve"> </w:t>
            </w:r>
            <w:r w:rsidRPr="00E660E4">
              <w:rPr>
                <w:rFonts w:ascii="Times New Roman" w:hAnsi="Times New Roman"/>
              </w:rPr>
              <w:t>poru</w:t>
            </w:r>
            <w:r w:rsidRPr="00E660E4">
              <w:rPr>
                <w:rFonts w:ascii="Times New Roman" w:hAnsi="Times New Roman"/>
                <w:spacing w:val="-1"/>
              </w:rPr>
              <w:t>c</w:t>
            </w:r>
            <w:r w:rsidRPr="00E660E4">
              <w:rPr>
                <w:rFonts w:ascii="Times New Roman" w:hAnsi="Times New Roman"/>
                <w:spacing w:val="1"/>
              </w:rPr>
              <w:t>h</w:t>
            </w:r>
            <w:r w:rsidRPr="00E660E4">
              <w:rPr>
                <w:rFonts w:ascii="Times New Roman" w:hAnsi="Times New Roman"/>
              </w:rPr>
              <w:t>a</w:t>
            </w:r>
          </w:p>
          <w:p w14:paraId="59405609" w14:textId="090E68AD" w:rsidR="008A416B" w:rsidRPr="00E660E4" w:rsidRDefault="008A416B">
            <w:pPr>
              <w:widowControl w:val="0"/>
              <w:autoSpaceDE w:val="0"/>
              <w:autoSpaceDN w:val="0"/>
              <w:adjustRightInd w:val="0"/>
              <w:ind w:left="102" w:right="283"/>
              <w:rPr>
                <w:rFonts w:ascii="Times New Roman" w:hAnsi="Times New Roman"/>
              </w:rPr>
            </w:pPr>
            <w:r w:rsidRPr="00E660E4">
              <w:rPr>
                <w:rFonts w:ascii="Times New Roman" w:hAnsi="Times New Roman"/>
              </w:rPr>
              <w:t>r</w:t>
            </w:r>
            <w:r w:rsidRPr="00E660E4">
              <w:rPr>
                <w:rFonts w:ascii="Times New Roman" w:hAnsi="Times New Roman"/>
                <w:spacing w:val="-1"/>
              </w:rPr>
              <w:t>ov</w:t>
            </w:r>
            <w:r w:rsidRPr="00E660E4">
              <w:rPr>
                <w:rFonts w:ascii="Times New Roman" w:hAnsi="Times New Roman"/>
                <w:spacing w:val="1"/>
              </w:rPr>
              <w:t>n</w:t>
            </w:r>
            <w:r w:rsidRPr="00E660E4">
              <w:rPr>
                <w:rFonts w:ascii="Times New Roman" w:hAnsi="Times New Roman"/>
                <w:spacing w:val="-1"/>
              </w:rPr>
              <w:t>o</w:t>
            </w:r>
            <w:r w:rsidRPr="00E660E4">
              <w:rPr>
                <w:rFonts w:ascii="Times New Roman" w:hAnsi="Times New Roman"/>
                <w:spacing w:val="1"/>
              </w:rPr>
              <w:t>v</w:t>
            </w:r>
            <w:r w:rsidRPr="00E660E4">
              <w:rPr>
                <w:rFonts w:ascii="Times New Roman" w:hAnsi="Times New Roman"/>
                <w:spacing w:val="-1"/>
              </w:rPr>
              <w:t>á</w:t>
            </w:r>
            <w:r w:rsidRPr="00E660E4">
              <w:rPr>
                <w:rFonts w:ascii="Times New Roman" w:hAnsi="Times New Roman"/>
                <w:spacing w:val="1"/>
              </w:rPr>
              <w:t>h</w:t>
            </w:r>
            <w:r w:rsidRPr="00E660E4">
              <w:rPr>
                <w:rFonts w:ascii="Times New Roman" w:hAnsi="Times New Roman"/>
                <w:spacing w:val="-1"/>
              </w:rPr>
              <w:t>y</w:t>
            </w:r>
            <w:r w:rsidR="00E03CB3" w:rsidRPr="00E660E4">
              <w:rPr>
                <w:rFonts w:ascii="Times New Roman" w:hAnsi="Times New Roman"/>
                <w:spacing w:val="-1"/>
              </w:rPr>
              <w:t xml:space="preserve">, </w:t>
            </w:r>
            <w:r w:rsidRPr="00E660E4">
              <w:rPr>
                <w:rFonts w:ascii="Times New Roman" w:hAnsi="Times New Roman"/>
                <w:spacing w:val="-1"/>
              </w:rPr>
              <w:t>zá</w:t>
            </w:r>
            <w:r w:rsidRPr="00E660E4">
              <w:rPr>
                <w:rFonts w:ascii="Times New Roman" w:hAnsi="Times New Roman"/>
                <w:spacing w:val="1"/>
              </w:rPr>
              <w:t>v</w:t>
            </w:r>
            <w:r w:rsidRPr="00E660E4">
              <w:rPr>
                <w:rFonts w:ascii="Times New Roman" w:hAnsi="Times New Roman"/>
              </w:rPr>
              <w:t>r</w:t>
            </w:r>
            <w:r w:rsidRPr="00E660E4">
              <w:rPr>
                <w:rFonts w:ascii="Times New Roman" w:hAnsi="Times New Roman"/>
                <w:spacing w:val="-1"/>
              </w:rPr>
              <w:t xml:space="preserve">at, </w:t>
            </w:r>
            <w:r w:rsidRPr="00E660E4">
              <w:rPr>
                <w:rFonts w:ascii="Times New Roman" w:hAnsi="Times New Roman"/>
              </w:rPr>
              <w:t>letar</w:t>
            </w:r>
            <w:r w:rsidRPr="00E660E4">
              <w:rPr>
                <w:rFonts w:ascii="Times New Roman" w:hAnsi="Times New Roman"/>
                <w:spacing w:val="1"/>
              </w:rPr>
              <w:t>g</w:t>
            </w:r>
            <w:r w:rsidRPr="00E660E4">
              <w:rPr>
                <w:rFonts w:ascii="Times New Roman" w:hAnsi="Times New Roman"/>
              </w:rPr>
              <w:t>ia, tre</w:t>
            </w:r>
            <w:r w:rsidRPr="00E660E4">
              <w:rPr>
                <w:rFonts w:ascii="Times New Roman" w:hAnsi="Times New Roman"/>
                <w:spacing w:val="-2"/>
              </w:rPr>
              <w:t>m</w:t>
            </w:r>
            <w:r w:rsidRPr="00E660E4">
              <w:rPr>
                <w:rFonts w:ascii="Times New Roman" w:hAnsi="Times New Roman"/>
                <w:spacing w:val="1"/>
              </w:rPr>
              <w:t>o</w:t>
            </w:r>
            <w:r w:rsidRPr="00E660E4">
              <w:rPr>
                <w:rFonts w:ascii="Times New Roman" w:hAnsi="Times New Roman"/>
              </w:rPr>
              <w:t>r</w:t>
            </w:r>
          </w:p>
        </w:tc>
        <w:tc>
          <w:tcPr>
            <w:tcW w:w="2088" w:type="dxa"/>
            <w:tcBorders>
              <w:top w:val="single" w:sz="4" w:space="0" w:color="000000"/>
              <w:left w:val="single" w:sz="4" w:space="0" w:color="000000"/>
              <w:bottom w:val="single" w:sz="4" w:space="0" w:color="000000"/>
              <w:right w:val="single" w:sz="4" w:space="0" w:color="000000"/>
            </w:tcBorders>
          </w:tcPr>
          <w:p w14:paraId="14318917"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A</w:t>
            </w:r>
            <w:r w:rsidRPr="00E660E4">
              <w:rPr>
                <w:rFonts w:ascii="Times New Roman" w:hAnsi="Times New Roman"/>
                <w:spacing w:val="-2"/>
              </w:rPr>
              <w:t>m</w:t>
            </w:r>
            <w:r w:rsidRPr="00E660E4">
              <w:rPr>
                <w:rFonts w:ascii="Times New Roman" w:hAnsi="Times New Roman"/>
              </w:rPr>
              <w:t>nézia, porucha</w:t>
            </w:r>
          </w:p>
          <w:p w14:paraId="4B64E776" w14:textId="77777777" w:rsidR="008A416B" w:rsidRPr="00E660E4" w:rsidRDefault="008A416B">
            <w:pPr>
              <w:widowControl w:val="0"/>
              <w:autoSpaceDE w:val="0"/>
              <w:autoSpaceDN w:val="0"/>
              <w:adjustRightInd w:val="0"/>
              <w:ind w:left="102" w:right="203"/>
              <w:rPr>
                <w:rFonts w:ascii="Times New Roman" w:hAnsi="Times New Roman"/>
              </w:rPr>
            </w:pPr>
            <w:r w:rsidRPr="00E660E4">
              <w:rPr>
                <w:rFonts w:ascii="Times New Roman" w:hAnsi="Times New Roman"/>
              </w:rPr>
              <w:t>pa</w:t>
            </w:r>
            <w:r w:rsidRPr="00E660E4">
              <w:rPr>
                <w:rFonts w:ascii="Times New Roman" w:hAnsi="Times New Roman"/>
                <w:spacing w:val="-2"/>
              </w:rPr>
              <w:t>m</w:t>
            </w:r>
            <w:r w:rsidRPr="00E660E4">
              <w:rPr>
                <w:rFonts w:ascii="Times New Roman" w:hAnsi="Times New Roman"/>
              </w:rPr>
              <w:t>äti,</w:t>
            </w:r>
            <w:r w:rsidRPr="00E660E4">
              <w:rPr>
                <w:rFonts w:ascii="Times New Roman" w:hAnsi="Times New Roman"/>
                <w:spacing w:val="1"/>
              </w:rPr>
              <w:t xml:space="preserve"> </w:t>
            </w:r>
            <w:r w:rsidRPr="00E660E4">
              <w:rPr>
                <w:rFonts w:ascii="Times New Roman" w:hAnsi="Times New Roman"/>
              </w:rPr>
              <w:t>ne</w:t>
            </w:r>
            <w:r w:rsidRPr="00E660E4">
              <w:rPr>
                <w:rFonts w:ascii="Times New Roman" w:hAnsi="Times New Roman"/>
                <w:spacing w:val="-1"/>
              </w:rPr>
              <w:t>z</w:t>
            </w:r>
            <w:r w:rsidRPr="00E660E4">
              <w:rPr>
                <w:rFonts w:ascii="Times New Roman" w:hAnsi="Times New Roman"/>
                <w:spacing w:val="1"/>
              </w:rPr>
              <w:t>v</w:t>
            </w:r>
            <w:r w:rsidRPr="00E660E4">
              <w:rPr>
                <w:rFonts w:ascii="Times New Roman" w:hAnsi="Times New Roman"/>
                <w:spacing w:val="-1"/>
              </w:rPr>
              <w:t>y</w:t>
            </w:r>
            <w:r w:rsidRPr="00E660E4">
              <w:rPr>
                <w:rFonts w:ascii="Times New Roman" w:hAnsi="Times New Roman"/>
              </w:rPr>
              <w:t>čajná koord</w:t>
            </w:r>
            <w:r w:rsidRPr="00E660E4">
              <w:rPr>
                <w:rFonts w:ascii="Times New Roman" w:hAnsi="Times New Roman"/>
                <w:spacing w:val="-2"/>
              </w:rPr>
              <w:t>i</w:t>
            </w:r>
            <w:r w:rsidRPr="00E660E4">
              <w:rPr>
                <w:rFonts w:ascii="Times New Roman" w:hAnsi="Times New Roman"/>
              </w:rPr>
              <w:t>nácia/ataxia, parestézia,</w:t>
            </w:r>
            <w:r w:rsidRPr="00E660E4">
              <w:rPr>
                <w:rFonts w:ascii="Times New Roman" w:hAnsi="Times New Roman"/>
                <w:spacing w:val="-1"/>
              </w:rPr>
              <w:t xml:space="preserve"> </w:t>
            </w:r>
            <w:r w:rsidRPr="00E660E4">
              <w:rPr>
                <w:rFonts w:ascii="Times New Roman" w:hAnsi="Times New Roman"/>
              </w:rPr>
              <w:t>po</w:t>
            </w:r>
            <w:r w:rsidRPr="00E660E4">
              <w:rPr>
                <w:rFonts w:ascii="Times New Roman" w:hAnsi="Times New Roman"/>
                <w:spacing w:val="-1"/>
              </w:rPr>
              <w:t>r</w:t>
            </w:r>
            <w:r w:rsidRPr="00E660E4">
              <w:rPr>
                <w:rFonts w:ascii="Times New Roman" w:hAnsi="Times New Roman"/>
                <w:spacing w:val="1"/>
              </w:rPr>
              <w:t>u</w:t>
            </w:r>
            <w:r w:rsidRPr="00E660E4">
              <w:rPr>
                <w:rFonts w:ascii="Times New Roman" w:hAnsi="Times New Roman"/>
                <w:spacing w:val="-1"/>
              </w:rPr>
              <w:t>c</w:t>
            </w:r>
            <w:r w:rsidRPr="00E660E4">
              <w:rPr>
                <w:rFonts w:ascii="Times New Roman" w:hAnsi="Times New Roman"/>
                <w:spacing w:val="1"/>
              </w:rPr>
              <w:t>h</w:t>
            </w:r>
            <w:r w:rsidRPr="00E660E4">
              <w:rPr>
                <w:rFonts w:ascii="Times New Roman" w:hAnsi="Times New Roman"/>
              </w:rPr>
              <w:t xml:space="preserve">a </w:t>
            </w:r>
            <w:r w:rsidRPr="00E660E4">
              <w:rPr>
                <w:rFonts w:ascii="Times New Roman" w:hAnsi="Times New Roman"/>
                <w:spacing w:val="1"/>
              </w:rPr>
              <w:t>po</w:t>
            </w:r>
            <w:r w:rsidRPr="00E660E4">
              <w:rPr>
                <w:rFonts w:ascii="Times New Roman" w:hAnsi="Times New Roman"/>
                <w:spacing w:val="-1"/>
              </w:rPr>
              <w:t>z</w:t>
            </w:r>
            <w:r w:rsidRPr="00E660E4">
              <w:rPr>
                <w:rFonts w:ascii="Times New Roman" w:hAnsi="Times New Roman"/>
              </w:rPr>
              <w:t>o</w:t>
            </w:r>
            <w:r w:rsidRPr="00E660E4">
              <w:rPr>
                <w:rFonts w:ascii="Times New Roman" w:hAnsi="Times New Roman"/>
                <w:spacing w:val="1"/>
              </w:rPr>
              <w:t>r</w:t>
            </w:r>
            <w:r w:rsidRPr="00E660E4">
              <w:rPr>
                <w:rFonts w:ascii="Times New Roman" w:hAnsi="Times New Roman"/>
              </w:rPr>
              <w:t>n</w:t>
            </w:r>
            <w:r w:rsidRPr="00E660E4">
              <w:rPr>
                <w:rFonts w:ascii="Times New Roman" w:hAnsi="Times New Roman"/>
                <w:spacing w:val="1"/>
              </w:rPr>
              <w:t>o</w:t>
            </w:r>
            <w:r w:rsidRPr="00E660E4">
              <w:rPr>
                <w:rFonts w:ascii="Times New Roman" w:hAnsi="Times New Roman"/>
              </w:rPr>
              <w:t>sti</w:t>
            </w:r>
          </w:p>
        </w:tc>
        <w:tc>
          <w:tcPr>
            <w:tcW w:w="1809" w:type="dxa"/>
            <w:tcBorders>
              <w:top w:val="single" w:sz="4" w:space="0" w:color="000000"/>
              <w:left w:val="single" w:sz="4" w:space="0" w:color="000000"/>
              <w:bottom w:val="single" w:sz="4" w:space="0" w:color="000000"/>
              <w:right w:val="single" w:sz="4" w:space="0" w:color="000000"/>
            </w:tcBorders>
          </w:tcPr>
          <w:p w14:paraId="791064DE"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Choreoatetóz</w:t>
            </w:r>
            <w:r w:rsidRPr="00E660E4">
              <w:rPr>
                <w:rFonts w:ascii="Times New Roman" w:hAnsi="Times New Roman"/>
                <w:spacing w:val="-1"/>
              </w:rPr>
              <w:t>a</w:t>
            </w:r>
            <w:r w:rsidRPr="00E660E4">
              <w:rPr>
                <w:rFonts w:ascii="Times New Roman" w:hAnsi="Times New Roman"/>
              </w:rPr>
              <w:t>,</w:t>
            </w:r>
          </w:p>
          <w:p w14:paraId="08D2579E" w14:textId="1C3A253F" w:rsidR="008A416B" w:rsidRPr="00E660E4" w:rsidRDefault="008A416B">
            <w:pPr>
              <w:widowControl w:val="0"/>
              <w:autoSpaceDE w:val="0"/>
              <w:autoSpaceDN w:val="0"/>
              <w:adjustRightInd w:val="0"/>
              <w:ind w:left="102" w:right="462"/>
              <w:rPr>
                <w:rFonts w:ascii="Times New Roman" w:hAnsi="Times New Roman"/>
              </w:rPr>
            </w:pPr>
            <w:r w:rsidRPr="00E660E4">
              <w:rPr>
                <w:rFonts w:ascii="Times New Roman" w:hAnsi="Times New Roman"/>
              </w:rPr>
              <w:t>dysk</w:t>
            </w:r>
            <w:r w:rsidRPr="00E660E4">
              <w:rPr>
                <w:rFonts w:ascii="Times New Roman" w:hAnsi="Times New Roman"/>
                <w:spacing w:val="-2"/>
              </w:rPr>
              <w:t>i</w:t>
            </w:r>
            <w:r w:rsidRPr="00E660E4">
              <w:rPr>
                <w:rFonts w:ascii="Times New Roman" w:hAnsi="Times New Roman"/>
                <w:spacing w:val="1"/>
              </w:rPr>
              <w:t>n</w:t>
            </w:r>
            <w:r w:rsidRPr="00E660E4">
              <w:rPr>
                <w:rFonts w:ascii="Times New Roman" w:hAnsi="Times New Roman"/>
              </w:rPr>
              <w:t>éza, hyp</w:t>
            </w:r>
            <w:r w:rsidRPr="00E660E4">
              <w:rPr>
                <w:rFonts w:ascii="Times New Roman" w:hAnsi="Times New Roman"/>
                <w:spacing w:val="-1"/>
              </w:rPr>
              <w:t>e</w:t>
            </w:r>
            <w:r w:rsidRPr="00E660E4">
              <w:rPr>
                <w:rFonts w:ascii="Times New Roman" w:hAnsi="Times New Roman"/>
              </w:rPr>
              <w:t>rk</w:t>
            </w:r>
            <w:r w:rsidRPr="00E660E4">
              <w:rPr>
                <w:rFonts w:ascii="Times New Roman" w:hAnsi="Times New Roman"/>
                <w:spacing w:val="-2"/>
              </w:rPr>
              <w:t>i</w:t>
            </w:r>
            <w:r w:rsidRPr="00E660E4">
              <w:rPr>
                <w:rFonts w:ascii="Times New Roman" w:hAnsi="Times New Roman"/>
                <w:spacing w:val="1"/>
              </w:rPr>
              <w:t>n</w:t>
            </w:r>
            <w:r w:rsidRPr="00E660E4">
              <w:rPr>
                <w:rFonts w:ascii="Times New Roman" w:hAnsi="Times New Roman"/>
              </w:rPr>
              <w:t>éza</w:t>
            </w:r>
            <w:r w:rsidR="00E03CB3" w:rsidRPr="00E660E4">
              <w:rPr>
                <w:rFonts w:ascii="Times New Roman" w:hAnsi="Times New Roman"/>
              </w:rPr>
              <w:t>, poruchy</w:t>
            </w:r>
            <w:r w:rsidR="0055326E">
              <w:rPr>
                <w:rFonts w:ascii="Times New Roman" w:hAnsi="Times New Roman"/>
              </w:rPr>
              <w:t xml:space="preserve"> </w:t>
            </w:r>
            <w:r w:rsidR="00E03CB3" w:rsidRPr="00E660E4">
              <w:rPr>
                <w:rFonts w:ascii="Times New Roman" w:hAnsi="Times New Roman"/>
              </w:rPr>
              <w:t>chôdze</w:t>
            </w:r>
            <w:r w:rsidR="0055326E">
              <w:rPr>
                <w:rFonts w:ascii="Times New Roman" w:hAnsi="Times New Roman"/>
              </w:rPr>
              <w:t>, ence-falopatia</w:t>
            </w:r>
          </w:p>
          <w:p w14:paraId="087806AB" w14:textId="77777777" w:rsidR="00E03CB3" w:rsidRPr="00E660E4" w:rsidRDefault="00E03CB3">
            <w:pPr>
              <w:widowControl w:val="0"/>
              <w:autoSpaceDE w:val="0"/>
              <w:autoSpaceDN w:val="0"/>
              <w:adjustRightInd w:val="0"/>
              <w:ind w:left="102" w:right="462"/>
              <w:rPr>
                <w:rFonts w:ascii="Times New Roman" w:hAnsi="Times New Roman"/>
              </w:rPr>
            </w:pPr>
          </w:p>
          <w:p w14:paraId="04FA9209" w14:textId="126321AE" w:rsidR="00E03CB3" w:rsidRPr="00E660E4" w:rsidRDefault="00E03CB3">
            <w:pPr>
              <w:widowControl w:val="0"/>
              <w:autoSpaceDE w:val="0"/>
              <w:autoSpaceDN w:val="0"/>
              <w:adjustRightInd w:val="0"/>
              <w:ind w:left="102" w:right="462"/>
              <w:rPr>
                <w:rFonts w:ascii="Times New Roman" w:hAnsi="Times New Roman"/>
              </w:rPr>
            </w:pPr>
          </w:p>
        </w:tc>
      </w:tr>
      <w:tr w:rsidR="00E660E4" w:rsidRPr="00E660E4" w14:paraId="616125EC" w14:textId="77777777" w:rsidTr="005D78EE">
        <w:trPr>
          <w:trHeight w:hRule="exact" w:val="469"/>
        </w:trPr>
        <w:tc>
          <w:tcPr>
            <w:tcW w:w="1933" w:type="dxa"/>
            <w:tcBorders>
              <w:top w:val="single" w:sz="4" w:space="0" w:color="000000"/>
              <w:left w:val="single" w:sz="4" w:space="0" w:color="000000"/>
              <w:bottom w:val="single" w:sz="4" w:space="0" w:color="000000"/>
              <w:right w:val="single" w:sz="4" w:space="0" w:color="000000"/>
            </w:tcBorders>
          </w:tcPr>
          <w:p w14:paraId="5B0DDDFC"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spacing w:val="1"/>
              </w:rPr>
              <w:t>Po</w:t>
            </w:r>
            <w:r w:rsidRPr="00E660E4">
              <w:rPr>
                <w:rFonts w:ascii="Times New Roman" w:hAnsi="Times New Roman"/>
                <w:b/>
                <w:spacing w:val="-1"/>
              </w:rPr>
              <w:t>r</w:t>
            </w:r>
            <w:r w:rsidRPr="00E660E4">
              <w:rPr>
                <w:rFonts w:ascii="Times New Roman" w:hAnsi="Times New Roman"/>
                <w:b/>
                <w:spacing w:val="1"/>
              </w:rPr>
              <w:t>u</w:t>
            </w:r>
            <w:r w:rsidRPr="00E660E4">
              <w:rPr>
                <w:rFonts w:ascii="Times New Roman" w:hAnsi="Times New Roman"/>
                <w:b/>
                <w:spacing w:val="-1"/>
              </w:rPr>
              <w:t>c</w:t>
            </w:r>
            <w:r w:rsidRPr="00E660E4">
              <w:rPr>
                <w:rFonts w:ascii="Times New Roman" w:hAnsi="Times New Roman"/>
                <w:b/>
                <w:spacing w:val="1"/>
              </w:rPr>
              <w:t>hy</w:t>
            </w:r>
            <w:r w:rsidRPr="00E660E4">
              <w:rPr>
                <w:rFonts w:ascii="Times New Roman" w:hAnsi="Times New Roman"/>
                <w:b/>
                <w:spacing w:val="-2"/>
              </w:rPr>
              <w:t xml:space="preserve"> </w:t>
            </w:r>
            <w:r w:rsidRPr="00E660E4">
              <w:rPr>
                <w:rFonts w:ascii="Times New Roman" w:hAnsi="Times New Roman"/>
                <w:b/>
                <w:spacing w:val="1"/>
              </w:rPr>
              <w:t>oka</w:t>
            </w:r>
          </w:p>
        </w:tc>
        <w:tc>
          <w:tcPr>
            <w:tcW w:w="1573" w:type="dxa"/>
            <w:tcBorders>
              <w:top w:val="single" w:sz="4" w:space="0" w:color="000000"/>
              <w:left w:val="single" w:sz="4" w:space="0" w:color="000000"/>
              <w:bottom w:val="single" w:sz="4" w:space="0" w:color="000000"/>
              <w:right w:val="single" w:sz="4" w:space="0" w:color="000000"/>
            </w:tcBorders>
          </w:tcPr>
          <w:p w14:paraId="3E0A0568"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217E4019" w14:textId="77777777" w:rsidR="008A416B" w:rsidRPr="00E660E4" w:rsidRDefault="008A416B">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036DC658"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Diplopia,</w:t>
            </w:r>
            <w:r w:rsidRPr="00E660E4">
              <w:rPr>
                <w:rFonts w:ascii="Times New Roman" w:hAnsi="Times New Roman"/>
                <w:spacing w:val="-1"/>
              </w:rPr>
              <w:t xml:space="preserve"> </w:t>
            </w:r>
            <w:r w:rsidRPr="00E660E4">
              <w:rPr>
                <w:rFonts w:ascii="Times New Roman" w:hAnsi="Times New Roman"/>
              </w:rPr>
              <w:t>rozmazané</w:t>
            </w:r>
          </w:p>
          <w:p w14:paraId="255EC77B"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v</w:t>
            </w:r>
            <w:r w:rsidRPr="00E660E4">
              <w:rPr>
                <w:rFonts w:ascii="Times New Roman" w:hAnsi="Times New Roman"/>
                <w:spacing w:val="-1"/>
              </w:rPr>
              <w:t>i</w:t>
            </w:r>
            <w:r w:rsidRPr="00E660E4">
              <w:rPr>
                <w:rFonts w:ascii="Times New Roman" w:hAnsi="Times New Roman"/>
              </w:rPr>
              <w:t>d</w:t>
            </w:r>
            <w:r w:rsidRPr="00E660E4">
              <w:rPr>
                <w:rFonts w:ascii="Times New Roman" w:hAnsi="Times New Roman"/>
                <w:spacing w:val="-1"/>
              </w:rPr>
              <w:t>e</w:t>
            </w:r>
            <w:r w:rsidRPr="00E660E4">
              <w:rPr>
                <w:rFonts w:ascii="Times New Roman" w:hAnsi="Times New Roman"/>
              </w:rPr>
              <w:t>n</w:t>
            </w:r>
            <w:r w:rsidRPr="00E660E4">
              <w:rPr>
                <w:rFonts w:ascii="Times New Roman" w:hAnsi="Times New Roman"/>
                <w:spacing w:val="-1"/>
              </w:rPr>
              <w:t>i</w:t>
            </w:r>
            <w:r w:rsidRPr="00E660E4">
              <w:rPr>
                <w:rFonts w:ascii="Times New Roman" w:hAnsi="Times New Roman"/>
              </w:rPr>
              <w:t>e</w:t>
            </w:r>
          </w:p>
        </w:tc>
        <w:tc>
          <w:tcPr>
            <w:tcW w:w="1809" w:type="dxa"/>
            <w:tcBorders>
              <w:top w:val="single" w:sz="4" w:space="0" w:color="000000"/>
              <w:left w:val="single" w:sz="4" w:space="0" w:color="000000"/>
              <w:bottom w:val="single" w:sz="4" w:space="0" w:color="000000"/>
              <w:right w:val="single" w:sz="4" w:space="0" w:color="000000"/>
            </w:tcBorders>
          </w:tcPr>
          <w:p w14:paraId="40178549" w14:textId="77777777" w:rsidR="008A416B" w:rsidRPr="00E660E4" w:rsidRDefault="008A416B">
            <w:pPr>
              <w:widowControl w:val="0"/>
              <w:autoSpaceDE w:val="0"/>
              <w:autoSpaceDN w:val="0"/>
              <w:adjustRightInd w:val="0"/>
              <w:rPr>
                <w:rFonts w:ascii="Times New Roman" w:hAnsi="Times New Roman"/>
              </w:rPr>
            </w:pPr>
          </w:p>
        </w:tc>
      </w:tr>
      <w:tr w:rsidR="00E660E4" w:rsidRPr="00E660E4" w14:paraId="13475E51" w14:textId="77777777" w:rsidTr="005D78EE">
        <w:trPr>
          <w:trHeight w:hRule="exact" w:val="470"/>
        </w:trPr>
        <w:tc>
          <w:tcPr>
            <w:tcW w:w="1933" w:type="dxa"/>
            <w:tcBorders>
              <w:top w:val="single" w:sz="4" w:space="0" w:color="000000"/>
              <w:left w:val="single" w:sz="4" w:space="0" w:color="000000"/>
              <w:bottom w:val="single" w:sz="4" w:space="0" w:color="000000"/>
              <w:right w:val="single" w:sz="4" w:space="0" w:color="000000"/>
            </w:tcBorders>
          </w:tcPr>
          <w:p w14:paraId="66F8B7DB"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Po</w:t>
            </w:r>
            <w:r w:rsidRPr="00E660E4">
              <w:rPr>
                <w:rFonts w:ascii="Times New Roman" w:hAnsi="Times New Roman"/>
                <w:b/>
                <w:spacing w:val="-1"/>
              </w:rPr>
              <w:t>r</w:t>
            </w:r>
            <w:r w:rsidRPr="00E660E4">
              <w:rPr>
                <w:rFonts w:ascii="Times New Roman" w:hAnsi="Times New Roman"/>
                <w:b/>
                <w:spacing w:val="1"/>
              </w:rPr>
              <w:t>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w:t>
            </w:r>
            <w:r w:rsidRPr="00E660E4">
              <w:rPr>
                <w:rFonts w:ascii="Times New Roman" w:hAnsi="Times New Roman"/>
                <w:b/>
                <w:spacing w:val="-1"/>
              </w:rPr>
              <w:t xml:space="preserve"> </w:t>
            </w:r>
            <w:r w:rsidRPr="00E660E4">
              <w:rPr>
                <w:rFonts w:ascii="Times New Roman" w:hAnsi="Times New Roman"/>
                <w:b/>
              </w:rPr>
              <w:t>ucha</w:t>
            </w:r>
            <w:r w:rsidRPr="00E660E4">
              <w:rPr>
                <w:rFonts w:ascii="Times New Roman" w:hAnsi="Times New Roman"/>
                <w:b/>
                <w:spacing w:val="-3"/>
              </w:rPr>
              <w:t xml:space="preserve"> </w:t>
            </w:r>
            <w:r w:rsidRPr="00E660E4">
              <w:rPr>
                <w:rFonts w:ascii="Times New Roman" w:hAnsi="Times New Roman"/>
                <w:b/>
              </w:rPr>
              <w:t>a</w:t>
            </w:r>
          </w:p>
          <w:p w14:paraId="6EB246B0"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la</w:t>
            </w:r>
            <w:r w:rsidRPr="00E660E4">
              <w:rPr>
                <w:rFonts w:ascii="Times New Roman" w:hAnsi="Times New Roman"/>
                <w:b/>
                <w:spacing w:val="1"/>
              </w:rPr>
              <w:t>b</w:t>
            </w:r>
            <w:r w:rsidRPr="00E660E4">
              <w:rPr>
                <w:rFonts w:ascii="Times New Roman" w:hAnsi="Times New Roman"/>
                <w:b/>
                <w:spacing w:val="-1"/>
              </w:rPr>
              <w:t>y</w:t>
            </w:r>
            <w:r w:rsidRPr="00E660E4">
              <w:rPr>
                <w:rFonts w:ascii="Times New Roman" w:hAnsi="Times New Roman"/>
                <w:b/>
                <w:spacing w:val="1"/>
              </w:rPr>
              <w:t>r</w:t>
            </w:r>
            <w:r w:rsidRPr="00E660E4">
              <w:rPr>
                <w:rFonts w:ascii="Times New Roman" w:hAnsi="Times New Roman"/>
                <w:b/>
              </w:rPr>
              <w:t>i</w:t>
            </w:r>
            <w:r w:rsidRPr="00E660E4">
              <w:rPr>
                <w:rFonts w:ascii="Times New Roman" w:hAnsi="Times New Roman"/>
                <w:b/>
                <w:spacing w:val="1"/>
              </w:rPr>
              <w:t>n</w:t>
            </w:r>
            <w:r w:rsidRPr="00E660E4">
              <w:rPr>
                <w:rFonts w:ascii="Times New Roman" w:hAnsi="Times New Roman"/>
                <w:b/>
              </w:rPr>
              <w:t>tu</w:t>
            </w:r>
          </w:p>
        </w:tc>
        <w:tc>
          <w:tcPr>
            <w:tcW w:w="1573" w:type="dxa"/>
            <w:tcBorders>
              <w:top w:val="single" w:sz="4" w:space="0" w:color="000000"/>
              <w:left w:val="single" w:sz="4" w:space="0" w:color="000000"/>
              <w:bottom w:val="single" w:sz="4" w:space="0" w:color="000000"/>
              <w:right w:val="single" w:sz="4" w:space="0" w:color="000000"/>
            </w:tcBorders>
          </w:tcPr>
          <w:p w14:paraId="484ED0FD"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12B447EA"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Vertigo</w:t>
            </w:r>
          </w:p>
        </w:tc>
        <w:tc>
          <w:tcPr>
            <w:tcW w:w="2088" w:type="dxa"/>
            <w:tcBorders>
              <w:top w:val="single" w:sz="4" w:space="0" w:color="000000"/>
              <w:left w:val="single" w:sz="4" w:space="0" w:color="000000"/>
              <w:bottom w:val="single" w:sz="4" w:space="0" w:color="000000"/>
              <w:right w:val="single" w:sz="4" w:space="0" w:color="000000"/>
            </w:tcBorders>
          </w:tcPr>
          <w:p w14:paraId="293792DB" w14:textId="77777777" w:rsidR="008A416B" w:rsidRPr="00E660E4" w:rsidRDefault="008A416B">
            <w:pPr>
              <w:widowControl w:val="0"/>
              <w:autoSpaceDE w:val="0"/>
              <w:autoSpaceDN w:val="0"/>
              <w:adjustRightInd w:val="0"/>
              <w:rPr>
                <w:rFonts w:ascii="Times New Roman" w:hAnsi="Times New Roman"/>
              </w:rPr>
            </w:pPr>
          </w:p>
        </w:tc>
        <w:tc>
          <w:tcPr>
            <w:tcW w:w="1809" w:type="dxa"/>
            <w:tcBorders>
              <w:top w:val="single" w:sz="4" w:space="0" w:color="000000"/>
              <w:left w:val="single" w:sz="4" w:space="0" w:color="000000"/>
              <w:bottom w:val="single" w:sz="4" w:space="0" w:color="000000"/>
              <w:right w:val="single" w:sz="4" w:space="0" w:color="000000"/>
            </w:tcBorders>
          </w:tcPr>
          <w:p w14:paraId="5409B3E6" w14:textId="77777777" w:rsidR="008A416B" w:rsidRPr="00E660E4" w:rsidRDefault="008A416B">
            <w:pPr>
              <w:widowControl w:val="0"/>
              <w:autoSpaceDE w:val="0"/>
              <w:autoSpaceDN w:val="0"/>
              <w:adjustRightInd w:val="0"/>
              <w:rPr>
                <w:rFonts w:ascii="Times New Roman" w:hAnsi="Times New Roman"/>
              </w:rPr>
            </w:pPr>
          </w:p>
        </w:tc>
      </w:tr>
      <w:tr w:rsidR="00E660E4" w:rsidRPr="00E660E4" w14:paraId="7C67F59D" w14:textId="77777777" w:rsidTr="005D78EE">
        <w:trPr>
          <w:trHeight w:hRule="exact" w:val="877"/>
        </w:trPr>
        <w:tc>
          <w:tcPr>
            <w:tcW w:w="1933" w:type="dxa"/>
            <w:tcBorders>
              <w:top w:val="single" w:sz="4" w:space="0" w:color="000000"/>
              <w:left w:val="single" w:sz="4" w:space="0" w:color="000000"/>
              <w:bottom w:val="single" w:sz="4" w:space="0" w:color="000000"/>
              <w:right w:val="single" w:sz="4" w:space="0" w:color="000000"/>
            </w:tcBorders>
          </w:tcPr>
          <w:p w14:paraId="33FA0226"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Po</w:t>
            </w:r>
            <w:r w:rsidRPr="00E660E4">
              <w:rPr>
                <w:rFonts w:ascii="Times New Roman" w:hAnsi="Times New Roman"/>
                <w:b/>
                <w:spacing w:val="-1"/>
              </w:rPr>
              <w:t>r</w:t>
            </w:r>
            <w:r w:rsidRPr="00E660E4">
              <w:rPr>
                <w:rFonts w:ascii="Times New Roman" w:hAnsi="Times New Roman"/>
                <w:b/>
                <w:spacing w:val="1"/>
              </w:rPr>
              <w:t>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w:t>
            </w:r>
            <w:r w:rsidRPr="00E660E4">
              <w:rPr>
                <w:rFonts w:ascii="Times New Roman" w:hAnsi="Times New Roman"/>
                <w:b/>
                <w:spacing w:val="-1"/>
              </w:rPr>
              <w:t xml:space="preserve"> </w:t>
            </w:r>
            <w:r w:rsidRPr="00E660E4">
              <w:rPr>
                <w:rFonts w:ascii="Times New Roman" w:hAnsi="Times New Roman"/>
                <w:b/>
              </w:rPr>
              <w:t>dý</w:t>
            </w:r>
            <w:r w:rsidRPr="00E660E4">
              <w:rPr>
                <w:rFonts w:ascii="Times New Roman" w:hAnsi="Times New Roman"/>
                <w:b/>
                <w:spacing w:val="-1"/>
              </w:rPr>
              <w:t>c</w:t>
            </w:r>
            <w:r w:rsidRPr="00E660E4">
              <w:rPr>
                <w:rFonts w:ascii="Times New Roman" w:hAnsi="Times New Roman"/>
                <w:b/>
              </w:rPr>
              <w:t>h</w:t>
            </w:r>
            <w:r w:rsidRPr="00E660E4">
              <w:rPr>
                <w:rFonts w:ascii="Times New Roman" w:hAnsi="Times New Roman"/>
                <w:b/>
                <w:spacing w:val="-1"/>
              </w:rPr>
              <w:t>a</w:t>
            </w:r>
            <w:r w:rsidRPr="00E660E4">
              <w:rPr>
                <w:rFonts w:ascii="Times New Roman" w:hAnsi="Times New Roman"/>
                <w:b/>
              </w:rPr>
              <w:t>cej</w:t>
            </w:r>
          </w:p>
          <w:p w14:paraId="1931328A"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sús</w:t>
            </w:r>
            <w:r w:rsidRPr="00E660E4">
              <w:rPr>
                <w:rFonts w:ascii="Times New Roman" w:hAnsi="Times New Roman"/>
                <w:b/>
                <w:spacing w:val="-1"/>
              </w:rPr>
              <w:t>t</w:t>
            </w:r>
            <w:r w:rsidRPr="00E660E4">
              <w:rPr>
                <w:rFonts w:ascii="Times New Roman" w:hAnsi="Times New Roman"/>
                <w:b/>
              </w:rPr>
              <w:t>av</w:t>
            </w:r>
            <w:r w:rsidRPr="00E660E4">
              <w:rPr>
                <w:rFonts w:ascii="Times New Roman" w:hAnsi="Times New Roman"/>
                <w:b/>
                <w:spacing w:val="-1"/>
              </w:rPr>
              <w:t>y</w:t>
            </w:r>
            <w:r w:rsidRPr="00E660E4">
              <w:rPr>
                <w:rFonts w:ascii="Times New Roman" w:hAnsi="Times New Roman"/>
                <w:b/>
              </w:rPr>
              <w:t>,</w:t>
            </w:r>
            <w:r w:rsidRPr="00E660E4">
              <w:rPr>
                <w:rFonts w:ascii="Times New Roman" w:hAnsi="Times New Roman"/>
                <w:b/>
                <w:spacing w:val="-1"/>
              </w:rPr>
              <w:t xml:space="preserve"> hr</w:t>
            </w:r>
            <w:r w:rsidRPr="00E660E4">
              <w:rPr>
                <w:rFonts w:ascii="Times New Roman" w:hAnsi="Times New Roman"/>
                <w:b/>
              </w:rPr>
              <w:t>u</w:t>
            </w:r>
            <w:r w:rsidRPr="00E660E4">
              <w:rPr>
                <w:rFonts w:ascii="Times New Roman" w:hAnsi="Times New Roman"/>
                <w:b/>
                <w:spacing w:val="-1"/>
              </w:rPr>
              <w:t>d</w:t>
            </w:r>
            <w:r w:rsidRPr="00E660E4">
              <w:rPr>
                <w:rFonts w:ascii="Times New Roman" w:hAnsi="Times New Roman"/>
                <w:b/>
              </w:rPr>
              <w:t>n</w:t>
            </w:r>
            <w:r w:rsidRPr="00E660E4">
              <w:rPr>
                <w:rFonts w:ascii="Times New Roman" w:hAnsi="Times New Roman"/>
                <w:b/>
                <w:spacing w:val="-2"/>
              </w:rPr>
              <w:t>í</w:t>
            </w:r>
            <w:r w:rsidRPr="00E660E4">
              <w:rPr>
                <w:rFonts w:ascii="Times New Roman" w:hAnsi="Times New Roman"/>
                <w:b/>
              </w:rPr>
              <w:t>ka a</w:t>
            </w:r>
            <w:r w:rsidR="009C562A" w:rsidRPr="00E660E4">
              <w:rPr>
                <w:rFonts w:ascii="Times New Roman" w:hAnsi="Times New Roman"/>
                <w:b/>
              </w:rPr>
              <w:t xml:space="preserve"> </w:t>
            </w:r>
            <w:r w:rsidRPr="00E660E4">
              <w:rPr>
                <w:rFonts w:ascii="Times New Roman" w:hAnsi="Times New Roman"/>
                <w:b/>
              </w:rPr>
              <w:t>me</w:t>
            </w:r>
            <w:r w:rsidRPr="00E660E4">
              <w:rPr>
                <w:rFonts w:ascii="Times New Roman" w:hAnsi="Times New Roman"/>
                <w:b/>
                <w:spacing w:val="1"/>
              </w:rPr>
              <w:t>d</w:t>
            </w:r>
            <w:r w:rsidRPr="00E660E4">
              <w:rPr>
                <w:rFonts w:ascii="Times New Roman" w:hAnsi="Times New Roman"/>
                <w:b/>
              </w:rPr>
              <w:t>iastí</w:t>
            </w:r>
            <w:r w:rsidRPr="00E660E4">
              <w:rPr>
                <w:rFonts w:ascii="Times New Roman" w:hAnsi="Times New Roman"/>
                <w:b/>
                <w:spacing w:val="1"/>
              </w:rPr>
              <w:t>n</w:t>
            </w:r>
            <w:r w:rsidRPr="00E660E4">
              <w:rPr>
                <w:rFonts w:ascii="Times New Roman" w:hAnsi="Times New Roman"/>
                <w:b/>
              </w:rPr>
              <w:t>a</w:t>
            </w:r>
          </w:p>
        </w:tc>
        <w:tc>
          <w:tcPr>
            <w:tcW w:w="1573" w:type="dxa"/>
            <w:tcBorders>
              <w:top w:val="single" w:sz="4" w:space="0" w:color="000000"/>
              <w:left w:val="single" w:sz="4" w:space="0" w:color="000000"/>
              <w:bottom w:val="single" w:sz="4" w:space="0" w:color="000000"/>
              <w:right w:val="single" w:sz="4" w:space="0" w:color="000000"/>
            </w:tcBorders>
          </w:tcPr>
          <w:p w14:paraId="0F6C9D98"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54E6924E"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Kašeľ</w:t>
            </w:r>
          </w:p>
        </w:tc>
        <w:tc>
          <w:tcPr>
            <w:tcW w:w="2088" w:type="dxa"/>
            <w:tcBorders>
              <w:top w:val="single" w:sz="4" w:space="0" w:color="000000"/>
              <w:left w:val="single" w:sz="4" w:space="0" w:color="000000"/>
              <w:bottom w:val="single" w:sz="4" w:space="0" w:color="000000"/>
              <w:right w:val="single" w:sz="4" w:space="0" w:color="000000"/>
            </w:tcBorders>
          </w:tcPr>
          <w:p w14:paraId="2C879C1E" w14:textId="77777777" w:rsidR="008A416B" w:rsidRPr="00E660E4" w:rsidRDefault="008A416B">
            <w:pPr>
              <w:widowControl w:val="0"/>
              <w:autoSpaceDE w:val="0"/>
              <w:autoSpaceDN w:val="0"/>
              <w:adjustRightInd w:val="0"/>
              <w:rPr>
                <w:rFonts w:ascii="Times New Roman" w:hAnsi="Times New Roman"/>
              </w:rPr>
            </w:pPr>
          </w:p>
        </w:tc>
        <w:tc>
          <w:tcPr>
            <w:tcW w:w="1809" w:type="dxa"/>
            <w:tcBorders>
              <w:top w:val="single" w:sz="4" w:space="0" w:color="000000"/>
              <w:left w:val="single" w:sz="4" w:space="0" w:color="000000"/>
              <w:bottom w:val="single" w:sz="4" w:space="0" w:color="000000"/>
              <w:right w:val="single" w:sz="4" w:space="0" w:color="000000"/>
            </w:tcBorders>
          </w:tcPr>
          <w:p w14:paraId="697D064F" w14:textId="77777777" w:rsidR="008A416B" w:rsidRPr="00E660E4" w:rsidRDefault="008A416B">
            <w:pPr>
              <w:widowControl w:val="0"/>
              <w:autoSpaceDE w:val="0"/>
              <w:autoSpaceDN w:val="0"/>
              <w:adjustRightInd w:val="0"/>
              <w:rPr>
                <w:rFonts w:ascii="Times New Roman" w:hAnsi="Times New Roman"/>
              </w:rPr>
            </w:pPr>
          </w:p>
        </w:tc>
      </w:tr>
      <w:tr w:rsidR="00E660E4" w:rsidRPr="00E660E4" w14:paraId="290A2368" w14:textId="77777777" w:rsidTr="005D78EE">
        <w:trPr>
          <w:trHeight w:hRule="exact" w:val="1056"/>
        </w:trPr>
        <w:tc>
          <w:tcPr>
            <w:tcW w:w="1933" w:type="dxa"/>
            <w:tcBorders>
              <w:top w:val="single" w:sz="4" w:space="0" w:color="000000"/>
              <w:left w:val="single" w:sz="4" w:space="0" w:color="000000"/>
              <w:bottom w:val="single" w:sz="4" w:space="0" w:color="000000"/>
              <w:right w:val="single" w:sz="4" w:space="0" w:color="000000"/>
            </w:tcBorders>
          </w:tcPr>
          <w:p w14:paraId="3B467DF9"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Poru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w:t>
            </w:r>
          </w:p>
          <w:p w14:paraId="1A5B8FB4"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spacing w:val="1"/>
              </w:rPr>
              <w:t>g</w:t>
            </w:r>
            <w:r w:rsidRPr="00E660E4">
              <w:rPr>
                <w:rFonts w:ascii="Times New Roman" w:hAnsi="Times New Roman"/>
                <w:b/>
              </w:rPr>
              <w:t>astr</w:t>
            </w:r>
            <w:r w:rsidRPr="00E660E4">
              <w:rPr>
                <w:rFonts w:ascii="Times New Roman" w:hAnsi="Times New Roman"/>
                <w:b/>
                <w:spacing w:val="1"/>
              </w:rPr>
              <w:t>o</w:t>
            </w:r>
            <w:r w:rsidRPr="00E660E4">
              <w:rPr>
                <w:rFonts w:ascii="Times New Roman" w:hAnsi="Times New Roman"/>
                <w:b/>
              </w:rPr>
              <w:t>i</w:t>
            </w:r>
            <w:r w:rsidRPr="00E660E4">
              <w:rPr>
                <w:rFonts w:ascii="Times New Roman" w:hAnsi="Times New Roman"/>
                <w:b/>
                <w:spacing w:val="1"/>
              </w:rPr>
              <w:t>n</w:t>
            </w:r>
            <w:r w:rsidRPr="00E660E4">
              <w:rPr>
                <w:rFonts w:ascii="Times New Roman" w:hAnsi="Times New Roman"/>
                <w:b/>
              </w:rPr>
              <w:t>testi</w:t>
            </w:r>
            <w:r w:rsidRPr="00E660E4">
              <w:rPr>
                <w:rFonts w:ascii="Times New Roman" w:hAnsi="Times New Roman"/>
                <w:b/>
                <w:spacing w:val="1"/>
              </w:rPr>
              <w:t>n</w:t>
            </w:r>
            <w:r w:rsidRPr="00E660E4">
              <w:rPr>
                <w:rFonts w:ascii="Times New Roman" w:hAnsi="Times New Roman"/>
                <w:b/>
              </w:rPr>
              <w:t>á</w:t>
            </w:r>
            <w:r w:rsidRPr="00E660E4">
              <w:rPr>
                <w:rFonts w:ascii="Times New Roman" w:hAnsi="Times New Roman"/>
                <w:b/>
                <w:spacing w:val="-2"/>
              </w:rPr>
              <w:t>l</w:t>
            </w:r>
            <w:r w:rsidRPr="00E660E4">
              <w:rPr>
                <w:rFonts w:ascii="Times New Roman" w:hAnsi="Times New Roman"/>
                <w:b/>
                <w:spacing w:val="1"/>
              </w:rPr>
              <w:t>n</w:t>
            </w:r>
            <w:r w:rsidRPr="00E660E4">
              <w:rPr>
                <w:rFonts w:ascii="Times New Roman" w:hAnsi="Times New Roman"/>
                <w:b/>
              </w:rPr>
              <w:t>eho</w:t>
            </w:r>
            <w:r w:rsidR="009C562A" w:rsidRPr="00E660E4">
              <w:rPr>
                <w:rFonts w:ascii="Times New Roman" w:hAnsi="Times New Roman"/>
                <w:b/>
              </w:rPr>
              <w:t xml:space="preserve"> </w:t>
            </w:r>
            <w:r w:rsidRPr="00E660E4">
              <w:rPr>
                <w:rFonts w:ascii="Times New Roman" w:hAnsi="Times New Roman"/>
                <w:b/>
              </w:rPr>
              <w:t>tra</w:t>
            </w:r>
            <w:r w:rsidRPr="00E660E4">
              <w:rPr>
                <w:rFonts w:ascii="Times New Roman" w:hAnsi="Times New Roman"/>
                <w:b/>
                <w:spacing w:val="1"/>
              </w:rPr>
              <w:t>k</w:t>
            </w:r>
            <w:r w:rsidRPr="00E660E4">
              <w:rPr>
                <w:rFonts w:ascii="Times New Roman" w:hAnsi="Times New Roman"/>
                <w:b/>
              </w:rPr>
              <w:t>tu</w:t>
            </w:r>
          </w:p>
        </w:tc>
        <w:tc>
          <w:tcPr>
            <w:tcW w:w="1573" w:type="dxa"/>
            <w:tcBorders>
              <w:top w:val="single" w:sz="4" w:space="0" w:color="000000"/>
              <w:left w:val="single" w:sz="4" w:space="0" w:color="000000"/>
              <w:bottom w:val="single" w:sz="4" w:space="0" w:color="000000"/>
              <w:right w:val="single" w:sz="4" w:space="0" w:color="000000"/>
            </w:tcBorders>
          </w:tcPr>
          <w:p w14:paraId="45A4A27D"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57FA74CB"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B</w:t>
            </w:r>
            <w:r w:rsidRPr="00E660E4">
              <w:rPr>
                <w:rFonts w:ascii="Times New Roman" w:hAnsi="Times New Roman"/>
                <w:spacing w:val="1"/>
              </w:rPr>
              <w:t>o</w:t>
            </w:r>
            <w:r w:rsidRPr="00E660E4">
              <w:rPr>
                <w:rFonts w:ascii="Times New Roman" w:hAnsi="Times New Roman"/>
              </w:rPr>
              <w:t xml:space="preserve">lesť </w:t>
            </w:r>
            <w:r w:rsidRPr="00E660E4">
              <w:rPr>
                <w:rFonts w:ascii="Times New Roman" w:hAnsi="Times New Roman"/>
                <w:spacing w:val="-1"/>
              </w:rPr>
              <w:t>b</w:t>
            </w:r>
            <w:r w:rsidRPr="00E660E4">
              <w:rPr>
                <w:rFonts w:ascii="Times New Roman" w:hAnsi="Times New Roman"/>
              </w:rPr>
              <w:t>ru</w:t>
            </w:r>
            <w:r w:rsidRPr="00E660E4">
              <w:rPr>
                <w:rFonts w:ascii="Times New Roman" w:hAnsi="Times New Roman"/>
                <w:spacing w:val="-1"/>
              </w:rPr>
              <w:t>c</w:t>
            </w:r>
            <w:r w:rsidRPr="00E660E4">
              <w:rPr>
                <w:rFonts w:ascii="Times New Roman" w:hAnsi="Times New Roman"/>
              </w:rPr>
              <w:t>ha,</w:t>
            </w:r>
            <w:r w:rsidRPr="00E660E4">
              <w:rPr>
                <w:rFonts w:ascii="Times New Roman" w:hAnsi="Times New Roman"/>
                <w:spacing w:val="-1"/>
              </w:rPr>
              <w:t xml:space="preserve"> h</w:t>
            </w:r>
            <w:r w:rsidRPr="00E660E4">
              <w:rPr>
                <w:rFonts w:ascii="Times New Roman" w:hAnsi="Times New Roman"/>
                <w:spacing w:val="1"/>
              </w:rPr>
              <w:t>n</w:t>
            </w:r>
            <w:r w:rsidRPr="00E660E4">
              <w:rPr>
                <w:rFonts w:ascii="Times New Roman" w:hAnsi="Times New Roman"/>
              </w:rPr>
              <w:t>ačk</w:t>
            </w:r>
            <w:r w:rsidRPr="00E660E4">
              <w:rPr>
                <w:rFonts w:ascii="Times New Roman" w:hAnsi="Times New Roman"/>
                <w:spacing w:val="-1"/>
              </w:rPr>
              <w:t>a</w:t>
            </w:r>
            <w:r w:rsidRPr="00E660E4">
              <w:rPr>
                <w:rFonts w:ascii="Times New Roman" w:hAnsi="Times New Roman"/>
              </w:rPr>
              <w:t>,</w:t>
            </w:r>
          </w:p>
          <w:p w14:paraId="3E5F725A" w14:textId="77777777" w:rsidR="008A416B" w:rsidRPr="00E660E4" w:rsidRDefault="008A416B">
            <w:pPr>
              <w:widowControl w:val="0"/>
              <w:autoSpaceDE w:val="0"/>
              <w:autoSpaceDN w:val="0"/>
              <w:adjustRightInd w:val="0"/>
              <w:ind w:left="102" w:right="380"/>
              <w:rPr>
                <w:rFonts w:ascii="Times New Roman" w:hAnsi="Times New Roman"/>
              </w:rPr>
            </w:pPr>
            <w:r w:rsidRPr="00E660E4">
              <w:rPr>
                <w:rFonts w:ascii="Times New Roman" w:hAnsi="Times New Roman"/>
              </w:rPr>
              <w:t>dysp</w:t>
            </w:r>
            <w:r w:rsidRPr="00E660E4">
              <w:rPr>
                <w:rFonts w:ascii="Times New Roman" w:hAnsi="Times New Roman"/>
                <w:spacing w:val="-1"/>
              </w:rPr>
              <w:t>e</w:t>
            </w:r>
            <w:r w:rsidRPr="00E660E4">
              <w:rPr>
                <w:rFonts w:ascii="Times New Roman" w:hAnsi="Times New Roman"/>
                <w:spacing w:val="1"/>
              </w:rPr>
              <w:t>p</w:t>
            </w:r>
            <w:r w:rsidRPr="00E660E4">
              <w:rPr>
                <w:rFonts w:ascii="Times New Roman" w:hAnsi="Times New Roman"/>
              </w:rPr>
              <w:t>sia,</w:t>
            </w:r>
            <w:r w:rsidRPr="00E660E4">
              <w:rPr>
                <w:rFonts w:ascii="Times New Roman" w:hAnsi="Times New Roman"/>
                <w:spacing w:val="-1"/>
              </w:rPr>
              <w:t xml:space="preserve"> </w:t>
            </w:r>
            <w:r w:rsidRPr="00E660E4">
              <w:rPr>
                <w:rFonts w:ascii="Times New Roman" w:hAnsi="Times New Roman"/>
              </w:rPr>
              <w:t>vr</w:t>
            </w:r>
            <w:r w:rsidRPr="00E660E4">
              <w:rPr>
                <w:rFonts w:ascii="Times New Roman" w:hAnsi="Times New Roman"/>
                <w:spacing w:val="-1"/>
              </w:rPr>
              <w:t>a</w:t>
            </w:r>
            <w:r w:rsidRPr="00E660E4">
              <w:rPr>
                <w:rFonts w:ascii="Times New Roman" w:hAnsi="Times New Roman"/>
              </w:rPr>
              <w:t>canie, nauzea</w:t>
            </w:r>
          </w:p>
        </w:tc>
        <w:tc>
          <w:tcPr>
            <w:tcW w:w="2088" w:type="dxa"/>
            <w:tcBorders>
              <w:top w:val="single" w:sz="4" w:space="0" w:color="000000"/>
              <w:left w:val="single" w:sz="4" w:space="0" w:color="000000"/>
              <w:bottom w:val="single" w:sz="4" w:space="0" w:color="000000"/>
              <w:right w:val="single" w:sz="4" w:space="0" w:color="000000"/>
            </w:tcBorders>
          </w:tcPr>
          <w:p w14:paraId="6EB2C208" w14:textId="77777777" w:rsidR="008A416B" w:rsidRPr="00E660E4" w:rsidRDefault="008A416B">
            <w:pPr>
              <w:widowControl w:val="0"/>
              <w:autoSpaceDE w:val="0"/>
              <w:autoSpaceDN w:val="0"/>
              <w:adjustRightInd w:val="0"/>
              <w:rPr>
                <w:rFonts w:ascii="Times New Roman" w:hAnsi="Times New Roman"/>
              </w:rPr>
            </w:pPr>
          </w:p>
        </w:tc>
        <w:tc>
          <w:tcPr>
            <w:tcW w:w="1809" w:type="dxa"/>
            <w:tcBorders>
              <w:top w:val="single" w:sz="4" w:space="0" w:color="000000"/>
              <w:left w:val="single" w:sz="4" w:space="0" w:color="000000"/>
              <w:bottom w:val="single" w:sz="4" w:space="0" w:color="000000"/>
              <w:right w:val="single" w:sz="4" w:space="0" w:color="000000"/>
            </w:tcBorders>
          </w:tcPr>
          <w:p w14:paraId="5ACA96DB"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Pan</w:t>
            </w:r>
            <w:r w:rsidRPr="00E660E4">
              <w:rPr>
                <w:rFonts w:ascii="Times New Roman" w:hAnsi="Times New Roman"/>
                <w:spacing w:val="1"/>
              </w:rPr>
              <w:t>k</w:t>
            </w:r>
            <w:r w:rsidRPr="00E660E4">
              <w:rPr>
                <w:rFonts w:ascii="Times New Roman" w:hAnsi="Times New Roman"/>
              </w:rPr>
              <w:t>reatití</w:t>
            </w:r>
            <w:r w:rsidRPr="00E660E4">
              <w:rPr>
                <w:rFonts w:ascii="Times New Roman" w:hAnsi="Times New Roman"/>
                <w:spacing w:val="1"/>
              </w:rPr>
              <w:t>d</w:t>
            </w:r>
            <w:r w:rsidRPr="00E660E4">
              <w:rPr>
                <w:rFonts w:ascii="Times New Roman" w:hAnsi="Times New Roman"/>
              </w:rPr>
              <w:t>a</w:t>
            </w:r>
          </w:p>
        </w:tc>
      </w:tr>
      <w:tr w:rsidR="00E660E4" w:rsidRPr="00E660E4" w14:paraId="5CEC6CD0" w14:textId="77777777" w:rsidTr="005D78EE">
        <w:trPr>
          <w:trHeight w:hRule="exact" w:val="897"/>
        </w:trPr>
        <w:tc>
          <w:tcPr>
            <w:tcW w:w="1933" w:type="dxa"/>
            <w:tcBorders>
              <w:top w:val="single" w:sz="4" w:space="0" w:color="000000"/>
              <w:left w:val="single" w:sz="4" w:space="0" w:color="000000"/>
              <w:bottom w:val="single" w:sz="4" w:space="0" w:color="000000"/>
              <w:right w:val="single" w:sz="4" w:space="0" w:color="000000"/>
            </w:tcBorders>
          </w:tcPr>
          <w:p w14:paraId="04FD0A14"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Poru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w:t>
            </w:r>
            <w:r w:rsidRPr="00E660E4">
              <w:rPr>
                <w:rFonts w:ascii="Times New Roman" w:hAnsi="Times New Roman"/>
                <w:b/>
                <w:spacing w:val="-1"/>
              </w:rPr>
              <w:t xml:space="preserve"> </w:t>
            </w:r>
            <w:r w:rsidRPr="00E660E4">
              <w:rPr>
                <w:rFonts w:ascii="Times New Roman" w:hAnsi="Times New Roman"/>
                <w:b/>
              </w:rPr>
              <w:t>pečene a</w:t>
            </w:r>
          </w:p>
          <w:p w14:paraId="7A7844B4"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žlčo</w:t>
            </w:r>
            <w:r w:rsidRPr="00E660E4">
              <w:rPr>
                <w:rFonts w:ascii="Times New Roman" w:hAnsi="Times New Roman"/>
                <w:b/>
                <w:spacing w:val="-1"/>
              </w:rPr>
              <w:t>v</w:t>
            </w:r>
            <w:r w:rsidRPr="00E660E4">
              <w:rPr>
                <w:rFonts w:ascii="Times New Roman" w:hAnsi="Times New Roman"/>
                <w:b/>
              </w:rPr>
              <w:t>ých</w:t>
            </w:r>
            <w:r w:rsidRPr="00E660E4">
              <w:rPr>
                <w:rFonts w:ascii="Times New Roman" w:hAnsi="Times New Roman"/>
                <w:b/>
                <w:spacing w:val="-1"/>
              </w:rPr>
              <w:t xml:space="preserve"> </w:t>
            </w:r>
            <w:r w:rsidRPr="00E660E4">
              <w:rPr>
                <w:rFonts w:ascii="Times New Roman" w:hAnsi="Times New Roman"/>
                <w:b/>
              </w:rPr>
              <w:t>ciest</w:t>
            </w:r>
          </w:p>
        </w:tc>
        <w:tc>
          <w:tcPr>
            <w:tcW w:w="1573" w:type="dxa"/>
            <w:tcBorders>
              <w:top w:val="single" w:sz="4" w:space="0" w:color="000000"/>
              <w:left w:val="single" w:sz="4" w:space="0" w:color="000000"/>
              <w:bottom w:val="single" w:sz="4" w:space="0" w:color="000000"/>
              <w:right w:val="single" w:sz="4" w:space="0" w:color="000000"/>
            </w:tcBorders>
          </w:tcPr>
          <w:p w14:paraId="72F0AA5E"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15C4D774" w14:textId="77777777" w:rsidR="008A416B" w:rsidRPr="00E660E4" w:rsidRDefault="008A416B">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3B8A47FF" w14:textId="77777777" w:rsidR="008A416B" w:rsidRPr="00E660E4" w:rsidRDefault="008A416B">
            <w:pPr>
              <w:widowControl w:val="0"/>
              <w:autoSpaceDE w:val="0"/>
              <w:autoSpaceDN w:val="0"/>
              <w:adjustRightInd w:val="0"/>
              <w:ind w:left="102" w:right="290"/>
              <w:rPr>
                <w:rFonts w:ascii="Times New Roman" w:hAnsi="Times New Roman"/>
              </w:rPr>
            </w:pPr>
            <w:r w:rsidRPr="00E660E4">
              <w:rPr>
                <w:rFonts w:ascii="Times New Roman" w:hAnsi="Times New Roman"/>
              </w:rPr>
              <w:t>Abn</w:t>
            </w:r>
            <w:r w:rsidRPr="00E660E4">
              <w:rPr>
                <w:rFonts w:ascii="Times New Roman" w:hAnsi="Times New Roman"/>
                <w:spacing w:val="1"/>
              </w:rPr>
              <w:t>o</w:t>
            </w:r>
            <w:r w:rsidRPr="00E660E4">
              <w:rPr>
                <w:rFonts w:ascii="Times New Roman" w:hAnsi="Times New Roman"/>
              </w:rPr>
              <w:t>r</w:t>
            </w:r>
            <w:r w:rsidRPr="00E660E4">
              <w:rPr>
                <w:rFonts w:ascii="Times New Roman" w:hAnsi="Times New Roman"/>
                <w:spacing w:val="-2"/>
              </w:rPr>
              <w:t>m</w:t>
            </w:r>
            <w:r w:rsidRPr="00E660E4">
              <w:rPr>
                <w:rFonts w:ascii="Times New Roman" w:hAnsi="Times New Roman"/>
              </w:rPr>
              <w:t>ál</w:t>
            </w:r>
            <w:r w:rsidRPr="00E660E4">
              <w:rPr>
                <w:rFonts w:ascii="Times New Roman" w:hAnsi="Times New Roman"/>
                <w:spacing w:val="1"/>
              </w:rPr>
              <w:t>n</w:t>
            </w:r>
            <w:r w:rsidRPr="00E660E4">
              <w:rPr>
                <w:rFonts w:ascii="Times New Roman" w:hAnsi="Times New Roman"/>
              </w:rPr>
              <w:t xml:space="preserve">e testy </w:t>
            </w:r>
            <w:r w:rsidRPr="00E660E4">
              <w:rPr>
                <w:rFonts w:ascii="Times New Roman" w:hAnsi="Times New Roman"/>
                <w:spacing w:val="1"/>
              </w:rPr>
              <w:t>p</w:t>
            </w:r>
            <w:r w:rsidRPr="00E660E4">
              <w:rPr>
                <w:rFonts w:ascii="Times New Roman" w:hAnsi="Times New Roman"/>
              </w:rPr>
              <w:t>eče</w:t>
            </w:r>
            <w:r w:rsidRPr="00E660E4">
              <w:rPr>
                <w:rFonts w:ascii="Times New Roman" w:hAnsi="Times New Roman"/>
                <w:spacing w:val="-1"/>
              </w:rPr>
              <w:t>ň</w:t>
            </w:r>
            <w:r w:rsidRPr="00E660E4">
              <w:rPr>
                <w:rFonts w:ascii="Times New Roman" w:hAnsi="Times New Roman"/>
              </w:rPr>
              <w:t>ovej funkci</w:t>
            </w:r>
            <w:r w:rsidRPr="00E660E4">
              <w:rPr>
                <w:rFonts w:ascii="Times New Roman" w:hAnsi="Times New Roman"/>
                <w:spacing w:val="-1"/>
              </w:rPr>
              <w:t>e</w:t>
            </w:r>
          </w:p>
        </w:tc>
        <w:tc>
          <w:tcPr>
            <w:tcW w:w="1809" w:type="dxa"/>
            <w:tcBorders>
              <w:top w:val="single" w:sz="4" w:space="0" w:color="000000"/>
              <w:left w:val="single" w:sz="4" w:space="0" w:color="000000"/>
              <w:bottom w:val="single" w:sz="4" w:space="0" w:color="000000"/>
              <w:right w:val="single" w:sz="4" w:space="0" w:color="000000"/>
            </w:tcBorders>
          </w:tcPr>
          <w:p w14:paraId="42F8C6B9" w14:textId="77777777" w:rsidR="008A416B" w:rsidRPr="00E660E4" w:rsidRDefault="008A416B">
            <w:pPr>
              <w:widowControl w:val="0"/>
              <w:autoSpaceDE w:val="0"/>
              <w:autoSpaceDN w:val="0"/>
              <w:adjustRightInd w:val="0"/>
              <w:ind w:left="102" w:right="553"/>
              <w:jc w:val="both"/>
              <w:rPr>
                <w:rFonts w:ascii="Times New Roman" w:hAnsi="Times New Roman"/>
              </w:rPr>
            </w:pPr>
            <w:r w:rsidRPr="00E660E4">
              <w:rPr>
                <w:rFonts w:ascii="Times New Roman" w:hAnsi="Times New Roman"/>
              </w:rPr>
              <w:t xml:space="preserve">Zlyhanie </w:t>
            </w:r>
            <w:r w:rsidRPr="00E660E4">
              <w:rPr>
                <w:rFonts w:ascii="Times New Roman" w:hAnsi="Times New Roman"/>
                <w:spacing w:val="1"/>
              </w:rPr>
              <w:t>p</w:t>
            </w:r>
            <w:r w:rsidRPr="00E660E4">
              <w:rPr>
                <w:rFonts w:ascii="Times New Roman" w:hAnsi="Times New Roman"/>
              </w:rPr>
              <w:t xml:space="preserve">ečene, </w:t>
            </w:r>
            <w:r w:rsidRPr="00E660E4">
              <w:rPr>
                <w:rFonts w:ascii="Times New Roman" w:hAnsi="Times New Roman"/>
                <w:spacing w:val="1"/>
              </w:rPr>
              <w:t>h</w:t>
            </w:r>
            <w:r w:rsidRPr="00E660E4">
              <w:rPr>
                <w:rFonts w:ascii="Times New Roman" w:hAnsi="Times New Roman"/>
              </w:rPr>
              <w:t>e</w:t>
            </w:r>
            <w:r w:rsidRPr="00E660E4">
              <w:rPr>
                <w:rFonts w:ascii="Times New Roman" w:hAnsi="Times New Roman"/>
                <w:spacing w:val="1"/>
              </w:rPr>
              <w:t>p</w:t>
            </w:r>
            <w:r w:rsidRPr="00E660E4">
              <w:rPr>
                <w:rFonts w:ascii="Times New Roman" w:hAnsi="Times New Roman"/>
              </w:rPr>
              <w:t>atití</w:t>
            </w:r>
            <w:r w:rsidRPr="00E660E4">
              <w:rPr>
                <w:rFonts w:ascii="Times New Roman" w:hAnsi="Times New Roman"/>
                <w:spacing w:val="1"/>
              </w:rPr>
              <w:t>d</w:t>
            </w:r>
            <w:r w:rsidRPr="00E660E4">
              <w:rPr>
                <w:rFonts w:ascii="Times New Roman" w:hAnsi="Times New Roman"/>
              </w:rPr>
              <w:t>a</w:t>
            </w:r>
          </w:p>
        </w:tc>
      </w:tr>
      <w:tr w:rsidR="00E660E4" w:rsidRPr="00E660E4" w14:paraId="24CB4165" w14:textId="77777777" w:rsidTr="005D78EE">
        <w:trPr>
          <w:trHeight w:hRule="exact" w:val="2145"/>
        </w:trPr>
        <w:tc>
          <w:tcPr>
            <w:tcW w:w="1933" w:type="dxa"/>
            <w:tcBorders>
              <w:top w:val="single" w:sz="4" w:space="0" w:color="000000"/>
              <w:left w:val="single" w:sz="4" w:space="0" w:color="000000"/>
              <w:bottom w:val="single" w:sz="4" w:space="0" w:color="000000"/>
              <w:right w:val="single" w:sz="4" w:space="0" w:color="000000"/>
            </w:tcBorders>
          </w:tcPr>
          <w:p w14:paraId="75175DF2"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w:t>
            </w:r>
            <w:r w:rsidRPr="00E660E4">
              <w:rPr>
                <w:rFonts w:ascii="Times New Roman" w:hAnsi="Times New Roman"/>
                <w:b/>
                <w:spacing w:val="1"/>
              </w:rPr>
              <w:t>o</w:t>
            </w:r>
            <w:r w:rsidRPr="00E660E4">
              <w:rPr>
                <w:rFonts w:ascii="Times New Roman" w:hAnsi="Times New Roman"/>
                <w:b/>
                <w:spacing w:val="-1"/>
              </w:rPr>
              <w:t>r</w:t>
            </w:r>
            <w:r w:rsidRPr="00E660E4">
              <w:rPr>
                <w:rFonts w:ascii="Times New Roman" w:hAnsi="Times New Roman"/>
                <w:b/>
                <w:spacing w:val="1"/>
              </w:rPr>
              <w:t>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w:t>
            </w:r>
            <w:r w:rsidRPr="00E660E4">
              <w:rPr>
                <w:rFonts w:ascii="Times New Roman" w:hAnsi="Times New Roman"/>
                <w:b/>
                <w:spacing w:val="-2"/>
              </w:rPr>
              <w:t xml:space="preserve"> </w:t>
            </w:r>
            <w:r w:rsidRPr="00E660E4">
              <w:rPr>
                <w:rFonts w:ascii="Times New Roman" w:hAnsi="Times New Roman"/>
                <w:b/>
                <w:spacing w:val="1"/>
              </w:rPr>
              <w:t>ko</w:t>
            </w:r>
            <w:r w:rsidRPr="00E660E4">
              <w:rPr>
                <w:rFonts w:ascii="Times New Roman" w:hAnsi="Times New Roman"/>
                <w:b/>
              </w:rPr>
              <w:t>že</w:t>
            </w:r>
            <w:r w:rsidRPr="00E660E4">
              <w:rPr>
                <w:rFonts w:ascii="Times New Roman" w:hAnsi="Times New Roman"/>
                <w:b/>
                <w:spacing w:val="-2"/>
              </w:rPr>
              <w:t xml:space="preserve"> </w:t>
            </w:r>
            <w:r w:rsidRPr="00E660E4">
              <w:rPr>
                <w:rFonts w:ascii="Times New Roman" w:hAnsi="Times New Roman"/>
                <w:b/>
              </w:rPr>
              <w:t>a</w:t>
            </w:r>
          </w:p>
          <w:p w14:paraId="1C7C0CD2"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spacing w:val="1"/>
              </w:rPr>
              <w:t>p</w:t>
            </w:r>
            <w:r w:rsidRPr="00E660E4">
              <w:rPr>
                <w:rFonts w:ascii="Times New Roman" w:hAnsi="Times New Roman"/>
                <w:b/>
                <w:spacing w:val="-1"/>
              </w:rPr>
              <w:t>od</w:t>
            </w:r>
            <w:r w:rsidRPr="00E660E4">
              <w:rPr>
                <w:rFonts w:ascii="Times New Roman" w:hAnsi="Times New Roman"/>
                <w:b/>
                <w:spacing w:val="1"/>
              </w:rPr>
              <w:t>ko</w:t>
            </w:r>
            <w:r w:rsidRPr="00E660E4">
              <w:rPr>
                <w:rFonts w:ascii="Times New Roman" w:hAnsi="Times New Roman"/>
                <w:b/>
                <w:spacing w:val="-1"/>
              </w:rPr>
              <w:t>ž</w:t>
            </w:r>
            <w:r w:rsidRPr="00E660E4">
              <w:rPr>
                <w:rFonts w:ascii="Times New Roman" w:hAnsi="Times New Roman"/>
                <w:b/>
                <w:spacing w:val="1"/>
              </w:rPr>
              <w:t>n</w:t>
            </w:r>
            <w:r w:rsidRPr="00E660E4">
              <w:rPr>
                <w:rFonts w:ascii="Times New Roman" w:hAnsi="Times New Roman"/>
                <w:b/>
                <w:spacing w:val="-1"/>
              </w:rPr>
              <w:t>é</w:t>
            </w:r>
            <w:r w:rsidRPr="00E660E4">
              <w:rPr>
                <w:rFonts w:ascii="Times New Roman" w:hAnsi="Times New Roman"/>
                <w:b/>
                <w:spacing w:val="1"/>
              </w:rPr>
              <w:t>ho</w:t>
            </w:r>
          </w:p>
          <w:p w14:paraId="5E048A29"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t</w:t>
            </w:r>
            <w:r w:rsidRPr="00E660E4">
              <w:rPr>
                <w:rFonts w:ascii="Times New Roman" w:hAnsi="Times New Roman"/>
                <w:b/>
                <w:spacing w:val="1"/>
              </w:rPr>
              <w:t>k</w:t>
            </w:r>
            <w:r w:rsidRPr="00E660E4">
              <w:rPr>
                <w:rFonts w:ascii="Times New Roman" w:hAnsi="Times New Roman"/>
                <w:b/>
              </w:rPr>
              <w:t>a</w:t>
            </w:r>
            <w:r w:rsidRPr="00E660E4">
              <w:rPr>
                <w:rFonts w:ascii="Times New Roman" w:hAnsi="Times New Roman"/>
                <w:b/>
                <w:spacing w:val="1"/>
              </w:rPr>
              <w:t>n</w:t>
            </w:r>
            <w:r w:rsidRPr="00E660E4">
              <w:rPr>
                <w:rFonts w:ascii="Times New Roman" w:hAnsi="Times New Roman"/>
                <w:b/>
              </w:rPr>
              <w:t>i</w:t>
            </w:r>
            <w:r w:rsidRPr="00E660E4">
              <w:rPr>
                <w:rFonts w:ascii="Times New Roman" w:hAnsi="Times New Roman"/>
                <w:b/>
                <w:spacing w:val="1"/>
              </w:rPr>
              <w:t>v</w:t>
            </w:r>
            <w:r w:rsidRPr="00E660E4">
              <w:rPr>
                <w:rFonts w:ascii="Times New Roman" w:hAnsi="Times New Roman"/>
                <w:b/>
              </w:rPr>
              <w:t>a</w:t>
            </w:r>
          </w:p>
        </w:tc>
        <w:tc>
          <w:tcPr>
            <w:tcW w:w="1573" w:type="dxa"/>
            <w:tcBorders>
              <w:top w:val="single" w:sz="4" w:space="0" w:color="000000"/>
              <w:left w:val="single" w:sz="4" w:space="0" w:color="000000"/>
              <w:bottom w:val="single" w:sz="4" w:space="0" w:color="000000"/>
              <w:right w:val="single" w:sz="4" w:space="0" w:color="000000"/>
            </w:tcBorders>
          </w:tcPr>
          <w:p w14:paraId="6F3537BC"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67A81643"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Vyrá</w:t>
            </w:r>
            <w:r w:rsidRPr="00E660E4">
              <w:rPr>
                <w:rFonts w:ascii="Times New Roman" w:hAnsi="Times New Roman"/>
                <w:spacing w:val="-1"/>
              </w:rPr>
              <w:t>ž</w:t>
            </w:r>
            <w:r w:rsidRPr="00E660E4">
              <w:rPr>
                <w:rFonts w:ascii="Times New Roman" w:hAnsi="Times New Roman"/>
                <w:spacing w:val="1"/>
              </w:rPr>
              <w:t>k</w:t>
            </w:r>
            <w:r w:rsidRPr="00E660E4">
              <w:rPr>
                <w:rFonts w:ascii="Times New Roman" w:hAnsi="Times New Roman"/>
              </w:rPr>
              <w:t>a</w:t>
            </w:r>
          </w:p>
        </w:tc>
        <w:tc>
          <w:tcPr>
            <w:tcW w:w="2088" w:type="dxa"/>
            <w:tcBorders>
              <w:top w:val="single" w:sz="4" w:space="0" w:color="000000"/>
              <w:left w:val="single" w:sz="4" w:space="0" w:color="000000"/>
              <w:bottom w:val="single" w:sz="4" w:space="0" w:color="000000"/>
              <w:right w:val="single" w:sz="4" w:space="0" w:color="000000"/>
            </w:tcBorders>
          </w:tcPr>
          <w:p w14:paraId="366B08FE"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Alopécia,</w:t>
            </w:r>
            <w:r w:rsidRPr="00E660E4">
              <w:rPr>
                <w:rFonts w:ascii="Times New Roman" w:hAnsi="Times New Roman"/>
                <w:spacing w:val="1"/>
              </w:rPr>
              <w:t xml:space="preserve"> </w:t>
            </w:r>
            <w:r w:rsidRPr="00E660E4">
              <w:rPr>
                <w:rFonts w:ascii="Times New Roman" w:hAnsi="Times New Roman"/>
                <w:spacing w:val="-1"/>
              </w:rPr>
              <w:t>ek</w:t>
            </w:r>
            <w:r w:rsidRPr="00E660E4">
              <w:rPr>
                <w:rFonts w:ascii="Times New Roman" w:hAnsi="Times New Roman"/>
              </w:rPr>
              <w:t>zé</w:t>
            </w:r>
            <w:r w:rsidRPr="00E660E4">
              <w:rPr>
                <w:rFonts w:ascii="Times New Roman" w:hAnsi="Times New Roman"/>
                <w:spacing w:val="-2"/>
              </w:rPr>
              <w:t>m</w:t>
            </w:r>
            <w:r w:rsidRPr="00E660E4">
              <w:rPr>
                <w:rFonts w:ascii="Times New Roman" w:hAnsi="Times New Roman"/>
              </w:rPr>
              <w:t>,</w:t>
            </w:r>
          </w:p>
          <w:p w14:paraId="4344CD64"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p</w:t>
            </w:r>
            <w:r w:rsidRPr="00E660E4">
              <w:rPr>
                <w:rFonts w:ascii="Times New Roman" w:hAnsi="Times New Roman"/>
                <w:spacing w:val="-1"/>
              </w:rPr>
              <w:t>r</w:t>
            </w:r>
            <w:r w:rsidRPr="00E660E4">
              <w:rPr>
                <w:rFonts w:ascii="Times New Roman" w:hAnsi="Times New Roman"/>
              </w:rPr>
              <w:t>urit</w:t>
            </w:r>
            <w:r w:rsidRPr="00E660E4">
              <w:rPr>
                <w:rFonts w:ascii="Times New Roman" w:hAnsi="Times New Roman"/>
                <w:spacing w:val="-1"/>
              </w:rPr>
              <w:t>u</w:t>
            </w:r>
            <w:r w:rsidRPr="00E660E4">
              <w:rPr>
                <w:rFonts w:ascii="Times New Roman" w:hAnsi="Times New Roman"/>
              </w:rPr>
              <w:t>s</w:t>
            </w:r>
          </w:p>
        </w:tc>
        <w:tc>
          <w:tcPr>
            <w:tcW w:w="1809" w:type="dxa"/>
            <w:tcBorders>
              <w:top w:val="single" w:sz="4" w:space="0" w:color="000000"/>
              <w:left w:val="single" w:sz="4" w:space="0" w:color="000000"/>
              <w:bottom w:val="single" w:sz="4" w:space="0" w:color="000000"/>
              <w:right w:val="single" w:sz="4" w:space="0" w:color="000000"/>
            </w:tcBorders>
          </w:tcPr>
          <w:p w14:paraId="41885C5B"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Toxická</w:t>
            </w:r>
          </w:p>
          <w:p w14:paraId="274BDF89" w14:textId="77777777" w:rsidR="008A416B" w:rsidRPr="00E660E4" w:rsidRDefault="008A416B">
            <w:pPr>
              <w:widowControl w:val="0"/>
              <w:autoSpaceDE w:val="0"/>
              <w:autoSpaceDN w:val="0"/>
              <w:adjustRightInd w:val="0"/>
              <w:ind w:left="102" w:right="449"/>
              <w:rPr>
                <w:rFonts w:ascii="Times New Roman" w:hAnsi="Times New Roman"/>
              </w:rPr>
            </w:pPr>
            <w:r w:rsidRPr="00E660E4">
              <w:rPr>
                <w:rFonts w:ascii="Times New Roman" w:hAnsi="Times New Roman"/>
              </w:rPr>
              <w:t>e</w:t>
            </w:r>
            <w:r w:rsidRPr="00E660E4">
              <w:rPr>
                <w:rFonts w:ascii="Times New Roman" w:hAnsi="Times New Roman"/>
                <w:spacing w:val="1"/>
              </w:rPr>
              <w:t>p</w:t>
            </w:r>
            <w:r w:rsidRPr="00E660E4">
              <w:rPr>
                <w:rFonts w:ascii="Times New Roman" w:hAnsi="Times New Roman"/>
              </w:rPr>
              <w:t>i</w:t>
            </w:r>
            <w:r w:rsidRPr="00E660E4">
              <w:rPr>
                <w:rFonts w:ascii="Times New Roman" w:hAnsi="Times New Roman"/>
                <w:spacing w:val="1"/>
              </w:rPr>
              <w:t>d</w:t>
            </w:r>
            <w:r w:rsidRPr="00E660E4">
              <w:rPr>
                <w:rFonts w:ascii="Times New Roman" w:hAnsi="Times New Roman"/>
              </w:rPr>
              <w:t>er</w:t>
            </w:r>
            <w:r w:rsidRPr="00E660E4">
              <w:rPr>
                <w:rFonts w:ascii="Times New Roman" w:hAnsi="Times New Roman"/>
                <w:spacing w:val="-2"/>
              </w:rPr>
              <w:t>m</w:t>
            </w:r>
            <w:r w:rsidRPr="00E660E4">
              <w:rPr>
                <w:rFonts w:ascii="Times New Roman" w:hAnsi="Times New Roman"/>
              </w:rPr>
              <w:t>ál</w:t>
            </w:r>
            <w:r w:rsidRPr="00E660E4">
              <w:rPr>
                <w:rFonts w:ascii="Times New Roman" w:hAnsi="Times New Roman"/>
                <w:spacing w:val="1"/>
              </w:rPr>
              <w:t>n</w:t>
            </w:r>
            <w:r w:rsidRPr="00E660E4">
              <w:rPr>
                <w:rFonts w:ascii="Times New Roman" w:hAnsi="Times New Roman"/>
              </w:rPr>
              <w:t>a ne</w:t>
            </w:r>
            <w:r w:rsidRPr="00E660E4">
              <w:rPr>
                <w:rFonts w:ascii="Times New Roman" w:hAnsi="Times New Roman"/>
                <w:spacing w:val="-1"/>
              </w:rPr>
              <w:t>kr</w:t>
            </w:r>
            <w:r w:rsidRPr="00E660E4">
              <w:rPr>
                <w:rFonts w:ascii="Times New Roman" w:hAnsi="Times New Roman"/>
              </w:rPr>
              <w:t xml:space="preserve">olýza, Stevensov- </w:t>
            </w:r>
            <w:r w:rsidRPr="00E660E4">
              <w:rPr>
                <w:rFonts w:ascii="Times New Roman" w:hAnsi="Times New Roman"/>
                <w:spacing w:val="1"/>
              </w:rPr>
              <w:t>Jo</w:t>
            </w:r>
            <w:r w:rsidRPr="00E660E4">
              <w:rPr>
                <w:rFonts w:ascii="Times New Roman" w:hAnsi="Times New Roman"/>
                <w:spacing w:val="-1"/>
              </w:rPr>
              <w:t>h</w:t>
            </w:r>
            <w:r w:rsidRPr="00E660E4">
              <w:rPr>
                <w:rFonts w:ascii="Times New Roman" w:hAnsi="Times New Roman"/>
                <w:spacing w:val="1"/>
              </w:rPr>
              <w:t>n</w:t>
            </w:r>
            <w:r w:rsidRPr="00E660E4">
              <w:rPr>
                <w:rFonts w:ascii="Times New Roman" w:hAnsi="Times New Roman"/>
                <w:spacing w:val="-1"/>
              </w:rPr>
              <w:t>so</w:t>
            </w:r>
            <w:r w:rsidRPr="00E660E4">
              <w:rPr>
                <w:rFonts w:ascii="Times New Roman" w:hAnsi="Times New Roman"/>
                <w:spacing w:val="1"/>
              </w:rPr>
              <w:t>n</w:t>
            </w:r>
            <w:r w:rsidRPr="00E660E4">
              <w:rPr>
                <w:rFonts w:ascii="Times New Roman" w:hAnsi="Times New Roman"/>
                <w:spacing w:val="-1"/>
              </w:rPr>
              <w:t>o</w:t>
            </w:r>
            <w:r w:rsidRPr="00E660E4">
              <w:rPr>
                <w:rFonts w:ascii="Times New Roman" w:hAnsi="Times New Roman"/>
              </w:rPr>
              <w:t>v syndró</w:t>
            </w:r>
            <w:r w:rsidRPr="00E660E4">
              <w:rPr>
                <w:rFonts w:ascii="Times New Roman" w:hAnsi="Times New Roman"/>
                <w:spacing w:val="-2"/>
              </w:rPr>
              <w:t>m</w:t>
            </w:r>
            <w:r w:rsidRPr="00E660E4">
              <w:rPr>
                <w:rFonts w:ascii="Times New Roman" w:hAnsi="Times New Roman"/>
              </w:rPr>
              <w:t xml:space="preserve">, </w:t>
            </w:r>
            <w:r w:rsidRPr="00E660E4">
              <w:rPr>
                <w:rFonts w:ascii="Times New Roman" w:hAnsi="Times New Roman"/>
                <w:spacing w:val="-2"/>
              </w:rPr>
              <w:t>m</w:t>
            </w:r>
            <w:r w:rsidRPr="00E660E4">
              <w:rPr>
                <w:rFonts w:ascii="Times New Roman" w:hAnsi="Times New Roman"/>
                <w:spacing w:val="1"/>
              </w:rPr>
              <w:t>ul</w:t>
            </w:r>
            <w:r w:rsidRPr="00E660E4">
              <w:rPr>
                <w:rFonts w:ascii="Times New Roman" w:hAnsi="Times New Roman"/>
              </w:rPr>
              <w:t>tif</w:t>
            </w:r>
            <w:r w:rsidRPr="00E660E4">
              <w:rPr>
                <w:rFonts w:ascii="Times New Roman" w:hAnsi="Times New Roman"/>
                <w:spacing w:val="1"/>
              </w:rPr>
              <w:t>or</w:t>
            </w:r>
            <w:r w:rsidRPr="00E660E4">
              <w:rPr>
                <w:rFonts w:ascii="Times New Roman" w:hAnsi="Times New Roman"/>
                <w:spacing w:val="-2"/>
              </w:rPr>
              <w:t>m</w:t>
            </w:r>
            <w:r w:rsidRPr="00E660E4">
              <w:rPr>
                <w:rFonts w:ascii="Times New Roman" w:hAnsi="Times New Roman"/>
                <w:spacing w:val="1"/>
              </w:rPr>
              <w:t xml:space="preserve">ný </w:t>
            </w:r>
            <w:r w:rsidRPr="00E660E4">
              <w:rPr>
                <w:rFonts w:ascii="Times New Roman" w:hAnsi="Times New Roman"/>
              </w:rPr>
              <w:t>eryt</w:t>
            </w:r>
            <w:r w:rsidRPr="00E660E4">
              <w:rPr>
                <w:rFonts w:ascii="Times New Roman" w:hAnsi="Times New Roman"/>
                <w:spacing w:val="1"/>
              </w:rPr>
              <w:t>é</w:t>
            </w:r>
            <w:r w:rsidRPr="00E660E4">
              <w:rPr>
                <w:rFonts w:ascii="Times New Roman" w:hAnsi="Times New Roman"/>
                <w:spacing w:val="-2"/>
              </w:rPr>
              <w:t>m</w:t>
            </w:r>
          </w:p>
        </w:tc>
      </w:tr>
      <w:tr w:rsidR="00E660E4" w:rsidRPr="00E660E4" w14:paraId="5286C58E" w14:textId="77777777" w:rsidTr="005D78EE">
        <w:trPr>
          <w:trHeight w:hRule="exact" w:val="1098"/>
        </w:trPr>
        <w:tc>
          <w:tcPr>
            <w:tcW w:w="1933" w:type="dxa"/>
            <w:tcBorders>
              <w:top w:val="single" w:sz="4" w:space="0" w:color="000000"/>
              <w:left w:val="single" w:sz="4" w:space="0" w:color="000000"/>
              <w:bottom w:val="single" w:sz="4" w:space="0" w:color="000000"/>
              <w:right w:val="single" w:sz="4" w:space="0" w:color="000000"/>
            </w:tcBorders>
          </w:tcPr>
          <w:p w14:paraId="24988321"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P</w:t>
            </w:r>
            <w:r w:rsidRPr="00E660E4">
              <w:rPr>
                <w:rFonts w:ascii="Times New Roman" w:hAnsi="Times New Roman"/>
                <w:b/>
                <w:spacing w:val="1"/>
              </w:rPr>
              <w:t>o</w:t>
            </w:r>
            <w:r w:rsidRPr="00E660E4">
              <w:rPr>
                <w:rFonts w:ascii="Times New Roman" w:hAnsi="Times New Roman"/>
                <w:b/>
              </w:rPr>
              <w:t>r</w:t>
            </w:r>
            <w:r w:rsidRPr="00E660E4">
              <w:rPr>
                <w:rFonts w:ascii="Times New Roman" w:hAnsi="Times New Roman"/>
                <w:b/>
                <w:spacing w:val="1"/>
              </w:rPr>
              <w:t>u</w:t>
            </w:r>
            <w:r w:rsidRPr="00E660E4">
              <w:rPr>
                <w:rFonts w:ascii="Times New Roman" w:hAnsi="Times New Roman"/>
                <w:b/>
              </w:rPr>
              <w:t>c</w:t>
            </w:r>
            <w:r w:rsidRPr="00E660E4">
              <w:rPr>
                <w:rFonts w:ascii="Times New Roman" w:hAnsi="Times New Roman"/>
                <w:b/>
                <w:spacing w:val="1"/>
              </w:rPr>
              <w:t>h</w:t>
            </w:r>
            <w:r w:rsidRPr="00E660E4">
              <w:rPr>
                <w:rFonts w:ascii="Times New Roman" w:hAnsi="Times New Roman"/>
                <w:b/>
              </w:rPr>
              <w:t>y</w:t>
            </w:r>
            <w:r w:rsidRPr="00E660E4">
              <w:rPr>
                <w:rFonts w:ascii="Times New Roman" w:hAnsi="Times New Roman"/>
                <w:b/>
                <w:spacing w:val="-1"/>
              </w:rPr>
              <w:t xml:space="preserve"> </w:t>
            </w:r>
            <w:r w:rsidRPr="00E660E4">
              <w:rPr>
                <w:rFonts w:ascii="Times New Roman" w:hAnsi="Times New Roman"/>
                <w:b/>
                <w:spacing w:val="1"/>
              </w:rPr>
              <w:t>ko</w:t>
            </w:r>
            <w:r w:rsidRPr="00E660E4">
              <w:rPr>
                <w:rFonts w:ascii="Times New Roman" w:hAnsi="Times New Roman"/>
                <w:b/>
              </w:rPr>
              <w:t>s</w:t>
            </w:r>
            <w:r w:rsidRPr="00E660E4">
              <w:rPr>
                <w:rFonts w:ascii="Times New Roman" w:hAnsi="Times New Roman"/>
                <w:b/>
                <w:spacing w:val="-2"/>
              </w:rPr>
              <w:t>t</w:t>
            </w:r>
            <w:r w:rsidRPr="00E660E4">
              <w:rPr>
                <w:rFonts w:ascii="Times New Roman" w:hAnsi="Times New Roman"/>
                <w:b/>
                <w:spacing w:val="1"/>
              </w:rPr>
              <w:t>r</w:t>
            </w:r>
            <w:r w:rsidRPr="00E660E4">
              <w:rPr>
                <w:rFonts w:ascii="Times New Roman" w:hAnsi="Times New Roman"/>
                <w:b/>
              </w:rPr>
              <w:t>o</w:t>
            </w:r>
            <w:r w:rsidRPr="00E660E4">
              <w:rPr>
                <w:rFonts w:ascii="Times New Roman" w:hAnsi="Times New Roman"/>
                <w:b/>
                <w:spacing w:val="1"/>
              </w:rPr>
              <w:t>v</w:t>
            </w:r>
            <w:r w:rsidRPr="00E660E4">
              <w:rPr>
                <w:rFonts w:ascii="Times New Roman" w:hAnsi="Times New Roman"/>
                <w:b/>
              </w:rPr>
              <w:t>ej a</w:t>
            </w:r>
            <w:r w:rsidR="00D75117" w:rsidRPr="00E660E4">
              <w:rPr>
                <w:rFonts w:ascii="Times New Roman" w:hAnsi="Times New Roman"/>
                <w:b/>
              </w:rPr>
              <w:t xml:space="preserve"> </w:t>
            </w:r>
            <w:r w:rsidRPr="00E660E4">
              <w:rPr>
                <w:rFonts w:ascii="Times New Roman" w:hAnsi="Times New Roman"/>
                <w:b/>
              </w:rPr>
              <w:t>s</w:t>
            </w:r>
            <w:r w:rsidRPr="00E660E4">
              <w:rPr>
                <w:rFonts w:ascii="Times New Roman" w:hAnsi="Times New Roman"/>
                <w:b/>
                <w:spacing w:val="1"/>
              </w:rPr>
              <w:t>v</w:t>
            </w:r>
            <w:r w:rsidRPr="00E660E4">
              <w:rPr>
                <w:rFonts w:ascii="Times New Roman" w:hAnsi="Times New Roman"/>
                <w:b/>
              </w:rPr>
              <w:t>alo</w:t>
            </w:r>
            <w:r w:rsidRPr="00E660E4">
              <w:rPr>
                <w:rFonts w:ascii="Times New Roman" w:hAnsi="Times New Roman"/>
                <w:b/>
                <w:spacing w:val="1"/>
              </w:rPr>
              <w:t>v</w:t>
            </w:r>
            <w:r w:rsidRPr="00E660E4">
              <w:rPr>
                <w:rFonts w:ascii="Times New Roman" w:hAnsi="Times New Roman"/>
                <w:b/>
              </w:rPr>
              <w:t>ej</w:t>
            </w:r>
            <w:r w:rsidRPr="00E660E4">
              <w:rPr>
                <w:rFonts w:ascii="Times New Roman" w:hAnsi="Times New Roman"/>
                <w:b/>
                <w:spacing w:val="2"/>
              </w:rPr>
              <w:t xml:space="preserve"> </w:t>
            </w:r>
            <w:r w:rsidRPr="00E660E4">
              <w:rPr>
                <w:rFonts w:ascii="Times New Roman" w:hAnsi="Times New Roman"/>
                <w:b/>
              </w:rPr>
              <w:t>s</w:t>
            </w:r>
            <w:r w:rsidRPr="00E660E4">
              <w:rPr>
                <w:rFonts w:ascii="Times New Roman" w:hAnsi="Times New Roman"/>
                <w:b/>
                <w:spacing w:val="1"/>
              </w:rPr>
              <w:t>ú</w:t>
            </w:r>
            <w:r w:rsidRPr="00E660E4">
              <w:rPr>
                <w:rFonts w:ascii="Times New Roman" w:hAnsi="Times New Roman"/>
                <w:b/>
              </w:rPr>
              <w:t>stavy a</w:t>
            </w:r>
            <w:r w:rsidR="00D75117" w:rsidRPr="00E660E4">
              <w:rPr>
                <w:rFonts w:ascii="Times New Roman" w:hAnsi="Times New Roman"/>
                <w:b/>
              </w:rPr>
              <w:t xml:space="preserve"> </w:t>
            </w:r>
            <w:r w:rsidRPr="00E660E4">
              <w:rPr>
                <w:rFonts w:ascii="Times New Roman" w:hAnsi="Times New Roman"/>
                <w:b/>
                <w:spacing w:val="-1"/>
              </w:rPr>
              <w:t>s</w:t>
            </w:r>
            <w:r w:rsidRPr="00E660E4">
              <w:rPr>
                <w:rFonts w:ascii="Times New Roman" w:hAnsi="Times New Roman"/>
                <w:b/>
                <w:spacing w:val="1"/>
              </w:rPr>
              <w:t>p</w:t>
            </w:r>
            <w:r w:rsidRPr="00E660E4">
              <w:rPr>
                <w:rFonts w:ascii="Times New Roman" w:hAnsi="Times New Roman"/>
                <w:b/>
                <w:spacing w:val="-1"/>
              </w:rPr>
              <w:t>o</w:t>
            </w:r>
            <w:r w:rsidRPr="00E660E4">
              <w:rPr>
                <w:rFonts w:ascii="Times New Roman" w:hAnsi="Times New Roman"/>
                <w:b/>
                <w:spacing w:val="1"/>
              </w:rPr>
              <w:t>j</w:t>
            </w:r>
            <w:r w:rsidRPr="00E660E4">
              <w:rPr>
                <w:rFonts w:ascii="Times New Roman" w:hAnsi="Times New Roman"/>
                <w:b/>
                <w:spacing w:val="-2"/>
              </w:rPr>
              <w:t>i</w:t>
            </w:r>
            <w:r w:rsidRPr="00E660E4">
              <w:rPr>
                <w:rFonts w:ascii="Times New Roman" w:hAnsi="Times New Roman"/>
                <w:b/>
                <w:spacing w:val="1"/>
              </w:rPr>
              <w:t>v</w:t>
            </w:r>
            <w:r w:rsidRPr="00E660E4">
              <w:rPr>
                <w:rFonts w:ascii="Times New Roman" w:hAnsi="Times New Roman"/>
                <w:b/>
                <w:spacing w:val="-1"/>
              </w:rPr>
              <w:t>o</w:t>
            </w:r>
            <w:r w:rsidRPr="00E660E4">
              <w:rPr>
                <w:rFonts w:ascii="Times New Roman" w:hAnsi="Times New Roman"/>
                <w:b/>
                <w:spacing w:val="1"/>
              </w:rPr>
              <w:t>v</w:t>
            </w:r>
            <w:r w:rsidRPr="00E660E4">
              <w:rPr>
                <w:rFonts w:ascii="Times New Roman" w:hAnsi="Times New Roman"/>
                <w:b/>
                <w:spacing w:val="-1"/>
              </w:rPr>
              <w:t>é</w:t>
            </w:r>
            <w:r w:rsidRPr="00E660E4">
              <w:rPr>
                <w:rFonts w:ascii="Times New Roman" w:hAnsi="Times New Roman"/>
                <w:b/>
                <w:spacing w:val="1"/>
              </w:rPr>
              <w:t>h</w:t>
            </w:r>
            <w:r w:rsidRPr="00E660E4">
              <w:rPr>
                <w:rFonts w:ascii="Times New Roman" w:hAnsi="Times New Roman"/>
                <w:b/>
              </w:rPr>
              <w:t>o</w:t>
            </w:r>
          </w:p>
          <w:p w14:paraId="09EB4EC0"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t</w:t>
            </w:r>
            <w:r w:rsidRPr="00E660E4">
              <w:rPr>
                <w:rFonts w:ascii="Times New Roman" w:hAnsi="Times New Roman"/>
                <w:b/>
                <w:spacing w:val="1"/>
              </w:rPr>
              <w:t>k</w:t>
            </w:r>
            <w:r w:rsidRPr="00E660E4">
              <w:rPr>
                <w:rFonts w:ascii="Times New Roman" w:hAnsi="Times New Roman"/>
                <w:b/>
              </w:rPr>
              <w:t>a</w:t>
            </w:r>
            <w:r w:rsidRPr="00E660E4">
              <w:rPr>
                <w:rFonts w:ascii="Times New Roman" w:hAnsi="Times New Roman"/>
                <w:b/>
                <w:spacing w:val="1"/>
              </w:rPr>
              <w:t>n</w:t>
            </w:r>
            <w:r w:rsidRPr="00E660E4">
              <w:rPr>
                <w:rFonts w:ascii="Times New Roman" w:hAnsi="Times New Roman"/>
                <w:b/>
              </w:rPr>
              <w:t>i</w:t>
            </w:r>
            <w:r w:rsidRPr="00E660E4">
              <w:rPr>
                <w:rFonts w:ascii="Times New Roman" w:hAnsi="Times New Roman"/>
                <w:b/>
                <w:spacing w:val="1"/>
              </w:rPr>
              <w:t>v</w:t>
            </w:r>
            <w:r w:rsidRPr="00E660E4">
              <w:rPr>
                <w:rFonts w:ascii="Times New Roman" w:hAnsi="Times New Roman"/>
                <w:b/>
              </w:rPr>
              <w:t>a</w:t>
            </w:r>
          </w:p>
        </w:tc>
        <w:tc>
          <w:tcPr>
            <w:tcW w:w="1573" w:type="dxa"/>
            <w:tcBorders>
              <w:top w:val="single" w:sz="4" w:space="0" w:color="000000"/>
              <w:left w:val="single" w:sz="4" w:space="0" w:color="000000"/>
              <w:bottom w:val="single" w:sz="4" w:space="0" w:color="000000"/>
              <w:right w:val="single" w:sz="4" w:space="0" w:color="000000"/>
            </w:tcBorders>
          </w:tcPr>
          <w:p w14:paraId="2338D359"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5610CEA1" w14:textId="77777777" w:rsidR="008A416B" w:rsidRPr="00E660E4" w:rsidRDefault="008A416B">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5DD3D366"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Svalová</w:t>
            </w:r>
            <w:r w:rsidRPr="00E660E4">
              <w:rPr>
                <w:rFonts w:ascii="Times New Roman" w:hAnsi="Times New Roman"/>
                <w:spacing w:val="-1"/>
              </w:rPr>
              <w:t xml:space="preserve"> </w:t>
            </w:r>
            <w:r w:rsidRPr="00E660E4">
              <w:rPr>
                <w:rFonts w:ascii="Times New Roman" w:hAnsi="Times New Roman"/>
              </w:rPr>
              <w:t>slabo</w:t>
            </w:r>
            <w:r w:rsidRPr="00E660E4">
              <w:rPr>
                <w:rFonts w:ascii="Times New Roman" w:hAnsi="Times New Roman"/>
                <w:spacing w:val="-2"/>
              </w:rPr>
              <w:t>s</w:t>
            </w:r>
            <w:r w:rsidRPr="00E660E4">
              <w:rPr>
                <w:rFonts w:ascii="Times New Roman" w:hAnsi="Times New Roman"/>
              </w:rPr>
              <w:t>ť,</w:t>
            </w:r>
          </w:p>
          <w:p w14:paraId="2261D2E3"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myalgia</w:t>
            </w:r>
          </w:p>
        </w:tc>
        <w:tc>
          <w:tcPr>
            <w:tcW w:w="1809" w:type="dxa"/>
            <w:tcBorders>
              <w:top w:val="single" w:sz="4" w:space="0" w:color="000000"/>
              <w:left w:val="single" w:sz="4" w:space="0" w:color="000000"/>
              <w:bottom w:val="single" w:sz="4" w:space="0" w:color="000000"/>
              <w:right w:val="single" w:sz="4" w:space="0" w:color="000000"/>
            </w:tcBorders>
          </w:tcPr>
          <w:p w14:paraId="597722C8" w14:textId="77777777" w:rsidR="006A6569" w:rsidRPr="000C67CB" w:rsidRDefault="006A6569">
            <w:pPr>
              <w:pStyle w:val="Default"/>
              <w:rPr>
                <w:color w:val="auto"/>
                <w:sz w:val="22"/>
                <w:szCs w:val="22"/>
              </w:rPr>
            </w:pPr>
            <w:r w:rsidRPr="000C67CB">
              <w:rPr>
                <w:color w:val="auto"/>
                <w:sz w:val="22"/>
                <w:szCs w:val="22"/>
              </w:rPr>
              <w:t xml:space="preserve">Rabdomyolýza </w:t>
            </w:r>
          </w:p>
          <w:p w14:paraId="1DE41859" w14:textId="4A7E4A3E" w:rsidR="008A416B" w:rsidRPr="00E660E4" w:rsidRDefault="006A6569">
            <w:pPr>
              <w:widowControl w:val="0"/>
              <w:autoSpaceDE w:val="0"/>
              <w:autoSpaceDN w:val="0"/>
              <w:adjustRightInd w:val="0"/>
              <w:rPr>
                <w:rFonts w:ascii="Times New Roman" w:hAnsi="Times New Roman"/>
              </w:rPr>
            </w:pPr>
            <w:r w:rsidRPr="00E660E4">
              <w:rPr>
                <w:rFonts w:ascii="Times New Roman" w:hAnsi="Times New Roman"/>
              </w:rPr>
              <w:t>a zvýšenie hladiny kreatínfosfokinázy v krvi*</w:t>
            </w:r>
            <w:r w:rsidRPr="000C67CB">
              <w:rPr>
                <w:rFonts w:ascii="Times New Roman" w:hAnsi="Times New Roman"/>
              </w:rPr>
              <w:t xml:space="preserve"> </w:t>
            </w:r>
          </w:p>
        </w:tc>
      </w:tr>
      <w:tr w:rsidR="00E660E4" w:rsidRPr="00E660E4" w14:paraId="5E274608" w14:textId="77777777" w:rsidTr="005D78EE">
        <w:trPr>
          <w:trHeight w:hRule="exact" w:val="1098"/>
        </w:trPr>
        <w:tc>
          <w:tcPr>
            <w:tcW w:w="1933" w:type="dxa"/>
            <w:tcBorders>
              <w:top w:val="single" w:sz="4" w:space="0" w:color="000000"/>
              <w:left w:val="single" w:sz="4" w:space="0" w:color="000000"/>
              <w:bottom w:val="single" w:sz="4" w:space="0" w:color="000000"/>
              <w:right w:val="single" w:sz="4" w:space="0" w:color="000000"/>
            </w:tcBorders>
          </w:tcPr>
          <w:p w14:paraId="69F30277" w14:textId="77777777" w:rsidR="006A6569" w:rsidRPr="000C67CB" w:rsidRDefault="006A6569" w:rsidP="00E660E4">
            <w:pPr>
              <w:pStyle w:val="Default"/>
              <w:rPr>
                <w:b/>
                <w:color w:val="auto"/>
                <w:sz w:val="22"/>
                <w:szCs w:val="22"/>
              </w:rPr>
            </w:pPr>
            <w:r w:rsidRPr="000C67CB">
              <w:rPr>
                <w:b/>
                <w:color w:val="auto"/>
                <w:sz w:val="22"/>
                <w:szCs w:val="22"/>
              </w:rPr>
              <w:t xml:space="preserve">Poruchy obličiek </w:t>
            </w:r>
          </w:p>
          <w:p w14:paraId="2AB2762F" w14:textId="77777777" w:rsidR="006A6569" w:rsidRPr="00E660E4" w:rsidRDefault="006A6569" w:rsidP="00E660E4">
            <w:pPr>
              <w:widowControl w:val="0"/>
              <w:autoSpaceDE w:val="0"/>
              <w:autoSpaceDN w:val="0"/>
              <w:adjustRightInd w:val="0"/>
              <w:ind w:right="-20"/>
              <w:rPr>
                <w:rFonts w:ascii="Times New Roman" w:hAnsi="Times New Roman"/>
                <w:b/>
              </w:rPr>
            </w:pPr>
            <w:r w:rsidRPr="00E660E4">
              <w:rPr>
                <w:rFonts w:ascii="Times New Roman" w:hAnsi="Times New Roman"/>
                <w:b/>
              </w:rPr>
              <w:t>a močových ciest</w:t>
            </w:r>
            <w:r w:rsidRPr="00E660E4">
              <w:rPr>
                <w:rFonts w:ascii="Times New Roman" w:hAnsi="Times New Roman"/>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1B6CB295" w14:textId="77777777" w:rsidR="006A6569" w:rsidRPr="00E660E4" w:rsidRDefault="006A6569">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340BB8E0" w14:textId="77777777" w:rsidR="006A6569" w:rsidRPr="00E660E4" w:rsidRDefault="006A6569">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40C02C70" w14:textId="77777777" w:rsidR="006A6569" w:rsidRPr="00E660E4" w:rsidRDefault="006A6569">
            <w:pPr>
              <w:widowControl w:val="0"/>
              <w:autoSpaceDE w:val="0"/>
              <w:autoSpaceDN w:val="0"/>
              <w:adjustRightInd w:val="0"/>
              <w:ind w:left="102" w:right="-20"/>
              <w:rPr>
                <w:rFonts w:ascii="Times New Roman" w:hAnsi="Times New Roman"/>
              </w:rPr>
            </w:pPr>
          </w:p>
        </w:tc>
        <w:tc>
          <w:tcPr>
            <w:tcW w:w="1809" w:type="dxa"/>
            <w:tcBorders>
              <w:top w:val="single" w:sz="4" w:space="0" w:color="000000"/>
              <w:left w:val="single" w:sz="4" w:space="0" w:color="000000"/>
              <w:bottom w:val="single" w:sz="4" w:space="0" w:color="000000"/>
              <w:right w:val="single" w:sz="4" w:space="0" w:color="000000"/>
            </w:tcBorders>
          </w:tcPr>
          <w:p w14:paraId="27758DF8" w14:textId="7D1CD296" w:rsidR="006A6569" w:rsidRPr="000C67CB" w:rsidRDefault="006A6569">
            <w:pPr>
              <w:pStyle w:val="Default"/>
              <w:rPr>
                <w:color w:val="auto"/>
                <w:sz w:val="22"/>
                <w:szCs w:val="22"/>
              </w:rPr>
            </w:pPr>
            <w:r w:rsidRPr="000C67CB">
              <w:rPr>
                <w:color w:val="auto"/>
                <w:sz w:val="22"/>
                <w:szCs w:val="22"/>
              </w:rPr>
              <w:t xml:space="preserve">Akútne </w:t>
            </w:r>
            <w:r w:rsidR="00676A48" w:rsidRPr="000C67CB">
              <w:rPr>
                <w:color w:val="auto"/>
                <w:sz w:val="22"/>
                <w:szCs w:val="22"/>
              </w:rPr>
              <w:t>poškodenie</w:t>
            </w:r>
            <w:r w:rsidR="0003394A">
              <w:rPr>
                <w:color w:val="auto"/>
                <w:sz w:val="22"/>
                <w:szCs w:val="22"/>
              </w:rPr>
              <w:t xml:space="preserve"> </w:t>
            </w:r>
            <w:r w:rsidRPr="000C67CB">
              <w:rPr>
                <w:color w:val="auto"/>
                <w:sz w:val="22"/>
                <w:szCs w:val="22"/>
              </w:rPr>
              <w:t xml:space="preserve">obličiek </w:t>
            </w:r>
          </w:p>
          <w:p w14:paraId="63D42F4B" w14:textId="77777777" w:rsidR="006A6569" w:rsidRPr="000C67CB" w:rsidRDefault="006A6569">
            <w:pPr>
              <w:pStyle w:val="Default"/>
              <w:rPr>
                <w:color w:val="auto"/>
                <w:sz w:val="22"/>
                <w:szCs w:val="22"/>
              </w:rPr>
            </w:pPr>
          </w:p>
        </w:tc>
      </w:tr>
      <w:tr w:rsidR="00E660E4" w:rsidRPr="00E660E4" w14:paraId="3C6D3180" w14:textId="77777777" w:rsidTr="005D78EE">
        <w:trPr>
          <w:trHeight w:hRule="exact" w:val="878"/>
        </w:trPr>
        <w:tc>
          <w:tcPr>
            <w:tcW w:w="1933" w:type="dxa"/>
            <w:tcBorders>
              <w:top w:val="single" w:sz="4" w:space="0" w:color="000000"/>
              <w:left w:val="single" w:sz="4" w:space="0" w:color="000000"/>
              <w:bottom w:val="single" w:sz="4" w:space="0" w:color="000000"/>
              <w:right w:val="single" w:sz="4" w:space="0" w:color="000000"/>
            </w:tcBorders>
          </w:tcPr>
          <w:p w14:paraId="1755AD68"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spacing w:val="-1"/>
              </w:rPr>
              <w:t>Cel</w:t>
            </w:r>
            <w:r w:rsidRPr="00E660E4">
              <w:rPr>
                <w:rFonts w:ascii="Times New Roman" w:hAnsi="Times New Roman"/>
                <w:b/>
                <w:spacing w:val="1"/>
              </w:rPr>
              <w:t>k</w:t>
            </w:r>
            <w:r w:rsidRPr="00E660E4">
              <w:rPr>
                <w:rFonts w:ascii="Times New Roman" w:hAnsi="Times New Roman"/>
                <w:b/>
                <w:spacing w:val="-1"/>
              </w:rPr>
              <w:t>o</w:t>
            </w:r>
            <w:r w:rsidRPr="00E660E4">
              <w:rPr>
                <w:rFonts w:ascii="Times New Roman" w:hAnsi="Times New Roman"/>
                <w:b/>
                <w:spacing w:val="1"/>
              </w:rPr>
              <w:t>v</w:t>
            </w:r>
            <w:r w:rsidRPr="00E660E4">
              <w:rPr>
                <w:rFonts w:ascii="Times New Roman" w:hAnsi="Times New Roman"/>
                <w:b/>
              </w:rPr>
              <w:t>é</w:t>
            </w:r>
            <w:r w:rsidRPr="00E660E4">
              <w:rPr>
                <w:rFonts w:ascii="Times New Roman" w:hAnsi="Times New Roman"/>
                <w:b/>
                <w:spacing w:val="-1"/>
              </w:rPr>
              <w:t xml:space="preserve"> </w:t>
            </w:r>
            <w:r w:rsidRPr="00E660E4">
              <w:rPr>
                <w:rFonts w:ascii="Times New Roman" w:hAnsi="Times New Roman"/>
                <w:b/>
                <w:spacing w:val="1"/>
              </w:rPr>
              <w:t>p</w:t>
            </w:r>
            <w:r w:rsidRPr="00E660E4">
              <w:rPr>
                <w:rFonts w:ascii="Times New Roman" w:hAnsi="Times New Roman"/>
                <w:b/>
                <w:spacing w:val="-1"/>
              </w:rPr>
              <w:t>o</w:t>
            </w:r>
            <w:r w:rsidRPr="00E660E4">
              <w:rPr>
                <w:rFonts w:ascii="Times New Roman" w:hAnsi="Times New Roman"/>
                <w:b/>
              </w:rPr>
              <w:t>r</w:t>
            </w:r>
            <w:r w:rsidRPr="00E660E4">
              <w:rPr>
                <w:rFonts w:ascii="Times New Roman" w:hAnsi="Times New Roman"/>
                <w:b/>
                <w:spacing w:val="1"/>
              </w:rPr>
              <w:t>u</w:t>
            </w:r>
            <w:r w:rsidRPr="00E660E4">
              <w:rPr>
                <w:rFonts w:ascii="Times New Roman" w:hAnsi="Times New Roman"/>
                <w:b/>
                <w:spacing w:val="-1"/>
              </w:rPr>
              <w:t>c</w:t>
            </w:r>
            <w:r w:rsidRPr="00E660E4">
              <w:rPr>
                <w:rFonts w:ascii="Times New Roman" w:hAnsi="Times New Roman"/>
                <w:b/>
                <w:spacing w:val="1"/>
              </w:rPr>
              <w:t>h</w:t>
            </w:r>
            <w:r w:rsidRPr="00E660E4">
              <w:rPr>
                <w:rFonts w:ascii="Times New Roman" w:hAnsi="Times New Roman"/>
                <w:b/>
              </w:rPr>
              <w:t>y a</w:t>
            </w:r>
          </w:p>
          <w:p w14:paraId="4CEA39EF"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reakcie</w:t>
            </w:r>
            <w:r w:rsidRPr="00E660E4">
              <w:rPr>
                <w:rFonts w:ascii="Times New Roman" w:hAnsi="Times New Roman"/>
                <w:b/>
                <w:spacing w:val="-1"/>
              </w:rPr>
              <w:t xml:space="preserve"> </w:t>
            </w:r>
            <w:r w:rsidRPr="00E660E4">
              <w:rPr>
                <w:rFonts w:ascii="Times New Roman" w:hAnsi="Times New Roman"/>
                <w:b/>
              </w:rPr>
              <w:t xml:space="preserve">v </w:t>
            </w:r>
            <w:r w:rsidRPr="00E660E4">
              <w:rPr>
                <w:rFonts w:ascii="Times New Roman" w:hAnsi="Times New Roman"/>
                <w:b/>
                <w:spacing w:val="-2"/>
              </w:rPr>
              <w:t>m</w:t>
            </w:r>
            <w:r w:rsidRPr="00E660E4">
              <w:rPr>
                <w:rFonts w:ascii="Times New Roman" w:hAnsi="Times New Roman"/>
                <w:b/>
              </w:rPr>
              <w:t>ieste</w:t>
            </w:r>
          </w:p>
          <w:p w14:paraId="50BD66C8"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spacing w:val="1"/>
              </w:rPr>
              <w:t>p</w:t>
            </w:r>
            <w:r w:rsidRPr="00E660E4">
              <w:rPr>
                <w:rFonts w:ascii="Times New Roman" w:hAnsi="Times New Roman"/>
                <w:b/>
                <w:spacing w:val="-1"/>
              </w:rPr>
              <w:t>o</w:t>
            </w:r>
            <w:r w:rsidRPr="00E660E4">
              <w:rPr>
                <w:rFonts w:ascii="Times New Roman" w:hAnsi="Times New Roman"/>
                <w:b/>
                <w:spacing w:val="1"/>
              </w:rPr>
              <w:t>d</w:t>
            </w:r>
            <w:r w:rsidRPr="00E660E4">
              <w:rPr>
                <w:rFonts w:ascii="Times New Roman" w:hAnsi="Times New Roman"/>
                <w:b/>
                <w:spacing w:val="-1"/>
              </w:rPr>
              <w:t>a</w:t>
            </w:r>
            <w:r w:rsidRPr="00E660E4">
              <w:rPr>
                <w:rFonts w:ascii="Times New Roman" w:hAnsi="Times New Roman"/>
                <w:b/>
                <w:spacing w:val="1"/>
              </w:rPr>
              <w:t>n</w:t>
            </w:r>
            <w:r w:rsidRPr="00E660E4">
              <w:rPr>
                <w:rFonts w:ascii="Times New Roman" w:hAnsi="Times New Roman"/>
                <w:b/>
              </w:rPr>
              <w:t>ia</w:t>
            </w:r>
          </w:p>
        </w:tc>
        <w:tc>
          <w:tcPr>
            <w:tcW w:w="1573" w:type="dxa"/>
            <w:tcBorders>
              <w:top w:val="single" w:sz="4" w:space="0" w:color="000000"/>
              <w:left w:val="single" w:sz="4" w:space="0" w:color="000000"/>
              <w:bottom w:val="single" w:sz="4" w:space="0" w:color="000000"/>
              <w:right w:val="single" w:sz="4" w:space="0" w:color="000000"/>
            </w:tcBorders>
          </w:tcPr>
          <w:p w14:paraId="0D1CE226"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281C76F7"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As</w:t>
            </w:r>
            <w:r w:rsidRPr="00E660E4">
              <w:rPr>
                <w:rFonts w:ascii="Times New Roman" w:hAnsi="Times New Roman"/>
                <w:spacing w:val="-1"/>
              </w:rPr>
              <w:t>t</w:t>
            </w:r>
            <w:r w:rsidRPr="00E660E4">
              <w:rPr>
                <w:rFonts w:ascii="Times New Roman" w:hAnsi="Times New Roman"/>
              </w:rPr>
              <w:t>é</w:t>
            </w:r>
            <w:r w:rsidRPr="00E660E4">
              <w:rPr>
                <w:rFonts w:ascii="Times New Roman" w:hAnsi="Times New Roman"/>
                <w:spacing w:val="1"/>
              </w:rPr>
              <w:t>n</w:t>
            </w:r>
            <w:r w:rsidRPr="00E660E4">
              <w:rPr>
                <w:rFonts w:ascii="Times New Roman" w:hAnsi="Times New Roman"/>
                <w:spacing w:val="-1"/>
              </w:rPr>
              <w:t>i</w:t>
            </w:r>
            <w:r w:rsidRPr="00E660E4">
              <w:rPr>
                <w:rFonts w:ascii="Times New Roman" w:hAnsi="Times New Roman"/>
              </w:rPr>
              <w:t>a</w:t>
            </w:r>
            <w:r w:rsidRPr="00E660E4">
              <w:rPr>
                <w:rFonts w:ascii="Times New Roman" w:hAnsi="Times New Roman"/>
                <w:spacing w:val="-1"/>
              </w:rPr>
              <w:t>/ú</w:t>
            </w:r>
            <w:r w:rsidRPr="00E660E4">
              <w:rPr>
                <w:rFonts w:ascii="Times New Roman" w:hAnsi="Times New Roman"/>
                <w:spacing w:val="1"/>
              </w:rPr>
              <w:t>n</w:t>
            </w:r>
            <w:r w:rsidRPr="00E660E4">
              <w:rPr>
                <w:rFonts w:ascii="Times New Roman" w:hAnsi="Times New Roman"/>
                <w:spacing w:val="-1"/>
              </w:rPr>
              <w:t>a</w:t>
            </w:r>
            <w:r w:rsidRPr="00E660E4">
              <w:rPr>
                <w:rFonts w:ascii="Times New Roman" w:hAnsi="Times New Roman"/>
                <w:spacing w:val="1"/>
              </w:rPr>
              <w:t>v</w:t>
            </w:r>
            <w:r w:rsidRPr="00E660E4">
              <w:rPr>
                <w:rFonts w:ascii="Times New Roman" w:hAnsi="Times New Roman"/>
              </w:rPr>
              <w:t>a</w:t>
            </w:r>
          </w:p>
        </w:tc>
        <w:tc>
          <w:tcPr>
            <w:tcW w:w="2088" w:type="dxa"/>
            <w:tcBorders>
              <w:top w:val="single" w:sz="4" w:space="0" w:color="000000"/>
              <w:left w:val="single" w:sz="4" w:space="0" w:color="000000"/>
              <w:bottom w:val="single" w:sz="4" w:space="0" w:color="000000"/>
              <w:right w:val="single" w:sz="4" w:space="0" w:color="000000"/>
            </w:tcBorders>
          </w:tcPr>
          <w:p w14:paraId="670CAD2E" w14:textId="77777777" w:rsidR="008A416B" w:rsidRPr="00E660E4" w:rsidRDefault="008A416B">
            <w:pPr>
              <w:widowControl w:val="0"/>
              <w:autoSpaceDE w:val="0"/>
              <w:autoSpaceDN w:val="0"/>
              <w:adjustRightInd w:val="0"/>
              <w:rPr>
                <w:rFonts w:ascii="Times New Roman" w:hAnsi="Times New Roman"/>
              </w:rPr>
            </w:pPr>
          </w:p>
        </w:tc>
        <w:tc>
          <w:tcPr>
            <w:tcW w:w="1809" w:type="dxa"/>
            <w:tcBorders>
              <w:top w:val="single" w:sz="4" w:space="0" w:color="000000"/>
              <w:left w:val="single" w:sz="4" w:space="0" w:color="000000"/>
              <w:bottom w:val="single" w:sz="4" w:space="0" w:color="000000"/>
              <w:right w:val="single" w:sz="4" w:space="0" w:color="000000"/>
            </w:tcBorders>
          </w:tcPr>
          <w:p w14:paraId="6C5CBA8A" w14:textId="77777777" w:rsidR="008A416B" w:rsidRPr="00E660E4" w:rsidRDefault="008A416B">
            <w:pPr>
              <w:widowControl w:val="0"/>
              <w:autoSpaceDE w:val="0"/>
              <w:autoSpaceDN w:val="0"/>
              <w:adjustRightInd w:val="0"/>
              <w:rPr>
                <w:rFonts w:ascii="Times New Roman" w:hAnsi="Times New Roman"/>
              </w:rPr>
            </w:pPr>
          </w:p>
        </w:tc>
      </w:tr>
      <w:tr w:rsidR="00E660E4" w:rsidRPr="00E660E4" w14:paraId="5824BB76" w14:textId="77777777" w:rsidTr="005D78EE">
        <w:trPr>
          <w:trHeight w:hRule="exact" w:val="896"/>
        </w:trPr>
        <w:tc>
          <w:tcPr>
            <w:tcW w:w="1933" w:type="dxa"/>
            <w:tcBorders>
              <w:top w:val="single" w:sz="4" w:space="0" w:color="000000"/>
              <w:left w:val="single" w:sz="4" w:space="0" w:color="000000"/>
              <w:bottom w:val="single" w:sz="4" w:space="0" w:color="000000"/>
              <w:right w:val="single" w:sz="4" w:space="0" w:color="000000"/>
            </w:tcBorders>
          </w:tcPr>
          <w:p w14:paraId="4410CE98" w14:textId="77777777" w:rsidR="008A416B" w:rsidRPr="00E660E4" w:rsidRDefault="008A416B" w:rsidP="00E660E4">
            <w:pPr>
              <w:widowControl w:val="0"/>
              <w:autoSpaceDE w:val="0"/>
              <w:autoSpaceDN w:val="0"/>
              <w:adjustRightInd w:val="0"/>
              <w:ind w:left="102" w:right="-20"/>
              <w:rPr>
                <w:rFonts w:ascii="Times New Roman" w:hAnsi="Times New Roman"/>
                <w:b/>
              </w:rPr>
            </w:pPr>
            <w:r w:rsidRPr="00E660E4">
              <w:rPr>
                <w:rFonts w:ascii="Times New Roman" w:hAnsi="Times New Roman"/>
                <w:b/>
              </w:rPr>
              <w:t>Úrazy, otr</w:t>
            </w:r>
            <w:r w:rsidRPr="00E660E4">
              <w:rPr>
                <w:rFonts w:ascii="Times New Roman" w:hAnsi="Times New Roman"/>
                <w:b/>
                <w:spacing w:val="-1"/>
              </w:rPr>
              <w:t>a</w:t>
            </w:r>
            <w:r w:rsidRPr="00E660E4">
              <w:rPr>
                <w:rFonts w:ascii="Times New Roman" w:hAnsi="Times New Roman"/>
                <w:b/>
              </w:rPr>
              <w:t>vy</w:t>
            </w:r>
            <w:r w:rsidRPr="00E660E4">
              <w:rPr>
                <w:rFonts w:ascii="Times New Roman" w:hAnsi="Times New Roman"/>
                <w:b/>
                <w:spacing w:val="-1"/>
              </w:rPr>
              <w:t xml:space="preserve"> </w:t>
            </w:r>
            <w:r w:rsidRPr="00E660E4">
              <w:rPr>
                <w:rFonts w:ascii="Times New Roman" w:hAnsi="Times New Roman"/>
                <w:b/>
              </w:rPr>
              <w:t>a</w:t>
            </w:r>
          </w:p>
          <w:p w14:paraId="53D287EA"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ko</w:t>
            </w:r>
            <w:r w:rsidRPr="00E660E4">
              <w:rPr>
                <w:rFonts w:ascii="Times New Roman" w:hAnsi="Times New Roman"/>
                <w:b/>
                <w:spacing w:val="-2"/>
              </w:rPr>
              <w:t>m</w:t>
            </w:r>
            <w:r w:rsidRPr="00E660E4">
              <w:rPr>
                <w:rFonts w:ascii="Times New Roman" w:hAnsi="Times New Roman"/>
                <w:b/>
              </w:rPr>
              <w:t>plikácie</w:t>
            </w:r>
          </w:p>
          <w:p w14:paraId="4EB50F06" w14:textId="77777777" w:rsidR="008A416B" w:rsidRPr="00E660E4" w:rsidRDefault="008A416B">
            <w:pPr>
              <w:widowControl w:val="0"/>
              <w:autoSpaceDE w:val="0"/>
              <w:autoSpaceDN w:val="0"/>
              <w:adjustRightInd w:val="0"/>
              <w:ind w:left="102" w:right="-20"/>
              <w:rPr>
                <w:rFonts w:ascii="Times New Roman" w:hAnsi="Times New Roman"/>
                <w:b/>
              </w:rPr>
            </w:pPr>
            <w:r w:rsidRPr="00E660E4">
              <w:rPr>
                <w:rFonts w:ascii="Times New Roman" w:hAnsi="Times New Roman"/>
                <w:b/>
              </w:rPr>
              <w:t>liečebn</w:t>
            </w:r>
            <w:r w:rsidRPr="00E660E4">
              <w:rPr>
                <w:rFonts w:ascii="Times New Roman" w:hAnsi="Times New Roman"/>
                <w:b/>
                <w:spacing w:val="-1"/>
              </w:rPr>
              <w:t>é</w:t>
            </w:r>
            <w:r w:rsidRPr="00E660E4">
              <w:rPr>
                <w:rFonts w:ascii="Times New Roman" w:hAnsi="Times New Roman"/>
                <w:b/>
              </w:rPr>
              <w:t>ho</w:t>
            </w:r>
            <w:r w:rsidRPr="00E660E4">
              <w:rPr>
                <w:rFonts w:ascii="Times New Roman" w:hAnsi="Times New Roman"/>
                <w:b/>
                <w:spacing w:val="-1"/>
              </w:rPr>
              <w:t xml:space="preserve"> p</w:t>
            </w:r>
            <w:r w:rsidRPr="00E660E4">
              <w:rPr>
                <w:rFonts w:ascii="Times New Roman" w:hAnsi="Times New Roman"/>
                <w:b/>
                <w:spacing w:val="1"/>
              </w:rPr>
              <w:t>o</w:t>
            </w:r>
            <w:r w:rsidRPr="00E660E4">
              <w:rPr>
                <w:rFonts w:ascii="Times New Roman" w:hAnsi="Times New Roman"/>
                <w:b/>
                <w:spacing w:val="-1"/>
              </w:rPr>
              <w:t>st</w:t>
            </w:r>
            <w:r w:rsidRPr="00E660E4">
              <w:rPr>
                <w:rFonts w:ascii="Times New Roman" w:hAnsi="Times New Roman"/>
                <w:b/>
              </w:rPr>
              <w:t>u</w:t>
            </w:r>
            <w:r w:rsidRPr="00E660E4">
              <w:rPr>
                <w:rFonts w:ascii="Times New Roman" w:hAnsi="Times New Roman"/>
                <w:b/>
                <w:spacing w:val="-1"/>
              </w:rPr>
              <w:t>p</w:t>
            </w:r>
            <w:r w:rsidRPr="00E660E4">
              <w:rPr>
                <w:rFonts w:ascii="Times New Roman" w:hAnsi="Times New Roman"/>
                <w:b/>
              </w:rPr>
              <w:t>u</w:t>
            </w:r>
          </w:p>
        </w:tc>
        <w:tc>
          <w:tcPr>
            <w:tcW w:w="1573" w:type="dxa"/>
            <w:tcBorders>
              <w:top w:val="single" w:sz="4" w:space="0" w:color="000000"/>
              <w:left w:val="single" w:sz="4" w:space="0" w:color="000000"/>
              <w:bottom w:val="single" w:sz="4" w:space="0" w:color="000000"/>
              <w:right w:val="single" w:sz="4" w:space="0" w:color="000000"/>
            </w:tcBorders>
          </w:tcPr>
          <w:p w14:paraId="130E2C0E" w14:textId="77777777" w:rsidR="008A416B" w:rsidRPr="00E660E4" w:rsidRDefault="008A416B">
            <w:pPr>
              <w:widowControl w:val="0"/>
              <w:autoSpaceDE w:val="0"/>
              <w:autoSpaceDN w:val="0"/>
              <w:adjustRightInd w:val="0"/>
              <w:rPr>
                <w:rFonts w:ascii="Times New Roman" w:hAnsi="Times New Roman"/>
              </w:rPr>
            </w:pPr>
          </w:p>
        </w:tc>
        <w:tc>
          <w:tcPr>
            <w:tcW w:w="1597" w:type="dxa"/>
            <w:tcBorders>
              <w:top w:val="single" w:sz="4" w:space="0" w:color="000000"/>
              <w:left w:val="single" w:sz="4" w:space="0" w:color="000000"/>
              <w:bottom w:val="single" w:sz="4" w:space="0" w:color="000000"/>
              <w:right w:val="single" w:sz="4" w:space="0" w:color="000000"/>
            </w:tcBorders>
          </w:tcPr>
          <w:p w14:paraId="21BCC485" w14:textId="77777777" w:rsidR="008A416B" w:rsidRPr="00E660E4" w:rsidRDefault="008A416B">
            <w:pPr>
              <w:widowControl w:val="0"/>
              <w:autoSpaceDE w:val="0"/>
              <w:autoSpaceDN w:val="0"/>
              <w:adjustRightInd w:val="0"/>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61CBD4F7" w14:textId="77777777" w:rsidR="008A416B" w:rsidRPr="00E660E4" w:rsidRDefault="008A416B">
            <w:pPr>
              <w:widowControl w:val="0"/>
              <w:autoSpaceDE w:val="0"/>
              <w:autoSpaceDN w:val="0"/>
              <w:adjustRightInd w:val="0"/>
              <w:ind w:left="102" w:right="-20"/>
              <w:rPr>
                <w:rFonts w:ascii="Times New Roman" w:hAnsi="Times New Roman"/>
              </w:rPr>
            </w:pPr>
            <w:r w:rsidRPr="00E660E4">
              <w:rPr>
                <w:rFonts w:ascii="Times New Roman" w:hAnsi="Times New Roman"/>
              </w:rPr>
              <w:t>Úraz</w:t>
            </w:r>
          </w:p>
        </w:tc>
        <w:tc>
          <w:tcPr>
            <w:tcW w:w="1809" w:type="dxa"/>
            <w:tcBorders>
              <w:top w:val="single" w:sz="4" w:space="0" w:color="000000"/>
              <w:left w:val="single" w:sz="4" w:space="0" w:color="000000"/>
              <w:bottom w:val="single" w:sz="4" w:space="0" w:color="000000"/>
              <w:right w:val="single" w:sz="4" w:space="0" w:color="000000"/>
            </w:tcBorders>
          </w:tcPr>
          <w:p w14:paraId="63B5FFD7" w14:textId="77777777" w:rsidR="008A416B" w:rsidRPr="00E660E4" w:rsidRDefault="008A416B">
            <w:pPr>
              <w:widowControl w:val="0"/>
              <w:autoSpaceDE w:val="0"/>
              <w:autoSpaceDN w:val="0"/>
              <w:adjustRightInd w:val="0"/>
              <w:rPr>
                <w:rFonts w:ascii="Times New Roman" w:hAnsi="Times New Roman"/>
              </w:rPr>
            </w:pPr>
          </w:p>
        </w:tc>
      </w:tr>
    </w:tbl>
    <w:p w14:paraId="23B68F6D" w14:textId="77777777" w:rsidR="008A416B" w:rsidRPr="000C67CB" w:rsidRDefault="008A416B" w:rsidP="00E660E4">
      <w:pPr>
        <w:autoSpaceDE w:val="0"/>
        <w:autoSpaceDN w:val="0"/>
        <w:adjustRightInd w:val="0"/>
        <w:rPr>
          <w:rFonts w:ascii="Times New Roman" w:hAnsi="Times New Roman"/>
          <w:noProof/>
          <w:sz w:val="20"/>
          <w:szCs w:val="20"/>
          <w:highlight w:val="green"/>
        </w:rPr>
      </w:pPr>
    </w:p>
    <w:p w14:paraId="2DA91F5E" w14:textId="77777777" w:rsidR="006A6569" w:rsidRPr="000C67CB" w:rsidRDefault="006A6569" w:rsidP="00E660E4">
      <w:pPr>
        <w:pStyle w:val="Default"/>
        <w:rPr>
          <w:color w:val="auto"/>
          <w:sz w:val="20"/>
          <w:szCs w:val="20"/>
        </w:rPr>
      </w:pPr>
      <w:r w:rsidRPr="000C67CB">
        <w:rPr>
          <w:color w:val="auto"/>
          <w:sz w:val="20"/>
          <w:szCs w:val="20"/>
        </w:rPr>
        <w:t xml:space="preserve">*Prevalencia je významne vyššia u japonských pacientov v porovnaní s pacientmi z iných krajín. </w:t>
      </w:r>
    </w:p>
    <w:p w14:paraId="14388E56" w14:textId="77777777" w:rsidR="008A416B" w:rsidRPr="00E660E4" w:rsidRDefault="008A416B">
      <w:pPr>
        <w:autoSpaceDE w:val="0"/>
        <w:autoSpaceDN w:val="0"/>
        <w:adjustRightInd w:val="0"/>
        <w:rPr>
          <w:rFonts w:ascii="Times New Roman" w:hAnsi="Times New Roman"/>
          <w:noProof/>
          <w:highlight w:val="green"/>
        </w:rPr>
      </w:pPr>
    </w:p>
    <w:p w14:paraId="58B9455E"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Opis vybraných nežiaducich reakcií</w:t>
      </w:r>
    </w:p>
    <w:p w14:paraId="56A715F7" w14:textId="77777777" w:rsidR="00A064BC" w:rsidRPr="000C67CB" w:rsidRDefault="00553706">
      <w:pPr>
        <w:autoSpaceDE w:val="0"/>
        <w:autoSpaceDN w:val="0"/>
        <w:adjustRightInd w:val="0"/>
        <w:rPr>
          <w:rFonts w:ascii="Times New Roman" w:hAnsi="Times New Roman"/>
        </w:rPr>
      </w:pPr>
      <w:r w:rsidRPr="000C67CB">
        <w:rPr>
          <w:rFonts w:ascii="Times New Roman" w:hAnsi="Times New Roman"/>
        </w:rPr>
        <w:t xml:space="preserve">Riziko anorexie je vyššie, keď sa </w:t>
      </w:r>
      <w:r w:rsidR="007178B3" w:rsidRPr="000C67CB">
        <w:rPr>
          <w:rFonts w:ascii="Times New Roman" w:hAnsi="Times New Roman"/>
        </w:rPr>
        <w:t xml:space="preserve">levetiracetam </w:t>
      </w:r>
      <w:r w:rsidRPr="000C67CB">
        <w:rPr>
          <w:rFonts w:ascii="Times New Roman" w:hAnsi="Times New Roman"/>
        </w:rPr>
        <w:t>podáva súbežne s</w:t>
      </w:r>
      <w:r w:rsidR="007178B3" w:rsidRPr="000C67CB">
        <w:rPr>
          <w:rFonts w:ascii="Times New Roman" w:hAnsi="Times New Roman"/>
        </w:rPr>
        <w:t>topimarátom</w:t>
      </w:r>
      <w:r w:rsidRPr="000C67CB">
        <w:rPr>
          <w:rFonts w:ascii="Times New Roman" w:hAnsi="Times New Roman"/>
        </w:rPr>
        <w:t>.</w:t>
      </w:r>
      <w:r w:rsidR="007178B3" w:rsidRPr="000C67CB">
        <w:rPr>
          <w:rFonts w:ascii="Times New Roman" w:hAnsi="Times New Roman"/>
        </w:rPr>
        <w:t xml:space="preserve"> </w:t>
      </w:r>
      <w:r w:rsidRPr="000C67CB">
        <w:rPr>
          <w:rFonts w:ascii="Times New Roman" w:hAnsi="Times New Roman"/>
        </w:rPr>
        <w:t>V niekoľkých prípadoch alopécie sa po vysadení levetiracetamu pozorovala úprava stavu.</w:t>
      </w:r>
      <w:r w:rsidR="007178B3" w:rsidRPr="000C67CB">
        <w:rPr>
          <w:rFonts w:ascii="Times New Roman" w:hAnsi="Times New Roman"/>
        </w:rPr>
        <w:t xml:space="preserve"> </w:t>
      </w:r>
      <w:r w:rsidR="00A064BC" w:rsidRPr="00E660E4">
        <w:rPr>
          <w:rFonts w:ascii="Times New Roman" w:hAnsi="Times New Roman"/>
        </w:rPr>
        <w:t>V niektorých prípadoch pancytopénie bola identifikovaná supresia kostnej drene.</w:t>
      </w:r>
    </w:p>
    <w:p w14:paraId="6302975E" w14:textId="77777777" w:rsidR="00553706" w:rsidRDefault="00553706">
      <w:pPr>
        <w:autoSpaceDE w:val="0"/>
        <w:autoSpaceDN w:val="0"/>
        <w:adjustRightInd w:val="0"/>
        <w:rPr>
          <w:rFonts w:ascii="Times New Roman" w:hAnsi="Times New Roman"/>
        </w:rPr>
      </w:pPr>
    </w:p>
    <w:p w14:paraId="67BE5D58" w14:textId="77777777" w:rsidR="0003394A" w:rsidRPr="0003394A" w:rsidRDefault="0003394A" w:rsidP="0003394A">
      <w:pPr>
        <w:autoSpaceDE w:val="0"/>
        <w:autoSpaceDN w:val="0"/>
        <w:adjustRightInd w:val="0"/>
        <w:rPr>
          <w:rFonts w:ascii="Times New Roman" w:hAnsi="Times New Roman"/>
        </w:rPr>
      </w:pPr>
      <w:r w:rsidRPr="0003394A">
        <w:rPr>
          <w:rFonts w:ascii="Times New Roman" w:hAnsi="Times New Roman"/>
        </w:rPr>
        <w:t xml:space="preserve">Prípady encefalopatie sa zvyčajne prejavili na začiatku liečby (po niekoľkých dňoch až niekoľkých </w:t>
      </w:r>
    </w:p>
    <w:p w14:paraId="2D1DF72F" w14:textId="0D0FE159" w:rsidR="0003394A" w:rsidRDefault="0003394A" w:rsidP="0003394A">
      <w:pPr>
        <w:autoSpaceDE w:val="0"/>
        <w:autoSpaceDN w:val="0"/>
        <w:adjustRightInd w:val="0"/>
        <w:rPr>
          <w:rFonts w:ascii="Times New Roman" w:hAnsi="Times New Roman"/>
        </w:rPr>
      </w:pPr>
      <w:r w:rsidRPr="0003394A">
        <w:rPr>
          <w:rFonts w:ascii="Times New Roman" w:hAnsi="Times New Roman"/>
        </w:rPr>
        <w:t>mesiacoch) a po prerušení liečby boli reverzibilné.</w:t>
      </w:r>
    </w:p>
    <w:p w14:paraId="3544C7C8" w14:textId="77777777" w:rsidR="0003394A" w:rsidRPr="000C67CB" w:rsidRDefault="0003394A" w:rsidP="0003394A">
      <w:pPr>
        <w:autoSpaceDE w:val="0"/>
        <w:autoSpaceDN w:val="0"/>
        <w:adjustRightInd w:val="0"/>
        <w:rPr>
          <w:rFonts w:ascii="Times New Roman" w:hAnsi="Times New Roman"/>
        </w:rPr>
      </w:pPr>
    </w:p>
    <w:p w14:paraId="7575EDE7" w14:textId="77777777" w:rsidR="00553706" w:rsidRPr="000C67CB" w:rsidRDefault="009C75F7">
      <w:pPr>
        <w:autoSpaceDE w:val="0"/>
        <w:autoSpaceDN w:val="0"/>
        <w:adjustRightInd w:val="0"/>
        <w:rPr>
          <w:rFonts w:ascii="Times New Roman" w:hAnsi="Times New Roman"/>
        </w:rPr>
      </w:pPr>
      <w:r w:rsidRPr="000C67CB">
        <w:rPr>
          <w:rFonts w:ascii="Times New Roman" w:hAnsi="Times New Roman"/>
          <w:u w:val="single"/>
        </w:rPr>
        <w:t xml:space="preserve">Pediatrická populácia </w:t>
      </w:r>
    </w:p>
    <w:p w14:paraId="2AB12331" w14:textId="77777777" w:rsidR="0003394A" w:rsidRDefault="0003394A">
      <w:pPr>
        <w:pStyle w:val="Default"/>
        <w:rPr>
          <w:color w:val="auto"/>
          <w:sz w:val="22"/>
          <w:szCs w:val="22"/>
        </w:rPr>
      </w:pPr>
    </w:p>
    <w:p w14:paraId="4834A151" w14:textId="77777777" w:rsidR="00A064BC" w:rsidRPr="000C67CB" w:rsidRDefault="00A064BC">
      <w:pPr>
        <w:pStyle w:val="Default"/>
        <w:rPr>
          <w:color w:val="auto"/>
          <w:sz w:val="22"/>
          <w:szCs w:val="22"/>
        </w:rPr>
      </w:pPr>
      <w:r w:rsidRPr="000C67CB">
        <w:rPr>
          <w:color w:val="auto"/>
          <w:sz w:val="22"/>
          <w:szCs w:val="22"/>
        </w:rPr>
        <w:t xml:space="preserve">U pacientov vo veku 1 mesiac až menej ako 4 roky bolo celkovo 190 pacientov liečených levetiracetamom v placebom kontrolovaných a nezaslepených predĺženiach štúdií, z ktorých šesťdesiat pacientov bolo liečených levetiracetamom v placebom kontrolovaných štúdiách. U pacientov vo veku 4-16 rokov bolo celkovo 645 pacientov liečených levetiracetamom v placebom kontrolovaných štúdiách a nezaslepenom predĺžení štúdií, z ktorých 233 pacientov bolo liečených levetiracetamom v placebom kontrolovaných štúdiách. U oboch týchto pediatrických vekových rozmedzí boli tieto údaje doplnené o skúsenosti s používaním levetiracetamu po uvedení lieku na trh. </w:t>
      </w:r>
    </w:p>
    <w:p w14:paraId="261D7792" w14:textId="77777777" w:rsidR="007178B3" w:rsidRPr="000C67CB" w:rsidRDefault="007178B3">
      <w:pPr>
        <w:pStyle w:val="Default"/>
        <w:rPr>
          <w:color w:val="auto"/>
          <w:sz w:val="22"/>
          <w:szCs w:val="22"/>
        </w:rPr>
      </w:pPr>
    </w:p>
    <w:p w14:paraId="5380D908" w14:textId="77777777" w:rsidR="007178B3" w:rsidRPr="000C67CB" w:rsidRDefault="007178B3">
      <w:pPr>
        <w:autoSpaceDE w:val="0"/>
        <w:autoSpaceDN w:val="0"/>
        <w:adjustRightInd w:val="0"/>
        <w:rPr>
          <w:rFonts w:ascii="Times New Roman" w:eastAsia="TimesNewRomanPSMT" w:hAnsi="Times New Roman"/>
          <w:lang w:eastAsia="sk-SK"/>
        </w:rPr>
      </w:pPr>
      <w:r w:rsidRPr="000C67CB">
        <w:rPr>
          <w:rFonts w:ascii="Times New Roman" w:hAnsi="Times New Roman"/>
          <w:lang w:eastAsia="sk-SK"/>
        </w:rPr>
        <w:t xml:space="preserve">Okrem toho </w:t>
      </w:r>
      <w:r w:rsidRPr="000C67CB">
        <w:rPr>
          <w:rFonts w:ascii="Times New Roman" w:eastAsia="TimesNewRomanPSMT" w:hAnsi="Times New Roman"/>
          <w:lang w:eastAsia="sk-SK"/>
        </w:rPr>
        <w:t>101 dojčiat vo veku do 12 mesiacov bolo liečených v postregistračnej štúdii bezpečnosti.</w:t>
      </w:r>
    </w:p>
    <w:p w14:paraId="1112DC34" w14:textId="77777777" w:rsidR="007178B3" w:rsidRPr="000C67CB" w:rsidRDefault="007178B3">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Neboli identifikované žiadne nové bezpečnostné otázky pre dojčatá s epilepsiou mladšie ako 12</w:t>
      </w:r>
    </w:p>
    <w:p w14:paraId="1B9677A2" w14:textId="77777777" w:rsidR="007178B3" w:rsidRPr="000C67CB" w:rsidRDefault="007178B3">
      <w:pPr>
        <w:pStyle w:val="Default"/>
        <w:rPr>
          <w:color w:val="auto"/>
          <w:sz w:val="22"/>
          <w:szCs w:val="22"/>
        </w:rPr>
      </w:pPr>
      <w:r w:rsidRPr="000C67CB">
        <w:rPr>
          <w:color w:val="auto"/>
          <w:sz w:val="22"/>
          <w:szCs w:val="22"/>
        </w:rPr>
        <w:t>mesiacov.</w:t>
      </w:r>
    </w:p>
    <w:p w14:paraId="767832ED" w14:textId="77777777" w:rsidR="00A064BC" w:rsidRPr="000C67CB" w:rsidRDefault="00A064BC">
      <w:pPr>
        <w:pStyle w:val="Default"/>
        <w:rPr>
          <w:color w:val="auto"/>
          <w:sz w:val="22"/>
          <w:szCs w:val="22"/>
        </w:rPr>
      </w:pPr>
    </w:p>
    <w:p w14:paraId="7C46AD53" w14:textId="77777777" w:rsidR="00553706" w:rsidRPr="000C67CB" w:rsidRDefault="00A064BC">
      <w:pPr>
        <w:autoSpaceDE w:val="0"/>
        <w:autoSpaceDN w:val="0"/>
        <w:adjustRightInd w:val="0"/>
        <w:rPr>
          <w:rFonts w:ascii="Times New Roman" w:hAnsi="Times New Roman"/>
        </w:rPr>
      </w:pPr>
      <w:r w:rsidRPr="00E660E4">
        <w:rPr>
          <w:rFonts w:ascii="Times New Roman" w:hAnsi="Times New Roman"/>
        </w:rPr>
        <w:t xml:space="preserve">Profil nežiaducich </w:t>
      </w:r>
      <w:r w:rsidR="007178B3" w:rsidRPr="00E660E4">
        <w:rPr>
          <w:rFonts w:ascii="Times New Roman" w:hAnsi="Times New Roman"/>
        </w:rPr>
        <w:t xml:space="preserve">reakcií </w:t>
      </w:r>
      <w:r w:rsidRPr="00E660E4">
        <w:rPr>
          <w:rFonts w:ascii="Times New Roman" w:hAnsi="Times New Roman"/>
        </w:rPr>
        <w:t>levetiracetamu je celkovo podobný vo vekových skupinách a v schválených epileptických indikáciách. Výsledky bezpečnosti u detských a dospievajúcich pacientov v placebom kontrolovaných klinických štúdiách sa zhodovali s profilom bezpečnosti levetiracetamu u dospelých s výnimkou behaviorálnych a psychiatrických nežiaducich reakcií, ktoré boli častejšie u detí ako u dospelých. U detí a dospievajúcich vo veku 4 až 16 rokov bolo vracanie (veľmi časté, 11,2 %), agitácia (časté, 3,4 %), kolísanie nálady (časté, 2,1 %), afektová labilita (časté, 1,7 %), agresivita (časté, 8,2 %), abnormálne správanie (časté, 5,6 %) a letargia (časté, 3,9 %) hlásené častejšie ako u iných vekových rozmedzí alebo v celkovom profile bezpečnosti.</w:t>
      </w:r>
    </w:p>
    <w:p w14:paraId="3E74337A" w14:textId="77777777" w:rsidR="007178B3" w:rsidRPr="000C67CB" w:rsidRDefault="007178B3">
      <w:pPr>
        <w:autoSpaceDE w:val="0"/>
        <w:autoSpaceDN w:val="0"/>
        <w:adjustRightInd w:val="0"/>
        <w:rPr>
          <w:rFonts w:ascii="Times New Roman" w:hAnsi="Times New Roman"/>
        </w:rPr>
      </w:pPr>
    </w:p>
    <w:p w14:paraId="0AE79F9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Dvojito zaslepená, placebom kontrolovaná pediatrická štúdia bezpečnosti s non-inferiórnym dizajnom</w:t>
      </w:r>
    </w:p>
    <w:p w14:paraId="72E16C1E" w14:textId="77777777" w:rsidR="00553706" w:rsidRPr="001F42CC" w:rsidRDefault="00553706">
      <w:pPr>
        <w:autoSpaceDE w:val="0"/>
        <w:autoSpaceDN w:val="0"/>
        <w:adjustRightInd w:val="0"/>
        <w:rPr>
          <w:rFonts w:ascii="Times New Roman" w:hAnsi="Times New Roman"/>
        </w:rPr>
      </w:pPr>
      <w:r w:rsidRPr="000C67CB">
        <w:rPr>
          <w:rFonts w:ascii="Times New Roman" w:hAnsi="Times New Roman"/>
        </w:rPr>
        <w:t xml:space="preserve">hodnotila kognitívne a neuropsychologické účinky levetiracetamu u detí vo veku 4 až 16 rokov s parciálnymi záchvatmi. Bolo konštatované, že levetiracetam sa neodlišoval (nebola inferiórna) od placeba, pokiaľ ide o zmenu od východiskového stavu v skóre Leiter-R na pozornosť a pamäť, zloženom skóre k hodnoteniu pamäti (Leiter-R Attention and Memory, Memory Screen Composite score) u populácie splňujúcej protokol štúdie. Výsledky týkajúce sa behaviorálneho a emočného fungovania naznačovali u pacientov liečených levetiracetamom zhoršenie, pokiaľ ide o agresívne správanie, čo bolo merané štandardizovaným a systematickým spôsobom s použitím overeného nástroja (CBCL –Achenbach Child Behavior Checklist; Achenbachov kontrolný zoznam správania </w:t>
      </w:r>
      <w:r w:rsidRPr="001F42CC">
        <w:rPr>
          <w:rFonts w:ascii="Times New Roman" w:hAnsi="Times New Roman"/>
        </w:rPr>
        <w:t>detí). Avšak, u jedincov, ktorí užívali levetiracetam v dlhodobej nezaslepenej následnej štúdii, nedošlo v priemere k zhoršeniu behaviorálneho a emočného fungovania; obzvlášť miery agresívneho správania neboli horšie oproti východiskovému stavu.</w:t>
      </w:r>
    </w:p>
    <w:p w14:paraId="4CFDB10F" w14:textId="77777777" w:rsidR="00A064BC" w:rsidRPr="001F42CC" w:rsidRDefault="00A064BC">
      <w:pPr>
        <w:autoSpaceDE w:val="0"/>
        <w:autoSpaceDN w:val="0"/>
        <w:adjustRightInd w:val="0"/>
        <w:rPr>
          <w:rFonts w:ascii="Times New Roman" w:hAnsi="Times New Roman"/>
        </w:rPr>
      </w:pPr>
    </w:p>
    <w:p w14:paraId="16482535" w14:textId="77777777" w:rsidR="001F42CC" w:rsidRPr="001F42CC" w:rsidRDefault="001F42CC" w:rsidP="001F42CC">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u w:val="single"/>
        </w:rPr>
      </w:pPr>
      <w:r w:rsidRPr="001F42CC">
        <w:rPr>
          <w:rFonts w:ascii="Times New Roman" w:hAnsi="Times New Roman"/>
          <w:u w:val="single"/>
        </w:rPr>
        <w:t>Hlásenie podozrení na nežiaduce reakcie</w:t>
      </w:r>
    </w:p>
    <w:p w14:paraId="68C821CA" w14:textId="77777777" w:rsidR="001F42CC" w:rsidRPr="001F42CC" w:rsidRDefault="001F42CC" w:rsidP="001F42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rFonts w:ascii="Times New Roman" w:hAnsi="Times New Roman"/>
        </w:rPr>
      </w:pPr>
      <w:r w:rsidRPr="001F42CC">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F42CC">
        <w:rPr>
          <w:rFonts w:ascii="Times New Roman" w:hAnsi="Times New Roman"/>
          <w:shd w:val="clear" w:color="auto" w:fill="C0C0C0"/>
        </w:rPr>
        <w:t>národné centrum hlásenia uvedené v </w:t>
      </w:r>
      <w:hyperlink r:id="rId8" w:history="1">
        <w:r w:rsidRPr="001F42CC">
          <w:rPr>
            <w:rStyle w:val="Hypertextovprepojenie"/>
            <w:rFonts w:ascii="Times New Roman" w:hAnsi="Times New Roman"/>
            <w:shd w:val="clear" w:color="auto" w:fill="C0C0C0"/>
          </w:rPr>
          <w:t>Prílohe V</w:t>
        </w:r>
      </w:hyperlink>
      <w:r w:rsidRPr="001F42CC">
        <w:rPr>
          <w:rStyle w:val="Hypertextovprepojenie"/>
          <w:rFonts w:ascii="Times New Roman" w:hAnsi="Times New Roman"/>
        </w:rPr>
        <w:t>.</w:t>
      </w:r>
    </w:p>
    <w:p w14:paraId="3410A1D4" w14:textId="77777777" w:rsidR="00553706" w:rsidRPr="001F42CC" w:rsidRDefault="00553706">
      <w:pPr>
        <w:autoSpaceDE w:val="0"/>
        <w:autoSpaceDN w:val="0"/>
        <w:adjustRightInd w:val="0"/>
        <w:rPr>
          <w:rFonts w:ascii="Times New Roman" w:hAnsi="Times New Roman"/>
        </w:rPr>
      </w:pPr>
    </w:p>
    <w:p w14:paraId="7D1D19C1" w14:textId="77777777" w:rsidR="00553706" w:rsidRPr="001F42CC" w:rsidRDefault="00553706">
      <w:pPr>
        <w:autoSpaceDE w:val="0"/>
        <w:autoSpaceDN w:val="0"/>
        <w:adjustRightInd w:val="0"/>
        <w:rPr>
          <w:rFonts w:ascii="Times New Roman" w:hAnsi="Times New Roman"/>
          <w:b/>
          <w:bCs/>
        </w:rPr>
      </w:pPr>
      <w:r w:rsidRPr="001F42CC">
        <w:rPr>
          <w:rFonts w:ascii="Times New Roman" w:hAnsi="Times New Roman"/>
          <w:b/>
          <w:bCs/>
        </w:rPr>
        <w:t xml:space="preserve">4.9 </w:t>
      </w:r>
      <w:r w:rsidRPr="001F42CC">
        <w:rPr>
          <w:rFonts w:ascii="Times New Roman" w:hAnsi="Times New Roman"/>
          <w:b/>
          <w:bCs/>
        </w:rPr>
        <w:tab/>
        <w:t>Predávkovanie</w:t>
      </w:r>
    </w:p>
    <w:p w14:paraId="6071F5DA" w14:textId="77777777" w:rsidR="00553706" w:rsidRPr="001F42CC" w:rsidRDefault="00553706">
      <w:pPr>
        <w:autoSpaceDE w:val="0"/>
        <w:autoSpaceDN w:val="0"/>
        <w:adjustRightInd w:val="0"/>
        <w:rPr>
          <w:rFonts w:ascii="Times New Roman" w:hAnsi="Times New Roman"/>
        </w:rPr>
      </w:pPr>
    </w:p>
    <w:p w14:paraId="0EF1860A" w14:textId="77777777" w:rsidR="00553706" w:rsidRPr="001F42CC" w:rsidRDefault="00553706">
      <w:pPr>
        <w:autoSpaceDE w:val="0"/>
        <w:autoSpaceDN w:val="0"/>
        <w:adjustRightInd w:val="0"/>
        <w:rPr>
          <w:rFonts w:ascii="Times New Roman" w:hAnsi="Times New Roman"/>
          <w:u w:val="single"/>
        </w:rPr>
      </w:pPr>
      <w:r w:rsidRPr="001F42CC">
        <w:rPr>
          <w:rFonts w:ascii="Times New Roman" w:hAnsi="Times New Roman"/>
          <w:u w:val="single"/>
        </w:rPr>
        <w:t>Symptómy</w:t>
      </w:r>
    </w:p>
    <w:p w14:paraId="62AFD8F1" w14:textId="77777777" w:rsidR="00553706" w:rsidRPr="000C67CB" w:rsidRDefault="00553706">
      <w:pPr>
        <w:autoSpaceDE w:val="0"/>
        <w:autoSpaceDN w:val="0"/>
        <w:adjustRightInd w:val="0"/>
        <w:rPr>
          <w:rFonts w:ascii="Times New Roman" w:hAnsi="Times New Roman"/>
        </w:rPr>
      </w:pPr>
    </w:p>
    <w:p w14:paraId="0F226EF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 predávkovaniach levetiracetamom sa pozorovala somnolencia, nepokoj, agresia, znížený stupeň vedomia, depresia dýchania a kóma.</w:t>
      </w:r>
    </w:p>
    <w:p w14:paraId="3706E1C7" w14:textId="77777777" w:rsidR="00553706" w:rsidRPr="000C67CB" w:rsidRDefault="00553706">
      <w:pPr>
        <w:autoSpaceDE w:val="0"/>
        <w:autoSpaceDN w:val="0"/>
        <w:adjustRightInd w:val="0"/>
        <w:rPr>
          <w:rFonts w:ascii="Times New Roman" w:hAnsi="Times New Roman"/>
        </w:rPr>
      </w:pPr>
    </w:p>
    <w:p w14:paraId="1E105B0C"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Liečba predávkovania</w:t>
      </w:r>
    </w:p>
    <w:p w14:paraId="7481A755" w14:textId="77777777" w:rsidR="00553706" w:rsidRPr="000C67CB" w:rsidRDefault="00553706">
      <w:pPr>
        <w:autoSpaceDE w:val="0"/>
        <w:autoSpaceDN w:val="0"/>
        <w:adjustRightInd w:val="0"/>
        <w:rPr>
          <w:rFonts w:ascii="Times New Roman" w:hAnsi="Times New Roman"/>
        </w:rPr>
      </w:pPr>
    </w:p>
    <w:p w14:paraId="2CFD6F2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 akútnom predávkovaní možno vyprázdniť žalúdok výplachom žalúdka alebo vyvolaním vracania.</w:t>
      </w:r>
    </w:p>
    <w:p w14:paraId="119CF33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Neexistuje žiadne špecifické antidotum levetiracetamu. Liečba predávkovania má byť symptomatická</w:t>
      </w:r>
    </w:p>
    <w:p w14:paraId="4D2B87F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 môže zahŕňať hemodialýzu. Účinnosť vylučovania levetiracetamu dialýzou je 60 % a primárneho</w:t>
      </w:r>
    </w:p>
    <w:p w14:paraId="1A0B88F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metabolitu 74 %.</w:t>
      </w:r>
    </w:p>
    <w:p w14:paraId="47921FBB" w14:textId="77777777" w:rsidR="00553706" w:rsidRPr="000C67CB" w:rsidRDefault="00553706">
      <w:pPr>
        <w:autoSpaceDE w:val="0"/>
        <w:autoSpaceDN w:val="0"/>
        <w:adjustRightInd w:val="0"/>
        <w:rPr>
          <w:rFonts w:ascii="Times New Roman" w:hAnsi="Times New Roman"/>
        </w:rPr>
      </w:pPr>
    </w:p>
    <w:p w14:paraId="4BD82505" w14:textId="77777777" w:rsidR="00553706" w:rsidRPr="000C67CB" w:rsidRDefault="00553706">
      <w:pPr>
        <w:autoSpaceDE w:val="0"/>
        <w:autoSpaceDN w:val="0"/>
        <w:adjustRightInd w:val="0"/>
        <w:rPr>
          <w:rFonts w:ascii="Times New Roman" w:hAnsi="Times New Roman"/>
        </w:rPr>
      </w:pPr>
    </w:p>
    <w:p w14:paraId="3E1113B9"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5. </w:t>
      </w:r>
      <w:r w:rsidRPr="000C67CB">
        <w:rPr>
          <w:rFonts w:ascii="Times New Roman" w:hAnsi="Times New Roman"/>
          <w:b/>
          <w:bCs/>
        </w:rPr>
        <w:tab/>
        <w:t>FARMAKOLOGICKÉ VLASTNOSTI</w:t>
      </w:r>
    </w:p>
    <w:p w14:paraId="302E710E" w14:textId="77777777" w:rsidR="008E7EDD" w:rsidRPr="000C67CB" w:rsidRDefault="008E7EDD">
      <w:pPr>
        <w:autoSpaceDE w:val="0"/>
        <w:autoSpaceDN w:val="0"/>
        <w:adjustRightInd w:val="0"/>
        <w:rPr>
          <w:rFonts w:ascii="Times New Roman" w:hAnsi="Times New Roman"/>
          <w:b/>
          <w:bCs/>
        </w:rPr>
      </w:pPr>
    </w:p>
    <w:p w14:paraId="00B3FF8E"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5.1</w:t>
      </w:r>
      <w:r w:rsidRPr="000C67CB">
        <w:rPr>
          <w:rFonts w:ascii="Times New Roman" w:hAnsi="Times New Roman"/>
          <w:b/>
          <w:bCs/>
        </w:rPr>
        <w:tab/>
        <w:t xml:space="preserve"> Farmakodynamické vlastnosti</w:t>
      </w:r>
    </w:p>
    <w:p w14:paraId="145F996B" w14:textId="77777777" w:rsidR="00553706" w:rsidRPr="000C67CB" w:rsidRDefault="00553706">
      <w:pPr>
        <w:autoSpaceDE w:val="0"/>
        <w:autoSpaceDN w:val="0"/>
        <w:adjustRightInd w:val="0"/>
        <w:rPr>
          <w:rFonts w:ascii="Times New Roman" w:hAnsi="Times New Roman"/>
        </w:rPr>
      </w:pPr>
    </w:p>
    <w:p w14:paraId="328D658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Farmakoterapeutická skupina: antiepileptiká, iné antiepileptiká, ATC kód: N03AX14.</w:t>
      </w:r>
    </w:p>
    <w:p w14:paraId="757BDDB7" w14:textId="77777777" w:rsidR="00553706" w:rsidRPr="000C67CB" w:rsidRDefault="00553706">
      <w:pPr>
        <w:autoSpaceDE w:val="0"/>
        <w:autoSpaceDN w:val="0"/>
        <w:adjustRightInd w:val="0"/>
        <w:rPr>
          <w:rFonts w:ascii="Times New Roman" w:hAnsi="Times New Roman"/>
        </w:rPr>
      </w:pPr>
    </w:p>
    <w:p w14:paraId="2BF5A17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Liečivo levetiracetam je pyrolidónový derivát (S-enantiomér alfa-etyl-2-oxo-1-pyrolidín acetamid),</w:t>
      </w:r>
    </w:p>
    <w:p w14:paraId="09411F2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chemicky nesúvisiaci s liečivami v súčasných antiepileptikách.</w:t>
      </w:r>
    </w:p>
    <w:p w14:paraId="22545CAE" w14:textId="77777777" w:rsidR="00553706" w:rsidRPr="000C67CB" w:rsidRDefault="00553706">
      <w:pPr>
        <w:autoSpaceDE w:val="0"/>
        <w:autoSpaceDN w:val="0"/>
        <w:adjustRightInd w:val="0"/>
        <w:rPr>
          <w:rFonts w:ascii="Times New Roman" w:hAnsi="Times New Roman"/>
        </w:rPr>
      </w:pPr>
    </w:p>
    <w:p w14:paraId="19744652" w14:textId="034C8920" w:rsidR="00553706" w:rsidRPr="000C67CB" w:rsidRDefault="00145BF5">
      <w:pPr>
        <w:autoSpaceDE w:val="0"/>
        <w:autoSpaceDN w:val="0"/>
        <w:adjustRightInd w:val="0"/>
        <w:rPr>
          <w:rFonts w:ascii="Times New Roman" w:hAnsi="Times New Roman"/>
          <w:u w:val="single"/>
        </w:rPr>
      </w:pPr>
      <w:r>
        <w:rPr>
          <w:rFonts w:ascii="Times New Roman" w:hAnsi="Times New Roman"/>
          <w:u w:val="single"/>
        </w:rPr>
        <w:t>Mechanizmus</w:t>
      </w:r>
      <w:r w:rsidR="00553706" w:rsidRPr="000C67CB">
        <w:rPr>
          <w:rFonts w:ascii="Times New Roman" w:hAnsi="Times New Roman"/>
          <w:u w:val="single"/>
        </w:rPr>
        <w:t xml:space="preserve"> účinku</w:t>
      </w:r>
    </w:p>
    <w:p w14:paraId="1CBA79BA" w14:textId="77777777" w:rsidR="00553706" w:rsidRPr="000C67CB" w:rsidRDefault="00553706">
      <w:pPr>
        <w:autoSpaceDE w:val="0"/>
        <w:autoSpaceDN w:val="0"/>
        <w:adjustRightInd w:val="0"/>
        <w:rPr>
          <w:rFonts w:ascii="Times New Roman" w:hAnsi="Times New Roman"/>
        </w:rPr>
      </w:pPr>
    </w:p>
    <w:p w14:paraId="1F32EB11" w14:textId="41BD3A7C"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Mechanizmus účinku levetiracetamu nebol doposiaľ celkom objasnený. Pokusy </w:t>
      </w:r>
      <w:r w:rsidRPr="000C67CB">
        <w:rPr>
          <w:rFonts w:ascii="Times New Roman" w:hAnsi="Times New Roman"/>
          <w:i/>
          <w:iCs/>
        </w:rPr>
        <w:t xml:space="preserve">in vitro </w:t>
      </w:r>
      <w:r w:rsidRPr="000C67CB">
        <w:rPr>
          <w:rFonts w:ascii="Times New Roman" w:hAnsi="Times New Roman"/>
        </w:rPr>
        <w:t xml:space="preserve">a </w:t>
      </w:r>
      <w:r w:rsidRPr="000C67CB">
        <w:rPr>
          <w:rFonts w:ascii="Times New Roman" w:hAnsi="Times New Roman"/>
          <w:i/>
          <w:iCs/>
        </w:rPr>
        <w:t xml:space="preserve">in vivo </w:t>
      </w:r>
      <w:r w:rsidRPr="000C67CB">
        <w:rPr>
          <w:rFonts w:ascii="Times New Roman" w:hAnsi="Times New Roman"/>
        </w:rPr>
        <w:t>napovedajú, že</w:t>
      </w:r>
      <w:r w:rsidR="009D3295" w:rsidRPr="000C67CB">
        <w:rPr>
          <w:rFonts w:ascii="Times New Roman" w:hAnsi="Times New Roman"/>
        </w:rPr>
        <w:t xml:space="preserve"> </w:t>
      </w:r>
      <w:r w:rsidRPr="000C67CB">
        <w:rPr>
          <w:rFonts w:ascii="Times New Roman" w:hAnsi="Times New Roman"/>
        </w:rPr>
        <w:t>levetiracetam neovplyvňuje ani základné charakteristiky buniek ani normálny prenos nervových</w:t>
      </w:r>
      <w:r w:rsidR="009D3295" w:rsidRPr="000C67CB">
        <w:rPr>
          <w:rFonts w:ascii="Times New Roman" w:hAnsi="Times New Roman"/>
        </w:rPr>
        <w:t xml:space="preserve"> </w:t>
      </w:r>
      <w:r w:rsidRPr="000C67CB">
        <w:rPr>
          <w:rFonts w:ascii="Times New Roman" w:hAnsi="Times New Roman"/>
        </w:rPr>
        <w:t>vzruchov.</w:t>
      </w:r>
    </w:p>
    <w:p w14:paraId="7F709B6D" w14:textId="77777777" w:rsidR="00553706" w:rsidRPr="000C67CB" w:rsidRDefault="00553706">
      <w:pPr>
        <w:autoSpaceDE w:val="0"/>
        <w:autoSpaceDN w:val="0"/>
        <w:adjustRightInd w:val="0"/>
        <w:rPr>
          <w:rFonts w:ascii="Times New Roman" w:hAnsi="Times New Roman"/>
        </w:rPr>
      </w:pPr>
    </w:p>
    <w:p w14:paraId="1E07A3E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i/>
          <w:iCs/>
        </w:rPr>
        <w:t xml:space="preserve">In vitro </w:t>
      </w:r>
      <w:r w:rsidRPr="000C67CB">
        <w:rPr>
          <w:rFonts w:ascii="Times New Roman" w:hAnsi="Times New Roman"/>
        </w:rPr>
        <w:t>štúdie ukazujú, že levetiracetam ovplyvňuje hladinu Ca 2+ v neurónoch čiastočnou inhibíciou</w:t>
      </w:r>
    </w:p>
    <w:p w14:paraId="26279FC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kalciových kanálov typu N a znížením uvoľňovania Ca 2+ z intracelulárnych zásob v neurónoch.</w:t>
      </w:r>
    </w:p>
    <w:p w14:paraId="5929340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navyše čiastočne antagonizuje zníženie aktivity GABA- a glycínových kanálov</w:t>
      </w:r>
    </w:p>
    <w:p w14:paraId="1CBD431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spôsobené zinkom a ß-karbolínmi. Okrem toho sa levetiracetam v </w:t>
      </w:r>
      <w:r w:rsidRPr="000C67CB">
        <w:rPr>
          <w:rFonts w:ascii="Times New Roman" w:hAnsi="Times New Roman"/>
          <w:i/>
          <w:iCs/>
        </w:rPr>
        <w:t xml:space="preserve">in vitro </w:t>
      </w:r>
      <w:r w:rsidRPr="000C67CB">
        <w:rPr>
          <w:rFonts w:ascii="Times New Roman" w:hAnsi="Times New Roman"/>
        </w:rPr>
        <w:t>štúdiách viaže na špecifické</w:t>
      </w:r>
    </w:p>
    <w:p w14:paraId="23C28CD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väzobné miesto v mozgovom tkanive hlodavcov. Špecifickým väzobným miestom je synaptický</w:t>
      </w:r>
    </w:p>
    <w:p w14:paraId="79A1C74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vezikulárny proteín 2A, ktorý je považovaný za súčasť procesov fúzie a exocytózy vezikúl s</w:t>
      </w:r>
    </w:p>
    <w:p w14:paraId="4E66F15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neurotransmitermi. Levetiracetam a jeho analógy majú rôznu afinitu k väzbe na synaptický vezikulárny proteín 2A, ktorá koreluje s ich potenciálom k zábrane vzniku záchvatov v audiogénnych</w:t>
      </w:r>
    </w:p>
    <w:p w14:paraId="5E449A7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modeloch u myší. Uvedené nálezy napovedajú, že interakcia medzi levetiracetamom a synaptickým</w:t>
      </w:r>
    </w:p>
    <w:p w14:paraId="08E6087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vezikulárnym proteínom 2A by mohla prispievať k antiepileptickému mechanizmu účinku lieku.</w:t>
      </w:r>
    </w:p>
    <w:p w14:paraId="7BDEA8A5" w14:textId="77777777" w:rsidR="00553706" w:rsidRPr="000C67CB" w:rsidRDefault="00553706">
      <w:pPr>
        <w:autoSpaceDE w:val="0"/>
        <w:autoSpaceDN w:val="0"/>
        <w:adjustRightInd w:val="0"/>
        <w:rPr>
          <w:rFonts w:ascii="Times New Roman" w:hAnsi="Times New Roman"/>
        </w:rPr>
      </w:pPr>
    </w:p>
    <w:p w14:paraId="27F8BABA"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Farmakodynamické účinky</w:t>
      </w:r>
    </w:p>
    <w:p w14:paraId="0C2043EC" w14:textId="77777777" w:rsidR="00553706" w:rsidRPr="000C67CB" w:rsidRDefault="00553706">
      <w:pPr>
        <w:autoSpaceDE w:val="0"/>
        <w:autoSpaceDN w:val="0"/>
        <w:adjustRightInd w:val="0"/>
        <w:rPr>
          <w:rFonts w:ascii="Times New Roman" w:hAnsi="Times New Roman"/>
        </w:rPr>
      </w:pPr>
    </w:p>
    <w:p w14:paraId="4CDA59C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poskytuje ochranu pred záchvatmi vo veľkom počte zvieracích modelov parciálnych a</w:t>
      </w:r>
    </w:p>
    <w:p w14:paraId="6FB1EA3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primárne generalizovaných záchvatov bez toho, že by mal pro-konvulzívne účinky. Primárny</w:t>
      </w:r>
    </w:p>
    <w:p w14:paraId="1774686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metabolit je neaktívny.</w:t>
      </w:r>
    </w:p>
    <w:p w14:paraId="67D4FD85" w14:textId="77777777" w:rsidR="00553706" w:rsidRPr="000C67CB" w:rsidRDefault="00553706">
      <w:pPr>
        <w:autoSpaceDE w:val="0"/>
        <w:autoSpaceDN w:val="0"/>
        <w:adjustRightInd w:val="0"/>
        <w:rPr>
          <w:rFonts w:ascii="Times New Roman" w:hAnsi="Times New Roman"/>
        </w:rPr>
      </w:pPr>
    </w:p>
    <w:p w14:paraId="710EBE9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Účinok pri parciálnej i generalizovanej epilepsii (epileptiformný výboj /fotoparoxyzmálna odpoveď) u</w:t>
      </w:r>
    </w:p>
    <w:p w14:paraId="5DB1A60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človeka potvrdil široké spektrum stanoveného farmakologického profilu levetiracetamu.</w:t>
      </w:r>
    </w:p>
    <w:p w14:paraId="033C37CA" w14:textId="77777777" w:rsidR="00553706" w:rsidRPr="000C67CB" w:rsidRDefault="00553706">
      <w:pPr>
        <w:autoSpaceDE w:val="0"/>
        <w:autoSpaceDN w:val="0"/>
        <w:adjustRightInd w:val="0"/>
        <w:rPr>
          <w:rFonts w:ascii="Times New Roman" w:hAnsi="Times New Roman"/>
        </w:rPr>
      </w:pPr>
    </w:p>
    <w:p w14:paraId="3834E58C"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Klinická účinnosť a bezpečnosť</w:t>
      </w:r>
    </w:p>
    <w:p w14:paraId="6057094C" w14:textId="77777777" w:rsidR="00553706" w:rsidRPr="000C67CB" w:rsidRDefault="00553706">
      <w:pPr>
        <w:autoSpaceDE w:val="0"/>
        <w:autoSpaceDN w:val="0"/>
        <w:adjustRightInd w:val="0"/>
        <w:rPr>
          <w:rFonts w:ascii="Times New Roman" w:hAnsi="Times New Roman"/>
          <w:i/>
          <w:iCs/>
        </w:rPr>
      </w:pPr>
    </w:p>
    <w:p w14:paraId="29908078" w14:textId="51587648"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Prídavná terapia na lie</w:t>
      </w:r>
      <w:r w:rsidRPr="000C67CB">
        <w:rPr>
          <w:rFonts w:ascii="Times New Roman" w:eastAsia="TimesNewRomanPS-ItalicMT" w:hAnsi="Times New Roman"/>
          <w:i/>
          <w:iCs/>
        </w:rPr>
        <w:t>č</w:t>
      </w:r>
      <w:r w:rsidRPr="000C67CB">
        <w:rPr>
          <w:rFonts w:ascii="Times New Roman" w:hAnsi="Times New Roman"/>
          <w:i/>
          <w:iCs/>
        </w:rPr>
        <w:t>bu parciálnych záchvatov s</w:t>
      </w:r>
      <w:r w:rsidR="00145BF5">
        <w:rPr>
          <w:rFonts w:ascii="Times New Roman" w:hAnsi="Times New Roman"/>
          <w:i/>
          <w:iCs/>
        </w:rPr>
        <w:t>o</w:t>
      </w:r>
      <w:r w:rsidRPr="000C67CB">
        <w:rPr>
          <w:rFonts w:ascii="Times New Roman" w:hAnsi="Times New Roman"/>
          <w:i/>
          <w:iCs/>
        </w:rPr>
        <w:t xml:space="preserve"> sekundárn</w:t>
      </w:r>
      <w:r w:rsidR="00145BF5">
        <w:rPr>
          <w:rFonts w:ascii="Times New Roman" w:hAnsi="Times New Roman"/>
          <w:i/>
          <w:iCs/>
        </w:rPr>
        <w:t>ou</w:t>
      </w:r>
      <w:r w:rsidRPr="000C67CB">
        <w:rPr>
          <w:rFonts w:ascii="Times New Roman" w:hAnsi="Times New Roman"/>
          <w:i/>
          <w:iCs/>
        </w:rPr>
        <w:t xml:space="preserve"> generalizáci</w:t>
      </w:r>
      <w:r w:rsidR="00145BF5">
        <w:rPr>
          <w:rFonts w:ascii="Times New Roman" w:hAnsi="Times New Roman"/>
          <w:i/>
          <w:iCs/>
        </w:rPr>
        <w:t>ou alebo bez nej</w:t>
      </w:r>
      <w:r w:rsidRPr="000C67CB">
        <w:rPr>
          <w:rFonts w:ascii="Times New Roman" w:hAnsi="Times New Roman"/>
          <w:i/>
          <w:iCs/>
        </w:rPr>
        <w:t xml:space="preserve"> u dospelých,dospievajúcich, detí a doj</w:t>
      </w:r>
      <w:r w:rsidRPr="000C67CB">
        <w:rPr>
          <w:rFonts w:ascii="Times New Roman" w:eastAsia="TimesNewRomanPS-ItalicMT" w:hAnsi="Times New Roman"/>
          <w:i/>
          <w:iCs/>
        </w:rPr>
        <w:t>č</w:t>
      </w:r>
      <w:r w:rsidRPr="000C67CB">
        <w:rPr>
          <w:rFonts w:ascii="Times New Roman" w:hAnsi="Times New Roman"/>
          <w:i/>
          <w:iCs/>
        </w:rPr>
        <w:t>iat vo veku od 1 mesiaca s epilepsiou.</w:t>
      </w:r>
    </w:p>
    <w:p w14:paraId="279D3644" w14:textId="77777777" w:rsidR="00553706" w:rsidRPr="000C67CB" w:rsidRDefault="00553706">
      <w:pPr>
        <w:autoSpaceDE w:val="0"/>
        <w:autoSpaceDN w:val="0"/>
        <w:adjustRightInd w:val="0"/>
        <w:rPr>
          <w:rFonts w:ascii="Times New Roman" w:hAnsi="Times New Roman"/>
        </w:rPr>
      </w:pPr>
    </w:p>
    <w:p w14:paraId="55378AC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dospelých sa účinnosť levetiracetamu dokázala v 3 dvojito-zaslepených placebom kontrolovaných</w:t>
      </w:r>
    </w:p>
    <w:p w14:paraId="4ED4818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štúdiách pri 1 000 mg, 2 000 mg alebo 3 000 mg/deň podávaných v 2 rozdelených dávkach s dĺžkou</w:t>
      </w:r>
    </w:p>
    <w:p w14:paraId="49794A6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liečby do 18 týždňov. V sumárnej analýze bolo percento pacientov, ktorí dosiahli 50 % alebo</w:t>
      </w:r>
    </w:p>
    <w:p w14:paraId="4D28BDD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významnejšie zníženie frekvencie parciálnych záchvatov na týždeň v porovnaní s východiskovým</w:t>
      </w:r>
    </w:p>
    <w:p w14:paraId="2F06D7B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stavom pri stabilnej dávke (12/14 týždňov), 27,7 %, 31,6 % a 41,3 % u pacientov s 1 000, 2 000 alebo</w:t>
      </w:r>
    </w:p>
    <w:p w14:paraId="348D4FD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3 000 mg levetiracetamu a 12,6 % u pacientov s placebom.</w:t>
      </w:r>
    </w:p>
    <w:p w14:paraId="2C3C7080" w14:textId="77777777" w:rsidR="00553706" w:rsidRPr="000C67CB" w:rsidRDefault="00553706">
      <w:pPr>
        <w:autoSpaceDE w:val="0"/>
        <w:autoSpaceDN w:val="0"/>
        <w:adjustRightInd w:val="0"/>
        <w:rPr>
          <w:rFonts w:ascii="Times New Roman" w:hAnsi="Times New Roman"/>
          <w:i/>
          <w:iCs/>
        </w:rPr>
      </w:pPr>
    </w:p>
    <w:p w14:paraId="25B4BB57" w14:textId="77777777" w:rsidR="00553706" w:rsidRPr="000C67CB" w:rsidRDefault="009C75F7">
      <w:pPr>
        <w:autoSpaceDE w:val="0"/>
        <w:autoSpaceDN w:val="0"/>
        <w:adjustRightInd w:val="0"/>
        <w:rPr>
          <w:rFonts w:ascii="Times New Roman" w:hAnsi="Times New Roman"/>
          <w:u w:val="single"/>
        </w:rPr>
      </w:pPr>
      <w:r w:rsidRPr="000C67CB">
        <w:rPr>
          <w:rFonts w:ascii="Times New Roman" w:hAnsi="Times New Roman"/>
          <w:iCs/>
          <w:u w:val="single"/>
        </w:rPr>
        <w:t xml:space="preserve">Pediatrická populácia </w:t>
      </w:r>
    </w:p>
    <w:p w14:paraId="2183AE1B" w14:textId="77777777" w:rsidR="007178B3" w:rsidRPr="000C67CB" w:rsidRDefault="007178B3">
      <w:pPr>
        <w:autoSpaceDE w:val="0"/>
        <w:autoSpaceDN w:val="0"/>
        <w:adjustRightInd w:val="0"/>
        <w:rPr>
          <w:rFonts w:ascii="Times New Roman" w:hAnsi="Times New Roman"/>
        </w:rPr>
      </w:pPr>
    </w:p>
    <w:p w14:paraId="53BB0FC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U </w:t>
      </w:r>
      <w:r w:rsidR="00836928" w:rsidRPr="000C67CB">
        <w:rPr>
          <w:rFonts w:ascii="Times New Roman" w:hAnsi="Times New Roman"/>
        </w:rPr>
        <w:t>detí a dospievajúcich</w:t>
      </w:r>
      <w:r w:rsidRPr="000C67CB">
        <w:rPr>
          <w:rFonts w:ascii="Times New Roman" w:hAnsi="Times New Roman"/>
        </w:rPr>
        <w:t xml:space="preserve"> (vek 4 až 16 rokov) sa účinnosť levetiracetamu stanovila v dvojito zaslepenej placebom kontrolovanej štúdii, do ktorej bolo zaradených 198 pacientov a malo dĺžku</w:t>
      </w:r>
    </w:p>
    <w:p w14:paraId="4A5A556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liečby 14 týždňov. V tejto štúdii pacienti užívali levetiracetam vo fixnej dávke 60 mg/kg/deň (s</w:t>
      </w:r>
    </w:p>
    <w:p w14:paraId="068B757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dávkovaním dvakrát denne).</w:t>
      </w:r>
    </w:p>
    <w:p w14:paraId="2F26F5C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44,6 % pacientov liečených levetiracetamom a 19,6 % pacientov s placebom malo 50 % alebo</w:t>
      </w:r>
    </w:p>
    <w:p w14:paraId="04B0BEE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významnejšie zníženie frekvencie parciálnych záchvatov za týždeň v porovnaní s východiskovým</w:t>
      </w:r>
    </w:p>
    <w:p w14:paraId="0B992A7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stavom. Pri dlhodobom pokračovaní v liečbe 11,4 % pacientov nemalo záchvaty minimálne</w:t>
      </w:r>
    </w:p>
    <w:p w14:paraId="0DFF030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6 mesiacov a 7,2 % nemalo záchvat minimálne 1 rok.</w:t>
      </w:r>
    </w:p>
    <w:p w14:paraId="0B24F22D" w14:textId="77777777" w:rsidR="00553706" w:rsidRPr="000C67CB" w:rsidRDefault="00553706">
      <w:pPr>
        <w:autoSpaceDE w:val="0"/>
        <w:autoSpaceDN w:val="0"/>
        <w:adjustRightInd w:val="0"/>
        <w:rPr>
          <w:rFonts w:ascii="Times New Roman" w:hAnsi="Times New Roman"/>
        </w:rPr>
      </w:pPr>
    </w:p>
    <w:p w14:paraId="236B63C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detí (vo veku 1 mesiac až 4 roky) bola stanovená účinnosť levetiracetamu v dvojito zaslepenej,</w:t>
      </w:r>
    </w:p>
    <w:p w14:paraId="69DF319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placebom kontrolovanej štúdii, ktorá zahrňovala 116 pacientov a liečba trvala 5 dní. V tejto štúdii</w:t>
      </w:r>
    </w:p>
    <w:p w14:paraId="327F44F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dostávali pacienti dennú dávku 20 mg/kg, 25 mg/kg, 40 mg/kg alebo 50 mg/kg perorálneho roztoku</w:t>
      </w:r>
    </w:p>
    <w:p w14:paraId="5785143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na základe titračného rozpisu podľa veku. V tejto štúdii bola použitá dávka 20 mg/kg/deň titrovaná na</w:t>
      </w:r>
    </w:p>
    <w:p w14:paraId="2765581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40 mg/kg/deň pre dojčatá vo veku jeden mesiac až 6 mesiacov, a dávka 25 mg/kg/deň titrovaná na</w:t>
      </w:r>
    </w:p>
    <w:p w14:paraId="75F09F6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50 mg/kg/deň pre deti vo veku 6 mesiacov až 4 roky. Celková denná dávka bola podávaná dvakrát</w:t>
      </w:r>
    </w:p>
    <w:p w14:paraId="2B21003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denne.</w:t>
      </w:r>
    </w:p>
    <w:p w14:paraId="2C126CA4" w14:textId="77777777" w:rsidR="00553706" w:rsidRPr="000C67CB" w:rsidRDefault="00553706">
      <w:pPr>
        <w:autoSpaceDE w:val="0"/>
        <w:autoSpaceDN w:val="0"/>
        <w:adjustRightInd w:val="0"/>
        <w:rPr>
          <w:rFonts w:ascii="Times New Roman" w:hAnsi="Times New Roman"/>
        </w:rPr>
      </w:pPr>
    </w:p>
    <w:p w14:paraId="59DE929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Primárnym ukazovateľom účinnosti bola miera odpovede na liečbu (percento pacientov s </w:t>
      </w:r>
      <w:r w:rsidRPr="000C67CB">
        <w:rPr>
          <w:rFonts w:ascii="Times New Roman" w:eastAsia="SymbolMT" w:hAnsi="Times New Roman"/>
        </w:rPr>
        <w:t xml:space="preserve">≥ </w:t>
      </w:r>
      <w:r w:rsidRPr="000C67CB">
        <w:rPr>
          <w:rFonts w:ascii="Times New Roman" w:hAnsi="Times New Roman"/>
        </w:rPr>
        <w:t>50 %</w:t>
      </w:r>
    </w:p>
    <w:p w14:paraId="4AA986F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poklesom priemernej dennej frekvencie parciálnych záchvatov od východiskového stavu), ktorá bola</w:t>
      </w:r>
    </w:p>
    <w:p w14:paraId="64AC683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hodnotená zaslepene centrálnym hodnotiteľom s použitím 48- hodinového video EEG záznamu.</w:t>
      </w:r>
    </w:p>
    <w:p w14:paraId="452794D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Analýza účinnosti pozostávala zo 109 pacientov, ktorí mali najmenej 24 hodín video EEG záznamu</w:t>
      </w:r>
    </w:p>
    <w:p w14:paraId="1A861483" w14:textId="4E6C3E25" w:rsidR="00553706" w:rsidRPr="000C67CB" w:rsidRDefault="00553706">
      <w:pPr>
        <w:autoSpaceDE w:val="0"/>
        <w:autoSpaceDN w:val="0"/>
        <w:adjustRightInd w:val="0"/>
        <w:rPr>
          <w:rFonts w:ascii="Times New Roman" w:hAnsi="Times New Roman"/>
        </w:rPr>
      </w:pPr>
      <w:r w:rsidRPr="000C67CB">
        <w:rPr>
          <w:rFonts w:ascii="Times New Roman" w:hAnsi="Times New Roman"/>
        </w:rPr>
        <w:t>v oboch obdobiach, východiskovom aj testovacom. 43,6 % pacientov liečených levetiracetamom a</w:t>
      </w:r>
    </w:p>
    <w:p w14:paraId="24CDAA9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19,6 % pacientov liečených placebom boli považovaní za respondentov. Výsledky sa zhodujú naprieč</w:t>
      </w:r>
    </w:p>
    <w:p w14:paraId="0116949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vekovými skupinami. Pri dlhodobom pokračovaní v liečbe 8,6 % pacientov nemalo záchvaty</w:t>
      </w:r>
    </w:p>
    <w:p w14:paraId="5A4F12A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minimálne 6 mesiacov a 7,8 % bolo bez záchvatov minimálne 1 rok.</w:t>
      </w:r>
    </w:p>
    <w:p w14:paraId="268AD062" w14:textId="77777777" w:rsidR="007178B3" w:rsidRPr="000C67CB" w:rsidRDefault="007178B3">
      <w:pPr>
        <w:autoSpaceDE w:val="0"/>
        <w:autoSpaceDN w:val="0"/>
        <w:adjustRightInd w:val="0"/>
        <w:rPr>
          <w:rFonts w:ascii="Times New Roman" w:eastAsia="TimesNewRomanPSMT" w:hAnsi="Times New Roman"/>
          <w:lang w:eastAsia="sk-SK"/>
        </w:rPr>
      </w:pPr>
      <w:r w:rsidRPr="000C67CB">
        <w:rPr>
          <w:rFonts w:ascii="Times New Roman" w:eastAsia="TimesNewRomanPSMT" w:hAnsi="Times New Roman"/>
          <w:lang w:eastAsia="sk-SK"/>
        </w:rPr>
        <w:t>35 dojčiat s parciálnymi záchvatmi vo veku menej ako 1 rok bolo liečených v placebom</w:t>
      </w:r>
    </w:p>
    <w:p w14:paraId="36690463" w14:textId="77777777" w:rsidR="007178B3" w:rsidRPr="000C67CB" w:rsidRDefault="007178B3">
      <w:pPr>
        <w:autoSpaceDE w:val="0"/>
        <w:autoSpaceDN w:val="0"/>
        <w:adjustRightInd w:val="0"/>
        <w:rPr>
          <w:rFonts w:ascii="Times New Roman" w:hAnsi="Times New Roman"/>
        </w:rPr>
      </w:pPr>
      <w:r w:rsidRPr="000C67CB">
        <w:rPr>
          <w:rFonts w:ascii="Times New Roman" w:eastAsia="TimesNewRomanPSMT" w:hAnsi="Times New Roman"/>
          <w:lang w:eastAsia="sk-SK"/>
        </w:rPr>
        <w:t>kontrolovaných štúdiách, kde len 13 pacientov bolo vo veku &lt; 6 mesiacov.</w:t>
      </w:r>
    </w:p>
    <w:p w14:paraId="75DA1A0F" w14:textId="77777777" w:rsidR="00553706" w:rsidRPr="000C67CB" w:rsidRDefault="00553706">
      <w:pPr>
        <w:autoSpaceDE w:val="0"/>
        <w:autoSpaceDN w:val="0"/>
        <w:adjustRightInd w:val="0"/>
        <w:rPr>
          <w:rFonts w:ascii="Times New Roman" w:hAnsi="Times New Roman"/>
        </w:rPr>
      </w:pPr>
    </w:p>
    <w:p w14:paraId="2779F9D5" w14:textId="32F5E549"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Monoterapia na lie</w:t>
      </w:r>
      <w:r w:rsidRPr="000C67CB">
        <w:rPr>
          <w:rFonts w:ascii="Times New Roman" w:eastAsia="TimesNewRomanPS-ItalicMT" w:hAnsi="Times New Roman"/>
          <w:i/>
          <w:iCs/>
        </w:rPr>
        <w:t>č</w:t>
      </w:r>
      <w:r w:rsidRPr="000C67CB">
        <w:rPr>
          <w:rFonts w:ascii="Times New Roman" w:hAnsi="Times New Roman"/>
          <w:i/>
          <w:iCs/>
        </w:rPr>
        <w:t>bu parciálnych záchvatov s</w:t>
      </w:r>
      <w:r w:rsidR="00145BF5">
        <w:rPr>
          <w:rFonts w:ascii="Times New Roman" w:hAnsi="Times New Roman"/>
          <w:i/>
          <w:iCs/>
        </w:rPr>
        <w:t xml:space="preserve">o </w:t>
      </w:r>
      <w:r w:rsidRPr="000C67CB">
        <w:rPr>
          <w:rFonts w:ascii="Times New Roman" w:hAnsi="Times New Roman"/>
          <w:i/>
          <w:iCs/>
        </w:rPr>
        <w:t>sekundárn</w:t>
      </w:r>
      <w:r w:rsidR="00145BF5">
        <w:rPr>
          <w:rFonts w:ascii="Times New Roman" w:hAnsi="Times New Roman"/>
          <w:i/>
          <w:iCs/>
        </w:rPr>
        <w:t>ou</w:t>
      </w:r>
      <w:r w:rsidRPr="000C67CB">
        <w:rPr>
          <w:rFonts w:ascii="Times New Roman" w:hAnsi="Times New Roman"/>
          <w:i/>
          <w:iCs/>
        </w:rPr>
        <w:t xml:space="preserve"> generalizáci</w:t>
      </w:r>
      <w:r w:rsidR="00145BF5">
        <w:rPr>
          <w:rFonts w:ascii="Times New Roman" w:hAnsi="Times New Roman"/>
          <w:i/>
          <w:iCs/>
        </w:rPr>
        <w:t xml:space="preserve">ou alebo bez nej </w:t>
      </w:r>
      <w:r w:rsidRPr="000C67CB">
        <w:rPr>
          <w:rFonts w:ascii="Times New Roman" w:hAnsi="Times New Roman"/>
          <w:i/>
          <w:iCs/>
        </w:rPr>
        <w:t xml:space="preserve"> u pacientov od</w:t>
      </w:r>
      <w:r w:rsidR="00145BF5">
        <w:rPr>
          <w:rFonts w:ascii="Times New Roman" w:hAnsi="Times New Roman"/>
          <w:i/>
          <w:iCs/>
        </w:rPr>
        <w:t xml:space="preserve"> </w:t>
      </w:r>
      <w:r w:rsidRPr="000C67CB">
        <w:rPr>
          <w:rFonts w:ascii="Times New Roman" w:hAnsi="Times New Roman"/>
          <w:i/>
          <w:iCs/>
        </w:rPr>
        <w:t>veku 16 rokov s novo diagnostikovanou epilepsiou.</w:t>
      </w:r>
    </w:p>
    <w:p w14:paraId="0D722444" w14:textId="77777777" w:rsidR="00553706" w:rsidRPr="000C67CB" w:rsidRDefault="00553706">
      <w:pPr>
        <w:autoSpaceDE w:val="0"/>
        <w:autoSpaceDN w:val="0"/>
        <w:adjustRightInd w:val="0"/>
        <w:rPr>
          <w:rFonts w:ascii="Times New Roman" w:hAnsi="Times New Roman"/>
          <w:i/>
          <w:iCs/>
        </w:rPr>
      </w:pPr>
    </w:p>
    <w:p w14:paraId="6EE60DE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Účinnosť levetiracetamu v monoterapii bola preukázaná v dvojito zaslepenej paralelnej skupine „noninferiority“ v porovnaní s karbamazepínom s riadeným uvoľňovaním (CR) u 576 pacientov vo veku 16 rokov alebo starších s novo alebo nedávno diagnostikovanou epilepsiou. U pacientov sa mohli</w:t>
      </w:r>
    </w:p>
    <w:p w14:paraId="0AB068E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vyskytovať len nevyprovokované parciálne záchvaty alebo generalizované tonicko-klonické záchvaty.</w:t>
      </w:r>
    </w:p>
    <w:p w14:paraId="2CB4534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Pacienti boli randomizovaní na liečbu karbamazepínom CR 400 – 1200 mg/deň alebo levetiracetamom</w:t>
      </w:r>
    </w:p>
    <w:p w14:paraId="1CEBDF4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1000 - 3000 mg/deň, dĺžka liečby bola do 121 týždňov v závislosti od reakcie.</w:t>
      </w:r>
    </w:p>
    <w:p w14:paraId="1FE2674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Šesťmesačné obdobie bez výskytu záchvatov sa dosiahlo u 73 % pacientov liečených</w:t>
      </w:r>
    </w:p>
    <w:p w14:paraId="4BA04A7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levetiracetamom a 72,8 % pacientov liečených karbamazepínom CR; upravená absolútna diferencia</w:t>
      </w:r>
    </w:p>
    <w:p w14:paraId="5F55518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medzi liečbami bola 0,2 % (95 % CI: -7,8 8,2). Viac ako polovica jedincov nemala záchvaty</w:t>
      </w:r>
    </w:p>
    <w:p w14:paraId="67259EE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12 mesiacov (56,6 % jedincov s levetiracetamom a 58,5 % s karbamazepínom CR).</w:t>
      </w:r>
    </w:p>
    <w:p w14:paraId="294CFAB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štúdii odrážajúcej klinickú prax bolo možné u obmedzeného počtu pacientov, ktorí reagovali na</w:t>
      </w:r>
    </w:p>
    <w:p w14:paraId="093B750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prídavnú liečbu levetiracetamom (36 dospelých pacientov zo 69), vysadiť súbežnú antiepileptickú</w:t>
      </w:r>
    </w:p>
    <w:p w14:paraId="4904937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liečbu.</w:t>
      </w:r>
    </w:p>
    <w:p w14:paraId="4F9ADA02" w14:textId="77777777" w:rsidR="00553706" w:rsidRPr="000C67CB" w:rsidRDefault="00553706">
      <w:pPr>
        <w:autoSpaceDE w:val="0"/>
        <w:autoSpaceDN w:val="0"/>
        <w:adjustRightInd w:val="0"/>
        <w:rPr>
          <w:rFonts w:ascii="Times New Roman" w:hAnsi="Times New Roman"/>
        </w:rPr>
      </w:pPr>
    </w:p>
    <w:p w14:paraId="02AA5007"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Prídavná terapia na lie</w:t>
      </w:r>
      <w:r w:rsidRPr="000C67CB">
        <w:rPr>
          <w:rFonts w:ascii="Times New Roman" w:eastAsia="TimesNewRomanPS-ItalicMT" w:hAnsi="Times New Roman"/>
          <w:i/>
          <w:iCs/>
        </w:rPr>
        <w:t>č</w:t>
      </w:r>
      <w:r w:rsidRPr="000C67CB">
        <w:rPr>
          <w:rFonts w:ascii="Times New Roman" w:hAnsi="Times New Roman"/>
          <w:i/>
          <w:iCs/>
        </w:rPr>
        <w:t>bu myoklonických záchvatov u dospelých a dospievajúcich od veku 12 rokov</w:t>
      </w:r>
    </w:p>
    <w:p w14:paraId="5ACCD317"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s juvenilnou myoklonickou epilepsiou.</w:t>
      </w:r>
    </w:p>
    <w:p w14:paraId="7ECAFC2F" w14:textId="77777777" w:rsidR="00553706" w:rsidRPr="000C67CB" w:rsidRDefault="00553706">
      <w:pPr>
        <w:autoSpaceDE w:val="0"/>
        <w:autoSpaceDN w:val="0"/>
        <w:adjustRightInd w:val="0"/>
        <w:rPr>
          <w:rFonts w:ascii="Times New Roman" w:hAnsi="Times New Roman"/>
          <w:i/>
          <w:iCs/>
        </w:rPr>
      </w:pPr>
    </w:p>
    <w:p w14:paraId="4C399E5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Účinnosť levetiracetamu bola preukázaná v dvojito zaslepenej placebom kontrolovanej štúdii</w:t>
      </w:r>
    </w:p>
    <w:p w14:paraId="597B846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 trvaním 16 týždňov u pacientov vo veku 12 rokov a starších, ktorí trpeli na idiopatickú</w:t>
      </w:r>
    </w:p>
    <w:p w14:paraId="7292803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generalizovanú epilepsiu s myoklonickými záchvatmi s rôznymi syndrómami. Väčšina pacientov mala</w:t>
      </w:r>
    </w:p>
    <w:p w14:paraId="794D84E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výskyt juvenilnej myoklonickej epilepsie.</w:t>
      </w:r>
    </w:p>
    <w:p w14:paraId="2DF1C5A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tejto štúdii bola dávka levetiracetamu 3 000 mg/deň podávaná v 2 rozdelených dávkach.</w:t>
      </w:r>
    </w:p>
    <w:p w14:paraId="2F376E4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58,3 % pacientov liečených levetiracetamom a 23,3 % pacientov s placebom malo minimálne 50 %</w:t>
      </w:r>
    </w:p>
    <w:p w14:paraId="7C8D995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zníženie denných myoklonických záchvatov na týždeň. Pri dlhodobom pokračovaní v liečbe 28,6 %</w:t>
      </w:r>
    </w:p>
    <w:p w14:paraId="5F41784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pacientov nemalo myoklonické záchvaty minimálne 6 mesiacov a 21 % nemalo myoklonické</w:t>
      </w:r>
    </w:p>
    <w:p w14:paraId="6DAF05A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záchvaty minimálne 1 rok.</w:t>
      </w:r>
    </w:p>
    <w:p w14:paraId="6E784EF9" w14:textId="77777777" w:rsidR="00553706" w:rsidRPr="000C67CB" w:rsidRDefault="00553706">
      <w:pPr>
        <w:autoSpaceDE w:val="0"/>
        <w:autoSpaceDN w:val="0"/>
        <w:adjustRightInd w:val="0"/>
        <w:rPr>
          <w:rFonts w:ascii="Times New Roman" w:hAnsi="Times New Roman"/>
          <w:i/>
          <w:iCs/>
        </w:rPr>
      </w:pPr>
    </w:p>
    <w:p w14:paraId="187AA3F7"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Prídavná terapia na lie</w:t>
      </w:r>
      <w:r w:rsidRPr="000C67CB">
        <w:rPr>
          <w:rFonts w:ascii="Times New Roman" w:eastAsia="TimesNewRomanPS-ItalicMT" w:hAnsi="Times New Roman"/>
          <w:i/>
          <w:iCs/>
        </w:rPr>
        <w:t>č</w:t>
      </w:r>
      <w:r w:rsidRPr="000C67CB">
        <w:rPr>
          <w:rFonts w:ascii="Times New Roman" w:hAnsi="Times New Roman"/>
          <w:i/>
          <w:iCs/>
        </w:rPr>
        <w:t>bu primárnych generalizovaných tonicko-klonických záchvatov u dospelých</w:t>
      </w:r>
    </w:p>
    <w:p w14:paraId="33F0F7CC" w14:textId="77777777" w:rsidR="00553706" w:rsidRPr="000C67CB" w:rsidRDefault="00553706">
      <w:pPr>
        <w:autoSpaceDE w:val="0"/>
        <w:autoSpaceDN w:val="0"/>
        <w:adjustRightInd w:val="0"/>
        <w:rPr>
          <w:rFonts w:ascii="Times New Roman" w:hAnsi="Times New Roman"/>
          <w:i/>
          <w:iCs/>
        </w:rPr>
      </w:pPr>
      <w:r w:rsidRPr="000C67CB">
        <w:rPr>
          <w:rFonts w:ascii="Times New Roman" w:hAnsi="Times New Roman"/>
          <w:i/>
          <w:iCs/>
        </w:rPr>
        <w:t>a dospievajúcich od veku 12 rokov s idiopatickou generalizovanou epilepsiou.</w:t>
      </w:r>
    </w:p>
    <w:p w14:paraId="3E5F285F" w14:textId="77777777" w:rsidR="00553706" w:rsidRPr="000C67CB" w:rsidRDefault="00553706">
      <w:pPr>
        <w:autoSpaceDE w:val="0"/>
        <w:autoSpaceDN w:val="0"/>
        <w:adjustRightInd w:val="0"/>
        <w:rPr>
          <w:rFonts w:ascii="Times New Roman" w:hAnsi="Times New Roman"/>
        </w:rPr>
      </w:pPr>
    </w:p>
    <w:p w14:paraId="639CA77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Účinnosť levetiracetamu bola preukázaná v 24-týždňovej dvojito zaslepenej placebom kontrolovanej</w:t>
      </w:r>
    </w:p>
    <w:p w14:paraId="0BD2649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štúdii, do ktorej boli zaradení dospelí, dospievajúci a obmedzený počet detí, ktorí trpeli na idiopatickú</w:t>
      </w:r>
    </w:p>
    <w:p w14:paraId="2169CA3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generalizovanú epilepsiu s primárnymi generalizovanými tonicko-klonickými (PGTC) záchvatmi</w:t>
      </w:r>
    </w:p>
    <w:p w14:paraId="727EDC1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 rôznymi syndrómami (juvenilná myoklonická epilepsia, juvenilná absencia epilepsie, absencia</w:t>
      </w:r>
    </w:p>
    <w:p w14:paraId="07CE6F3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epilepsie v detstve alebo epilepsia s Grand Mal záchvatmi pri prebudení). V tejto štúdii bola dávka</w:t>
      </w:r>
    </w:p>
    <w:p w14:paraId="158C88F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levetiracetamu 3 000 mg/deň pre dospelých a dospievajúcich alebo 60 mg/kg/deň pre deti podávaná v 2 rozdelených dávkach.</w:t>
      </w:r>
    </w:p>
    <w:p w14:paraId="4B7011C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72,2 % pacientov liečených levetiracetamom a 45,2 % pacientov s placebom malo 50 % alebo</w:t>
      </w:r>
    </w:p>
    <w:p w14:paraId="2565C34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významnejšie zníženie frekvencie PGTC záchvatov na týždeň. Pri dlhodobom pokračovaní v liečbe</w:t>
      </w:r>
    </w:p>
    <w:p w14:paraId="4C021E9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47,4 % pacientov nemalo tonicko-klonické záchvaty minimálne 6 mesiacov a 31,5 % nemalo tonickoklonické záchvaty minimálne 1 rok.</w:t>
      </w:r>
    </w:p>
    <w:p w14:paraId="085B5FFE" w14:textId="77777777" w:rsidR="00553706" w:rsidRPr="000C67CB" w:rsidRDefault="00553706">
      <w:pPr>
        <w:autoSpaceDE w:val="0"/>
        <w:autoSpaceDN w:val="0"/>
        <w:adjustRightInd w:val="0"/>
        <w:rPr>
          <w:rFonts w:ascii="Times New Roman" w:hAnsi="Times New Roman"/>
          <w:b/>
          <w:bCs/>
        </w:rPr>
      </w:pPr>
    </w:p>
    <w:p w14:paraId="347E5968"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5.2 </w:t>
      </w:r>
      <w:r w:rsidRPr="000C67CB">
        <w:rPr>
          <w:rFonts w:ascii="Times New Roman" w:hAnsi="Times New Roman"/>
          <w:b/>
          <w:bCs/>
        </w:rPr>
        <w:tab/>
        <w:t>Farmakokinetické vlastnosti</w:t>
      </w:r>
    </w:p>
    <w:p w14:paraId="6E38C538" w14:textId="77777777" w:rsidR="00553706" w:rsidRPr="000C67CB" w:rsidRDefault="00553706">
      <w:pPr>
        <w:autoSpaceDE w:val="0"/>
        <w:autoSpaceDN w:val="0"/>
        <w:adjustRightInd w:val="0"/>
        <w:rPr>
          <w:rFonts w:ascii="Times New Roman" w:hAnsi="Times New Roman"/>
        </w:rPr>
      </w:pPr>
    </w:p>
    <w:p w14:paraId="12F2D86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je vysoko rozpustná látka s vysokou schopnosťou prieniku. Farmakokinetický profil je</w:t>
      </w:r>
    </w:p>
    <w:p w14:paraId="09649FF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lineárny pri nízkej intra- i interindividuálnej variabilite. Pri opakovanom podávaní sa nemení klírens.</w:t>
      </w:r>
    </w:p>
    <w:p w14:paraId="745A8C1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Nie sú žiadne dôkazy o akejkoľvek príslušnej variabilite medzi pohlaviami, rasami alebo cirkadiálnej</w:t>
      </w:r>
    </w:p>
    <w:p w14:paraId="50BC5C3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variabilite. Farmakokinetický profil zdravých dobrovoľníkov a pacientov s epilepsiou je porovnateľný.</w:t>
      </w:r>
    </w:p>
    <w:p w14:paraId="652B77EF" w14:textId="77777777" w:rsidR="00553706" w:rsidRPr="000C67CB" w:rsidRDefault="00553706">
      <w:pPr>
        <w:autoSpaceDE w:val="0"/>
        <w:autoSpaceDN w:val="0"/>
        <w:adjustRightInd w:val="0"/>
        <w:rPr>
          <w:rFonts w:ascii="Times New Roman" w:hAnsi="Times New Roman"/>
        </w:rPr>
      </w:pPr>
    </w:p>
    <w:p w14:paraId="4FA4FB9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Vzhľadom na úplné a lineárne vstrebávanie možno predvídať plazmatické hladiny z perorálnej dávky</w:t>
      </w:r>
    </w:p>
    <w:p w14:paraId="0755B68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levetiracetamu, vyjadrenej v mg/kg telesnej hmotnosti. Plazmatické hladiny levetiracetamu teda nie je</w:t>
      </w:r>
    </w:p>
    <w:p w14:paraId="7E48935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potrebné monitorovať.</w:t>
      </w:r>
    </w:p>
    <w:p w14:paraId="41485355" w14:textId="77777777" w:rsidR="00553706" w:rsidRPr="000C67CB" w:rsidRDefault="00553706">
      <w:pPr>
        <w:autoSpaceDE w:val="0"/>
        <w:autoSpaceDN w:val="0"/>
        <w:adjustRightInd w:val="0"/>
        <w:rPr>
          <w:rFonts w:ascii="Times New Roman" w:hAnsi="Times New Roman"/>
        </w:rPr>
      </w:pPr>
    </w:p>
    <w:p w14:paraId="0EB1B3A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Bola preukázaná významná korelácia medzi koncentráciami v slinách a v plazme u dospelých a detí</w:t>
      </w:r>
    </w:p>
    <w:p w14:paraId="5246DED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(pomer koncentrácií v slinách/v plazme sa pohybuje v rozmedzí od 1 do 1,7 pre perorálnu tabletu</w:t>
      </w:r>
    </w:p>
    <w:p w14:paraId="03DFECF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 4 hodiny po dávke pre perorálny roztok).</w:t>
      </w:r>
    </w:p>
    <w:p w14:paraId="4093B506" w14:textId="77777777" w:rsidR="00553706" w:rsidRPr="000C67CB" w:rsidRDefault="00553706">
      <w:pPr>
        <w:autoSpaceDE w:val="0"/>
        <w:autoSpaceDN w:val="0"/>
        <w:adjustRightInd w:val="0"/>
        <w:rPr>
          <w:rFonts w:ascii="Times New Roman" w:hAnsi="Times New Roman"/>
        </w:rPr>
      </w:pPr>
    </w:p>
    <w:p w14:paraId="7D947E78"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Dospelí a dospievajúci</w:t>
      </w:r>
    </w:p>
    <w:p w14:paraId="44C4B2E3" w14:textId="77777777" w:rsidR="00553706" w:rsidRPr="000C67CB" w:rsidRDefault="00553706">
      <w:pPr>
        <w:autoSpaceDE w:val="0"/>
        <w:autoSpaceDN w:val="0"/>
        <w:adjustRightInd w:val="0"/>
        <w:rPr>
          <w:rFonts w:ascii="Times New Roman" w:hAnsi="Times New Roman"/>
          <w:u w:val="single"/>
        </w:rPr>
      </w:pPr>
    </w:p>
    <w:p w14:paraId="490F7A84"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Absorpcia</w:t>
      </w:r>
    </w:p>
    <w:p w14:paraId="71DC01CD" w14:textId="77777777" w:rsidR="00553706" w:rsidRPr="000C67CB" w:rsidRDefault="00553706">
      <w:pPr>
        <w:autoSpaceDE w:val="0"/>
        <w:autoSpaceDN w:val="0"/>
        <w:adjustRightInd w:val="0"/>
        <w:rPr>
          <w:rFonts w:ascii="Times New Roman" w:hAnsi="Times New Roman"/>
        </w:rPr>
      </w:pPr>
    </w:p>
    <w:p w14:paraId="203E0C3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sa po perorálnom podaní rýchlo absorbuje. Absolútna biologická dostupnosť po</w:t>
      </w:r>
    </w:p>
    <w:p w14:paraId="07682FE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perorálnom užití sa blíži ku 100 %.</w:t>
      </w:r>
    </w:p>
    <w:p w14:paraId="43020C5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Maximálne plazmatické koncentrácie (C</w:t>
      </w:r>
      <w:r w:rsidRPr="000C67CB">
        <w:rPr>
          <w:rFonts w:ascii="Times New Roman" w:hAnsi="Times New Roman"/>
          <w:vertAlign w:val="subscript"/>
        </w:rPr>
        <w:t>max</w:t>
      </w:r>
      <w:r w:rsidRPr="000C67CB">
        <w:rPr>
          <w:rFonts w:ascii="Times New Roman" w:hAnsi="Times New Roman"/>
        </w:rPr>
        <w:t>) sa dosiahnu 1,3 hodiny po podaní dávky. Rovnovážny</w:t>
      </w:r>
    </w:p>
    <w:p w14:paraId="40A0C05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stav sa dosiahne po dvoch dňoch pri dávkovacom režime dvakrát denne.</w:t>
      </w:r>
    </w:p>
    <w:p w14:paraId="71FEEBA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Maximálne koncentrácie (C</w:t>
      </w:r>
      <w:r w:rsidRPr="000C67CB">
        <w:rPr>
          <w:rFonts w:ascii="Times New Roman" w:hAnsi="Times New Roman"/>
          <w:vertAlign w:val="subscript"/>
        </w:rPr>
        <w:t>max</w:t>
      </w:r>
      <w:r w:rsidRPr="000C67CB">
        <w:rPr>
          <w:rFonts w:ascii="Times New Roman" w:hAnsi="Times New Roman"/>
        </w:rPr>
        <w:t>) sú zvyčajne 31 μg/ml po jednorazovej dávke 1000 mg a 43 μg/ml po</w:t>
      </w:r>
    </w:p>
    <w:p w14:paraId="5BA2FB5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opakovanej dávke 1 000 mg dvakrát denne.</w:t>
      </w:r>
    </w:p>
    <w:p w14:paraId="169065AA" w14:textId="77777777" w:rsidR="00553706" w:rsidRPr="000C67CB" w:rsidRDefault="00553706">
      <w:pPr>
        <w:autoSpaceDE w:val="0"/>
        <w:autoSpaceDN w:val="0"/>
        <w:adjustRightInd w:val="0"/>
        <w:rPr>
          <w:rFonts w:ascii="Times New Roman" w:hAnsi="Times New Roman"/>
        </w:rPr>
      </w:pPr>
    </w:p>
    <w:p w14:paraId="3C98DB5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Rozsah vstrebávania nezávisí od dávky a nie je ovplyvnený podaním jedla.</w:t>
      </w:r>
    </w:p>
    <w:p w14:paraId="4F225A83" w14:textId="77777777" w:rsidR="00553706" w:rsidRPr="000C67CB" w:rsidRDefault="00553706">
      <w:pPr>
        <w:autoSpaceDE w:val="0"/>
        <w:autoSpaceDN w:val="0"/>
        <w:adjustRightInd w:val="0"/>
        <w:rPr>
          <w:rFonts w:ascii="Times New Roman" w:hAnsi="Times New Roman"/>
        </w:rPr>
      </w:pPr>
    </w:p>
    <w:p w14:paraId="73F7343F"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Distribúcia</w:t>
      </w:r>
    </w:p>
    <w:p w14:paraId="6D9C3ADD" w14:textId="77777777" w:rsidR="00553706" w:rsidRPr="000C67CB" w:rsidRDefault="00553706">
      <w:pPr>
        <w:autoSpaceDE w:val="0"/>
        <w:autoSpaceDN w:val="0"/>
        <w:adjustRightInd w:val="0"/>
        <w:rPr>
          <w:rFonts w:ascii="Times New Roman" w:hAnsi="Times New Roman"/>
        </w:rPr>
      </w:pPr>
    </w:p>
    <w:p w14:paraId="1D8B125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Nie sú dostupné žiadne údaje o distribúcii v tkanivách ľudí.</w:t>
      </w:r>
    </w:p>
    <w:p w14:paraId="7B4C712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a ani jeho primárny metabolit sa vo významnej miere neviažu na bielkoviny v plazme</w:t>
      </w:r>
    </w:p>
    <w:p w14:paraId="3E9D7FD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(&lt; 10 %). Distribučný objem levetiracetamu je približne 0,5 až 0,7 l/kg, čo je hodnota blízka celkovému objemu vody v organizme.</w:t>
      </w:r>
    </w:p>
    <w:p w14:paraId="3B3E4E6C" w14:textId="77777777" w:rsidR="00553706" w:rsidRPr="000C67CB" w:rsidRDefault="00553706">
      <w:pPr>
        <w:autoSpaceDE w:val="0"/>
        <w:autoSpaceDN w:val="0"/>
        <w:adjustRightInd w:val="0"/>
        <w:rPr>
          <w:rFonts w:ascii="Times New Roman" w:hAnsi="Times New Roman"/>
        </w:rPr>
      </w:pPr>
    </w:p>
    <w:p w14:paraId="60534D9D"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Biotransformácia</w:t>
      </w:r>
    </w:p>
    <w:p w14:paraId="76D56BB4" w14:textId="77777777" w:rsidR="00553706" w:rsidRPr="000C67CB" w:rsidRDefault="00553706">
      <w:pPr>
        <w:autoSpaceDE w:val="0"/>
        <w:autoSpaceDN w:val="0"/>
        <w:adjustRightInd w:val="0"/>
        <w:rPr>
          <w:rFonts w:ascii="Times New Roman" w:hAnsi="Times New Roman"/>
        </w:rPr>
      </w:pPr>
    </w:p>
    <w:p w14:paraId="7491D94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sa u ľudí extenzívne nemetabolizuje. Hlavnou metabolickou cestou (24 % dávky) je</w:t>
      </w:r>
    </w:p>
    <w:p w14:paraId="1A48EFB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enzýmová hydrolýza acetamidovej skupiny. Izoenzýmy pečeňového cytochrómu P450 nepodporujú</w:t>
      </w:r>
    </w:p>
    <w:p w14:paraId="7B218D4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vznik primárneho metabolitu ucb L057. Hydrolýza acetamidovej skupiny sa merala vo veľkom počte</w:t>
      </w:r>
    </w:p>
    <w:p w14:paraId="5136E84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tkanív vrátane krviniek. Metabolit ucb L057 je farmakologicky neúčinný.</w:t>
      </w:r>
    </w:p>
    <w:p w14:paraId="42794727" w14:textId="77777777" w:rsidR="00553706" w:rsidRPr="000C67CB" w:rsidRDefault="00553706">
      <w:pPr>
        <w:autoSpaceDE w:val="0"/>
        <w:autoSpaceDN w:val="0"/>
        <w:adjustRightInd w:val="0"/>
        <w:rPr>
          <w:rFonts w:ascii="Times New Roman" w:hAnsi="Times New Roman"/>
        </w:rPr>
      </w:pPr>
    </w:p>
    <w:p w14:paraId="41AB83D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Stanovili sa tiež dva menej významné metabolity. Jeden sa získal hydroxyláciou pyrolidónového</w:t>
      </w:r>
    </w:p>
    <w:p w14:paraId="6BED1BA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kruhu (1,6 % dávky) a druhý otvorením pyrolidónového kruhu (0,9 % dávky). Ďalšie neidentifikované</w:t>
      </w:r>
    </w:p>
    <w:p w14:paraId="0249D18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zložky predstavovali iba 0,6 % dávky.</w:t>
      </w:r>
    </w:p>
    <w:p w14:paraId="64F6BF17" w14:textId="77777777" w:rsidR="00553706" w:rsidRPr="000C67CB" w:rsidRDefault="00553706">
      <w:pPr>
        <w:autoSpaceDE w:val="0"/>
        <w:autoSpaceDN w:val="0"/>
        <w:adjustRightInd w:val="0"/>
        <w:rPr>
          <w:rFonts w:ascii="Times New Roman" w:hAnsi="Times New Roman"/>
          <w:i/>
          <w:iCs/>
        </w:rPr>
      </w:pPr>
    </w:p>
    <w:p w14:paraId="690DB9E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i/>
          <w:iCs/>
        </w:rPr>
        <w:t xml:space="preserve">In vivo </w:t>
      </w:r>
      <w:r w:rsidRPr="000C67CB">
        <w:rPr>
          <w:rFonts w:ascii="Times New Roman" w:hAnsi="Times New Roman"/>
        </w:rPr>
        <w:t>sa nezistila žiadna enantiomerová interkonverzia pri levetiracetame ani pri jeho primárnom</w:t>
      </w:r>
    </w:p>
    <w:p w14:paraId="4EA2075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metabolite.</w:t>
      </w:r>
    </w:p>
    <w:p w14:paraId="3900A3CB" w14:textId="77777777" w:rsidR="00553706" w:rsidRPr="000C67CB" w:rsidRDefault="00553706">
      <w:pPr>
        <w:autoSpaceDE w:val="0"/>
        <w:autoSpaceDN w:val="0"/>
        <w:adjustRightInd w:val="0"/>
        <w:rPr>
          <w:rFonts w:ascii="Times New Roman" w:hAnsi="Times New Roman"/>
          <w:i/>
          <w:iCs/>
        </w:rPr>
      </w:pPr>
    </w:p>
    <w:p w14:paraId="6898810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i/>
          <w:iCs/>
        </w:rPr>
        <w:t xml:space="preserve">In vitro </w:t>
      </w:r>
      <w:r w:rsidRPr="000C67CB">
        <w:rPr>
          <w:rFonts w:ascii="Times New Roman" w:hAnsi="Times New Roman"/>
        </w:rPr>
        <w:t>sa zistilo, že levetiracetam a jeho primárny metabolit neinhibujú hlavné izoformy ľudského</w:t>
      </w:r>
    </w:p>
    <w:p w14:paraId="3D99F08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pečeňového cytochrómu P450 (CYP3A4, 2A6, 2C9, 2C19, 2D6, 2E1 a 1A2), aktivitu glukuronylových transferáz (UGT1A1 a UGT1A6) a epoxidovej hydroxylázy. Okrem toho levetiracetam neovplyvňuje </w:t>
      </w:r>
      <w:r w:rsidRPr="000C67CB">
        <w:rPr>
          <w:rFonts w:ascii="Times New Roman" w:hAnsi="Times New Roman"/>
          <w:i/>
          <w:iCs/>
        </w:rPr>
        <w:t xml:space="preserve">in vitro </w:t>
      </w:r>
      <w:r w:rsidRPr="000C67CB">
        <w:rPr>
          <w:rFonts w:ascii="Times New Roman" w:hAnsi="Times New Roman"/>
        </w:rPr>
        <w:t>glukuronidáciu kyseliny valproovej.</w:t>
      </w:r>
    </w:p>
    <w:p w14:paraId="55AD843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kultúrach ľudských hepatocytov mal levetiracetam minimálny alebo žiadny účinok na CYP1A2,</w:t>
      </w:r>
    </w:p>
    <w:p w14:paraId="7CB5567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SULT1E1 alebo UGT1A1. Levetiracetam spôsoboval miernu indukciu CYP2B6 a CYP3A4. In vitro</w:t>
      </w:r>
    </w:p>
    <w:p w14:paraId="53C401E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 in vivo údaje o interakcii s perorálnymi kontraceptívami, digoxínom a warfarínom ukazujú, že in</w:t>
      </w:r>
    </w:p>
    <w:p w14:paraId="218ADF8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vivo sa neočakáva žiadna významná indukcia enzýmov. Preto je interakcia levetiracetamu s inými liečivami alebo </w:t>
      </w:r>
      <w:r w:rsidRPr="000C67CB">
        <w:rPr>
          <w:rFonts w:ascii="Times New Roman" w:hAnsi="Times New Roman"/>
          <w:i/>
          <w:iCs/>
        </w:rPr>
        <w:t xml:space="preserve">naopak </w:t>
      </w:r>
      <w:r w:rsidRPr="000C67CB">
        <w:rPr>
          <w:rFonts w:ascii="Times New Roman" w:hAnsi="Times New Roman"/>
        </w:rPr>
        <w:t>nepravdepodobná.</w:t>
      </w:r>
    </w:p>
    <w:p w14:paraId="67AD1BBF" w14:textId="77777777" w:rsidR="00553706" w:rsidRPr="000C67CB" w:rsidRDefault="00553706">
      <w:pPr>
        <w:autoSpaceDE w:val="0"/>
        <w:autoSpaceDN w:val="0"/>
        <w:adjustRightInd w:val="0"/>
        <w:rPr>
          <w:rFonts w:ascii="Times New Roman" w:hAnsi="Times New Roman"/>
        </w:rPr>
      </w:pPr>
    </w:p>
    <w:p w14:paraId="770E5DF4" w14:textId="77777777" w:rsidR="00B231CC" w:rsidRPr="000C67CB" w:rsidRDefault="009C75F7">
      <w:pPr>
        <w:autoSpaceDE w:val="0"/>
        <w:autoSpaceDN w:val="0"/>
        <w:adjustRightInd w:val="0"/>
        <w:rPr>
          <w:rFonts w:ascii="Times New Roman" w:hAnsi="Times New Roman"/>
          <w:u w:val="single"/>
        </w:rPr>
      </w:pPr>
      <w:r w:rsidRPr="000C67CB">
        <w:rPr>
          <w:rFonts w:ascii="Times New Roman" w:hAnsi="Times New Roman"/>
          <w:u w:val="single"/>
        </w:rPr>
        <w:t xml:space="preserve">Eliminácia </w:t>
      </w:r>
    </w:p>
    <w:p w14:paraId="689FD8FA" w14:textId="77777777" w:rsidR="0003394A" w:rsidRDefault="0003394A">
      <w:pPr>
        <w:autoSpaceDE w:val="0"/>
        <w:autoSpaceDN w:val="0"/>
        <w:adjustRightInd w:val="0"/>
        <w:rPr>
          <w:rFonts w:ascii="Times New Roman" w:hAnsi="Times New Roman"/>
        </w:rPr>
      </w:pPr>
    </w:p>
    <w:p w14:paraId="7D37453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Plazmatický polčas u dospelých bol 7±1 hodina a nelíšil sa ani podľa dávky, spôsobov podania ani pri</w:t>
      </w:r>
    </w:p>
    <w:p w14:paraId="4C6808B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opakovanom podávaní. Priemerný celkový systémový klírens bol 0,96 ml/min/kg.</w:t>
      </w:r>
    </w:p>
    <w:p w14:paraId="4E22CF9C" w14:textId="77777777" w:rsidR="00553706" w:rsidRPr="000C67CB" w:rsidRDefault="00553706">
      <w:pPr>
        <w:autoSpaceDE w:val="0"/>
        <w:autoSpaceDN w:val="0"/>
        <w:adjustRightInd w:val="0"/>
        <w:rPr>
          <w:rFonts w:ascii="Times New Roman" w:hAnsi="Times New Roman"/>
        </w:rPr>
      </w:pPr>
    </w:p>
    <w:p w14:paraId="288374E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Hlavnou cestou vylučovania bol moč, ktorým sa vylučovalo priemerne 95 % dávky (približne 93 %</w:t>
      </w:r>
    </w:p>
    <w:p w14:paraId="56299F7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dávky sa vylúčilo do 48 hodín). Stolicou sa </w:t>
      </w:r>
      <w:r w:rsidRPr="000C67CB">
        <w:rPr>
          <w:rFonts w:ascii="Times New Roman" w:hAnsi="Times New Roman"/>
          <w:i/>
          <w:iCs/>
        </w:rPr>
        <w:t>vylú</w:t>
      </w:r>
      <w:r w:rsidRPr="000C67CB">
        <w:rPr>
          <w:rFonts w:ascii="Times New Roman" w:eastAsia="TimesNewRomanPS-ItalicMT" w:hAnsi="Times New Roman"/>
          <w:i/>
          <w:iCs/>
        </w:rPr>
        <w:t>č</w:t>
      </w:r>
      <w:r w:rsidRPr="000C67CB">
        <w:rPr>
          <w:rFonts w:ascii="Times New Roman" w:hAnsi="Times New Roman"/>
          <w:i/>
          <w:iCs/>
        </w:rPr>
        <w:t xml:space="preserve">ilo </w:t>
      </w:r>
      <w:r w:rsidRPr="000C67CB">
        <w:rPr>
          <w:rFonts w:ascii="Times New Roman" w:hAnsi="Times New Roman"/>
        </w:rPr>
        <w:t>len 0,3 % dávky.</w:t>
      </w:r>
    </w:p>
    <w:p w14:paraId="15D732E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Kumulatívne vylučovanie levetiracetamu močom počas prvých 48 hodín dosiahlo 66 % dávky; v</w:t>
      </w:r>
    </w:p>
    <w:p w14:paraId="7BC8BB3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prípade jeho primárneho metabolitu 24 % dávky.</w:t>
      </w:r>
    </w:p>
    <w:p w14:paraId="5EC3B52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Renálny klírens levetiracetamu je 0,6 ml/min/kg a pre ucb L057 je 4,2 ml/min/kg, čo ukazuje, že</w:t>
      </w:r>
    </w:p>
    <w:p w14:paraId="150A6B2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 sa vylučuje glomerulárnou filtráciou s následnou tubulárnou reabsorpciou a že primárny</w:t>
      </w:r>
    </w:p>
    <w:p w14:paraId="4BBE391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metabolit sa okrem glomerulárnej filtrácie vylučuje aj aktívnou tubulárnou sekréciou.</w:t>
      </w:r>
    </w:p>
    <w:p w14:paraId="5BA0495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Vylučovanie levetiracetamu koreluje s klírensom kreatinínu.</w:t>
      </w:r>
    </w:p>
    <w:p w14:paraId="2F29AA34" w14:textId="77777777" w:rsidR="00553706" w:rsidRPr="000C67CB" w:rsidRDefault="00553706">
      <w:pPr>
        <w:autoSpaceDE w:val="0"/>
        <w:autoSpaceDN w:val="0"/>
        <w:adjustRightInd w:val="0"/>
        <w:rPr>
          <w:rFonts w:ascii="Times New Roman" w:hAnsi="Times New Roman"/>
        </w:rPr>
      </w:pPr>
    </w:p>
    <w:p w14:paraId="6C735771"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 xml:space="preserve">Starší </w:t>
      </w:r>
      <w:r w:rsidR="007178B3" w:rsidRPr="000C67CB">
        <w:rPr>
          <w:rFonts w:ascii="Times New Roman" w:hAnsi="Times New Roman"/>
          <w:u w:val="single"/>
        </w:rPr>
        <w:t>ľudia</w:t>
      </w:r>
    </w:p>
    <w:p w14:paraId="5753E847" w14:textId="77777777" w:rsidR="0003394A" w:rsidRDefault="0003394A">
      <w:pPr>
        <w:autoSpaceDE w:val="0"/>
        <w:autoSpaceDN w:val="0"/>
        <w:adjustRightInd w:val="0"/>
        <w:rPr>
          <w:rFonts w:ascii="Times New Roman" w:hAnsi="Times New Roman"/>
        </w:rPr>
      </w:pPr>
    </w:p>
    <w:p w14:paraId="1FEE7FF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U starších </w:t>
      </w:r>
      <w:r w:rsidR="007178B3" w:rsidRPr="000C67CB">
        <w:rPr>
          <w:rFonts w:ascii="Times New Roman" w:hAnsi="Times New Roman"/>
        </w:rPr>
        <w:t xml:space="preserve">ľudí </w:t>
      </w:r>
      <w:r w:rsidRPr="000C67CB">
        <w:rPr>
          <w:rFonts w:ascii="Times New Roman" w:hAnsi="Times New Roman"/>
        </w:rPr>
        <w:t>je polčas predĺžený približne o 40 % (10 až 11 hodín). Súvisí to so znížením</w:t>
      </w:r>
    </w:p>
    <w:p w14:paraId="1BB0E32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funkcie obličiek u tejto populácie (pozri časť 4.2).</w:t>
      </w:r>
    </w:p>
    <w:p w14:paraId="6C072BA1" w14:textId="77777777" w:rsidR="00553706" w:rsidRPr="000C67CB" w:rsidRDefault="00553706">
      <w:pPr>
        <w:autoSpaceDE w:val="0"/>
        <w:autoSpaceDN w:val="0"/>
        <w:adjustRightInd w:val="0"/>
        <w:rPr>
          <w:rFonts w:ascii="Times New Roman" w:hAnsi="Times New Roman"/>
        </w:rPr>
      </w:pPr>
    </w:p>
    <w:p w14:paraId="6A219EDF" w14:textId="77777777" w:rsidR="00553706" w:rsidRPr="000C67CB" w:rsidRDefault="00553706" w:rsidP="00476851">
      <w:pPr>
        <w:keepNext/>
        <w:autoSpaceDE w:val="0"/>
        <w:autoSpaceDN w:val="0"/>
        <w:adjustRightInd w:val="0"/>
        <w:rPr>
          <w:rFonts w:ascii="Times New Roman" w:hAnsi="Times New Roman"/>
          <w:u w:val="single"/>
        </w:rPr>
      </w:pPr>
      <w:r w:rsidRPr="000C67CB">
        <w:rPr>
          <w:rFonts w:ascii="Times New Roman" w:hAnsi="Times New Roman"/>
          <w:u w:val="single"/>
        </w:rPr>
        <w:t>Porucha funkcie obličiek</w:t>
      </w:r>
    </w:p>
    <w:p w14:paraId="26D8B3B2" w14:textId="77777777" w:rsidR="00553706" w:rsidRPr="000C67CB" w:rsidRDefault="00553706" w:rsidP="00476851">
      <w:pPr>
        <w:keepNext/>
        <w:autoSpaceDE w:val="0"/>
        <w:autoSpaceDN w:val="0"/>
        <w:adjustRightInd w:val="0"/>
        <w:rPr>
          <w:rFonts w:ascii="Times New Roman" w:hAnsi="Times New Roman"/>
          <w:u w:val="single"/>
        </w:rPr>
      </w:pPr>
    </w:p>
    <w:p w14:paraId="62726F9B" w14:textId="77777777" w:rsidR="00553706" w:rsidRPr="000C67CB" w:rsidRDefault="00553706" w:rsidP="00476851">
      <w:pPr>
        <w:keepNext/>
        <w:autoSpaceDE w:val="0"/>
        <w:autoSpaceDN w:val="0"/>
        <w:adjustRightInd w:val="0"/>
        <w:rPr>
          <w:rFonts w:ascii="Times New Roman" w:hAnsi="Times New Roman"/>
        </w:rPr>
      </w:pPr>
      <w:r w:rsidRPr="000C67CB">
        <w:rPr>
          <w:rFonts w:ascii="Times New Roman" w:hAnsi="Times New Roman"/>
        </w:rPr>
        <w:t>Zdanlivý systémový klírens levetiracetamu a jeho primárneho metabolitu koreluje s klírensom</w:t>
      </w:r>
    </w:p>
    <w:p w14:paraId="5B30732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kreatinínu. Preto sa odporúča upraviť udržiavaciu dennú dávku levetiracetamu podľa klírensu kreatinínu u pacientov so stredne závažnou a závažnou poruchou funkcie obličiek (pozri časť 4.2).</w:t>
      </w:r>
    </w:p>
    <w:p w14:paraId="6CBDD9C8" w14:textId="77777777" w:rsidR="00553706" w:rsidRPr="000C67CB" w:rsidRDefault="00553706">
      <w:pPr>
        <w:autoSpaceDE w:val="0"/>
        <w:autoSpaceDN w:val="0"/>
        <w:adjustRightInd w:val="0"/>
        <w:rPr>
          <w:rFonts w:ascii="Times New Roman" w:hAnsi="Times New Roman"/>
        </w:rPr>
      </w:pPr>
    </w:p>
    <w:p w14:paraId="4A58C63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anurických dospelých jedincov s terminálnym štádiom zlyhania obličiek bol polčas medzi dialýzami</w:t>
      </w:r>
    </w:p>
    <w:p w14:paraId="4AB90FD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približne 25 hodín a počas dialýzy približne 3,1 hodiny.</w:t>
      </w:r>
    </w:p>
    <w:p w14:paraId="38A249A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Frakčné vylučovanie levetiracetamu počas typickej 4-hodinovej dialýzy tvorilo 51 %.</w:t>
      </w:r>
    </w:p>
    <w:p w14:paraId="44EF961B" w14:textId="77777777" w:rsidR="00553706" w:rsidRPr="000C67CB" w:rsidRDefault="00553706">
      <w:pPr>
        <w:autoSpaceDE w:val="0"/>
        <w:autoSpaceDN w:val="0"/>
        <w:adjustRightInd w:val="0"/>
        <w:rPr>
          <w:rFonts w:ascii="Times New Roman" w:hAnsi="Times New Roman"/>
        </w:rPr>
      </w:pPr>
    </w:p>
    <w:p w14:paraId="365E63E0" w14:textId="77777777" w:rsidR="00553706" w:rsidRPr="000C67CB" w:rsidRDefault="00553706">
      <w:pPr>
        <w:autoSpaceDE w:val="0"/>
        <w:autoSpaceDN w:val="0"/>
        <w:adjustRightInd w:val="0"/>
        <w:rPr>
          <w:rFonts w:ascii="Times New Roman" w:hAnsi="Times New Roman"/>
          <w:u w:val="single"/>
        </w:rPr>
      </w:pPr>
      <w:r w:rsidRPr="000C67CB">
        <w:rPr>
          <w:rFonts w:ascii="Times New Roman" w:hAnsi="Times New Roman"/>
          <w:u w:val="single"/>
        </w:rPr>
        <w:t>Porucha funkcie pečene</w:t>
      </w:r>
    </w:p>
    <w:p w14:paraId="4902D67E" w14:textId="77777777" w:rsidR="0003394A" w:rsidRDefault="0003394A">
      <w:pPr>
        <w:autoSpaceDE w:val="0"/>
        <w:autoSpaceDN w:val="0"/>
        <w:adjustRightInd w:val="0"/>
        <w:rPr>
          <w:rFonts w:ascii="Times New Roman" w:hAnsi="Times New Roman"/>
        </w:rPr>
      </w:pPr>
    </w:p>
    <w:p w14:paraId="5E2A489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osôb s miernou a stredne závažnou poruchou funkcie pečene nedochádzalo k žiadnej významnej</w:t>
      </w:r>
    </w:p>
    <w:p w14:paraId="172F95E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zmene klírensu levetiracetamu. U väčšiny osôb so závažnou poruchou funkcie pečene bol klírens</w:t>
      </w:r>
    </w:p>
    <w:p w14:paraId="1795CE7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levetiracetamu znížený o vyše 50 % v dôsledku sprievodnej poruchy funkcie obličiek (pozri časť 4.2).</w:t>
      </w:r>
    </w:p>
    <w:p w14:paraId="691DF953" w14:textId="77777777" w:rsidR="00553706" w:rsidRPr="000C67CB" w:rsidRDefault="00553706">
      <w:pPr>
        <w:autoSpaceDE w:val="0"/>
        <w:autoSpaceDN w:val="0"/>
        <w:adjustRightInd w:val="0"/>
        <w:rPr>
          <w:rFonts w:ascii="Times New Roman" w:hAnsi="Times New Roman"/>
        </w:rPr>
      </w:pPr>
    </w:p>
    <w:p w14:paraId="3DF2E667" w14:textId="77777777" w:rsidR="00553706" w:rsidRPr="000C67CB" w:rsidRDefault="009C75F7">
      <w:pPr>
        <w:autoSpaceDE w:val="0"/>
        <w:autoSpaceDN w:val="0"/>
        <w:adjustRightInd w:val="0"/>
        <w:rPr>
          <w:rFonts w:ascii="Times New Roman" w:hAnsi="Times New Roman"/>
          <w:u w:val="single"/>
        </w:rPr>
      </w:pPr>
      <w:r w:rsidRPr="000C67CB">
        <w:rPr>
          <w:rFonts w:ascii="Times New Roman" w:hAnsi="Times New Roman"/>
          <w:u w:val="single"/>
        </w:rPr>
        <w:t>Pediatrická populácia</w:t>
      </w:r>
    </w:p>
    <w:p w14:paraId="2A7DE3EC" w14:textId="77777777" w:rsidR="007178B3" w:rsidRPr="000C67CB" w:rsidRDefault="007178B3">
      <w:pPr>
        <w:autoSpaceDE w:val="0"/>
        <w:autoSpaceDN w:val="0"/>
        <w:adjustRightInd w:val="0"/>
        <w:rPr>
          <w:rFonts w:ascii="Times New Roman" w:hAnsi="Times New Roman"/>
          <w:i/>
        </w:rPr>
      </w:pPr>
    </w:p>
    <w:p w14:paraId="3A9D9ACB" w14:textId="77777777" w:rsidR="00553706" w:rsidRPr="000C67CB" w:rsidRDefault="00553706">
      <w:pPr>
        <w:autoSpaceDE w:val="0"/>
        <w:autoSpaceDN w:val="0"/>
        <w:adjustRightInd w:val="0"/>
        <w:rPr>
          <w:rFonts w:ascii="Times New Roman" w:hAnsi="Times New Roman"/>
          <w:i/>
        </w:rPr>
      </w:pPr>
      <w:r w:rsidRPr="000C67CB">
        <w:rPr>
          <w:rFonts w:ascii="Times New Roman" w:hAnsi="Times New Roman"/>
          <w:i/>
        </w:rPr>
        <w:t>Deti (4 až 12 rokov)</w:t>
      </w:r>
    </w:p>
    <w:p w14:paraId="4B483137" w14:textId="77777777" w:rsidR="00553706" w:rsidRPr="000C67CB" w:rsidRDefault="00553706">
      <w:pPr>
        <w:autoSpaceDE w:val="0"/>
        <w:autoSpaceDN w:val="0"/>
        <w:adjustRightInd w:val="0"/>
        <w:rPr>
          <w:rFonts w:ascii="Times New Roman" w:hAnsi="Times New Roman"/>
        </w:rPr>
      </w:pPr>
    </w:p>
    <w:p w14:paraId="2B94F22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 podaní jednorazovej perorálnej dávky (20 mg/kg) deťom s epilepsiou (6-12 rokov) bol polčas</w:t>
      </w:r>
    </w:p>
    <w:p w14:paraId="0C1AC6F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levetiracetamu 6 hodín. Zdanlivý systémový klírens bol približne o 30 % vyšší než u dospelých s</w:t>
      </w:r>
    </w:p>
    <w:p w14:paraId="7A4EE04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epilepsiou.</w:t>
      </w:r>
    </w:p>
    <w:p w14:paraId="3EFF87CB" w14:textId="77777777" w:rsidR="00553706" w:rsidRPr="000C67CB" w:rsidRDefault="00553706">
      <w:pPr>
        <w:autoSpaceDE w:val="0"/>
        <w:autoSpaceDN w:val="0"/>
        <w:adjustRightInd w:val="0"/>
        <w:rPr>
          <w:rFonts w:ascii="Times New Roman" w:hAnsi="Times New Roman"/>
        </w:rPr>
      </w:pPr>
    </w:p>
    <w:p w14:paraId="6C095BF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 podaní opakovaných perorálnych dávok (20 až 60 mg/kg/deň) deťom s epilepsiou (4 až 12 rokov)</w:t>
      </w:r>
    </w:p>
    <w:p w14:paraId="3E1A488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sa levetiracetam rýchlo absorboval. Maximálna plazmatická koncentrácia sa pozorovala 0,5 až</w:t>
      </w:r>
    </w:p>
    <w:p w14:paraId="115C702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 hodinu po podaní. Pozorovalo sa lineárne a dávkovo úmerné zvýšenie maximálnych plazmatických</w:t>
      </w:r>
    </w:p>
    <w:p w14:paraId="22485D1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koncentrácií a plochy pod krivkou. Eliminačný polčas bol približne 5 hodín. Zdanlivý telesný klírens</w:t>
      </w:r>
    </w:p>
    <w:p w14:paraId="4D282707"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bol 1,1 ml/min/kg.</w:t>
      </w:r>
    </w:p>
    <w:p w14:paraId="186E120F" w14:textId="77777777" w:rsidR="00553706" w:rsidRPr="000C67CB" w:rsidRDefault="00553706">
      <w:pPr>
        <w:autoSpaceDE w:val="0"/>
        <w:autoSpaceDN w:val="0"/>
        <w:adjustRightInd w:val="0"/>
        <w:rPr>
          <w:rFonts w:ascii="Times New Roman" w:hAnsi="Times New Roman"/>
        </w:rPr>
      </w:pPr>
    </w:p>
    <w:p w14:paraId="51B78D1C" w14:textId="77777777" w:rsidR="00553706" w:rsidRPr="000C67CB" w:rsidRDefault="00553706">
      <w:pPr>
        <w:autoSpaceDE w:val="0"/>
        <w:autoSpaceDN w:val="0"/>
        <w:adjustRightInd w:val="0"/>
        <w:rPr>
          <w:rFonts w:ascii="Times New Roman" w:hAnsi="Times New Roman"/>
          <w:i/>
        </w:rPr>
      </w:pPr>
      <w:r w:rsidRPr="000C67CB">
        <w:rPr>
          <w:rFonts w:ascii="Times New Roman" w:hAnsi="Times New Roman"/>
          <w:i/>
        </w:rPr>
        <w:t>Dojčatá a deti (1 mesiac až 4 roky)</w:t>
      </w:r>
    </w:p>
    <w:p w14:paraId="09AD45D7" w14:textId="77777777" w:rsidR="00553706" w:rsidRPr="000C67CB" w:rsidRDefault="00553706">
      <w:pPr>
        <w:autoSpaceDE w:val="0"/>
        <w:autoSpaceDN w:val="0"/>
        <w:adjustRightInd w:val="0"/>
        <w:rPr>
          <w:rFonts w:ascii="Times New Roman" w:hAnsi="Times New Roman"/>
        </w:rPr>
      </w:pPr>
    </w:p>
    <w:p w14:paraId="24168007" w14:textId="1E6A00E8" w:rsidR="00553706" w:rsidRPr="000C67CB" w:rsidRDefault="00553706">
      <w:pPr>
        <w:autoSpaceDE w:val="0"/>
        <w:autoSpaceDN w:val="0"/>
        <w:adjustRightInd w:val="0"/>
        <w:rPr>
          <w:rFonts w:ascii="Times New Roman" w:hAnsi="Times New Roman"/>
        </w:rPr>
      </w:pPr>
      <w:r w:rsidRPr="000C67CB">
        <w:rPr>
          <w:rFonts w:ascii="Times New Roman" w:hAnsi="Times New Roman"/>
        </w:rPr>
        <w:t>Po jednorazovom podaní dávky (20 mg/kg) 100 mg/ml perorálneho roztoku deťom s epilepsiou (1</w:t>
      </w:r>
      <w:r w:rsidR="00145BF5">
        <w:rPr>
          <w:rFonts w:ascii="Times New Roman" w:hAnsi="Times New Roman"/>
        </w:rPr>
        <w:t> </w:t>
      </w:r>
      <w:r w:rsidR="00262B8B">
        <w:rPr>
          <w:rFonts w:ascii="Times New Roman" w:hAnsi="Times New Roman"/>
        </w:rPr>
        <w:t xml:space="preserve"> </w:t>
      </w:r>
      <w:r w:rsidRPr="000C67CB">
        <w:rPr>
          <w:rFonts w:ascii="Times New Roman" w:hAnsi="Times New Roman"/>
        </w:rPr>
        <w:t>mesiac až 4 roky) sa levetiracetam rýchlo absorboval a maximálne plazmatické koncentrácie sa</w:t>
      </w:r>
    </w:p>
    <w:p w14:paraId="0E3A5EE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pozorovali približne 1 hodinu po podaní. Farmakokinetické výsledky ukazujú kratší eliminačný polčas</w:t>
      </w:r>
    </w:p>
    <w:p w14:paraId="70571C34"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(5,3 hodiny) ako u dospelých (7,2 hodiny) a rýchlejší zdanlivý telesný klírens (1,5 ml/min/kg) ako</w:t>
      </w:r>
    </w:p>
    <w:p w14:paraId="58E1ECC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u dospelých (0,96 ml/min/kg).</w:t>
      </w:r>
    </w:p>
    <w:p w14:paraId="6E44774F" w14:textId="77777777" w:rsidR="00553706" w:rsidRPr="000C67CB" w:rsidRDefault="00553706">
      <w:pPr>
        <w:autoSpaceDE w:val="0"/>
        <w:autoSpaceDN w:val="0"/>
        <w:adjustRightInd w:val="0"/>
        <w:rPr>
          <w:rFonts w:ascii="Times New Roman" w:hAnsi="Times New Roman"/>
        </w:rPr>
      </w:pPr>
    </w:p>
    <w:p w14:paraId="53A211A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populačnej farmakokinetickej analýze uskutočnenej u pacientov vo veku od 1 mesiaca do 16 rokov</w:t>
      </w:r>
    </w:p>
    <w:p w14:paraId="0B8CFCF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telesná hmotnosť významne korelovala so zdanlivým klírensom (klírens sa zvyšoval so zvýšením</w:t>
      </w:r>
    </w:p>
    <w:p w14:paraId="3AD1E89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telesnej hmotnosti) a so zdanlivým distribučným objemom. Na obidva parametre mal vplyv aj vek.</w:t>
      </w:r>
    </w:p>
    <w:p w14:paraId="21D41C8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Tento efekt bol zvýraznený u mladších dojčiat a ustupoval so zvyšujúcim sa vekom, pričom okolo</w:t>
      </w:r>
    </w:p>
    <w:p w14:paraId="6156572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4. roku veku sa stal zanedbateľným.</w:t>
      </w:r>
    </w:p>
    <w:p w14:paraId="485B6324" w14:textId="77777777" w:rsidR="00553706" w:rsidRPr="000C67CB" w:rsidRDefault="00553706">
      <w:pPr>
        <w:autoSpaceDE w:val="0"/>
        <w:autoSpaceDN w:val="0"/>
        <w:adjustRightInd w:val="0"/>
        <w:rPr>
          <w:rFonts w:ascii="Times New Roman" w:hAnsi="Times New Roman"/>
        </w:rPr>
      </w:pPr>
    </w:p>
    <w:p w14:paraId="74F7375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 oboch farmakokinetických analýzach populácie došlo k asi 20 % zvýšeniu zdanlivého klírensu</w:t>
      </w:r>
    </w:p>
    <w:p w14:paraId="4B12E79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levetiracetamu, keď bol levetiracetam podávaný spolu s antiepileptikami, ktoré indukujú enzýmy.</w:t>
      </w:r>
    </w:p>
    <w:p w14:paraId="2F4B3D62" w14:textId="77777777" w:rsidR="00553706" w:rsidRPr="000C67CB" w:rsidRDefault="00553706">
      <w:pPr>
        <w:autoSpaceDE w:val="0"/>
        <w:autoSpaceDN w:val="0"/>
        <w:adjustRightInd w:val="0"/>
        <w:rPr>
          <w:rFonts w:ascii="Times New Roman" w:hAnsi="Times New Roman"/>
        </w:rPr>
      </w:pPr>
    </w:p>
    <w:p w14:paraId="747EB4E9"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5.3 </w:t>
      </w:r>
      <w:r w:rsidRPr="000C67CB">
        <w:rPr>
          <w:rFonts w:ascii="Times New Roman" w:hAnsi="Times New Roman"/>
          <w:b/>
          <w:bCs/>
        </w:rPr>
        <w:tab/>
        <w:t>Predklinické údaje o bezpe</w:t>
      </w:r>
      <w:r w:rsidRPr="000C67CB">
        <w:rPr>
          <w:rFonts w:ascii="Times New Roman" w:eastAsia="TimesNewRomanPS-BoldMT" w:hAnsi="Times New Roman"/>
          <w:b/>
          <w:bCs/>
        </w:rPr>
        <w:t>č</w:t>
      </w:r>
      <w:r w:rsidRPr="000C67CB">
        <w:rPr>
          <w:rFonts w:ascii="Times New Roman" w:hAnsi="Times New Roman"/>
          <w:b/>
          <w:bCs/>
        </w:rPr>
        <w:t>nosti</w:t>
      </w:r>
    </w:p>
    <w:p w14:paraId="3BEF4675" w14:textId="77777777" w:rsidR="00553706" w:rsidRPr="000C67CB" w:rsidRDefault="00553706">
      <w:pPr>
        <w:autoSpaceDE w:val="0"/>
        <w:autoSpaceDN w:val="0"/>
        <w:adjustRightInd w:val="0"/>
        <w:rPr>
          <w:rFonts w:ascii="Times New Roman" w:hAnsi="Times New Roman"/>
        </w:rPr>
      </w:pPr>
    </w:p>
    <w:p w14:paraId="656EBB1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Predklinické údaje získané na základe obvyklých farmakologických štúdií bezpečnosti, genotoxicity,</w:t>
      </w:r>
    </w:p>
    <w:p w14:paraId="640B365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karcinog</w:t>
      </w:r>
      <w:r w:rsidR="007178B3" w:rsidRPr="000C67CB">
        <w:rPr>
          <w:rFonts w:ascii="Times New Roman" w:hAnsi="Times New Roman"/>
        </w:rPr>
        <w:t>énneho potenciálu</w:t>
      </w:r>
      <w:r w:rsidRPr="000C67CB">
        <w:rPr>
          <w:rFonts w:ascii="Times New Roman" w:hAnsi="Times New Roman"/>
        </w:rPr>
        <w:t xml:space="preserve"> neodhalili žiadne osobitné riziko pre ľudí.</w:t>
      </w:r>
    </w:p>
    <w:p w14:paraId="1D31A106"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Nežiaduce účinky nepozorované v klinických štúdiách, ale zistené u potkanov, a v menšom rozsahu u</w:t>
      </w:r>
    </w:p>
    <w:p w14:paraId="13FB13BC"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myší, pri expozícii v podobných hladinách ako boli expozičné hladiny u človeka a s potenciálnym</w:t>
      </w:r>
    </w:p>
    <w:p w14:paraId="2230E1C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významom pre použitie v klinickej praxi, boli pečeňové zmeny naznačujúce adaptívnu odpoveď, ako</w:t>
      </w:r>
    </w:p>
    <w:p w14:paraId="48513D0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je zvýšená hmotnosť a centrilobulárna hypertrofia, infiltrácia tuku a zvýšené pečeňové enzýmy v</w:t>
      </w:r>
    </w:p>
    <w:p w14:paraId="6F9FB4F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plazme.</w:t>
      </w:r>
    </w:p>
    <w:p w14:paraId="5CEE9676" w14:textId="77777777" w:rsidR="00553706" w:rsidRPr="000C67CB" w:rsidRDefault="00553706">
      <w:pPr>
        <w:autoSpaceDE w:val="0"/>
        <w:autoSpaceDN w:val="0"/>
        <w:adjustRightInd w:val="0"/>
        <w:rPr>
          <w:rFonts w:ascii="Times New Roman" w:hAnsi="Times New Roman"/>
        </w:rPr>
      </w:pPr>
    </w:p>
    <w:p w14:paraId="480F1D2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U potkanov sa nepozorovali žiadne nežiaduce </w:t>
      </w:r>
      <w:r w:rsidR="007178B3" w:rsidRPr="000C67CB">
        <w:rPr>
          <w:rFonts w:ascii="Times New Roman" w:hAnsi="Times New Roman"/>
        </w:rPr>
        <w:t xml:space="preserve">reakcie </w:t>
      </w:r>
      <w:r w:rsidRPr="000C67CB">
        <w:rPr>
          <w:rFonts w:ascii="Times New Roman" w:hAnsi="Times New Roman"/>
        </w:rPr>
        <w:t>na fertilitu alebo reprodukčnú výkonnosť</w:t>
      </w:r>
    </w:p>
    <w:p w14:paraId="06DF78A2"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samcov alebo samičiek pri dávkach až do 1800 mg/kg/deň (6-násobok maximálnej dennej dávky</w:t>
      </w:r>
    </w:p>
    <w:p w14:paraId="4623893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odporúčanej pre ľudí prepočítanej na mg/m</w:t>
      </w:r>
      <w:r w:rsidRPr="000C67CB">
        <w:rPr>
          <w:rFonts w:ascii="Times New Roman" w:hAnsi="Times New Roman"/>
          <w:vertAlign w:val="superscript"/>
        </w:rPr>
        <w:t>2</w:t>
      </w:r>
      <w:r w:rsidRPr="000C67CB">
        <w:rPr>
          <w:rFonts w:ascii="Times New Roman" w:hAnsi="Times New Roman"/>
        </w:rPr>
        <w:t xml:space="preserve"> alebo expozíciu) u rodičov a generácie F1.</w:t>
      </w:r>
    </w:p>
    <w:p w14:paraId="5C52C1F7" w14:textId="77777777" w:rsidR="00553706" w:rsidRPr="000C67CB" w:rsidRDefault="00553706">
      <w:pPr>
        <w:autoSpaceDE w:val="0"/>
        <w:autoSpaceDN w:val="0"/>
        <w:adjustRightInd w:val="0"/>
        <w:rPr>
          <w:rFonts w:ascii="Times New Roman" w:hAnsi="Times New Roman"/>
        </w:rPr>
      </w:pPr>
    </w:p>
    <w:p w14:paraId="6DE7FE2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Boli uskutočnené dve štúdie embryo-fetálneho vývoja (EFV štúdie) u potkanov s dávkami 400, </w:t>
      </w:r>
      <w:smartTag w:uri="urn:schemas-microsoft-com:office:smarttags" w:element="metricconverter">
        <w:smartTagPr>
          <w:attr w:name="ProductID" w:val="1200 a"/>
        </w:smartTagPr>
        <w:r w:rsidRPr="000C67CB">
          <w:rPr>
            <w:rFonts w:ascii="Times New Roman" w:hAnsi="Times New Roman"/>
          </w:rPr>
          <w:t>1200 a</w:t>
        </w:r>
      </w:smartTag>
    </w:p>
    <w:p w14:paraId="780E7E8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3600 mg/kg/deň. Pri dávke 3600 mg/kg/deň došlo len v jednej z týchto dvoch EFV štúdií</w:t>
      </w:r>
    </w:p>
    <w:p w14:paraId="5F17EE6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k nepatrnému zníženiu fetálnej hmotnosti, spojenému s hraničným nárastom počtu kostných</w:t>
      </w:r>
    </w:p>
    <w:p w14:paraId="3421FA00"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zmien/menších anomálií. Nedošlo k žiadnemu ovplyvneniu mortality embryí ani k zvýšeniu výskytu</w:t>
      </w:r>
    </w:p>
    <w:p w14:paraId="1680B343"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malformácií. NOAEL (hladina bez pozorovaných nežiaducich účinkov) bola 3600 mg/kg/deň pre</w:t>
      </w:r>
    </w:p>
    <w:p w14:paraId="6269BBF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gravidné samice potkanov (12 násobok maximálnej dennej dávky odporúčanej pre ľudí prepočítanej</w:t>
      </w:r>
    </w:p>
    <w:p w14:paraId="0D5D26DD"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na mg/m</w:t>
      </w:r>
      <w:r w:rsidRPr="000C67CB">
        <w:rPr>
          <w:rFonts w:ascii="Times New Roman" w:hAnsi="Times New Roman"/>
          <w:vertAlign w:val="superscript"/>
        </w:rPr>
        <w:t xml:space="preserve">2 </w:t>
      </w:r>
      <w:r w:rsidRPr="000C67CB">
        <w:rPr>
          <w:rFonts w:ascii="Times New Roman" w:hAnsi="Times New Roman"/>
        </w:rPr>
        <w:t>plochy povrchu tela) a 1200 mg/kg/deň pre plody.</w:t>
      </w:r>
    </w:p>
    <w:p w14:paraId="49A892DF" w14:textId="77777777" w:rsidR="00553706" w:rsidRPr="000C67CB" w:rsidRDefault="00553706">
      <w:pPr>
        <w:autoSpaceDE w:val="0"/>
        <w:autoSpaceDN w:val="0"/>
        <w:adjustRightInd w:val="0"/>
        <w:rPr>
          <w:rFonts w:ascii="Times New Roman" w:hAnsi="Times New Roman"/>
        </w:rPr>
      </w:pPr>
    </w:p>
    <w:p w14:paraId="631763C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Boli uskutočnené štyri štúdie embryo-fetálneho vývoja u králikov s dávkami 200, 600, 800, </w:t>
      </w:r>
      <w:smartTag w:uri="urn:schemas-microsoft-com:office:smarttags" w:element="metricconverter">
        <w:smartTagPr>
          <w:attr w:name="ProductID" w:val="1200 a"/>
        </w:smartTagPr>
        <w:r w:rsidRPr="000C67CB">
          <w:rPr>
            <w:rFonts w:ascii="Times New Roman" w:hAnsi="Times New Roman"/>
          </w:rPr>
          <w:t>1200 a</w:t>
        </w:r>
      </w:smartTag>
    </w:p>
    <w:p w14:paraId="135ACEC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1800 mg/kg/deň. Dávka 1800 mg/kg/deň viedla k značnej toxicite u samíc- matiek a k zníženiu</w:t>
      </w:r>
    </w:p>
    <w:p w14:paraId="1DBBCF89"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fetálnej hmotnosti, spojenému so zvýšeným výskytom plodov s kardiovaskulárnymi/kostrovými</w:t>
      </w:r>
    </w:p>
    <w:p w14:paraId="49157E6E"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anomáliami. NOAEL bola &lt; 200 mg/kg/deň pre samice- matky a 200 mg/kg/deň pre plody (rovnajúca</w:t>
      </w:r>
    </w:p>
    <w:p w14:paraId="58A01C9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sa maximálnej dennej dávke odporúčanej pre ľudí prepočítanej na mg/m</w:t>
      </w:r>
      <w:r w:rsidRPr="000C67CB">
        <w:rPr>
          <w:rFonts w:ascii="Times New Roman" w:hAnsi="Times New Roman"/>
          <w:vertAlign w:val="superscript"/>
        </w:rPr>
        <w:t>2</w:t>
      </w:r>
      <w:r w:rsidRPr="000C67CB">
        <w:rPr>
          <w:rFonts w:ascii="Times New Roman" w:hAnsi="Times New Roman"/>
        </w:rPr>
        <w:t xml:space="preserve"> plochy povrchu tela).</w:t>
      </w:r>
    </w:p>
    <w:p w14:paraId="1176F7BA"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Štúdia perinatálneho a postnatálneho vývoja bola realizovaná u potkanov s dávkami levetiracetamu</w:t>
      </w:r>
    </w:p>
    <w:p w14:paraId="1C0A46A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 xml:space="preserve">70, </w:t>
      </w:r>
      <w:smartTag w:uri="urn:schemas-microsoft-com:office:smarttags" w:element="metricconverter">
        <w:smartTagPr>
          <w:attr w:name="ProductID" w:val="350 a"/>
        </w:smartTagPr>
        <w:r w:rsidRPr="000C67CB">
          <w:rPr>
            <w:rFonts w:ascii="Times New Roman" w:hAnsi="Times New Roman"/>
          </w:rPr>
          <w:t>350 a</w:t>
        </w:r>
      </w:smartTag>
      <w:r w:rsidRPr="000C67CB">
        <w:rPr>
          <w:rFonts w:ascii="Times New Roman" w:hAnsi="Times New Roman"/>
        </w:rPr>
        <w:t xml:space="preserve"> 1800 mg/kg/deň. NOAEL bola </w:t>
      </w:r>
      <w:r w:rsidRPr="000C67CB">
        <w:rPr>
          <w:rFonts w:ascii="Times New Roman" w:eastAsia="SymbolMT" w:hAnsi="Times New Roman"/>
        </w:rPr>
        <w:t xml:space="preserve">≥ </w:t>
      </w:r>
      <w:r w:rsidRPr="000C67CB">
        <w:rPr>
          <w:rFonts w:ascii="Times New Roman" w:hAnsi="Times New Roman"/>
        </w:rPr>
        <w:t>1800 mg/kg/deň pre samice F0, rovnako ako pre prežitie,</w:t>
      </w:r>
    </w:p>
    <w:p w14:paraId="514460D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rast a vývoj mláďat F1 až do odstavenia (6 násobok maximálnej dennej dávky odporúčanej pre ľudí</w:t>
      </w:r>
    </w:p>
    <w:p w14:paraId="4743BD1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prepočítanej na mg/m</w:t>
      </w:r>
      <w:r w:rsidRPr="000C67CB">
        <w:rPr>
          <w:rFonts w:ascii="Times New Roman" w:hAnsi="Times New Roman"/>
          <w:vertAlign w:val="superscript"/>
        </w:rPr>
        <w:t>2</w:t>
      </w:r>
      <w:r w:rsidRPr="000C67CB">
        <w:rPr>
          <w:rFonts w:ascii="Times New Roman" w:hAnsi="Times New Roman"/>
        </w:rPr>
        <w:t xml:space="preserve"> plochy povrchu tela).</w:t>
      </w:r>
    </w:p>
    <w:p w14:paraId="0CBB1DC4" w14:textId="77777777" w:rsidR="00553706" w:rsidRPr="000C67CB" w:rsidRDefault="00553706">
      <w:pPr>
        <w:autoSpaceDE w:val="0"/>
        <w:autoSpaceDN w:val="0"/>
        <w:adjustRightInd w:val="0"/>
        <w:rPr>
          <w:rFonts w:ascii="Times New Roman" w:hAnsi="Times New Roman"/>
        </w:rPr>
      </w:pPr>
    </w:p>
    <w:p w14:paraId="017190F8"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Štúdie s novorodencami a mláďatami u potkanov a psov nepreukázali žiadne nežiaduce účinky pri</w:t>
      </w:r>
    </w:p>
    <w:p w14:paraId="7CD3265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štandardných koncových ukazovateľoch vývoja a dozrievania v dávkach až do 1800 mg/kg/deň (6 až</w:t>
      </w:r>
    </w:p>
    <w:p w14:paraId="4B741821"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17 násobok maximálnej dennej dávky odporúčanej pre ľudí prepočítanej na mg/m2 plochy povrchu</w:t>
      </w:r>
    </w:p>
    <w:p w14:paraId="3FCE748B"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tela).</w:t>
      </w:r>
    </w:p>
    <w:p w14:paraId="055D30A3" w14:textId="77777777" w:rsidR="00553706" w:rsidRPr="000C67CB" w:rsidRDefault="00553706">
      <w:pPr>
        <w:autoSpaceDE w:val="0"/>
        <w:autoSpaceDN w:val="0"/>
        <w:adjustRightInd w:val="0"/>
        <w:rPr>
          <w:rFonts w:ascii="Times New Roman" w:hAnsi="Times New Roman"/>
        </w:rPr>
      </w:pPr>
    </w:p>
    <w:p w14:paraId="631F8573" w14:textId="77777777" w:rsidR="00A064BC" w:rsidRPr="000C67CB" w:rsidRDefault="00A064BC">
      <w:pPr>
        <w:autoSpaceDE w:val="0"/>
        <w:autoSpaceDN w:val="0"/>
        <w:adjustRightInd w:val="0"/>
        <w:rPr>
          <w:rFonts w:ascii="Times New Roman" w:hAnsi="Times New Roman"/>
        </w:rPr>
      </w:pPr>
    </w:p>
    <w:p w14:paraId="4B4F7B5F"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6. </w:t>
      </w:r>
      <w:r w:rsidRPr="000C67CB">
        <w:rPr>
          <w:rFonts w:ascii="Times New Roman" w:hAnsi="Times New Roman"/>
          <w:b/>
          <w:bCs/>
        </w:rPr>
        <w:tab/>
        <w:t>FARMACEUTICKÉ INFORMÁCIE</w:t>
      </w:r>
    </w:p>
    <w:p w14:paraId="433CC93F" w14:textId="77777777" w:rsidR="00553706" w:rsidRPr="000C67CB" w:rsidRDefault="00553706">
      <w:pPr>
        <w:autoSpaceDE w:val="0"/>
        <w:autoSpaceDN w:val="0"/>
        <w:adjustRightInd w:val="0"/>
        <w:rPr>
          <w:rFonts w:ascii="Times New Roman" w:hAnsi="Times New Roman"/>
          <w:bCs/>
        </w:rPr>
      </w:pPr>
    </w:p>
    <w:p w14:paraId="0E0158A5"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6.1 </w:t>
      </w:r>
      <w:r w:rsidRPr="000C67CB">
        <w:rPr>
          <w:rFonts w:ascii="Times New Roman" w:hAnsi="Times New Roman"/>
          <w:b/>
          <w:bCs/>
        </w:rPr>
        <w:tab/>
        <w:t>Zoznam pomocných látok</w:t>
      </w:r>
    </w:p>
    <w:p w14:paraId="64B274DA" w14:textId="77777777" w:rsidR="00553706" w:rsidRPr="000C67CB" w:rsidRDefault="00553706">
      <w:pPr>
        <w:autoSpaceDE w:val="0"/>
        <w:autoSpaceDN w:val="0"/>
        <w:adjustRightInd w:val="0"/>
        <w:rPr>
          <w:rFonts w:ascii="Times New Roman" w:hAnsi="Times New Roman"/>
          <w:i/>
          <w:iCs/>
        </w:rPr>
      </w:pPr>
    </w:p>
    <w:p w14:paraId="2D39B0E7" w14:textId="77777777" w:rsidR="00553706" w:rsidRPr="00E660E4" w:rsidRDefault="00553706">
      <w:pPr>
        <w:autoSpaceDE w:val="0"/>
        <w:autoSpaceDN w:val="0"/>
        <w:adjustRightInd w:val="0"/>
        <w:rPr>
          <w:rFonts w:ascii="Times New Roman" w:hAnsi="Times New Roman"/>
          <w:b/>
        </w:rPr>
      </w:pPr>
      <w:r w:rsidRPr="00E660E4">
        <w:rPr>
          <w:rFonts w:ascii="Times New Roman" w:hAnsi="Times New Roman"/>
          <w:b/>
        </w:rPr>
        <w:t xml:space="preserve">Jadro tablety: </w:t>
      </w:r>
    </w:p>
    <w:p w14:paraId="1944625D"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mikrokryštalická celulóza</w:t>
      </w:r>
    </w:p>
    <w:p w14:paraId="6F7E5875"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kopovidón</w:t>
      </w:r>
    </w:p>
    <w:p w14:paraId="5D147611" w14:textId="5EE662ED" w:rsidR="00553706" w:rsidRPr="00E660E4" w:rsidRDefault="00553706">
      <w:pPr>
        <w:autoSpaceDE w:val="0"/>
        <w:autoSpaceDN w:val="0"/>
        <w:adjustRightInd w:val="0"/>
        <w:rPr>
          <w:rFonts w:ascii="Times New Roman" w:hAnsi="Times New Roman"/>
        </w:rPr>
      </w:pPr>
      <w:r w:rsidRPr="00E660E4">
        <w:rPr>
          <w:rFonts w:ascii="Times New Roman" w:hAnsi="Times New Roman"/>
        </w:rPr>
        <w:t>oxid kremičitý</w:t>
      </w:r>
      <w:r w:rsidR="004D0FB0" w:rsidRPr="00E660E4">
        <w:rPr>
          <w:rFonts w:ascii="Times New Roman" w:hAnsi="Times New Roman"/>
        </w:rPr>
        <w:t>,</w:t>
      </w:r>
      <w:r w:rsidRPr="00E660E4">
        <w:rPr>
          <w:rFonts w:ascii="Times New Roman" w:hAnsi="Times New Roman"/>
        </w:rPr>
        <w:t xml:space="preserve"> </w:t>
      </w:r>
      <w:r w:rsidR="004D0FB0" w:rsidRPr="00E660E4">
        <w:rPr>
          <w:rFonts w:ascii="Times New Roman" w:hAnsi="Times New Roman"/>
        </w:rPr>
        <w:t xml:space="preserve">koloidný </w:t>
      </w:r>
      <w:r w:rsidRPr="00E660E4">
        <w:rPr>
          <w:rFonts w:ascii="Times New Roman" w:hAnsi="Times New Roman"/>
        </w:rPr>
        <w:t>bezvodý</w:t>
      </w:r>
    </w:p>
    <w:p w14:paraId="750243DD" w14:textId="63B18086" w:rsidR="00553706" w:rsidRPr="00E660E4" w:rsidRDefault="004D0FB0">
      <w:pPr>
        <w:autoSpaceDE w:val="0"/>
        <w:autoSpaceDN w:val="0"/>
        <w:adjustRightInd w:val="0"/>
        <w:rPr>
          <w:rFonts w:ascii="Times New Roman" w:hAnsi="Times New Roman"/>
        </w:rPr>
      </w:pPr>
      <w:r w:rsidRPr="00E660E4">
        <w:rPr>
          <w:rFonts w:ascii="Times New Roman" w:hAnsi="Times New Roman"/>
        </w:rPr>
        <w:t>stear</w:t>
      </w:r>
      <w:r w:rsidR="009877B9">
        <w:rPr>
          <w:rFonts w:ascii="Times New Roman" w:hAnsi="Times New Roman"/>
        </w:rPr>
        <w:t>át</w:t>
      </w:r>
      <w:r w:rsidRPr="00E660E4">
        <w:rPr>
          <w:rFonts w:ascii="Times New Roman" w:hAnsi="Times New Roman"/>
        </w:rPr>
        <w:t xml:space="preserve"> horečnatý</w:t>
      </w:r>
    </w:p>
    <w:p w14:paraId="72F25F61" w14:textId="77777777" w:rsidR="00553706" w:rsidRPr="00E660E4" w:rsidRDefault="00553706">
      <w:pPr>
        <w:autoSpaceDE w:val="0"/>
        <w:autoSpaceDN w:val="0"/>
        <w:adjustRightInd w:val="0"/>
        <w:rPr>
          <w:rFonts w:ascii="Times New Roman" w:hAnsi="Times New Roman"/>
        </w:rPr>
      </w:pPr>
    </w:p>
    <w:p w14:paraId="5742143B" w14:textId="77777777" w:rsidR="00553706" w:rsidRPr="00E660E4" w:rsidRDefault="00553706">
      <w:pPr>
        <w:autoSpaceDE w:val="0"/>
        <w:autoSpaceDN w:val="0"/>
        <w:adjustRightInd w:val="0"/>
        <w:rPr>
          <w:rFonts w:ascii="Times New Roman" w:hAnsi="Times New Roman"/>
          <w:b/>
        </w:rPr>
      </w:pPr>
      <w:r w:rsidRPr="00E660E4">
        <w:rPr>
          <w:rFonts w:ascii="Times New Roman" w:hAnsi="Times New Roman"/>
          <w:b/>
        </w:rPr>
        <w:t>Filmová vrstva:</w:t>
      </w:r>
    </w:p>
    <w:p w14:paraId="1D0F0F5A" w14:textId="77777777" w:rsidR="00553706" w:rsidRPr="00E660E4" w:rsidRDefault="00553706">
      <w:pPr>
        <w:autoSpaceDE w:val="0"/>
        <w:autoSpaceDN w:val="0"/>
        <w:adjustRightInd w:val="0"/>
        <w:rPr>
          <w:rFonts w:ascii="Times New Roman" w:hAnsi="Times New Roman"/>
        </w:rPr>
      </w:pPr>
    </w:p>
    <w:p w14:paraId="65CCA318" w14:textId="77777777" w:rsidR="00553706" w:rsidRPr="00E660E4" w:rsidRDefault="00553706">
      <w:pPr>
        <w:autoSpaceDE w:val="0"/>
        <w:autoSpaceDN w:val="0"/>
        <w:adjustRightInd w:val="0"/>
        <w:rPr>
          <w:rFonts w:ascii="Times New Roman" w:hAnsi="Times New Roman"/>
          <w:b/>
          <w:bCs/>
        </w:rPr>
      </w:pPr>
      <w:r w:rsidRPr="00E660E4">
        <w:rPr>
          <w:rFonts w:ascii="Times New Roman" w:hAnsi="Times New Roman"/>
          <w:b/>
          <w:bCs/>
        </w:rPr>
        <w:t>250 mg:</w:t>
      </w:r>
    </w:p>
    <w:p w14:paraId="7699C0C8" w14:textId="77777777" w:rsidR="00553706" w:rsidRPr="00476851" w:rsidRDefault="00553706">
      <w:pPr>
        <w:autoSpaceDE w:val="0"/>
        <w:autoSpaceDN w:val="0"/>
        <w:adjustRightInd w:val="0"/>
        <w:rPr>
          <w:rFonts w:ascii="Times New Roman" w:hAnsi="Times New Roman"/>
          <w:bCs/>
        </w:rPr>
      </w:pPr>
      <w:r w:rsidRPr="00476851">
        <w:rPr>
          <w:rFonts w:ascii="Times New Roman" w:hAnsi="Times New Roman"/>
          <w:bCs/>
        </w:rPr>
        <w:t xml:space="preserve">Obaľovacia vrstva Opadry II modrá obsahuje: </w:t>
      </w:r>
    </w:p>
    <w:p w14:paraId="0385BC89"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polyvinylalkohol, </w:t>
      </w:r>
    </w:p>
    <w:p w14:paraId="3C9E7B42"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oxid titaničitý (E 171), </w:t>
      </w:r>
    </w:p>
    <w:p w14:paraId="26EB6241"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makrogol 3350, </w:t>
      </w:r>
    </w:p>
    <w:p w14:paraId="2F2511D5"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mastenec,</w:t>
      </w:r>
    </w:p>
    <w:p w14:paraId="3C29F763"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hlinitá soľ indigokarmínu (E132)</w:t>
      </w:r>
    </w:p>
    <w:p w14:paraId="31047718" w14:textId="77777777" w:rsidR="00553706" w:rsidRPr="00E660E4" w:rsidRDefault="00553706">
      <w:pPr>
        <w:autoSpaceDE w:val="0"/>
        <w:autoSpaceDN w:val="0"/>
        <w:adjustRightInd w:val="0"/>
        <w:rPr>
          <w:rFonts w:ascii="Times New Roman" w:hAnsi="Times New Roman"/>
        </w:rPr>
      </w:pPr>
    </w:p>
    <w:p w14:paraId="13599D4D" w14:textId="77777777" w:rsidR="00553706" w:rsidRPr="00E660E4" w:rsidRDefault="00553706">
      <w:pPr>
        <w:autoSpaceDE w:val="0"/>
        <w:autoSpaceDN w:val="0"/>
        <w:adjustRightInd w:val="0"/>
        <w:rPr>
          <w:rFonts w:ascii="Times New Roman" w:hAnsi="Times New Roman"/>
          <w:b/>
          <w:bCs/>
        </w:rPr>
      </w:pPr>
      <w:r w:rsidRPr="00E660E4">
        <w:rPr>
          <w:rFonts w:ascii="Times New Roman" w:hAnsi="Times New Roman"/>
          <w:b/>
          <w:bCs/>
        </w:rPr>
        <w:t>500 mg:</w:t>
      </w:r>
    </w:p>
    <w:p w14:paraId="6FF454AF" w14:textId="77777777" w:rsidR="00553706" w:rsidRPr="00476851" w:rsidRDefault="00553706">
      <w:pPr>
        <w:autoSpaceDE w:val="0"/>
        <w:autoSpaceDN w:val="0"/>
        <w:adjustRightInd w:val="0"/>
        <w:rPr>
          <w:rFonts w:ascii="Times New Roman" w:hAnsi="Times New Roman"/>
          <w:bCs/>
        </w:rPr>
      </w:pPr>
      <w:r w:rsidRPr="00476851">
        <w:rPr>
          <w:rFonts w:ascii="Times New Roman" w:hAnsi="Times New Roman"/>
          <w:bCs/>
        </w:rPr>
        <w:t xml:space="preserve">Obaľovacia vrstva Opadry II  žltá obsahuje: </w:t>
      </w:r>
    </w:p>
    <w:p w14:paraId="0B61A2E1"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polyvinylalkohol, </w:t>
      </w:r>
    </w:p>
    <w:p w14:paraId="3BB25B65"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oxid titaničitý (E 171), </w:t>
      </w:r>
    </w:p>
    <w:p w14:paraId="4468FA5F"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makrogol  3350, </w:t>
      </w:r>
    </w:p>
    <w:p w14:paraId="0A59EFB3"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mastenec, </w:t>
      </w:r>
    </w:p>
    <w:p w14:paraId="374D49B2"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žltý oxid železitý (E172)</w:t>
      </w:r>
    </w:p>
    <w:p w14:paraId="2B10F6D3" w14:textId="77777777" w:rsidR="00553706" w:rsidRPr="00E660E4" w:rsidRDefault="00553706">
      <w:pPr>
        <w:autoSpaceDE w:val="0"/>
        <w:autoSpaceDN w:val="0"/>
        <w:adjustRightInd w:val="0"/>
        <w:rPr>
          <w:rFonts w:ascii="Times New Roman" w:hAnsi="Times New Roman"/>
        </w:rPr>
      </w:pPr>
    </w:p>
    <w:p w14:paraId="44D9C93B" w14:textId="77777777" w:rsidR="00553706" w:rsidRPr="00E660E4" w:rsidRDefault="00553706" w:rsidP="00476851">
      <w:pPr>
        <w:keepNext/>
        <w:autoSpaceDE w:val="0"/>
        <w:autoSpaceDN w:val="0"/>
        <w:adjustRightInd w:val="0"/>
        <w:rPr>
          <w:rFonts w:ascii="Times New Roman" w:hAnsi="Times New Roman"/>
          <w:b/>
          <w:bCs/>
        </w:rPr>
      </w:pPr>
      <w:r w:rsidRPr="00E660E4">
        <w:rPr>
          <w:rFonts w:ascii="Times New Roman" w:hAnsi="Times New Roman"/>
          <w:b/>
          <w:bCs/>
        </w:rPr>
        <w:t>1000 mg:</w:t>
      </w:r>
    </w:p>
    <w:p w14:paraId="7209A855" w14:textId="77777777" w:rsidR="00553706" w:rsidRPr="00476851" w:rsidRDefault="00553706" w:rsidP="00476851">
      <w:pPr>
        <w:keepNext/>
        <w:autoSpaceDE w:val="0"/>
        <w:autoSpaceDN w:val="0"/>
        <w:adjustRightInd w:val="0"/>
        <w:rPr>
          <w:rFonts w:ascii="Times New Roman" w:hAnsi="Times New Roman"/>
          <w:bCs/>
        </w:rPr>
      </w:pPr>
      <w:r w:rsidRPr="00476851">
        <w:rPr>
          <w:rFonts w:ascii="Times New Roman" w:hAnsi="Times New Roman"/>
          <w:bCs/>
        </w:rPr>
        <w:t xml:space="preserve">Obaľovacia vrstva Opadry II  biela obsahuje: </w:t>
      </w:r>
    </w:p>
    <w:p w14:paraId="778BC527"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polyvinylalkohol, </w:t>
      </w:r>
    </w:p>
    <w:p w14:paraId="4817682C"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oxid titaničitý (E 171), </w:t>
      </w:r>
    </w:p>
    <w:p w14:paraId="45043554"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 xml:space="preserve">makrogol 3350, </w:t>
      </w:r>
    </w:p>
    <w:p w14:paraId="4D7EAD15"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mastenec</w:t>
      </w:r>
    </w:p>
    <w:p w14:paraId="0FC2E91B" w14:textId="77777777" w:rsidR="00553706" w:rsidRPr="000C67CB" w:rsidRDefault="00553706">
      <w:pPr>
        <w:autoSpaceDE w:val="0"/>
        <w:autoSpaceDN w:val="0"/>
        <w:adjustRightInd w:val="0"/>
        <w:rPr>
          <w:rFonts w:ascii="Times New Roman" w:hAnsi="Times New Roman"/>
          <w:b/>
          <w:bCs/>
        </w:rPr>
      </w:pPr>
    </w:p>
    <w:p w14:paraId="4375688E"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6.2</w:t>
      </w:r>
      <w:r w:rsidRPr="000C67CB">
        <w:rPr>
          <w:rFonts w:ascii="Times New Roman" w:hAnsi="Times New Roman"/>
          <w:b/>
          <w:bCs/>
        </w:rPr>
        <w:tab/>
        <w:t xml:space="preserve"> Inkompatibility</w:t>
      </w:r>
    </w:p>
    <w:p w14:paraId="0A38EED3" w14:textId="77777777" w:rsidR="00553706" w:rsidRPr="000C67CB" w:rsidRDefault="00553706">
      <w:pPr>
        <w:autoSpaceDE w:val="0"/>
        <w:autoSpaceDN w:val="0"/>
        <w:adjustRightInd w:val="0"/>
        <w:rPr>
          <w:rFonts w:ascii="Times New Roman" w:hAnsi="Times New Roman"/>
        </w:rPr>
      </w:pPr>
    </w:p>
    <w:p w14:paraId="452EC2F5"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Neaplikovateľné.</w:t>
      </w:r>
    </w:p>
    <w:p w14:paraId="2DFA1496" w14:textId="77777777" w:rsidR="00553706" w:rsidRPr="000C67CB" w:rsidRDefault="00553706">
      <w:pPr>
        <w:autoSpaceDE w:val="0"/>
        <w:autoSpaceDN w:val="0"/>
        <w:adjustRightInd w:val="0"/>
        <w:rPr>
          <w:rFonts w:ascii="Times New Roman" w:hAnsi="Times New Roman"/>
          <w:b/>
          <w:bCs/>
        </w:rPr>
      </w:pPr>
    </w:p>
    <w:p w14:paraId="6DF48153"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6.3 </w:t>
      </w:r>
      <w:r w:rsidRPr="000C67CB">
        <w:rPr>
          <w:rFonts w:ascii="Times New Roman" w:hAnsi="Times New Roman"/>
          <w:b/>
          <w:bCs/>
        </w:rPr>
        <w:tab/>
      </w:r>
      <w:r w:rsidRPr="000C67CB">
        <w:rPr>
          <w:rFonts w:ascii="Times New Roman" w:eastAsia="TimesNewRomanPS-BoldMT" w:hAnsi="Times New Roman"/>
          <w:b/>
          <w:bCs/>
        </w:rPr>
        <w:t>Č</w:t>
      </w:r>
      <w:r w:rsidRPr="000C67CB">
        <w:rPr>
          <w:rFonts w:ascii="Times New Roman" w:hAnsi="Times New Roman"/>
          <w:b/>
          <w:bCs/>
        </w:rPr>
        <w:t>as použite</w:t>
      </w:r>
      <w:r w:rsidRPr="000C67CB">
        <w:rPr>
          <w:rFonts w:ascii="Times New Roman" w:eastAsia="TimesNewRomanPS-BoldMT" w:hAnsi="Times New Roman"/>
          <w:b/>
          <w:bCs/>
        </w:rPr>
        <w:t>ľ</w:t>
      </w:r>
      <w:r w:rsidRPr="000C67CB">
        <w:rPr>
          <w:rFonts w:ascii="Times New Roman" w:hAnsi="Times New Roman"/>
          <w:b/>
          <w:bCs/>
        </w:rPr>
        <w:t>nosti</w:t>
      </w:r>
    </w:p>
    <w:p w14:paraId="58124E41" w14:textId="77777777" w:rsidR="00553706" w:rsidRPr="000C67CB" w:rsidRDefault="00553706">
      <w:pPr>
        <w:autoSpaceDE w:val="0"/>
        <w:autoSpaceDN w:val="0"/>
        <w:adjustRightInd w:val="0"/>
        <w:rPr>
          <w:rFonts w:ascii="Times New Roman" w:hAnsi="Times New Roman"/>
        </w:rPr>
      </w:pPr>
    </w:p>
    <w:p w14:paraId="5150EC41" w14:textId="77777777" w:rsidR="00553706" w:rsidRPr="000C67CB" w:rsidRDefault="00972DAD">
      <w:pPr>
        <w:autoSpaceDE w:val="0"/>
        <w:autoSpaceDN w:val="0"/>
        <w:adjustRightInd w:val="0"/>
        <w:rPr>
          <w:rFonts w:ascii="Times New Roman" w:hAnsi="Times New Roman"/>
        </w:rPr>
      </w:pPr>
      <w:r w:rsidRPr="000C67CB">
        <w:rPr>
          <w:rFonts w:ascii="Times New Roman" w:hAnsi="Times New Roman"/>
        </w:rPr>
        <w:t>5 rokov.</w:t>
      </w:r>
    </w:p>
    <w:p w14:paraId="28844EE2" w14:textId="77777777" w:rsidR="00FB0237" w:rsidRPr="000C67CB" w:rsidRDefault="00FB0237">
      <w:pPr>
        <w:autoSpaceDE w:val="0"/>
        <w:autoSpaceDN w:val="0"/>
        <w:adjustRightInd w:val="0"/>
        <w:rPr>
          <w:rFonts w:ascii="Times New Roman" w:hAnsi="Times New Roman"/>
          <w:b/>
          <w:bCs/>
        </w:rPr>
      </w:pPr>
    </w:p>
    <w:p w14:paraId="76D302B3"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6.4 </w:t>
      </w:r>
      <w:r w:rsidRPr="000C67CB">
        <w:rPr>
          <w:rFonts w:ascii="Times New Roman" w:hAnsi="Times New Roman"/>
          <w:b/>
          <w:bCs/>
        </w:rPr>
        <w:tab/>
        <w:t>Špeciálne upozornenia na uchovávanie</w:t>
      </w:r>
    </w:p>
    <w:p w14:paraId="181B7BA0" w14:textId="77777777" w:rsidR="00553706" w:rsidRPr="000C67CB" w:rsidRDefault="00553706">
      <w:pPr>
        <w:autoSpaceDE w:val="0"/>
        <w:autoSpaceDN w:val="0"/>
        <w:adjustRightInd w:val="0"/>
        <w:rPr>
          <w:rFonts w:ascii="Times New Roman" w:hAnsi="Times New Roman"/>
        </w:rPr>
      </w:pPr>
    </w:p>
    <w:p w14:paraId="7162607F" w14:textId="77777777" w:rsidR="00553706" w:rsidRPr="000C67CB" w:rsidRDefault="00553706">
      <w:pPr>
        <w:autoSpaceDE w:val="0"/>
        <w:autoSpaceDN w:val="0"/>
        <w:adjustRightInd w:val="0"/>
        <w:rPr>
          <w:rFonts w:ascii="Times New Roman" w:hAnsi="Times New Roman"/>
        </w:rPr>
      </w:pPr>
      <w:r w:rsidRPr="000C67CB">
        <w:rPr>
          <w:rFonts w:ascii="Times New Roman" w:hAnsi="Times New Roman"/>
        </w:rPr>
        <w:t>Tento liek nevyžaduje žiadne zvláštne podmienky na uchovávanie.</w:t>
      </w:r>
    </w:p>
    <w:p w14:paraId="661CCAE4" w14:textId="77777777" w:rsidR="00553706" w:rsidRPr="000C67CB" w:rsidRDefault="00553706">
      <w:pPr>
        <w:autoSpaceDE w:val="0"/>
        <w:autoSpaceDN w:val="0"/>
        <w:adjustRightInd w:val="0"/>
        <w:rPr>
          <w:rFonts w:ascii="Times New Roman" w:hAnsi="Times New Roman"/>
          <w:b/>
          <w:bCs/>
        </w:rPr>
      </w:pPr>
    </w:p>
    <w:p w14:paraId="79A07640"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6.5 </w:t>
      </w:r>
      <w:r w:rsidRPr="000C67CB">
        <w:rPr>
          <w:rFonts w:ascii="Times New Roman" w:hAnsi="Times New Roman"/>
          <w:b/>
          <w:bCs/>
        </w:rPr>
        <w:tab/>
        <w:t>Druh obalu a obsah balenia</w:t>
      </w:r>
    </w:p>
    <w:p w14:paraId="1BE564E5" w14:textId="77777777" w:rsidR="00553706" w:rsidRPr="000C67CB" w:rsidRDefault="00553706">
      <w:pPr>
        <w:autoSpaceDE w:val="0"/>
        <w:autoSpaceDN w:val="0"/>
        <w:adjustRightInd w:val="0"/>
        <w:rPr>
          <w:rFonts w:ascii="Times New Roman" w:hAnsi="Times New Roman"/>
        </w:rPr>
      </w:pPr>
    </w:p>
    <w:p w14:paraId="4A5C718B"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Blistr</w:t>
      </w:r>
      <w:r w:rsidR="00FB0237" w:rsidRPr="00E660E4">
        <w:rPr>
          <w:rFonts w:ascii="Times New Roman" w:hAnsi="Times New Roman"/>
        </w:rPr>
        <w:t>e</w:t>
      </w:r>
      <w:r w:rsidRPr="00E660E4">
        <w:rPr>
          <w:rFonts w:ascii="Times New Roman" w:hAnsi="Times New Roman"/>
        </w:rPr>
        <w:t xml:space="preserve"> (PVC/hliník)</w:t>
      </w:r>
    </w:p>
    <w:p w14:paraId="577CBEDB" w14:textId="77777777" w:rsidR="00553706" w:rsidRPr="00E660E4" w:rsidRDefault="00553706">
      <w:pPr>
        <w:autoSpaceDE w:val="0"/>
        <w:autoSpaceDN w:val="0"/>
        <w:adjustRightInd w:val="0"/>
        <w:rPr>
          <w:rFonts w:ascii="Times New Roman" w:hAnsi="Times New Roman"/>
        </w:rPr>
      </w:pPr>
    </w:p>
    <w:p w14:paraId="67B2BDD5"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Veľkosti balenia:</w:t>
      </w:r>
    </w:p>
    <w:p w14:paraId="4F299242" w14:textId="77777777" w:rsidR="00553706" w:rsidRPr="00E660E4" w:rsidRDefault="00553706">
      <w:pPr>
        <w:autoSpaceDE w:val="0"/>
        <w:autoSpaceDN w:val="0"/>
        <w:adjustRightInd w:val="0"/>
        <w:rPr>
          <w:rFonts w:ascii="Times New Roman" w:hAnsi="Times New Roman"/>
        </w:rPr>
      </w:pPr>
    </w:p>
    <w:p w14:paraId="08DCCDD0"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Levetiracetam STADA 250 mg:</w:t>
      </w:r>
    </w:p>
    <w:p w14:paraId="19D06441"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10, 20, 30, 50, 60, 100, 150, 180 alebo 200 tabliet.</w:t>
      </w:r>
    </w:p>
    <w:p w14:paraId="6AA2D439" w14:textId="77777777" w:rsidR="00553706" w:rsidRPr="00E660E4" w:rsidRDefault="00553706">
      <w:pPr>
        <w:autoSpaceDE w:val="0"/>
        <w:autoSpaceDN w:val="0"/>
        <w:adjustRightInd w:val="0"/>
        <w:rPr>
          <w:rFonts w:ascii="Times New Roman" w:hAnsi="Times New Roman"/>
        </w:rPr>
      </w:pPr>
    </w:p>
    <w:p w14:paraId="03B47AE8"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Levetiracetam STADA 500 mg:</w:t>
      </w:r>
    </w:p>
    <w:p w14:paraId="3DDBD4D9"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10, 20, 30, 50, 60, 100, 120, 150, 180 alebo 200 tabliet.</w:t>
      </w:r>
    </w:p>
    <w:p w14:paraId="35815602" w14:textId="77777777" w:rsidR="00553706" w:rsidRPr="00E660E4" w:rsidRDefault="00553706">
      <w:pPr>
        <w:autoSpaceDE w:val="0"/>
        <w:autoSpaceDN w:val="0"/>
        <w:adjustRightInd w:val="0"/>
        <w:rPr>
          <w:rFonts w:ascii="Times New Roman" w:hAnsi="Times New Roman"/>
        </w:rPr>
      </w:pPr>
    </w:p>
    <w:p w14:paraId="3DCD6803"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Levetiracetam STADA 1000 mg:</w:t>
      </w:r>
    </w:p>
    <w:p w14:paraId="0C1C1A67"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10, 20, 30, 50, 60, 100, 150, 180 alebo 200 tabliet.</w:t>
      </w:r>
    </w:p>
    <w:p w14:paraId="2D2D96B2" w14:textId="77777777" w:rsidR="00553706" w:rsidRPr="00E660E4" w:rsidRDefault="00553706">
      <w:pPr>
        <w:autoSpaceDE w:val="0"/>
        <w:autoSpaceDN w:val="0"/>
        <w:adjustRightInd w:val="0"/>
        <w:rPr>
          <w:rFonts w:ascii="Times New Roman" w:hAnsi="Times New Roman"/>
        </w:rPr>
      </w:pPr>
    </w:p>
    <w:p w14:paraId="48FAE3C2" w14:textId="77777777" w:rsidR="002C524C" w:rsidRPr="000C67CB" w:rsidRDefault="009C75F7">
      <w:pPr>
        <w:autoSpaceDE w:val="0"/>
        <w:autoSpaceDN w:val="0"/>
        <w:adjustRightInd w:val="0"/>
        <w:rPr>
          <w:rFonts w:ascii="Times New Roman" w:hAnsi="Times New Roman"/>
        </w:rPr>
      </w:pPr>
      <w:r w:rsidRPr="000C67CB">
        <w:rPr>
          <w:rFonts w:ascii="Times New Roman" w:hAnsi="Times New Roman"/>
        </w:rPr>
        <w:t>Na trh nemusia byť uvedené všetky veľkosti balenia.</w:t>
      </w:r>
    </w:p>
    <w:p w14:paraId="5C00730D" w14:textId="77777777" w:rsidR="00553706" w:rsidRPr="000C67CB" w:rsidRDefault="00553706">
      <w:pPr>
        <w:autoSpaceDE w:val="0"/>
        <w:autoSpaceDN w:val="0"/>
        <w:adjustRightInd w:val="0"/>
        <w:rPr>
          <w:rFonts w:ascii="Times New Roman" w:hAnsi="Times New Roman"/>
          <w:b/>
          <w:bCs/>
        </w:rPr>
      </w:pPr>
    </w:p>
    <w:p w14:paraId="184A90F1"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6.6 </w:t>
      </w:r>
      <w:r w:rsidRPr="000C67CB">
        <w:rPr>
          <w:rFonts w:ascii="Times New Roman" w:hAnsi="Times New Roman"/>
          <w:b/>
          <w:bCs/>
        </w:rPr>
        <w:tab/>
        <w:t>Špeciálne opatrenia na likvidáciu</w:t>
      </w:r>
    </w:p>
    <w:p w14:paraId="7FA73182" w14:textId="77777777" w:rsidR="00553706" w:rsidRPr="000C67CB" w:rsidRDefault="00553706">
      <w:pPr>
        <w:autoSpaceDE w:val="0"/>
        <w:autoSpaceDN w:val="0"/>
        <w:adjustRightInd w:val="0"/>
        <w:rPr>
          <w:rFonts w:ascii="Times New Roman" w:hAnsi="Times New Roman"/>
        </w:rPr>
      </w:pPr>
    </w:p>
    <w:p w14:paraId="7F2BA676" w14:textId="4B7CA215" w:rsidR="00553706" w:rsidRPr="00E660E4" w:rsidRDefault="00676A48">
      <w:pPr>
        <w:autoSpaceDE w:val="0"/>
        <w:autoSpaceDN w:val="0"/>
        <w:adjustRightInd w:val="0"/>
        <w:rPr>
          <w:rFonts w:ascii="Times New Roman" w:hAnsi="Times New Roman"/>
        </w:rPr>
      </w:pPr>
      <w:r w:rsidRPr="00E660E4">
        <w:rPr>
          <w:rFonts w:ascii="Times New Roman" w:hAnsi="Times New Roman"/>
        </w:rPr>
        <w:t>Všetok nepoužitý liek alebo odpad vzniknutý z lieku sa má zlikvidovať v súlade s národnými požiadavkami.</w:t>
      </w:r>
    </w:p>
    <w:p w14:paraId="52BE8B99" w14:textId="77777777" w:rsidR="004D0FB0" w:rsidRPr="000C67CB" w:rsidRDefault="004D0FB0">
      <w:pPr>
        <w:autoSpaceDE w:val="0"/>
        <w:autoSpaceDN w:val="0"/>
        <w:adjustRightInd w:val="0"/>
        <w:rPr>
          <w:rFonts w:ascii="Times New Roman" w:hAnsi="Times New Roman"/>
          <w:b/>
          <w:bCs/>
        </w:rPr>
      </w:pPr>
    </w:p>
    <w:p w14:paraId="489E0516" w14:textId="77777777" w:rsidR="002C524C" w:rsidRPr="000C67CB" w:rsidRDefault="002C524C">
      <w:pPr>
        <w:autoSpaceDE w:val="0"/>
        <w:autoSpaceDN w:val="0"/>
        <w:adjustRightInd w:val="0"/>
        <w:rPr>
          <w:rFonts w:ascii="Times New Roman" w:hAnsi="Times New Roman"/>
          <w:b/>
          <w:bCs/>
        </w:rPr>
      </w:pPr>
    </w:p>
    <w:p w14:paraId="7135FF85" w14:textId="77777777" w:rsidR="00553706" w:rsidRPr="000C67CB" w:rsidRDefault="00553706" w:rsidP="000C67CB">
      <w:pPr>
        <w:keepNext/>
        <w:autoSpaceDE w:val="0"/>
        <w:autoSpaceDN w:val="0"/>
        <w:adjustRightInd w:val="0"/>
        <w:rPr>
          <w:rFonts w:ascii="Times New Roman" w:hAnsi="Times New Roman"/>
          <w:b/>
          <w:bCs/>
        </w:rPr>
      </w:pPr>
      <w:r w:rsidRPr="000C67CB">
        <w:rPr>
          <w:rFonts w:ascii="Times New Roman" w:hAnsi="Times New Roman"/>
          <w:b/>
          <w:bCs/>
        </w:rPr>
        <w:t xml:space="preserve">7. </w:t>
      </w:r>
      <w:r w:rsidR="009C75F7" w:rsidRPr="000C67CB">
        <w:rPr>
          <w:rFonts w:ascii="Times New Roman" w:hAnsi="Times New Roman"/>
          <w:b/>
          <w:bCs/>
        </w:rPr>
        <w:tab/>
      </w:r>
      <w:r w:rsidRPr="000C67CB">
        <w:rPr>
          <w:rFonts w:ascii="Times New Roman" w:hAnsi="Times New Roman"/>
          <w:b/>
          <w:bCs/>
        </w:rPr>
        <w:t>DRŽITE</w:t>
      </w:r>
      <w:r w:rsidRPr="000C67CB">
        <w:rPr>
          <w:rFonts w:ascii="Times New Roman" w:eastAsia="TimesNewRomanPS-BoldMT" w:hAnsi="Times New Roman"/>
          <w:b/>
          <w:bCs/>
        </w:rPr>
        <w:t xml:space="preserve">Ľ </w:t>
      </w:r>
      <w:r w:rsidRPr="000C67CB">
        <w:rPr>
          <w:rFonts w:ascii="Times New Roman" w:hAnsi="Times New Roman"/>
          <w:b/>
          <w:bCs/>
        </w:rPr>
        <w:t>ROZHODNUTIA O REGISTRÁCII</w:t>
      </w:r>
    </w:p>
    <w:p w14:paraId="3F988C0D" w14:textId="77777777" w:rsidR="00553706" w:rsidRPr="000C67CB" w:rsidRDefault="00553706" w:rsidP="000C67CB">
      <w:pPr>
        <w:keepNext/>
        <w:autoSpaceDE w:val="0"/>
        <w:autoSpaceDN w:val="0"/>
        <w:adjustRightInd w:val="0"/>
        <w:rPr>
          <w:rFonts w:ascii="Times New Roman" w:hAnsi="Times New Roman"/>
        </w:rPr>
      </w:pPr>
    </w:p>
    <w:p w14:paraId="5A419694" w14:textId="77777777" w:rsidR="00553706" w:rsidRPr="00E660E4" w:rsidRDefault="00553706" w:rsidP="000C67CB">
      <w:pPr>
        <w:keepNext/>
        <w:autoSpaceDE w:val="0"/>
        <w:autoSpaceDN w:val="0"/>
        <w:adjustRightInd w:val="0"/>
        <w:rPr>
          <w:rFonts w:ascii="Times New Roman" w:hAnsi="Times New Roman"/>
        </w:rPr>
      </w:pPr>
      <w:r w:rsidRPr="00E660E4">
        <w:rPr>
          <w:rFonts w:ascii="Times New Roman" w:hAnsi="Times New Roman"/>
        </w:rPr>
        <w:t>STADA Arzneimittel AG</w:t>
      </w:r>
    </w:p>
    <w:p w14:paraId="213A8D06" w14:textId="77777777" w:rsidR="00553706" w:rsidRPr="00E660E4" w:rsidRDefault="00553706" w:rsidP="000C67CB">
      <w:pPr>
        <w:keepNext/>
        <w:autoSpaceDE w:val="0"/>
        <w:autoSpaceDN w:val="0"/>
        <w:adjustRightInd w:val="0"/>
        <w:rPr>
          <w:rFonts w:ascii="Times New Roman" w:hAnsi="Times New Roman"/>
        </w:rPr>
      </w:pPr>
      <w:r w:rsidRPr="00E660E4">
        <w:rPr>
          <w:rFonts w:ascii="Times New Roman" w:hAnsi="Times New Roman"/>
        </w:rPr>
        <w:t>Stadastrasse 2-18</w:t>
      </w:r>
    </w:p>
    <w:p w14:paraId="5E40F02D" w14:textId="77777777" w:rsidR="00553706" w:rsidRPr="00E660E4" w:rsidRDefault="00553706" w:rsidP="00E660E4">
      <w:pPr>
        <w:autoSpaceDE w:val="0"/>
        <w:autoSpaceDN w:val="0"/>
        <w:adjustRightInd w:val="0"/>
        <w:rPr>
          <w:rFonts w:ascii="Times New Roman" w:hAnsi="Times New Roman"/>
        </w:rPr>
      </w:pPr>
      <w:r w:rsidRPr="00E660E4">
        <w:rPr>
          <w:rFonts w:ascii="Times New Roman" w:hAnsi="Times New Roman"/>
        </w:rPr>
        <w:t>61118 Bad Vilbel</w:t>
      </w:r>
    </w:p>
    <w:p w14:paraId="7C4AD5BF" w14:textId="77777777" w:rsidR="00553706" w:rsidRPr="00E660E4" w:rsidRDefault="00553706">
      <w:pPr>
        <w:autoSpaceDE w:val="0"/>
        <w:autoSpaceDN w:val="0"/>
        <w:adjustRightInd w:val="0"/>
        <w:rPr>
          <w:rFonts w:ascii="Times New Roman" w:hAnsi="Times New Roman"/>
        </w:rPr>
      </w:pPr>
      <w:r w:rsidRPr="00E660E4">
        <w:rPr>
          <w:rFonts w:ascii="Times New Roman" w:hAnsi="Times New Roman"/>
        </w:rPr>
        <w:t>Nemecko</w:t>
      </w:r>
    </w:p>
    <w:p w14:paraId="5DF6F3B3" w14:textId="77777777" w:rsidR="00553706" w:rsidRPr="000C67CB" w:rsidRDefault="00553706">
      <w:pPr>
        <w:autoSpaceDE w:val="0"/>
        <w:autoSpaceDN w:val="0"/>
        <w:adjustRightInd w:val="0"/>
        <w:rPr>
          <w:rFonts w:ascii="Times New Roman" w:hAnsi="Times New Roman"/>
          <w:bCs/>
        </w:rPr>
      </w:pPr>
    </w:p>
    <w:p w14:paraId="65F008D8" w14:textId="77777777" w:rsidR="00553706" w:rsidRPr="000C67CB" w:rsidRDefault="00553706">
      <w:pPr>
        <w:autoSpaceDE w:val="0"/>
        <w:autoSpaceDN w:val="0"/>
        <w:adjustRightInd w:val="0"/>
        <w:rPr>
          <w:rFonts w:ascii="Times New Roman" w:hAnsi="Times New Roman"/>
          <w:bCs/>
        </w:rPr>
      </w:pPr>
    </w:p>
    <w:p w14:paraId="4490391C"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8. </w:t>
      </w:r>
      <w:r w:rsidRPr="000C67CB">
        <w:rPr>
          <w:rFonts w:ascii="Times New Roman" w:hAnsi="Times New Roman"/>
          <w:b/>
          <w:bCs/>
        </w:rPr>
        <w:tab/>
        <w:t>REGISTRA</w:t>
      </w:r>
      <w:r w:rsidRPr="000C67CB">
        <w:rPr>
          <w:rFonts w:ascii="Times New Roman" w:eastAsia="TimesNewRomanPS-BoldMT" w:hAnsi="Times New Roman"/>
          <w:b/>
          <w:bCs/>
        </w:rPr>
        <w:t>Č</w:t>
      </w:r>
      <w:r w:rsidRPr="000C67CB">
        <w:rPr>
          <w:rFonts w:ascii="Times New Roman" w:hAnsi="Times New Roman"/>
          <w:b/>
          <w:bCs/>
        </w:rPr>
        <w:t xml:space="preserve">NÉ </w:t>
      </w:r>
      <w:r w:rsidRPr="000C67CB">
        <w:rPr>
          <w:rFonts w:ascii="Times New Roman" w:eastAsia="TimesNewRomanPS-BoldMT" w:hAnsi="Times New Roman"/>
          <w:b/>
          <w:bCs/>
        </w:rPr>
        <w:t>Č</w:t>
      </w:r>
      <w:r w:rsidRPr="000C67CB">
        <w:rPr>
          <w:rFonts w:ascii="Times New Roman" w:hAnsi="Times New Roman"/>
          <w:b/>
          <w:bCs/>
        </w:rPr>
        <w:t>ÍSLA</w:t>
      </w:r>
    </w:p>
    <w:p w14:paraId="6BEBBD90" w14:textId="77777777" w:rsidR="00451D43" w:rsidRPr="000C67CB" w:rsidRDefault="00451D43">
      <w:pPr>
        <w:autoSpaceDE w:val="0"/>
        <w:autoSpaceDN w:val="0"/>
        <w:adjustRightInd w:val="0"/>
        <w:rPr>
          <w:rFonts w:ascii="Times New Roman" w:hAnsi="Times New Roman"/>
          <w:bCs/>
        </w:rPr>
      </w:pPr>
    </w:p>
    <w:p w14:paraId="4DD427B6" w14:textId="77777777" w:rsidR="00451D43" w:rsidRPr="000C67CB" w:rsidRDefault="00323947">
      <w:pPr>
        <w:autoSpaceDE w:val="0"/>
        <w:autoSpaceDN w:val="0"/>
        <w:adjustRightInd w:val="0"/>
        <w:rPr>
          <w:rFonts w:ascii="Times New Roman" w:hAnsi="Times New Roman"/>
          <w:bCs/>
        </w:rPr>
      </w:pPr>
      <w:r w:rsidRPr="000C67CB">
        <w:rPr>
          <w:rFonts w:ascii="Times New Roman" w:hAnsi="Times New Roman"/>
          <w:bCs/>
        </w:rPr>
        <w:t xml:space="preserve">Levetiracetam STADA 250 mg: </w:t>
      </w:r>
      <w:r w:rsidR="00451D43" w:rsidRPr="000C67CB">
        <w:rPr>
          <w:rFonts w:ascii="Times New Roman" w:hAnsi="Times New Roman"/>
          <w:bCs/>
        </w:rPr>
        <w:t>21/0092/12-S</w:t>
      </w:r>
    </w:p>
    <w:p w14:paraId="5F044842" w14:textId="77777777" w:rsidR="00323947" w:rsidRPr="000C67CB" w:rsidRDefault="00323947">
      <w:pPr>
        <w:autoSpaceDE w:val="0"/>
        <w:autoSpaceDN w:val="0"/>
        <w:adjustRightInd w:val="0"/>
        <w:rPr>
          <w:rFonts w:ascii="Times New Roman" w:hAnsi="Times New Roman"/>
          <w:bCs/>
        </w:rPr>
      </w:pPr>
      <w:r w:rsidRPr="000C67CB">
        <w:rPr>
          <w:rFonts w:ascii="Times New Roman" w:hAnsi="Times New Roman"/>
          <w:bCs/>
        </w:rPr>
        <w:t>Levetiracetam STADA 500 mg: 21/0093/12-S</w:t>
      </w:r>
    </w:p>
    <w:p w14:paraId="4254EF55" w14:textId="77777777" w:rsidR="00323947" w:rsidRPr="000C67CB" w:rsidRDefault="00323947">
      <w:pPr>
        <w:autoSpaceDE w:val="0"/>
        <w:autoSpaceDN w:val="0"/>
        <w:adjustRightInd w:val="0"/>
        <w:rPr>
          <w:rFonts w:ascii="Times New Roman" w:hAnsi="Times New Roman"/>
          <w:bCs/>
        </w:rPr>
      </w:pPr>
      <w:r w:rsidRPr="000C67CB">
        <w:rPr>
          <w:rFonts w:ascii="Times New Roman" w:hAnsi="Times New Roman"/>
          <w:bCs/>
        </w:rPr>
        <w:t>Levetiracetam STADA 1000 mg: 21/0094/12-S</w:t>
      </w:r>
    </w:p>
    <w:p w14:paraId="4F6E642C" w14:textId="77777777" w:rsidR="00553706" w:rsidRPr="000C67CB" w:rsidRDefault="00553706">
      <w:pPr>
        <w:autoSpaceDE w:val="0"/>
        <w:autoSpaceDN w:val="0"/>
        <w:adjustRightInd w:val="0"/>
        <w:rPr>
          <w:rFonts w:ascii="Times New Roman" w:hAnsi="Times New Roman"/>
          <w:bCs/>
        </w:rPr>
      </w:pPr>
    </w:p>
    <w:p w14:paraId="5905D316" w14:textId="77777777" w:rsidR="00553706" w:rsidRPr="000C67CB" w:rsidRDefault="00553706">
      <w:pPr>
        <w:autoSpaceDE w:val="0"/>
        <w:autoSpaceDN w:val="0"/>
        <w:adjustRightInd w:val="0"/>
        <w:rPr>
          <w:rFonts w:ascii="Times New Roman" w:hAnsi="Times New Roman"/>
          <w:bCs/>
        </w:rPr>
      </w:pPr>
    </w:p>
    <w:p w14:paraId="4F7FCA6F"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9. </w:t>
      </w:r>
      <w:r w:rsidRPr="000C67CB">
        <w:rPr>
          <w:rFonts w:ascii="Times New Roman" w:hAnsi="Times New Roman"/>
          <w:b/>
          <w:bCs/>
        </w:rPr>
        <w:tab/>
        <w:t>DÁTUM PRVEJ REGISTRÁCIE/ PRED</w:t>
      </w:r>
      <w:r w:rsidRPr="000C67CB">
        <w:rPr>
          <w:rFonts w:ascii="Times New Roman" w:eastAsia="TimesNewRomanPS-BoldMT" w:hAnsi="Times New Roman"/>
          <w:b/>
          <w:bCs/>
        </w:rPr>
        <w:t>Ĺ</w:t>
      </w:r>
      <w:r w:rsidRPr="000C67CB">
        <w:rPr>
          <w:rFonts w:ascii="Times New Roman" w:hAnsi="Times New Roman"/>
          <w:b/>
          <w:bCs/>
        </w:rPr>
        <w:t>ŽENIA REGISTRÁCIE</w:t>
      </w:r>
    </w:p>
    <w:p w14:paraId="7485DD30" w14:textId="77777777" w:rsidR="00553706" w:rsidRPr="000C67CB" w:rsidRDefault="00553706">
      <w:pPr>
        <w:autoSpaceDE w:val="0"/>
        <w:autoSpaceDN w:val="0"/>
        <w:adjustRightInd w:val="0"/>
        <w:rPr>
          <w:rFonts w:ascii="Times New Roman" w:hAnsi="Times New Roman"/>
          <w:bCs/>
        </w:rPr>
      </w:pPr>
    </w:p>
    <w:p w14:paraId="4E83649C" w14:textId="77777777" w:rsidR="00BC73D8" w:rsidRPr="000C67CB" w:rsidRDefault="009C75F7">
      <w:pPr>
        <w:autoSpaceDE w:val="0"/>
        <w:autoSpaceDN w:val="0"/>
        <w:adjustRightInd w:val="0"/>
        <w:rPr>
          <w:rFonts w:ascii="Times New Roman" w:hAnsi="Times New Roman"/>
          <w:bCs/>
        </w:rPr>
      </w:pPr>
      <w:r w:rsidRPr="000C67CB">
        <w:rPr>
          <w:rFonts w:ascii="Times New Roman" w:hAnsi="Times New Roman"/>
          <w:bCs/>
        </w:rPr>
        <w:t xml:space="preserve">Dátum prvej registrácie: </w:t>
      </w:r>
      <w:r w:rsidR="00BC73D8" w:rsidRPr="000C67CB">
        <w:rPr>
          <w:rFonts w:ascii="Times New Roman" w:hAnsi="Times New Roman"/>
          <w:bCs/>
        </w:rPr>
        <w:t>24.</w:t>
      </w:r>
      <w:r w:rsidRPr="000C67CB">
        <w:rPr>
          <w:rFonts w:ascii="Times New Roman" w:hAnsi="Times New Roman"/>
          <w:bCs/>
        </w:rPr>
        <w:t xml:space="preserve"> februára </w:t>
      </w:r>
      <w:r w:rsidR="00BC73D8" w:rsidRPr="000C67CB">
        <w:rPr>
          <w:rFonts w:ascii="Times New Roman" w:hAnsi="Times New Roman"/>
          <w:bCs/>
        </w:rPr>
        <w:t>2012</w:t>
      </w:r>
    </w:p>
    <w:p w14:paraId="21B79D59" w14:textId="77777777" w:rsidR="00FB0237" w:rsidRPr="000C67CB" w:rsidRDefault="00FB0237">
      <w:pPr>
        <w:autoSpaceDE w:val="0"/>
        <w:autoSpaceDN w:val="0"/>
        <w:adjustRightInd w:val="0"/>
        <w:rPr>
          <w:rFonts w:ascii="Times New Roman" w:hAnsi="Times New Roman"/>
          <w:bCs/>
        </w:rPr>
      </w:pPr>
      <w:r w:rsidRPr="000C67CB">
        <w:rPr>
          <w:rFonts w:ascii="Times New Roman" w:hAnsi="Times New Roman"/>
          <w:bCs/>
        </w:rPr>
        <w:t xml:space="preserve">Dátum posledného predĺženia registrácie: </w:t>
      </w:r>
      <w:r w:rsidR="00405CBA" w:rsidRPr="000C67CB">
        <w:rPr>
          <w:rFonts w:ascii="Times New Roman" w:hAnsi="Times New Roman"/>
          <w:bCs/>
        </w:rPr>
        <w:t>21. decembra 2015</w:t>
      </w:r>
    </w:p>
    <w:p w14:paraId="1C1C2FA8" w14:textId="77777777" w:rsidR="00BC73D8" w:rsidRPr="000C67CB" w:rsidRDefault="00BC73D8">
      <w:pPr>
        <w:autoSpaceDE w:val="0"/>
        <w:autoSpaceDN w:val="0"/>
        <w:adjustRightInd w:val="0"/>
        <w:rPr>
          <w:rFonts w:ascii="Times New Roman" w:hAnsi="Times New Roman"/>
          <w:bCs/>
        </w:rPr>
      </w:pPr>
    </w:p>
    <w:p w14:paraId="005D0F16" w14:textId="77777777" w:rsidR="00553706" w:rsidRPr="000C67CB" w:rsidRDefault="00553706">
      <w:pPr>
        <w:autoSpaceDE w:val="0"/>
        <w:autoSpaceDN w:val="0"/>
        <w:adjustRightInd w:val="0"/>
        <w:rPr>
          <w:rFonts w:ascii="Times New Roman" w:hAnsi="Times New Roman"/>
          <w:bCs/>
        </w:rPr>
      </w:pPr>
    </w:p>
    <w:p w14:paraId="0D18644F" w14:textId="77777777" w:rsidR="00553706" w:rsidRPr="000C67CB" w:rsidRDefault="00553706">
      <w:pPr>
        <w:autoSpaceDE w:val="0"/>
        <w:autoSpaceDN w:val="0"/>
        <w:adjustRightInd w:val="0"/>
        <w:rPr>
          <w:rFonts w:ascii="Times New Roman" w:hAnsi="Times New Roman"/>
          <w:b/>
          <w:bCs/>
        </w:rPr>
      </w:pPr>
      <w:r w:rsidRPr="000C67CB">
        <w:rPr>
          <w:rFonts w:ascii="Times New Roman" w:hAnsi="Times New Roman"/>
          <w:b/>
          <w:bCs/>
        </w:rPr>
        <w:t xml:space="preserve">10. </w:t>
      </w:r>
      <w:r w:rsidRPr="000C67CB">
        <w:rPr>
          <w:rFonts w:ascii="Times New Roman" w:hAnsi="Times New Roman"/>
          <w:b/>
          <w:bCs/>
        </w:rPr>
        <w:tab/>
        <w:t>DÁTUM REVÍZIE TEXTU</w:t>
      </w:r>
    </w:p>
    <w:p w14:paraId="7BCCEFB5" w14:textId="77777777" w:rsidR="004370FF" w:rsidRPr="000C67CB" w:rsidRDefault="004370FF">
      <w:pPr>
        <w:autoSpaceDE w:val="0"/>
        <w:autoSpaceDN w:val="0"/>
        <w:adjustRightInd w:val="0"/>
        <w:rPr>
          <w:rFonts w:ascii="Times New Roman" w:hAnsi="Times New Roman"/>
          <w:b/>
          <w:bCs/>
        </w:rPr>
      </w:pPr>
    </w:p>
    <w:p w14:paraId="0014E623" w14:textId="6CD4FE66" w:rsidR="004370FF" w:rsidRPr="000C67CB" w:rsidRDefault="00476851">
      <w:pPr>
        <w:autoSpaceDE w:val="0"/>
        <w:autoSpaceDN w:val="0"/>
        <w:adjustRightInd w:val="0"/>
        <w:rPr>
          <w:rFonts w:ascii="Times New Roman" w:hAnsi="Times New Roman"/>
          <w:bCs/>
        </w:rPr>
      </w:pPr>
      <w:r>
        <w:rPr>
          <w:rFonts w:ascii="Times New Roman" w:hAnsi="Times New Roman"/>
          <w:bCs/>
        </w:rPr>
        <w:t>Apríl</w:t>
      </w:r>
      <w:bookmarkStart w:id="0" w:name="_GoBack"/>
      <w:bookmarkEnd w:id="0"/>
      <w:r w:rsidR="00922AC3">
        <w:rPr>
          <w:rFonts w:ascii="Times New Roman" w:hAnsi="Times New Roman"/>
          <w:bCs/>
        </w:rPr>
        <w:t xml:space="preserve"> 2020</w:t>
      </w:r>
    </w:p>
    <w:sectPr w:rsidR="004370FF" w:rsidRPr="000C67CB" w:rsidSect="00476851">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A90E4" w14:textId="77777777" w:rsidR="00D92B61" w:rsidRDefault="00D92B61" w:rsidP="001C6F35">
      <w:r>
        <w:separator/>
      </w:r>
    </w:p>
  </w:endnote>
  <w:endnote w:type="continuationSeparator" w:id="0">
    <w:p w14:paraId="47ADE53D" w14:textId="77777777" w:rsidR="00D92B61" w:rsidRDefault="00D92B61" w:rsidP="001C6F35">
      <w:r>
        <w:continuationSeparator/>
      </w:r>
    </w:p>
  </w:endnote>
  <w:endnote w:type="continuationNotice" w:id="1">
    <w:p w14:paraId="3BB694E5" w14:textId="77777777" w:rsidR="00D92B61" w:rsidRDefault="00D92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MT">
    <w:altName w:val="MS Mincho"/>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0"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4537D" w14:textId="0EAE60F7" w:rsidR="00210A92" w:rsidRPr="00476851" w:rsidRDefault="00210A92" w:rsidP="00476851">
    <w:pPr>
      <w:pStyle w:val="Pta"/>
      <w:jc w:val="center"/>
      <w:rPr>
        <w:rFonts w:ascii="Times New Roman" w:hAnsi="Times New Roman"/>
        <w:sz w:val="18"/>
        <w:szCs w:val="18"/>
      </w:rPr>
    </w:pPr>
    <w:r w:rsidRPr="005D78EE">
      <w:rPr>
        <w:rFonts w:ascii="Times New Roman" w:hAnsi="Times New Roman"/>
        <w:sz w:val="18"/>
        <w:szCs w:val="18"/>
      </w:rPr>
      <w:fldChar w:fldCharType="begin"/>
    </w:r>
    <w:r w:rsidRPr="005D78EE">
      <w:rPr>
        <w:rFonts w:ascii="Times New Roman" w:hAnsi="Times New Roman"/>
        <w:sz w:val="18"/>
        <w:szCs w:val="18"/>
      </w:rPr>
      <w:instrText>PAGE   \* MERGEFORMAT</w:instrText>
    </w:r>
    <w:r w:rsidRPr="005D78EE">
      <w:rPr>
        <w:rFonts w:ascii="Times New Roman" w:hAnsi="Times New Roman"/>
        <w:sz w:val="18"/>
        <w:szCs w:val="18"/>
      </w:rPr>
      <w:fldChar w:fldCharType="separate"/>
    </w:r>
    <w:r w:rsidR="00476851">
      <w:rPr>
        <w:rFonts w:ascii="Times New Roman" w:hAnsi="Times New Roman"/>
        <w:noProof/>
        <w:sz w:val="18"/>
        <w:szCs w:val="18"/>
      </w:rPr>
      <w:t>17</w:t>
    </w:r>
    <w:r w:rsidRPr="005D78EE">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7115F" w14:textId="77777777" w:rsidR="00210A92" w:rsidRPr="00405CBA" w:rsidRDefault="00210A92">
    <w:pPr>
      <w:pStyle w:val="Pta"/>
      <w:jc w:val="center"/>
      <w:rPr>
        <w:rFonts w:ascii="Times New Roman" w:hAnsi="Times New Roman"/>
        <w:sz w:val="18"/>
        <w:szCs w:val="18"/>
      </w:rPr>
    </w:pPr>
    <w:r w:rsidRPr="00405CBA">
      <w:rPr>
        <w:rFonts w:ascii="Times New Roman" w:hAnsi="Times New Roman"/>
        <w:sz w:val="18"/>
        <w:szCs w:val="18"/>
      </w:rPr>
      <w:fldChar w:fldCharType="begin"/>
    </w:r>
    <w:r w:rsidRPr="00405CBA">
      <w:rPr>
        <w:rFonts w:ascii="Times New Roman" w:hAnsi="Times New Roman"/>
        <w:sz w:val="18"/>
        <w:szCs w:val="18"/>
      </w:rPr>
      <w:instrText>PAGE   \* MERGEFORMAT</w:instrText>
    </w:r>
    <w:r w:rsidRPr="00405CBA">
      <w:rPr>
        <w:rFonts w:ascii="Times New Roman" w:hAnsi="Times New Roman"/>
        <w:sz w:val="18"/>
        <w:szCs w:val="18"/>
      </w:rPr>
      <w:fldChar w:fldCharType="separate"/>
    </w:r>
    <w:r w:rsidRPr="00E70A7F">
      <w:rPr>
        <w:rFonts w:ascii="Times New Roman" w:hAnsi="Times New Roman"/>
        <w:noProof/>
        <w:sz w:val="18"/>
        <w:szCs w:val="18"/>
        <w:lang w:val="sk-SK"/>
      </w:rPr>
      <w:t>1</w:t>
    </w:r>
    <w:r w:rsidRPr="00405CBA">
      <w:rPr>
        <w:rFonts w:ascii="Times New Roman" w:hAnsi="Times New Roman"/>
        <w:sz w:val="18"/>
        <w:szCs w:val="18"/>
      </w:rPr>
      <w:fldChar w:fldCharType="end"/>
    </w:r>
  </w:p>
  <w:p w14:paraId="2BA21499" w14:textId="77777777" w:rsidR="00210A92" w:rsidRDefault="00210A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F4392" w14:textId="77777777" w:rsidR="00D92B61" w:rsidRDefault="00D92B61" w:rsidP="001C6F35">
      <w:r>
        <w:separator/>
      </w:r>
    </w:p>
  </w:footnote>
  <w:footnote w:type="continuationSeparator" w:id="0">
    <w:p w14:paraId="41D5B383" w14:textId="77777777" w:rsidR="00D92B61" w:rsidRDefault="00D92B61" w:rsidP="001C6F35">
      <w:r>
        <w:continuationSeparator/>
      </w:r>
    </w:p>
  </w:footnote>
  <w:footnote w:type="continuationNotice" w:id="1">
    <w:p w14:paraId="4C80F799" w14:textId="77777777" w:rsidR="00D92B61" w:rsidRDefault="00D92B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55C4" w14:textId="0EE035AC" w:rsidR="00210A92" w:rsidRDefault="00210A92">
    <w:pPr>
      <w:pStyle w:val="Hlavika"/>
    </w:pPr>
    <w:r>
      <w:rPr>
        <w:rFonts w:ascii="Times New Roman" w:hAnsi="Times New Roman"/>
        <w:sz w:val="18"/>
        <w:szCs w:val="18"/>
        <w:lang w:val="sk-SK"/>
      </w:rPr>
      <w:t>Príloha č. 1 k notifikácii o zmene, ev. č.: 2019/06978-Z1B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D7A4" w14:textId="42F64582" w:rsidR="00210A92" w:rsidRDefault="00210A92">
    <w:pPr>
      <w:pStyle w:val="Hlavika"/>
      <w:rPr>
        <w:rFonts w:ascii="Times New Roman" w:hAnsi="Times New Roman"/>
        <w:sz w:val="18"/>
        <w:szCs w:val="18"/>
        <w:lang w:val="sk-SK"/>
      </w:rPr>
    </w:pPr>
  </w:p>
  <w:p w14:paraId="3BFBA51E" w14:textId="77777777" w:rsidR="00210A92" w:rsidRPr="00330EB3" w:rsidRDefault="00210A92" w:rsidP="006A6569">
    <w:pPr>
      <w:pStyle w:val="Hlavika"/>
      <w:rPr>
        <w:rFonts w:ascii="Times New Roman" w:hAnsi="Times New Roman"/>
        <w:sz w:val="18"/>
        <w:szCs w:val="18"/>
        <w:lang w:val="sk-SK"/>
      </w:rPr>
    </w:pPr>
    <w:r>
      <w:rPr>
        <w:rFonts w:ascii="Times New Roman" w:hAnsi="Times New Roman"/>
        <w:sz w:val="18"/>
        <w:szCs w:val="18"/>
        <w:lang w:val="sk-SK"/>
      </w:rPr>
      <w:t>Príloha č. 1 k notifikácii o zmene, ev. č.: 2017/00256-Z1B</w:t>
    </w:r>
  </w:p>
  <w:p w14:paraId="39726F7E" w14:textId="77777777" w:rsidR="00210A92" w:rsidRPr="00330EB3" w:rsidRDefault="00210A92">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3349"/>
    <w:multiLevelType w:val="hybridMultilevel"/>
    <w:tmpl w:val="44468B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B6"/>
    <w:rsid w:val="00004D72"/>
    <w:rsid w:val="0001052E"/>
    <w:rsid w:val="00010619"/>
    <w:rsid w:val="000136A5"/>
    <w:rsid w:val="000138D3"/>
    <w:rsid w:val="000167D5"/>
    <w:rsid w:val="00016A56"/>
    <w:rsid w:val="0002081B"/>
    <w:rsid w:val="00023FF2"/>
    <w:rsid w:val="00031D8B"/>
    <w:rsid w:val="00031E85"/>
    <w:rsid w:val="00031F70"/>
    <w:rsid w:val="000332FD"/>
    <w:rsid w:val="0003394A"/>
    <w:rsid w:val="00035DEC"/>
    <w:rsid w:val="00035E8D"/>
    <w:rsid w:val="00036153"/>
    <w:rsid w:val="00037561"/>
    <w:rsid w:val="000408B5"/>
    <w:rsid w:val="0006091A"/>
    <w:rsid w:val="00061F75"/>
    <w:rsid w:val="00063406"/>
    <w:rsid w:val="000666DB"/>
    <w:rsid w:val="0009011F"/>
    <w:rsid w:val="00092B9C"/>
    <w:rsid w:val="000945A8"/>
    <w:rsid w:val="000968DB"/>
    <w:rsid w:val="00096CEA"/>
    <w:rsid w:val="000A1DF5"/>
    <w:rsid w:val="000A3C1A"/>
    <w:rsid w:val="000A415F"/>
    <w:rsid w:val="000A483C"/>
    <w:rsid w:val="000A76D0"/>
    <w:rsid w:val="000B00DE"/>
    <w:rsid w:val="000B02D2"/>
    <w:rsid w:val="000B3FFA"/>
    <w:rsid w:val="000B5720"/>
    <w:rsid w:val="000B574D"/>
    <w:rsid w:val="000C2222"/>
    <w:rsid w:val="000C4575"/>
    <w:rsid w:val="000C67CB"/>
    <w:rsid w:val="000D035F"/>
    <w:rsid w:val="000D16A2"/>
    <w:rsid w:val="000D4503"/>
    <w:rsid w:val="000D554C"/>
    <w:rsid w:val="000D6CCE"/>
    <w:rsid w:val="000D7C5C"/>
    <w:rsid w:val="000E0004"/>
    <w:rsid w:val="000E2950"/>
    <w:rsid w:val="000E2E44"/>
    <w:rsid w:val="000E3FDF"/>
    <w:rsid w:val="000E42C2"/>
    <w:rsid w:val="000F106F"/>
    <w:rsid w:val="000F1F25"/>
    <w:rsid w:val="000F3C43"/>
    <w:rsid w:val="000F4255"/>
    <w:rsid w:val="000F70C6"/>
    <w:rsid w:val="00102945"/>
    <w:rsid w:val="0010342B"/>
    <w:rsid w:val="00104EEC"/>
    <w:rsid w:val="001136AE"/>
    <w:rsid w:val="00113E0E"/>
    <w:rsid w:val="001153ED"/>
    <w:rsid w:val="0012179F"/>
    <w:rsid w:val="001235FC"/>
    <w:rsid w:val="00126DED"/>
    <w:rsid w:val="00127593"/>
    <w:rsid w:val="001301E7"/>
    <w:rsid w:val="00132DC4"/>
    <w:rsid w:val="00134260"/>
    <w:rsid w:val="001343B0"/>
    <w:rsid w:val="00134948"/>
    <w:rsid w:val="0013570D"/>
    <w:rsid w:val="00143AAB"/>
    <w:rsid w:val="00144D8B"/>
    <w:rsid w:val="00145BF5"/>
    <w:rsid w:val="001464A6"/>
    <w:rsid w:val="00147419"/>
    <w:rsid w:val="00152C55"/>
    <w:rsid w:val="00153977"/>
    <w:rsid w:val="00153FFD"/>
    <w:rsid w:val="001547F7"/>
    <w:rsid w:val="00154B2A"/>
    <w:rsid w:val="001556D5"/>
    <w:rsid w:val="001614B5"/>
    <w:rsid w:val="00164511"/>
    <w:rsid w:val="00166462"/>
    <w:rsid w:val="0016700F"/>
    <w:rsid w:val="00167760"/>
    <w:rsid w:val="00172A0A"/>
    <w:rsid w:val="0017457A"/>
    <w:rsid w:val="0017607A"/>
    <w:rsid w:val="001821DA"/>
    <w:rsid w:val="0018747D"/>
    <w:rsid w:val="00192ADD"/>
    <w:rsid w:val="00192EA7"/>
    <w:rsid w:val="001933B1"/>
    <w:rsid w:val="00193AE0"/>
    <w:rsid w:val="00194940"/>
    <w:rsid w:val="00195810"/>
    <w:rsid w:val="001A13F0"/>
    <w:rsid w:val="001A1D72"/>
    <w:rsid w:val="001A3B76"/>
    <w:rsid w:val="001A43BB"/>
    <w:rsid w:val="001B74E1"/>
    <w:rsid w:val="001C18E0"/>
    <w:rsid w:val="001C6723"/>
    <w:rsid w:val="001C6F35"/>
    <w:rsid w:val="001D5AAB"/>
    <w:rsid w:val="001E4338"/>
    <w:rsid w:val="001E4DC5"/>
    <w:rsid w:val="001E5989"/>
    <w:rsid w:val="001F1A5E"/>
    <w:rsid w:val="001F1EB2"/>
    <w:rsid w:val="001F40AD"/>
    <w:rsid w:val="001F42CC"/>
    <w:rsid w:val="00210A92"/>
    <w:rsid w:val="00212D8B"/>
    <w:rsid w:val="002158BD"/>
    <w:rsid w:val="00221034"/>
    <w:rsid w:val="00226893"/>
    <w:rsid w:val="00232256"/>
    <w:rsid w:val="002377AE"/>
    <w:rsid w:val="00240256"/>
    <w:rsid w:val="0024103A"/>
    <w:rsid w:val="002505D1"/>
    <w:rsid w:val="00251B4B"/>
    <w:rsid w:val="00251C78"/>
    <w:rsid w:val="00253117"/>
    <w:rsid w:val="002552EC"/>
    <w:rsid w:val="00255A34"/>
    <w:rsid w:val="002567F9"/>
    <w:rsid w:val="00261552"/>
    <w:rsid w:val="00262B8B"/>
    <w:rsid w:val="002647F1"/>
    <w:rsid w:val="00265CFE"/>
    <w:rsid w:val="002729D4"/>
    <w:rsid w:val="00273A3E"/>
    <w:rsid w:val="00274B97"/>
    <w:rsid w:val="00283240"/>
    <w:rsid w:val="00284A54"/>
    <w:rsid w:val="00284C46"/>
    <w:rsid w:val="0028747B"/>
    <w:rsid w:val="00287CFD"/>
    <w:rsid w:val="00290BE7"/>
    <w:rsid w:val="00293C4C"/>
    <w:rsid w:val="00294423"/>
    <w:rsid w:val="002948B0"/>
    <w:rsid w:val="00296E23"/>
    <w:rsid w:val="002A2429"/>
    <w:rsid w:val="002A345C"/>
    <w:rsid w:val="002B0E30"/>
    <w:rsid w:val="002B30D1"/>
    <w:rsid w:val="002B323B"/>
    <w:rsid w:val="002B3A9E"/>
    <w:rsid w:val="002B3B94"/>
    <w:rsid w:val="002B47B6"/>
    <w:rsid w:val="002C141E"/>
    <w:rsid w:val="002C4722"/>
    <w:rsid w:val="002C524C"/>
    <w:rsid w:val="002C6F8C"/>
    <w:rsid w:val="002D2B65"/>
    <w:rsid w:val="002D47F0"/>
    <w:rsid w:val="002D6762"/>
    <w:rsid w:val="002D6E76"/>
    <w:rsid w:val="002E370A"/>
    <w:rsid w:val="002E50F0"/>
    <w:rsid w:val="002E6DFD"/>
    <w:rsid w:val="002E7376"/>
    <w:rsid w:val="002F01DD"/>
    <w:rsid w:val="002F2CD2"/>
    <w:rsid w:val="002F2E55"/>
    <w:rsid w:val="002F5252"/>
    <w:rsid w:val="002F5651"/>
    <w:rsid w:val="002F766F"/>
    <w:rsid w:val="00301775"/>
    <w:rsid w:val="00311897"/>
    <w:rsid w:val="00314D98"/>
    <w:rsid w:val="00321FB7"/>
    <w:rsid w:val="003222DA"/>
    <w:rsid w:val="00323947"/>
    <w:rsid w:val="00324C17"/>
    <w:rsid w:val="00325A64"/>
    <w:rsid w:val="003306C0"/>
    <w:rsid w:val="00330EB3"/>
    <w:rsid w:val="00334DB6"/>
    <w:rsid w:val="003372CB"/>
    <w:rsid w:val="00341C95"/>
    <w:rsid w:val="00343B51"/>
    <w:rsid w:val="00344C0E"/>
    <w:rsid w:val="00345C16"/>
    <w:rsid w:val="00351C84"/>
    <w:rsid w:val="0035258C"/>
    <w:rsid w:val="00356338"/>
    <w:rsid w:val="00361A21"/>
    <w:rsid w:val="00364A55"/>
    <w:rsid w:val="00376FD5"/>
    <w:rsid w:val="00380A54"/>
    <w:rsid w:val="00380B18"/>
    <w:rsid w:val="00385F60"/>
    <w:rsid w:val="0038770E"/>
    <w:rsid w:val="0038792F"/>
    <w:rsid w:val="003954B3"/>
    <w:rsid w:val="003963D2"/>
    <w:rsid w:val="00396E70"/>
    <w:rsid w:val="003978F8"/>
    <w:rsid w:val="003A2AC5"/>
    <w:rsid w:val="003A3D25"/>
    <w:rsid w:val="003A75E4"/>
    <w:rsid w:val="003B0824"/>
    <w:rsid w:val="003B3865"/>
    <w:rsid w:val="003B3960"/>
    <w:rsid w:val="003B48CF"/>
    <w:rsid w:val="003C41A3"/>
    <w:rsid w:val="003C7EDE"/>
    <w:rsid w:val="003D4138"/>
    <w:rsid w:val="003D470D"/>
    <w:rsid w:val="003D4D7B"/>
    <w:rsid w:val="003D6264"/>
    <w:rsid w:val="003D793A"/>
    <w:rsid w:val="003E4C6C"/>
    <w:rsid w:val="003E7682"/>
    <w:rsid w:val="003F6554"/>
    <w:rsid w:val="003F7D31"/>
    <w:rsid w:val="004006B8"/>
    <w:rsid w:val="004021FB"/>
    <w:rsid w:val="004036EE"/>
    <w:rsid w:val="004053FB"/>
    <w:rsid w:val="00405CBA"/>
    <w:rsid w:val="00405D24"/>
    <w:rsid w:val="004060E9"/>
    <w:rsid w:val="00410212"/>
    <w:rsid w:val="004232AB"/>
    <w:rsid w:val="0042559E"/>
    <w:rsid w:val="00427C44"/>
    <w:rsid w:val="004370FF"/>
    <w:rsid w:val="00442D7A"/>
    <w:rsid w:val="00450FDF"/>
    <w:rsid w:val="00451D43"/>
    <w:rsid w:val="00455AAC"/>
    <w:rsid w:val="00455B3C"/>
    <w:rsid w:val="004676D8"/>
    <w:rsid w:val="00467E0A"/>
    <w:rsid w:val="00471739"/>
    <w:rsid w:val="00473788"/>
    <w:rsid w:val="00476851"/>
    <w:rsid w:val="0048457F"/>
    <w:rsid w:val="00484C4E"/>
    <w:rsid w:val="00487D77"/>
    <w:rsid w:val="00490CB1"/>
    <w:rsid w:val="00491B19"/>
    <w:rsid w:val="00492AA0"/>
    <w:rsid w:val="004B0485"/>
    <w:rsid w:val="004B0913"/>
    <w:rsid w:val="004B3D91"/>
    <w:rsid w:val="004C01DB"/>
    <w:rsid w:val="004C69DD"/>
    <w:rsid w:val="004D0FB0"/>
    <w:rsid w:val="004D3E90"/>
    <w:rsid w:val="004E6B72"/>
    <w:rsid w:val="004E7995"/>
    <w:rsid w:val="004F2067"/>
    <w:rsid w:val="004F2E20"/>
    <w:rsid w:val="004F40B7"/>
    <w:rsid w:val="004F4108"/>
    <w:rsid w:val="00501B01"/>
    <w:rsid w:val="00502A90"/>
    <w:rsid w:val="00507AC3"/>
    <w:rsid w:val="0051143B"/>
    <w:rsid w:val="00517065"/>
    <w:rsid w:val="0052118E"/>
    <w:rsid w:val="005214BB"/>
    <w:rsid w:val="005222E4"/>
    <w:rsid w:val="00541C60"/>
    <w:rsid w:val="005469FC"/>
    <w:rsid w:val="00551C9C"/>
    <w:rsid w:val="0055228C"/>
    <w:rsid w:val="00552543"/>
    <w:rsid w:val="0055326E"/>
    <w:rsid w:val="00553706"/>
    <w:rsid w:val="00554DCB"/>
    <w:rsid w:val="005613CF"/>
    <w:rsid w:val="0056178D"/>
    <w:rsid w:val="0056360C"/>
    <w:rsid w:val="00566BB8"/>
    <w:rsid w:val="005723FC"/>
    <w:rsid w:val="00573408"/>
    <w:rsid w:val="00574344"/>
    <w:rsid w:val="0057614B"/>
    <w:rsid w:val="0057727D"/>
    <w:rsid w:val="00583191"/>
    <w:rsid w:val="00585179"/>
    <w:rsid w:val="00592963"/>
    <w:rsid w:val="005933AB"/>
    <w:rsid w:val="005934D7"/>
    <w:rsid w:val="00597FB9"/>
    <w:rsid w:val="005A15B3"/>
    <w:rsid w:val="005A18FC"/>
    <w:rsid w:val="005A3582"/>
    <w:rsid w:val="005B0009"/>
    <w:rsid w:val="005B622C"/>
    <w:rsid w:val="005C0533"/>
    <w:rsid w:val="005C2C43"/>
    <w:rsid w:val="005C37BF"/>
    <w:rsid w:val="005C7A39"/>
    <w:rsid w:val="005D0C60"/>
    <w:rsid w:val="005D78EE"/>
    <w:rsid w:val="005E2105"/>
    <w:rsid w:val="005E30C7"/>
    <w:rsid w:val="005E324E"/>
    <w:rsid w:val="005E44A4"/>
    <w:rsid w:val="005E4E4F"/>
    <w:rsid w:val="005F25EF"/>
    <w:rsid w:val="005F3CC5"/>
    <w:rsid w:val="005F49CB"/>
    <w:rsid w:val="00604124"/>
    <w:rsid w:val="00611327"/>
    <w:rsid w:val="00617D12"/>
    <w:rsid w:val="00621D48"/>
    <w:rsid w:val="006243C3"/>
    <w:rsid w:val="00627476"/>
    <w:rsid w:val="00627F56"/>
    <w:rsid w:val="00635C0E"/>
    <w:rsid w:val="0063683C"/>
    <w:rsid w:val="00636CA9"/>
    <w:rsid w:val="006425D4"/>
    <w:rsid w:val="0064748F"/>
    <w:rsid w:val="00653DC7"/>
    <w:rsid w:val="00664D1E"/>
    <w:rsid w:val="00665559"/>
    <w:rsid w:val="00665D49"/>
    <w:rsid w:val="00666FEC"/>
    <w:rsid w:val="006711CD"/>
    <w:rsid w:val="00675932"/>
    <w:rsid w:val="00676A48"/>
    <w:rsid w:val="0068032E"/>
    <w:rsid w:val="0068318D"/>
    <w:rsid w:val="00684E5C"/>
    <w:rsid w:val="00685F2B"/>
    <w:rsid w:val="00687FBC"/>
    <w:rsid w:val="006923F1"/>
    <w:rsid w:val="00692D39"/>
    <w:rsid w:val="0069509C"/>
    <w:rsid w:val="00695C8F"/>
    <w:rsid w:val="00696F21"/>
    <w:rsid w:val="006979BA"/>
    <w:rsid w:val="006A1A14"/>
    <w:rsid w:val="006A6569"/>
    <w:rsid w:val="006B2E4F"/>
    <w:rsid w:val="006B4684"/>
    <w:rsid w:val="006B4E67"/>
    <w:rsid w:val="006B63FD"/>
    <w:rsid w:val="006C1776"/>
    <w:rsid w:val="006C4FD3"/>
    <w:rsid w:val="006C797D"/>
    <w:rsid w:val="006D03D8"/>
    <w:rsid w:val="006D0999"/>
    <w:rsid w:val="006D3E89"/>
    <w:rsid w:val="006D66BA"/>
    <w:rsid w:val="006E3934"/>
    <w:rsid w:val="006E7050"/>
    <w:rsid w:val="006F158E"/>
    <w:rsid w:val="006F1E58"/>
    <w:rsid w:val="006F220D"/>
    <w:rsid w:val="006F57B3"/>
    <w:rsid w:val="006F7BE4"/>
    <w:rsid w:val="007006D2"/>
    <w:rsid w:val="00703BA3"/>
    <w:rsid w:val="00703F42"/>
    <w:rsid w:val="0070511E"/>
    <w:rsid w:val="0070675F"/>
    <w:rsid w:val="007074F1"/>
    <w:rsid w:val="00711433"/>
    <w:rsid w:val="00711538"/>
    <w:rsid w:val="007178B3"/>
    <w:rsid w:val="0072020D"/>
    <w:rsid w:val="00720A96"/>
    <w:rsid w:val="007247D1"/>
    <w:rsid w:val="00726E7E"/>
    <w:rsid w:val="00736B9B"/>
    <w:rsid w:val="00737C8D"/>
    <w:rsid w:val="007452E1"/>
    <w:rsid w:val="00745B5F"/>
    <w:rsid w:val="00752854"/>
    <w:rsid w:val="0075336C"/>
    <w:rsid w:val="00754679"/>
    <w:rsid w:val="00761AAE"/>
    <w:rsid w:val="0076750C"/>
    <w:rsid w:val="00771B7F"/>
    <w:rsid w:val="007730A3"/>
    <w:rsid w:val="00780E0D"/>
    <w:rsid w:val="00781CD0"/>
    <w:rsid w:val="0078422A"/>
    <w:rsid w:val="0078509F"/>
    <w:rsid w:val="00790AAB"/>
    <w:rsid w:val="00791F7D"/>
    <w:rsid w:val="00794030"/>
    <w:rsid w:val="007955A7"/>
    <w:rsid w:val="00796E99"/>
    <w:rsid w:val="007A2044"/>
    <w:rsid w:val="007A3A48"/>
    <w:rsid w:val="007A3E97"/>
    <w:rsid w:val="007A487E"/>
    <w:rsid w:val="007A6D56"/>
    <w:rsid w:val="007B7ADC"/>
    <w:rsid w:val="007C01F6"/>
    <w:rsid w:val="007C108E"/>
    <w:rsid w:val="007C1C13"/>
    <w:rsid w:val="007C492A"/>
    <w:rsid w:val="007C6FD8"/>
    <w:rsid w:val="007D395B"/>
    <w:rsid w:val="007D413C"/>
    <w:rsid w:val="007D4B90"/>
    <w:rsid w:val="007E083B"/>
    <w:rsid w:val="007F784C"/>
    <w:rsid w:val="0080510F"/>
    <w:rsid w:val="00805572"/>
    <w:rsid w:val="00805C3E"/>
    <w:rsid w:val="0080634D"/>
    <w:rsid w:val="008074AE"/>
    <w:rsid w:val="00807808"/>
    <w:rsid w:val="0081188C"/>
    <w:rsid w:val="00815124"/>
    <w:rsid w:val="008167E7"/>
    <w:rsid w:val="008222E8"/>
    <w:rsid w:val="00823809"/>
    <w:rsid w:val="0082393B"/>
    <w:rsid w:val="00827254"/>
    <w:rsid w:val="00831CEB"/>
    <w:rsid w:val="008361A1"/>
    <w:rsid w:val="00836928"/>
    <w:rsid w:val="00843BE0"/>
    <w:rsid w:val="00844611"/>
    <w:rsid w:val="008527B8"/>
    <w:rsid w:val="00855298"/>
    <w:rsid w:val="00855DA2"/>
    <w:rsid w:val="0085618D"/>
    <w:rsid w:val="008570AD"/>
    <w:rsid w:val="00863620"/>
    <w:rsid w:val="008643BC"/>
    <w:rsid w:val="00870245"/>
    <w:rsid w:val="008717B6"/>
    <w:rsid w:val="008838A7"/>
    <w:rsid w:val="00893A2C"/>
    <w:rsid w:val="00896869"/>
    <w:rsid w:val="008A396B"/>
    <w:rsid w:val="008A3E12"/>
    <w:rsid w:val="008A416B"/>
    <w:rsid w:val="008B06C5"/>
    <w:rsid w:val="008B1052"/>
    <w:rsid w:val="008B1659"/>
    <w:rsid w:val="008B3CFD"/>
    <w:rsid w:val="008B5749"/>
    <w:rsid w:val="008B7AE1"/>
    <w:rsid w:val="008C1693"/>
    <w:rsid w:val="008C28EC"/>
    <w:rsid w:val="008C7F89"/>
    <w:rsid w:val="008E1CBA"/>
    <w:rsid w:val="008E22EA"/>
    <w:rsid w:val="008E25B7"/>
    <w:rsid w:val="008E2BAC"/>
    <w:rsid w:val="008E5807"/>
    <w:rsid w:val="008E7EDD"/>
    <w:rsid w:val="008E7FC2"/>
    <w:rsid w:val="008F1F31"/>
    <w:rsid w:val="008F7435"/>
    <w:rsid w:val="009003FF"/>
    <w:rsid w:val="00902195"/>
    <w:rsid w:val="00911225"/>
    <w:rsid w:val="009121D2"/>
    <w:rsid w:val="00921CD4"/>
    <w:rsid w:val="00921DD5"/>
    <w:rsid w:val="00922AC3"/>
    <w:rsid w:val="009237AA"/>
    <w:rsid w:val="009260FF"/>
    <w:rsid w:val="00931B37"/>
    <w:rsid w:val="00932E68"/>
    <w:rsid w:val="009337CC"/>
    <w:rsid w:val="009363DF"/>
    <w:rsid w:val="00937AD2"/>
    <w:rsid w:val="00937AD9"/>
    <w:rsid w:val="00944B95"/>
    <w:rsid w:val="009468F9"/>
    <w:rsid w:val="00952D80"/>
    <w:rsid w:val="009534E4"/>
    <w:rsid w:val="009565C9"/>
    <w:rsid w:val="00961C74"/>
    <w:rsid w:val="00962672"/>
    <w:rsid w:val="009655DF"/>
    <w:rsid w:val="00971781"/>
    <w:rsid w:val="00972DAD"/>
    <w:rsid w:val="0097544E"/>
    <w:rsid w:val="00984760"/>
    <w:rsid w:val="009877B9"/>
    <w:rsid w:val="0098799E"/>
    <w:rsid w:val="009879AE"/>
    <w:rsid w:val="00991147"/>
    <w:rsid w:val="00991F48"/>
    <w:rsid w:val="00994815"/>
    <w:rsid w:val="00995159"/>
    <w:rsid w:val="009A068E"/>
    <w:rsid w:val="009A4D30"/>
    <w:rsid w:val="009A6B77"/>
    <w:rsid w:val="009B3AE9"/>
    <w:rsid w:val="009B3CB8"/>
    <w:rsid w:val="009B4E0E"/>
    <w:rsid w:val="009B53B6"/>
    <w:rsid w:val="009B5654"/>
    <w:rsid w:val="009C39AD"/>
    <w:rsid w:val="009C562A"/>
    <w:rsid w:val="009C75F7"/>
    <w:rsid w:val="009C7E0A"/>
    <w:rsid w:val="009D3295"/>
    <w:rsid w:val="009D3D13"/>
    <w:rsid w:val="009D4EEB"/>
    <w:rsid w:val="009E7329"/>
    <w:rsid w:val="009F551A"/>
    <w:rsid w:val="009F6644"/>
    <w:rsid w:val="009F732B"/>
    <w:rsid w:val="00A0219C"/>
    <w:rsid w:val="00A02D9B"/>
    <w:rsid w:val="00A0350C"/>
    <w:rsid w:val="00A064BC"/>
    <w:rsid w:val="00A0661E"/>
    <w:rsid w:val="00A12179"/>
    <w:rsid w:val="00A12244"/>
    <w:rsid w:val="00A1266D"/>
    <w:rsid w:val="00A133A9"/>
    <w:rsid w:val="00A13EF4"/>
    <w:rsid w:val="00A165D8"/>
    <w:rsid w:val="00A2092C"/>
    <w:rsid w:val="00A20B49"/>
    <w:rsid w:val="00A2191D"/>
    <w:rsid w:val="00A23CAF"/>
    <w:rsid w:val="00A2472D"/>
    <w:rsid w:val="00A26297"/>
    <w:rsid w:val="00A26F14"/>
    <w:rsid w:val="00A312AF"/>
    <w:rsid w:val="00A33E67"/>
    <w:rsid w:val="00A34630"/>
    <w:rsid w:val="00A34883"/>
    <w:rsid w:val="00A36407"/>
    <w:rsid w:val="00A403C9"/>
    <w:rsid w:val="00A42A88"/>
    <w:rsid w:val="00A431BE"/>
    <w:rsid w:val="00A53FD6"/>
    <w:rsid w:val="00A5432B"/>
    <w:rsid w:val="00A55B3B"/>
    <w:rsid w:val="00A562AA"/>
    <w:rsid w:val="00A56A2D"/>
    <w:rsid w:val="00A5789E"/>
    <w:rsid w:val="00A57E90"/>
    <w:rsid w:val="00A615E7"/>
    <w:rsid w:val="00A61CC4"/>
    <w:rsid w:val="00A63ECF"/>
    <w:rsid w:val="00A66D94"/>
    <w:rsid w:val="00A70D28"/>
    <w:rsid w:val="00A73E2C"/>
    <w:rsid w:val="00A73EB9"/>
    <w:rsid w:val="00A773E9"/>
    <w:rsid w:val="00A847BB"/>
    <w:rsid w:val="00AA5A04"/>
    <w:rsid w:val="00AA5ADB"/>
    <w:rsid w:val="00AA5F29"/>
    <w:rsid w:val="00AB27F9"/>
    <w:rsid w:val="00AB2B6B"/>
    <w:rsid w:val="00AB681B"/>
    <w:rsid w:val="00AB6AB3"/>
    <w:rsid w:val="00AC724E"/>
    <w:rsid w:val="00AD3D0D"/>
    <w:rsid w:val="00AD56DA"/>
    <w:rsid w:val="00AD76F2"/>
    <w:rsid w:val="00AE2375"/>
    <w:rsid w:val="00AE2D46"/>
    <w:rsid w:val="00AE4059"/>
    <w:rsid w:val="00AE7640"/>
    <w:rsid w:val="00AF2365"/>
    <w:rsid w:val="00B00344"/>
    <w:rsid w:val="00B045F3"/>
    <w:rsid w:val="00B04C3A"/>
    <w:rsid w:val="00B0615B"/>
    <w:rsid w:val="00B103CE"/>
    <w:rsid w:val="00B114D0"/>
    <w:rsid w:val="00B11BB2"/>
    <w:rsid w:val="00B14672"/>
    <w:rsid w:val="00B14BFA"/>
    <w:rsid w:val="00B2292D"/>
    <w:rsid w:val="00B231CC"/>
    <w:rsid w:val="00B26AA6"/>
    <w:rsid w:val="00B270E9"/>
    <w:rsid w:val="00B300AE"/>
    <w:rsid w:val="00B33751"/>
    <w:rsid w:val="00B34666"/>
    <w:rsid w:val="00B37515"/>
    <w:rsid w:val="00B50557"/>
    <w:rsid w:val="00B52310"/>
    <w:rsid w:val="00B527D8"/>
    <w:rsid w:val="00B531EC"/>
    <w:rsid w:val="00B56489"/>
    <w:rsid w:val="00B56F05"/>
    <w:rsid w:val="00B620E1"/>
    <w:rsid w:val="00B62E2A"/>
    <w:rsid w:val="00B669E0"/>
    <w:rsid w:val="00B66CA3"/>
    <w:rsid w:val="00B7324B"/>
    <w:rsid w:val="00B814A5"/>
    <w:rsid w:val="00B907B9"/>
    <w:rsid w:val="00B93126"/>
    <w:rsid w:val="00B96861"/>
    <w:rsid w:val="00BA3210"/>
    <w:rsid w:val="00BA3F6E"/>
    <w:rsid w:val="00BA6BFC"/>
    <w:rsid w:val="00BA6C2B"/>
    <w:rsid w:val="00BA7C5A"/>
    <w:rsid w:val="00BB4684"/>
    <w:rsid w:val="00BB486E"/>
    <w:rsid w:val="00BB524A"/>
    <w:rsid w:val="00BB72C0"/>
    <w:rsid w:val="00BB7FE1"/>
    <w:rsid w:val="00BC24E9"/>
    <w:rsid w:val="00BC5AF7"/>
    <w:rsid w:val="00BC73D8"/>
    <w:rsid w:val="00BD237B"/>
    <w:rsid w:val="00BF0FC6"/>
    <w:rsid w:val="00BF19B9"/>
    <w:rsid w:val="00BF311F"/>
    <w:rsid w:val="00BF6B33"/>
    <w:rsid w:val="00C00BBA"/>
    <w:rsid w:val="00C026FB"/>
    <w:rsid w:val="00C030BD"/>
    <w:rsid w:val="00C06DF7"/>
    <w:rsid w:val="00C07CB2"/>
    <w:rsid w:val="00C07F79"/>
    <w:rsid w:val="00C264B0"/>
    <w:rsid w:val="00C274B4"/>
    <w:rsid w:val="00C3677B"/>
    <w:rsid w:val="00C37E70"/>
    <w:rsid w:val="00C4051D"/>
    <w:rsid w:val="00C43D0D"/>
    <w:rsid w:val="00C529F9"/>
    <w:rsid w:val="00C53C2E"/>
    <w:rsid w:val="00C60ACF"/>
    <w:rsid w:val="00C60BA2"/>
    <w:rsid w:val="00C63943"/>
    <w:rsid w:val="00C65F1A"/>
    <w:rsid w:val="00C70749"/>
    <w:rsid w:val="00C724F4"/>
    <w:rsid w:val="00C745E0"/>
    <w:rsid w:val="00C803BE"/>
    <w:rsid w:val="00C8225E"/>
    <w:rsid w:val="00C83DCE"/>
    <w:rsid w:val="00C84C4A"/>
    <w:rsid w:val="00C94C84"/>
    <w:rsid w:val="00C95BB9"/>
    <w:rsid w:val="00CA28F8"/>
    <w:rsid w:val="00CA4E27"/>
    <w:rsid w:val="00CA6A0D"/>
    <w:rsid w:val="00CB6AAA"/>
    <w:rsid w:val="00CC0A75"/>
    <w:rsid w:val="00CC40EA"/>
    <w:rsid w:val="00CC4497"/>
    <w:rsid w:val="00CD0079"/>
    <w:rsid w:val="00CD7493"/>
    <w:rsid w:val="00CE3651"/>
    <w:rsid w:val="00CF5707"/>
    <w:rsid w:val="00CF5EDA"/>
    <w:rsid w:val="00CF7FD3"/>
    <w:rsid w:val="00D0646C"/>
    <w:rsid w:val="00D0669C"/>
    <w:rsid w:val="00D148E2"/>
    <w:rsid w:val="00D15BB8"/>
    <w:rsid w:val="00D174D5"/>
    <w:rsid w:val="00D21540"/>
    <w:rsid w:val="00D21FF7"/>
    <w:rsid w:val="00D26363"/>
    <w:rsid w:val="00D32284"/>
    <w:rsid w:val="00D32D68"/>
    <w:rsid w:val="00D361B8"/>
    <w:rsid w:val="00D36685"/>
    <w:rsid w:val="00D36831"/>
    <w:rsid w:val="00D426FC"/>
    <w:rsid w:val="00D42DF6"/>
    <w:rsid w:val="00D43C42"/>
    <w:rsid w:val="00D4465A"/>
    <w:rsid w:val="00D53DA2"/>
    <w:rsid w:val="00D55484"/>
    <w:rsid w:val="00D55E15"/>
    <w:rsid w:val="00D572DC"/>
    <w:rsid w:val="00D6068D"/>
    <w:rsid w:val="00D71043"/>
    <w:rsid w:val="00D739EF"/>
    <w:rsid w:val="00D742D8"/>
    <w:rsid w:val="00D75117"/>
    <w:rsid w:val="00D7637C"/>
    <w:rsid w:val="00D80B43"/>
    <w:rsid w:val="00D80BBB"/>
    <w:rsid w:val="00D817E8"/>
    <w:rsid w:val="00D82C0F"/>
    <w:rsid w:val="00D908DC"/>
    <w:rsid w:val="00D92B61"/>
    <w:rsid w:val="00D93721"/>
    <w:rsid w:val="00D9427B"/>
    <w:rsid w:val="00DA09D2"/>
    <w:rsid w:val="00DA33A9"/>
    <w:rsid w:val="00DA51DD"/>
    <w:rsid w:val="00DA6B96"/>
    <w:rsid w:val="00DB2FFD"/>
    <w:rsid w:val="00DC0804"/>
    <w:rsid w:val="00DC3909"/>
    <w:rsid w:val="00DC4C3B"/>
    <w:rsid w:val="00DC5F70"/>
    <w:rsid w:val="00DD2088"/>
    <w:rsid w:val="00DD3023"/>
    <w:rsid w:val="00DD468E"/>
    <w:rsid w:val="00DD4B8B"/>
    <w:rsid w:val="00DD6BF3"/>
    <w:rsid w:val="00DD6EB6"/>
    <w:rsid w:val="00DD7A81"/>
    <w:rsid w:val="00DE0142"/>
    <w:rsid w:val="00DE06DE"/>
    <w:rsid w:val="00DE1F75"/>
    <w:rsid w:val="00DE24FC"/>
    <w:rsid w:val="00DE7FBA"/>
    <w:rsid w:val="00DF1652"/>
    <w:rsid w:val="00DF1F27"/>
    <w:rsid w:val="00DF310C"/>
    <w:rsid w:val="00DF6C80"/>
    <w:rsid w:val="00E0067C"/>
    <w:rsid w:val="00E03C06"/>
    <w:rsid w:val="00E03CB3"/>
    <w:rsid w:val="00E05876"/>
    <w:rsid w:val="00E07959"/>
    <w:rsid w:val="00E110F5"/>
    <w:rsid w:val="00E12A66"/>
    <w:rsid w:val="00E14CA4"/>
    <w:rsid w:val="00E16BDD"/>
    <w:rsid w:val="00E1701D"/>
    <w:rsid w:val="00E21FE9"/>
    <w:rsid w:val="00E22826"/>
    <w:rsid w:val="00E32C72"/>
    <w:rsid w:val="00E34BDD"/>
    <w:rsid w:val="00E41CF1"/>
    <w:rsid w:val="00E43A8B"/>
    <w:rsid w:val="00E469F4"/>
    <w:rsid w:val="00E476EE"/>
    <w:rsid w:val="00E478C7"/>
    <w:rsid w:val="00E508CC"/>
    <w:rsid w:val="00E517A1"/>
    <w:rsid w:val="00E53CF4"/>
    <w:rsid w:val="00E63CB0"/>
    <w:rsid w:val="00E660E4"/>
    <w:rsid w:val="00E66F31"/>
    <w:rsid w:val="00E70A7F"/>
    <w:rsid w:val="00E71BE5"/>
    <w:rsid w:val="00E77352"/>
    <w:rsid w:val="00E777F7"/>
    <w:rsid w:val="00E954F4"/>
    <w:rsid w:val="00EA00BC"/>
    <w:rsid w:val="00EA2C4E"/>
    <w:rsid w:val="00EA563C"/>
    <w:rsid w:val="00EA6A1A"/>
    <w:rsid w:val="00EB091E"/>
    <w:rsid w:val="00EB5CB1"/>
    <w:rsid w:val="00EB625D"/>
    <w:rsid w:val="00EB648B"/>
    <w:rsid w:val="00EB7486"/>
    <w:rsid w:val="00EC16F2"/>
    <w:rsid w:val="00EC2234"/>
    <w:rsid w:val="00EC2962"/>
    <w:rsid w:val="00EC3FE4"/>
    <w:rsid w:val="00EC6E8D"/>
    <w:rsid w:val="00ED0B1D"/>
    <w:rsid w:val="00ED11F9"/>
    <w:rsid w:val="00ED151D"/>
    <w:rsid w:val="00ED22CD"/>
    <w:rsid w:val="00ED449B"/>
    <w:rsid w:val="00ED4BC4"/>
    <w:rsid w:val="00ED553F"/>
    <w:rsid w:val="00ED6080"/>
    <w:rsid w:val="00EF2EF3"/>
    <w:rsid w:val="00EF4FB9"/>
    <w:rsid w:val="00F01211"/>
    <w:rsid w:val="00F0160A"/>
    <w:rsid w:val="00F1430B"/>
    <w:rsid w:val="00F152BA"/>
    <w:rsid w:val="00F161B4"/>
    <w:rsid w:val="00F17E46"/>
    <w:rsid w:val="00F219EC"/>
    <w:rsid w:val="00F22204"/>
    <w:rsid w:val="00F2239D"/>
    <w:rsid w:val="00F23953"/>
    <w:rsid w:val="00F24BDF"/>
    <w:rsid w:val="00F26B1E"/>
    <w:rsid w:val="00F26F2E"/>
    <w:rsid w:val="00F2724B"/>
    <w:rsid w:val="00F30EF7"/>
    <w:rsid w:val="00F34A10"/>
    <w:rsid w:val="00F4095F"/>
    <w:rsid w:val="00F437DE"/>
    <w:rsid w:val="00F4688D"/>
    <w:rsid w:val="00F4759D"/>
    <w:rsid w:val="00F4782A"/>
    <w:rsid w:val="00F507B9"/>
    <w:rsid w:val="00F51CFE"/>
    <w:rsid w:val="00F707B9"/>
    <w:rsid w:val="00F709EA"/>
    <w:rsid w:val="00F7617F"/>
    <w:rsid w:val="00F772A6"/>
    <w:rsid w:val="00F806CA"/>
    <w:rsid w:val="00F816CE"/>
    <w:rsid w:val="00F81ABE"/>
    <w:rsid w:val="00F82525"/>
    <w:rsid w:val="00F8389E"/>
    <w:rsid w:val="00F85E92"/>
    <w:rsid w:val="00F863D1"/>
    <w:rsid w:val="00F8796F"/>
    <w:rsid w:val="00F92010"/>
    <w:rsid w:val="00F93AF0"/>
    <w:rsid w:val="00F9529D"/>
    <w:rsid w:val="00FA1844"/>
    <w:rsid w:val="00FA78F3"/>
    <w:rsid w:val="00FB0237"/>
    <w:rsid w:val="00FB2B55"/>
    <w:rsid w:val="00FB3011"/>
    <w:rsid w:val="00FB5032"/>
    <w:rsid w:val="00FC6914"/>
    <w:rsid w:val="00FC693F"/>
    <w:rsid w:val="00FD189D"/>
    <w:rsid w:val="00FD1E24"/>
    <w:rsid w:val="00FD2F6E"/>
    <w:rsid w:val="00FE1EFC"/>
    <w:rsid w:val="00FE233E"/>
    <w:rsid w:val="00FE7BCF"/>
    <w:rsid w:val="00FF0424"/>
    <w:rsid w:val="00FF4A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8E06D7"/>
  <w15:docId w15:val="{DF7531A5-697C-4133-90ED-DB71F000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6861"/>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rsid w:val="00781CD0"/>
    <w:pPr>
      <w:autoSpaceDE w:val="0"/>
      <w:autoSpaceDN w:val="0"/>
      <w:adjustRightInd w:val="0"/>
    </w:pPr>
    <w:rPr>
      <w:rFonts w:ascii="Times New Roman" w:hAnsi="Times New Roman"/>
      <w:sz w:val="24"/>
      <w:szCs w:val="24"/>
      <w:lang w:val="x-none" w:eastAsia="x-none"/>
    </w:rPr>
  </w:style>
  <w:style w:type="character" w:customStyle="1" w:styleId="Zkladntext2Char">
    <w:name w:val="Základný text 2 Char"/>
    <w:link w:val="Zkladntext2"/>
    <w:uiPriority w:val="99"/>
    <w:semiHidden/>
    <w:locked/>
    <w:rsid w:val="00781CD0"/>
    <w:rPr>
      <w:rFonts w:ascii="Times New Roman" w:hAnsi="Times New Roman" w:cs="Times New Roman"/>
      <w:sz w:val="24"/>
      <w:szCs w:val="24"/>
    </w:rPr>
  </w:style>
  <w:style w:type="paragraph" w:customStyle="1" w:styleId="Odsekzoznamu1">
    <w:name w:val="Odsek zoznamu1"/>
    <w:basedOn w:val="Normlny"/>
    <w:uiPriority w:val="34"/>
    <w:qFormat/>
    <w:rsid w:val="00781CD0"/>
    <w:pPr>
      <w:ind w:left="720"/>
      <w:contextualSpacing/>
    </w:pPr>
  </w:style>
  <w:style w:type="table" w:styleId="Mriekatabuky">
    <w:name w:val="Table Grid"/>
    <w:basedOn w:val="Normlnatabuka"/>
    <w:uiPriority w:val="59"/>
    <w:rsid w:val="0076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C6F35"/>
    <w:pPr>
      <w:tabs>
        <w:tab w:val="center" w:pos="4536"/>
        <w:tab w:val="right" w:pos="9072"/>
      </w:tabs>
    </w:pPr>
    <w:rPr>
      <w:sz w:val="20"/>
      <w:szCs w:val="20"/>
      <w:lang w:val="x-none" w:eastAsia="x-none"/>
    </w:rPr>
  </w:style>
  <w:style w:type="character" w:customStyle="1" w:styleId="HlavikaChar">
    <w:name w:val="Hlavička Char"/>
    <w:link w:val="Hlavika"/>
    <w:uiPriority w:val="99"/>
    <w:locked/>
    <w:rsid w:val="001C6F35"/>
    <w:rPr>
      <w:rFonts w:cs="Times New Roman"/>
    </w:rPr>
  </w:style>
  <w:style w:type="paragraph" w:styleId="Pta">
    <w:name w:val="footer"/>
    <w:basedOn w:val="Normlny"/>
    <w:link w:val="PtaChar"/>
    <w:uiPriority w:val="99"/>
    <w:unhideWhenUsed/>
    <w:rsid w:val="001C6F35"/>
    <w:pPr>
      <w:tabs>
        <w:tab w:val="center" w:pos="4536"/>
        <w:tab w:val="right" w:pos="9072"/>
      </w:tabs>
    </w:pPr>
    <w:rPr>
      <w:sz w:val="20"/>
      <w:szCs w:val="20"/>
      <w:lang w:val="x-none" w:eastAsia="x-none"/>
    </w:rPr>
  </w:style>
  <w:style w:type="character" w:customStyle="1" w:styleId="PtaChar">
    <w:name w:val="Päta Char"/>
    <w:link w:val="Pta"/>
    <w:uiPriority w:val="99"/>
    <w:locked/>
    <w:rsid w:val="001C6F35"/>
    <w:rPr>
      <w:rFonts w:cs="Times New Roman"/>
    </w:rPr>
  </w:style>
  <w:style w:type="paragraph" w:styleId="Textbubliny">
    <w:name w:val="Balloon Text"/>
    <w:basedOn w:val="Normlny"/>
    <w:semiHidden/>
    <w:rsid w:val="00D7637C"/>
    <w:rPr>
      <w:rFonts w:ascii="Tahoma" w:hAnsi="Tahoma" w:cs="Tahoma"/>
      <w:sz w:val="16"/>
      <w:szCs w:val="16"/>
    </w:rPr>
  </w:style>
  <w:style w:type="paragraph" w:customStyle="1" w:styleId="Default">
    <w:name w:val="Default"/>
    <w:rsid w:val="007D4B90"/>
    <w:pPr>
      <w:autoSpaceDE w:val="0"/>
      <w:autoSpaceDN w:val="0"/>
      <w:adjustRightInd w:val="0"/>
    </w:pPr>
    <w:rPr>
      <w:rFonts w:ascii="Times New Roman" w:hAnsi="Times New Roman"/>
      <w:color w:val="000000"/>
      <w:sz w:val="24"/>
      <w:szCs w:val="24"/>
    </w:rPr>
  </w:style>
  <w:style w:type="character" w:styleId="Hypertextovprepojenie">
    <w:name w:val="Hyperlink"/>
    <w:rsid w:val="00D4465A"/>
    <w:rPr>
      <w:color w:val="0000FF"/>
      <w:u w:val="single"/>
    </w:rPr>
  </w:style>
  <w:style w:type="character" w:customStyle="1" w:styleId="TextChar1">
    <w:name w:val="Text Char1"/>
    <w:link w:val="Text"/>
    <w:locked/>
    <w:rsid w:val="009D3295"/>
    <w:rPr>
      <w:rFonts w:ascii="SimSun" w:hAnsi="SimSun"/>
      <w:color w:val="000000"/>
    </w:rPr>
  </w:style>
  <w:style w:type="paragraph" w:customStyle="1" w:styleId="Text">
    <w:name w:val="Text"/>
    <w:basedOn w:val="Normlny"/>
    <w:link w:val="TextChar1"/>
    <w:rsid w:val="009D3295"/>
    <w:pPr>
      <w:spacing w:after="240" w:line="276" w:lineRule="auto"/>
      <w:ind w:left="1134"/>
      <w:jc w:val="both"/>
    </w:pPr>
    <w:rPr>
      <w:rFonts w:ascii="SimSun" w:hAnsi="SimSun"/>
      <w:color w:val="000000"/>
      <w:sz w:val="20"/>
      <w:szCs w:val="20"/>
      <w:lang w:eastAsia="sk-SK"/>
    </w:rPr>
  </w:style>
  <w:style w:type="character" w:styleId="Odkaznakomentr">
    <w:name w:val="annotation reference"/>
    <w:basedOn w:val="Predvolenpsmoodseku"/>
    <w:uiPriority w:val="99"/>
    <w:semiHidden/>
    <w:unhideWhenUsed/>
    <w:rsid w:val="00145BF5"/>
    <w:rPr>
      <w:sz w:val="16"/>
      <w:szCs w:val="16"/>
    </w:rPr>
  </w:style>
  <w:style w:type="paragraph" w:styleId="Textkomentra">
    <w:name w:val="annotation text"/>
    <w:basedOn w:val="Normlny"/>
    <w:link w:val="TextkomentraChar"/>
    <w:uiPriority w:val="99"/>
    <w:semiHidden/>
    <w:unhideWhenUsed/>
    <w:rsid w:val="00145BF5"/>
    <w:rPr>
      <w:sz w:val="20"/>
      <w:szCs w:val="20"/>
    </w:rPr>
  </w:style>
  <w:style w:type="character" w:customStyle="1" w:styleId="TextkomentraChar">
    <w:name w:val="Text komentára Char"/>
    <w:basedOn w:val="Predvolenpsmoodseku"/>
    <w:link w:val="Textkomentra"/>
    <w:uiPriority w:val="99"/>
    <w:semiHidden/>
    <w:rsid w:val="00145BF5"/>
    <w:rPr>
      <w:lang w:eastAsia="en-US"/>
    </w:rPr>
  </w:style>
  <w:style w:type="paragraph" w:styleId="Predmetkomentra">
    <w:name w:val="annotation subject"/>
    <w:basedOn w:val="Textkomentra"/>
    <w:next w:val="Textkomentra"/>
    <w:link w:val="PredmetkomentraChar"/>
    <w:uiPriority w:val="99"/>
    <w:semiHidden/>
    <w:unhideWhenUsed/>
    <w:rsid w:val="00145BF5"/>
    <w:rPr>
      <w:b/>
      <w:bCs/>
    </w:rPr>
  </w:style>
  <w:style w:type="character" w:customStyle="1" w:styleId="PredmetkomentraChar">
    <w:name w:val="Predmet komentára Char"/>
    <w:basedOn w:val="TextkomentraChar"/>
    <w:link w:val="Predmetkomentra"/>
    <w:uiPriority w:val="99"/>
    <w:semiHidden/>
    <w:rsid w:val="00145B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080C-7F43-4380-B193-85E3101E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6493</Words>
  <Characters>37014</Characters>
  <Application>Microsoft Office Word</Application>
  <DocSecurity>4</DocSecurity>
  <Lines>308</Lines>
  <Paragraphs>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43421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R-Pharmaservices</dc:creator>
  <cp:lastModifiedBy>Skladaná, Judita</cp:lastModifiedBy>
  <cp:revision>2</cp:revision>
  <dcterms:created xsi:type="dcterms:W3CDTF">2020-04-02T07:30:00Z</dcterms:created>
  <dcterms:modified xsi:type="dcterms:W3CDTF">2020-04-02T07:30:00Z</dcterms:modified>
</cp:coreProperties>
</file>