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10" w:rsidRDefault="00736010">
      <w:pPr>
        <w:pStyle w:val="Nzov"/>
        <w:rPr>
          <w:rFonts w:ascii="Times New Roman" w:hAnsi="Times New Roman" w:cs="Times New Roman"/>
          <w:sz w:val="22"/>
          <w:szCs w:val="22"/>
        </w:rPr>
      </w:pPr>
      <w:bookmarkStart w:id="0" w:name="_GoBack"/>
      <w:bookmarkEnd w:id="0"/>
    </w:p>
    <w:p w:rsidR="00736010" w:rsidRDefault="00736010">
      <w:pPr>
        <w:pStyle w:val="Nzov"/>
        <w:rPr>
          <w:rFonts w:ascii="Times New Roman" w:hAnsi="Times New Roman" w:cs="Times New Roman"/>
          <w:sz w:val="22"/>
          <w:szCs w:val="22"/>
        </w:rPr>
      </w:pPr>
    </w:p>
    <w:p w:rsidR="00E453AA" w:rsidRPr="00596E3A" w:rsidRDefault="00E453AA">
      <w:pPr>
        <w:pStyle w:val="Nzov"/>
        <w:rPr>
          <w:rFonts w:ascii="Times New Roman" w:hAnsi="Times New Roman" w:cs="Times New Roman"/>
          <w:sz w:val="22"/>
          <w:szCs w:val="22"/>
        </w:rPr>
      </w:pPr>
      <w:r w:rsidRPr="00596E3A">
        <w:rPr>
          <w:rFonts w:ascii="Times New Roman" w:hAnsi="Times New Roman" w:cs="Times New Roman"/>
          <w:sz w:val="22"/>
          <w:szCs w:val="22"/>
        </w:rPr>
        <w:t>SÚHRN CHARAKTERISTICKÝCH VLASTNOSTÍ LIEKU</w:t>
      </w:r>
    </w:p>
    <w:p w:rsidR="00E453AA" w:rsidRPr="00AB681B" w:rsidRDefault="00E453AA">
      <w:pPr>
        <w:tabs>
          <w:tab w:val="left" w:pos="8505"/>
        </w:tabs>
        <w:ind w:right="566"/>
        <w:rPr>
          <w:sz w:val="22"/>
          <w:szCs w:val="22"/>
        </w:rPr>
      </w:pPr>
    </w:p>
    <w:p w:rsidR="00E453AA" w:rsidRPr="00007243" w:rsidRDefault="00E453AA">
      <w:pPr>
        <w:tabs>
          <w:tab w:val="left" w:pos="8505"/>
        </w:tabs>
        <w:ind w:right="566"/>
        <w:rPr>
          <w:sz w:val="22"/>
          <w:szCs w:val="22"/>
        </w:rPr>
      </w:pPr>
    </w:p>
    <w:p w:rsidR="00E453AA" w:rsidRPr="00007243" w:rsidRDefault="00E453AA">
      <w:pPr>
        <w:tabs>
          <w:tab w:val="left" w:pos="8505"/>
        </w:tabs>
        <w:ind w:left="567" w:right="566" w:hanging="567"/>
        <w:rPr>
          <w:b/>
          <w:sz w:val="22"/>
          <w:szCs w:val="22"/>
        </w:rPr>
      </w:pPr>
      <w:r w:rsidRPr="00007243">
        <w:rPr>
          <w:b/>
          <w:sz w:val="22"/>
          <w:szCs w:val="22"/>
        </w:rPr>
        <w:t xml:space="preserve">1.    </w:t>
      </w:r>
      <w:r w:rsidRPr="00007243">
        <w:rPr>
          <w:b/>
          <w:sz w:val="22"/>
          <w:szCs w:val="22"/>
        </w:rPr>
        <w:tab/>
        <w:t xml:space="preserve">NÁZOV LIEKU </w:t>
      </w:r>
    </w:p>
    <w:p w:rsidR="00E453AA" w:rsidRPr="00007243" w:rsidRDefault="00E453AA">
      <w:pPr>
        <w:pStyle w:val="Nadpis3"/>
        <w:rPr>
          <w:rFonts w:ascii="Times New Roman" w:hAnsi="Times New Roman"/>
          <w:sz w:val="22"/>
          <w:szCs w:val="22"/>
        </w:rPr>
      </w:pPr>
    </w:p>
    <w:p w:rsidR="00E453AA" w:rsidRPr="00007243" w:rsidRDefault="00E453AA">
      <w:pPr>
        <w:pStyle w:val="Nadpis3"/>
        <w:rPr>
          <w:rFonts w:ascii="Times New Roman" w:hAnsi="Times New Roman"/>
          <w:sz w:val="22"/>
          <w:szCs w:val="22"/>
        </w:rPr>
      </w:pPr>
      <w:r w:rsidRPr="00007243">
        <w:rPr>
          <w:rFonts w:ascii="Times New Roman" w:hAnsi="Times New Roman"/>
          <w:sz w:val="22"/>
          <w:szCs w:val="22"/>
        </w:rPr>
        <w:t>STADAPRESS 10/12,5 mg</w:t>
      </w:r>
    </w:p>
    <w:p w:rsidR="00E453AA" w:rsidRPr="00007243" w:rsidRDefault="00E453AA">
      <w:pPr>
        <w:rPr>
          <w:sz w:val="22"/>
          <w:szCs w:val="22"/>
        </w:rPr>
      </w:pPr>
      <w:r w:rsidRPr="00007243">
        <w:rPr>
          <w:sz w:val="22"/>
          <w:szCs w:val="22"/>
        </w:rPr>
        <w:t>STADAPRESS 20/12,5 mg</w:t>
      </w:r>
    </w:p>
    <w:p w:rsidR="00E453AA" w:rsidRPr="00007243" w:rsidRDefault="00E453AA">
      <w:pPr>
        <w:tabs>
          <w:tab w:val="left" w:pos="8505"/>
        </w:tabs>
        <w:ind w:right="566"/>
        <w:rPr>
          <w:b/>
          <w:sz w:val="22"/>
          <w:szCs w:val="22"/>
        </w:rPr>
      </w:pPr>
    </w:p>
    <w:p w:rsidR="00E453AA" w:rsidRPr="00007243" w:rsidRDefault="00E453AA">
      <w:pPr>
        <w:tabs>
          <w:tab w:val="left" w:pos="8505"/>
        </w:tabs>
        <w:ind w:right="566"/>
        <w:rPr>
          <w:b/>
          <w:sz w:val="22"/>
          <w:szCs w:val="22"/>
        </w:rPr>
      </w:pPr>
    </w:p>
    <w:p w:rsidR="00E453AA" w:rsidRPr="00007243" w:rsidRDefault="00E453AA">
      <w:pPr>
        <w:tabs>
          <w:tab w:val="left" w:pos="8505"/>
        </w:tabs>
        <w:ind w:left="567" w:right="566" w:hanging="567"/>
        <w:rPr>
          <w:b/>
          <w:sz w:val="22"/>
          <w:szCs w:val="22"/>
        </w:rPr>
      </w:pPr>
      <w:r w:rsidRPr="00007243">
        <w:rPr>
          <w:b/>
          <w:sz w:val="22"/>
          <w:szCs w:val="22"/>
        </w:rPr>
        <w:t xml:space="preserve">2.    </w:t>
      </w:r>
      <w:r w:rsidRPr="00007243">
        <w:rPr>
          <w:b/>
          <w:sz w:val="22"/>
          <w:szCs w:val="22"/>
        </w:rPr>
        <w:tab/>
        <w:t xml:space="preserve">KVALITATÍVNE A KVANTITATÍVNE ZLOŽENIE </w:t>
      </w:r>
    </w:p>
    <w:p w:rsidR="00E453AA" w:rsidRPr="00007243" w:rsidRDefault="00E453AA">
      <w:pPr>
        <w:pStyle w:val="Zkladntext"/>
        <w:rPr>
          <w:rFonts w:ascii="Times New Roman" w:hAnsi="Times New Roman"/>
          <w:sz w:val="22"/>
          <w:szCs w:val="22"/>
        </w:rPr>
      </w:pPr>
    </w:p>
    <w:p w:rsidR="00E453AA" w:rsidRPr="00007243" w:rsidRDefault="00E453AA">
      <w:pPr>
        <w:pStyle w:val="Nadpis3"/>
        <w:rPr>
          <w:rFonts w:ascii="Times New Roman" w:hAnsi="Times New Roman"/>
          <w:sz w:val="22"/>
          <w:szCs w:val="22"/>
        </w:rPr>
      </w:pPr>
      <w:r w:rsidRPr="00007243">
        <w:rPr>
          <w:rFonts w:ascii="Times New Roman" w:hAnsi="Times New Roman"/>
          <w:sz w:val="22"/>
          <w:szCs w:val="22"/>
        </w:rPr>
        <w:t>STADAPRESS 10/12,5 mg</w:t>
      </w: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Každá tableta obsahuje 10 mg chinaprilu (ako chinapriliumchlorid) a 12,5 mg hydrochlorotiazidu.</w:t>
      </w:r>
    </w:p>
    <w:p w:rsidR="00E453AA" w:rsidRPr="00007243" w:rsidRDefault="00E453AA">
      <w:pPr>
        <w:pStyle w:val="Zkladntext"/>
        <w:rPr>
          <w:rFonts w:ascii="Times New Roman" w:hAnsi="Times New Roman"/>
          <w:bCs w:val="0"/>
          <w:sz w:val="22"/>
          <w:szCs w:val="22"/>
        </w:rPr>
      </w:pP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STADAPRESS 20/12,5 mg</w:t>
      </w: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Každá tableta obsahuje 20 mg chinaprilu (ako chinapriliumchlorid) a 12,5 mg hydrochlorotiazidu.</w:t>
      </w:r>
    </w:p>
    <w:p w:rsidR="00E453AA" w:rsidRPr="00007243" w:rsidRDefault="00E453AA">
      <w:pPr>
        <w:pStyle w:val="Zkladntext"/>
        <w:rPr>
          <w:rFonts w:ascii="Times New Roman" w:hAnsi="Times New Roman"/>
          <w:sz w:val="22"/>
          <w:szCs w:val="22"/>
        </w:rPr>
      </w:pP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Úplný zoznam pomocných látok, pozri časť 6.1.</w:t>
      </w:r>
    </w:p>
    <w:p w:rsidR="00E453AA" w:rsidRPr="00007243" w:rsidRDefault="00E453AA">
      <w:pPr>
        <w:pStyle w:val="Zkladntext"/>
        <w:rPr>
          <w:rFonts w:ascii="Times New Roman" w:hAnsi="Times New Roman"/>
          <w:bCs w:val="0"/>
          <w:sz w:val="22"/>
          <w:szCs w:val="22"/>
        </w:rPr>
      </w:pPr>
    </w:p>
    <w:p w:rsidR="00E453AA" w:rsidRPr="00007243" w:rsidRDefault="00E453AA">
      <w:pPr>
        <w:pStyle w:val="Zkladntext"/>
        <w:rPr>
          <w:rFonts w:ascii="Times New Roman" w:hAnsi="Times New Roman"/>
          <w:bCs w:val="0"/>
          <w:sz w:val="22"/>
          <w:szCs w:val="22"/>
        </w:rPr>
      </w:pPr>
    </w:p>
    <w:p w:rsidR="00E453AA" w:rsidRPr="00007243" w:rsidRDefault="00E453AA">
      <w:pPr>
        <w:tabs>
          <w:tab w:val="left" w:pos="8505"/>
        </w:tabs>
        <w:ind w:left="567" w:right="566" w:hanging="567"/>
        <w:rPr>
          <w:b/>
          <w:sz w:val="22"/>
          <w:szCs w:val="22"/>
        </w:rPr>
      </w:pPr>
      <w:r w:rsidRPr="00007243">
        <w:rPr>
          <w:b/>
          <w:sz w:val="22"/>
          <w:szCs w:val="22"/>
        </w:rPr>
        <w:t xml:space="preserve">3.    </w:t>
      </w:r>
      <w:r w:rsidRPr="00007243">
        <w:rPr>
          <w:b/>
          <w:sz w:val="22"/>
          <w:szCs w:val="22"/>
        </w:rPr>
        <w:tab/>
        <w:t>LIEKOVÁ FORMA</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r w:rsidRPr="00007243">
        <w:rPr>
          <w:bCs/>
          <w:sz w:val="22"/>
          <w:szCs w:val="22"/>
        </w:rPr>
        <w:t>Filmom obalené tablety.</w:t>
      </w:r>
    </w:p>
    <w:p w:rsidR="00E453AA" w:rsidRPr="00007243" w:rsidRDefault="00E453AA">
      <w:pPr>
        <w:tabs>
          <w:tab w:val="left" w:pos="8505"/>
        </w:tabs>
        <w:ind w:right="566"/>
        <w:rPr>
          <w:sz w:val="22"/>
          <w:szCs w:val="22"/>
        </w:rPr>
      </w:pPr>
    </w:p>
    <w:p w:rsidR="00E453AA" w:rsidRPr="00007243" w:rsidRDefault="00E453AA">
      <w:pPr>
        <w:tabs>
          <w:tab w:val="left" w:pos="8505"/>
        </w:tabs>
        <w:ind w:right="566"/>
        <w:rPr>
          <w:bCs/>
          <w:sz w:val="22"/>
          <w:szCs w:val="22"/>
        </w:rPr>
      </w:pPr>
      <w:r w:rsidRPr="00007243">
        <w:rPr>
          <w:sz w:val="22"/>
          <w:szCs w:val="22"/>
        </w:rPr>
        <w:t>STADAPRESS 10/12,5 mg:</w:t>
      </w:r>
    </w:p>
    <w:p w:rsidR="00E453AA" w:rsidRPr="00007243" w:rsidRDefault="00E453AA">
      <w:pPr>
        <w:tabs>
          <w:tab w:val="left" w:pos="8505"/>
        </w:tabs>
        <w:ind w:right="566"/>
        <w:rPr>
          <w:bCs/>
          <w:sz w:val="22"/>
          <w:szCs w:val="22"/>
        </w:rPr>
      </w:pPr>
      <w:r w:rsidRPr="00007243">
        <w:rPr>
          <w:bCs/>
          <w:sz w:val="22"/>
          <w:szCs w:val="22"/>
        </w:rPr>
        <w:t xml:space="preserve">Oválne ružové bikonvexné tablety s deliacou ryhou na oboch stranách a vytlačeným „I“ na jednej strane. Veľkosť 4,5 x </w:t>
      </w:r>
      <w:smartTag w:uri="urn:schemas-microsoft-com:office:smarttags" w:element="metricconverter">
        <w:smartTagPr>
          <w:attr w:name="ProductID" w:val="8,7 mm"/>
        </w:smartTagPr>
        <w:r w:rsidRPr="00007243">
          <w:rPr>
            <w:bCs/>
            <w:sz w:val="22"/>
            <w:szCs w:val="22"/>
          </w:rPr>
          <w:t>8,7 mm</w:t>
        </w:r>
      </w:smartTag>
      <w:r w:rsidRPr="00007243">
        <w:rPr>
          <w:bCs/>
          <w:sz w:val="22"/>
          <w:szCs w:val="22"/>
        </w:rPr>
        <w:t>.</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r w:rsidRPr="00007243">
        <w:rPr>
          <w:sz w:val="22"/>
          <w:szCs w:val="22"/>
        </w:rPr>
        <w:t>STADAPRESS 20/12,5 mg:</w:t>
      </w:r>
    </w:p>
    <w:p w:rsidR="00E453AA" w:rsidRPr="00007243" w:rsidRDefault="00E453AA">
      <w:pPr>
        <w:tabs>
          <w:tab w:val="left" w:pos="8505"/>
        </w:tabs>
        <w:ind w:right="566"/>
        <w:rPr>
          <w:bCs/>
          <w:sz w:val="22"/>
          <w:szCs w:val="22"/>
        </w:rPr>
      </w:pPr>
      <w:r w:rsidRPr="00007243">
        <w:rPr>
          <w:bCs/>
          <w:sz w:val="22"/>
          <w:szCs w:val="22"/>
        </w:rPr>
        <w:t xml:space="preserve">Oválne ružové bikonvexné tablety s deliacou ryhou na oboch stranách a vytlačeným „I“ na jednej strane. Veľkosť 5,8 x </w:t>
      </w:r>
      <w:smartTag w:uri="urn:schemas-microsoft-com:office:smarttags" w:element="metricconverter">
        <w:smartTagPr>
          <w:attr w:name="ProductID" w:val="11,3 mm"/>
        </w:smartTagPr>
        <w:r w:rsidRPr="00007243">
          <w:rPr>
            <w:bCs/>
            <w:sz w:val="22"/>
            <w:szCs w:val="22"/>
          </w:rPr>
          <w:t>11,3 mm</w:t>
        </w:r>
      </w:smartTag>
      <w:r w:rsidRPr="00007243">
        <w:rPr>
          <w:bCs/>
          <w:sz w:val="22"/>
          <w:szCs w:val="22"/>
        </w:rPr>
        <w:t>.</w:t>
      </w:r>
    </w:p>
    <w:p w:rsidR="00E453AA" w:rsidRPr="00007243" w:rsidRDefault="00E453AA">
      <w:pPr>
        <w:tabs>
          <w:tab w:val="left" w:pos="8505"/>
        </w:tabs>
        <w:ind w:right="566"/>
        <w:rPr>
          <w:bCs/>
          <w:sz w:val="22"/>
          <w:szCs w:val="22"/>
        </w:rPr>
      </w:pPr>
    </w:p>
    <w:p w:rsidR="00E453AA" w:rsidRPr="00596E3A" w:rsidRDefault="00E453AA">
      <w:pPr>
        <w:tabs>
          <w:tab w:val="left" w:pos="8505"/>
        </w:tabs>
        <w:ind w:right="566"/>
        <w:rPr>
          <w:bCs/>
          <w:sz w:val="22"/>
          <w:szCs w:val="22"/>
        </w:rPr>
      </w:pPr>
      <w:r w:rsidRPr="00007243">
        <w:rPr>
          <w:bCs/>
          <w:sz w:val="22"/>
          <w:szCs w:val="22"/>
        </w:rPr>
        <w:t>Tableta sa môže rozdeliť na rovnaké</w:t>
      </w:r>
      <w:r w:rsidR="00596E3A">
        <w:rPr>
          <w:bCs/>
          <w:sz w:val="22"/>
          <w:szCs w:val="22"/>
        </w:rPr>
        <w:t xml:space="preserve"> </w:t>
      </w:r>
      <w:r w:rsidR="00B37CA0" w:rsidRPr="00596E3A">
        <w:rPr>
          <w:bCs/>
          <w:sz w:val="22"/>
          <w:szCs w:val="22"/>
        </w:rPr>
        <w:t>dávky</w:t>
      </w:r>
      <w:r w:rsidRPr="00596E3A">
        <w:rPr>
          <w:bCs/>
          <w:sz w:val="22"/>
          <w:szCs w:val="22"/>
        </w:rPr>
        <w:t>.</w:t>
      </w:r>
    </w:p>
    <w:p w:rsidR="00E453AA" w:rsidRPr="00AB681B"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 xml:space="preserve">4.    </w:t>
      </w:r>
      <w:r w:rsidRPr="00007243">
        <w:rPr>
          <w:b/>
          <w:sz w:val="22"/>
          <w:szCs w:val="22"/>
        </w:rPr>
        <w:tab/>
        <w:t>KLINICKÉ ÚDAJE</w:t>
      </w:r>
    </w:p>
    <w:p w:rsidR="00E453AA" w:rsidRPr="00007243" w:rsidRDefault="00E453AA">
      <w:pPr>
        <w:tabs>
          <w:tab w:val="left" w:pos="8505"/>
        </w:tabs>
        <w:ind w:right="566"/>
        <w:rPr>
          <w:b/>
          <w:sz w:val="22"/>
          <w:szCs w:val="22"/>
        </w:rPr>
      </w:pPr>
    </w:p>
    <w:p w:rsidR="00E453AA" w:rsidRPr="00007243" w:rsidRDefault="00E453AA">
      <w:pPr>
        <w:tabs>
          <w:tab w:val="left" w:pos="8505"/>
        </w:tabs>
        <w:ind w:left="567" w:right="566" w:hanging="567"/>
        <w:rPr>
          <w:b/>
          <w:sz w:val="22"/>
          <w:szCs w:val="22"/>
        </w:rPr>
      </w:pPr>
      <w:r w:rsidRPr="00007243">
        <w:rPr>
          <w:b/>
          <w:sz w:val="22"/>
          <w:szCs w:val="22"/>
        </w:rPr>
        <w:t xml:space="preserve">4.1  </w:t>
      </w:r>
      <w:r w:rsidRPr="00007243">
        <w:rPr>
          <w:b/>
          <w:sz w:val="22"/>
          <w:szCs w:val="22"/>
        </w:rPr>
        <w:tab/>
        <w:t>Terapeutické indikácie</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r w:rsidRPr="00007243">
        <w:rPr>
          <w:bCs/>
          <w:sz w:val="22"/>
          <w:szCs w:val="22"/>
        </w:rPr>
        <w:t>Liečba esenciálnej hypertenzie.</w:t>
      </w:r>
    </w:p>
    <w:p w:rsidR="00E453AA" w:rsidRPr="00007243" w:rsidRDefault="00E453AA">
      <w:pPr>
        <w:tabs>
          <w:tab w:val="left" w:pos="8505"/>
        </w:tabs>
        <w:ind w:right="566"/>
        <w:rPr>
          <w:bCs/>
          <w:sz w:val="22"/>
          <w:szCs w:val="22"/>
        </w:rPr>
      </w:pPr>
      <w:r w:rsidRPr="00007243">
        <w:rPr>
          <w:bCs/>
          <w:sz w:val="22"/>
          <w:szCs w:val="22"/>
        </w:rPr>
        <w:t>Táto fixná kombinácia je určená pacientom, ktorých krvný tlak nie je adekvátne kontrolovaný samotným chinaprilom.</w:t>
      </w:r>
    </w:p>
    <w:p w:rsidR="00E453AA" w:rsidRPr="00007243" w:rsidRDefault="00E453AA">
      <w:pPr>
        <w:tabs>
          <w:tab w:val="left" w:pos="8505"/>
        </w:tabs>
        <w:ind w:right="566"/>
        <w:rPr>
          <w:bCs/>
          <w:sz w:val="22"/>
          <w:szCs w:val="22"/>
        </w:rPr>
      </w:pPr>
    </w:p>
    <w:p w:rsidR="00E453AA" w:rsidRPr="00007243" w:rsidRDefault="00E453AA">
      <w:pPr>
        <w:numPr>
          <w:ilvl w:val="1"/>
          <w:numId w:val="2"/>
        </w:numPr>
        <w:tabs>
          <w:tab w:val="left" w:pos="8505"/>
        </w:tabs>
        <w:ind w:right="566"/>
        <w:rPr>
          <w:b/>
          <w:sz w:val="22"/>
          <w:szCs w:val="22"/>
        </w:rPr>
      </w:pPr>
      <w:r w:rsidRPr="00007243">
        <w:rPr>
          <w:b/>
          <w:sz w:val="22"/>
          <w:szCs w:val="22"/>
        </w:rPr>
        <w:t>Dávkovanie a spôsob podávania</w:t>
      </w:r>
    </w:p>
    <w:p w:rsidR="00E453AA" w:rsidRPr="00007243" w:rsidRDefault="00E453AA">
      <w:pPr>
        <w:tabs>
          <w:tab w:val="left" w:pos="8505"/>
        </w:tabs>
        <w:ind w:right="566"/>
        <w:rPr>
          <w:b/>
          <w:sz w:val="22"/>
          <w:szCs w:val="22"/>
        </w:rPr>
      </w:pPr>
    </w:p>
    <w:p w:rsidR="00AF27C4" w:rsidRDefault="00AF27C4">
      <w:pPr>
        <w:pStyle w:val="Zkladntext"/>
        <w:rPr>
          <w:rFonts w:ascii="Times New Roman" w:hAnsi="Times New Roman"/>
          <w:sz w:val="22"/>
          <w:szCs w:val="22"/>
          <w:u w:val="single"/>
        </w:rPr>
      </w:pPr>
      <w:r>
        <w:rPr>
          <w:rFonts w:ascii="Times New Roman" w:hAnsi="Times New Roman"/>
          <w:sz w:val="22"/>
          <w:szCs w:val="22"/>
          <w:u w:val="single"/>
        </w:rPr>
        <w:t>Dávkovanie</w:t>
      </w:r>
    </w:p>
    <w:p w:rsidR="00AF27C4" w:rsidRPr="00D95987" w:rsidRDefault="00AF27C4">
      <w:pPr>
        <w:pStyle w:val="Zkladntext"/>
        <w:rPr>
          <w:rFonts w:ascii="Times New Roman" w:hAnsi="Times New Roman"/>
          <w:sz w:val="22"/>
          <w:szCs w:val="22"/>
          <w:u w:val="single"/>
        </w:rPr>
      </w:pPr>
    </w:p>
    <w:p w:rsidR="00E453AA" w:rsidRPr="00596E3A" w:rsidRDefault="00E453AA">
      <w:pPr>
        <w:pStyle w:val="Zkladntext"/>
        <w:rPr>
          <w:rFonts w:ascii="Times New Roman" w:hAnsi="Times New Roman"/>
          <w:sz w:val="22"/>
          <w:szCs w:val="22"/>
        </w:rPr>
      </w:pPr>
      <w:r w:rsidRPr="00007243">
        <w:rPr>
          <w:rFonts w:ascii="Times New Roman" w:hAnsi="Times New Roman"/>
          <w:sz w:val="22"/>
          <w:szCs w:val="22"/>
        </w:rPr>
        <w:t>Odporúča sa titrácia dávky jednotlivých zložiek pred podávaním STADAPRESS</w:t>
      </w:r>
      <w:r w:rsidR="00596E3A">
        <w:rPr>
          <w:rFonts w:ascii="Times New Roman" w:hAnsi="Times New Roman"/>
          <w:sz w:val="22"/>
          <w:szCs w:val="22"/>
        </w:rPr>
        <w:t>U</w:t>
      </w:r>
      <w:r w:rsidRPr="00596E3A">
        <w:rPr>
          <w:rFonts w:ascii="Times New Roman" w:hAnsi="Times New Roman"/>
          <w:sz w:val="22"/>
          <w:szCs w:val="22"/>
        </w:rPr>
        <w:t xml:space="preserve">. Pokiaľ je to klinicky vhodné, možno zvážiť priamu zmenu z monoterapie na fixnú kombináciu. </w:t>
      </w:r>
    </w:p>
    <w:p w:rsidR="00E453AA" w:rsidRPr="00AB681B" w:rsidRDefault="00E453AA">
      <w:pPr>
        <w:pStyle w:val="Zkladntext"/>
        <w:rPr>
          <w:rFonts w:ascii="Times New Roman" w:hAnsi="Times New Roman"/>
          <w:sz w:val="22"/>
          <w:szCs w:val="22"/>
        </w:rPr>
      </w:pPr>
    </w:p>
    <w:p w:rsidR="00E453AA" w:rsidRPr="00007243" w:rsidRDefault="00E453AA">
      <w:pPr>
        <w:tabs>
          <w:tab w:val="left" w:pos="8505"/>
        </w:tabs>
        <w:ind w:right="566"/>
        <w:rPr>
          <w:bCs/>
          <w:sz w:val="22"/>
          <w:szCs w:val="22"/>
        </w:rPr>
      </w:pPr>
      <w:r w:rsidRPr="00AB681B">
        <w:rPr>
          <w:bCs/>
          <w:sz w:val="22"/>
          <w:szCs w:val="22"/>
        </w:rPr>
        <w:lastRenderedPageBreak/>
        <w:t>Zvyčajná udržiavacia dávka je 10 mg chinaprilu a 12,5 mg hydrochlorotiazidu jedenkrát denne ráno. Dávku možno zvyšovať v intervaloch minimálne 3 týždňov.</w:t>
      </w:r>
      <w:r w:rsidRPr="00007243">
        <w:rPr>
          <w:bCs/>
          <w:sz w:val="22"/>
          <w:szCs w:val="22"/>
        </w:rPr>
        <w:t xml:space="preserve"> Maximálna dávka je 20 mg chinaprilu a 25 mg hydrochlorotiazidu.</w:t>
      </w:r>
    </w:p>
    <w:p w:rsidR="00E453AA" w:rsidRPr="00007243" w:rsidRDefault="00E453AA">
      <w:pPr>
        <w:tabs>
          <w:tab w:val="left" w:pos="8505"/>
        </w:tabs>
        <w:ind w:right="566"/>
        <w:rPr>
          <w:bCs/>
          <w:sz w:val="22"/>
          <w:szCs w:val="22"/>
        </w:rPr>
      </w:pPr>
    </w:p>
    <w:p w:rsidR="00E453AA" w:rsidRPr="00007243" w:rsidRDefault="00E453AA">
      <w:pPr>
        <w:pStyle w:val="Nadpis1"/>
        <w:rPr>
          <w:rFonts w:ascii="Times New Roman" w:hAnsi="Times New Roman"/>
          <w:sz w:val="22"/>
          <w:szCs w:val="22"/>
        </w:rPr>
      </w:pPr>
      <w:r w:rsidRPr="00007243">
        <w:rPr>
          <w:rFonts w:ascii="Times New Roman" w:hAnsi="Times New Roman"/>
          <w:sz w:val="22"/>
          <w:szCs w:val="22"/>
        </w:rPr>
        <w:t>Predošlá diuretická liečba</w:t>
      </w:r>
    </w:p>
    <w:p w:rsidR="00E453AA" w:rsidRPr="00007243" w:rsidRDefault="00E453AA">
      <w:pPr>
        <w:tabs>
          <w:tab w:val="left" w:pos="8505"/>
        </w:tabs>
        <w:ind w:right="566"/>
        <w:rPr>
          <w:bCs/>
          <w:sz w:val="22"/>
          <w:szCs w:val="22"/>
        </w:rPr>
      </w:pPr>
      <w:r w:rsidRPr="00007243">
        <w:rPr>
          <w:bCs/>
          <w:sz w:val="22"/>
          <w:szCs w:val="22"/>
        </w:rPr>
        <w:t>Po podaní začiatočnej dávky fixnej kombinácie sa môže vyskytnúť symptomatická hypotenzia; viac náchylní sú pacienti so zníženým obsahom tekutín a/alebo solí v organizme následkom predošlej liečby diuretikami. U týchto pacientov sa odporúča prerušiť liečbu diuretikami 2 až 3 dni pred začatím liečby fixnou kombináciou. Ak to nie je možné, liečba sa má začať samotným chinaprilom v dávke 5 mg.</w:t>
      </w:r>
    </w:p>
    <w:p w:rsidR="00E453AA" w:rsidRPr="00007243" w:rsidRDefault="00E453AA">
      <w:pPr>
        <w:pStyle w:val="Zkladntext"/>
        <w:rPr>
          <w:rFonts w:ascii="Times New Roman" w:hAnsi="Times New Roman"/>
          <w:sz w:val="22"/>
          <w:szCs w:val="22"/>
        </w:rPr>
      </w:pPr>
    </w:p>
    <w:p w:rsidR="00E453AA" w:rsidRPr="00007243" w:rsidRDefault="00E453AA">
      <w:pPr>
        <w:pStyle w:val="Nadpis7"/>
        <w:rPr>
          <w:rFonts w:ascii="Times New Roman" w:hAnsi="Times New Roman" w:cs="Times New Roman"/>
          <w:sz w:val="22"/>
          <w:szCs w:val="22"/>
        </w:rPr>
      </w:pPr>
      <w:r w:rsidRPr="00007243">
        <w:rPr>
          <w:rFonts w:ascii="Times New Roman" w:hAnsi="Times New Roman" w:cs="Times New Roman"/>
          <w:sz w:val="22"/>
          <w:szCs w:val="22"/>
        </w:rPr>
        <w:t>Porucha funkcie obličiek</w:t>
      </w:r>
    </w:p>
    <w:p w:rsidR="00E453AA" w:rsidRPr="00007243" w:rsidRDefault="00E453AA">
      <w:pPr>
        <w:tabs>
          <w:tab w:val="left" w:pos="8505"/>
        </w:tabs>
        <w:ind w:right="566"/>
        <w:rPr>
          <w:bCs/>
          <w:sz w:val="22"/>
          <w:szCs w:val="22"/>
        </w:rPr>
      </w:pPr>
      <w:r w:rsidRPr="00007243">
        <w:rPr>
          <w:bCs/>
          <w:sz w:val="22"/>
          <w:szCs w:val="22"/>
        </w:rPr>
        <w:t>U pacientov s klírensom kreatinínu medzi 30 a 60 ml/min sa individuálne dávky jednotlivých komponentov majú titrovať s osobitnou starostlivosťou pred zmenou na fixnú kombináciu.</w:t>
      </w:r>
    </w:p>
    <w:p w:rsidR="00E453AA" w:rsidRPr="00007243" w:rsidRDefault="00E453AA">
      <w:pPr>
        <w:tabs>
          <w:tab w:val="left" w:pos="8505"/>
        </w:tabs>
        <w:ind w:right="566"/>
        <w:rPr>
          <w:bCs/>
          <w:sz w:val="22"/>
          <w:szCs w:val="22"/>
        </w:rPr>
      </w:pPr>
      <w:r w:rsidRPr="00007243">
        <w:rPr>
          <w:bCs/>
          <w:sz w:val="22"/>
          <w:szCs w:val="22"/>
        </w:rPr>
        <w:t>Dávka fixnej kombinácie má byť najnižšia, aká je možná.</w:t>
      </w:r>
    </w:p>
    <w:p w:rsidR="00E453AA" w:rsidRPr="00007243" w:rsidRDefault="00E453AA">
      <w:pPr>
        <w:tabs>
          <w:tab w:val="left" w:pos="8505"/>
        </w:tabs>
        <w:ind w:right="566"/>
        <w:rPr>
          <w:bCs/>
          <w:sz w:val="22"/>
          <w:szCs w:val="22"/>
        </w:rPr>
      </w:pPr>
      <w:r w:rsidRPr="00007243">
        <w:rPr>
          <w:bCs/>
          <w:sz w:val="22"/>
          <w:szCs w:val="22"/>
        </w:rPr>
        <w:t xml:space="preserve">Fixná kombinácia je kontraindikovaná u pacientov s </w:t>
      </w:r>
      <w:r w:rsidR="00FE7CC1">
        <w:rPr>
          <w:bCs/>
          <w:sz w:val="22"/>
          <w:szCs w:val="22"/>
        </w:rPr>
        <w:t>ťažkou poruchou funkcie</w:t>
      </w:r>
      <w:r w:rsidRPr="00007243">
        <w:rPr>
          <w:bCs/>
          <w:sz w:val="22"/>
          <w:szCs w:val="22"/>
        </w:rPr>
        <w:t xml:space="preserve"> obličiek (klírens kreatinínu &lt; 30 ml/min), pozri časť 4.3.</w:t>
      </w:r>
    </w:p>
    <w:p w:rsidR="00E453AA" w:rsidRPr="00007243" w:rsidRDefault="00E453AA">
      <w:pPr>
        <w:tabs>
          <w:tab w:val="left" w:pos="8505"/>
        </w:tabs>
        <w:ind w:right="566"/>
        <w:rPr>
          <w:bCs/>
          <w:sz w:val="22"/>
          <w:szCs w:val="22"/>
        </w:rPr>
      </w:pPr>
    </w:p>
    <w:p w:rsidR="00E453AA" w:rsidRPr="00007243" w:rsidRDefault="00E453AA">
      <w:pPr>
        <w:pStyle w:val="Nadpis1"/>
        <w:rPr>
          <w:rFonts w:ascii="Times New Roman" w:hAnsi="Times New Roman"/>
          <w:i/>
          <w:iCs/>
          <w:sz w:val="22"/>
          <w:szCs w:val="22"/>
          <w:u w:val="none"/>
        </w:rPr>
      </w:pPr>
      <w:r w:rsidRPr="00007243">
        <w:rPr>
          <w:rFonts w:ascii="Times New Roman" w:hAnsi="Times New Roman"/>
          <w:i/>
          <w:iCs/>
          <w:sz w:val="22"/>
          <w:szCs w:val="22"/>
          <w:u w:val="none"/>
        </w:rPr>
        <w:t xml:space="preserve">Starší </w:t>
      </w:r>
      <w:r w:rsidR="00FE7CC1">
        <w:rPr>
          <w:rFonts w:ascii="Times New Roman" w:hAnsi="Times New Roman"/>
          <w:i/>
          <w:iCs/>
          <w:sz w:val="22"/>
          <w:szCs w:val="22"/>
          <w:u w:val="none"/>
        </w:rPr>
        <w:t>ľudia</w:t>
      </w:r>
    </w:p>
    <w:p w:rsidR="00E453AA" w:rsidRPr="00007243" w:rsidRDefault="00E453AA">
      <w:pPr>
        <w:pStyle w:val="Zkladntext"/>
        <w:rPr>
          <w:rFonts w:ascii="Times New Roman" w:hAnsi="Times New Roman"/>
          <w:sz w:val="22"/>
          <w:szCs w:val="22"/>
        </w:rPr>
      </w:pPr>
      <w:r w:rsidRPr="00007243">
        <w:rPr>
          <w:rFonts w:ascii="Times New Roman" w:hAnsi="Times New Roman"/>
          <w:bCs w:val="0"/>
          <w:sz w:val="22"/>
          <w:szCs w:val="22"/>
        </w:rPr>
        <w:t xml:space="preserve">U starších </w:t>
      </w:r>
      <w:r w:rsidR="00FE7CC1">
        <w:rPr>
          <w:rFonts w:ascii="Times New Roman" w:hAnsi="Times New Roman"/>
          <w:bCs w:val="0"/>
          <w:sz w:val="22"/>
          <w:szCs w:val="22"/>
        </w:rPr>
        <w:t>ľudí</w:t>
      </w:r>
      <w:r w:rsidR="00FE7CC1" w:rsidRPr="00007243">
        <w:rPr>
          <w:rFonts w:ascii="Times New Roman" w:hAnsi="Times New Roman"/>
          <w:bCs w:val="0"/>
          <w:sz w:val="22"/>
          <w:szCs w:val="22"/>
        </w:rPr>
        <w:t xml:space="preserve"> </w:t>
      </w:r>
      <w:r w:rsidRPr="00007243">
        <w:rPr>
          <w:rFonts w:ascii="Times New Roman" w:hAnsi="Times New Roman"/>
          <w:bCs w:val="0"/>
          <w:sz w:val="22"/>
          <w:szCs w:val="22"/>
        </w:rPr>
        <w:t>sa individuálne dávky jednotlivých komponentov majú titrovať s osobitnou starostlivosťou pred zmenou na fixnú kombináciu.</w:t>
      </w:r>
    </w:p>
    <w:p w:rsidR="00E453AA" w:rsidRPr="00007243" w:rsidRDefault="00E453AA">
      <w:pPr>
        <w:tabs>
          <w:tab w:val="left" w:pos="8505"/>
        </w:tabs>
        <w:ind w:right="566"/>
        <w:rPr>
          <w:bCs/>
          <w:sz w:val="22"/>
          <w:szCs w:val="22"/>
        </w:rPr>
      </w:pPr>
      <w:r w:rsidRPr="00007243">
        <w:rPr>
          <w:bCs/>
          <w:sz w:val="22"/>
          <w:szCs w:val="22"/>
        </w:rPr>
        <w:t>Dávka fixnej kombinácie má byť najnižšia, aká je možná.</w:t>
      </w:r>
    </w:p>
    <w:p w:rsidR="00E453AA" w:rsidRPr="00007243" w:rsidRDefault="00E453AA">
      <w:pPr>
        <w:tabs>
          <w:tab w:val="left" w:pos="8505"/>
        </w:tabs>
        <w:ind w:right="566"/>
        <w:rPr>
          <w:bCs/>
          <w:sz w:val="22"/>
          <w:szCs w:val="22"/>
        </w:rPr>
      </w:pPr>
    </w:p>
    <w:p w:rsidR="00E453AA" w:rsidRDefault="00AF27C4">
      <w:pPr>
        <w:pStyle w:val="Zkladntext2"/>
        <w:rPr>
          <w:rFonts w:ascii="Times New Roman" w:hAnsi="Times New Roman" w:cs="Times New Roman"/>
          <w:sz w:val="22"/>
          <w:szCs w:val="22"/>
        </w:rPr>
      </w:pPr>
      <w:r>
        <w:rPr>
          <w:rFonts w:ascii="Times New Roman" w:hAnsi="Times New Roman"/>
          <w:i/>
          <w:iCs/>
          <w:sz w:val="22"/>
          <w:szCs w:val="22"/>
        </w:rPr>
        <w:t xml:space="preserve"> Pediatrická populácia </w:t>
      </w:r>
      <w:r w:rsidR="00E453AA" w:rsidRPr="00007243">
        <w:rPr>
          <w:rFonts w:ascii="Times New Roman" w:hAnsi="Times New Roman" w:cs="Times New Roman"/>
          <w:sz w:val="22"/>
          <w:szCs w:val="22"/>
        </w:rPr>
        <w:t>Účinnosť a bezpečnosť použitia u detí a dospievajúcich sa nestanovovali. Preto sa použitie u detí a dospievajúcich neodporúča.</w:t>
      </w:r>
    </w:p>
    <w:p w:rsidR="00AF27C4" w:rsidRDefault="00AF27C4">
      <w:pPr>
        <w:pStyle w:val="Zkladntext2"/>
        <w:rPr>
          <w:rFonts w:ascii="Times New Roman" w:hAnsi="Times New Roman" w:cs="Times New Roman"/>
          <w:sz w:val="22"/>
          <w:szCs w:val="22"/>
        </w:rPr>
      </w:pPr>
    </w:p>
    <w:p w:rsidR="00AF27C4" w:rsidRDefault="00AF27C4">
      <w:pPr>
        <w:pStyle w:val="Zkladntext2"/>
        <w:rPr>
          <w:rFonts w:ascii="Times New Roman" w:hAnsi="Times New Roman" w:cs="Times New Roman"/>
          <w:sz w:val="22"/>
          <w:szCs w:val="22"/>
          <w:u w:val="single"/>
        </w:rPr>
      </w:pPr>
      <w:r>
        <w:rPr>
          <w:rFonts w:ascii="Times New Roman" w:hAnsi="Times New Roman" w:cs="Times New Roman"/>
          <w:sz w:val="22"/>
          <w:szCs w:val="22"/>
          <w:u w:val="single"/>
        </w:rPr>
        <w:t>Spôsob podávania</w:t>
      </w:r>
    </w:p>
    <w:p w:rsidR="00AF27C4" w:rsidRPr="00E77D91" w:rsidRDefault="00AF27C4">
      <w:pPr>
        <w:pStyle w:val="Zkladntext2"/>
        <w:rPr>
          <w:rFonts w:ascii="Times New Roman" w:hAnsi="Times New Roman" w:cs="Times New Roman"/>
          <w:sz w:val="22"/>
          <w:szCs w:val="22"/>
        </w:rPr>
      </w:pPr>
      <w:r>
        <w:rPr>
          <w:rFonts w:ascii="Times New Roman" w:hAnsi="Times New Roman" w:cs="Times New Roman"/>
          <w:sz w:val="22"/>
          <w:szCs w:val="22"/>
        </w:rPr>
        <w:t>Na perorálne použitie.</w:t>
      </w:r>
    </w:p>
    <w:p w:rsidR="00E453AA" w:rsidRPr="00007243" w:rsidRDefault="00E453AA">
      <w:pPr>
        <w:rPr>
          <w:sz w:val="22"/>
          <w:szCs w:val="22"/>
        </w:rPr>
      </w:pPr>
    </w:p>
    <w:p w:rsidR="00E453AA" w:rsidRPr="00007243" w:rsidRDefault="00E453AA">
      <w:pPr>
        <w:numPr>
          <w:ilvl w:val="1"/>
          <w:numId w:val="2"/>
        </w:numPr>
        <w:tabs>
          <w:tab w:val="left" w:pos="8505"/>
        </w:tabs>
        <w:ind w:right="566"/>
        <w:rPr>
          <w:b/>
          <w:sz w:val="22"/>
          <w:szCs w:val="22"/>
        </w:rPr>
      </w:pPr>
      <w:r w:rsidRPr="00007243">
        <w:rPr>
          <w:b/>
          <w:sz w:val="22"/>
          <w:szCs w:val="22"/>
        </w:rPr>
        <w:t>Kontraindikácie</w:t>
      </w:r>
    </w:p>
    <w:p w:rsidR="00E453AA" w:rsidRPr="00007243" w:rsidRDefault="00E453AA">
      <w:pPr>
        <w:tabs>
          <w:tab w:val="left" w:pos="8505"/>
        </w:tabs>
        <w:ind w:right="566"/>
        <w:rPr>
          <w:b/>
          <w:sz w:val="22"/>
          <w:szCs w:val="22"/>
        </w:rPr>
      </w:pPr>
    </w:p>
    <w:p w:rsidR="00B37CA0" w:rsidRPr="00FC136C" w:rsidRDefault="00B37CA0">
      <w:pPr>
        <w:tabs>
          <w:tab w:val="left" w:pos="8505"/>
        </w:tabs>
        <w:ind w:right="566"/>
        <w:rPr>
          <w:sz w:val="22"/>
          <w:szCs w:val="22"/>
        </w:rPr>
      </w:pPr>
      <w:r w:rsidRPr="00FC136C">
        <w:rPr>
          <w:sz w:val="22"/>
          <w:szCs w:val="22"/>
        </w:rPr>
        <w:t>Chinapril/hydrochlorotiazid je kontraindikovaný v:</w:t>
      </w:r>
    </w:p>
    <w:p w:rsidR="00B37CA0" w:rsidRPr="0007201A" w:rsidRDefault="00B37CA0" w:rsidP="00FC136C">
      <w:pPr>
        <w:tabs>
          <w:tab w:val="left" w:pos="9072"/>
        </w:tabs>
        <w:ind w:right="-1"/>
        <w:rPr>
          <w:b/>
          <w:sz w:val="22"/>
          <w:szCs w:val="22"/>
        </w:rPr>
      </w:pPr>
    </w:p>
    <w:p w:rsidR="00B37CA0" w:rsidRDefault="00B37CA0" w:rsidP="00FC136C">
      <w:pPr>
        <w:numPr>
          <w:ilvl w:val="0"/>
          <w:numId w:val="5"/>
        </w:numPr>
        <w:tabs>
          <w:tab w:val="clear" w:pos="720"/>
          <w:tab w:val="num" w:pos="567"/>
          <w:tab w:val="left" w:pos="8505"/>
        </w:tabs>
        <w:ind w:left="567" w:right="566" w:hanging="567"/>
        <w:rPr>
          <w:bCs/>
          <w:sz w:val="22"/>
          <w:szCs w:val="22"/>
        </w:rPr>
      </w:pPr>
      <w:r w:rsidRPr="008376DD">
        <w:rPr>
          <w:bCs/>
          <w:sz w:val="22"/>
          <w:szCs w:val="22"/>
        </w:rPr>
        <w:t>Druh</w:t>
      </w:r>
      <w:r w:rsidR="00337B91" w:rsidRPr="00596E3A">
        <w:rPr>
          <w:bCs/>
          <w:sz w:val="22"/>
          <w:szCs w:val="22"/>
        </w:rPr>
        <w:t>om</w:t>
      </w:r>
      <w:r w:rsidRPr="00596E3A">
        <w:rPr>
          <w:bCs/>
          <w:sz w:val="22"/>
          <w:szCs w:val="22"/>
        </w:rPr>
        <w:t xml:space="preserve"> a tre</w:t>
      </w:r>
      <w:r w:rsidR="00337B91" w:rsidRPr="00596E3A">
        <w:rPr>
          <w:bCs/>
          <w:sz w:val="22"/>
          <w:szCs w:val="22"/>
        </w:rPr>
        <w:t>ťom</w:t>
      </w:r>
      <w:r w:rsidRPr="00DA0E87">
        <w:rPr>
          <w:bCs/>
          <w:sz w:val="22"/>
          <w:szCs w:val="22"/>
        </w:rPr>
        <w:t xml:space="preserve"> trimestr</w:t>
      </w:r>
      <w:r w:rsidR="00337B91" w:rsidRPr="00DA0E87">
        <w:rPr>
          <w:bCs/>
          <w:sz w:val="22"/>
          <w:szCs w:val="22"/>
        </w:rPr>
        <w:t>i</w:t>
      </w:r>
      <w:r w:rsidRPr="00DA0E87">
        <w:rPr>
          <w:bCs/>
          <w:sz w:val="22"/>
          <w:szCs w:val="22"/>
        </w:rPr>
        <w:t xml:space="preserve"> gravidity (pozri časti </w:t>
      </w:r>
      <w:smartTag w:uri="urn:schemas-microsoft-com:office:smarttags" w:element="metricconverter">
        <w:smartTagPr>
          <w:attr w:name="ProductID" w:val="4.4 a"/>
        </w:smartTagPr>
        <w:r w:rsidRPr="00DA0E87">
          <w:rPr>
            <w:bCs/>
            <w:sz w:val="22"/>
            <w:szCs w:val="22"/>
          </w:rPr>
          <w:t>4.4 a</w:t>
        </w:r>
      </w:smartTag>
      <w:r w:rsidRPr="00DA0E87">
        <w:rPr>
          <w:bCs/>
          <w:sz w:val="22"/>
          <w:szCs w:val="22"/>
        </w:rPr>
        <w:t xml:space="preserve"> 4.6).</w:t>
      </w:r>
    </w:p>
    <w:p w:rsidR="00AF27C4" w:rsidRPr="00DA0E87" w:rsidRDefault="00AF27C4" w:rsidP="00FC136C">
      <w:pPr>
        <w:numPr>
          <w:ilvl w:val="0"/>
          <w:numId w:val="5"/>
        </w:numPr>
        <w:tabs>
          <w:tab w:val="clear" w:pos="720"/>
          <w:tab w:val="num" w:pos="567"/>
          <w:tab w:val="left" w:pos="8505"/>
        </w:tabs>
        <w:ind w:left="567" w:right="566" w:hanging="567"/>
        <w:rPr>
          <w:bCs/>
          <w:sz w:val="22"/>
          <w:szCs w:val="22"/>
        </w:rPr>
      </w:pPr>
      <w:r>
        <w:rPr>
          <w:bCs/>
          <w:sz w:val="22"/>
          <w:szCs w:val="22"/>
        </w:rPr>
        <w:t>Precitlivenosť na liečivá alebo na ktorúkoľvek z pomocných látok uvedených v časti 6.1.</w:t>
      </w:r>
    </w:p>
    <w:p w:rsidR="00E453AA" w:rsidRPr="00007243" w:rsidRDefault="00AF27C4" w:rsidP="00FC136C">
      <w:pPr>
        <w:numPr>
          <w:ilvl w:val="0"/>
          <w:numId w:val="5"/>
        </w:numPr>
        <w:tabs>
          <w:tab w:val="clear" w:pos="720"/>
          <w:tab w:val="num" w:pos="567"/>
          <w:tab w:val="left" w:pos="9072"/>
        </w:tabs>
        <w:ind w:left="567" w:right="-1" w:hanging="567"/>
        <w:rPr>
          <w:bCs/>
          <w:sz w:val="22"/>
          <w:szCs w:val="22"/>
        </w:rPr>
      </w:pPr>
      <w:r>
        <w:rPr>
          <w:bCs/>
          <w:sz w:val="22"/>
          <w:szCs w:val="22"/>
        </w:rPr>
        <w:t xml:space="preserve">Pacienti </w:t>
      </w:r>
      <w:r w:rsidR="00B37CA0" w:rsidRPr="000304BD">
        <w:rPr>
          <w:bCs/>
          <w:sz w:val="22"/>
          <w:szCs w:val="22"/>
        </w:rPr>
        <w:t>s</w:t>
      </w:r>
      <w:r w:rsidR="00B37CA0" w:rsidRPr="00007243">
        <w:rPr>
          <w:bCs/>
          <w:sz w:val="22"/>
          <w:szCs w:val="22"/>
        </w:rPr>
        <w:t xml:space="preserve"> angioedémom </w:t>
      </w:r>
      <w:r w:rsidR="00337B91" w:rsidRPr="00007243">
        <w:rPr>
          <w:bCs/>
          <w:sz w:val="22"/>
          <w:szCs w:val="22"/>
        </w:rPr>
        <w:t xml:space="preserve">v anamnéze </w:t>
      </w:r>
      <w:r w:rsidR="00B37CA0" w:rsidRPr="00007243">
        <w:rPr>
          <w:bCs/>
          <w:sz w:val="22"/>
          <w:szCs w:val="22"/>
        </w:rPr>
        <w:t xml:space="preserve">súvisiacim s predchádzajúcou liečbou ACE inhibítormi </w:t>
      </w:r>
      <w:r w:rsidR="00E453AA" w:rsidRPr="00007243">
        <w:rPr>
          <w:bCs/>
          <w:sz w:val="22"/>
          <w:szCs w:val="22"/>
        </w:rPr>
        <w:t xml:space="preserve">alebo </w:t>
      </w:r>
      <w:r w:rsidR="00B37CA0" w:rsidRPr="00007243">
        <w:rPr>
          <w:bCs/>
          <w:sz w:val="22"/>
          <w:szCs w:val="22"/>
        </w:rPr>
        <w:t xml:space="preserve">precitlivenosťou </w:t>
      </w:r>
      <w:r w:rsidR="00E453AA" w:rsidRPr="00007243">
        <w:rPr>
          <w:bCs/>
          <w:sz w:val="22"/>
          <w:szCs w:val="22"/>
        </w:rPr>
        <w:t>na ktorýkoľvek iný ACE inhibítor.</w:t>
      </w:r>
    </w:p>
    <w:p w:rsidR="00337B91" w:rsidRPr="00007243" w:rsidRDefault="00337B91" w:rsidP="00FC136C">
      <w:pPr>
        <w:numPr>
          <w:ilvl w:val="0"/>
          <w:numId w:val="5"/>
        </w:numPr>
        <w:tabs>
          <w:tab w:val="clear" w:pos="720"/>
          <w:tab w:val="num" w:pos="567"/>
          <w:tab w:val="left" w:pos="8505"/>
        </w:tabs>
        <w:ind w:left="567" w:right="566" w:hanging="567"/>
        <w:rPr>
          <w:bCs/>
          <w:sz w:val="22"/>
          <w:szCs w:val="22"/>
        </w:rPr>
      </w:pPr>
      <w:r w:rsidRPr="00007243">
        <w:rPr>
          <w:bCs/>
          <w:sz w:val="22"/>
          <w:szCs w:val="22"/>
        </w:rPr>
        <w:t>Pacienti s vrodeným alebo idiopatickým angioneurotickým edémom.</w:t>
      </w:r>
    </w:p>
    <w:p w:rsidR="00337B91" w:rsidRPr="00007243" w:rsidRDefault="00337B91" w:rsidP="00FC136C">
      <w:pPr>
        <w:numPr>
          <w:ilvl w:val="0"/>
          <w:numId w:val="5"/>
        </w:numPr>
        <w:tabs>
          <w:tab w:val="clear" w:pos="720"/>
          <w:tab w:val="num" w:pos="567"/>
          <w:tab w:val="left" w:pos="8505"/>
        </w:tabs>
        <w:ind w:left="567" w:right="566" w:hanging="567"/>
        <w:rPr>
          <w:bCs/>
          <w:sz w:val="22"/>
          <w:szCs w:val="22"/>
        </w:rPr>
      </w:pPr>
      <w:r w:rsidRPr="00007243">
        <w:rPr>
          <w:bCs/>
          <w:sz w:val="22"/>
          <w:szCs w:val="22"/>
        </w:rPr>
        <w:t>Pacienti s dynamickou obštrukciou výtoku z ľavej komory.</w:t>
      </w:r>
    </w:p>
    <w:p w:rsidR="00337B91" w:rsidRPr="00007243" w:rsidRDefault="00337B91" w:rsidP="00FC136C">
      <w:pPr>
        <w:numPr>
          <w:ilvl w:val="0"/>
          <w:numId w:val="5"/>
        </w:numPr>
        <w:tabs>
          <w:tab w:val="clear" w:pos="720"/>
          <w:tab w:val="num" w:pos="567"/>
          <w:tab w:val="left" w:pos="9072"/>
        </w:tabs>
        <w:ind w:left="567" w:right="-1" w:hanging="567"/>
        <w:rPr>
          <w:bCs/>
          <w:sz w:val="22"/>
          <w:szCs w:val="22"/>
        </w:rPr>
      </w:pPr>
      <w:r w:rsidRPr="00007243">
        <w:rPr>
          <w:bCs/>
          <w:sz w:val="22"/>
          <w:szCs w:val="22"/>
        </w:rPr>
        <w:t>Pacienti s anúriou alebo závažnou poruchou funkcie obličiek (klírens kreatinínu &lt; 30 ml/min).</w:t>
      </w:r>
    </w:p>
    <w:p w:rsidR="00E453AA" w:rsidRPr="00007243" w:rsidRDefault="00337B91" w:rsidP="00FC136C">
      <w:pPr>
        <w:numPr>
          <w:ilvl w:val="0"/>
          <w:numId w:val="5"/>
        </w:numPr>
        <w:tabs>
          <w:tab w:val="clear" w:pos="720"/>
          <w:tab w:val="num" w:pos="567"/>
          <w:tab w:val="left" w:pos="8505"/>
        </w:tabs>
        <w:ind w:left="567" w:right="566" w:hanging="567"/>
        <w:rPr>
          <w:bCs/>
          <w:sz w:val="22"/>
          <w:szCs w:val="22"/>
        </w:rPr>
      </w:pPr>
      <w:r w:rsidRPr="00007243">
        <w:rPr>
          <w:bCs/>
          <w:sz w:val="22"/>
          <w:szCs w:val="22"/>
        </w:rPr>
        <w:t>Pacienti s p</w:t>
      </w:r>
      <w:r w:rsidR="00E453AA" w:rsidRPr="00007243">
        <w:rPr>
          <w:bCs/>
          <w:sz w:val="22"/>
          <w:szCs w:val="22"/>
        </w:rPr>
        <w:t>recitlivenosť</w:t>
      </w:r>
      <w:r w:rsidRPr="00007243">
        <w:rPr>
          <w:bCs/>
          <w:sz w:val="22"/>
          <w:szCs w:val="22"/>
        </w:rPr>
        <w:t>ou</w:t>
      </w:r>
      <w:r w:rsidR="00E453AA" w:rsidRPr="00007243">
        <w:rPr>
          <w:bCs/>
          <w:sz w:val="22"/>
          <w:szCs w:val="22"/>
        </w:rPr>
        <w:t xml:space="preserve"> na iné sulfónamidové deriváty.</w:t>
      </w:r>
    </w:p>
    <w:p w:rsidR="00337B91" w:rsidRDefault="00337B91" w:rsidP="00FC136C">
      <w:pPr>
        <w:numPr>
          <w:ilvl w:val="0"/>
          <w:numId w:val="5"/>
        </w:numPr>
        <w:tabs>
          <w:tab w:val="clear" w:pos="720"/>
          <w:tab w:val="num" w:pos="567"/>
          <w:tab w:val="left" w:pos="8505"/>
        </w:tabs>
        <w:ind w:left="567" w:right="566" w:hanging="567"/>
        <w:rPr>
          <w:bCs/>
          <w:sz w:val="22"/>
          <w:szCs w:val="22"/>
        </w:rPr>
      </w:pPr>
      <w:r w:rsidRPr="00007243">
        <w:rPr>
          <w:bCs/>
          <w:sz w:val="22"/>
          <w:szCs w:val="22"/>
        </w:rPr>
        <w:t>Pacienti so závažnou poruchou funkcie pečene.</w:t>
      </w:r>
    </w:p>
    <w:p w:rsidR="00AF27C4" w:rsidRPr="00B26B96" w:rsidRDefault="00AF27C4" w:rsidP="00D95987">
      <w:pPr>
        <w:numPr>
          <w:ilvl w:val="0"/>
          <w:numId w:val="5"/>
        </w:numPr>
        <w:tabs>
          <w:tab w:val="clear" w:pos="720"/>
          <w:tab w:val="num" w:pos="567"/>
          <w:tab w:val="left" w:pos="9072"/>
        </w:tabs>
        <w:ind w:left="567" w:hanging="567"/>
        <w:rPr>
          <w:bCs/>
          <w:sz w:val="22"/>
          <w:szCs w:val="22"/>
        </w:rPr>
      </w:pPr>
      <w:r w:rsidRPr="00D95987">
        <w:rPr>
          <w:iCs/>
          <w:sz w:val="22"/>
          <w:szCs w:val="22"/>
        </w:rPr>
        <w:t xml:space="preserve">Súbežné používanie </w:t>
      </w:r>
      <w:r>
        <w:rPr>
          <w:iCs/>
          <w:sz w:val="22"/>
          <w:szCs w:val="22"/>
        </w:rPr>
        <w:t>STADAPRESSU</w:t>
      </w:r>
      <w:r w:rsidRPr="00D95987">
        <w:rPr>
          <w:iCs/>
          <w:sz w:val="22"/>
          <w:szCs w:val="22"/>
        </w:rPr>
        <w:t xml:space="preserve"> s liekmi obsahujúcimi aliskiren je kontraindikované u pacientov s diabet</w:t>
      </w:r>
      <w:r>
        <w:rPr>
          <w:iCs/>
          <w:sz w:val="22"/>
          <w:szCs w:val="22"/>
        </w:rPr>
        <w:t>om</w:t>
      </w:r>
      <w:r w:rsidRPr="00D95987">
        <w:rPr>
          <w:iCs/>
          <w:sz w:val="22"/>
          <w:szCs w:val="22"/>
        </w:rPr>
        <w:t xml:space="preserve"> mellitus alebo poruchou funkcie obličiek (GFR &lt; 60 ml/min/1,73 m</w:t>
      </w:r>
      <w:r w:rsidRPr="00D95987">
        <w:rPr>
          <w:iCs/>
          <w:position w:val="8"/>
          <w:sz w:val="22"/>
          <w:szCs w:val="22"/>
          <w:vertAlign w:val="superscript"/>
        </w:rPr>
        <w:t>2</w:t>
      </w:r>
      <w:r w:rsidRPr="00D95987">
        <w:rPr>
          <w:iCs/>
          <w:sz w:val="22"/>
          <w:szCs w:val="22"/>
        </w:rPr>
        <w:t>) (pozri časti 4.5 a 5.1</w:t>
      </w:r>
      <w:r>
        <w:rPr>
          <w:iCs/>
          <w:sz w:val="22"/>
          <w:szCs w:val="22"/>
        </w:rPr>
        <w:t>)</w:t>
      </w:r>
      <w:r>
        <w:rPr>
          <w:i/>
          <w:iCs/>
          <w:sz w:val="18"/>
          <w:szCs w:val="18"/>
        </w:rPr>
        <w:t>.</w:t>
      </w:r>
    </w:p>
    <w:p w:rsidR="00F10BEF" w:rsidRPr="00697C87" w:rsidRDefault="00F10BEF" w:rsidP="00B26B96">
      <w:pPr>
        <w:numPr>
          <w:ilvl w:val="0"/>
          <w:numId w:val="5"/>
        </w:numPr>
        <w:tabs>
          <w:tab w:val="clear" w:pos="720"/>
          <w:tab w:val="num" w:pos="567"/>
        </w:tabs>
        <w:autoSpaceDE w:val="0"/>
        <w:autoSpaceDN w:val="0"/>
        <w:adjustRightInd w:val="0"/>
        <w:ind w:left="567" w:right="1" w:hanging="567"/>
        <w:rPr>
          <w:bCs/>
          <w:sz w:val="22"/>
          <w:szCs w:val="22"/>
        </w:rPr>
      </w:pPr>
      <w:r w:rsidRPr="00B26B96">
        <w:rPr>
          <w:rFonts w:eastAsia="TimesNewRoman"/>
          <w:color w:val="000000"/>
          <w:sz w:val="22"/>
          <w:szCs w:val="22"/>
        </w:rPr>
        <w:t xml:space="preserve">Súbežná liečba sakubitrilom/valsartanom. Liečba </w:t>
      </w:r>
      <w:r>
        <w:rPr>
          <w:rFonts w:eastAsia="TimesNewRoman"/>
          <w:color w:val="000000"/>
          <w:sz w:val="22"/>
          <w:szCs w:val="22"/>
        </w:rPr>
        <w:t>STADAPRESSOM</w:t>
      </w:r>
      <w:r w:rsidRPr="00B26B96">
        <w:rPr>
          <w:rFonts w:eastAsia="TimesNewRoman"/>
          <w:color w:val="000000"/>
          <w:sz w:val="22"/>
          <w:szCs w:val="22"/>
        </w:rPr>
        <w:t xml:space="preserve"> sa nesmie začať skôr ako po 36 hodinách od poslednej dávky sakubitrilu/valsartanu (pozri tiež časti 4.4 a 4.5</w:t>
      </w:r>
      <w:r w:rsidRPr="00697C87">
        <w:rPr>
          <w:rFonts w:eastAsia="TimesNewRoman"/>
          <w:color w:val="000000"/>
          <w:sz w:val="22"/>
          <w:szCs w:val="22"/>
        </w:rPr>
        <w:t>).</w:t>
      </w:r>
    </w:p>
    <w:p w:rsidR="00F10BEF" w:rsidRPr="00007243" w:rsidRDefault="00F10BEF" w:rsidP="00B26B96">
      <w:pPr>
        <w:tabs>
          <w:tab w:val="left" w:pos="9072"/>
        </w:tabs>
        <w:ind w:left="567"/>
        <w:rPr>
          <w:bCs/>
          <w:sz w:val="22"/>
          <w:szCs w:val="22"/>
        </w:rPr>
      </w:pPr>
    </w:p>
    <w:p w:rsidR="00E453AA" w:rsidRPr="00007243" w:rsidRDefault="00E453AA" w:rsidP="00B37CA0">
      <w:pPr>
        <w:tabs>
          <w:tab w:val="left" w:pos="8505"/>
        </w:tabs>
        <w:ind w:left="720"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 xml:space="preserve">4.4 </w:t>
      </w:r>
      <w:r w:rsidRPr="00007243">
        <w:rPr>
          <w:b/>
          <w:sz w:val="22"/>
          <w:szCs w:val="22"/>
        </w:rPr>
        <w:tab/>
        <w:t>Osobitné upozornenia a opatrenia pri používaní</w:t>
      </w:r>
    </w:p>
    <w:p w:rsidR="00E453AA" w:rsidRPr="00007243" w:rsidRDefault="00E453AA">
      <w:pPr>
        <w:pStyle w:val="Nadpis1"/>
        <w:rPr>
          <w:rFonts w:ascii="Times New Roman" w:hAnsi="Times New Roman"/>
          <w:b/>
          <w:bCs w:val="0"/>
          <w:sz w:val="22"/>
          <w:szCs w:val="22"/>
        </w:rPr>
      </w:pPr>
    </w:p>
    <w:p w:rsidR="00337B91" w:rsidRPr="00007243" w:rsidRDefault="00337B91" w:rsidP="00337B91">
      <w:pPr>
        <w:pStyle w:val="Zkladntext2"/>
        <w:rPr>
          <w:rFonts w:ascii="Times New Roman" w:hAnsi="Times New Roman" w:cs="Times New Roman"/>
          <w:i/>
          <w:iCs/>
          <w:sz w:val="22"/>
          <w:szCs w:val="22"/>
        </w:rPr>
      </w:pPr>
      <w:r w:rsidRPr="00007243">
        <w:rPr>
          <w:rFonts w:ascii="Times New Roman" w:hAnsi="Times New Roman" w:cs="Times New Roman"/>
          <w:i/>
          <w:iCs/>
          <w:sz w:val="22"/>
          <w:szCs w:val="22"/>
        </w:rPr>
        <w:t>Stenózy aortálnej a mitrálnej chlopne/hypertrofická kardiomyopatia</w:t>
      </w:r>
    </w:p>
    <w:p w:rsidR="00337B91" w:rsidRPr="00007243" w:rsidRDefault="00337B91" w:rsidP="00337B91">
      <w:pPr>
        <w:pStyle w:val="Zkladntext2"/>
        <w:rPr>
          <w:rFonts w:ascii="Times New Roman" w:hAnsi="Times New Roman" w:cs="Times New Roman"/>
          <w:sz w:val="22"/>
          <w:szCs w:val="22"/>
        </w:rPr>
      </w:pPr>
      <w:r w:rsidRPr="00007243">
        <w:rPr>
          <w:rFonts w:ascii="Times New Roman" w:hAnsi="Times New Roman" w:cs="Times New Roman"/>
          <w:sz w:val="22"/>
          <w:szCs w:val="22"/>
        </w:rPr>
        <w:t>Podobne ako ostatné ACE inhibítory, chinapril/hydrochlorotiazid sa má opatrne podávať pacientom so stenózou mitrálnej chlopne a obštrukciou výtoku z ľavej komory, ako je stenóza aorty alebo hypertrofická kardiomyopatia. V hemodynamicky relevantných prípadoch sa nemá podávať fixná kombinácia.</w:t>
      </w:r>
    </w:p>
    <w:p w:rsidR="00337B91" w:rsidRPr="00007243" w:rsidRDefault="00337B91" w:rsidP="00337B91">
      <w:pPr>
        <w:pStyle w:val="Zkladntext2"/>
        <w:rPr>
          <w:rFonts w:ascii="Times New Roman" w:hAnsi="Times New Roman" w:cs="Times New Roman"/>
          <w:sz w:val="22"/>
          <w:szCs w:val="22"/>
        </w:rPr>
      </w:pPr>
    </w:p>
    <w:p w:rsidR="00337B91" w:rsidRPr="00007243" w:rsidRDefault="00337B91" w:rsidP="00337B91">
      <w:pPr>
        <w:rPr>
          <w:sz w:val="22"/>
          <w:szCs w:val="22"/>
        </w:rPr>
      </w:pPr>
      <w:r w:rsidRPr="00007243">
        <w:rPr>
          <w:i/>
          <w:sz w:val="22"/>
          <w:szCs w:val="22"/>
        </w:rPr>
        <w:t>Reakcie z precitlivenosti</w:t>
      </w:r>
    </w:p>
    <w:p w:rsidR="00337B91" w:rsidRPr="00007243" w:rsidRDefault="00337B91" w:rsidP="00337B91">
      <w:pPr>
        <w:rPr>
          <w:sz w:val="22"/>
          <w:szCs w:val="22"/>
        </w:rPr>
      </w:pPr>
      <w:r w:rsidRPr="00007243">
        <w:rPr>
          <w:sz w:val="22"/>
          <w:szCs w:val="22"/>
        </w:rPr>
        <w:t>U pacientov s  alergiou alebo bronchiálnou astmou v anamnéze alebo bez nej sa môžu vyskytnúť reakcie z precitlivenosti, napr. purpura, fotosenzitivita, urtikária, nekrotizujúca angiitída, respiračn</w:t>
      </w:r>
      <w:r w:rsidR="00012C58" w:rsidRPr="00007243">
        <w:rPr>
          <w:sz w:val="22"/>
          <w:szCs w:val="22"/>
        </w:rPr>
        <w:t>ý</w:t>
      </w:r>
      <w:r w:rsidRPr="00007243">
        <w:rPr>
          <w:sz w:val="22"/>
          <w:szCs w:val="22"/>
        </w:rPr>
        <w:t xml:space="preserve"> </w:t>
      </w:r>
      <w:r w:rsidR="00012C58" w:rsidRPr="00007243">
        <w:rPr>
          <w:sz w:val="22"/>
          <w:szCs w:val="22"/>
        </w:rPr>
        <w:t>distres</w:t>
      </w:r>
      <w:r w:rsidRPr="00007243">
        <w:rPr>
          <w:sz w:val="22"/>
          <w:szCs w:val="22"/>
        </w:rPr>
        <w:t xml:space="preserve"> vrátane pneumónie a pľúcneho edému, anafylaktické reakcie.</w:t>
      </w:r>
    </w:p>
    <w:p w:rsidR="00E453AA" w:rsidRPr="00007243" w:rsidRDefault="00E453AA">
      <w:pPr>
        <w:rPr>
          <w:sz w:val="22"/>
          <w:szCs w:val="22"/>
        </w:rPr>
      </w:pPr>
    </w:p>
    <w:p w:rsidR="00E453AA" w:rsidRPr="00007243" w:rsidRDefault="00E453AA">
      <w:pPr>
        <w:pStyle w:val="Nadpis2"/>
        <w:rPr>
          <w:rFonts w:ascii="Times New Roman" w:hAnsi="Times New Roman" w:cs="Times New Roman"/>
          <w:sz w:val="22"/>
          <w:szCs w:val="22"/>
          <w:u w:val="none"/>
        </w:rPr>
      </w:pPr>
      <w:r w:rsidRPr="00007243">
        <w:rPr>
          <w:rFonts w:ascii="Times New Roman" w:hAnsi="Times New Roman" w:cs="Times New Roman"/>
          <w:i/>
          <w:iCs/>
          <w:sz w:val="22"/>
          <w:szCs w:val="22"/>
          <w:u w:val="none"/>
        </w:rPr>
        <w:t>Symptomatická hypotenzia</w:t>
      </w:r>
    </w:p>
    <w:p w:rsidR="00012C58" w:rsidRPr="00007243" w:rsidRDefault="00012C58" w:rsidP="00012C58">
      <w:pPr>
        <w:pStyle w:val="Zkladntext2"/>
        <w:rPr>
          <w:rFonts w:ascii="Times New Roman" w:hAnsi="Times New Roman" w:cs="Times New Roman"/>
          <w:sz w:val="22"/>
        </w:rPr>
      </w:pPr>
      <w:r w:rsidRPr="00007243">
        <w:rPr>
          <w:rFonts w:ascii="Times New Roman" w:hAnsi="Times New Roman" w:cs="Times New Roman"/>
          <w:sz w:val="22"/>
        </w:rPr>
        <w:t>Chinapril/hydrochlorotiazid môže spôsobiť vznik symptomatickej hypotenzie, obvykle ale nie častejšie ako oba lieky v monoterapii. U hypertonických pacientov bez komplikácii sa symptomatická hypotenzia pozoruje zriedkavo. U hypertonických pacientov, ktorí užívajú chinapril, je výskyt hypotenzie pravdepodobnejší, ak má pacient znížený objem tekutín v organizme, napr. po liečbe diuretikami, pri diéte s obmedzením solí, dialýze, hnačke alebo vracaní, alebo má závažnú renín-dependentnú hypertenziu (pozri časti 4.5 a 4.8).</w:t>
      </w:r>
    </w:p>
    <w:p w:rsidR="00012C58" w:rsidRPr="00007243" w:rsidRDefault="00012C58" w:rsidP="00012C58">
      <w:pPr>
        <w:pStyle w:val="Zkladntext2"/>
        <w:rPr>
          <w:rFonts w:ascii="Times New Roman" w:hAnsi="Times New Roman" w:cs="Times New Roman"/>
          <w:sz w:val="22"/>
        </w:rPr>
      </w:pPr>
    </w:p>
    <w:p w:rsidR="00012C58" w:rsidRPr="00007243" w:rsidRDefault="00012C58" w:rsidP="00012C58">
      <w:pPr>
        <w:pStyle w:val="Zkladntext2"/>
        <w:rPr>
          <w:rFonts w:ascii="Times New Roman" w:hAnsi="Times New Roman" w:cs="Times New Roman"/>
          <w:sz w:val="22"/>
        </w:rPr>
      </w:pPr>
      <w:r w:rsidRPr="00007243">
        <w:rPr>
          <w:rFonts w:ascii="Times New Roman" w:hAnsi="Times New Roman" w:cs="Times New Roman"/>
          <w:sz w:val="22"/>
        </w:rPr>
        <w:t>Chinapril/hydrochlorotiazid sa má s opatrnosťou používať u pacientov, ktorí súbežne dostávajú ďalšie antihypertenzíva. Tiazidová zložka chinaprilu/hydrochlorotiazidu môže zosilňovať účinok iných antihypertenzív, najmä gangliových alebo periférnych adrenergných blokátorov. Antihypertenzný účinok tiazidovej zložky môže byť zvýšený u pacientov po sympatektómii.</w:t>
      </w:r>
    </w:p>
    <w:p w:rsidR="00E453AA" w:rsidRPr="00007243" w:rsidRDefault="00E453AA">
      <w:pPr>
        <w:pStyle w:val="Zkladntext2"/>
        <w:rPr>
          <w:rFonts w:ascii="Times New Roman" w:hAnsi="Times New Roman" w:cs="Times New Roman"/>
          <w:sz w:val="22"/>
          <w:szCs w:val="22"/>
        </w:rPr>
      </w:pPr>
    </w:p>
    <w:p w:rsidR="00E453AA" w:rsidRPr="00007243" w:rsidRDefault="00E453AA">
      <w:pPr>
        <w:pStyle w:val="Zkladntext2"/>
        <w:rPr>
          <w:rFonts w:ascii="Times New Roman" w:hAnsi="Times New Roman" w:cs="Times New Roman"/>
          <w:sz w:val="22"/>
          <w:szCs w:val="22"/>
        </w:rPr>
      </w:pPr>
      <w:r w:rsidRPr="00007243">
        <w:rPr>
          <w:rFonts w:ascii="Times New Roman" w:hAnsi="Times New Roman" w:cs="Times New Roman"/>
          <w:sz w:val="22"/>
          <w:szCs w:val="22"/>
        </w:rPr>
        <w:t xml:space="preserve">Ak sa vyskytne </w:t>
      </w:r>
      <w:r w:rsidR="00012C58" w:rsidRPr="00007243">
        <w:rPr>
          <w:rFonts w:ascii="Times New Roman" w:hAnsi="Times New Roman" w:cs="Times New Roman"/>
          <w:sz w:val="22"/>
          <w:szCs w:val="22"/>
        </w:rPr>
        <w:t xml:space="preserve">symptomatická </w:t>
      </w:r>
      <w:r w:rsidRPr="00007243">
        <w:rPr>
          <w:rFonts w:ascii="Times New Roman" w:hAnsi="Times New Roman" w:cs="Times New Roman"/>
          <w:sz w:val="22"/>
          <w:szCs w:val="22"/>
        </w:rPr>
        <w:t xml:space="preserve">hypotenzia, odporúča sa uložiť pacienta do polohy na chrbte a, pokiaľ je to nutné, má sa podať intravenózna infúzia fyziologického roztoku. Prechodná hypotenzná reakcia nie je kontraindikáciou na ďalšie dávky, </w:t>
      </w:r>
      <w:r w:rsidR="00012C58" w:rsidRPr="00007243">
        <w:rPr>
          <w:rFonts w:ascii="Times New Roman" w:hAnsi="Times New Roman" w:cs="Times New Roman"/>
          <w:sz w:val="22"/>
        </w:rPr>
        <w:t>avšak majú sa zvážiť nižšie dávky chinaprilu alebo iného súbežne podávaného diuretika, ak sa vyskytne takáto reakcia.</w:t>
      </w:r>
    </w:p>
    <w:p w:rsidR="00E453AA" w:rsidRPr="00007243" w:rsidRDefault="00E453AA">
      <w:pPr>
        <w:pStyle w:val="Zkladntext2"/>
        <w:rPr>
          <w:rFonts w:ascii="Times New Roman" w:hAnsi="Times New Roman" w:cs="Times New Roman"/>
          <w:sz w:val="22"/>
          <w:szCs w:val="22"/>
        </w:rPr>
      </w:pPr>
    </w:p>
    <w:p w:rsidR="00012C58" w:rsidRPr="00007243" w:rsidRDefault="00012C58" w:rsidP="00012C58">
      <w:pPr>
        <w:pStyle w:val="Zkladntext2"/>
        <w:rPr>
          <w:rFonts w:ascii="Times New Roman" w:hAnsi="Times New Roman" w:cs="Times New Roman"/>
          <w:sz w:val="22"/>
        </w:rPr>
      </w:pPr>
      <w:r w:rsidRPr="00007243">
        <w:rPr>
          <w:rFonts w:ascii="Times New Roman" w:hAnsi="Times New Roman" w:cs="Times New Roman"/>
          <w:sz w:val="22"/>
        </w:rPr>
        <w:t xml:space="preserve">U pacientov s kongestívnym srdcovým zlyhaním a s renálnou insuficienciou alebo bez nej môže antihypertenzná liečba ACE inhibítormi spôsobiť nadmerný pokles krvného tlaku, čo môže byť spojené u týchto pacientov s oligúriou, azotémiou a v zriedkavých prípadoch s akútnym renálnym zlyhaním a úmrtím. Pravdepodobnejší je výskyt u tých pacientov, ktorí majú ťažšie stupne zlyhania srdca, ako sa prejavuje pri užívaní vysokých dávok slučkových diuretík, hyponatriémiu alebo funkčné zlyhanie obličiek. Liečba chinaprilom/hydrochlorotiazidom sa má začať pod prísnym lekárskym dohľadom. Pacienti so zvýšeným rizikom symptomatickej hypotenzie sa majú dôkladne </w:t>
      </w:r>
      <w:r w:rsidR="00355CD3" w:rsidRPr="00007243">
        <w:rPr>
          <w:rFonts w:ascii="Times New Roman" w:hAnsi="Times New Roman" w:cs="Times New Roman"/>
          <w:sz w:val="22"/>
        </w:rPr>
        <w:t>sledova</w:t>
      </w:r>
      <w:r w:rsidR="000304BD">
        <w:rPr>
          <w:rFonts w:ascii="Times New Roman" w:hAnsi="Times New Roman" w:cs="Times New Roman"/>
          <w:sz w:val="22"/>
        </w:rPr>
        <w:t>ť</w:t>
      </w:r>
      <w:r w:rsidR="00355CD3" w:rsidRPr="000304BD">
        <w:rPr>
          <w:rFonts w:ascii="Times New Roman" w:hAnsi="Times New Roman" w:cs="Times New Roman"/>
          <w:sz w:val="22"/>
        </w:rPr>
        <w:t xml:space="preserve"> </w:t>
      </w:r>
      <w:r w:rsidRPr="00007243">
        <w:rPr>
          <w:rFonts w:ascii="Times New Roman" w:hAnsi="Times New Roman" w:cs="Times New Roman"/>
          <w:sz w:val="22"/>
        </w:rPr>
        <w:t>na začiatku liečby chinaprilom/hydrochlorotiazidom. Pacienti majú byť pozorne sledovaní prvé dva týždne liečby a vždy po zvýšení dávky. Podobné opatrenia platia pre pacientov s ischemickou chorobou srdca alebo cerebrovaskulárnym ochorením, u ktorých môže nadmerný pokles krvného tlaku vyvolať srdcový infarkt alebo cerebrovaskulárnu príhodu.</w:t>
      </w:r>
    </w:p>
    <w:p w:rsidR="00355CD3" w:rsidRPr="00007243" w:rsidRDefault="00355CD3" w:rsidP="00012C58">
      <w:pPr>
        <w:pStyle w:val="Zkladntext2"/>
        <w:rPr>
          <w:rFonts w:ascii="Times New Roman" w:hAnsi="Times New Roman" w:cs="Times New Roman"/>
          <w:sz w:val="22"/>
        </w:rPr>
      </w:pPr>
    </w:p>
    <w:p w:rsidR="00355CD3" w:rsidRPr="00007243" w:rsidRDefault="00355CD3" w:rsidP="00355CD3">
      <w:pPr>
        <w:pStyle w:val="Zkladntext2"/>
        <w:rPr>
          <w:rFonts w:ascii="Times New Roman" w:hAnsi="Times New Roman" w:cs="Times New Roman"/>
          <w:sz w:val="22"/>
        </w:rPr>
      </w:pPr>
      <w:r w:rsidRPr="00007243">
        <w:rPr>
          <w:rFonts w:ascii="Times New Roman" w:hAnsi="Times New Roman" w:cs="Times New Roman"/>
          <w:i/>
          <w:sz w:val="22"/>
        </w:rPr>
        <w:t>Srdcové zlyhanie/ochorenie srdca</w:t>
      </w:r>
    </w:p>
    <w:p w:rsidR="00355CD3" w:rsidRPr="00007243" w:rsidRDefault="00355CD3" w:rsidP="00355CD3">
      <w:pPr>
        <w:pStyle w:val="Zkladntext2"/>
        <w:rPr>
          <w:rFonts w:ascii="Times New Roman" w:hAnsi="Times New Roman" w:cs="Times New Roman"/>
          <w:sz w:val="22"/>
        </w:rPr>
      </w:pPr>
      <w:r w:rsidRPr="00007243">
        <w:rPr>
          <w:rFonts w:ascii="Times New Roman" w:hAnsi="Times New Roman" w:cs="Times New Roman"/>
          <w:sz w:val="22"/>
        </w:rPr>
        <w:t>U citlivých jedincov môže v dôsledku inhibície renín-angiotenzín-aldosterónového systému dôjsť k zmenám renálnych funkcií. U pacientov so závažným srdcovým zlyhaním, ktorých renálne funkcie závisia od aktivity renín-angiotenzín-aldosterónového systému, môže byť liečba chinaprilom spojená s oligúriou a/alebo s progresívnou azotémiou a zriedkavo s akútnym renálnym zlyhaním a/alebo úmrtím.</w:t>
      </w:r>
    </w:p>
    <w:p w:rsidR="00E453AA" w:rsidRPr="00007243" w:rsidRDefault="00E453AA">
      <w:pPr>
        <w:pStyle w:val="Zkladntext2"/>
        <w:rPr>
          <w:rFonts w:ascii="Times New Roman" w:hAnsi="Times New Roman" w:cs="Times New Roman"/>
          <w:sz w:val="22"/>
          <w:szCs w:val="22"/>
        </w:rPr>
      </w:pPr>
    </w:p>
    <w:p w:rsidR="00355CD3" w:rsidRPr="00007243" w:rsidRDefault="00355CD3" w:rsidP="00355CD3">
      <w:pPr>
        <w:pStyle w:val="Zkladntext2"/>
        <w:rPr>
          <w:rFonts w:ascii="Times New Roman" w:hAnsi="Times New Roman" w:cs="Times New Roman"/>
          <w:i/>
          <w:iCs/>
          <w:sz w:val="22"/>
          <w:szCs w:val="22"/>
        </w:rPr>
      </w:pPr>
      <w:r w:rsidRPr="00007243">
        <w:rPr>
          <w:rFonts w:ascii="Times New Roman" w:hAnsi="Times New Roman" w:cs="Times New Roman"/>
          <w:i/>
          <w:iCs/>
          <w:sz w:val="22"/>
          <w:szCs w:val="22"/>
        </w:rPr>
        <w:t>Kašeľ</w:t>
      </w:r>
    </w:p>
    <w:p w:rsidR="00355CD3" w:rsidRPr="00007243" w:rsidRDefault="00355CD3" w:rsidP="00355CD3">
      <w:pPr>
        <w:pStyle w:val="Zkladntext2"/>
        <w:rPr>
          <w:rFonts w:ascii="Times New Roman" w:hAnsi="Times New Roman" w:cs="Times New Roman"/>
          <w:sz w:val="22"/>
          <w:szCs w:val="22"/>
        </w:rPr>
      </w:pPr>
      <w:r w:rsidRPr="00007243">
        <w:rPr>
          <w:rFonts w:ascii="Times New Roman" w:hAnsi="Times New Roman" w:cs="Times New Roman"/>
          <w:sz w:val="22"/>
          <w:szCs w:val="22"/>
        </w:rPr>
        <w:t xml:space="preserve">Kašeľ sa hlásil pri používaní ACE inhibítorov. Charakteristikou kašľa je, že je neproduktívny, pretrvávajúci a mizne po prerušení liečby. Kašeľ vyvolaný ACE inhibítormi sa má brať do úvahy pri diferenciálnej diagnóze kašľa. </w:t>
      </w:r>
    </w:p>
    <w:p w:rsidR="00E453AA" w:rsidRPr="00007243" w:rsidRDefault="00E453AA">
      <w:pPr>
        <w:pStyle w:val="Zkladntext2"/>
        <w:rPr>
          <w:rFonts w:ascii="Times New Roman" w:hAnsi="Times New Roman" w:cs="Times New Roman"/>
          <w:sz w:val="22"/>
          <w:szCs w:val="22"/>
        </w:rPr>
      </w:pPr>
    </w:p>
    <w:p w:rsidR="00355CD3" w:rsidRPr="00007243" w:rsidRDefault="00355CD3" w:rsidP="00355CD3">
      <w:pPr>
        <w:pStyle w:val="Zkladntext2"/>
        <w:rPr>
          <w:rFonts w:ascii="Times New Roman" w:hAnsi="Times New Roman" w:cs="Times New Roman"/>
          <w:i/>
          <w:sz w:val="22"/>
        </w:rPr>
      </w:pPr>
      <w:r w:rsidRPr="00007243">
        <w:rPr>
          <w:rFonts w:ascii="Times New Roman" w:hAnsi="Times New Roman" w:cs="Times New Roman"/>
          <w:i/>
          <w:sz w:val="22"/>
        </w:rPr>
        <w:t>Ochorenie obličiek</w:t>
      </w:r>
    </w:p>
    <w:p w:rsidR="00355CD3" w:rsidRPr="00007243" w:rsidRDefault="00355CD3" w:rsidP="00355CD3">
      <w:pPr>
        <w:pStyle w:val="Zkladntext2"/>
        <w:rPr>
          <w:rFonts w:ascii="Times New Roman" w:hAnsi="Times New Roman" w:cs="Times New Roman"/>
          <w:sz w:val="22"/>
        </w:rPr>
      </w:pPr>
      <w:r w:rsidRPr="00007243">
        <w:rPr>
          <w:rFonts w:ascii="Times New Roman" w:hAnsi="Times New Roman" w:cs="Times New Roman"/>
          <w:sz w:val="22"/>
        </w:rPr>
        <w:t>Chinapril/hydrochlorotiazid sa má používať s opatrnosťou u pacientov s ochorením obličiek. Pri závažnom ochorení obličiek môžu tiazidy spôsobiť azotémiu a u pacientov so stredne závažným ochorením obličiek (klírens kreatinínu 10 </w:t>
      </w:r>
      <w:r w:rsidRPr="00007243">
        <w:rPr>
          <w:rFonts w:ascii="Times New Roman" w:hAnsi="Times New Roman" w:cs="Times New Roman"/>
          <w:sz w:val="22"/>
        </w:rPr>
        <w:noBreakHyphen/>
        <w:t> 20 ml/min) sú tiazidy spravidla neúčinné a po opakovanom podaní sa účinok môže kumulovať (pozri časť 4.3).</w:t>
      </w:r>
    </w:p>
    <w:p w:rsidR="00355CD3" w:rsidRPr="00007243" w:rsidRDefault="00355CD3" w:rsidP="00355CD3">
      <w:pPr>
        <w:pStyle w:val="Zkladntext2"/>
        <w:rPr>
          <w:rFonts w:ascii="Times New Roman" w:hAnsi="Times New Roman" w:cs="Times New Roman"/>
          <w:sz w:val="22"/>
        </w:rPr>
      </w:pPr>
    </w:p>
    <w:p w:rsidR="00355CD3" w:rsidRPr="00007243" w:rsidRDefault="00355CD3" w:rsidP="00355CD3">
      <w:pPr>
        <w:pStyle w:val="Zkladntext2"/>
        <w:rPr>
          <w:rFonts w:ascii="Times New Roman" w:hAnsi="Times New Roman" w:cs="Times New Roman"/>
          <w:sz w:val="22"/>
        </w:rPr>
      </w:pPr>
      <w:r w:rsidRPr="00007243">
        <w:rPr>
          <w:rFonts w:ascii="Times New Roman" w:hAnsi="Times New Roman" w:cs="Times New Roman"/>
          <w:sz w:val="22"/>
        </w:rPr>
        <w:t>Nie je k dispozícii dostatok skúseností u pacientov so závažným zlyhaním obličiek (klírens kreatinínu &lt; 10 ml/min). Pred liečbou ACE inhibítormi sa u pacientov s transplantáciou obličky má vylúčiť renálna arteriálna stenóza.</w:t>
      </w:r>
    </w:p>
    <w:p w:rsidR="00355CD3" w:rsidRPr="00007243" w:rsidRDefault="00355CD3" w:rsidP="00355CD3">
      <w:pPr>
        <w:pStyle w:val="Zkladntext2"/>
        <w:rPr>
          <w:rFonts w:ascii="Times New Roman" w:hAnsi="Times New Roman" w:cs="Times New Roman"/>
          <w:sz w:val="22"/>
        </w:rPr>
      </w:pPr>
    </w:p>
    <w:p w:rsidR="00355CD3" w:rsidRPr="00007243" w:rsidRDefault="00355CD3" w:rsidP="00355CD3">
      <w:pPr>
        <w:pStyle w:val="Zkladntext2"/>
        <w:rPr>
          <w:rFonts w:ascii="Times New Roman" w:hAnsi="Times New Roman" w:cs="Times New Roman"/>
          <w:sz w:val="22"/>
        </w:rPr>
      </w:pPr>
      <w:r w:rsidRPr="00007243">
        <w:rPr>
          <w:rFonts w:ascii="Times New Roman" w:hAnsi="Times New Roman" w:cs="Times New Roman"/>
          <w:sz w:val="22"/>
        </w:rPr>
        <w:t>Polčas chinaprilátu sa predlžuje pri poklese klírensu kreatinínu. Pacientom s klírensom kreatinínu &lt; 60 ml/min sa má podať nižšia úvodná dávka chinaprilu (pozri časť 4.2). Dávka pre týchto pacientov má byť titrovaná na základe terapeutickej odpovede a renálne funkcie sa majú dôkladne sledovať, hoci úvodné štúdie neindikujú, že chinapril spôsobuje ďalšie zhoršenie renálnych funkcií. Rutinné sledovanie draslíka a kreatinínu je súčasťou bežnej medicínskej praxe u týchto pacientov.</w:t>
      </w:r>
    </w:p>
    <w:p w:rsidR="00355CD3" w:rsidRPr="00007243" w:rsidRDefault="00355CD3" w:rsidP="00355CD3">
      <w:pPr>
        <w:pStyle w:val="Zkladntext2"/>
        <w:rPr>
          <w:rFonts w:ascii="Times New Roman" w:hAnsi="Times New Roman" w:cs="Times New Roman"/>
          <w:sz w:val="22"/>
          <w:u w:val="single"/>
        </w:rPr>
      </w:pPr>
    </w:p>
    <w:p w:rsidR="00496334" w:rsidRPr="00007243" w:rsidRDefault="00355CD3" w:rsidP="00355CD3">
      <w:pPr>
        <w:pStyle w:val="Zkladntext2"/>
        <w:rPr>
          <w:rFonts w:ascii="Times New Roman" w:hAnsi="Times New Roman" w:cs="Times New Roman"/>
          <w:sz w:val="22"/>
        </w:rPr>
      </w:pPr>
      <w:r w:rsidRPr="00007243">
        <w:rPr>
          <w:rFonts w:ascii="Times New Roman" w:hAnsi="Times New Roman" w:cs="Times New Roman"/>
          <w:sz w:val="22"/>
        </w:rPr>
        <w:t>V klinických štúdiách s hypertenznými pacientmi s unilaterálnou alebo bilaterálnou stenózou renálnej artérie sa u niektorých pacientov liečených ACE inhibítormi pozorovali zvýšenia dusíka močoviny v krvi a hladiny sérového kreatinínu. Toto je pravdepodobnejšie</w:t>
      </w:r>
      <w:r w:rsidR="003B3B52">
        <w:rPr>
          <w:rFonts w:ascii="Times New Roman" w:hAnsi="Times New Roman" w:cs="Times New Roman"/>
          <w:sz w:val="22"/>
        </w:rPr>
        <w:t xml:space="preserve"> naj</w:t>
      </w:r>
      <w:r w:rsidR="000304BD">
        <w:rPr>
          <w:rFonts w:ascii="Times New Roman" w:hAnsi="Times New Roman" w:cs="Times New Roman"/>
          <w:sz w:val="22"/>
        </w:rPr>
        <w:t>mä</w:t>
      </w:r>
      <w:r w:rsidRPr="000304BD">
        <w:rPr>
          <w:rFonts w:ascii="Times New Roman" w:hAnsi="Times New Roman" w:cs="Times New Roman"/>
          <w:sz w:val="22"/>
        </w:rPr>
        <w:t xml:space="preserve"> u pacientov s renálnou insuficienciou. Tieto zvýšenia boli takmer vždy reverzibilné p</w:t>
      </w:r>
      <w:r w:rsidRPr="00007243">
        <w:rPr>
          <w:rFonts w:ascii="Times New Roman" w:hAnsi="Times New Roman" w:cs="Times New Roman"/>
          <w:sz w:val="22"/>
        </w:rPr>
        <w:t>o prerušení liečby ACE inhibítormi a/alebo diuretickej liečby. Ak je tiež prítomná renovaskulárna hypertenzia</w:t>
      </w:r>
      <w:r w:rsidR="00496334" w:rsidRPr="00007243">
        <w:rPr>
          <w:rFonts w:ascii="Times New Roman" w:hAnsi="Times New Roman" w:cs="Times New Roman"/>
          <w:sz w:val="22"/>
        </w:rPr>
        <w:t xml:space="preserve">, existuje zvýšené riziko ťažkej hypotenzie a renálnej insuficiencie. </w:t>
      </w:r>
      <w:r w:rsidRPr="00007243">
        <w:rPr>
          <w:rFonts w:ascii="Times New Roman" w:hAnsi="Times New Roman" w:cs="Times New Roman"/>
          <w:sz w:val="22"/>
        </w:rPr>
        <w:t xml:space="preserve">U týchto pacientov </w:t>
      </w:r>
      <w:r w:rsidR="00496334" w:rsidRPr="00007243">
        <w:rPr>
          <w:rFonts w:ascii="Times New Roman" w:hAnsi="Times New Roman" w:cs="Times New Roman"/>
          <w:sz w:val="22"/>
        </w:rPr>
        <w:t>sa liečba má začať s dôkladným sledovaním lekárom s nízkymi dávkami a starostlivou titráciou dávky. Keďže liečba diuretikami môže byť faktorom, ktorý prispieva k vyššie uvedeným stavom, majú byť vysadené a renálna funkcia má byť sledovaná počas prvých týždňov liečby chinaprilom/hydrochlorotiazidom.</w:t>
      </w:r>
    </w:p>
    <w:p w:rsidR="00355CD3" w:rsidRPr="00007243" w:rsidRDefault="00355CD3" w:rsidP="00355CD3">
      <w:pPr>
        <w:pStyle w:val="Zkladntext2"/>
        <w:rPr>
          <w:rFonts w:ascii="Times New Roman" w:hAnsi="Times New Roman" w:cs="Times New Roman"/>
          <w:sz w:val="22"/>
        </w:rPr>
      </w:pPr>
      <w:r w:rsidRPr="00007243">
        <w:rPr>
          <w:rFonts w:ascii="Times New Roman" w:hAnsi="Times New Roman" w:cs="Times New Roman"/>
          <w:sz w:val="22"/>
        </w:rPr>
        <w:t xml:space="preserve"> </w:t>
      </w:r>
    </w:p>
    <w:p w:rsidR="00355CD3" w:rsidRPr="00007243" w:rsidRDefault="00355CD3" w:rsidP="00173802">
      <w:pPr>
        <w:pStyle w:val="Zkladntext2"/>
        <w:rPr>
          <w:rFonts w:ascii="Times New Roman" w:hAnsi="Times New Roman" w:cs="Times New Roman"/>
          <w:sz w:val="22"/>
        </w:rPr>
      </w:pPr>
      <w:r w:rsidRPr="00007243">
        <w:rPr>
          <w:rFonts w:ascii="Times New Roman" w:hAnsi="Times New Roman" w:cs="Times New Roman"/>
          <w:sz w:val="22"/>
        </w:rPr>
        <w:t>U niektorých pacientov s hypertenziou alebo srdcovým zlyhaním bez zjavného predchádzajúceho vaskulárneho ochorenia obličiek sa zvýšila (&gt; 1,25-násobok hornej hranice normálnej hodnoty) urea v krvi a kreatinín v sére, zvyčajne v malej miere a prechodne, najmä ak sa chinapril podával súbežne s</w:t>
      </w:r>
      <w:r w:rsidR="00496334" w:rsidRPr="00007243">
        <w:rPr>
          <w:rFonts w:ascii="Times New Roman" w:hAnsi="Times New Roman" w:cs="Times New Roman"/>
          <w:sz w:val="22"/>
        </w:rPr>
        <w:t> </w:t>
      </w:r>
      <w:r w:rsidRPr="00007243">
        <w:rPr>
          <w:rFonts w:ascii="Times New Roman" w:hAnsi="Times New Roman" w:cs="Times New Roman"/>
          <w:sz w:val="22"/>
        </w:rPr>
        <w:t>diuretikom</w:t>
      </w:r>
      <w:r w:rsidR="00496334" w:rsidRPr="00007243">
        <w:rPr>
          <w:rFonts w:ascii="Times New Roman" w:hAnsi="Times New Roman" w:cs="Times New Roman"/>
          <w:sz w:val="22"/>
        </w:rPr>
        <w:t>. Zvýšenie močoviny v krvi a kreatinínu v sére s</w:t>
      </w:r>
      <w:r w:rsidRPr="00007243">
        <w:rPr>
          <w:rFonts w:ascii="Times New Roman" w:hAnsi="Times New Roman" w:cs="Times New Roman"/>
          <w:sz w:val="22"/>
        </w:rPr>
        <w:t>a pozoroval</w:t>
      </w:r>
      <w:r w:rsidR="00496334" w:rsidRPr="00007243">
        <w:rPr>
          <w:rFonts w:ascii="Times New Roman" w:hAnsi="Times New Roman" w:cs="Times New Roman"/>
          <w:sz w:val="22"/>
        </w:rPr>
        <w:t>o</w:t>
      </w:r>
      <w:r w:rsidRPr="00007243">
        <w:rPr>
          <w:rFonts w:ascii="Times New Roman" w:hAnsi="Times New Roman" w:cs="Times New Roman"/>
          <w:sz w:val="22"/>
        </w:rPr>
        <w:t xml:space="preserve"> sa u </w:t>
      </w:r>
      <w:r w:rsidR="00496334" w:rsidRPr="00007243">
        <w:rPr>
          <w:rFonts w:ascii="Times New Roman" w:hAnsi="Times New Roman" w:cs="Times New Roman"/>
          <w:sz w:val="22"/>
        </w:rPr>
        <w:t>2</w:t>
      </w:r>
      <w:r w:rsidRPr="00007243">
        <w:rPr>
          <w:rFonts w:ascii="Times New Roman" w:hAnsi="Times New Roman" w:cs="Times New Roman"/>
          <w:sz w:val="22"/>
        </w:rPr>
        <w:t> % a </w:t>
      </w:r>
      <w:r w:rsidR="00496334" w:rsidRPr="00007243">
        <w:rPr>
          <w:rFonts w:ascii="Times New Roman" w:hAnsi="Times New Roman" w:cs="Times New Roman"/>
          <w:sz w:val="22"/>
        </w:rPr>
        <w:t>2</w:t>
      </w:r>
      <w:r w:rsidRPr="00007243">
        <w:rPr>
          <w:rFonts w:ascii="Times New Roman" w:hAnsi="Times New Roman" w:cs="Times New Roman"/>
          <w:sz w:val="22"/>
        </w:rPr>
        <w:t xml:space="preserve"> % </w:t>
      </w:r>
      <w:r w:rsidR="00496334" w:rsidRPr="00007243">
        <w:rPr>
          <w:rFonts w:ascii="Times New Roman" w:hAnsi="Times New Roman" w:cs="Times New Roman"/>
          <w:sz w:val="22"/>
        </w:rPr>
        <w:t xml:space="preserve">hypertenzných </w:t>
      </w:r>
      <w:r w:rsidRPr="00007243">
        <w:rPr>
          <w:rFonts w:ascii="Times New Roman" w:hAnsi="Times New Roman" w:cs="Times New Roman"/>
          <w:sz w:val="22"/>
        </w:rPr>
        <w:t>pacientov s</w:t>
      </w:r>
      <w:r w:rsidR="00496334" w:rsidRPr="00007243">
        <w:rPr>
          <w:rFonts w:ascii="Times New Roman" w:hAnsi="Times New Roman" w:cs="Times New Roman"/>
          <w:sz w:val="22"/>
        </w:rPr>
        <w:t> </w:t>
      </w:r>
      <w:r w:rsidRPr="00007243">
        <w:rPr>
          <w:rFonts w:ascii="Times New Roman" w:hAnsi="Times New Roman" w:cs="Times New Roman"/>
          <w:sz w:val="22"/>
        </w:rPr>
        <w:t>monoterapiou</w:t>
      </w:r>
      <w:r w:rsidR="00496334" w:rsidRPr="00007243">
        <w:rPr>
          <w:rFonts w:ascii="Times New Roman" w:hAnsi="Times New Roman" w:cs="Times New Roman"/>
          <w:sz w:val="22"/>
        </w:rPr>
        <w:t xml:space="preserve"> chinaprilom a u 4% a 3% hypertenzných pacientov  v uvedenom poradí s chinaprilom/hydrochlortiazidom</w:t>
      </w:r>
      <w:r w:rsidRPr="00007243">
        <w:rPr>
          <w:rFonts w:ascii="Times New Roman" w:hAnsi="Times New Roman" w:cs="Times New Roman"/>
          <w:sz w:val="22"/>
        </w:rPr>
        <w:t xml:space="preserve">. </w:t>
      </w:r>
      <w:r w:rsidR="00496334" w:rsidRPr="00007243">
        <w:rPr>
          <w:rFonts w:ascii="Times New Roman" w:hAnsi="Times New Roman" w:cs="Times New Roman"/>
          <w:sz w:val="22"/>
        </w:rPr>
        <w:t xml:space="preserve">Tieto zvýšenia sú pravdepodobnejšie </w:t>
      </w:r>
      <w:r w:rsidRPr="00007243">
        <w:rPr>
          <w:rFonts w:ascii="Times New Roman" w:hAnsi="Times New Roman" w:cs="Times New Roman"/>
          <w:sz w:val="22"/>
        </w:rPr>
        <w:t>u pacientov s už existujúcim poškodením obličiek. Môže si to vyžadovať zníženie dávky a/alebo vysadenie diuretika a /alebo chinaprilu.</w:t>
      </w:r>
    </w:p>
    <w:p w:rsidR="00173802" w:rsidRPr="00007243" w:rsidRDefault="00173802" w:rsidP="00173802">
      <w:pPr>
        <w:pStyle w:val="Zkladntext2"/>
        <w:rPr>
          <w:rFonts w:ascii="Times New Roman" w:hAnsi="Times New Roman" w:cs="Times New Roman"/>
          <w:i/>
          <w:iCs/>
          <w:sz w:val="22"/>
          <w:szCs w:val="22"/>
        </w:rPr>
      </w:pPr>
    </w:p>
    <w:p w:rsidR="00173802" w:rsidRPr="000304BD" w:rsidRDefault="00173802" w:rsidP="00173802">
      <w:pPr>
        <w:pStyle w:val="Zkladntext2"/>
        <w:rPr>
          <w:rFonts w:ascii="Times New Roman" w:hAnsi="Times New Roman" w:cs="Times New Roman"/>
          <w:i/>
          <w:iCs/>
          <w:sz w:val="22"/>
          <w:szCs w:val="22"/>
        </w:rPr>
      </w:pPr>
      <w:r w:rsidRPr="00007243">
        <w:rPr>
          <w:rFonts w:ascii="Times New Roman" w:hAnsi="Times New Roman" w:cs="Times New Roman"/>
          <w:i/>
          <w:iCs/>
          <w:sz w:val="22"/>
          <w:szCs w:val="22"/>
        </w:rPr>
        <w:t>Transplantácia obličk</w:t>
      </w:r>
      <w:r w:rsidR="000304BD">
        <w:rPr>
          <w:rFonts w:ascii="Times New Roman" w:hAnsi="Times New Roman" w:cs="Times New Roman"/>
          <w:i/>
          <w:iCs/>
          <w:sz w:val="22"/>
          <w:szCs w:val="22"/>
        </w:rPr>
        <w:t>y</w:t>
      </w:r>
    </w:p>
    <w:p w:rsidR="00173802" w:rsidRPr="00007243" w:rsidRDefault="00173802" w:rsidP="00173802">
      <w:pPr>
        <w:pStyle w:val="Zkladntext2"/>
        <w:rPr>
          <w:rFonts w:ascii="Times New Roman" w:hAnsi="Times New Roman" w:cs="Times New Roman"/>
          <w:sz w:val="22"/>
          <w:szCs w:val="22"/>
        </w:rPr>
      </w:pPr>
      <w:r w:rsidRPr="00007243">
        <w:rPr>
          <w:rFonts w:ascii="Times New Roman" w:hAnsi="Times New Roman" w:cs="Times New Roman"/>
          <w:sz w:val="22"/>
          <w:szCs w:val="22"/>
        </w:rPr>
        <w:t xml:space="preserve">S podávaním chinaprilu pacientom s nedávno transplantovanou obličkou nie sú skúsenosti. Preto sa liečba chinaprilom/hydrochlorotiazidom neodporúča. </w:t>
      </w:r>
    </w:p>
    <w:p w:rsidR="00EF2CED" w:rsidRPr="00007243" w:rsidRDefault="00EF2CED" w:rsidP="00633A8C">
      <w:pPr>
        <w:pStyle w:val="Zkladntext2"/>
        <w:rPr>
          <w:rFonts w:ascii="Times New Roman" w:hAnsi="Times New Roman" w:cs="Times New Roman"/>
          <w:sz w:val="22"/>
        </w:rPr>
      </w:pPr>
    </w:p>
    <w:p w:rsidR="00EF2CED" w:rsidRPr="00007243" w:rsidRDefault="00EF2CED" w:rsidP="00EF2CED">
      <w:pPr>
        <w:pStyle w:val="Zkladntext2"/>
        <w:rPr>
          <w:rFonts w:ascii="Times New Roman" w:hAnsi="Times New Roman" w:cs="Times New Roman"/>
          <w:i/>
          <w:sz w:val="22"/>
        </w:rPr>
      </w:pPr>
      <w:r w:rsidRPr="00007243">
        <w:rPr>
          <w:rFonts w:ascii="Times New Roman" w:hAnsi="Times New Roman" w:cs="Times New Roman"/>
          <w:i/>
          <w:sz w:val="22"/>
        </w:rPr>
        <w:t>Porucha funkcie pečene</w:t>
      </w:r>
    </w:p>
    <w:p w:rsidR="00EF2CED" w:rsidRPr="000304BD" w:rsidRDefault="00EF2CED" w:rsidP="00EF2CED">
      <w:pPr>
        <w:pStyle w:val="Zkladntext2"/>
        <w:rPr>
          <w:rFonts w:ascii="Times New Roman" w:hAnsi="Times New Roman" w:cs="Times New Roman"/>
          <w:sz w:val="22"/>
        </w:rPr>
      </w:pPr>
      <w:r w:rsidRPr="00007243">
        <w:rPr>
          <w:rFonts w:ascii="Times New Roman" w:hAnsi="Times New Roman" w:cs="Times New Roman"/>
          <w:sz w:val="22"/>
        </w:rPr>
        <w:t>Chinapril/hydrochlorotiazid sa má používať s opatrnosťou u pacientov s poruchou funkcie pečene alebo progresívnym ochorením pečene, pretože liečba tiazidmi môže spôsobiť menšie zmeny v rovnováhe tekutín a elektrolytov a môže viesť k pečeňovej kóme (pozri časť 4.3). Chinapril sa rýchlo deesterifikuje na chinaprilát (dikyselina chinaprilu, hlavný metabolit), ktorý je v štúdiách u ľudí a na zvieratách silným inhibítorom angiotenzín-konvertujúceho enzýmu. Metabolizmus chinaprilu je normálne závislý od pečeňových esteráz. Koncentrácie chinaprilátu sú znížen</w:t>
      </w:r>
      <w:r w:rsidR="000304BD">
        <w:rPr>
          <w:rFonts w:ascii="Times New Roman" w:hAnsi="Times New Roman" w:cs="Times New Roman"/>
          <w:sz w:val="22"/>
        </w:rPr>
        <w:t>é</w:t>
      </w:r>
      <w:r w:rsidRPr="000304BD">
        <w:rPr>
          <w:rFonts w:ascii="Times New Roman" w:hAnsi="Times New Roman" w:cs="Times New Roman"/>
          <w:sz w:val="22"/>
        </w:rPr>
        <w:t xml:space="preserve"> u pacientov s alkoholovou cirhózou v dôsledku porúch deesterifikácie chinaprilu.</w:t>
      </w:r>
    </w:p>
    <w:p w:rsidR="00EF2CED" w:rsidRPr="00007243" w:rsidRDefault="00EF2CED" w:rsidP="00EF2CED">
      <w:pPr>
        <w:pStyle w:val="Zkladntext2"/>
        <w:rPr>
          <w:rFonts w:ascii="Times New Roman" w:hAnsi="Times New Roman" w:cs="Times New Roman"/>
          <w:sz w:val="22"/>
        </w:rPr>
      </w:pPr>
    </w:p>
    <w:p w:rsidR="00EF2CED" w:rsidRPr="00007243" w:rsidRDefault="00EF2CED" w:rsidP="00EF2CED">
      <w:pPr>
        <w:pStyle w:val="Zkladntext2"/>
        <w:rPr>
          <w:rFonts w:ascii="Times New Roman" w:hAnsi="Times New Roman" w:cs="Times New Roman"/>
          <w:sz w:val="22"/>
        </w:rPr>
      </w:pPr>
      <w:r w:rsidRPr="00007243">
        <w:rPr>
          <w:rFonts w:ascii="Times New Roman" w:hAnsi="Times New Roman" w:cs="Times New Roman"/>
          <w:sz w:val="22"/>
        </w:rPr>
        <w:t>Zriedkavo sa podanie ACE inhibítorov spája so syndrómom začínajúcim cholestatickou žltačkou a vyvíjajúcim sa do fulminantnej nekrózy pečene (v niektorých prípadoch fatálnej). Pacienti, ktorí užívajú ACE inhibítory, u ktorých sa objavila žltačka alebo sa zaznamenalo zvýšenie hepatálnych enzýmov, musia prerušiť užívanie chinaprilu/hydrochlorotiazidu a musia sa podrobiť príslušným lekárskym vyšetreniam.</w:t>
      </w:r>
    </w:p>
    <w:p w:rsidR="00E453AA" w:rsidRPr="00007243" w:rsidRDefault="00E453AA">
      <w:pPr>
        <w:pStyle w:val="Zkladntext2"/>
        <w:rPr>
          <w:rFonts w:ascii="Times New Roman" w:hAnsi="Times New Roman" w:cs="Times New Roman"/>
          <w:sz w:val="22"/>
          <w:szCs w:val="22"/>
        </w:rPr>
      </w:pPr>
    </w:p>
    <w:p w:rsidR="00173802" w:rsidRPr="00007243" w:rsidRDefault="00173802" w:rsidP="00173802">
      <w:pPr>
        <w:pStyle w:val="Zkladntext2"/>
        <w:rPr>
          <w:rFonts w:ascii="Times New Roman" w:hAnsi="Times New Roman" w:cs="Times New Roman"/>
          <w:i/>
          <w:sz w:val="22"/>
        </w:rPr>
      </w:pPr>
      <w:r w:rsidRPr="00007243">
        <w:rPr>
          <w:rFonts w:ascii="Times New Roman" w:hAnsi="Times New Roman" w:cs="Times New Roman"/>
          <w:i/>
          <w:sz w:val="22"/>
        </w:rPr>
        <w:t>Imunitne sprostredkované liekové reakcie/anafylaktoidné reakcie</w:t>
      </w:r>
    </w:p>
    <w:p w:rsidR="00173802" w:rsidRPr="00007243" w:rsidRDefault="00173802" w:rsidP="00173802">
      <w:pPr>
        <w:pStyle w:val="Zkladntext2"/>
        <w:rPr>
          <w:rFonts w:ascii="Times New Roman" w:hAnsi="Times New Roman" w:cs="Times New Roman"/>
          <w:i/>
          <w:sz w:val="22"/>
        </w:rPr>
      </w:pPr>
      <w:r w:rsidRPr="00007243">
        <w:rPr>
          <w:rFonts w:ascii="Times New Roman" w:hAnsi="Times New Roman" w:cs="Times New Roman"/>
          <w:i/>
          <w:sz w:val="22"/>
        </w:rPr>
        <w:t>Desenzibilizácia</w:t>
      </w:r>
    </w:p>
    <w:p w:rsidR="00173802" w:rsidRPr="00007243" w:rsidRDefault="00173802" w:rsidP="00173802">
      <w:pPr>
        <w:pStyle w:val="Zkladntext2"/>
        <w:rPr>
          <w:rFonts w:ascii="Times New Roman" w:hAnsi="Times New Roman" w:cs="Times New Roman"/>
          <w:sz w:val="22"/>
        </w:rPr>
      </w:pPr>
      <w:r w:rsidRPr="00007243">
        <w:rPr>
          <w:rFonts w:ascii="Times New Roman" w:hAnsi="Times New Roman" w:cs="Times New Roman"/>
          <w:sz w:val="22"/>
        </w:rPr>
        <w:t xml:space="preserve">U pacientov liečených ACE inhibítormi počas desenzibilizácie (napr. jedom blanokrídleho hmyzu) sa vyskytli zosilnené život ohrozujúce anafylaktoidné reakcie. U tých istých pacientov sa týmto reakciám zabránilo, ak sa ACE inhibítory dočasne vysadili, ale opäť sa vyskytli po neúmyselnom opätovnom podaní lieku. </w:t>
      </w:r>
    </w:p>
    <w:p w:rsidR="00173802" w:rsidRPr="00007243" w:rsidRDefault="00173802" w:rsidP="00173802">
      <w:pPr>
        <w:pStyle w:val="Zkladntext2"/>
        <w:rPr>
          <w:rFonts w:ascii="Times New Roman" w:hAnsi="Times New Roman" w:cs="Times New Roman"/>
          <w:sz w:val="22"/>
        </w:rPr>
      </w:pPr>
    </w:p>
    <w:p w:rsidR="00173802" w:rsidRPr="00007243" w:rsidRDefault="00173802" w:rsidP="00173802">
      <w:pPr>
        <w:pStyle w:val="Zkladntext2"/>
        <w:rPr>
          <w:rFonts w:ascii="Times New Roman" w:hAnsi="Times New Roman" w:cs="Times New Roman"/>
          <w:sz w:val="22"/>
        </w:rPr>
      </w:pPr>
      <w:r w:rsidRPr="00007243">
        <w:rPr>
          <w:rFonts w:ascii="Times New Roman" w:hAnsi="Times New Roman" w:cs="Times New Roman"/>
          <w:sz w:val="22"/>
        </w:rPr>
        <w:t>Pri podávaní tiazidov bol hlásený výskyt Stevensovho-Johnsonovho syndrómu a exacerbácie alebo aktivácia systémového lupus erythematosus.</w:t>
      </w:r>
    </w:p>
    <w:p w:rsidR="00E453AA" w:rsidRPr="00007243" w:rsidRDefault="00E453AA">
      <w:pPr>
        <w:pStyle w:val="Zkladntext2"/>
        <w:rPr>
          <w:rFonts w:ascii="Times New Roman" w:hAnsi="Times New Roman" w:cs="Times New Roman"/>
          <w:sz w:val="22"/>
          <w:szCs w:val="22"/>
          <w:u w:val="single"/>
        </w:rPr>
      </w:pPr>
    </w:p>
    <w:p w:rsidR="00E453AA" w:rsidRPr="00007243" w:rsidRDefault="00E453AA">
      <w:pPr>
        <w:pStyle w:val="Zkladntext2"/>
        <w:rPr>
          <w:rFonts w:ascii="Times New Roman" w:hAnsi="Times New Roman" w:cs="Times New Roman"/>
          <w:i/>
          <w:iCs/>
          <w:sz w:val="22"/>
          <w:szCs w:val="22"/>
        </w:rPr>
      </w:pPr>
      <w:r w:rsidRPr="00007243">
        <w:rPr>
          <w:rFonts w:ascii="Times New Roman" w:hAnsi="Times New Roman" w:cs="Times New Roman"/>
          <w:i/>
          <w:iCs/>
          <w:sz w:val="22"/>
          <w:szCs w:val="22"/>
        </w:rPr>
        <w:t>Angioedém</w:t>
      </w:r>
    </w:p>
    <w:p w:rsidR="00E453AA" w:rsidRPr="00007243" w:rsidRDefault="00173802" w:rsidP="008376DD">
      <w:pPr>
        <w:pStyle w:val="Zkladntext2"/>
        <w:rPr>
          <w:rFonts w:ascii="Times New Roman" w:hAnsi="Times New Roman" w:cs="Times New Roman"/>
          <w:sz w:val="22"/>
          <w:szCs w:val="22"/>
        </w:rPr>
      </w:pPr>
      <w:r w:rsidRPr="00007243">
        <w:rPr>
          <w:rFonts w:ascii="Times New Roman" w:hAnsi="Times New Roman" w:cs="Times New Roman"/>
          <w:sz w:val="22"/>
          <w:szCs w:val="22"/>
        </w:rPr>
        <w:t>H</w:t>
      </w:r>
      <w:r w:rsidR="00E453AA" w:rsidRPr="00007243">
        <w:rPr>
          <w:rFonts w:ascii="Times New Roman" w:hAnsi="Times New Roman" w:cs="Times New Roman"/>
          <w:sz w:val="22"/>
          <w:szCs w:val="22"/>
        </w:rPr>
        <w:t>lásili edémy tváre, končatín, pier, jazyka, hlasiviek a/alebo hrtana u pacientov liečených inhibítormi</w:t>
      </w:r>
      <w:r w:rsidRPr="00007243">
        <w:rPr>
          <w:rFonts w:ascii="Times New Roman" w:hAnsi="Times New Roman" w:cs="Times New Roman"/>
          <w:sz w:val="22"/>
        </w:rPr>
        <w:t xml:space="preserve"> angiotenzín konvertujúceho enzýmu</w:t>
      </w:r>
      <w:r w:rsidR="00E453AA" w:rsidRPr="00007243">
        <w:rPr>
          <w:rFonts w:ascii="Times New Roman" w:hAnsi="Times New Roman" w:cs="Times New Roman"/>
          <w:sz w:val="22"/>
          <w:szCs w:val="22"/>
        </w:rPr>
        <w:t xml:space="preserve">. Výskyt je možný kedykoľvek počas liečby. </w:t>
      </w:r>
      <w:r w:rsidRPr="00007243">
        <w:rPr>
          <w:rFonts w:ascii="Times New Roman" w:hAnsi="Times New Roman" w:cs="Times New Roman"/>
          <w:sz w:val="22"/>
        </w:rPr>
        <w:t>Ak dôjde k zúženiu hrtanu so stridorom alebo angioedému tváre, jazyka alebo hlasiviek, liečba sa má okamžite ukončiť. Pacienti majú byť liečení vhodným spôsobom v súlade so schválenou lekárskou starostlivosťou a dôkladne sledovaní, pokiaľ opuch nevymizne. V prípade, že opuch je obmedzený len na tvár a pery, obvykle sa zlepší bez liečby; k zmierneniu príznakov možno použiť antihistaminiká. Angioedém spojený s opuchom hrtana alebo jazyka môže byť fatálny. Opuch jazyka, hlasiviek alebo hrtanu môže spôsobiť obštrukciu dýchacích ciest. Má sa rýchlo použiť vhodná liečba, napr. subkutánne roztok adrenalínu 1:1 000 (0,3 až 0,5 ml</w:t>
      </w:r>
      <w:r w:rsidR="003B3B52">
        <w:rPr>
          <w:rFonts w:ascii="Times New Roman" w:hAnsi="Times New Roman" w:cs="Times New Roman"/>
          <w:sz w:val="22"/>
        </w:rPr>
        <w:t>)</w:t>
      </w:r>
      <w:r w:rsidRPr="00007243">
        <w:rPr>
          <w:rFonts w:ascii="Times New Roman" w:hAnsi="Times New Roman" w:cs="Times New Roman"/>
          <w:sz w:val="22"/>
        </w:rPr>
        <w:t xml:space="preserve"> a /alebo udrž</w:t>
      </w:r>
      <w:r w:rsidR="00BA4EEE" w:rsidRPr="00007243">
        <w:rPr>
          <w:rFonts w:ascii="Times New Roman" w:hAnsi="Times New Roman" w:cs="Times New Roman"/>
          <w:sz w:val="22"/>
        </w:rPr>
        <w:t>anie</w:t>
      </w:r>
      <w:r w:rsidRPr="00007243">
        <w:rPr>
          <w:rFonts w:ascii="Times New Roman" w:hAnsi="Times New Roman" w:cs="Times New Roman"/>
          <w:sz w:val="22"/>
        </w:rPr>
        <w:t xml:space="preserve"> priechodno</w:t>
      </w:r>
      <w:r w:rsidR="00BA4EEE" w:rsidRPr="00007243">
        <w:rPr>
          <w:rFonts w:ascii="Times New Roman" w:hAnsi="Times New Roman" w:cs="Times New Roman"/>
          <w:sz w:val="22"/>
        </w:rPr>
        <w:t>sti</w:t>
      </w:r>
      <w:r w:rsidRPr="00007243">
        <w:rPr>
          <w:rFonts w:ascii="Times New Roman" w:hAnsi="Times New Roman" w:cs="Times New Roman"/>
          <w:sz w:val="22"/>
        </w:rPr>
        <w:t xml:space="preserve"> dýchacích ciest</w:t>
      </w:r>
      <w:r w:rsidR="00BA4EEE" w:rsidRPr="00007243">
        <w:rPr>
          <w:rFonts w:ascii="Times New Roman" w:hAnsi="Times New Roman" w:cs="Times New Roman"/>
          <w:sz w:val="22"/>
        </w:rPr>
        <w:t xml:space="preserve"> pacienta</w:t>
      </w:r>
      <w:r w:rsidRPr="00007243">
        <w:rPr>
          <w:rFonts w:ascii="Times New Roman" w:hAnsi="Times New Roman" w:cs="Times New Roman"/>
          <w:sz w:val="22"/>
        </w:rPr>
        <w:t xml:space="preserve">. </w:t>
      </w:r>
      <w:r w:rsidR="00E453AA" w:rsidRPr="00007243">
        <w:rPr>
          <w:rFonts w:ascii="Times New Roman" w:hAnsi="Times New Roman" w:cs="Times New Roman"/>
          <w:sz w:val="22"/>
          <w:szCs w:val="22"/>
        </w:rPr>
        <w:t>Pacient má byť pod dôslednou kontrolou lekára, až kým nenastane úplný a trvalý ústup príznakov.</w:t>
      </w:r>
    </w:p>
    <w:p w:rsidR="00E453AA" w:rsidRPr="00007243" w:rsidRDefault="00E453AA">
      <w:pPr>
        <w:pStyle w:val="Zkladntext2"/>
        <w:rPr>
          <w:rFonts w:ascii="Times New Roman" w:hAnsi="Times New Roman" w:cs="Times New Roman"/>
          <w:sz w:val="22"/>
          <w:szCs w:val="22"/>
        </w:rPr>
      </w:pPr>
    </w:p>
    <w:p w:rsidR="00E453AA" w:rsidRDefault="00E453AA">
      <w:pPr>
        <w:pStyle w:val="Zkladntext2"/>
        <w:rPr>
          <w:rFonts w:ascii="Times New Roman" w:hAnsi="Times New Roman" w:cs="Times New Roman"/>
          <w:sz w:val="22"/>
          <w:szCs w:val="22"/>
        </w:rPr>
      </w:pPr>
      <w:r w:rsidRPr="00007243">
        <w:rPr>
          <w:rFonts w:ascii="Times New Roman" w:hAnsi="Times New Roman" w:cs="Times New Roman"/>
          <w:sz w:val="22"/>
          <w:szCs w:val="22"/>
        </w:rPr>
        <w:t xml:space="preserve">Pacienti s angioedémom v anamnéze, ktorý nemal súvislosť s podávaním ACE inhibítora, môžu mať vyššie riziko angioedému pri liečbe ACE inhibítorom (pozri časť 4.3). </w:t>
      </w:r>
    </w:p>
    <w:p w:rsidR="009F4F68" w:rsidRDefault="009F4F68">
      <w:pPr>
        <w:pStyle w:val="Zkladntext2"/>
        <w:rPr>
          <w:rFonts w:ascii="Times New Roman" w:hAnsi="Times New Roman" w:cs="Times New Roman"/>
          <w:sz w:val="22"/>
          <w:szCs w:val="22"/>
        </w:rPr>
      </w:pPr>
    </w:p>
    <w:p w:rsidR="009F4F68" w:rsidRPr="00D95987" w:rsidRDefault="00F10BEF" w:rsidP="009F4F68">
      <w:pPr>
        <w:autoSpaceDE w:val="0"/>
        <w:autoSpaceDN w:val="0"/>
        <w:adjustRightInd w:val="0"/>
        <w:rPr>
          <w:bCs/>
          <w:i/>
          <w:sz w:val="22"/>
          <w:szCs w:val="22"/>
        </w:rPr>
      </w:pPr>
      <w:r>
        <w:rPr>
          <w:bCs/>
          <w:i/>
          <w:sz w:val="22"/>
          <w:szCs w:val="22"/>
        </w:rPr>
        <w:t>Precitlivenosť</w:t>
      </w:r>
      <w:r w:rsidR="009F4F68" w:rsidRPr="00D95987">
        <w:rPr>
          <w:bCs/>
          <w:i/>
          <w:sz w:val="22"/>
          <w:szCs w:val="22"/>
        </w:rPr>
        <w:t>/angioedém</w:t>
      </w:r>
    </w:p>
    <w:p w:rsidR="00F10BEF" w:rsidRPr="007D106D" w:rsidRDefault="00F10BEF" w:rsidP="00F10BEF">
      <w:pPr>
        <w:autoSpaceDE w:val="0"/>
        <w:autoSpaceDN w:val="0"/>
        <w:adjustRightInd w:val="0"/>
        <w:rPr>
          <w:rFonts w:eastAsia="TimesNewRoman"/>
          <w:color w:val="000000"/>
          <w:sz w:val="22"/>
          <w:szCs w:val="22"/>
        </w:rPr>
      </w:pPr>
      <w:r w:rsidRPr="007D106D">
        <w:rPr>
          <w:rFonts w:eastAsia="TimesNewRoman"/>
          <w:color w:val="000000"/>
          <w:sz w:val="22"/>
          <w:szCs w:val="22"/>
        </w:rPr>
        <w:t xml:space="preserve">Súbežné užívanie inhibítorov angiotenzín konvertujúceho enzýmu (ACE) so sakubitrilom/valsartanom je kontraindikované v dôsledku zvýšeného rizika angioedému. Liečba sakubitrilom/valsartanom sa nesmie začať skôr ako po 36 hodinách od poslednej dávky </w:t>
      </w:r>
      <w:r>
        <w:rPr>
          <w:rFonts w:eastAsia="TimesNewRoman"/>
          <w:color w:val="000000"/>
          <w:sz w:val="22"/>
          <w:szCs w:val="22"/>
        </w:rPr>
        <w:t>chinaprilu</w:t>
      </w:r>
      <w:r w:rsidRPr="007D106D">
        <w:rPr>
          <w:rFonts w:eastAsia="TimesNewRoman"/>
          <w:color w:val="000000"/>
          <w:sz w:val="22"/>
          <w:szCs w:val="22"/>
        </w:rPr>
        <w:t xml:space="preserve">. Liečba </w:t>
      </w:r>
      <w:r>
        <w:rPr>
          <w:rFonts w:eastAsia="TimesNewRoman"/>
          <w:color w:val="000000"/>
          <w:sz w:val="22"/>
          <w:szCs w:val="22"/>
        </w:rPr>
        <w:t>chinaprilom</w:t>
      </w:r>
      <w:r w:rsidRPr="007D106D">
        <w:rPr>
          <w:rFonts w:eastAsia="TimesNewRoman"/>
          <w:color w:val="000000"/>
          <w:sz w:val="22"/>
          <w:szCs w:val="22"/>
        </w:rPr>
        <w:t xml:space="preserve"> sa nesmie začať skôr ako po 36 hodinách od poslednej dávky sakubitrilu/valsartanu (pozri časti 4.3 a 4.5). </w:t>
      </w:r>
    </w:p>
    <w:p w:rsidR="00F10BEF" w:rsidRPr="007D106D" w:rsidRDefault="00F10BEF" w:rsidP="00F10BEF">
      <w:pPr>
        <w:autoSpaceDE w:val="0"/>
        <w:autoSpaceDN w:val="0"/>
        <w:adjustRightInd w:val="0"/>
        <w:rPr>
          <w:rFonts w:eastAsia="TimesNewRoman"/>
          <w:color w:val="000000"/>
          <w:sz w:val="22"/>
          <w:szCs w:val="22"/>
        </w:rPr>
      </w:pPr>
    </w:p>
    <w:p w:rsidR="00F10BEF" w:rsidRPr="007D106D" w:rsidRDefault="00F10BEF" w:rsidP="00F10BEF">
      <w:pPr>
        <w:autoSpaceDE w:val="0"/>
        <w:autoSpaceDN w:val="0"/>
        <w:adjustRightInd w:val="0"/>
        <w:rPr>
          <w:rFonts w:eastAsia="TimesNewRoman"/>
          <w:color w:val="000000"/>
          <w:sz w:val="22"/>
          <w:szCs w:val="22"/>
        </w:rPr>
      </w:pPr>
      <w:r w:rsidRPr="007D106D">
        <w:rPr>
          <w:rFonts w:eastAsia="TimesNewRoman"/>
          <w:color w:val="000000"/>
          <w:sz w:val="22"/>
          <w:szCs w:val="22"/>
        </w:rPr>
        <w:t>Súbežné užívanie inhibítorov ACE s racekadotrilom, inhibítormi mTOR (mammalian target of rapamycin, cicavčia cieľová kináza rapamycínu) (napr. sirolimus, everolimus, temsirolimus) a</w:t>
      </w:r>
      <w:r w:rsidR="00736010">
        <w:rPr>
          <w:rFonts w:eastAsia="TimesNewRoman"/>
          <w:color w:val="000000"/>
          <w:sz w:val="22"/>
          <w:szCs w:val="22"/>
        </w:rPr>
        <w:t> </w:t>
      </w:r>
      <w:r w:rsidRPr="007D106D">
        <w:rPr>
          <w:rFonts w:eastAsia="TimesNewRoman"/>
          <w:color w:val="000000"/>
          <w:sz w:val="22"/>
          <w:szCs w:val="22"/>
        </w:rPr>
        <w:t>vildagliptínom môže viesť k zvýšenému riziku angioedému (napr. opuch dýchacích ciest alebo jazyka, s poruchou respiračnej funkcie alebo bez nej) (pozri časť 4.5). Pri začatí liečby racekadotrilom, inhibítormi mTOR (napr. sirolimus, everolimus, temsirolimus) a vildagliptínom u pacientov, ktorí už užívajú inhibítor ACE, je potrebná opatrnosť.</w:t>
      </w:r>
    </w:p>
    <w:p w:rsidR="00E453AA" w:rsidRPr="00007243" w:rsidRDefault="00E453AA">
      <w:pPr>
        <w:pStyle w:val="Zkladntext2"/>
        <w:rPr>
          <w:rFonts w:ascii="Times New Roman" w:hAnsi="Times New Roman" w:cs="Times New Roman"/>
          <w:sz w:val="22"/>
          <w:szCs w:val="22"/>
          <w:u w:val="single"/>
        </w:rPr>
      </w:pPr>
    </w:p>
    <w:p w:rsidR="00BA4EEE" w:rsidRPr="00007243" w:rsidRDefault="00BA4EEE" w:rsidP="00BA4EEE">
      <w:pPr>
        <w:pStyle w:val="Zkladntext2"/>
        <w:rPr>
          <w:rFonts w:ascii="Times New Roman" w:hAnsi="Times New Roman" w:cs="Times New Roman"/>
          <w:sz w:val="22"/>
        </w:rPr>
      </w:pPr>
      <w:r w:rsidRPr="00007243">
        <w:rPr>
          <w:rFonts w:ascii="Times New Roman" w:hAnsi="Times New Roman" w:cs="Times New Roman"/>
          <w:i/>
          <w:sz w:val="22"/>
        </w:rPr>
        <w:t>Intestinálny angioedém</w:t>
      </w:r>
    </w:p>
    <w:p w:rsidR="00BA4EEE" w:rsidRPr="00007243" w:rsidRDefault="00BA4EEE" w:rsidP="00BA4EEE">
      <w:pPr>
        <w:pStyle w:val="Zkladntext2"/>
        <w:rPr>
          <w:rFonts w:ascii="Times New Roman" w:hAnsi="Times New Roman" w:cs="Times New Roman"/>
          <w:sz w:val="22"/>
        </w:rPr>
      </w:pPr>
      <w:r w:rsidRPr="00007243">
        <w:rPr>
          <w:rFonts w:ascii="Times New Roman" w:hAnsi="Times New Roman" w:cs="Times New Roman"/>
          <w:sz w:val="22"/>
        </w:rPr>
        <w:t>U pacientov liečených ACE inhibítormi bol hlásený vznik intestinálneho angioedému. Títo pacienti pociťovali bolesť brucha (s nauzeou alebo vracaním alebo bez nich); v niektorých prípadoch bez anamnézy angioedému tváre a hladiny C-1 esterázy boli normálne. Angioedém bol diagnostikovaný vyšetrením zahŕňajúcim CT alebo ultrazvuk brušnej dutiny, alebo pri chirurgickom zákroku, a symptómy vymizli po ukončení liečby ACE inhibítormi. Intestinálny angioedém sa má zahrnúť do diferenciálnej diagnostiky pacientov liečených ACE inhibítormi, u ktorých sa objaví bolesť brucha.</w:t>
      </w:r>
    </w:p>
    <w:p w:rsidR="00BA4EEE" w:rsidRPr="00007243" w:rsidRDefault="00BA4EEE" w:rsidP="00BA4EEE">
      <w:pPr>
        <w:pStyle w:val="Zkladntext2"/>
        <w:rPr>
          <w:rFonts w:ascii="Times New Roman" w:hAnsi="Times New Roman" w:cs="Times New Roman"/>
          <w:sz w:val="22"/>
        </w:rPr>
      </w:pPr>
    </w:p>
    <w:p w:rsidR="00BA4EEE" w:rsidRPr="00007243" w:rsidRDefault="00BA4EEE" w:rsidP="00BA4EEE">
      <w:pPr>
        <w:pStyle w:val="Zkladntext2"/>
        <w:rPr>
          <w:rFonts w:ascii="Times New Roman" w:hAnsi="Times New Roman" w:cs="Times New Roman"/>
          <w:i/>
          <w:sz w:val="22"/>
        </w:rPr>
      </w:pPr>
      <w:r w:rsidRPr="00007243">
        <w:rPr>
          <w:rFonts w:ascii="Times New Roman" w:hAnsi="Times New Roman" w:cs="Times New Roman"/>
          <w:i/>
          <w:sz w:val="22"/>
        </w:rPr>
        <w:t>Etnické rozdiely</w:t>
      </w:r>
    </w:p>
    <w:p w:rsidR="00BA4EEE" w:rsidRPr="00007243" w:rsidRDefault="00BA4EEE" w:rsidP="00BA4EEE">
      <w:pPr>
        <w:pStyle w:val="Zkladntext2"/>
        <w:rPr>
          <w:rFonts w:ascii="Times New Roman" w:hAnsi="Times New Roman" w:cs="Times New Roman"/>
          <w:sz w:val="22"/>
        </w:rPr>
      </w:pPr>
      <w:r w:rsidRPr="00007243">
        <w:rPr>
          <w:rFonts w:ascii="Times New Roman" w:hAnsi="Times New Roman" w:cs="Times New Roman"/>
          <w:sz w:val="22"/>
        </w:rPr>
        <w:t xml:space="preserve">U pacientov tmavej pleti liečených ACE inhibítormi bol hlásený vyšší výskyt angioedému v porovnaní s pacientmi svetlej pleti. Je potrebné tiež poznamenať, že v kontrolovaných klinických skúšaniach mali ACE inhibítory u pacientov tmavej pleti menší vplyv na krvný tlak ako u pacientov so svetlou pleťou, </w:t>
      </w:r>
      <w:r w:rsidRPr="00007243">
        <w:rPr>
          <w:rFonts w:ascii="Times New Roman" w:hAnsi="Times New Roman" w:cs="Times New Roman"/>
          <w:sz w:val="22"/>
          <w:szCs w:val="22"/>
        </w:rPr>
        <w:t>pravdepodobne pre vyšší výskyt stavov s nízkym renínom v populácii hypertonikov s čiernou pleťou.</w:t>
      </w:r>
    </w:p>
    <w:p w:rsidR="00BA4EEE" w:rsidRPr="00007243" w:rsidRDefault="00BA4EEE" w:rsidP="00BA4EEE">
      <w:pPr>
        <w:pStyle w:val="Zkladntext2"/>
        <w:rPr>
          <w:rFonts w:ascii="Times New Roman" w:hAnsi="Times New Roman" w:cs="Times New Roman"/>
          <w:i/>
          <w:sz w:val="22"/>
        </w:rPr>
      </w:pPr>
    </w:p>
    <w:p w:rsidR="00BA4EEE" w:rsidRPr="00007243" w:rsidRDefault="00BA4EEE" w:rsidP="00BA4EEE">
      <w:pPr>
        <w:pStyle w:val="Zkladntext2"/>
        <w:rPr>
          <w:rFonts w:ascii="Times New Roman" w:hAnsi="Times New Roman" w:cs="Times New Roman"/>
          <w:i/>
          <w:sz w:val="22"/>
        </w:rPr>
      </w:pPr>
      <w:r w:rsidRPr="00007243">
        <w:rPr>
          <w:rFonts w:ascii="Times New Roman" w:hAnsi="Times New Roman" w:cs="Times New Roman"/>
          <w:i/>
          <w:sz w:val="22"/>
        </w:rPr>
        <w:t>Hemodialýza a LDL aferéza</w:t>
      </w:r>
    </w:p>
    <w:p w:rsidR="00BA4EEE" w:rsidRPr="00007243" w:rsidRDefault="00BA4EEE" w:rsidP="00BA4EEE">
      <w:pPr>
        <w:pStyle w:val="Zkladntext2"/>
        <w:rPr>
          <w:rFonts w:ascii="Times New Roman" w:hAnsi="Times New Roman" w:cs="Times New Roman"/>
          <w:sz w:val="22"/>
        </w:rPr>
      </w:pPr>
      <w:r w:rsidRPr="00007243">
        <w:rPr>
          <w:rFonts w:ascii="Times New Roman" w:hAnsi="Times New Roman" w:cs="Times New Roman"/>
          <w:sz w:val="22"/>
        </w:rPr>
        <w:t xml:space="preserve">U pacientov hemodialyzovaných za použitia vysoko priepustných polyakrylonitrilových („AN69“) membrán sa častejšie vyskytujú anafylaktoidné reakcie pri liečbe ACE inhibítormi. Táto kombinácia sa má preto vylúčiť buď použitím alternatívnej antihypertenznej liečby alebo alternatívnej membrány pre hemodialýzu. </w:t>
      </w:r>
    </w:p>
    <w:p w:rsidR="00BA4EEE" w:rsidRPr="00007243" w:rsidRDefault="00BA4EEE" w:rsidP="00BA4EEE">
      <w:pPr>
        <w:pStyle w:val="Zkladntext2"/>
        <w:rPr>
          <w:rFonts w:ascii="Times New Roman" w:hAnsi="Times New Roman" w:cs="Times New Roman"/>
          <w:sz w:val="22"/>
        </w:rPr>
      </w:pPr>
      <w:r w:rsidRPr="00007243">
        <w:rPr>
          <w:rFonts w:ascii="Times New Roman" w:hAnsi="Times New Roman" w:cs="Times New Roman"/>
          <w:sz w:val="22"/>
        </w:rPr>
        <w:t>Podobné reakcie sa pozorovali počas aferézy lipoproteínov s nízkou hustotou (LDL) s dextránsulfátom. Zriedkavo sa objavili život ohrozujúce anafylaktoidné reakcie. Táto metóda sa preto nemá používať u pacientov liečených ACE inhibítormi.</w:t>
      </w:r>
    </w:p>
    <w:p w:rsidR="00E453AA" w:rsidRPr="00007243" w:rsidRDefault="00E453AA" w:rsidP="00596E3A">
      <w:pPr>
        <w:pStyle w:val="Zkladntext2"/>
        <w:rPr>
          <w:rFonts w:ascii="Times New Roman" w:hAnsi="Times New Roman" w:cs="Times New Roman"/>
          <w:sz w:val="22"/>
          <w:szCs w:val="22"/>
        </w:rPr>
      </w:pPr>
    </w:p>
    <w:p w:rsidR="00F63274" w:rsidRPr="00007243" w:rsidRDefault="00F63274" w:rsidP="00F63274">
      <w:pPr>
        <w:pStyle w:val="Zkladntext2"/>
        <w:rPr>
          <w:rFonts w:ascii="Times New Roman" w:hAnsi="Times New Roman" w:cs="Times New Roman"/>
          <w:sz w:val="22"/>
        </w:rPr>
      </w:pPr>
      <w:r w:rsidRPr="00007243">
        <w:rPr>
          <w:rFonts w:ascii="Times New Roman" w:hAnsi="Times New Roman" w:cs="Times New Roman"/>
          <w:i/>
          <w:sz w:val="22"/>
        </w:rPr>
        <w:t>Narušenie rovnováhy elektrolytov v sére</w:t>
      </w:r>
    </w:p>
    <w:p w:rsidR="00F63274" w:rsidRPr="00007243" w:rsidRDefault="00F63274" w:rsidP="00F63274">
      <w:pPr>
        <w:pStyle w:val="Zkladntext2"/>
        <w:rPr>
          <w:rFonts w:ascii="Times New Roman" w:hAnsi="Times New Roman" w:cs="Times New Roman"/>
          <w:sz w:val="22"/>
        </w:rPr>
      </w:pPr>
      <w:r w:rsidRPr="00007243">
        <w:rPr>
          <w:rFonts w:ascii="Times New Roman" w:hAnsi="Times New Roman" w:cs="Times New Roman"/>
          <w:sz w:val="22"/>
        </w:rPr>
        <w:t>Pacienti liečení chinaprilom/hydrochlorotiazidom sa majú sledovať pre klinické znaky nerovnováhy tekutín alebo elektrolytov, ktorá môže vzniknúť pri liečbe tiazidmi (hypokaliémia, hyponatriémia a hypochloremická alkalóza). U týchto pacientov sa odporúča pravidelne stanovovať hladiny elektrolytov v sére (najmä sodíka a draslíka). Keďže chinapril znižuje tvorbu aldosterónu, jeho kombinácia s hydrochlortiazidom môže minimalizovať hypokaliémiu spôsobenú diuretikami.</w:t>
      </w:r>
    </w:p>
    <w:p w:rsidR="00F63274" w:rsidRPr="00007243" w:rsidRDefault="00F63274" w:rsidP="00F63274">
      <w:pPr>
        <w:pStyle w:val="Zkladntext2"/>
        <w:rPr>
          <w:rFonts w:ascii="Times New Roman" w:hAnsi="Times New Roman" w:cs="Times New Roman"/>
          <w:sz w:val="22"/>
        </w:rPr>
      </w:pPr>
    </w:p>
    <w:p w:rsidR="00F63274" w:rsidRPr="00007243" w:rsidRDefault="00F63274" w:rsidP="00F63274">
      <w:pPr>
        <w:pStyle w:val="Zkladntext2"/>
        <w:rPr>
          <w:rFonts w:ascii="Times New Roman" w:hAnsi="Times New Roman" w:cs="Times New Roman"/>
          <w:sz w:val="22"/>
        </w:rPr>
      </w:pPr>
      <w:r w:rsidRPr="00007243">
        <w:rPr>
          <w:rFonts w:ascii="Times New Roman" w:hAnsi="Times New Roman" w:cs="Times New Roman"/>
          <w:sz w:val="22"/>
        </w:rPr>
        <w:t>Opačný účinok chinaprilu a hydrochlortiazidu na hladinu draslíka v sére sa u mnohých pacientov približne vyrovnáva, a preto nie je pozorovaný žiadny vplyv na hladinu draslíka v sére. U iných pacientov môže niektorý účinok prevážiť a niektorí pacienti si môžu stále vyžadovať doplnky draslíka. Odporúča sa úvodné a ďalej pravidelné stanovovanie hladín elektrolytov v sére vo vhodných intervaloch, aby bola zistená možná elektrolytová nerovnováha.</w:t>
      </w:r>
    </w:p>
    <w:p w:rsidR="00F63274" w:rsidRPr="00007243" w:rsidRDefault="00F63274" w:rsidP="00F63274">
      <w:pPr>
        <w:pStyle w:val="Zkladntext2"/>
        <w:rPr>
          <w:rFonts w:ascii="Times New Roman" w:hAnsi="Times New Roman" w:cs="Times New Roman"/>
          <w:sz w:val="22"/>
        </w:rPr>
      </w:pPr>
    </w:p>
    <w:p w:rsidR="00F63274" w:rsidRPr="00007243" w:rsidRDefault="00F63274" w:rsidP="00F63274">
      <w:pPr>
        <w:pStyle w:val="Zkladntext2"/>
        <w:rPr>
          <w:rFonts w:ascii="Times New Roman" w:hAnsi="Times New Roman" w:cs="Times New Roman"/>
          <w:sz w:val="22"/>
        </w:rPr>
      </w:pPr>
      <w:r w:rsidRPr="00007243">
        <w:rPr>
          <w:rFonts w:ascii="Times New Roman" w:hAnsi="Times New Roman" w:cs="Times New Roman"/>
          <w:sz w:val="22"/>
        </w:rPr>
        <w:t>U pacientov s edémami môže v horúcom počasí vzniknúť dilučná hyponatriémia. Deficit chloridov je obvykle mierny a nevyžaduje liečbu.</w:t>
      </w:r>
    </w:p>
    <w:p w:rsidR="00F63274" w:rsidRPr="00007243" w:rsidRDefault="00F63274" w:rsidP="00F63274">
      <w:pPr>
        <w:pStyle w:val="Zkladntext2"/>
        <w:rPr>
          <w:rFonts w:ascii="Times New Roman" w:hAnsi="Times New Roman" w:cs="Times New Roman"/>
          <w:sz w:val="22"/>
          <w:szCs w:val="22"/>
        </w:rPr>
      </w:pPr>
    </w:p>
    <w:p w:rsidR="00F63274" w:rsidRPr="00007243" w:rsidRDefault="00F63274" w:rsidP="00F63274">
      <w:pPr>
        <w:pStyle w:val="Zkladntext2"/>
        <w:rPr>
          <w:rFonts w:ascii="Times New Roman" w:hAnsi="Times New Roman" w:cs="Times New Roman"/>
          <w:sz w:val="22"/>
        </w:rPr>
      </w:pPr>
      <w:r w:rsidRPr="00007243">
        <w:rPr>
          <w:rFonts w:ascii="Times New Roman" w:hAnsi="Times New Roman" w:cs="Times New Roman"/>
          <w:sz w:val="22"/>
        </w:rPr>
        <w:t xml:space="preserve">Tiazidy môžu znižovať vylučovanie vápnika. U niektorých pacientov s dlhodobou liečbou tiazidmi sa v prištítnych telieskach pozorovali patologické zmeny s hyperkalciémiou a hypofosfatémiou. </w:t>
      </w:r>
      <w:r w:rsidR="00D33CD8" w:rsidRPr="00007243">
        <w:rPr>
          <w:rFonts w:ascii="Times New Roman" w:hAnsi="Times New Roman" w:cs="Times New Roman"/>
          <w:sz w:val="22"/>
        </w:rPr>
        <w:t>Výrazná hyperkalciémia môže byť znakom skrytého hyperparatyroidizmu. Závažnejšie komplikácie hyperpatatyroidizmu (renálna litiáza, kostná resorpcia a peptický vred) neboli zaznamenané.</w:t>
      </w:r>
    </w:p>
    <w:p w:rsidR="00F63274" w:rsidRPr="00007243" w:rsidRDefault="00F63274" w:rsidP="00F63274">
      <w:pPr>
        <w:pStyle w:val="Zkladntext2"/>
        <w:rPr>
          <w:rFonts w:ascii="Times New Roman" w:hAnsi="Times New Roman" w:cs="Times New Roman"/>
          <w:sz w:val="22"/>
        </w:rPr>
      </w:pPr>
    </w:p>
    <w:p w:rsidR="00E453AA" w:rsidRPr="008376DD" w:rsidRDefault="00D33CD8">
      <w:pPr>
        <w:pStyle w:val="Zkladntext2"/>
        <w:rPr>
          <w:sz w:val="22"/>
          <w:szCs w:val="22"/>
        </w:rPr>
      </w:pPr>
      <w:r w:rsidRPr="00FC136C">
        <w:rPr>
          <w:rFonts w:ascii="Times New Roman" w:hAnsi="Times New Roman" w:cs="Times New Roman"/>
          <w:sz w:val="22"/>
          <w:szCs w:val="22"/>
        </w:rPr>
        <w:t>Podávanie tiazidových liekov sa má pred testami na funkciu paratyreoidey prerušiť. Tiazidy zvyšujú exkréciu horčíka močom, čo môže spôsobiť hypomagneziémiu</w:t>
      </w:r>
      <w:r w:rsidRPr="0007201A">
        <w:rPr>
          <w:sz w:val="22"/>
          <w:szCs w:val="22"/>
        </w:rPr>
        <w:t>.</w:t>
      </w:r>
    </w:p>
    <w:p w:rsidR="00D33CD8" w:rsidRPr="00596E3A" w:rsidRDefault="00D33CD8">
      <w:pPr>
        <w:pStyle w:val="Zkladntext2"/>
        <w:rPr>
          <w:rFonts w:ascii="Times New Roman" w:hAnsi="Times New Roman" w:cs="Times New Roman"/>
          <w:sz w:val="22"/>
          <w:szCs w:val="22"/>
        </w:rPr>
      </w:pPr>
    </w:p>
    <w:p w:rsidR="00D33CD8" w:rsidRPr="00AB681B" w:rsidRDefault="00D33CD8" w:rsidP="00D33CD8">
      <w:pPr>
        <w:pStyle w:val="Zkladntext2"/>
        <w:rPr>
          <w:rFonts w:ascii="Times New Roman" w:hAnsi="Times New Roman" w:cs="Times New Roman"/>
          <w:i/>
          <w:sz w:val="22"/>
        </w:rPr>
      </w:pPr>
      <w:r w:rsidRPr="00AB681B">
        <w:rPr>
          <w:rFonts w:ascii="Times New Roman" w:hAnsi="Times New Roman" w:cs="Times New Roman"/>
          <w:i/>
          <w:sz w:val="22"/>
        </w:rPr>
        <w:t>Iné metabolické poruchy</w:t>
      </w:r>
    </w:p>
    <w:p w:rsidR="00D33CD8" w:rsidRPr="00007243" w:rsidRDefault="00D33CD8" w:rsidP="00D33CD8">
      <w:pPr>
        <w:pStyle w:val="Zkladntext2"/>
        <w:rPr>
          <w:rFonts w:ascii="Times New Roman" w:hAnsi="Times New Roman" w:cs="Times New Roman"/>
          <w:sz w:val="22"/>
        </w:rPr>
      </w:pPr>
      <w:r w:rsidRPr="00007243">
        <w:rPr>
          <w:rFonts w:ascii="Times New Roman" w:hAnsi="Times New Roman" w:cs="Times New Roman"/>
          <w:sz w:val="22"/>
        </w:rPr>
        <w:t xml:space="preserve">Liečba tiazidmi môže zhoršiť toleranciu glukózy a v sére zvýšiť hladiny cholesterolu, triglyceridov a kyseliny močovej. </w:t>
      </w:r>
      <w:r w:rsidR="00815E9D" w:rsidRPr="00007243">
        <w:rPr>
          <w:rFonts w:ascii="Times New Roman" w:hAnsi="Times New Roman" w:cs="Times New Roman"/>
          <w:sz w:val="22"/>
        </w:rPr>
        <w:t xml:space="preserve">Tieto účinky sú zvyčajne mierne, no u náchylných pacientov môžu vyvolať klinicky potvrdenú dnu alebo latentný diabetes. </w:t>
      </w:r>
      <w:r w:rsidRPr="00007243">
        <w:rPr>
          <w:rFonts w:ascii="Times New Roman" w:hAnsi="Times New Roman" w:cs="Times New Roman"/>
          <w:sz w:val="22"/>
        </w:rPr>
        <w:t xml:space="preserve">U diabetikov môžu byť potrebné úpravy dávkovania inzulínu alebo perorálnych antidiabetík. </w:t>
      </w:r>
    </w:p>
    <w:p w:rsidR="00E453AA" w:rsidRPr="00007243" w:rsidRDefault="00E453AA">
      <w:pPr>
        <w:pStyle w:val="Zkladntext2"/>
        <w:rPr>
          <w:rFonts w:ascii="Times New Roman" w:hAnsi="Times New Roman" w:cs="Times New Roman"/>
          <w:sz w:val="22"/>
          <w:szCs w:val="22"/>
        </w:rPr>
      </w:pPr>
    </w:p>
    <w:p w:rsidR="00E453AA" w:rsidRPr="00007243" w:rsidRDefault="00E453AA">
      <w:pPr>
        <w:pStyle w:val="Zkladntext2"/>
        <w:rPr>
          <w:rFonts w:ascii="Times New Roman" w:hAnsi="Times New Roman" w:cs="Times New Roman"/>
          <w:i/>
          <w:iCs/>
          <w:sz w:val="22"/>
          <w:szCs w:val="22"/>
        </w:rPr>
      </w:pPr>
      <w:r w:rsidRPr="00007243">
        <w:rPr>
          <w:rFonts w:ascii="Times New Roman" w:hAnsi="Times New Roman" w:cs="Times New Roman"/>
          <w:i/>
          <w:iCs/>
          <w:sz w:val="22"/>
          <w:szCs w:val="22"/>
        </w:rPr>
        <w:t>Hyp</w:t>
      </w:r>
      <w:r w:rsidR="00EA052E">
        <w:rPr>
          <w:rFonts w:ascii="Times New Roman" w:hAnsi="Times New Roman" w:cs="Times New Roman"/>
          <w:i/>
          <w:iCs/>
          <w:sz w:val="22"/>
          <w:szCs w:val="22"/>
        </w:rPr>
        <w:t>o</w:t>
      </w:r>
      <w:r w:rsidRPr="00007243">
        <w:rPr>
          <w:rFonts w:ascii="Times New Roman" w:hAnsi="Times New Roman" w:cs="Times New Roman"/>
          <w:i/>
          <w:iCs/>
          <w:sz w:val="22"/>
          <w:szCs w:val="22"/>
        </w:rPr>
        <w:t>kaliémia</w:t>
      </w:r>
    </w:p>
    <w:p w:rsidR="00815E9D" w:rsidRPr="00007243" w:rsidRDefault="00815E9D" w:rsidP="00815E9D">
      <w:pPr>
        <w:pStyle w:val="Zkladntext2"/>
        <w:rPr>
          <w:rFonts w:ascii="Times New Roman" w:hAnsi="Times New Roman" w:cs="Times New Roman"/>
          <w:sz w:val="22"/>
        </w:rPr>
      </w:pPr>
      <w:r w:rsidRPr="00007243">
        <w:rPr>
          <w:rFonts w:ascii="Times New Roman" w:hAnsi="Times New Roman" w:cs="Times New Roman"/>
          <w:sz w:val="22"/>
        </w:rPr>
        <w:t>Oproti tomu bola liečba tiazidovými diuretikami spojená s hypokaliémiou, hyponatriémiou a hypochloremickou alkalózou. Tato nerovnováha sa niekedy môže prejaviť jedným alebo viacerými z nasledovných príznakov: sucho v ústach, smäd, slabosť, letargia, ospalosť, nepokoj, bolesti svalov alebo svalové kŕče, svalová slabosť, hypotenzia, oligúria, tachykardia, nauzea, zmätenosť, záchvaty a vracanie. Hypokaliémia môže tiež zvýšiť citlivosť srdca a zosilniť reakciu srdca na toxické účinky digitalisu. Riziko hypokaliémie je najväčšie u pacientov s cirhózou pečene, u pacientov s intenzívnou diurézou, u pacientov s nedostatočným perorálnym príjmom elektrolytov a u pacientov súbežne liečených kortikosteroidmi alebo adrenokortikotropným hormónom (ACTH) (pozri časť 4.5). Má sa vykonávať pravidelné sledovanie hladín draslíka.</w:t>
      </w:r>
    </w:p>
    <w:p w:rsidR="00815E9D" w:rsidRPr="00007243" w:rsidRDefault="00815E9D">
      <w:pPr>
        <w:pStyle w:val="Zkladntext2"/>
        <w:rPr>
          <w:rFonts w:ascii="Times New Roman" w:hAnsi="Times New Roman" w:cs="Times New Roman"/>
          <w:sz w:val="22"/>
          <w:szCs w:val="22"/>
        </w:rPr>
      </w:pPr>
    </w:p>
    <w:p w:rsidR="00F10BEF" w:rsidRPr="00B26B96" w:rsidRDefault="00F10BEF" w:rsidP="00F10BEF">
      <w:pPr>
        <w:pStyle w:val="Zkladntext2"/>
        <w:rPr>
          <w:rFonts w:ascii="Times New Roman" w:hAnsi="Times New Roman" w:cs="Times New Roman"/>
          <w:i/>
          <w:sz w:val="22"/>
          <w:szCs w:val="22"/>
        </w:rPr>
      </w:pPr>
      <w:r w:rsidRPr="00B26B96">
        <w:rPr>
          <w:rFonts w:ascii="Times New Roman" w:hAnsi="Times New Roman" w:cs="Times New Roman"/>
          <w:i/>
          <w:sz w:val="22"/>
          <w:szCs w:val="22"/>
        </w:rPr>
        <w:t xml:space="preserve">Hladiny draslíka v sére </w:t>
      </w:r>
    </w:p>
    <w:p w:rsidR="009F4F68" w:rsidRPr="00524633" w:rsidRDefault="00F10BEF" w:rsidP="00F10BEF">
      <w:pPr>
        <w:pStyle w:val="Zkladntext2"/>
        <w:rPr>
          <w:rFonts w:ascii="Times New Roman" w:hAnsi="Times New Roman" w:cs="Times New Roman"/>
          <w:sz w:val="22"/>
          <w:szCs w:val="22"/>
        </w:rPr>
      </w:pPr>
      <w:r w:rsidRPr="00F10BEF">
        <w:rPr>
          <w:rFonts w:ascii="Times New Roman" w:hAnsi="Times New Roman" w:cs="Times New Roman"/>
          <w:sz w:val="22"/>
          <w:szCs w:val="22"/>
        </w:rPr>
        <w:t xml:space="preserve">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 trimetoprim alebo kotrimoxazol známy tiež ako trimetoprim/sulfametoxazol a predovšetkým antagonisty </w:t>
      </w:r>
      <w:r w:rsidRPr="00524633">
        <w:rPr>
          <w:rFonts w:ascii="Times New Roman" w:hAnsi="Times New Roman" w:cs="Times New Roman"/>
          <w:sz w:val="22"/>
          <w:szCs w:val="22"/>
        </w:rPr>
        <w:t>aldosterónu alebo blokátory receptorov angiotenzínu. Draslík šetriace diuretiká a blokátory receptorov angiotenzínu sa majú používať s</w:t>
      </w:r>
      <w:r w:rsidR="00736010">
        <w:rPr>
          <w:rFonts w:ascii="Times New Roman" w:hAnsi="Times New Roman" w:cs="Times New Roman"/>
          <w:sz w:val="22"/>
          <w:szCs w:val="22"/>
        </w:rPr>
        <w:t> </w:t>
      </w:r>
      <w:r w:rsidRPr="00524633">
        <w:rPr>
          <w:rFonts w:ascii="Times New Roman" w:hAnsi="Times New Roman" w:cs="Times New Roman"/>
          <w:sz w:val="22"/>
          <w:szCs w:val="22"/>
        </w:rPr>
        <w:t>opatrnosťou u pacientov užívajúcich inhibítory ACE a u týchto pacientov sa má sledovať hladina draslíka v sére a funkcia obličiek (pozri časť 4.5).</w:t>
      </w:r>
    </w:p>
    <w:p w:rsidR="00524633" w:rsidRPr="00524633" w:rsidRDefault="00524633" w:rsidP="00F10BEF">
      <w:pPr>
        <w:pStyle w:val="Zkladntext2"/>
        <w:rPr>
          <w:rFonts w:ascii="Times New Roman" w:hAnsi="Times New Roman" w:cs="Times New Roman"/>
          <w:sz w:val="22"/>
          <w:szCs w:val="22"/>
        </w:rPr>
      </w:pPr>
    </w:p>
    <w:p w:rsidR="00524633" w:rsidRPr="00B26B96" w:rsidRDefault="00524633" w:rsidP="00F10BEF">
      <w:pPr>
        <w:pStyle w:val="Zkladntext2"/>
        <w:rPr>
          <w:rFonts w:ascii="Times New Roman" w:hAnsi="Times New Roman" w:cs="Times New Roman"/>
          <w:color w:val="222222"/>
          <w:sz w:val="22"/>
          <w:szCs w:val="22"/>
          <w:shd w:val="clear" w:color="auto" w:fill="F8F9FA"/>
        </w:rPr>
      </w:pPr>
      <w:r w:rsidRPr="00B26B96">
        <w:rPr>
          <w:rFonts w:ascii="Times New Roman" w:hAnsi="Times New Roman" w:cs="Times New Roman"/>
          <w:color w:val="222222"/>
          <w:sz w:val="22"/>
          <w:szCs w:val="22"/>
          <w:shd w:val="clear" w:color="auto" w:fill="F8F9FA"/>
        </w:rPr>
        <w:t>Je potrebné starostlivo zvážiť súčasnú liečbu, ktorá by mohla zvýšiť hladiny draslíka v sére. Pacienti majú byť poučení, aby nepoužívali doplnky draslíka alebo náhrady soli obsahujúce draslík bez konzultácie so svojím lekárom (pozri časť 4.5).</w:t>
      </w:r>
    </w:p>
    <w:p w:rsidR="00524633" w:rsidRPr="00674FA8" w:rsidRDefault="00524633" w:rsidP="00F10BEF">
      <w:pPr>
        <w:pStyle w:val="Zkladntext2"/>
        <w:rPr>
          <w:rFonts w:ascii="Times New Roman" w:hAnsi="Times New Roman" w:cs="Times New Roman"/>
          <w:sz w:val="22"/>
          <w:szCs w:val="22"/>
        </w:rPr>
      </w:pPr>
    </w:p>
    <w:p w:rsidR="007330F1" w:rsidRPr="00007243" w:rsidRDefault="007330F1" w:rsidP="007330F1">
      <w:pPr>
        <w:pStyle w:val="Zkladntext2"/>
        <w:rPr>
          <w:rFonts w:ascii="Times New Roman" w:hAnsi="Times New Roman" w:cs="Times New Roman"/>
          <w:i/>
          <w:sz w:val="22"/>
        </w:rPr>
      </w:pPr>
      <w:r w:rsidRPr="00007243">
        <w:rPr>
          <w:rFonts w:ascii="Times New Roman" w:hAnsi="Times New Roman" w:cs="Times New Roman"/>
          <w:i/>
          <w:sz w:val="22"/>
        </w:rPr>
        <w:t>Hypoglykémia a diabetes</w:t>
      </w:r>
    </w:p>
    <w:p w:rsidR="007330F1" w:rsidRPr="00007243" w:rsidRDefault="007330F1" w:rsidP="007330F1">
      <w:pPr>
        <w:pStyle w:val="Zkladntext2"/>
        <w:rPr>
          <w:rFonts w:ascii="Times New Roman" w:hAnsi="Times New Roman" w:cs="Times New Roman"/>
          <w:sz w:val="22"/>
        </w:rPr>
      </w:pPr>
      <w:r w:rsidRPr="00007243">
        <w:rPr>
          <w:rFonts w:ascii="Times New Roman" w:hAnsi="Times New Roman" w:cs="Times New Roman"/>
          <w:sz w:val="22"/>
        </w:rPr>
        <w:t>U pacientov s diabetom môžu ACE inhibítory zvyšovať citlivosť na inzulín a môžu byť spojené s hypoglykémiou u pacientov liečených perorálnymi antidiabetikami alebo inzulínom. Glykémia sa má dôkladne monitorovať najmä počas prvého mesiaca liečby ACE inhibítorom (pozri časť 4.5).</w:t>
      </w:r>
    </w:p>
    <w:p w:rsidR="00E453AA" w:rsidRPr="00007243" w:rsidRDefault="00E453AA">
      <w:pPr>
        <w:pStyle w:val="Zkladntext2"/>
        <w:rPr>
          <w:rFonts w:ascii="Times New Roman" w:hAnsi="Times New Roman" w:cs="Times New Roman"/>
          <w:sz w:val="22"/>
          <w:szCs w:val="22"/>
        </w:rPr>
      </w:pPr>
    </w:p>
    <w:p w:rsidR="007330F1" w:rsidRPr="00FC136C" w:rsidRDefault="007330F1" w:rsidP="007330F1">
      <w:pPr>
        <w:pStyle w:val="Zkladntext2"/>
        <w:rPr>
          <w:rFonts w:ascii="Times New Roman" w:hAnsi="Times New Roman" w:cs="Times New Roman"/>
          <w:i/>
          <w:sz w:val="22"/>
        </w:rPr>
      </w:pPr>
      <w:r w:rsidRPr="00FC136C">
        <w:rPr>
          <w:rFonts w:ascii="Times New Roman" w:hAnsi="Times New Roman" w:cs="Times New Roman"/>
          <w:i/>
          <w:sz w:val="22"/>
        </w:rPr>
        <w:t>Neutropénia/Agranulocytóza</w:t>
      </w:r>
    </w:p>
    <w:p w:rsidR="007330F1" w:rsidRPr="00007243" w:rsidRDefault="007330F1" w:rsidP="007330F1">
      <w:pPr>
        <w:pStyle w:val="Zkladntext2"/>
        <w:rPr>
          <w:rFonts w:ascii="Times New Roman" w:hAnsi="Times New Roman" w:cs="Times New Roman"/>
          <w:sz w:val="22"/>
        </w:rPr>
      </w:pPr>
      <w:r w:rsidRPr="0007201A">
        <w:rPr>
          <w:rFonts w:ascii="Times New Roman" w:hAnsi="Times New Roman" w:cs="Times New Roman"/>
          <w:sz w:val="22"/>
        </w:rPr>
        <w:t xml:space="preserve">ACE inhibítory boli zriedkavo spojené so vznikom agranulocytózy a útlmom činnosti kostnej drene </w:t>
      </w:r>
      <w:r w:rsidRPr="008376DD">
        <w:rPr>
          <w:rFonts w:ascii="Times New Roman" w:hAnsi="Times New Roman" w:cs="Times New Roman"/>
          <w:sz w:val="22"/>
        </w:rPr>
        <w:t>(vyvolávajúce tiež trombocyt</w:t>
      </w:r>
      <w:r w:rsidRPr="00596E3A">
        <w:rPr>
          <w:rFonts w:ascii="Times New Roman" w:hAnsi="Times New Roman" w:cs="Times New Roman"/>
          <w:sz w:val="22"/>
        </w:rPr>
        <w:t>opéniu a anémiu) u pacientov s nekomplikovanou hypertenziou, ale častejšie u pacientov s poruchou funkcie obličiek, najmä ak mali ochorenie spojivového tkaniva a súbežne užívali imunosupresíva alebo iné lieky, ktoré môžu byť spojené so vznikom neutropénie/</w:t>
      </w:r>
      <w:r w:rsidRPr="00AB681B">
        <w:rPr>
          <w:rFonts w:ascii="Times New Roman" w:hAnsi="Times New Roman" w:cs="Times New Roman"/>
          <w:sz w:val="22"/>
        </w:rPr>
        <w:t>agranulocytózy. Pacienti majú byť upozornení, aby okamžite hlásili každý príznak infekcie (napr. bolesť v krku, horúčku), pretože to môže byť znakom neutropénie</w:t>
      </w:r>
      <w:r w:rsidRPr="00007243">
        <w:rPr>
          <w:rFonts w:ascii="Times New Roman" w:hAnsi="Times New Roman" w:cs="Times New Roman"/>
          <w:sz w:val="22"/>
        </w:rPr>
        <w:t>, ktorá v niektorých prípadoch nereaguje na liečbu antibiotikami a odporúča sa pravidelné sledovanie počtu bielych krviniek (pozri časť 4.5).</w:t>
      </w:r>
    </w:p>
    <w:p w:rsidR="007330F1" w:rsidRPr="00007243" w:rsidRDefault="007330F1" w:rsidP="007330F1">
      <w:pPr>
        <w:pStyle w:val="Zkladntext2"/>
        <w:rPr>
          <w:rFonts w:ascii="Times New Roman" w:hAnsi="Times New Roman" w:cs="Times New Roman"/>
          <w:sz w:val="22"/>
        </w:rPr>
      </w:pPr>
    </w:p>
    <w:p w:rsidR="007330F1" w:rsidRPr="00007243" w:rsidRDefault="007330F1" w:rsidP="007330F1">
      <w:pPr>
        <w:pStyle w:val="Zkladntext2"/>
        <w:rPr>
          <w:rFonts w:ascii="Times New Roman" w:hAnsi="Times New Roman" w:cs="Times New Roman"/>
          <w:sz w:val="22"/>
        </w:rPr>
      </w:pPr>
      <w:r w:rsidRPr="00007243">
        <w:rPr>
          <w:rFonts w:ascii="Times New Roman" w:hAnsi="Times New Roman" w:cs="Times New Roman"/>
          <w:sz w:val="22"/>
        </w:rPr>
        <w:t>Počas liečby chinaprilom bola zriedkavo hlásená agranulocytóza. Ako u ostatných ACE inhibítorov je potrebné zvážiť sledovanie množstva bielych krviniek u pacientov s kolagénovým vaskulárnym ochorením a/alebo ochorením obličiek.</w:t>
      </w:r>
    </w:p>
    <w:p w:rsidR="00FE1ECD" w:rsidRPr="00007243" w:rsidRDefault="00FE1ECD" w:rsidP="007330F1">
      <w:pPr>
        <w:pStyle w:val="Zkladntext2"/>
        <w:rPr>
          <w:rFonts w:ascii="Times New Roman" w:hAnsi="Times New Roman" w:cs="Times New Roman"/>
          <w:sz w:val="22"/>
        </w:rPr>
      </w:pPr>
    </w:p>
    <w:p w:rsidR="00FE1ECD" w:rsidRPr="00007243" w:rsidRDefault="00FE1ECD" w:rsidP="00FE1ECD">
      <w:pPr>
        <w:pStyle w:val="Zkladntext2"/>
        <w:rPr>
          <w:rFonts w:ascii="Times New Roman" w:hAnsi="Times New Roman" w:cs="Times New Roman"/>
          <w:i/>
          <w:sz w:val="22"/>
        </w:rPr>
      </w:pPr>
      <w:r w:rsidRPr="00007243">
        <w:rPr>
          <w:rFonts w:ascii="Times New Roman" w:hAnsi="Times New Roman" w:cs="Times New Roman"/>
          <w:i/>
          <w:sz w:val="22"/>
        </w:rPr>
        <w:t>Chirurgický zákrok/anestézia</w:t>
      </w:r>
    </w:p>
    <w:p w:rsidR="00FE1ECD" w:rsidRPr="00007243" w:rsidRDefault="00FE1ECD" w:rsidP="00FE1ECD">
      <w:pPr>
        <w:pStyle w:val="Zkladntext2"/>
        <w:rPr>
          <w:rFonts w:ascii="Times New Roman" w:hAnsi="Times New Roman" w:cs="Times New Roman"/>
          <w:sz w:val="22"/>
        </w:rPr>
      </w:pPr>
      <w:r w:rsidRPr="00007243">
        <w:rPr>
          <w:rFonts w:ascii="Times New Roman" w:hAnsi="Times New Roman" w:cs="Times New Roman"/>
          <w:sz w:val="22"/>
        </w:rPr>
        <w:t>U pacientov podrobujúcich sa veľkému operačnému výkonu alebo počas anestézie látkami vyvolávajúcimi hypotenziu</w:t>
      </w:r>
      <w:r w:rsidR="00062A04">
        <w:rPr>
          <w:rFonts w:ascii="Times New Roman" w:hAnsi="Times New Roman" w:cs="Times New Roman"/>
          <w:sz w:val="22"/>
        </w:rPr>
        <w:t>,</w:t>
      </w:r>
      <w:r w:rsidRPr="00007243">
        <w:rPr>
          <w:rFonts w:ascii="Times New Roman" w:hAnsi="Times New Roman" w:cs="Times New Roman"/>
          <w:sz w:val="22"/>
        </w:rPr>
        <w:t xml:space="preserve"> chinapril môže blokovať tvorbu angiotenzínu II sekundárne na kompenzačné uvoľnenie renínu. Ak sa vyskytne hypotenzia a považuje sa za spôsobenú týmto mechanizmom, môže sa upraviť zvýšením objemu tekutín v organizme. </w:t>
      </w:r>
    </w:p>
    <w:p w:rsidR="007330F1" w:rsidRPr="00007243" w:rsidRDefault="007330F1">
      <w:pPr>
        <w:pStyle w:val="Zkladntext2"/>
        <w:rPr>
          <w:rFonts w:ascii="Times New Roman" w:hAnsi="Times New Roman" w:cs="Times New Roman"/>
          <w:sz w:val="22"/>
          <w:szCs w:val="22"/>
        </w:rPr>
      </w:pPr>
    </w:p>
    <w:p w:rsidR="00900828" w:rsidRPr="00FC136C" w:rsidRDefault="00900828" w:rsidP="00900828">
      <w:pPr>
        <w:rPr>
          <w:i/>
          <w:sz w:val="22"/>
          <w:szCs w:val="22"/>
        </w:rPr>
      </w:pPr>
      <w:r w:rsidRPr="00FC136C">
        <w:rPr>
          <w:i/>
          <w:sz w:val="22"/>
          <w:szCs w:val="22"/>
        </w:rPr>
        <w:t>Akútna myopia a sekundárny glaukóm s uzavretým uhlom</w:t>
      </w:r>
    </w:p>
    <w:p w:rsidR="00900828" w:rsidRPr="00AB681B" w:rsidRDefault="00900828" w:rsidP="00900828">
      <w:pPr>
        <w:rPr>
          <w:sz w:val="22"/>
          <w:szCs w:val="22"/>
        </w:rPr>
      </w:pPr>
      <w:r w:rsidRPr="0007201A">
        <w:rPr>
          <w:sz w:val="22"/>
          <w:szCs w:val="22"/>
        </w:rPr>
        <w:t xml:space="preserve">Sulfónamidy alebo sulfónamidové deriváty, lieky, ktoré môžu spôsobiť idiosynkratickú </w:t>
      </w:r>
      <w:r w:rsidRPr="008376DD">
        <w:rPr>
          <w:sz w:val="22"/>
          <w:szCs w:val="22"/>
        </w:rPr>
        <w:t>reakciu vedúcu k prechodnej myopii a akútnemu glaukómu s uzavretým uhlom. Symptómy zahŕňajú akútny začiatok zníženej ostrosti zraku a bolesť očí a väčšinou sa objavujú niekoľko hodín až týždňov od začatia užívania lieku. Neliečený akútny glaukóm  s uza</w:t>
      </w:r>
      <w:r w:rsidRPr="00596E3A">
        <w:rPr>
          <w:sz w:val="22"/>
          <w:szCs w:val="22"/>
        </w:rPr>
        <w:t>vretým uhlom môže viesť k trvalej strate zraku. Primárnou liečbou je ukončiť užívanie lieku tak rýchlo, ako je to možné. Ak vnútroočný tlak je stále nekontrolovateľný, môže sa zvážiť potreba rýchlej lekárskej alebo chirurgickej liečby. Rizikové faktory pre</w:t>
      </w:r>
      <w:r w:rsidRPr="00AB681B">
        <w:rPr>
          <w:sz w:val="22"/>
          <w:szCs w:val="22"/>
        </w:rPr>
        <w:t xml:space="preserve"> rozvoj akútneho glaukómu s uzavretým uhlom možu zahŕňať precitlivenosť na sulfónamidy alebo penicilín v anamnéze.</w:t>
      </w:r>
    </w:p>
    <w:p w:rsidR="00E453AA" w:rsidRPr="00007243" w:rsidRDefault="00E453AA">
      <w:pPr>
        <w:pStyle w:val="Zkladntext2"/>
        <w:rPr>
          <w:rFonts w:ascii="Times New Roman" w:hAnsi="Times New Roman" w:cs="Times New Roman"/>
          <w:sz w:val="22"/>
          <w:szCs w:val="22"/>
        </w:rPr>
      </w:pPr>
    </w:p>
    <w:p w:rsidR="00E453AA" w:rsidRPr="0007201A" w:rsidRDefault="00E453AA">
      <w:pPr>
        <w:rPr>
          <w:i/>
          <w:sz w:val="22"/>
          <w:szCs w:val="22"/>
        </w:rPr>
      </w:pPr>
      <w:r w:rsidRPr="00FC136C">
        <w:rPr>
          <w:i/>
          <w:sz w:val="22"/>
          <w:szCs w:val="22"/>
        </w:rPr>
        <w:t>Gravidita</w:t>
      </w:r>
      <w:r w:rsidRPr="0007201A">
        <w:rPr>
          <w:i/>
          <w:sz w:val="22"/>
          <w:szCs w:val="22"/>
        </w:rPr>
        <w:t xml:space="preserve"> </w:t>
      </w:r>
    </w:p>
    <w:p w:rsidR="00E453AA" w:rsidRPr="00007243" w:rsidRDefault="00E453AA">
      <w:pPr>
        <w:rPr>
          <w:sz w:val="22"/>
          <w:szCs w:val="22"/>
        </w:rPr>
      </w:pPr>
      <w:r w:rsidRPr="008376DD">
        <w:rPr>
          <w:sz w:val="22"/>
          <w:szCs w:val="22"/>
        </w:rPr>
        <w:t>ACE inhibítory sa nemaj</w:t>
      </w:r>
      <w:r w:rsidRPr="00596E3A">
        <w:rPr>
          <w:sz w:val="22"/>
          <w:szCs w:val="22"/>
        </w:rPr>
        <w:t>ú začať podávať počas gravidity. Pokiaľ nie je pokračovanie liečby ACE inhibítormi považované za nevyhnutné, pacientky, ktoré plánujú graviditu, sa majú prestaviť na alternatívnu antihypertenznú liečbu, ktorá má preukázaný bezpečnostný profil pri používaní</w:t>
      </w:r>
      <w:r w:rsidRPr="00AB681B">
        <w:rPr>
          <w:sz w:val="22"/>
          <w:szCs w:val="22"/>
        </w:rPr>
        <w:t xml:space="preserve"> v gravidite. Ak sa gravidita zistí, liečba ACE inhibítormi sa musí okamžite ukončiť, a ak je vhodné, má sa začať alternatívna liečba (pozri časti </w:t>
      </w:r>
      <w:smartTag w:uri="urn:schemas-microsoft-com:office:smarttags" w:element="metricconverter">
        <w:smartTagPr>
          <w:attr w:name="ProductID" w:val="4.3 a"/>
        </w:smartTagPr>
        <w:r w:rsidRPr="00AB681B">
          <w:rPr>
            <w:sz w:val="22"/>
            <w:szCs w:val="22"/>
          </w:rPr>
          <w:t>4.3 a</w:t>
        </w:r>
      </w:smartTag>
      <w:r w:rsidRPr="00AB681B">
        <w:rPr>
          <w:sz w:val="22"/>
          <w:szCs w:val="22"/>
        </w:rPr>
        <w:t xml:space="preserve"> 4.6).</w:t>
      </w:r>
    </w:p>
    <w:p w:rsidR="00900828" w:rsidRPr="00007243" w:rsidRDefault="00900828">
      <w:pPr>
        <w:rPr>
          <w:sz w:val="22"/>
          <w:szCs w:val="22"/>
        </w:rPr>
      </w:pPr>
    </w:p>
    <w:p w:rsidR="00900828" w:rsidRPr="00007243" w:rsidRDefault="00900828">
      <w:pPr>
        <w:rPr>
          <w:i/>
          <w:sz w:val="22"/>
          <w:szCs w:val="22"/>
        </w:rPr>
      </w:pPr>
      <w:r w:rsidRPr="00007243">
        <w:rPr>
          <w:i/>
          <w:sz w:val="22"/>
          <w:szCs w:val="22"/>
        </w:rPr>
        <w:t>Lítium</w:t>
      </w:r>
    </w:p>
    <w:p w:rsidR="00900828" w:rsidRPr="00596E3A" w:rsidRDefault="00900828">
      <w:pPr>
        <w:rPr>
          <w:color w:val="FF0000"/>
          <w:sz w:val="22"/>
          <w:szCs w:val="22"/>
        </w:rPr>
      </w:pPr>
      <w:r w:rsidRPr="00FC136C">
        <w:rPr>
          <w:sz w:val="22"/>
          <w:szCs w:val="22"/>
        </w:rPr>
        <w:t>Lítium sa v</w:t>
      </w:r>
      <w:r w:rsidRPr="0007201A">
        <w:rPr>
          <w:sz w:val="22"/>
          <w:szCs w:val="22"/>
        </w:rPr>
        <w:t>o všeobecnosti nemá podávať s diuretikami. Diuretické liečivá znižujú renálny klír</w:t>
      </w:r>
      <w:r w:rsidRPr="008376DD">
        <w:rPr>
          <w:sz w:val="22"/>
          <w:szCs w:val="22"/>
        </w:rPr>
        <w:t>ens lítia a</w:t>
      </w:r>
      <w:r w:rsidRPr="00596E3A">
        <w:rPr>
          <w:sz w:val="22"/>
          <w:szCs w:val="22"/>
        </w:rPr>
        <w:t> zvyšujú vysoké riziko toxicity lítia (pozri časť 4.5)</w:t>
      </w:r>
      <w:r w:rsidR="00292DD3">
        <w:rPr>
          <w:sz w:val="22"/>
          <w:szCs w:val="22"/>
        </w:rPr>
        <w:t>.</w:t>
      </w:r>
    </w:p>
    <w:p w:rsidR="00E453AA" w:rsidRPr="00007243" w:rsidRDefault="00E453AA">
      <w:pPr>
        <w:pStyle w:val="Zkladntext2"/>
        <w:rPr>
          <w:rFonts w:ascii="Times New Roman" w:hAnsi="Times New Roman" w:cs="Times New Roman"/>
          <w:i/>
          <w:iCs/>
          <w:sz w:val="22"/>
          <w:szCs w:val="22"/>
        </w:rPr>
      </w:pPr>
    </w:p>
    <w:p w:rsidR="00E453AA" w:rsidRPr="00007243" w:rsidRDefault="00E453AA">
      <w:pPr>
        <w:pStyle w:val="Zkladntext2"/>
        <w:rPr>
          <w:rFonts w:ascii="Times New Roman" w:hAnsi="Times New Roman" w:cs="Times New Roman"/>
          <w:sz w:val="22"/>
          <w:szCs w:val="22"/>
          <w:u w:val="single"/>
        </w:rPr>
      </w:pPr>
      <w:r w:rsidRPr="00007243">
        <w:rPr>
          <w:rFonts w:ascii="Times New Roman" w:hAnsi="Times New Roman" w:cs="Times New Roman"/>
          <w:i/>
          <w:iCs/>
          <w:sz w:val="22"/>
          <w:szCs w:val="22"/>
        </w:rPr>
        <w:t>Antidopingový test</w:t>
      </w:r>
    </w:p>
    <w:p w:rsidR="00E453AA" w:rsidRDefault="00E453AA">
      <w:pPr>
        <w:pStyle w:val="Zkladntext2"/>
        <w:rPr>
          <w:rFonts w:ascii="Times New Roman" w:hAnsi="Times New Roman" w:cs="Times New Roman"/>
          <w:sz w:val="22"/>
          <w:szCs w:val="22"/>
        </w:rPr>
      </w:pPr>
      <w:r w:rsidRPr="00007243">
        <w:rPr>
          <w:rFonts w:ascii="Times New Roman" w:hAnsi="Times New Roman" w:cs="Times New Roman"/>
          <w:sz w:val="22"/>
          <w:szCs w:val="22"/>
        </w:rPr>
        <w:t>Hydrochlorotiazid obsiahnutý v tomto lieku môže spôsobiť pozitívny výsledok analýzy v antidopingovej skúške.</w:t>
      </w:r>
    </w:p>
    <w:p w:rsidR="00AF27C4" w:rsidRDefault="00AF27C4">
      <w:pPr>
        <w:pStyle w:val="Zkladntext2"/>
        <w:rPr>
          <w:rFonts w:ascii="Times New Roman" w:hAnsi="Times New Roman" w:cs="Times New Roman"/>
          <w:sz w:val="22"/>
          <w:szCs w:val="22"/>
        </w:rPr>
      </w:pPr>
    </w:p>
    <w:p w:rsidR="00AF27C4" w:rsidRPr="00D95987" w:rsidRDefault="00AF27C4" w:rsidP="00AF27C4">
      <w:pPr>
        <w:pStyle w:val="Default"/>
        <w:rPr>
          <w:rFonts w:ascii="Times New Roman" w:hAnsi="Times New Roman" w:cs="Times New Roman"/>
          <w:i/>
          <w:sz w:val="22"/>
          <w:szCs w:val="22"/>
        </w:rPr>
      </w:pPr>
      <w:r w:rsidRPr="00D95987">
        <w:rPr>
          <w:rFonts w:ascii="Times New Roman" w:hAnsi="Times New Roman" w:cs="Times New Roman"/>
          <w:i/>
          <w:iCs/>
          <w:sz w:val="22"/>
          <w:szCs w:val="22"/>
        </w:rPr>
        <w:t xml:space="preserve">Duálna inhibícia systému renín-angiotenzín-aldosterón (RAAS) </w:t>
      </w:r>
    </w:p>
    <w:p w:rsidR="00AF27C4" w:rsidRPr="00D95987" w:rsidRDefault="00AF27C4" w:rsidP="00AF27C4">
      <w:pPr>
        <w:pStyle w:val="Default"/>
        <w:rPr>
          <w:rFonts w:ascii="Times New Roman" w:hAnsi="Times New Roman" w:cs="Times New Roman"/>
          <w:sz w:val="22"/>
          <w:szCs w:val="22"/>
        </w:rPr>
      </w:pPr>
      <w:r w:rsidRPr="00D95987">
        <w:rPr>
          <w:rFonts w:ascii="Times New Roman" w:hAnsi="Times New Roman" w:cs="Times New Roman"/>
          <w:iCs/>
          <w:sz w:val="22"/>
          <w:szCs w:val="22"/>
        </w:rPr>
        <w:t xml:space="preserve">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w:t>
      </w:r>
    </w:p>
    <w:p w:rsidR="00AF27C4" w:rsidRPr="00D95987" w:rsidRDefault="00AF27C4" w:rsidP="00AF27C4">
      <w:pPr>
        <w:pStyle w:val="Default"/>
        <w:rPr>
          <w:rFonts w:ascii="Times New Roman" w:hAnsi="Times New Roman" w:cs="Times New Roman"/>
          <w:sz w:val="22"/>
          <w:szCs w:val="22"/>
        </w:rPr>
      </w:pPr>
      <w:r w:rsidRPr="00D95987">
        <w:rPr>
          <w:rFonts w:ascii="Times New Roman" w:hAnsi="Times New Roman" w:cs="Times New Roman"/>
          <w:iCs/>
          <w:sz w:val="22"/>
          <w:szCs w:val="22"/>
        </w:rPr>
        <w:t xml:space="preserve">Ak sa liečba duálnou inhibíciou považuje za absolútne nevyhnutnú, má sa podať iba pod dohľadom odborníka a u pacienta sa majú často a dôsledne kontrolovať funkcia obličiek, elektrolyty a krvný tlak. </w:t>
      </w:r>
    </w:p>
    <w:p w:rsidR="00AF27C4" w:rsidRDefault="00AF27C4" w:rsidP="00AF27C4">
      <w:pPr>
        <w:pStyle w:val="Zkladntext2"/>
        <w:rPr>
          <w:rFonts w:ascii="Times New Roman" w:hAnsi="Times New Roman" w:cs="Times New Roman"/>
          <w:iCs/>
          <w:sz w:val="22"/>
          <w:szCs w:val="22"/>
        </w:rPr>
      </w:pPr>
      <w:r w:rsidRPr="00D95987">
        <w:rPr>
          <w:rFonts w:ascii="Times New Roman" w:hAnsi="Times New Roman" w:cs="Times New Roman"/>
          <w:iCs/>
          <w:sz w:val="22"/>
          <w:szCs w:val="22"/>
        </w:rPr>
        <w:t>Inhibítory ACE a blokátory receptorov angiotenzínu II sa nemajú súbežne používať u pacientov s diabetickou nefropatiou.</w:t>
      </w:r>
    </w:p>
    <w:p w:rsidR="004628D9" w:rsidRDefault="004628D9" w:rsidP="004628D9">
      <w:pPr>
        <w:pStyle w:val="Default"/>
        <w:rPr>
          <w:rFonts w:ascii="Times New Roman" w:hAnsi="Times New Roman" w:cs="Times New Roman"/>
          <w:i/>
          <w:iCs/>
          <w:sz w:val="22"/>
          <w:szCs w:val="22"/>
        </w:rPr>
      </w:pPr>
    </w:p>
    <w:p w:rsidR="004628D9" w:rsidRPr="00401287" w:rsidRDefault="004628D9" w:rsidP="004628D9">
      <w:pPr>
        <w:pStyle w:val="Default"/>
        <w:rPr>
          <w:rFonts w:ascii="Times New Roman" w:hAnsi="Times New Roman" w:cs="Times New Roman"/>
          <w:sz w:val="22"/>
          <w:szCs w:val="22"/>
        </w:rPr>
      </w:pPr>
      <w:r w:rsidRPr="00401287">
        <w:rPr>
          <w:rFonts w:ascii="Times New Roman" w:hAnsi="Times New Roman" w:cs="Times New Roman"/>
          <w:i/>
          <w:iCs/>
          <w:sz w:val="22"/>
          <w:szCs w:val="22"/>
        </w:rPr>
        <w:t xml:space="preserve">Nemelanómová rakovina kože </w:t>
      </w:r>
    </w:p>
    <w:p w:rsidR="004628D9" w:rsidRDefault="004628D9" w:rsidP="004628D9">
      <w:pPr>
        <w:pStyle w:val="Default"/>
        <w:rPr>
          <w:rFonts w:ascii="Times New Roman" w:hAnsi="Times New Roman" w:cs="Times New Roman"/>
          <w:sz w:val="22"/>
          <w:szCs w:val="22"/>
        </w:rPr>
      </w:pPr>
      <w:r w:rsidRPr="00401287">
        <w:rPr>
          <w:rFonts w:ascii="Times New Roman" w:hAnsi="Times New Roman" w:cs="Times New Roman"/>
          <w:sz w:val="22"/>
          <w:szCs w:val="22"/>
        </w:rPr>
        <w:t xml:space="preserve">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hydrochlorotiazidu (hydrochlorothiazide, HCTZ). Možným mechanizmom pre vznik NMSC môžu byť fotosenzibilizačné účinky HCTZ. </w:t>
      </w:r>
    </w:p>
    <w:p w:rsidR="004628D9" w:rsidRPr="00401287" w:rsidRDefault="004628D9" w:rsidP="004628D9">
      <w:pPr>
        <w:pStyle w:val="Default"/>
        <w:rPr>
          <w:rFonts w:ascii="Times New Roman" w:hAnsi="Times New Roman" w:cs="Times New Roman"/>
          <w:sz w:val="22"/>
          <w:szCs w:val="22"/>
        </w:rPr>
      </w:pPr>
    </w:p>
    <w:p w:rsidR="004628D9" w:rsidRPr="00401287" w:rsidRDefault="004628D9" w:rsidP="004628D9">
      <w:pPr>
        <w:rPr>
          <w:sz w:val="22"/>
          <w:szCs w:val="22"/>
        </w:rPr>
      </w:pPr>
      <w:r w:rsidRPr="00401287">
        <w:rPr>
          <w:sz w:val="22"/>
          <w:szCs w:val="22"/>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rsidR="00E453AA" w:rsidRPr="00007243" w:rsidRDefault="00E453AA">
      <w:pPr>
        <w:pStyle w:val="Zkladntext2"/>
        <w:rPr>
          <w:rFonts w:ascii="Times New Roman" w:hAnsi="Times New Roman" w:cs="Times New Roman"/>
          <w:sz w:val="22"/>
          <w:szCs w:val="22"/>
        </w:rPr>
      </w:pPr>
    </w:p>
    <w:p w:rsidR="00E453AA" w:rsidRPr="00007243" w:rsidRDefault="00E453AA">
      <w:pPr>
        <w:tabs>
          <w:tab w:val="left" w:pos="8505"/>
        </w:tabs>
        <w:ind w:left="567" w:right="566" w:hanging="567"/>
        <w:rPr>
          <w:b/>
          <w:sz w:val="22"/>
          <w:szCs w:val="22"/>
        </w:rPr>
      </w:pPr>
      <w:r w:rsidRPr="00007243">
        <w:rPr>
          <w:b/>
          <w:sz w:val="22"/>
          <w:szCs w:val="22"/>
        </w:rPr>
        <w:t>4.5</w:t>
      </w:r>
      <w:r w:rsidRPr="00007243">
        <w:rPr>
          <w:b/>
          <w:sz w:val="22"/>
          <w:szCs w:val="22"/>
        </w:rPr>
        <w:tab/>
        <w:t>Liekové a iné interakcie</w:t>
      </w:r>
    </w:p>
    <w:p w:rsidR="00E453AA" w:rsidRDefault="00E453AA">
      <w:pPr>
        <w:pStyle w:val="Nadpis1"/>
        <w:rPr>
          <w:rFonts w:ascii="Times New Roman" w:hAnsi="Times New Roman"/>
          <w:iCs/>
          <w:sz w:val="22"/>
          <w:szCs w:val="22"/>
          <w:u w:val="none"/>
        </w:rPr>
      </w:pPr>
    </w:p>
    <w:p w:rsidR="00726515" w:rsidRPr="00D95987" w:rsidRDefault="00726515" w:rsidP="00726515">
      <w:pPr>
        <w:pStyle w:val="Default"/>
        <w:rPr>
          <w:rFonts w:ascii="Times New Roman" w:hAnsi="Times New Roman" w:cs="Times New Roman"/>
          <w:sz w:val="22"/>
          <w:szCs w:val="22"/>
        </w:rPr>
      </w:pPr>
      <w:r w:rsidRPr="00D95987">
        <w:rPr>
          <w:rFonts w:ascii="Times New Roman" w:hAnsi="Times New Roman" w:cs="Times New Roman"/>
          <w:iCs/>
          <w:sz w:val="22"/>
          <w:szCs w:val="22"/>
        </w:rPr>
        <w:t xml:space="preserve">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w:t>
      </w:r>
      <w:r w:rsidRPr="00D95987">
        <w:rPr>
          <w:rFonts w:ascii="Times New Roman" w:hAnsi="Times New Roman" w:cs="Times New Roman"/>
          <w:sz w:val="22"/>
          <w:szCs w:val="22"/>
        </w:rPr>
        <w:t xml:space="preserve">8 </w:t>
      </w:r>
    </w:p>
    <w:p w:rsidR="00726515" w:rsidRDefault="00726515" w:rsidP="00D95987">
      <w:pPr>
        <w:rPr>
          <w:iCs/>
          <w:sz w:val="22"/>
          <w:szCs w:val="22"/>
        </w:rPr>
      </w:pPr>
      <w:r w:rsidRPr="00D95987">
        <w:rPr>
          <w:iCs/>
          <w:sz w:val="22"/>
          <w:szCs w:val="22"/>
        </w:rPr>
        <w:t>obličiek (vrátane akútneho zlyhania obličiek), v porovnaní s použitím látky ovplyvňujúcej RAAS v monoterapi</w:t>
      </w:r>
      <w:r w:rsidR="006D220C" w:rsidRPr="00E77D91">
        <w:rPr>
          <w:iCs/>
          <w:sz w:val="22"/>
          <w:szCs w:val="22"/>
        </w:rPr>
        <w:t>i (pozri časti 4.3, 4.4 a 5.1).</w:t>
      </w:r>
    </w:p>
    <w:p w:rsidR="00AD77BD" w:rsidRDefault="00AD77BD" w:rsidP="00D95987">
      <w:pPr>
        <w:rPr>
          <w:iCs/>
          <w:sz w:val="22"/>
          <w:szCs w:val="22"/>
        </w:rPr>
      </w:pPr>
    </w:p>
    <w:p w:rsidR="00AD77BD" w:rsidRPr="00B26B96" w:rsidRDefault="00AD77BD" w:rsidP="00AD77BD">
      <w:pPr>
        <w:autoSpaceDE w:val="0"/>
        <w:autoSpaceDN w:val="0"/>
        <w:adjustRightInd w:val="0"/>
        <w:rPr>
          <w:rFonts w:eastAsia="TimesNewRoman"/>
          <w:i/>
          <w:color w:val="000000"/>
          <w:sz w:val="22"/>
          <w:szCs w:val="22"/>
          <w:u w:val="single"/>
        </w:rPr>
      </w:pPr>
      <w:r>
        <w:rPr>
          <w:rFonts w:eastAsia="TimesNewRoman"/>
          <w:i/>
          <w:color w:val="000000"/>
          <w:sz w:val="22"/>
          <w:szCs w:val="22"/>
          <w:u w:val="single"/>
        </w:rPr>
        <w:t>Lieky zvyšujúce riziko angioedému</w:t>
      </w:r>
    </w:p>
    <w:p w:rsidR="00AD77BD" w:rsidRPr="00D95987" w:rsidRDefault="00AD77BD" w:rsidP="00B26B96">
      <w:pPr>
        <w:autoSpaceDE w:val="0"/>
        <w:autoSpaceDN w:val="0"/>
        <w:adjustRightInd w:val="0"/>
        <w:rPr>
          <w:iCs/>
          <w:sz w:val="22"/>
          <w:szCs w:val="22"/>
        </w:rPr>
      </w:pPr>
      <w:r w:rsidRPr="007D106D">
        <w:rPr>
          <w:rFonts w:eastAsia="TimesNewRoman"/>
          <w:color w:val="000000"/>
          <w:sz w:val="22"/>
          <w:szCs w:val="22"/>
        </w:rPr>
        <w:t>Súbežné užívanie inhibítorov angiotenzín konvertujúceho enzýmu (ACE) so sakubitrilom/valsartanom je kontraindikované v dôsledku zvýšeného rizika angioedému</w:t>
      </w:r>
      <w:r>
        <w:rPr>
          <w:rFonts w:eastAsia="TimesNewRoman"/>
          <w:color w:val="000000"/>
          <w:sz w:val="22"/>
          <w:szCs w:val="22"/>
        </w:rPr>
        <w:t xml:space="preserve"> (pozri časti 4.3 a 4.4)</w:t>
      </w:r>
      <w:r w:rsidRPr="007D106D">
        <w:rPr>
          <w:rFonts w:eastAsia="TimesNewRoman"/>
          <w:color w:val="000000"/>
          <w:sz w:val="22"/>
          <w:szCs w:val="22"/>
        </w:rPr>
        <w:t>.</w:t>
      </w:r>
    </w:p>
    <w:p w:rsidR="00726515" w:rsidRPr="00D95987" w:rsidRDefault="00726515" w:rsidP="00D95987"/>
    <w:p w:rsidR="00F54095" w:rsidRPr="00007243" w:rsidRDefault="00F54095" w:rsidP="00F54095">
      <w:pPr>
        <w:pStyle w:val="Nadpis1"/>
        <w:rPr>
          <w:rFonts w:ascii="Times New Roman" w:hAnsi="Times New Roman"/>
          <w:i/>
          <w:sz w:val="22"/>
          <w:u w:val="none"/>
        </w:rPr>
      </w:pPr>
      <w:r w:rsidRPr="00007243">
        <w:rPr>
          <w:rFonts w:ascii="Times New Roman" w:hAnsi="Times New Roman"/>
          <w:i/>
          <w:sz w:val="22"/>
          <w:u w:val="none"/>
        </w:rPr>
        <w:t>Tetracyklíny a ďalšie lieky ovplyvňujúce horčík</w:t>
      </w:r>
    </w:p>
    <w:p w:rsidR="00F54095" w:rsidRPr="00007243" w:rsidRDefault="00F54095" w:rsidP="00F54095">
      <w:pPr>
        <w:tabs>
          <w:tab w:val="left" w:pos="8505"/>
        </w:tabs>
        <w:ind w:right="566"/>
        <w:rPr>
          <w:bCs/>
          <w:sz w:val="22"/>
        </w:rPr>
      </w:pPr>
      <w:r w:rsidRPr="00007243">
        <w:rPr>
          <w:sz w:val="22"/>
        </w:rPr>
        <w:t>Vzhľadom na prítomnosť uhličitanu horečnatého v zložení lieku, chinapril vykazoval u zdravých dobrovoľníkov zníženie absorpcie tetracyklínov pri súbežnom podaní o 28 – 37 %. Odporúča sa vyhnúť súbežnému podávaniu s tetracyklínom. Tejto interakcii je možné zabrániť, ak chinapril a tetracyklín nie sú predpisované súbežne.</w:t>
      </w:r>
    </w:p>
    <w:p w:rsidR="00F54095" w:rsidRPr="00007243" w:rsidRDefault="00F54095" w:rsidP="00F54095">
      <w:pPr>
        <w:tabs>
          <w:tab w:val="left" w:pos="8505"/>
        </w:tabs>
        <w:ind w:right="566"/>
        <w:rPr>
          <w:bCs/>
          <w:sz w:val="22"/>
        </w:rPr>
      </w:pPr>
    </w:p>
    <w:p w:rsidR="00524633" w:rsidRPr="007D106D" w:rsidRDefault="00524633" w:rsidP="00524633">
      <w:pPr>
        <w:autoSpaceDE w:val="0"/>
        <w:autoSpaceDN w:val="0"/>
        <w:adjustRightInd w:val="0"/>
        <w:rPr>
          <w:bCs/>
          <w:i/>
          <w:sz w:val="22"/>
          <w:szCs w:val="22"/>
        </w:rPr>
      </w:pPr>
      <w:r w:rsidRPr="007D106D">
        <w:rPr>
          <w:bCs/>
          <w:i/>
          <w:sz w:val="22"/>
          <w:szCs w:val="22"/>
        </w:rPr>
        <w:t xml:space="preserve">Draslík šetriace diuretiká, doplnky draslíka alebo </w:t>
      </w:r>
      <w:r w:rsidR="00AD77BD">
        <w:rPr>
          <w:bCs/>
          <w:i/>
          <w:sz w:val="22"/>
          <w:szCs w:val="22"/>
        </w:rPr>
        <w:t>náhrady solí obsahujúce draslík</w:t>
      </w:r>
      <w:r w:rsidRPr="007D106D">
        <w:rPr>
          <w:bCs/>
          <w:i/>
          <w:sz w:val="22"/>
          <w:szCs w:val="22"/>
        </w:rPr>
        <w:t xml:space="preserve"> </w:t>
      </w:r>
    </w:p>
    <w:p w:rsidR="00524633" w:rsidRPr="007D106D" w:rsidRDefault="00524633" w:rsidP="00524633">
      <w:pPr>
        <w:autoSpaceDE w:val="0"/>
        <w:autoSpaceDN w:val="0"/>
        <w:adjustRightInd w:val="0"/>
        <w:rPr>
          <w:bCs/>
          <w:sz w:val="22"/>
          <w:szCs w:val="22"/>
        </w:rPr>
      </w:pPr>
      <w:r w:rsidRPr="007D106D">
        <w:rPr>
          <w:bCs/>
          <w:sz w:val="22"/>
          <w:szCs w:val="22"/>
        </w:rPr>
        <w:t xml:space="preserve">Hoci hladiny draslíka v sére zvyčajne zostávajú v rámci normálnych hodnôt, u niektorých pacientov liečených </w:t>
      </w:r>
      <w:r>
        <w:rPr>
          <w:bCs/>
          <w:sz w:val="22"/>
          <w:szCs w:val="22"/>
        </w:rPr>
        <w:t>chinaprilom</w:t>
      </w:r>
      <w:r w:rsidRPr="007D106D">
        <w:rPr>
          <w:bCs/>
          <w:sz w:val="22"/>
          <w:szCs w:val="22"/>
        </w:rPr>
        <w:t xml:space="preserve"> sa môže vyskytnúť hyperkaliémia. Užívanie draslík šetriacich diuretík (napr. spironolaktón, triamterén alebo amilorid), doplnkov draslíka alebo náhrad solí obsahujúcich draslík môže viesť k významnému zvýšeniu hladín draslíka v sére. Opatrnosť je tiež potrebná pri súbežnom podávaní </w:t>
      </w:r>
      <w:r>
        <w:rPr>
          <w:bCs/>
          <w:sz w:val="22"/>
          <w:szCs w:val="22"/>
        </w:rPr>
        <w:t>chinaprilu</w:t>
      </w:r>
      <w:r w:rsidRPr="007D106D">
        <w:rPr>
          <w:bCs/>
          <w:sz w:val="22"/>
          <w:szCs w:val="22"/>
        </w:rPr>
        <w:t xml:space="preserve"> s inými liekmi, ktoré zvyšujú hladinu draslíka v sére, ako sú trimetoprim a</w:t>
      </w:r>
      <w:r w:rsidR="008C1B7A">
        <w:rPr>
          <w:bCs/>
          <w:sz w:val="22"/>
          <w:szCs w:val="22"/>
        </w:rPr>
        <w:t> </w:t>
      </w:r>
      <w:r w:rsidRPr="007D106D">
        <w:rPr>
          <w:bCs/>
          <w:sz w:val="22"/>
          <w:szCs w:val="22"/>
        </w:rPr>
        <w:t>kotrimoxazol (trimetoprim/sulfametoxazol), ke</w:t>
      </w:r>
      <w:r w:rsidR="008C1B7A">
        <w:rPr>
          <w:bCs/>
          <w:sz w:val="22"/>
          <w:szCs w:val="22"/>
        </w:rPr>
        <w:t>ď</w:t>
      </w:r>
      <w:r w:rsidRPr="007D106D">
        <w:rPr>
          <w:bCs/>
          <w:sz w:val="22"/>
          <w:szCs w:val="22"/>
        </w:rPr>
        <w:t xml:space="preserve">že trimetoprim pôsobí ako draslík šetriace diuretikum, rovnako ako amilorid. Preto sa užívanie </w:t>
      </w:r>
      <w:r>
        <w:rPr>
          <w:bCs/>
          <w:sz w:val="22"/>
          <w:szCs w:val="22"/>
        </w:rPr>
        <w:t>chinaprilu</w:t>
      </w:r>
      <w:r w:rsidRPr="007D106D">
        <w:rPr>
          <w:bCs/>
          <w:sz w:val="22"/>
          <w:szCs w:val="22"/>
        </w:rPr>
        <w:t xml:space="preserve"> v kombinácii s vyš</w:t>
      </w:r>
      <w:r>
        <w:rPr>
          <w:bCs/>
          <w:sz w:val="22"/>
          <w:szCs w:val="22"/>
        </w:rPr>
        <w:t>šie uvedenými liekmi neodporúča</w:t>
      </w:r>
      <w:r w:rsidRPr="007D106D">
        <w:rPr>
          <w:bCs/>
          <w:sz w:val="22"/>
          <w:szCs w:val="22"/>
        </w:rPr>
        <w:t>. Ak je indikované ich súbežné užívanie, majú sa užívať s opatrnosťou a často sledovať hladiny draslíka v sére.</w:t>
      </w:r>
    </w:p>
    <w:p w:rsidR="00524633" w:rsidRPr="007D106D" w:rsidRDefault="00524633" w:rsidP="00524633">
      <w:pPr>
        <w:rPr>
          <w:bCs/>
          <w:sz w:val="22"/>
          <w:szCs w:val="22"/>
        </w:rPr>
      </w:pPr>
    </w:p>
    <w:p w:rsidR="00524633" w:rsidRPr="007D106D" w:rsidRDefault="00AD77BD" w:rsidP="00524633">
      <w:pPr>
        <w:autoSpaceDE w:val="0"/>
        <w:autoSpaceDN w:val="0"/>
        <w:adjustRightInd w:val="0"/>
        <w:rPr>
          <w:rFonts w:eastAsia="TimesNewRoman"/>
          <w:i/>
          <w:color w:val="000000"/>
          <w:sz w:val="22"/>
          <w:szCs w:val="22"/>
        </w:rPr>
      </w:pPr>
      <w:r>
        <w:rPr>
          <w:rFonts w:eastAsia="TimesNewRoman"/>
          <w:i/>
          <w:color w:val="000000"/>
          <w:sz w:val="22"/>
          <w:szCs w:val="22"/>
        </w:rPr>
        <w:t>Cyklosporín</w:t>
      </w:r>
      <w:r w:rsidR="00524633" w:rsidRPr="007D106D">
        <w:rPr>
          <w:rFonts w:eastAsia="TimesNewRoman"/>
          <w:i/>
          <w:color w:val="000000"/>
          <w:sz w:val="22"/>
          <w:szCs w:val="22"/>
        </w:rPr>
        <w:t xml:space="preserve"> </w:t>
      </w:r>
    </w:p>
    <w:p w:rsidR="00524633" w:rsidRPr="007D106D" w:rsidRDefault="00524633" w:rsidP="00524633">
      <w:pPr>
        <w:autoSpaceDE w:val="0"/>
        <w:autoSpaceDN w:val="0"/>
        <w:adjustRightInd w:val="0"/>
        <w:rPr>
          <w:rFonts w:eastAsia="TimesNewRoman"/>
          <w:color w:val="000000"/>
          <w:sz w:val="22"/>
          <w:szCs w:val="22"/>
        </w:rPr>
      </w:pPr>
      <w:r w:rsidRPr="007D106D">
        <w:rPr>
          <w:rFonts w:eastAsia="TimesNewRoman"/>
          <w:color w:val="000000"/>
          <w:sz w:val="22"/>
          <w:szCs w:val="22"/>
        </w:rPr>
        <w:t xml:space="preserve">Pri súbežnom užívaní inhibítorov ACE s cyklosporínom sa môže vyskytnúť hyperkaliémia. </w:t>
      </w:r>
    </w:p>
    <w:p w:rsidR="00524633" w:rsidRPr="007D106D" w:rsidRDefault="00524633" w:rsidP="00524633">
      <w:pPr>
        <w:autoSpaceDE w:val="0"/>
        <w:autoSpaceDN w:val="0"/>
        <w:adjustRightInd w:val="0"/>
        <w:rPr>
          <w:rFonts w:eastAsia="TimesNewRoman"/>
          <w:color w:val="000000"/>
          <w:sz w:val="22"/>
          <w:szCs w:val="22"/>
        </w:rPr>
      </w:pPr>
      <w:r w:rsidRPr="007D106D">
        <w:rPr>
          <w:rFonts w:eastAsia="TimesNewRoman"/>
          <w:color w:val="000000"/>
          <w:sz w:val="22"/>
          <w:szCs w:val="22"/>
        </w:rPr>
        <w:t xml:space="preserve">Odporúča sa monitorovanie hladiny draslíka v sére. </w:t>
      </w:r>
    </w:p>
    <w:p w:rsidR="00524633" w:rsidRPr="007D106D" w:rsidRDefault="00524633" w:rsidP="00524633">
      <w:pPr>
        <w:autoSpaceDE w:val="0"/>
        <w:autoSpaceDN w:val="0"/>
        <w:adjustRightInd w:val="0"/>
        <w:rPr>
          <w:rFonts w:eastAsia="TimesNewRoman"/>
          <w:color w:val="000000"/>
          <w:sz w:val="22"/>
          <w:szCs w:val="22"/>
        </w:rPr>
      </w:pPr>
    </w:p>
    <w:p w:rsidR="00524633" w:rsidRPr="007D106D" w:rsidRDefault="00AD77BD" w:rsidP="00524633">
      <w:pPr>
        <w:autoSpaceDE w:val="0"/>
        <w:autoSpaceDN w:val="0"/>
        <w:adjustRightInd w:val="0"/>
        <w:rPr>
          <w:rFonts w:eastAsia="TimesNewRoman"/>
          <w:i/>
          <w:color w:val="000000"/>
          <w:sz w:val="22"/>
          <w:szCs w:val="22"/>
        </w:rPr>
      </w:pPr>
      <w:r>
        <w:rPr>
          <w:rFonts w:eastAsia="TimesNewRoman"/>
          <w:i/>
          <w:color w:val="000000"/>
          <w:sz w:val="22"/>
          <w:szCs w:val="22"/>
        </w:rPr>
        <w:t>Heparín</w:t>
      </w:r>
      <w:r w:rsidR="00524633" w:rsidRPr="007D106D">
        <w:rPr>
          <w:rFonts w:eastAsia="TimesNewRoman"/>
          <w:i/>
          <w:color w:val="000000"/>
          <w:sz w:val="22"/>
          <w:szCs w:val="22"/>
        </w:rPr>
        <w:t xml:space="preserve"> </w:t>
      </w:r>
    </w:p>
    <w:p w:rsidR="00524633" w:rsidRPr="007D106D" w:rsidRDefault="00524633" w:rsidP="00524633">
      <w:pPr>
        <w:autoSpaceDE w:val="0"/>
        <w:autoSpaceDN w:val="0"/>
        <w:adjustRightInd w:val="0"/>
        <w:rPr>
          <w:rFonts w:eastAsia="TimesNewRoman"/>
          <w:color w:val="000000"/>
          <w:sz w:val="22"/>
          <w:szCs w:val="22"/>
        </w:rPr>
      </w:pPr>
      <w:r w:rsidRPr="007D106D">
        <w:rPr>
          <w:rFonts w:eastAsia="TimesNewRoman"/>
          <w:color w:val="000000"/>
          <w:sz w:val="22"/>
          <w:szCs w:val="22"/>
        </w:rPr>
        <w:t xml:space="preserve">Hyperkaliémia sa môže vyskytnúť pri súbežnom užívaní inhibítorov ACE s heparínom. </w:t>
      </w:r>
    </w:p>
    <w:p w:rsidR="00524633" w:rsidRPr="007D106D" w:rsidRDefault="00524633" w:rsidP="00524633">
      <w:pPr>
        <w:autoSpaceDE w:val="0"/>
        <w:autoSpaceDN w:val="0"/>
        <w:adjustRightInd w:val="0"/>
        <w:rPr>
          <w:rFonts w:eastAsia="TimesNewRoman"/>
          <w:color w:val="000000"/>
          <w:sz w:val="22"/>
          <w:szCs w:val="22"/>
        </w:rPr>
      </w:pPr>
      <w:r w:rsidRPr="007D106D">
        <w:rPr>
          <w:rFonts w:eastAsia="TimesNewRoman"/>
          <w:color w:val="000000"/>
          <w:sz w:val="22"/>
          <w:szCs w:val="22"/>
        </w:rPr>
        <w:t>Odporúča sa monitorovanie hladiny draslíka v sére.</w:t>
      </w:r>
    </w:p>
    <w:p w:rsidR="00F54095" w:rsidRPr="00007243" w:rsidRDefault="00F54095" w:rsidP="00F54095">
      <w:pPr>
        <w:pStyle w:val="Zkladntext"/>
        <w:rPr>
          <w:rFonts w:ascii="Times New Roman" w:hAnsi="Times New Roman"/>
          <w:i/>
          <w:sz w:val="22"/>
        </w:rPr>
      </w:pPr>
    </w:p>
    <w:p w:rsidR="00F54095" w:rsidRPr="00D95987" w:rsidRDefault="00F54095" w:rsidP="00F54095">
      <w:pPr>
        <w:pStyle w:val="Zkladntext"/>
        <w:rPr>
          <w:rFonts w:ascii="Times New Roman" w:hAnsi="Times New Roman"/>
          <w:sz w:val="22"/>
        </w:rPr>
      </w:pPr>
      <w:r w:rsidRPr="00D95987">
        <w:rPr>
          <w:rFonts w:ascii="Times New Roman" w:hAnsi="Times New Roman"/>
          <w:sz w:val="22"/>
        </w:rPr>
        <w:t>Iné diuretiká</w:t>
      </w:r>
      <w:r w:rsidR="009F4F68">
        <w:rPr>
          <w:rFonts w:ascii="Times New Roman" w:hAnsi="Times New Roman"/>
          <w:sz w:val="22"/>
        </w:rPr>
        <w:t>:</w:t>
      </w:r>
    </w:p>
    <w:p w:rsidR="00F54095" w:rsidRPr="00007243" w:rsidRDefault="00F54095" w:rsidP="00F54095">
      <w:pPr>
        <w:pStyle w:val="Zkladntext"/>
        <w:rPr>
          <w:rFonts w:ascii="Times New Roman" w:hAnsi="Times New Roman"/>
          <w:sz w:val="22"/>
        </w:rPr>
      </w:pPr>
      <w:r w:rsidRPr="00007243">
        <w:rPr>
          <w:rFonts w:ascii="Times New Roman" w:hAnsi="Times New Roman"/>
          <w:sz w:val="22"/>
        </w:rPr>
        <w:t>Chinapril/hydrochlorotiazid obsahuje diuretikum. Súbežné podávanie ďalšieho diuretika môže mať aditívny účinok. U pacientov užívajúcich diuretiká, najmä u tých, ktorí majú objemovú depléciu a/alebo depléciu solí, sa môže tiež vyskytnúť nadmerný pokles krvného tlaku na začiatku liečby alebo pri zvýšení dávky ACE inhibítora (pozri časť 4.4).</w:t>
      </w:r>
    </w:p>
    <w:p w:rsidR="00F54095" w:rsidRPr="00007243" w:rsidRDefault="00F54095" w:rsidP="00F54095">
      <w:pPr>
        <w:pStyle w:val="Zkladntext"/>
        <w:rPr>
          <w:rFonts w:ascii="Times New Roman" w:hAnsi="Times New Roman"/>
          <w:sz w:val="22"/>
        </w:rPr>
      </w:pPr>
    </w:p>
    <w:p w:rsidR="00F54095" w:rsidRPr="00007243" w:rsidRDefault="00F54095" w:rsidP="00F54095">
      <w:pPr>
        <w:pStyle w:val="Zkladntext"/>
        <w:rPr>
          <w:rFonts w:ascii="Times New Roman" w:hAnsi="Times New Roman"/>
          <w:i/>
          <w:sz w:val="22"/>
        </w:rPr>
      </w:pPr>
      <w:r w:rsidRPr="00007243">
        <w:rPr>
          <w:rFonts w:ascii="Times New Roman" w:hAnsi="Times New Roman"/>
          <w:i/>
          <w:sz w:val="22"/>
        </w:rPr>
        <w:t>Sulfónamidové diuretiká</w:t>
      </w:r>
    </w:p>
    <w:p w:rsidR="00F54095" w:rsidRPr="00007243" w:rsidRDefault="00F54095" w:rsidP="00F54095">
      <w:pPr>
        <w:pStyle w:val="Zkladntext"/>
        <w:rPr>
          <w:rFonts w:ascii="Times New Roman" w:hAnsi="Times New Roman"/>
          <w:sz w:val="22"/>
        </w:rPr>
      </w:pPr>
      <w:r w:rsidRPr="00007243">
        <w:rPr>
          <w:rFonts w:ascii="Times New Roman" w:hAnsi="Times New Roman"/>
          <w:sz w:val="22"/>
        </w:rPr>
        <w:t>Sulfónamidové diuretiká sa majú užívať najmenej jednu hodinu pred alebo štyri až šesť hodín po tomto lieku.</w:t>
      </w:r>
    </w:p>
    <w:p w:rsidR="00F54095" w:rsidRPr="00007243" w:rsidRDefault="00F54095" w:rsidP="00F54095">
      <w:pPr>
        <w:pStyle w:val="Zkladntext"/>
        <w:rPr>
          <w:rFonts w:ascii="Times New Roman" w:hAnsi="Times New Roman"/>
          <w:sz w:val="22"/>
          <w:u w:val="single"/>
        </w:rPr>
      </w:pPr>
    </w:p>
    <w:p w:rsidR="00F54095" w:rsidRPr="00D95987" w:rsidRDefault="00F54095" w:rsidP="00F54095">
      <w:pPr>
        <w:pStyle w:val="Zkladntext"/>
        <w:rPr>
          <w:rFonts w:ascii="Times New Roman" w:hAnsi="Times New Roman"/>
          <w:sz w:val="22"/>
        </w:rPr>
      </w:pPr>
      <w:r w:rsidRPr="00D95987">
        <w:rPr>
          <w:rFonts w:ascii="Times New Roman" w:hAnsi="Times New Roman"/>
          <w:sz w:val="22"/>
        </w:rPr>
        <w:t>Ostatné antihypertenzíva</w:t>
      </w:r>
    </w:p>
    <w:p w:rsidR="00F54095" w:rsidRPr="00007243" w:rsidRDefault="00F54095" w:rsidP="00F54095">
      <w:pPr>
        <w:pStyle w:val="Zkladntext"/>
        <w:rPr>
          <w:rFonts w:ascii="Times New Roman" w:hAnsi="Times New Roman"/>
          <w:sz w:val="22"/>
        </w:rPr>
      </w:pPr>
      <w:r w:rsidRPr="00007243">
        <w:rPr>
          <w:rFonts w:ascii="Times New Roman" w:hAnsi="Times New Roman"/>
          <w:sz w:val="22"/>
        </w:rPr>
        <w:t>Ak sa ku kombinácii chinapril/hydrochlorotiazid pridajú ďalšie antihypertenzíva ako nitráty alebo vazodilatanciá, môže dôjsť k aditívnemu účinku alebo k jeho zosilneniu.</w:t>
      </w:r>
    </w:p>
    <w:p w:rsidR="00F54095" w:rsidRPr="00007243" w:rsidRDefault="00F54095" w:rsidP="00F54095">
      <w:pPr>
        <w:pStyle w:val="Zkladntext"/>
        <w:rPr>
          <w:rFonts w:ascii="Times New Roman" w:hAnsi="Times New Roman"/>
          <w:sz w:val="22"/>
        </w:rPr>
      </w:pPr>
    </w:p>
    <w:p w:rsidR="00F54095" w:rsidRPr="00007243" w:rsidRDefault="00F54095" w:rsidP="00F54095">
      <w:pPr>
        <w:pStyle w:val="Zkladntext"/>
        <w:rPr>
          <w:rFonts w:ascii="Times New Roman" w:hAnsi="Times New Roman"/>
          <w:sz w:val="22"/>
        </w:rPr>
      </w:pPr>
      <w:r w:rsidRPr="00007243">
        <w:rPr>
          <w:rFonts w:ascii="Times New Roman" w:hAnsi="Times New Roman"/>
          <w:i/>
          <w:sz w:val="22"/>
        </w:rPr>
        <w:t>Chirurgický zákrok/Anestézia</w:t>
      </w:r>
    </w:p>
    <w:p w:rsidR="00F54095" w:rsidRPr="00007243" w:rsidRDefault="00F54095" w:rsidP="00F54095">
      <w:pPr>
        <w:pStyle w:val="Zkladntext"/>
        <w:rPr>
          <w:rFonts w:ascii="Times New Roman" w:hAnsi="Times New Roman"/>
          <w:sz w:val="22"/>
        </w:rPr>
      </w:pPr>
      <w:r w:rsidRPr="00007243">
        <w:rPr>
          <w:rFonts w:ascii="Times New Roman" w:hAnsi="Times New Roman"/>
          <w:sz w:val="22"/>
        </w:rPr>
        <w:t>Hoci nie sú k dispozícii žiadne údaje, ktoré by indikovali interakciu medzi chinaprilom a anestetikami, ktoré spôsobujú hypotenziu, majú sa podávať s opatrnosťou u pacientov podstupujúcich veľký chirurgický zákrok alebo anestéziu, pretože sa preukázalo, že ACE inhibítory blokujú tvorbu angiotenzínu II sekundárne po kompenzačnom uvoľnení renínu. To môže viesť k hypotenzii, ktorá môže byť korigovaná zvýšením objemu (pozri časť 4.4).</w:t>
      </w:r>
    </w:p>
    <w:p w:rsidR="00F54095" w:rsidRPr="00007243" w:rsidRDefault="00F54095" w:rsidP="00F54095">
      <w:pPr>
        <w:pStyle w:val="Zkladntext"/>
        <w:rPr>
          <w:rFonts w:ascii="Times New Roman" w:hAnsi="Times New Roman"/>
          <w:sz w:val="22"/>
        </w:rPr>
      </w:pPr>
    </w:p>
    <w:p w:rsidR="00F54095" w:rsidRPr="00007243" w:rsidRDefault="00F54095" w:rsidP="00F54095">
      <w:pPr>
        <w:pStyle w:val="Zkladntext"/>
        <w:rPr>
          <w:rFonts w:ascii="Times New Roman" w:hAnsi="Times New Roman"/>
          <w:sz w:val="22"/>
        </w:rPr>
      </w:pPr>
      <w:r w:rsidRPr="00007243">
        <w:rPr>
          <w:rFonts w:ascii="Times New Roman" w:hAnsi="Times New Roman"/>
          <w:sz w:val="22"/>
        </w:rPr>
        <w:t xml:space="preserve">Tiazidy môžu znižovať arteriálnu odpoveď na noradrenalín. Pri chirurgickom ošetrení sa majú pre-anestetiká a anestetiká podávať v znížených dávkach. Tiazidy môžu zvyšovať odpoveď na </w:t>
      </w:r>
      <w:r w:rsidR="004B4F98" w:rsidRPr="00007243">
        <w:rPr>
          <w:rFonts w:ascii="Times New Roman" w:hAnsi="Times New Roman"/>
          <w:sz w:val="22"/>
        </w:rPr>
        <w:t xml:space="preserve">nedepolarizujúce svalové relaxanciá (napr. </w:t>
      </w:r>
      <w:r w:rsidRPr="00007243">
        <w:rPr>
          <w:rFonts w:ascii="Times New Roman" w:hAnsi="Times New Roman"/>
          <w:sz w:val="22"/>
        </w:rPr>
        <w:t>tubokurarín</w:t>
      </w:r>
      <w:r w:rsidR="004B4F98" w:rsidRPr="00007243">
        <w:rPr>
          <w:rFonts w:ascii="Times New Roman" w:hAnsi="Times New Roman"/>
          <w:sz w:val="22"/>
        </w:rPr>
        <w:t>iumchlorid)</w:t>
      </w:r>
      <w:r w:rsidRPr="00007243">
        <w:rPr>
          <w:rFonts w:ascii="Times New Roman" w:hAnsi="Times New Roman"/>
          <w:sz w:val="22"/>
        </w:rPr>
        <w:t>.</w:t>
      </w:r>
    </w:p>
    <w:p w:rsidR="00F54095" w:rsidRPr="00007243" w:rsidRDefault="00F54095" w:rsidP="00F54095">
      <w:pPr>
        <w:pStyle w:val="Zkladntext"/>
        <w:rPr>
          <w:rFonts w:ascii="Times New Roman" w:hAnsi="Times New Roman"/>
          <w:sz w:val="22"/>
        </w:rPr>
      </w:pPr>
    </w:p>
    <w:p w:rsidR="004B4F98" w:rsidRPr="00007243" w:rsidRDefault="004B4F98" w:rsidP="004B4F98">
      <w:pPr>
        <w:pStyle w:val="Zkladntext"/>
        <w:rPr>
          <w:rFonts w:ascii="Times New Roman" w:hAnsi="Times New Roman"/>
          <w:i/>
          <w:sz w:val="22"/>
        </w:rPr>
      </w:pPr>
      <w:r w:rsidRPr="00007243">
        <w:rPr>
          <w:rFonts w:ascii="Times New Roman" w:hAnsi="Times New Roman"/>
          <w:i/>
          <w:sz w:val="22"/>
        </w:rPr>
        <w:t>Tricyklické antidepresíva/Antipsychotiká</w:t>
      </w:r>
    </w:p>
    <w:p w:rsidR="004B4F98" w:rsidRPr="00007243" w:rsidRDefault="004B4F98" w:rsidP="004B4F98">
      <w:pPr>
        <w:pStyle w:val="Zkladntext"/>
        <w:rPr>
          <w:rFonts w:ascii="Times New Roman" w:hAnsi="Times New Roman"/>
          <w:sz w:val="22"/>
        </w:rPr>
      </w:pPr>
      <w:r w:rsidRPr="00007243">
        <w:rPr>
          <w:rFonts w:ascii="Times New Roman" w:hAnsi="Times New Roman"/>
          <w:sz w:val="22"/>
        </w:rPr>
        <w:t>Súbežné používanie určitých anestetík, tricyklických antidepresív a antipsychotík s ACE inhibítormi môže mať za následok ďalšie zníženie krvného tlaku. Môže dôjsť k posturálnej hypotenzii (pozri časť 4.4).</w:t>
      </w:r>
    </w:p>
    <w:p w:rsidR="004B4F98" w:rsidRPr="00007243" w:rsidRDefault="004B4F98" w:rsidP="00F54095">
      <w:pPr>
        <w:pStyle w:val="Zkladntext"/>
        <w:rPr>
          <w:rFonts w:ascii="Times New Roman" w:hAnsi="Times New Roman"/>
          <w:sz w:val="22"/>
        </w:rPr>
      </w:pPr>
    </w:p>
    <w:p w:rsidR="004B4F98" w:rsidRPr="00007243" w:rsidRDefault="004B4F98" w:rsidP="004B4F98">
      <w:pPr>
        <w:pStyle w:val="Zkladntext"/>
        <w:rPr>
          <w:rFonts w:ascii="Times New Roman" w:hAnsi="Times New Roman"/>
          <w:i/>
          <w:sz w:val="22"/>
        </w:rPr>
      </w:pPr>
      <w:r w:rsidRPr="00007243">
        <w:rPr>
          <w:rFonts w:ascii="Times New Roman" w:hAnsi="Times New Roman"/>
          <w:i/>
          <w:sz w:val="22"/>
        </w:rPr>
        <w:t>Sympatomimetiká</w:t>
      </w:r>
    </w:p>
    <w:p w:rsidR="004B4F98" w:rsidRPr="00007243" w:rsidRDefault="004B4F98" w:rsidP="004B4F98">
      <w:pPr>
        <w:pStyle w:val="Zkladntext"/>
        <w:rPr>
          <w:rFonts w:ascii="Times New Roman" w:hAnsi="Times New Roman"/>
          <w:sz w:val="22"/>
        </w:rPr>
      </w:pPr>
      <w:r w:rsidRPr="00007243">
        <w:rPr>
          <w:rFonts w:ascii="Times New Roman" w:hAnsi="Times New Roman"/>
          <w:sz w:val="22"/>
        </w:rPr>
        <w:t>Sympatomimetiká môžu znížiť antihypertenzný účinok ACE inhibítorov.</w:t>
      </w:r>
    </w:p>
    <w:p w:rsidR="004B4F98" w:rsidRPr="00007243" w:rsidRDefault="004B4F98" w:rsidP="00F54095">
      <w:pPr>
        <w:pStyle w:val="Zkladntext"/>
        <w:rPr>
          <w:rFonts w:ascii="Times New Roman" w:hAnsi="Times New Roman"/>
          <w:sz w:val="22"/>
        </w:rPr>
      </w:pPr>
    </w:p>
    <w:p w:rsidR="00F54095" w:rsidRPr="00007243" w:rsidRDefault="00F54095" w:rsidP="00F54095">
      <w:pPr>
        <w:pStyle w:val="Zkladntext"/>
        <w:rPr>
          <w:rFonts w:ascii="Times New Roman" w:hAnsi="Times New Roman"/>
          <w:i/>
          <w:sz w:val="22"/>
        </w:rPr>
      </w:pPr>
      <w:r w:rsidRPr="00007243">
        <w:rPr>
          <w:rFonts w:ascii="Times New Roman" w:hAnsi="Times New Roman"/>
          <w:i/>
          <w:sz w:val="22"/>
        </w:rPr>
        <w:t>Lítium</w:t>
      </w:r>
    </w:p>
    <w:p w:rsidR="00F54095" w:rsidRPr="00007243" w:rsidRDefault="00F54095" w:rsidP="00F54095">
      <w:pPr>
        <w:pStyle w:val="Zkladntext"/>
        <w:rPr>
          <w:rFonts w:ascii="Times New Roman" w:hAnsi="Times New Roman"/>
          <w:sz w:val="22"/>
        </w:rPr>
      </w:pPr>
      <w:r w:rsidRPr="00007243">
        <w:rPr>
          <w:rFonts w:ascii="Times New Roman" w:hAnsi="Times New Roman"/>
          <w:sz w:val="22"/>
        </w:rPr>
        <w:t xml:space="preserve">Lítium sa </w:t>
      </w:r>
      <w:r w:rsidR="004B4F98" w:rsidRPr="00007243">
        <w:rPr>
          <w:rFonts w:ascii="Times New Roman" w:hAnsi="Times New Roman"/>
          <w:sz w:val="22"/>
        </w:rPr>
        <w:t>spravidla</w:t>
      </w:r>
      <w:r w:rsidRPr="00007243">
        <w:rPr>
          <w:rFonts w:ascii="Times New Roman" w:hAnsi="Times New Roman"/>
          <w:sz w:val="22"/>
        </w:rPr>
        <w:t xml:space="preserve"> nemá podávať s diuretikami. Diuretiká znižujú renálny klírens lítia a zvyšujú </w:t>
      </w:r>
      <w:r w:rsidR="004B4F98" w:rsidRPr="00007243">
        <w:rPr>
          <w:rFonts w:ascii="Times New Roman" w:hAnsi="Times New Roman"/>
          <w:sz w:val="22"/>
        </w:rPr>
        <w:t xml:space="preserve">vysoké </w:t>
      </w:r>
      <w:r w:rsidRPr="00007243">
        <w:rPr>
          <w:rFonts w:ascii="Times New Roman" w:hAnsi="Times New Roman"/>
          <w:sz w:val="22"/>
        </w:rPr>
        <w:t>riziko toxicity lítia. U pacientov dostávajúcich súbežne lítium a ACE inhibítory boli hlásené zvýšené hladiny lítia a symptómy toxicity lítia vplyvom týchto látok na vylučovanie sodíka. Chinapril/hydrochlorotiazid môže zvyšovať riziko toxicity lítia. Chinapril/hydrochlorotiazid sa má podávať s opatrnosťou a odporúča sa časté sledovanie sérových hladín lítia.</w:t>
      </w:r>
    </w:p>
    <w:p w:rsidR="00F54095" w:rsidRPr="00007243" w:rsidRDefault="00F54095" w:rsidP="00F54095">
      <w:pPr>
        <w:pStyle w:val="Zkladntext"/>
        <w:rPr>
          <w:rFonts w:ascii="Times New Roman" w:hAnsi="Times New Roman"/>
          <w:sz w:val="22"/>
        </w:rPr>
      </w:pPr>
    </w:p>
    <w:p w:rsidR="00F54095" w:rsidRPr="00596E3A" w:rsidRDefault="00F54095" w:rsidP="00F54095">
      <w:pPr>
        <w:pStyle w:val="Zkladntext"/>
        <w:rPr>
          <w:rFonts w:ascii="Times New Roman" w:hAnsi="Times New Roman"/>
          <w:sz w:val="22"/>
        </w:rPr>
      </w:pPr>
      <w:r w:rsidRPr="00007243">
        <w:rPr>
          <w:rFonts w:ascii="Times New Roman" w:hAnsi="Times New Roman"/>
          <w:i/>
          <w:sz w:val="22"/>
        </w:rPr>
        <w:t xml:space="preserve">Kortikosteroidy, </w:t>
      </w:r>
      <w:r w:rsidR="004B4F98" w:rsidRPr="00FC136C">
        <w:rPr>
          <w:rFonts w:ascii="Times New Roman" w:hAnsi="Times New Roman"/>
          <w:bCs w:val="0"/>
          <w:i/>
          <w:color w:val="000000"/>
          <w:sz w:val="22"/>
          <w:szCs w:val="22"/>
          <w:shd w:val="clear" w:color="auto" w:fill="FFFFFF"/>
        </w:rPr>
        <w:t>adrenokortikotropní hormón (</w:t>
      </w:r>
      <w:r w:rsidRPr="0007201A">
        <w:rPr>
          <w:rFonts w:ascii="Times New Roman" w:hAnsi="Times New Roman"/>
          <w:i/>
          <w:sz w:val="22"/>
          <w:szCs w:val="22"/>
        </w:rPr>
        <w:t>ACTH</w:t>
      </w:r>
      <w:r w:rsidR="004B4F98" w:rsidRPr="008376DD">
        <w:rPr>
          <w:rFonts w:ascii="Times New Roman" w:hAnsi="Times New Roman"/>
          <w:i/>
          <w:sz w:val="22"/>
          <w:szCs w:val="22"/>
        </w:rPr>
        <w:t>), amfotericín B (parenterálny), karbenoxol</w:t>
      </w:r>
      <w:r w:rsidR="004B4F98" w:rsidRPr="00596E3A">
        <w:rPr>
          <w:rFonts w:ascii="Times New Roman" w:hAnsi="Times New Roman"/>
          <w:i/>
          <w:sz w:val="22"/>
          <w:szCs w:val="22"/>
        </w:rPr>
        <w:t>ón alebo stimulačné laxatíva</w:t>
      </w:r>
    </w:p>
    <w:p w:rsidR="00F54095" w:rsidRPr="00AB681B" w:rsidRDefault="00F54095" w:rsidP="00F54095">
      <w:pPr>
        <w:pStyle w:val="Zkladntext"/>
        <w:rPr>
          <w:rFonts w:ascii="Times New Roman" w:hAnsi="Times New Roman"/>
          <w:sz w:val="22"/>
        </w:rPr>
      </w:pPr>
      <w:r w:rsidRPr="00AB681B">
        <w:rPr>
          <w:rFonts w:ascii="Times New Roman" w:hAnsi="Times New Roman"/>
          <w:sz w:val="22"/>
        </w:rPr>
        <w:t>Pozorovala sa intenzívna deplécia elektrolytov, najmä hypokaliémie.</w:t>
      </w:r>
    </w:p>
    <w:p w:rsidR="00F54095" w:rsidRPr="00007243" w:rsidRDefault="00F54095" w:rsidP="00F54095">
      <w:pPr>
        <w:pStyle w:val="Zkladntext"/>
        <w:rPr>
          <w:rFonts w:ascii="Times New Roman" w:hAnsi="Times New Roman"/>
          <w:sz w:val="22"/>
        </w:rPr>
      </w:pPr>
    </w:p>
    <w:p w:rsidR="00F54095" w:rsidRPr="008376DD" w:rsidRDefault="00F54095" w:rsidP="00F54095">
      <w:pPr>
        <w:pStyle w:val="Zkladntext"/>
        <w:rPr>
          <w:rFonts w:ascii="Times New Roman" w:hAnsi="Times New Roman"/>
          <w:i/>
          <w:sz w:val="22"/>
        </w:rPr>
      </w:pPr>
      <w:r w:rsidRPr="00007243">
        <w:rPr>
          <w:rFonts w:ascii="Times New Roman" w:hAnsi="Times New Roman"/>
          <w:i/>
          <w:sz w:val="22"/>
        </w:rPr>
        <w:t>Nesteroidné protizápalové lieky (NSAID)</w:t>
      </w:r>
      <w:r w:rsidR="004B4F98" w:rsidRPr="00007243">
        <w:rPr>
          <w:rFonts w:ascii="Times New Roman" w:hAnsi="Times New Roman"/>
          <w:i/>
          <w:sz w:val="22"/>
        </w:rPr>
        <w:t xml:space="preserve"> vrátane </w:t>
      </w:r>
      <w:r w:rsidR="004B4F98" w:rsidRPr="00FC136C">
        <w:rPr>
          <w:rFonts w:ascii="Times New Roman" w:hAnsi="Times New Roman"/>
          <w:i/>
          <w:sz w:val="22"/>
          <w:u w:val="single"/>
        </w:rPr>
        <w:t>&gt;</w:t>
      </w:r>
      <w:r w:rsidR="004B4F98" w:rsidRPr="0007201A">
        <w:rPr>
          <w:rFonts w:ascii="Times New Roman" w:hAnsi="Times New Roman"/>
          <w:i/>
          <w:sz w:val="22"/>
        </w:rPr>
        <w:t xml:space="preserve">3 g kyseliny acetylsalicylovej </w:t>
      </w:r>
    </w:p>
    <w:p w:rsidR="00F54095" w:rsidRPr="00007243" w:rsidRDefault="00F54095" w:rsidP="00F54095">
      <w:pPr>
        <w:pStyle w:val="Zkladntext"/>
        <w:rPr>
          <w:rFonts w:ascii="Times New Roman" w:hAnsi="Times New Roman"/>
          <w:sz w:val="22"/>
        </w:rPr>
      </w:pPr>
      <w:r w:rsidRPr="00596E3A">
        <w:rPr>
          <w:rFonts w:ascii="Times New Roman" w:hAnsi="Times New Roman"/>
          <w:sz w:val="22"/>
        </w:rPr>
        <w:t>U niektorých pacientov môže podanie nesteroidných protizápalových liekov znižovať diuretický, natriuretický a antihypertenzný účinok sluč</w:t>
      </w:r>
      <w:r w:rsidRPr="00AB681B">
        <w:rPr>
          <w:rFonts w:ascii="Times New Roman" w:hAnsi="Times New Roman"/>
          <w:sz w:val="22"/>
        </w:rPr>
        <w:t>kových, draslík šetriacich a tiazidových diuretík a môže znižovať antihypertenzný účinok ACE inhibítorov. P</w:t>
      </w:r>
      <w:r w:rsidR="004B4F98" w:rsidRPr="00007243">
        <w:rPr>
          <w:rFonts w:ascii="Times New Roman" w:hAnsi="Times New Roman"/>
          <w:sz w:val="22"/>
        </w:rPr>
        <w:t>reto p</w:t>
      </w:r>
      <w:r w:rsidRPr="00007243">
        <w:rPr>
          <w:rFonts w:ascii="Times New Roman" w:hAnsi="Times New Roman"/>
          <w:sz w:val="22"/>
        </w:rPr>
        <w:t>ri súbežnom podaní chinaprilu/hydrochlorotiazidu a nesteroidných protizápalových liekov majú</w:t>
      </w:r>
      <w:r w:rsidR="004B4F98" w:rsidRPr="00007243">
        <w:rPr>
          <w:rFonts w:ascii="Times New Roman" w:hAnsi="Times New Roman"/>
          <w:sz w:val="22"/>
        </w:rPr>
        <w:t xml:space="preserve"> byť</w:t>
      </w:r>
      <w:r w:rsidRPr="00007243">
        <w:rPr>
          <w:rFonts w:ascii="Times New Roman" w:hAnsi="Times New Roman"/>
          <w:sz w:val="22"/>
        </w:rPr>
        <w:t xml:space="preserve"> pacienti sledova</w:t>
      </w:r>
      <w:r w:rsidR="004B4F98" w:rsidRPr="00007243">
        <w:rPr>
          <w:rFonts w:ascii="Times New Roman" w:hAnsi="Times New Roman"/>
          <w:sz w:val="22"/>
        </w:rPr>
        <w:t>ní</w:t>
      </w:r>
      <w:r w:rsidRPr="00007243">
        <w:rPr>
          <w:rFonts w:ascii="Times New Roman" w:hAnsi="Times New Roman"/>
          <w:sz w:val="22"/>
        </w:rPr>
        <w:t>, aby sa vylúčilo zníženie účinku chinaprilu/hydrochlorotiazidu. Okrem toho bolo opísané, že NSAID a ACE inhibítory majú aditívny účinok na zvýšenie sérových hladín draslíka, zatiaľ čo funkcie obličiek môžu poklesnúť. Tento účinok je v princípe reverzibilný a vyskytuje sa najmä u pacientov s poruchou funkcie obličiek.</w:t>
      </w:r>
      <w:r w:rsidR="004B4F98" w:rsidRPr="00007243">
        <w:rPr>
          <w:rFonts w:ascii="Times New Roman" w:hAnsi="Times New Roman"/>
          <w:sz w:val="22"/>
        </w:rPr>
        <w:t xml:space="preserve"> </w:t>
      </w:r>
      <w:r w:rsidR="004B4F98" w:rsidRPr="00007243">
        <w:rPr>
          <w:rFonts w:ascii="Times New Roman" w:hAnsi="Times New Roman"/>
          <w:sz w:val="22"/>
          <w:szCs w:val="22"/>
        </w:rPr>
        <w:t>Zriedkavo sa môže vyskytnúť akútne zlyhanie obličiek, najmä u pacientov s oslabenou funkciou obličiek, ako sú starší alebo dehydrovaní pacienti.</w:t>
      </w:r>
    </w:p>
    <w:p w:rsidR="00F54095" w:rsidRPr="00007243" w:rsidRDefault="00F54095" w:rsidP="00F54095">
      <w:pPr>
        <w:pStyle w:val="Zkladntext"/>
        <w:rPr>
          <w:rFonts w:ascii="Times New Roman" w:hAnsi="Times New Roman"/>
          <w:sz w:val="22"/>
        </w:rPr>
      </w:pPr>
    </w:p>
    <w:p w:rsidR="00F54095" w:rsidRPr="00007243" w:rsidRDefault="00F54095" w:rsidP="00F54095">
      <w:pPr>
        <w:pStyle w:val="Zkladntext"/>
        <w:rPr>
          <w:rFonts w:ascii="Times New Roman" w:hAnsi="Times New Roman"/>
          <w:sz w:val="22"/>
        </w:rPr>
      </w:pPr>
      <w:r w:rsidRPr="00007243">
        <w:rPr>
          <w:rFonts w:ascii="Times New Roman" w:hAnsi="Times New Roman"/>
          <w:i/>
          <w:sz w:val="22"/>
        </w:rPr>
        <w:t>Alopurinol, cytostatiká a imunosupresív</w:t>
      </w:r>
      <w:r w:rsidR="004B4F98" w:rsidRPr="00007243">
        <w:rPr>
          <w:rFonts w:ascii="Times New Roman" w:hAnsi="Times New Roman"/>
          <w:i/>
          <w:sz w:val="22"/>
        </w:rPr>
        <w:t>a</w:t>
      </w:r>
      <w:r w:rsidRPr="00007243">
        <w:rPr>
          <w:rFonts w:ascii="Times New Roman" w:hAnsi="Times New Roman"/>
          <w:i/>
          <w:sz w:val="22"/>
        </w:rPr>
        <w:t>, systémové kortikosteroidy alebo prokaínamid</w:t>
      </w:r>
    </w:p>
    <w:p w:rsidR="00F54095" w:rsidRPr="00007243" w:rsidRDefault="00F54095" w:rsidP="00F54095">
      <w:pPr>
        <w:pStyle w:val="Zkladntext"/>
        <w:rPr>
          <w:rFonts w:ascii="Times New Roman" w:hAnsi="Times New Roman"/>
          <w:sz w:val="22"/>
        </w:rPr>
      </w:pPr>
      <w:r w:rsidRPr="00007243">
        <w:rPr>
          <w:rFonts w:ascii="Times New Roman" w:hAnsi="Times New Roman"/>
          <w:sz w:val="22"/>
        </w:rPr>
        <w:t>Súbežné podávanie s ACE inhibítormi môže viesť k zvýšeniu rizika leukopénie.</w:t>
      </w:r>
    </w:p>
    <w:p w:rsidR="00F54095" w:rsidRPr="00007243" w:rsidRDefault="00F54095" w:rsidP="00F54095">
      <w:pPr>
        <w:pStyle w:val="Zkladntext"/>
        <w:rPr>
          <w:rFonts w:ascii="Times New Roman" w:hAnsi="Times New Roman"/>
          <w:sz w:val="22"/>
        </w:rPr>
      </w:pPr>
    </w:p>
    <w:p w:rsidR="004B4F98" w:rsidRPr="00007243" w:rsidRDefault="004B4F98" w:rsidP="004B4F98">
      <w:pPr>
        <w:pStyle w:val="Zkladntext"/>
        <w:rPr>
          <w:rFonts w:ascii="Times New Roman" w:hAnsi="Times New Roman"/>
          <w:i/>
          <w:sz w:val="22"/>
        </w:rPr>
      </w:pPr>
      <w:r w:rsidRPr="00007243">
        <w:rPr>
          <w:rFonts w:ascii="Times New Roman" w:hAnsi="Times New Roman"/>
          <w:i/>
          <w:sz w:val="22"/>
        </w:rPr>
        <w:t>Alkohol, barbituráty alebo narkotiká</w:t>
      </w:r>
    </w:p>
    <w:p w:rsidR="004B4F98" w:rsidRPr="00007243" w:rsidRDefault="004B4F98" w:rsidP="004B4F98">
      <w:pPr>
        <w:pStyle w:val="Zkladntext"/>
        <w:rPr>
          <w:rFonts w:ascii="Times New Roman" w:hAnsi="Times New Roman"/>
          <w:sz w:val="22"/>
        </w:rPr>
      </w:pPr>
      <w:r w:rsidRPr="00007243">
        <w:rPr>
          <w:rFonts w:ascii="Times New Roman" w:hAnsi="Times New Roman"/>
          <w:sz w:val="22"/>
        </w:rPr>
        <w:t>Môže dôjsť k zosilneniu ortostatickej hypotenzie.</w:t>
      </w:r>
    </w:p>
    <w:p w:rsidR="004B4F98" w:rsidRPr="00007243" w:rsidRDefault="004B4F98" w:rsidP="004B4F98">
      <w:pPr>
        <w:pStyle w:val="Zkladntext"/>
        <w:rPr>
          <w:rFonts w:ascii="Times New Roman" w:hAnsi="Times New Roman"/>
          <w:i/>
          <w:sz w:val="22"/>
        </w:rPr>
      </w:pPr>
    </w:p>
    <w:p w:rsidR="004B4F98" w:rsidRPr="00007243" w:rsidRDefault="004B4F98" w:rsidP="004B4F98">
      <w:pPr>
        <w:pStyle w:val="Zkladntext"/>
        <w:rPr>
          <w:rFonts w:ascii="Times New Roman" w:hAnsi="Times New Roman"/>
          <w:sz w:val="22"/>
        </w:rPr>
      </w:pPr>
      <w:r w:rsidRPr="00007243">
        <w:rPr>
          <w:rFonts w:ascii="Times New Roman" w:hAnsi="Times New Roman"/>
          <w:i/>
          <w:sz w:val="22"/>
        </w:rPr>
        <w:t>Lieky, ktoré sú spojené s torsades de pointes</w:t>
      </w:r>
    </w:p>
    <w:p w:rsidR="004B4F98" w:rsidRPr="00007243" w:rsidRDefault="004B4F98" w:rsidP="004B4F98">
      <w:pPr>
        <w:pStyle w:val="Zkladntext"/>
        <w:rPr>
          <w:rFonts w:ascii="Times New Roman" w:hAnsi="Times New Roman"/>
          <w:sz w:val="22"/>
        </w:rPr>
      </w:pPr>
      <w:r w:rsidRPr="00007243">
        <w:rPr>
          <w:rFonts w:ascii="Times New Roman" w:hAnsi="Times New Roman"/>
          <w:sz w:val="22"/>
        </w:rPr>
        <w:t xml:space="preserve">Vzhľadom na možné riziko hypokaliémie je potrebná opatrnosť pri súbežnom podávaní hydrochlorotiazidu s liekmi, ako sú digitalisové glykozidy alebo látky spojené s výskytom </w:t>
      </w:r>
      <w:r w:rsidRPr="00007243">
        <w:rPr>
          <w:rFonts w:ascii="Times New Roman" w:hAnsi="Times New Roman"/>
          <w:i/>
          <w:sz w:val="22"/>
        </w:rPr>
        <w:t>torsades de pointes</w:t>
      </w:r>
      <w:r w:rsidRPr="00007243">
        <w:rPr>
          <w:rFonts w:ascii="Times New Roman" w:hAnsi="Times New Roman"/>
          <w:sz w:val="22"/>
        </w:rPr>
        <w:t>, napr. niekto</w:t>
      </w:r>
      <w:r w:rsidR="00F50CE0" w:rsidRPr="00007243">
        <w:rPr>
          <w:rFonts w:ascii="Times New Roman" w:hAnsi="Times New Roman"/>
          <w:sz w:val="22"/>
        </w:rPr>
        <w:t>ré antiarytmiká, antipsychotiká.</w:t>
      </w:r>
    </w:p>
    <w:p w:rsidR="00F54095" w:rsidRPr="00007243" w:rsidRDefault="00F54095" w:rsidP="00F54095">
      <w:pPr>
        <w:pStyle w:val="Zkladntext"/>
        <w:rPr>
          <w:rFonts w:ascii="Times New Roman" w:hAnsi="Times New Roman"/>
          <w:i/>
          <w:sz w:val="22"/>
        </w:rPr>
      </w:pPr>
    </w:p>
    <w:p w:rsidR="00F50CE0" w:rsidRPr="00007243" w:rsidRDefault="00F50CE0" w:rsidP="00F50CE0">
      <w:pPr>
        <w:pStyle w:val="Zkladntext"/>
        <w:rPr>
          <w:rFonts w:ascii="Times New Roman" w:hAnsi="Times New Roman"/>
          <w:i/>
          <w:sz w:val="22"/>
        </w:rPr>
      </w:pPr>
      <w:r w:rsidRPr="00007243">
        <w:rPr>
          <w:rFonts w:ascii="Times New Roman" w:hAnsi="Times New Roman"/>
          <w:i/>
          <w:sz w:val="22"/>
        </w:rPr>
        <w:t>Antacidá</w:t>
      </w:r>
    </w:p>
    <w:p w:rsidR="00F50CE0" w:rsidRPr="00007243" w:rsidRDefault="00F50CE0" w:rsidP="00F50CE0">
      <w:pPr>
        <w:pStyle w:val="Zkladntext"/>
        <w:rPr>
          <w:rFonts w:ascii="Times New Roman" w:hAnsi="Times New Roman"/>
          <w:sz w:val="22"/>
        </w:rPr>
      </w:pPr>
      <w:r w:rsidRPr="00007243">
        <w:rPr>
          <w:rFonts w:ascii="Times New Roman" w:hAnsi="Times New Roman"/>
          <w:sz w:val="22"/>
        </w:rPr>
        <w:t>Antacidá môžu znižovať biologickú dostupnosť chinaprilu/hydrochlorotiazidu.</w:t>
      </w:r>
    </w:p>
    <w:p w:rsidR="00F50CE0" w:rsidRPr="00007243" w:rsidRDefault="00F50CE0" w:rsidP="00F54095">
      <w:pPr>
        <w:pStyle w:val="Zkladntext"/>
        <w:rPr>
          <w:rFonts w:ascii="Times New Roman" w:hAnsi="Times New Roman"/>
          <w:i/>
          <w:sz w:val="22"/>
        </w:rPr>
      </w:pPr>
    </w:p>
    <w:p w:rsidR="00F54095" w:rsidRPr="00007243" w:rsidRDefault="00F54095" w:rsidP="00F54095">
      <w:pPr>
        <w:pStyle w:val="Zkladntext"/>
        <w:rPr>
          <w:rFonts w:ascii="Times New Roman" w:hAnsi="Times New Roman"/>
          <w:i/>
          <w:sz w:val="22"/>
        </w:rPr>
      </w:pPr>
      <w:r w:rsidRPr="00007243">
        <w:rPr>
          <w:rFonts w:ascii="Times New Roman" w:hAnsi="Times New Roman"/>
          <w:i/>
          <w:sz w:val="22"/>
        </w:rPr>
        <w:t>Antidiabetiká</w:t>
      </w:r>
      <w:r w:rsidR="00F50CE0" w:rsidRPr="00007243">
        <w:rPr>
          <w:rFonts w:ascii="Times New Roman" w:hAnsi="Times New Roman"/>
          <w:i/>
          <w:sz w:val="22"/>
        </w:rPr>
        <w:t xml:space="preserve"> (perorálne hypoglykemiká a inzulín) </w:t>
      </w:r>
    </w:p>
    <w:p w:rsidR="00F54095" w:rsidRPr="00007243" w:rsidRDefault="00F54095" w:rsidP="00F54095">
      <w:pPr>
        <w:pStyle w:val="Zkladntext"/>
        <w:rPr>
          <w:rFonts w:ascii="Times New Roman" w:hAnsi="Times New Roman"/>
          <w:sz w:val="22"/>
        </w:rPr>
      </w:pPr>
      <w:r w:rsidRPr="00007243">
        <w:rPr>
          <w:rFonts w:ascii="Times New Roman" w:hAnsi="Times New Roman"/>
          <w:sz w:val="22"/>
        </w:rPr>
        <w:t xml:space="preserve">U pacientov s diabetom môžu ACE inhibítory zvýšiť citlivosť k inzulínu a môžu byť spojené s hypoglykémiou u pacientov liečených perorálnymi antidiabetikami alebo inzulínom. </w:t>
      </w:r>
      <w:r w:rsidR="00F50CE0" w:rsidRPr="00007243">
        <w:rPr>
          <w:rFonts w:ascii="Times New Roman" w:hAnsi="Times New Roman"/>
          <w:sz w:val="22"/>
        </w:rPr>
        <w:t>Kompenzácia diabetu</w:t>
      </w:r>
      <w:r w:rsidRPr="00007243">
        <w:rPr>
          <w:rFonts w:ascii="Times New Roman" w:hAnsi="Times New Roman"/>
          <w:sz w:val="22"/>
        </w:rPr>
        <w:t xml:space="preserve"> sa má </w:t>
      </w:r>
      <w:r w:rsidR="00F50CE0" w:rsidRPr="00007243">
        <w:rPr>
          <w:rFonts w:ascii="Times New Roman" w:hAnsi="Times New Roman"/>
          <w:sz w:val="22"/>
        </w:rPr>
        <w:t xml:space="preserve">pozorne </w:t>
      </w:r>
      <w:r w:rsidRPr="00007243">
        <w:rPr>
          <w:rFonts w:ascii="Times New Roman" w:hAnsi="Times New Roman"/>
          <w:sz w:val="22"/>
        </w:rPr>
        <w:t>sledovať</w:t>
      </w:r>
      <w:r w:rsidR="00F50CE0" w:rsidRPr="00007243">
        <w:rPr>
          <w:rFonts w:ascii="Times New Roman" w:hAnsi="Times New Roman"/>
          <w:sz w:val="22"/>
        </w:rPr>
        <w:t xml:space="preserve"> najmä počas prvého mesiaca liečby ACE inhibítorom a u pacientov s </w:t>
      </w:r>
      <w:r w:rsidR="00D2125E" w:rsidRPr="00007243">
        <w:rPr>
          <w:rFonts w:ascii="Times New Roman" w:hAnsi="Times New Roman"/>
          <w:sz w:val="22"/>
        </w:rPr>
        <w:t>po</w:t>
      </w:r>
      <w:r w:rsidR="00D2125E">
        <w:rPr>
          <w:rFonts w:ascii="Times New Roman" w:hAnsi="Times New Roman"/>
          <w:sz w:val="22"/>
        </w:rPr>
        <w:t>ruchou</w:t>
      </w:r>
      <w:r w:rsidR="00D2125E" w:rsidRPr="00007243">
        <w:rPr>
          <w:rFonts w:ascii="Times New Roman" w:hAnsi="Times New Roman"/>
          <w:sz w:val="22"/>
        </w:rPr>
        <w:t xml:space="preserve"> </w:t>
      </w:r>
      <w:r w:rsidR="00F50CE0" w:rsidRPr="00007243">
        <w:rPr>
          <w:rFonts w:ascii="Times New Roman" w:hAnsi="Times New Roman"/>
          <w:sz w:val="22"/>
        </w:rPr>
        <w:t>funkcie obličiek</w:t>
      </w:r>
      <w:r w:rsidRPr="00007243">
        <w:rPr>
          <w:rFonts w:ascii="Times New Roman" w:hAnsi="Times New Roman"/>
          <w:sz w:val="22"/>
        </w:rPr>
        <w:t xml:space="preserve"> (pozri časť 4.4).</w:t>
      </w:r>
      <w:r w:rsidRPr="00007243" w:rsidDel="004469E2">
        <w:rPr>
          <w:rFonts w:ascii="Times New Roman" w:hAnsi="Times New Roman"/>
          <w:sz w:val="22"/>
        </w:rPr>
        <w:t xml:space="preserve"> </w:t>
      </w:r>
    </w:p>
    <w:p w:rsidR="00F54095" w:rsidRPr="00007243" w:rsidRDefault="00F54095" w:rsidP="00F54095">
      <w:pPr>
        <w:pStyle w:val="Zkladntext"/>
        <w:rPr>
          <w:rFonts w:ascii="Times New Roman" w:hAnsi="Times New Roman"/>
          <w:sz w:val="22"/>
        </w:rPr>
      </w:pPr>
    </w:p>
    <w:p w:rsidR="00F54095" w:rsidRPr="00007243" w:rsidRDefault="00F50CE0" w:rsidP="00F54095">
      <w:pPr>
        <w:pStyle w:val="Zkladntext"/>
        <w:rPr>
          <w:rFonts w:ascii="Times New Roman" w:hAnsi="Times New Roman"/>
          <w:i/>
          <w:sz w:val="22"/>
        </w:rPr>
      </w:pPr>
      <w:r w:rsidRPr="00007243">
        <w:rPr>
          <w:rFonts w:ascii="Times New Roman" w:hAnsi="Times New Roman"/>
          <w:i/>
          <w:sz w:val="22"/>
        </w:rPr>
        <w:t>Amíny dvíhajúce krvný tlak (napr. norepinefrín)</w:t>
      </w:r>
    </w:p>
    <w:p w:rsidR="00F50CE0" w:rsidRPr="00007243" w:rsidRDefault="00C81366" w:rsidP="00F54095">
      <w:pPr>
        <w:pStyle w:val="Zkladntext"/>
        <w:rPr>
          <w:rFonts w:ascii="Times New Roman" w:hAnsi="Times New Roman"/>
          <w:sz w:val="22"/>
        </w:rPr>
      </w:pPr>
      <w:r w:rsidRPr="00007243">
        <w:rPr>
          <w:rFonts w:ascii="Times New Roman" w:hAnsi="Times New Roman"/>
          <w:sz w:val="22"/>
        </w:rPr>
        <w:t>Možná znížená odpoveď na amíny dvíhajúce  krvný tlak, avšak nie dostatočná vylúčenie použitia.</w:t>
      </w:r>
    </w:p>
    <w:p w:rsidR="00C81366" w:rsidRPr="00007243" w:rsidRDefault="00C81366" w:rsidP="00C81366">
      <w:pPr>
        <w:pStyle w:val="Zkladntext"/>
        <w:rPr>
          <w:rFonts w:ascii="Times New Roman" w:hAnsi="Times New Roman"/>
          <w:i/>
          <w:sz w:val="22"/>
        </w:rPr>
      </w:pPr>
    </w:p>
    <w:p w:rsidR="00C81366" w:rsidRPr="00007243" w:rsidRDefault="00C81366" w:rsidP="00C81366">
      <w:pPr>
        <w:pStyle w:val="Zkladntext"/>
        <w:rPr>
          <w:rFonts w:ascii="Times New Roman" w:hAnsi="Times New Roman"/>
          <w:i/>
          <w:sz w:val="22"/>
        </w:rPr>
      </w:pPr>
      <w:r w:rsidRPr="00007243">
        <w:rPr>
          <w:rFonts w:ascii="Times New Roman" w:hAnsi="Times New Roman"/>
          <w:i/>
          <w:sz w:val="22"/>
        </w:rPr>
        <w:t>Meniče iónov</w:t>
      </w:r>
    </w:p>
    <w:p w:rsidR="00C81366" w:rsidRDefault="00C81366" w:rsidP="00FC136C">
      <w:pPr>
        <w:pStyle w:val="Zkladntext"/>
        <w:tabs>
          <w:tab w:val="clear" w:pos="8505"/>
        </w:tabs>
        <w:ind w:right="142"/>
        <w:rPr>
          <w:rFonts w:ascii="Times New Roman" w:hAnsi="Times New Roman"/>
          <w:sz w:val="22"/>
        </w:rPr>
      </w:pPr>
      <w:r w:rsidRPr="00007243">
        <w:rPr>
          <w:rFonts w:ascii="Times New Roman" w:hAnsi="Times New Roman"/>
          <w:sz w:val="22"/>
        </w:rPr>
        <w:t>V prítomnosti meničov iónov</w:t>
      </w:r>
      <w:r w:rsidR="00701284" w:rsidRPr="00007243">
        <w:rPr>
          <w:rFonts w:ascii="Times New Roman" w:hAnsi="Times New Roman"/>
          <w:sz w:val="22"/>
        </w:rPr>
        <w:t>, ako sú c</w:t>
      </w:r>
      <w:r w:rsidR="00701284" w:rsidRPr="00FC136C">
        <w:rPr>
          <w:rFonts w:ascii="Times New Roman" w:hAnsi="Times New Roman"/>
          <w:iCs/>
          <w:sz w:val="22"/>
          <w:szCs w:val="22"/>
        </w:rPr>
        <w:t>holestyramínová živica a</w:t>
      </w:r>
      <w:r w:rsidR="00701284" w:rsidRPr="0007201A">
        <w:rPr>
          <w:rFonts w:ascii="Times New Roman" w:hAnsi="Times New Roman"/>
          <w:iCs/>
          <w:sz w:val="22"/>
          <w:szCs w:val="22"/>
        </w:rPr>
        <w:t> </w:t>
      </w:r>
      <w:r w:rsidR="00701284" w:rsidRPr="00FC136C">
        <w:rPr>
          <w:rFonts w:ascii="Times New Roman" w:hAnsi="Times New Roman"/>
          <w:iCs/>
          <w:sz w:val="22"/>
          <w:szCs w:val="22"/>
        </w:rPr>
        <w:t>kolestipol</w:t>
      </w:r>
      <w:r w:rsidR="00701284" w:rsidRPr="0007201A">
        <w:rPr>
          <w:rFonts w:ascii="Times New Roman" w:hAnsi="Times New Roman"/>
          <w:iCs/>
          <w:sz w:val="22"/>
          <w:szCs w:val="22"/>
        </w:rPr>
        <w:t xml:space="preserve">, </w:t>
      </w:r>
      <w:r w:rsidRPr="008376DD">
        <w:rPr>
          <w:rFonts w:ascii="Times New Roman" w:hAnsi="Times New Roman"/>
          <w:sz w:val="22"/>
        </w:rPr>
        <w:t xml:space="preserve"> môže byť narušená absorpcia hydrochlorotiazidu</w:t>
      </w:r>
      <w:r w:rsidR="00701284" w:rsidRPr="00596E3A">
        <w:rPr>
          <w:rFonts w:ascii="Times New Roman" w:hAnsi="Times New Roman"/>
          <w:sz w:val="22"/>
        </w:rPr>
        <w:t>. Jednorazové dávky meničov iónov viažu hydrochlorotiazid a znižujú jeho</w:t>
      </w:r>
      <w:r w:rsidR="00701284" w:rsidRPr="00AB681B">
        <w:rPr>
          <w:rFonts w:ascii="Times New Roman" w:hAnsi="Times New Roman"/>
          <w:sz w:val="22"/>
        </w:rPr>
        <w:t xml:space="preserve"> absorpciu z gastrointestinálneho traktu  o 85% a o 43% v uvedenom poradí.</w:t>
      </w:r>
      <w:r w:rsidRPr="00AB681B">
        <w:rPr>
          <w:rFonts w:ascii="Times New Roman" w:hAnsi="Times New Roman"/>
          <w:sz w:val="22"/>
        </w:rPr>
        <w:t xml:space="preserve"> Liečivá sa majú podávať </w:t>
      </w:r>
      <w:r w:rsidR="00701284" w:rsidRPr="00007243">
        <w:rPr>
          <w:rFonts w:ascii="Times New Roman" w:hAnsi="Times New Roman"/>
          <w:sz w:val="22"/>
        </w:rPr>
        <w:t>s</w:t>
      </w:r>
      <w:r w:rsidRPr="00007243">
        <w:rPr>
          <w:rFonts w:ascii="Times New Roman" w:hAnsi="Times New Roman"/>
          <w:sz w:val="22"/>
        </w:rPr>
        <w:t> odstup</w:t>
      </w:r>
      <w:r w:rsidR="00701284" w:rsidRPr="00007243">
        <w:rPr>
          <w:rFonts w:ascii="Times New Roman" w:hAnsi="Times New Roman"/>
          <w:sz w:val="22"/>
        </w:rPr>
        <w:t>om</w:t>
      </w:r>
      <w:r w:rsidRPr="00007243">
        <w:rPr>
          <w:rFonts w:ascii="Times New Roman" w:hAnsi="Times New Roman"/>
          <w:sz w:val="22"/>
        </w:rPr>
        <w:t xml:space="preserve"> niekoľkých hodín.</w:t>
      </w:r>
    </w:p>
    <w:p w:rsidR="009F4F68" w:rsidRPr="00007243" w:rsidRDefault="009F4F68" w:rsidP="00FC136C">
      <w:pPr>
        <w:pStyle w:val="Zkladntext"/>
        <w:tabs>
          <w:tab w:val="clear" w:pos="8505"/>
        </w:tabs>
        <w:ind w:right="142"/>
        <w:rPr>
          <w:rFonts w:ascii="Times New Roman" w:hAnsi="Times New Roman"/>
          <w:sz w:val="22"/>
        </w:rPr>
      </w:pPr>
    </w:p>
    <w:p w:rsidR="00524633" w:rsidRPr="007D106D" w:rsidRDefault="00524633" w:rsidP="00524633">
      <w:pPr>
        <w:autoSpaceDE w:val="0"/>
        <w:autoSpaceDN w:val="0"/>
        <w:adjustRightInd w:val="0"/>
        <w:rPr>
          <w:rFonts w:eastAsia="TimesNewRoman"/>
          <w:i/>
          <w:color w:val="000000"/>
          <w:sz w:val="22"/>
          <w:szCs w:val="22"/>
        </w:rPr>
      </w:pPr>
      <w:r w:rsidRPr="007D106D">
        <w:rPr>
          <w:rFonts w:eastAsia="TimesNewRoman"/>
          <w:i/>
          <w:color w:val="000000"/>
          <w:sz w:val="22"/>
          <w:szCs w:val="22"/>
        </w:rPr>
        <w:t>Lieky zvyšujúce riziko angioedému:</w:t>
      </w:r>
    </w:p>
    <w:p w:rsidR="00524633" w:rsidRPr="007D106D" w:rsidRDefault="00524633" w:rsidP="00524633">
      <w:pPr>
        <w:autoSpaceDE w:val="0"/>
        <w:autoSpaceDN w:val="0"/>
        <w:adjustRightInd w:val="0"/>
        <w:rPr>
          <w:rFonts w:eastAsia="TimesNewRoman"/>
          <w:color w:val="000000"/>
          <w:sz w:val="22"/>
          <w:szCs w:val="22"/>
        </w:rPr>
      </w:pPr>
      <w:r w:rsidRPr="007D106D">
        <w:rPr>
          <w:rFonts w:eastAsia="TimesNewRoman"/>
          <w:color w:val="000000"/>
          <w:sz w:val="22"/>
          <w:szCs w:val="22"/>
        </w:rPr>
        <w:t>Súbežné užívanie inhibítorov ACE s racekadotrilom, mTOR inhibítormi (napr. sirolimom, everolimom, temsirolimom) a vildagliptínom môže viesť k zvýšenému riziku angioedému (pozri časť 4.4).</w:t>
      </w:r>
    </w:p>
    <w:p w:rsidR="00F54095" w:rsidRPr="00007243" w:rsidRDefault="00F54095" w:rsidP="00F54095">
      <w:pPr>
        <w:pStyle w:val="Zkladntext"/>
        <w:rPr>
          <w:rFonts w:ascii="Times New Roman" w:hAnsi="Times New Roman"/>
          <w:bCs w:val="0"/>
          <w:i/>
          <w:sz w:val="22"/>
          <w:u w:val="single"/>
        </w:rPr>
      </w:pPr>
    </w:p>
    <w:p w:rsidR="00F54095" w:rsidRPr="00007243" w:rsidRDefault="00565C40" w:rsidP="00F54095">
      <w:pPr>
        <w:pStyle w:val="Zkladntext"/>
        <w:rPr>
          <w:rFonts w:ascii="Times New Roman" w:hAnsi="Times New Roman"/>
          <w:i/>
          <w:sz w:val="22"/>
        </w:rPr>
      </w:pPr>
      <w:r w:rsidRPr="00007243">
        <w:rPr>
          <w:rFonts w:ascii="Times New Roman" w:hAnsi="Times New Roman"/>
          <w:i/>
          <w:sz w:val="22"/>
        </w:rPr>
        <w:t xml:space="preserve">Iné </w:t>
      </w:r>
      <w:r w:rsidR="00D2125E">
        <w:rPr>
          <w:rFonts w:ascii="Times New Roman" w:hAnsi="Times New Roman"/>
          <w:i/>
          <w:sz w:val="22"/>
        </w:rPr>
        <w:t>liečivá</w:t>
      </w:r>
    </w:p>
    <w:p w:rsidR="0022778A" w:rsidRDefault="00565C40" w:rsidP="00F54095">
      <w:pPr>
        <w:pStyle w:val="Zkladntext"/>
        <w:rPr>
          <w:rFonts w:ascii="Times New Roman" w:hAnsi="Times New Roman"/>
          <w:sz w:val="22"/>
        </w:rPr>
      </w:pPr>
      <w:r w:rsidRPr="00007243">
        <w:rPr>
          <w:rFonts w:ascii="Times New Roman" w:hAnsi="Times New Roman"/>
          <w:sz w:val="22"/>
        </w:rPr>
        <w:t>Neobjavili sa žiadne klinicky významné farmakokinetické interakcie, keď sa chinapril používal súbežne s propranololom, hydrochlorotiazidom</w:t>
      </w:r>
      <w:r w:rsidR="00C06622">
        <w:rPr>
          <w:rFonts w:ascii="Times New Roman" w:hAnsi="Times New Roman"/>
          <w:sz w:val="22"/>
        </w:rPr>
        <w:t>, digoxínom alebo cimetidínom</w:t>
      </w:r>
      <w:r w:rsidR="0022778A">
        <w:rPr>
          <w:rFonts w:ascii="Times New Roman" w:hAnsi="Times New Roman"/>
          <w:sz w:val="22"/>
        </w:rPr>
        <w:t>.</w:t>
      </w:r>
    </w:p>
    <w:p w:rsidR="00C06622" w:rsidRDefault="00C06622" w:rsidP="00F54095">
      <w:pPr>
        <w:pStyle w:val="Zkladntext"/>
        <w:rPr>
          <w:rFonts w:ascii="Times New Roman" w:hAnsi="Times New Roman"/>
          <w:sz w:val="22"/>
        </w:rPr>
      </w:pPr>
    </w:p>
    <w:p w:rsidR="00C06622" w:rsidRDefault="00C06622" w:rsidP="00F54095">
      <w:pPr>
        <w:pStyle w:val="Zkladntext"/>
        <w:rPr>
          <w:rFonts w:ascii="Times New Roman" w:hAnsi="Times New Roman"/>
          <w:sz w:val="22"/>
        </w:rPr>
      </w:pPr>
      <w:r>
        <w:rPr>
          <w:rFonts w:ascii="Times New Roman" w:hAnsi="Times New Roman"/>
          <w:sz w:val="22"/>
        </w:rPr>
        <w:t>Antikoagulačný účinok jednotlivej dávky warfarínu (meraný protrombínovým časom) chinapril výrazne nezmenil pri súbežnom podávaní dvakrát denne.</w:t>
      </w:r>
    </w:p>
    <w:p w:rsidR="0022778A" w:rsidRDefault="0022778A" w:rsidP="00F54095">
      <w:pPr>
        <w:pStyle w:val="Zkladntext"/>
        <w:rPr>
          <w:rFonts w:ascii="Times New Roman" w:hAnsi="Times New Roman"/>
          <w:sz w:val="22"/>
        </w:rPr>
      </w:pPr>
    </w:p>
    <w:p w:rsidR="00E453AA" w:rsidRPr="00007243" w:rsidRDefault="00E453AA">
      <w:pPr>
        <w:tabs>
          <w:tab w:val="left" w:pos="8505"/>
        </w:tabs>
        <w:ind w:left="567" w:right="566" w:hanging="567"/>
        <w:rPr>
          <w:b/>
          <w:sz w:val="22"/>
          <w:szCs w:val="22"/>
        </w:rPr>
      </w:pPr>
      <w:r w:rsidRPr="00007243">
        <w:rPr>
          <w:b/>
          <w:sz w:val="22"/>
          <w:szCs w:val="22"/>
        </w:rPr>
        <w:t>4.6</w:t>
      </w:r>
      <w:r w:rsidRPr="00007243">
        <w:rPr>
          <w:b/>
          <w:sz w:val="22"/>
          <w:szCs w:val="22"/>
        </w:rPr>
        <w:tab/>
      </w:r>
      <w:r w:rsidR="0041205F" w:rsidRPr="00007243">
        <w:rPr>
          <w:b/>
          <w:sz w:val="22"/>
          <w:szCs w:val="22"/>
        </w:rPr>
        <w:t>Fertilita, g</w:t>
      </w:r>
      <w:r w:rsidRPr="00007243">
        <w:rPr>
          <w:b/>
          <w:sz w:val="22"/>
          <w:szCs w:val="22"/>
        </w:rPr>
        <w:t>ravidita a laktácia</w:t>
      </w:r>
    </w:p>
    <w:p w:rsidR="00E453AA" w:rsidRPr="00007243" w:rsidRDefault="00E453AA">
      <w:pPr>
        <w:pStyle w:val="Nadpis1"/>
        <w:rPr>
          <w:rFonts w:ascii="Times New Roman" w:hAnsi="Times New Roman"/>
          <w:sz w:val="22"/>
          <w:szCs w:val="22"/>
        </w:rPr>
      </w:pPr>
    </w:p>
    <w:p w:rsidR="00E453AA" w:rsidRPr="00007243" w:rsidRDefault="00E453AA">
      <w:pPr>
        <w:pStyle w:val="Nadpis1"/>
        <w:rPr>
          <w:rFonts w:ascii="Times New Roman" w:hAnsi="Times New Roman"/>
          <w:i/>
          <w:iCs/>
          <w:sz w:val="22"/>
          <w:szCs w:val="22"/>
          <w:u w:val="none"/>
        </w:rPr>
      </w:pPr>
      <w:r w:rsidRPr="00007243">
        <w:rPr>
          <w:rFonts w:ascii="Times New Roman" w:hAnsi="Times New Roman"/>
          <w:i/>
          <w:iCs/>
          <w:sz w:val="22"/>
          <w:szCs w:val="22"/>
          <w:u w:val="none"/>
        </w:rPr>
        <w:t>Gravidita</w:t>
      </w:r>
    </w:p>
    <w:p w:rsidR="00227F95" w:rsidRPr="00007243" w:rsidRDefault="00227F95" w:rsidP="00227F95"/>
    <w:p w:rsidR="00227F95" w:rsidRPr="00D95987" w:rsidRDefault="00227F95" w:rsidP="00227F95">
      <w:pPr>
        <w:rPr>
          <w:i/>
          <w:sz w:val="22"/>
          <w:szCs w:val="22"/>
        </w:rPr>
      </w:pPr>
      <w:r w:rsidRPr="00D95987">
        <w:rPr>
          <w:i/>
          <w:sz w:val="22"/>
          <w:szCs w:val="22"/>
        </w:rPr>
        <w:t>ACE inhibítory:</w:t>
      </w:r>
    </w:p>
    <w:p w:rsidR="00227F95" w:rsidRPr="00007243" w:rsidRDefault="00227F95" w:rsidP="00227F95"/>
    <w:p w:rsidR="00E453AA" w:rsidRPr="00007243" w:rsidRDefault="00E453AA">
      <w:pPr>
        <w:pStyle w:val="Zkladntext2"/>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007243">
        <w:rPr>
          <w:rFonts w:ascii="Times New Roman" w:hAnsi="Times New Roman" w:cs="Times New Roman"/>
          <w:sz w:val="22"/>
          <w:szCs w:val="22"/>
        </w:rPr>
        <w:t xml:space="preserve">Používanie ACE inhibítorov sa neodporúča počas prvého trimestra gravidity (pozri časť 4.4). Použitie ACE inhibítorov je kontraindikované počas druhého a tretieho trimestra gravidity (pozri časti 4.3 a 4.4). </w:t>
      </w:r>
    </w:p>
    <w:p w:rsidR="00E453AA" w:rsidRPr="00007243" w:rsidRDefault="00E453AA">
      <w:pPr>
        <w:rPr>
          <w:sz w:val="22"/>
          <w:szCs w:val="22"/>
        </w:rPr>
      </w:pPr>
    </w:p>
    <w:p w:rsidR="00E453AA" w:rsidRPr="00007243" w:rsidRDefault="00E453AA">
      <w:pPr>
        <w:rPr>
          <w:sz w:val="22"/>
          <w:szCs w:val="22"/>
        </w:rPr>
      </w:pPr>
      <w:r w:rsidRPr="00007243">
        <w:rPr>
          <w:sz w:val="22"/>
          <w:szCs w:val="22"/>
        </w:rPr>
        <w:t xml:space="preserve">Epidemiologické dôkazy týkajúce sa rizika teratogenity po vystavení účinku ACE inhibítorov počas prvého trimestra gravidity nie sú presvedčivé. Malé zvýšenie rizika však nemožno vylúčiť. </w:t>
      </w:r>
    </w:p>
    <w:p w:rsidR="00E453AA" w:rsidRPr="00007243" w:rsidRDefault="00E453AA">
      <w:pPr>
        <w:rPr>
          <w:sz w:val="22"/>
          <w:szCs w:val="22"/>
        </w:rPr>
      </w:pPr>
      <w:r w:rsidRPr="00007243">
        <w:rPr>
          <w:sz w:val="22"/>
          <w:szCs w:val="22"/>
        </w:rPr>
        <w:t>Pokiaľ nie je pokračovanie liečby ACE inhibítormi považované za nevyhnutné, pacientky, ktoré plánujú graviditu, sa majú prestaviť na alternatívnu antihypertenznú liečbu, ktorá má preukázaný bezpečnostný profil pri používaní v gravidite. Ak sa gravidita diagnostikuje, liečba ACE inhibítormi sa musí okamžite ukončiť, a ak je vhodné, má sa začať alternatívna liečba.</w:t>
      </w:r>
    </w:p>
    <w:p w:rsidR="00E453AA" w:rsidRPr="00007243" w:rsidRDefault="00E453AA">
      <w:pPr>
        <w:rPr>
          <w:sz w:val="22"/>
          <w:szCs w:val="22"/>
        </w:rPr>
      </w:pPr>
    </w:p>
    <w:p w:rsidR="00E453AA" w:rsidRPr="00007243" w:rsidRDefault="00227F95">
      <w:pPr>
        <w:autoSpaceDE w:val="0"/>
        <w:autoSpaceDN w:val="0"/>
        <w:adjustRightInd w:val="0"/>
        <w:rPr>
          <w:sz w:val="22"/>
          <w:szCs w:val="22"/>
        </w:rPr>
      </w:pPr>
      <w:r w:rsidRPr="00007243">
        <w:rPr>
          <w:sz w:val="22"/>
          <w:szCs w:val="22"/>
        </w:rPr>
        <w:t xml:space="preserve">Je známe, že expozícia </w:t>
      </w:r>
      <w:r w:rsidR="00E453AA" w:rsidRPr="00007243">
        <w:rPr>
          <w:sz w:val="22"/>
          <w:szCs w:val="22"/>
        </w:rPr>
        <w:t>ACE inhibítor</w:t>
      </w:r>
      <w:r w:rsidRPr="00007243">
        <w:rPr>
          <w:sz w:val="22"/>
          <w:szCs w:val="22"/>
        </w:rPr>
        <w:t>o</w:t>
      </w:r>
      <w:r w:rsidR="00E453AA" w:rsidRPr="00007243">
        <w:rPr>
          <w:sz w:val="22"/>
          <w:szCs w:val="22"/>
        </w:rPr>
        <w:t>m počas druhého a tretieho trimestra indukuje fetotoxicitu u ľudí (znížená funkcia obličiek, oligohydramnión, retardácia osifikácie lebky) a neonatálnu toxicitu (renálne zlyhanie, hypotenzia, hyperkaliémia). (Pozri časť 5.3).</w:t>
      </w:r>
    </w:p>
    <w:p w:rsidR="00E453AA" w:rsidRPr="00007243" w:rsidRDefault="00E453AA">
      <w:pPr>
        <w:autoSpaceDE w:val="0"/>
        <w:autoSpaceDN w:val="0"/>
        <w:adjustRightInd w:val="0"/>
        <w:rPr>
          <w:sz w:val="22"/>
          <w:szCs w:val="22"/>
        </w:rPr>
      </w:pPr>
    </w:p>
    <w:p w:rsidR="00E453AA" w:rsidRPr="00007243" w:rsidRDefault="00E453AA">
      <w:pPr>
        <w:autoSpaceDE w:val="0"/>
        <w:autoSpaceDN w:val="0"/>
        <w:adjustRightInd w:val="0"/>
        <w:rPr>
          <w:sz w:val="22"/>
          <w:szCs w:val="22"/>
        </w:rPr>
      </w:pPr>
      <w:r w:rsidRPr="00007243">
        <w:rPr>
          <w:sz w:val="22"/>
          <w:szCs w:val="22"/>
        </w:rPr>
        <w:t>Ak došlo od druhého trimestra gravidity k vystaveniu účinkom ACE inhibítorov, odporúča sa ultrazvukové vyšetrenie funkcie obličiek a lebky.</w:t>
      </w:r>
    </w:p>
    <w:p w:rsidR="00E453AA" w:rsidRPr="00007243" w:rsidRDefault="00E453AA">
      <w:pPr>
        <w:rPr>
          <w:sz w:val="22"/>
          <w:szCs w:val="22"/>
          <w:highlight w:val="yellow"/>
        </w:rPr>
      </w:pPr>
      <w:r w:rsidRPr="00007243">
        <w:rPr>
          <w:sz w:val="22"/>
          <w:szCs w:val="22"/>
        </w:rPr>
        <w:t>Novorodenci, ktorých matky užívali ACE inhibítory, sa majú starostlivo sledovať z dôvodu</w:t>
      </w:r>
      <w:r w:rsidRPr="00007243">
        <w:rPr>
          <w:color w:val="FF0000"/>
          <w:sz w:val="22"/>
          <w:szCs w:val="22"/>
        </w:rPr>
        <w:t xml:space="preserve"> </w:t>
      </w:r>
      <w:r w:rsidRPr="00007243">
        <w:rPr>
          <w:sz w:val="22"/>
          <w:szCs w:val="22"/>
        </w:rPr>
        <w:t xml:space="preserve">hypotenzie (pozri časti </w:t>
      </w:r>
      <w:smartTag w:uri="urn:schemas-microsoft-com:office:smarttags" w:element="metricconverter">
        <w:smartTagPr>
          <w:attr w:name="ProductID" w:val="4.3 a"/>
        </w:smartTagPr>
        <w:r w:rsidRPr="00007243">
          <w:rPr>
            <w:sz w:val="22"/>
            <w:szCs w:val="22"/>
          </w:rPr>
          <w:t>4.3 a</w:t>
        </w:r>
      </w:smartTag>
      <w:r w:rsidRPr="00007243">
        <w:rPr>
          <w:sz w:val="22"/>
          <w:szCs w:val="22"/>
        </w:rPr>
        <w:t xml:space="preserve"> 4.4).</w:t>
      </w:r>
    </w:p>
    <w:p w:rsidR="00E453AA" w:rsidRPr="00007243" w:rsidRDefault="00E453AA">
      <w:pPr>
        <w:pStyle w:val="Nadpis3"/>
        <w:rPr>
          <w:rFonts w:ascii="Times New Roman" w:hAnsi="Times New Roman"/>
          <w:sz w:val="22"/>
          <w:szCs w:val="22"/>
        </w:rPr>
      </w:pPr>
    </w:p>
    <w:p w:rsidR="00E453AA" w:rsidRPr="00007243" w:rsidRDefault="00E453AA">
      <w:pPr>
        <w:pStyle w:val="Zkladntext2"/>
        <w:rPr>
          <w:rFonts w:ascii="Times New Roman" w:hAnsi="Times New Roman" w:cs="Times New Roman"/>
          <w:sz w:val="22"/>
          <w:szCs w:val="22"/>
        </w:rPr>
      </w:pPr>
      <w:r w:rsidRPr="00007243">
        <w:rPr>
          <w:rFonts w:ascii="Times New Roman" w:hAnsi="Times New Roman" w:cs="Times New Roman"/>
          <w:sz w:val="22"/>
          <w:szCs w:val="22"/>
        </w:rPr>
        <w:t>Chinaprilát, ktorý prestupuje cez placentu, sa odstránil z neonatálnej cirkulácie peritoneálnou dialýzou s určitým klinickým prospechom a teoreticky ho možno odstrániť výmennou transfúziou.</w:t>
      </w:r>
    </w:p>
    <w:p w:rsidR="00227F95" w:rsidRPr="00007243" w:rsidRDefault="00227F95">
      <w:pPr>
        <w:pStyle w:val="Zkladntext2"/>
        <w:rPr>
          <w:rFonts w:ascii="Times New Roman" w:hAnsi="Times New Roman" w:cs="Times New Roman"/>
          <w:sz w:val="22"/>
          <w:szCs w:val="22"/>
        </w:rPr>
      </w:pPr>
    </w:p>
    <w:p w:rsidR="00227F95" w:rsidRPr="00007243" w:rsidRDefault="00227F95">
      <w:pPr>
        <w:pStyle w:val="Zkladntext2"/>
        <w:rPr>
          <w:rFonts w:ascii="Times New Roman" w:hAnsi="Times New Roman" w:cs="Times New Roman"/>
          <w:i/>
          <w:sz w:val="22"/>
          <w:szCs w:val="22"/>
        </w:rPr>
      </w:pPr>
      <w:r w:rsidRPr="00007243">
        <w:rPr>
          <w:rFonts w:ascii="Times New Roman" w:hAnsi="Times New Roman" w:cs="Times New Roman"/>
          <w:i/>
          <w:sz w:val="22"/>
          <w:szCs w:val="22"/>
        </w:rPr>
        <w:t>Hydrochlorotiazid:</w:t>
      </w:r>
    </w:p>
    <w:p w:rsidR="00E453AA" w:rsidRPr="00007243" w:rsidRDefault="00E453AA">
      <w:pPr>
        <w:pStyle w:val="Zkladntext2"/>
        <w:rPr>
          <w:rFonts w:ascii="Times New Roman" w:hAnsi="Times New Roman" w:cs="Times New Roman"/>
          <w:sz w:val="22"/>
          <w:szCs w:val="22"/>
        </w:rPr>
      </w:pPr>
    </w:p>
    <w:p w:rsidR="00E453AA" w:rsidRPr="00007243" w:rsidRDefault="00227F95">
      <w:pPr>
        <w:pStyle w:val="Zkladntext2"/>
        <w:rPr>
          <w:rFonts w:ascii="Times New Roman" w:hAnsi="Times New Roman" w:cs="Times New Roman"/>
          <w:sz w:val="22"/>
          <w:szCs w:val="22"/>
        </w:rPr>
      </w:pPr>
      <w:r w:rsidRPr="00007243">
        <w:rPr>
          <w:rFonts w:ascii="Times New Roman" w:hAnsi="Times New Roman" w:cs="Times New Roman"/>
          <w:sz w:val="22"/>
          <w:szCs w:val="22"/>
        </w:rPr>
        <w:t xml:space="preserve">Existujú obmedzené skúsenosti s hydrochlorotiazidom počas </w:t>
      </w:r>
      <w:r w:rsidR="000940E6" w:rsidRPr="00007243">
        <w:rPr>
          <w:rFonts w:ascii="Times New Roman" w:hAnsi="Times New Roman" w:cs="Times New Roman"/>
          <w:sz w:val="22"/>
          <w:szCs w:val="22"/>
        </w:rPr>
        <w:t>gravidity</w:t>
      </w:r>
      <w:r w:rsidRPr="00007243">
        <w:rPr>
          <w:rFonts w:ascii="Times New Roman" w:hAnsi="Times New Roman" w:cs="Times New Roman"/>
          <w:sz w:val="22"/>
          <w:szCs w:val="22"/>
        </w:rPr>
        <w:t xml:space="preserve">, najmä počas prvého trimestra. Štúdie na zvieratách nie sú dostatočné. Hydrochlorotiazid prechádza placentou. Na základe farmakologického mechanizmu účinku hydrochlorotiazidu jeho použitie môže viesť počas druhého a tretieho trimestra k oslabeniu </w:t>
      </w:r>
      <w:r w:rsidRPr="00007243">
        <w:rPr>
          <w:rFonts w:ascii="Times New Roman" w:hAnsi="Times New Roman" w:cs="Times New Roman"/>
          <w:sz w:val="22"/>
        </w:rPr>
        <w:t>fetoplacentárnej perfúzie a môže spôsobiť fetálne a neonatálne účinky ako ikterus, poruchu elektrolytovej rovnováhy a trombocytopéniu. Hydrochlorotiazid sa nemá používať pri gestačnom opuchu, gestačnej hypertenzii a preeklampsii z dôvodu rizika zníženia plazmatického objemu a placentárnej hypoperfúzie, bez priaznivého účinku na priebeh ochorenia. Hydrochlorotiazid sa nemá používať na liečbu esenciálnej hypertenzie u tehotných žien s výnimkou zriedkavých situácii, kde sa nemôže použiť žiadna iná liečba.</w:t>
      </w:r>
    </w:p>
    <w:p w:rsidR="000940E6" w:rsidRPr="00007243" w:rsidRDefault="000940E6">
      <w:pPr>
        <w:pStyle w:val="Zkladntext2"/>
        <w:rPr>
          <w:rFonts w:ascii="Times New Roman" w:hAnsi="Times New Roman" w:cs="Times New Roman"/>
          <w:i/>
          <w:sz w:val="22"/>
          <w:szCs w:val="22"/>
        </w:rPr>
      </w:pPr>
    </w:p>
    <w:p w:rsidR="00227F95" w:rsidRPr="00007243" w:rsidRDefault="00E77D91">
      <w:pPr>
        <w:pStyle w:val="Zkladntext2"/>
        <w:rPr>
          <w:rFonts w:ascii="Times New Roman" w:hAnsi="Times New Roman" w:cs="Times New Roman"/>
          <w:sz w:val="22"/>
          <w:szCs w:val="22"/>
        </w:rPr>
      </w:pPr>
      <w:r>
        <w:rPr>
          <w:rFonts w:ascii="Times New Roman" w:hAnsi="Times New Roman" w:cs="Times New Roman"/>
          <w:i/>
          <w:sz w:val="22"/>
          <w:szCs w:val="22"/>
        </w:rPr>
        <w:t>Dojčenie</w:t>
      </w:r>
    </w:p>
    <w:p w:rsidR="00227F95" w:rsidRPr="00007243" w:rsidRDefault="00227F95">
      <w:pPr>
        <w:pStyle w:val="Zkladntext2"/>
        <w:rPr>
          <w:rFonts w:ascii="Times New Roman" w:hAnsi="Times New Roman" w:cs="Times New Roman"/>
          <w:i/>
          <w:sz w:val="22"/>
          <w:szCs w:val="22"/>
        </w:rPr>
      </w:pPr>
      <w:r w:rsidRPr="00007243">
        <w:rPr>
          <w:rFonts w:ascii="Times New Roman" w:hAnsi="Times New Roman" w:cs="Times New Roman"/>
          <w:i/>
          <w:sz w:val="22"/>
          <w:szCs w:val="22"/>
        </w:rPr>
        <w:t>Chinapril:</w:t>
      </w:r>
    </w:p>
    <w:p w:rsidR="0041205F" w:rsidRPr="00007243" w:rsidRDefault="00227F95" w:rsidP="00227F95">
      <w:pPr>
        <w:rPr>
          <w:sz w:val="22"/>
          <w:szCs w:val="22"/>
        </w:rPr>
      </w:pPr>
      <w:r w:rsidRPr="00007243">
        <w:rPr>
          <w:sz w:val="22"/>
          <w:szCs w:val="22"/>
        </w:rPr>
        <w:t xml:space="preserve">Limitované farmakokinetické údaje dokázali veľmi nízke koncentrácie chinaprilu v materskom mlieku (pozri časť 5.2). Hoci sa tieto koncentrácie ukazujú ako klinicky irelevantné, použitie </w:t>
      </w:r>
      <w:r w:rsidR="0041205F" w:rsidRPr="00007243">
        <w:rPr>
          <w:sz w:val="22"/>
          <w:szCs w:val="22"/>
        </w:rPr>
        <w:t>STADAPRESS</w:t>
      </w:r>
      <w:r w:rsidR="00E245CC">
        <w:rPr>
          <w:sz w:val="22"/>
          <w:szCs w:val="22"/>
        </w:rPr>
        <w:t>U</w:t>
      </w:r>
      <w:r w:rsidR="0041205F" w:rsidRPr="00007243">
        <w:rPr>
          <w:sz w:val="22"/>
          <w:szCs w:val="22"/>
        </w:rPr>
        <w:t xml:space="preserve"> </w:t>
      </w:r>
      <w:r w:rsidRPr="00007243">
        <w:rPr>
          <w:sz w:val="22"/>
          <w:szCs w:val="22"/>
        </w:rPr>
        <w:t xml:space="preserve">počas dojčenia sa neodporúča u predčasne narodených detí a počas prvých týždňov po narodení kvôli hypotetickému riziku kardiovaskulárnych a renálnych účinkov a kvôli nedostatočným klinickým skúsenostiam. </w:t>
      </w:r>
    </w:p>
    <w:p w:rsidR="0041205F" w:rsidRPr="00007243" w:rsidRDefault="0041205F" w:rsidP="00227F95">
      <w:pPr>
        <w:rPr>
          <w:sz w:val="22"/>
          <w:szCs w:val="22"/>
        </w:rPr>
      </w:pPr>
    </w:p>
    <w:p w:rsidR="00227F95" w:rsidRPr="00007243" w:rsidRDefault="00227F95" w:rsidP="00227F95">
      <w:pPr>
        <w:rPr>
          <w:sz w:val="22"/>
          <w:szCs w:val="22"/>
        </w:rPr>
      </w:pPr>
      <w:r w:rsidRPr="00007243">
        <w:rPr>
          <w:sz w:val="22"/>
          <w:szCs w:val="22"/>
        </w:rPr>
        <w:t xml:space="preserve">V prípade staršieho dieťaťa možno zvážiť použitie </w:t>
      </w:r>
      <w:r w:rsidR="0041205F" w:rsidRPr="00007243">
        <w:rPr>
          <w:sz w:val="22"/>
          <w:szCs w:val="22"/>
        </w:rPr>
        <w:t>STADAPRES</w:t>
      </w:r>
      <w:r w:rsidR="00E245CC">
        <w:rPr>
          <w:sz w:val="22"/>
          <w:szCs w:val="22"/>
        </w:rPr>
        <w:t>U</w:t>
      </w:r>
      <w:r w:rsidR="0041205F" w:rsidRPr="00007243">
        <w:rPr>
          <w:sz w:val="22"/>
          <w:szCs w:val="22"/>
        </w:rPr>
        <w:t xml:space="preserve"> </w:t>
      </w:r>
      <w:r w:rsidRPr="00007243">
        <w:rPr>
          <w:sz w:val="22"/>
          <w:szCs w:val="22"/>
        </w:rPr>
        <w:t>u dojčiacej matky, ak je táto liečba nevyhnutná pre matku a u dieťaťa sa nepozorovali žiadne nežiaduce účinky.</w:t>
      </w:r>
    </w:p>
    <w:p w:rsidR="00227F95" w:rsidRPr="00007243" w:rsidRDefault="00227F95" w:rsidP="00227F95">
      <w:pPr>
        <w:rPr>
          <w:sz w:val="22"/>
        </w:rPr>
      </w:pPr>
    </w:p>
    <w:p w:rsidR="00227F95" w:rsidRPr="00007243" w:rsidRDefault="00227F95" w:rsidP="00227F95">
      <w:pPr>
        <w:pStyle w:val="Zkladntext2"/>
        <w:rPr>
          <w:rFonts w:ascii="Times New Roman" w:hAnsi="Times New Roman" w:cs="Times New Roman"/>
          <w:i/>
          <w:sz w:val="22"/>
        </w:rPr>
      </w:pPr>
      <w:r w:rsidRPr="00007243">
        <w:rPr>
          <w:rFonts w:ascii="Times New Roman" w:hAnsi="Times New Roman" w:cs="Times New Roman"/>
          <w:i/>
          <w:sz w:val="22"/>
        </w:rPr>
        <w:t>Hydrochlorotiazid:</w:t>
      </w:r>
    </w:p>
    <w:p w:rsidR="00227F95" w:rsidRPr="00007243" w:rsidRDefault="00227F95" w:rsidP="007274CB">
      <w:pPr>
        <w:pStyle w:val="Zkladntext2"/>
        <w:rPr>
          <w:rFonts w:ascii="Times New Roman" w:hAnsi="Times New Roman" w:cs="Times New Roman"/>
          <w:sz w:val="22"/>
          <w:szCs w:val="22"/>
        </w:rPr>
      </w:pPr>
      <w:r w:rsidRPr="00007243">
        <w:rPr>
          <w:rFonts w:ascii="Times New Roman" w:hAnsi="Times New Roman" w:cs="Times New Roman"/>
          <w:sz w:val="22"/>
        </w:rPr>
        <w:t>Hydrochlorotiazid  sa vylučuje v malých množstvách do ľudského mlieka. Podávanie tiazidov dojčiacim matkám počas dojčenia sa spája s poklesom alebo dokonca potlačením tvorby mlieka.</w:t>
      </w:r>
      <w:r w:rsidR="007274CB" w:rsidRPr="00007243">
        <w:rPr>
          <w:rFonts w:ascii="Times New Roman" w:hAnsi="Times New Roman" w:cs="Times New Roman"/>
          <w:sz w:val="22"/>
        </w:rPr>
        <w:t xml:space="preserve"> </w:t>
      </w:r>
      <w:r w:rsidR="000940E6" w:rsidRPr="00007243">
        <w:rPr>
          <w:rFonts w:ascii="Times New Roman" w:hAnsi="Times New Roman" w:cs="Times New Roman"/>
          <w:sz w:val="22"/>
        </w:rPr>
        <w:t>Užívanie</w:t>
      </w:r>
      <w:r w:rsidR="007274CB" w:rsidRPr="00007243">
        <w:rPr>
          <w:rFonts w:ascii="Times New Roman" w:hAnsi="Times New Roman" w:cs="Times New Roman"/>
          <w:sz w:val="22"/>
        </w:rPr>
        <w:t xml:space="preserve"> S</w:t>
      </w:r>
      <w:r w:rsidR="00722E83" w:rsidRPr="00007243">
        <w:rPr>
          <w:rFonts w:ascii="Times New Roman" w:hAnsi="Times New Roman" w:cs="Times New Roman"/>
          <w:sz w:val="22"/>
        </w:rPr>
        <w:t>TADAPRESS</w:t>
      </w:r>
      <w:r w:rsidR="00E245CC">
        <w:rPr>
          <w:rFonts w:ascii="Times New Roman" w:hAnsi="Times New Roman" w:cs="Times New Roman"/>
          <w:sz w:val="22"/>
        </w:rPr>
        <w:t>U</w:t>
      </w:r>
      <w:r w:rsidR="007274CB" w:rsidRPr="00007243">
        <w:rPr>
          <w:rFonts w:ascii="Times New Roman" w:hAnsi="Times New Roman" w:cs="Times New Roman"/>
          <w:sz w:val="22"/>
        </w:rPr>
        <w:t xml:space="preserve"> počas dojčenia sa neodporúča. Ak sa S</w:t>
      </w:r>
      <w:r w:rsidR="00722E83" w:rsidRPr="00007243">
        <w:rPr>
          <w:rFonts w:ascii="Times New Roman" w:hAnsi="Times New Roman" w:cs="Times New Roman"/>
          <w:sz w:val="22"/>
        </w:rPr>
        <w:t>TADAPRESS</w:t>
      </w:r>
      <w:r w:rsidR="007274CB" w:rsidRPr="00007243">
        <w:rPr>
          <w:rFonts w:ascii="Times New Roman" w:hAnsi="Times New Roman" w:cs="Times New Roman"/>
          <w:sz w:val="22"/>
        </w:rPr>
        <w:t xml:space="preserve"> užíva počas dojčenia, dávky sa majú udržiavať také nízke, ako je to len možné.</w:t>
      </w:r>
    </w:p>
    <w:p w:rsidR="00E453AA" w:rsidRPr="00007243" w:rsidRDefault="00E453AA">
      <w:pPr>
        <w:pStyle w:val="Zkladntext2"/>
        <w:rPr>
          <w:rFonts w:ascii="Times New Roman" w:hAnsi="Times New Roman" w:cs="Times New Roman"/>
          <w:sz w:val="22"/>
          <w:szCs w:val="22"/>
        </w:rPr>
      </w:pPr>
    </w:p>
    <w:p w:rsidR="00E453AA" w:rsidRPr="00007243" w:rsidRDefault="00E453AA">
      <w:pPr>
        <w:pStyle w:val="Zkladntext2"/>
        <w:ind w:left="567" w:hanging="567"/>
        <w:rPr>
          <w:rFonts w:ascii="Times New Roman" w:hAnsi="Times New Roman" w:cs="Times New Roman"/>
          <w:b/>
          <w:sz w:val="22"/>
          <w:szCs w:val="22"/>
        </w:rPr>
      </w:pPr>
      <w:r w:rsidRPr="00007243">
        <w:rPr>
          <w:rFonts w:ascii="Times New Roman" w:hAnsi="Times New Roman" w:cs="Times New Roman"/>
          <w:b/>
          <w:sz w:val="22"/>
          <w:szCs w:val="22"/>
        </w:rPr>
        <w:t xml:space="preserve">4.7 </w:t>
      </w:r>
      <w:r w:rsidRPr="00007243">
        <w:rPr>
          <w:rFonts w:ascii="Times New Roman" w:hAnsi="Times New Roman" w:cs="Times New Roman"/>
          <w:b/>
          <w:sz w:val="22"/>
          <w:szCs w:val="22"/>
        </w:rPr>
        <w:tab/>
        <w:t>Ovplyvnenie schopnosti viesť motorové vozidlá a obsluhovať stroje</w:t>
      </w:r>
    </w:p>
    <w:p w:rsidR="00E453AA" w:rsidRPr="00007243" w:rsidRDefault="00E453AA">
      <w:pPr>
        <w:pStyle w:val="Zkladntext"/>
        <w:rPr>
          <w:rFonts w:ascii="Times New Roman" w:hAnsi="Times New Roman"/>
          <w:sz w:val="22"/>
          <w:szCs w:val="22"/>
        </w:rPr>
      </w:pPr>
    </w:p>
    <w:p w:rsidR="0041205F" w:rsidRPr="00007243" w:rsidRDefault="0041205F" w:rsidP="0041205F">
      <w:pPr>
        <w:tabs>
          <w:tab w:val="left" w:pos="8505"/>
        </w:tabs>
        <w:ind w:right="566"/>
        <w:rPr>
          <w:bCs/>
          <w:sz w:val="22"/>
        </w:rPr>
      </w:pPr>
      <w:r w:rsidRPr="00007243">
        <w:rPr>
          <w:bCs/>
          <w:sz w:val="22"/>
        </w:rPr>
        <w:t>Schopnosť venovať sa aktivitám, ako je obsluha strojov alebo vedenie vozidiel, môže byť narušená, najmä na začiatku liečby chinaprilom.</w:t>
      </w: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Cs/>
          <w:sz w:val="22"/>
          <w:szCs w:val="22"/>
        </w:rPr>
      </w:pPr>
      <w:r w:rsidRPr="00007243">
        <w:rPr>
          <w:b/>
          <w:sz w:val="22"/>
          <w:szCs w:val="22"/>
        </w:rPr>
        <w:t>4.8</w:t>
      </w:r>
      <w:r w:rsidRPr="00007243">
        <w:rPr>
          <w:b/>
          <w:sz w:val="22"/>
          <w:szCs w:val="22"/>
        </w:rPr>
        <w:tab/>
        <w:t>Nežiaduce účinky</w:t>
      </w:r>
    </w:p>
    <w:p w:rsidR="00E453AA" w:rsidRPr="00007243" w:rsidRDefault="00E453AA">
      <w:pPr>
        <w:tabs>
          <w:tab w:val="left" w:pos="8505"/>
        </w:tabs>
        <w:ind w:right="566"/>
        <w:rPr>
          <w:bCs/>
          <w:sz w:val="22"/>
          <w:szCs w:val="22"/>
        </w:rPr>
      </w:pPr>
    </w:p>
    <w:p w:rsidR="00E453AA" w:rsidRPr="00596E3A" w:rsidRDefault="00E453AA">
      <w:pPr>
        <w:tabs>
          <w:tab w:val="left" w:pos="8505"/>
        </w:tabs>
        <w:ind w:right="566"/>
        <w:rPr>
          <w:bCs/>
          <w:sz w:val="22"/>
          <w:szCs w:val="22"/>
        </w:rPr>
      </w:pPr>
      <w:r w:rsidRPr="00007243">
        <w:rPr>
          <w:bCs/>
          <w:sz w:val="22"/>
          <w:szCs w:val="22"/>
        </w:rPr>
        <w:t xml:space="preserve">Nasledovné nežiaduce účinky sa pozorovali počas liečby chinaprilom a inými ACE inhibítormi </w:t>
      </w:r>
      <w:r w:rsidR="004628D9">
        <w:rPr>
          <w:bCs/>
          <w:sz w:val="22"/>
          <w:szCs w:val="22"/>
        </w:rPr>
        <w:t xml:space="preserve">alebo hydrochlorotiazidom </w:t>
      </w:r>
      <w:r w:rsidRPr="00007243">
        <w:rPr>
          <w:bCs/>
          <w:sz w:val="22"/>
          <w:szCs w:val="22"/>
        </w:rPr>
        <w:t>v týchto frekvenciách: veľmi časté (</w:t>
      </w:r>
      <w:r w:rsidRPr="00FC136C">
        <w:rPr>
          <w:bCs/>
          <w:sz w:val="22"/>
          <w:szCs w:val="22"/>
          <w:u w:val="single"/>
        </w:rPr>
        <w:t>&gt;</w:t>
      </w:r>
      <w:r w:rsidR="00D2125E">
        <w:rPr>
          <w:bCs/>
          <w:sz w:val="22"/>
          <w:szCs w:val="22"/>
        </w:rPr>
        <w:t> </w:t>
      </w:r>
      <w:r w:rsidRPr="0007201A">
        <w:rPr>
          <w:bCs/>
          <w:sz w:val="22"/>
          <w:szCs w:val="22"/>
        </w:rPr>
        <w:t>1/10), časté (</w:t>
      </w:r>
      <w:r w:rsidRPr="00FC136C">
        <w:rPr>
          <w:bCs/>
          <w:sz w:val="22"/>
          <w:szCs w:val="22"/>
          <w:u w:val="single"/>
        </w:rPr>
        <w:t>&gt;</w:t>
      </w:r>
      <w:r w:rsidR="00D2125E">
        <w:rPr>
          <w:bCs/>
          <w:sz w:val="22"/>
          <w:szCs w:val="22"/>
        </w:rPr>
        <w:t> </w:t>
      </w:r>
      <w:r w:rsidRPr="0007201A">
        <w:rPr>
          <w:bCs/>
          <w:sz w:val="22"/>
          <w:szCs w:val="22"/>
        </w:rPr>
        <w:t>1/100</w:t>
      </w:r>
      <w:r w:rsidR="0041205F" w:rsidRPr="00596E3A">
        <w:rPr>
          <w:bCs/>
          <w:sz w:val="22"/>
          <w:szCs w:val="22"/>
        </w:rPr>
        <w:t xml:space="preserve"> až </w:t>
      </w:r>
      <w:r w:rsidRPr="0007201A">
        <w:rPr>
          <w:bCs/>
          <w:sz w:val="22"/>
          <w:szCs w:val="22"/>
        </w:rPr>
        <w:sym w:font="Symbol" w:char="F03C"/>
      </w:r>
      <w:r w:rsidR="00D2125E">
        <w:rPr>
          <w:bCs/>
          <w:sz w:val="22"/>
          <w:szCs w:val="22"/>
        </w:rPr>
        <w:t> </w:t>
      </w:r>
      <w:r w:rsidRPr="0007201A">
        <w:rPr>
          <w:bCs/>
          <w:sz w:val="22"/>
          <w:szCs w:val="22"/>
        </w:rPr>
        <w:t>1/10), menej časté (</w:t>
      </w:r>
      <w:r w:rsidRPr="00FC136C">
        <w:rPr>
          <w:bCs/>
          <w:sz w:val="22"/>
          <w:szCs w:val="22"/>
          <w:u w:val="single"/>
        </w:rPr>
        <w:t>&gt;</w:t>
      </w:r>
      <w:r w:rsidR="00D2125E">
        <w:rPr>
          <w:bCs/>
          <w:sz w:val="22"/>
          <w:szCs w:val="22"/>
        </w:rPr>
        <w:t> </w:t>
      </w:r>
      <w:r w:rsidRPr="0007201A">
        <w:rPr>
          <w:bCs/>
          <w:sz w:val="22"/>
          <w:szCs w:val="22"/>
        </w:rPr>
        <w:t>1/1</w:t>
      </w:r>
      <w:r w:rsidR="00D2125E">
        <w:rPr>
          <w:bCs/>
          <w:sz w:val="22"/>
          <w:szCs w:val="22"/>
        </w:rPr>
        <w:t> </w:t>
      </w:r>
      <w:r w:rsidRPr="0007201A">
        <w:rPr>
          <w:bCs/>
          <w:sz w:val="22"/>
          <w:szCs w:val="22"/>
        </w:rPr>
        <w:t>000</w:t>
      </w:r>
      <w:r w:rsidR="0041205F" w:rsidRPr="00596E3A">
        <w:rPr>
          <w:bCs/>
          <w:sz w:val="22"/>
          <w:szCs w:val="22"/>
        </w:rPr>
        <w:t xml:space="preserve"> až</w:t>
      </w:r>
      <w:r w:rsidRPr="00596E3A">
        <w:rPr>
          <w:bCs/>
          <w:sz w:val="22"/>
          <w:szCs w:val="22"/>
        </w:rPr>
        <w:t xml:space="preserve"> &lt; 1/100), zriedkavé (</w:t>
      </w:r>
      <w:r w:rsidRPr="00FC136C">
        <w:rPr>
          <w:bCs/>
          <w:sz w:val="22"/>
          <w:szCs w:val="22"/>
          <w:u w:val="single"/>
        </w:rPr>
        <w:t>&gt;</w:t>
      </w:r>
      <w:r w:rsidR="00D2125E">
        <w:rPr>
          <w:bCs/>
          <w:sz w:val="22"/>
          <w:szCs w:val="22"/>
        </w:rPr>
        <w:t> </w:t>
      </w:r>
      <w:r w:rsidRPr="0007201A">
        <w:rPr>
          <w:bCs/>
          <w:sz w:val="22"/>
          <w:szCs w:val="22"/>
        </w:rPr>
        <w:t>1/10</w:t>
      </w:r>
      <w:r w:rsidR="00D2125E">
        <w:rPr>
          <w:bCs/>
          <w:sz w:val="22"/>
          <w:szCs w:val="22"/>
        </w:rPr>
        <w:t> </w:t>
      </w:r>
      <w:r w:rsidRPr="008376DD">
        <w:rPr>
          <w:bCs/>
          <w:sz w:val="22"/>
          <w:szCs w:val="22"/>
        </w:rPr>
        <w:t>000</w:t>
      </w:r>
      <w:r w:rsidR="0041205F" w:rsidRPr="00596E3A">
        <w:rPr>
          <w:bCs/>
          <w:sz w:val="22"/>
          <w:szCs w:val="22"/>
        </w:rPr>
        <w:t xml:space="preserve"> až </w:t>
      </w:r>
      <w:r w:rsidRPr="00596E3A">
        <w:rPr>
          <w:bCs/>
          <w:sz w:val="22"/>
          <w:szCs w:val="22"/>
        </w:rPr>
        <w:t>&lt;</w:t>
      </w:r>
      <w:r w:rsidR="00D2125E">
        <w:rPr>
          <w:bCs/>
          <w:sz w:val="22"/>
          <w:szCs w:val="22"/>
        </w:rPr>
        <w:t> </w:t>
      </w:r>
      <w:r w:rsidRPr="00596E3A">
        <w:rPr>
          <w:bCs/>
          <w:sz w:val="22"/>
          <w:szCs w:val="22"/>
        </w:rPr>
        <w:t>1/1</w:t>
      </w:r>
      <w:r w:rsidR="00D2125E">
        <w:rPr>
          <w:bCs/>
          <w:sz w:val="22"/>
          <w:szCs w:val="22"/>
        </w:rPr>
        <w:t> </w:t>
      </w:r>
      <w:r w:rsidRPr="00596E3A">
        <w:rPr>
          <w:bCs/>
          <w:sz w:val="22"/>
          <w:szCs w:val="22"/>
        </w:rPr>
        <w:t>000), veľmi zriedkavé (&lt;</w:t>
      </w:r>
      <w:r w:rsidR="00D2125E">
        <w:rPr>
          <w:bCs/>
          <w:sz w:val="22"/>
          <w:szCs w:val="22"/>
        </w:rPr>
        <w:t> </w:t>
      </w:r>
      <w:r w:rsidRPr="00596E3A">
        <w:rPr>
          <w:bCs/>
          <w:sz w:val="22"/>
          <w:szCs w:val="22"/>
        </w:rPr>
        <w:t>1/10</w:t>
      </w:r>
      <w:r w:rsidR="00D2125E">
        <w:rPr>
          <w:bCs/>
          <w:sz w:val="22"/>
          <w:szCs w:val="22"/>
        </w:rPr>
        <w:t> </w:t>
      </w:r>
      <w:r w:rsidRPr="00596E3A">
        <w:rPr>
          <w:bCs/>
          <w:sz w:val="22"/>
          <w:szCs w:val="22"/>
        </w:rPr>
        <w:t>000), neznáme (z</w:t>
      </w:r>
      <w:r w:rsidR="00D2125E">
        <w:rPr>
          <w:bCs/>
          <w:sz w:val="22"/>
          <w:szCs w:val="22"/>
        </w:rPr>
        <w:t> </w:t>
      </w:r>
      <w:r w:rsidRPr="00596E3A">
        <w:rPr>
          <w:bCs/>
          <w:sz w:val="22"/>
          <w:szCs w:val="22"/>
        </w:rPr>
        <w:t>dostupných údajov).</w:t>
      </w:r>
    </w:p>
    <w:p w:rsidR="00E453AA" w:rsidRPr="00AB681B" w:rsidRDefault="00E453AA">
      <w:pPr>
        <w:tabs>
          <w:tab w:val="left" w:pos="8505"/>
        </w:tabs>
        <w:ind w:right="566"/>
        <w:rPr>
          <w:bCs/>
          <w:sz w:val="22"/>
          <w:szCs w:val="22"/>
        </w:rPr>
      </w:pPr>
    </w:p>
    <w:p w:rsidR="0041205F" w:rsidRPr="00007243" w:rsidRDefault="0041205F" w:rsidP="0041205F">
      <w:pPr>
        <w:tabs>
          <w:tab w:val="left" w:pos="8505"/>
        </w:tabs>
        <w:ind w:right="566"/>
        <w:rPr>
          <w:bCs/>
          <w:sz w:val="22"/>
        </w:rPr>
      </w:pPr>
      <w:r w:rsidRPr="00007243">
        <w:rPr>
          <w:bCs/>
          <w:i/>
          <w:sz w:val="22"/>
        </w:rPr>
        <w:t>Infekcie a nákazy</w:t>
      </w:r>
    </w:p>
    <w:p w:rsidR="00633A8C" w:rsidRPr="00007243" w:rsidRDefault="00633A8C" w:rsidP="0041205F">
      <w:pPr>
        <w:tabs>
          <w:tab w:val="left" w:pos="1418"/>
        </w:tabs>
        <w:ind w:right="566"/>
        <w:rPr>
          <w:bCs/>
          <w:sz w:val="22"/>
        </w:rPr>
      </w:pPr>
      <w:r w:rsidRPr="00007243">
        <w:rPr>
          <w:bCs/>
          <w:sz w:val="22"/>
        </w:rPr>
        <w:t>Časté:</w:t>
      </w:r>
      <w:r w:rsidRPr="00007243">
        <w:rPr>
          <w:bCs/>
          <w:sz w:val="22"/>
        </w:rPr>
        <w:tab/>
        <w:t>bronchitída, infekcia horných dýchacích ciest, faryngitída, rinitída</w:t>
      </w:r>
    </w:p>
    <w:p w:rsidR="0041205F" w:rsidRPr="00007243" w:rsidRDefault="0041205F" w:rsidP="0041205F">
      <w:pPr>
        <w:tabs>
          <w:tab w:val="left" w:pos="1418"/>
        </w:tabs>
        <w:ind w:right="566"/>
        <w:rPr>
          <w:bCs/>
          <w:sz w:val="22"/>
        </w:rPr>
      </w:pPr>
      <w:r w:rsidRPr="00007243">
        <w:rPr>
          <w:bCs/>
          <w:sz w:val="22"/>
        </w:rPr>
        <w:t>Menej časté:</w:t>
      </w:r>
      <w:r w:rsidRPr="00007243">
        <w:rPr>
          <w:bCs/>
          <w:sz w:val="22"/>
        </w:rPr>
        <w:tab/>
        <w:t>vírusové infekcie</w:t>
      </w:r>
      <w:r w:rsidR="00DE4DFC" w:rsidRPr="00007243">
        <w:rPr>
          <w:bCs/>
          <w:sz w:val="22"/>
        </w:rPr>
        <w:t>, infekcia močových ciest, sinusitída</w:t>
      </w:r>
    </w:p>
    <w:p w:rsidR="004628D9" w:rsidRDefault="004628D9" w:rsidP="004628D9">
      <w:pPr>
        <w:rPr>
          <w:i/>
          <w:sz w:val="22"/>
          <w:szCs w:val="22"/>
        </w:rPr>
      </w:pPr>
    </w:p>
    <w:p w:rsidR="004628D9" w:rsidRPr="003408C1" w:rsidRDefault="004628D9" w:rsidP="004628D9">
      <w:pPr>
        <w:rPr>
          <w:i/>
          <w:sz w:val="22"/>
          <w:szCs w:val="22"/>
        </w:rPr>
      </w:pPr>
      <w:r w:rsidRPr="003408C1">
        <w:rPr>
          <w:i/>
          <w:sz w:val="22"/>
          <w:szCs w:val="22"/>
        </w:rPr>
        <w:t>Benígne a malígne nádory, vrátane nešpecifikovaných novotvarov (cysty a polypy)</w:t>
      </w:r>
    </w:p>
    <w:p w:rsidR="004628D9" w:rsidRPr="003408C1" w:rsidRDefault="004628D9" w:rsidP="004628D9">
      <w:pPr>
        <w:pStyle w:val="Default"/>
        <w:rPr>
          <w:rFonts w:ascii="Times New Roman" w:hAnsi="Times New Roman" w:cs="Times New Roman"/>
          <w:sz w:val="22"/>
          <w:szCs w:val="22"/>
        </w:rPr>
      </w:pPr>
      <w:r>
        <w:rPr>
          <w:rFonts w:ascii="Times New Roman" w:hAnsi="Times New Roman" w:cs="Times New Roman"/>
          <w:sz w:val="22"/>
          <w:szCs w:val="22"/>
        </w:rPr>
        <w:t>N</w:t>
      </w:r>
      <w:r w:rsidRPr="003408C1">
        <w:rPr>
          <w:rFonts w:ascii="Times New Roman" w:hAnsi="Times New Roman" w:cs="Times New Roman"/>
          <w:sz w:val="22"/>
          <w:szCs w:val="22"/>
        </w:rPr>
        <w:t xml:space="preserve">eznáme: Nemelanómová rakovina kože (bazocelulárny karcinóm a skvamocelulárny karcinóm) </w:t>
      </w:r>
    </w:p>
    <w:p w:rsidR="0041205F" w:rsidRPr="00007243" w:rsidRDefault="0041205F" w:rsidP="0041205F">
      <w:pPr>
        <w:tabs>
          <w:tab w:val="left" w:pos="8505"/>
        </w:tabs>
        <w:ind w:right="566"/>
        <w:rPr>
          <w:bCs/>
          <w:sz w:val="22"/>
        </w:rPr>
      </w:pPr>
    </w:p>
    <w:p w:rsidR="0041205F" w:rsidRPr="00007243" w:rsidRDefault="0041205F" w:rsidP="0041205F">
      <w:pPr>
        <w:tabs>
          <w:tab w:val="left" w:pos="8505"/>
        </w:tabs>
        <w:ind w:right="566"/>
        <w:rPr>
          <w:bCs/>
          <w:i/>
          <w:sz w:val="22"/>
        </w:rPr>
      </w:pPr>
      <w:r w:rsidRPr="00007243">
        <w:rPr>
          <w:bCs/>
          <w:i/>
          <w:sz w:val="22"/>
        </w:rPr>
        <w:t>Poruchy krvi a lymfatického systému</w:t>
      </w:r>
    </w:p>
    <w:p w:rsidR="0041205F" w:rsidRPr="00596E3A" w:rsidRDefault="0041205F" w:rsidP="00FC136C">
      <w:pPr>
        <w:tabs>
          <w:tab w:val="left" w:pos="1418"/>
        </w:tabs>
        <w:ind w:right="-1"/>
        <w:rPr>
          <w:bCs/>
          <w:sz w:val="22"/>
        </w:rPr>
      </w:pPr>
      <w:r w:rsidRPr="00007243">
        <w:rPr>
          <w:bCs/>
          <w:sz w:val="22"/>
        </w:rPr>
        <w:t>Neznáme:</w:t>
      </w:r>
      <w:r w:rsidRPr="00007243">
        <w:rPr>
          <w:bCs/>
          <w:sz w:val="22"/>
        </w:rPr>
        <w:tab/>
        <w:t>agranulocytóza, hemolytická anémia</w:t>
      </w:r>
      <w:r w:rsidR="00DE4DFC" w:rsidRPr="00FC136C">
        <w:rPr>
          <w:rFonts w:ascii="Arial" w:hAnsi="Arial" w:cs="Arial"/>
          <w:color w:val="000000"/>
          <w:sz w:val="22"/>
          <w:szCs w:val="22"/>
        </w:rPr>
        <w:t>∞</w:t>
      </w:r>
      <w:r w:rsidRPr="0007201A">
        <w:rPr>
          <w:bCs/>
          <w:sz w:val="22"/>
        </w:rPr>
        <w:t>, neutropénia, trombocytopénia</w:t>
      </w:r>
      <w:r w:rsidR="00DE4DFC" w:rsidRPr="008376DD">
        <w:rPr>
          <w:bCs/>
          <w:sz w:val="22"/>
        </w:rPr>
        <w:t>, eozinofília</w:t>
      </w:r>
    </w:p>
    <w:p w:rsidR="00DE4DFC" w:rsidRPr="00AB681B" w:rsidRDefault="00DE4DFC" w:rsidP="00FC136C">
      <w:pPr>
        <w:tabs>
          <w:tab w:val="left" w:pos="1418"/>
        </w:tabs>
        <w:ind w:right="-1"/>
        <w:rPr>
          <w:bCs/>
          <w:sz w:val="22"/>
          <w:u w:val="single"/>
        </w:rPr>
      </w:pPr>
    </w:p>
    <w:p w:rsidR="0041205F" w:rsidRPr="00007243" w:rsidRDefault="0041205F" w:rsidP="0041205F">
      <w:pPr>
        <w:tabs>
          <w:tab w:val="left" w:pos="8505"/>
        </w:tabs>
        <w:ind w:right="566"/>
        <w:rPr>
          <w:bCs/>
          <w:sz w:val="22"/>
        </w:rPr>
      </w:pPr>
      <w:r w:rsidRPr="00007243">
        <w:rPr>
          <w:bCs/>
          <w:i/>
          <w:sz w:val="22"/>
        </w:rPr>
        <w:t>Poruchy imunitného systému</w:t>
      </w:r>
    </w:p>
    <w:p w:rsidR="0041205F" w:rsidRPr="00007243" w:rsidRDefault="0041205F" w:rsidP="0041205F">
      <w:pPr>
        <w:tabs>
          <w:tab w:val="left" w:pos="1418"/>
        </w:tabs>
        <w:ind w:right="566"/>
        <w:rPr>
          <w:bCs/>
          <w:sz w:val="22"/>
          <w:szCs w:val="22"/>
        </w:rPr>
      </w:pPr>
      <w:r w:rsidRPr="00007243">
        <w:rPr>
          <w:bCs/>
          <w:sz w:val="22"/>
        </w:rPr>
        <w:t>Neznáme:</w:t>
      </w:r>
      <w:r w:rsidRPr="00007243">
        <w:rPr>
          <w:bCs/>
          <w:sz w:val="22"/>
        </w:rPr>
        <w:tab/>
        <w:t>anafylaktoidná reakcia</w:t>
      </w:r>
    </w:p>
    <w:p w:rsidR="0041205F" w:rsidRPr="00007243" w:rsidRDefault="0041205F" w:rsidP="0041205F">
      <w:pPr>
        <w:tabs>
          <w:tab w:val="left" w:pos="8505"/>
        </w:tabs>
        <w:ind w:right="566"/>
        <w:rPr>
          <w:bCs/>
          <w:sz w:val="22"/>
          <w:szCs w:val="22"/>
        </w:rPr>
      </w:pPr>
    </w:p>
    <w:p w:rsidR="0041205F" w:rsidRPr="00007243" w:rsidRDefault="0041205F" w:rsidP="0041205F">
      <w:pPr>
        <w:tabs>
          <w:tab w:val="left" w:pos="8505"/>
        </w:tabs>
        <w:ind w:right="566"/>
        <w:rPr>
          <w:bCs/>
          <w:i/>
          <w:sz w:val="22"/>
        </w:rPr>
      </w:pPr>
      <w:r w:rsidRPr="00007243">
        <w:rPr>
          <w:bCs/>
          <w:i/>
          <w:sz w:val="22"/>
        </w:rPr>
        <w:t>Poruchy metabolizmu a výživy</w:t>
      </w:r>
    </w:p>
    <w:p w:rsidR="0041205F" w:rsidRPr="00007243" w:rsidRDefault="0041205F" w:rsidP="0041205F">
      <w:pPr>
        <w:tabs>
          <w:tab w:val="left" w:pos="1418"/>
        </w:tabs>
        <w:ind w:right="-1"/>
        <w:rPr>
          <w:bCs/>
          <w:sz w:val="22"/>
        </w:rPr>
      </w:pPr>
      <w:r w:rsidRPr="00007243">
        <w:rPr>
          <w:bCs/>
          <w:sz w:val="22"/>
        </w:rPr>
        <w:t>Časté:</w:t>
      </w:r>
      <w:r w:rsidRPr="00007243">
        <w:rPr>
          <w:bCs/>
          <w:sz w:val="22"/>
        </w:rPr>
        <w:tab/>
        <w:t>hyperkaliémia</w:t>
      </w:r>
      <w:r w:rsidR="00DE4DFC" w:rsidRPr="00007243">
        <w:rPr>
          <w:bCs/>
          <w:sz w:val="22"/>
        </w:rPr>
        <w:t xml:space="preserve">, dna, hyperurikémia </w:t>
      </w:r>
    </w:p>
    <w:p w:rsidR="00DE4DFC" w:rsidRPr="00007243" w:rsidRDefault="00DE4DFC" w:rsidP="0041205F">
      <w:pPr>
        <w:tabs>
          <w:tab w:val="left" w:pos="1418"/>
        </w:tabs>
        <w:ind w:right="-1"/>
        <w:rPr>
          <w:bCs/>
          <w:sz w:val="22"/>
        </w:rPr>
      </w:pPr>
      <w:r w:rsidRPr="00007243">
        <w:rPr>
          <w:bCs/>
          <w:sz w:val="22"/>
        </w:rPr>
        <w:t xml:space="preserve">Menej časté: </w:t>
      </w:r>
      <w:r w:rsidRPr="00007243">
        <w:rPr>
          <w:bCs/>
          <w:sz w:val="22"/>
        </w:rPr>
        <w:tab/>
        <w:t>narušená tolerancia glukózy</w:t>
      </w:r>
    </w:p>
    <w:p w:rsidR="0041205F" w:rsidRPr="00007243" w:rsidRDefault="0041205F" w:rsidP="0041205F">
      <w:pPr>
        <w:tabs>
          <w:tab w:val="left" w:pos="8505"/>
        </w:tabs>
        <w:ind w:right="566"/>
        <w:rPr>
          <w:bCs/>
          <w:sz w:val="22"/>
          <w:u w:val="single"/>
        </w:rPr>
      </w:pPr>
    </w:p>
    <w:p w:rsidR="0041205F" w:rsidRPr="00007243" w:rsidRDefault="0041205F" w:rsidP="0041205F">
      <w:pPr>
        <w:tabs>
          <w:tab w:val="left" w:pos="8505"/>
        </w:tabs>
        <w:ind w:right="566"/>
        <w:rPr>
          <w:bCs/>
          <w:i/>
          <w:sz w:val="22"/>
        </w:rPr>
      </w:pPr>
      <w:r w:rsidRPr="00007243">
        <w:rPr>
          <w:bCs/>
          <w:i/>
          <w:sz w:val="22"/>
        </w:rPr>
        <w:t>Psychické poruchy</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Časté:</w:t>
      </w:r>
      <w:r w:rsidRPr="00007243">
        <w:rPr>
          <w:rFonts w:ascii="Times New Roman" w:hAnsi="Times New Roman"/>
          <w:sz w:val="22"/>
        </w:rPr>
        <w:tab/>
        <w:t>nespavosť</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Menej časté:</w:t>
      </w:r>
      <w:r w:rsidRPr="00007243">
        <w:rPr>
          <w:rFonts w:ascii="Times New Roman" w:hAnsi="Times New Roman"/>
          <w:sz w:val="22"/>
        </w:rPr>
        <w:tab/>
        <w:t>zmätenosť, depresia, nervozita</w:t>
      </w:r>
    </w:p>
    <w:p w:rsidR="0041205F" w:rsidRPr="00007243" w:rsidRDefault="0041205F" w:rsidP="0041205F">
      <w:pPr>
        <w:tabs>
          <w:tab w:val="left" w:pos="8505"/>
        </w:tabs>
        <w:ind w:right="566"/>
        <w:rPr>
          <w:bCs/>
          <w:sz w:val="22"/>
          <w:u w:val="single"/>
        </w:rPr>
      </w:pPr>
    </w:p>
    <w:p w:rsidR="0041205F" w:rsidRPr="00007243" w:rsidRDefault="0041205F" w:rsidP="0041205F">
      <w:pPr>
        <w:tabs>
          <w:tab w:val="left" w:pos="8505"/>
        </w:tabs>
        <w:ind w:right="566"/>
        <w:rPr>
          <w:bCs/>
          <w:i/>
          <w:iCs/>
          <w:sz w:val="22"/>
        </w:rPr>
      </w:pPr>
      <w:r w:rsidRPr="00007243">
        <w:rPr>
          <w:bCs/>
          <w:i/>
          <w:iCs/>
          <w:sz w:val="22"/>
        </w:rPr>
        <w:t>Poruchy nervového systému</w:t>
      </w:r>
    </w:p>
    <w:p w:rsidR="0041205F" w:rsidRPr="00007243" w:rsidRDefault="0041205F" w:rsidP="0041205F">
      <w:pPr>
        <w:pStyle w:val="Nadpis3"/>
        <w:tabs>
          <w:tab w:val="clear" w:pos="8505"/>
          <w:tab w:val="left" w:pos="1418"/>
        </w:tabs>
        <w:rPr>
          <w:rFonts w:ascii="Times New Roman" w:hAnsi="Times New Roman"/>
          <w:sz w:val="22"/>
        </w:rPr>
      </w:pPr>
      <w:r w:rsidRPr="00007243">
        <w:rPr>
          <w:rFonts w:ascii="Times New Roman" w:hAnsi="Times New Roman"/>
          <w:sz w:val="22"/>
        </w:rPr>
        <w:t>Časté:</w:t>
      </w:r>
      <w:r w:rsidRPr="00007243">
        <w:rPr>
          <w:rFonts w:ascii="Times New Roman" w:hAnsi="Times New Roman"/>
          <w:sz w:val="22"/>
        </w:rPr>
        <w:tab/>
        <w:t>závrat, bolesť hlavy</w:t>
      </w:r>
      <w:r w:rsidRPr="00007243">
        <w:rPr>
          <w:rFonts w:ascii="Times New Roman" w:hAnsi="Times New Roman"/>
          <w:bCs w:val="0"/>
          <w:sz w:val="22"/>
          <w:szCs w:val="22"/>
        </w:rPr>
        <w:t xml:space="preserve">, </w:t>
      </w:r>
      <w:r w:rsidRPr="00007243">
        <w:rPr>
          <w:rFonts w:ascii="Times New Roman" w:hAnsi="Times New Roman"/>
          <w:sz w:val="22"/>
        </w:rPr>
        <w:t>somnolencia</w:t>
      </w:r>
    </w:p>
    <w:p w:rsidR="0041205F" w:rsidRPr="00007243" w:rsidRDefault="0041205F" w:rsidP="0041205F">
      <w:pPr>
        <w:tabs>
          <w:tab w:val="left" w:pos="1418"/>
        </w:tabs>
        <w:ind w:right="566"/>
        <w:rPr>
          <w:bCs/>
          <w:sz w:val="22"/>
        </w:rPr>
      </w:pPr>
      <w:r w:rsidRPr="00007243">
        <w:rPr>
          <w:bCs/>
          <w:sz w:val="22"/>
        </w:rPr>
        <w:t>Menej časté:</w:t>
      </w:r>
      <w:r w:rsidRPr="00007243">
        <w:rPr>
          <w:bCs/>
          <w:sz w:val="22"/>
        </w:rPr>
        <w:tab/>
      </w:r>
      <w:r w:rsidR="00DE4DFC" w:rsidRPr="00007243">
        <w:rPr>
          <w:bCs/>
          <w:sz w:val="22"/>
        </w:rPr>
        <w:t>prechodný ischemický atak, synkopa, parestézia, dysgeúzia</w:t>
      </w:r>
    </w:p>
    <w:p w:rsidR="0041205F" w:rsidRPr="00007243" w:rsidRDefault="0041205F" w:rsidP="0041205F">
      <w:pPr>
        <w:tabs>
          <w:tab w:val="left" w:pos="1418"/>
        </w:tabs>
        <w:ind w:right="566"/>
        <w:rPr>
          <w:bCs/>
          <w:sz w:val="22"/>
        </w:rPr>
      </w:pPr>
      <w:r w:rsidRPr="00007243">
        <w:rPr>
          <w:bCs/>
          <w:sz w:val="22"/>
        </w:rPr>
        <w:t>Zriedkavé:</w:t>
      </w:r>
      <w:r w:rsidRPr="00007243">
        <w:rPr>
          <w:bCs/>
          <w:sz w:val="22"/>
        </w:rPr>
        <w:tab/>
        <w:t>porucha rovnováhy</w:t>
      </w:r>
    </w:p>
    <w:p w:rsidR="0041205F" w:rsidRPr="00007243" w:rsidRDefault="0041205F" w:rsidP="0041205F">
      <w:pPr>
        <w:tabs>
          <w:tab w:val="left" w:pos="1418"/>
        </w:tabs>
        <w:ind w:right="566"/>
        <w:rPr>
          <w:bCs/>
          <w:sz w:val="22"/>
        </w:rPr>
      </w:pPr>
      <w:r w:rsidRPr="00007243">
        <w:rPr>
          <w:bCs/>
          <w:sz w:val="22"/>
        </w:rPr>
        <w:t>Neznáme:</w:t>
      </w:r>
      <w:r w:rsidRPr="00007243">
        <w:rPr>
          <w:bCs/>
          <w:sz w:val="22"/>
        </w:rPr>
        <w:tab/>
      </w:r>
      <w:r w:rsidR="00DE4DFC" w:rsidRPr="00007243">
        <w:rPr>
          <w:bCs/>
          <w:sz w:val="22"/>
        </w:rPr>
        <w:t>cievna mozgová príhoda</w:t>
      </w:r>
    </w:p>
    <w:p w:rsidR="00DE4DFC" w:rsidRPr="00007243" w:rsidRDefault="00DE4DFC" w:rsidP="0041205F">
      <w:pPr>
        <w:tabs>
          <w:tab w:val="left" w:pos="1418"/>
        </w:tabs>
        <w:ind w:right="566"/>
        <w:rPr>
          <w:bCs/>
          <w:sz w:val="22"/>
        </w:rPr>
      </w:pPr>
    </w:p>
    <w:p w:rsidR="0041205F" w:rsidRPr="00007243" w:rsidRDefault="0041205F" w:rsidP="0041205F">
      <w:pPr>
        <w:tabs>
          <w:tab w:val="left" w:pos="8505"/>
        </w:tabs>
        <w:ind w:right="566"/>
        <w:rPr>
          <w:bCs/>
          <w:i/>
          <w:iCs/>
          <w:sz w:val="22"/>
        </w:rPr>
      </w:pPr>
      <w:r w:rsidRPr="00007243">
        <w:rPr>
          <w:bCs/>
          <w:i/>
          <w:iCs/>
          <w:sz w:val="22"/>
        </w:rPr>
        <w:t>Poruchy oka</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Menej časté:</w:t>
      </w:r>
      <w:r w:rsidRPr="00007243">
        <w:rPr>
          <w:rFonts w:ascii="Times New Roman" w:hAnsi="Times New Roman"/>
          <w:sz w:val="22"/>
        </w:rPr>
        <w:tab/>
        <w:t>amblyopia</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Zriedkavé:</w:t>
      </w:r>
      <w:r w:rsidRPr="00007243">
        <w:rPr>
          <w:rFonts w:ascii="Times New Roman" w:hAnsi="Times New Roman"/>
          <w:sz w:val="22"/>
        </w:rPr>
        <w:tab/>
        <w:t>rozmazané videnie</w:t>
      </w:r>
    </w:p>
    <w:p w:rsidR="0041205F" w:rsidRPr="00007243" w:rsidRDefault="0041205F" w:rsidP="0041205F">
      <w:pPr>
        <w:tabs>
          <w:tab w:val="left" w:pos="8505"/>
        </w:tabs>
        <w:ind w:right="566"/>
        <w:rPr>
          <w:bCs/>
          <w:sz w:val="22"/>
        </w:rPr>
      </w:pPr>
    </w:p>
    <w:p w:rsidR="0041205F" w:rsidRPr="00007243" w:rsidRDefault="0041205F" w:rsidP="0041205F">
      <w:pPr>
        <w:tabs>
          <w:tab w:val="left" w:pos="8505"/>
        </w:tabs>
        <w:ind w:right="566"/>
        <w:rPr>
          <w:bCs/>
          <w:i/>
          <w:iCs/>
          <w:sz w:val="22"/>
        </w:rPr>
      </w:pPr>
      <w:r w:rsidRPr="00007243">
        <w:rPr>
          <w:bCs/>
          <w:i/>
          <w:iCs/>
          <w:sz w:val="22"/>
        </w:rPr>
        <w:t>Poruchy ucha a labyrintu</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Menej časté:</w:t>
      </w:r>
      <w:r w:rsidRPr="00007243">
        <w:rPr>
          <w:rFonts w:ascii="Times New Roman" w:hAnsi="Times New Roman"/>
          <w:sz w:val="22"/>
        </w:rPr>
        <w:tab/>
      </w:r>
      <w:r w:rsidR="00DE4DFC" w:rsidRPr="00007243">
        <w:rPr>
          <w:rFonts w:ascii="Times New Roman" w:hAnsi="Times New Roman"/>
          <w:sz w:val="22"/>
          <w:szCs w:val="22"/>
        </w:rPr>
        <w:t>vertigo,</w:t>
      </w:r>
      <w:r w:rsidR="00DE4DFC" w:rsidRPr="00007243">
        <w:rPr>
          <w:rFonts w:ascii="Times New Roman" w:hAnsi="Times New Roman"/>
          <w:sz w:val="22"/>
        </w:rPr>
        <w:t xml:space="preserve"> </w:t>
      </w:r>
      <w:r w:rsidRPr="00007243">
        <w:rPr>
          <w:rFonts w:ascii="Times New Roman" w:hAnsi="Times New Roman"/>
          <w:sz w:val="22"/>
        </w:rPr>
        <w:t>tinnitus</w:t>
      </w:r>
      <w:r w:rsidRPr="00007243">
        <w:rPr>
          <w:rFonts w:ascii="Times New Roman" w:hAnsi="Times New Roman"/>
          <w:sz w:val="22"/>
          <w:szCs w:val="22"/>
        </w:rPr>
        <w:t xml:space="preserve"> </w:t>
      </w:r>
    </w:p>
    <w:p w:rsidR="0041205F" w:rsidRPr="00007243" w:rsidRDefault="0041205F" w:rsidP="0041205F">
      <w:pPr>
        <w:pStyle w:val="Zkladntext"/>
        <w:rPr>
          <w:rFonts w:ascii="Times New Roman" w:hAnsi="Times New Roman"/>
          <w:sz w:val="22"/>
        </w:rPr>
      </w:pPr>
    </w:p>
    <w:p w:rsidR="0041205F" w:rsidRPr="00007243" w:rsidRDefault="0041205F" w:rsidP="0041205F">
      <w:pPr>
        <w:tabs>
          <w:tab w:val="left" w:pos="8505"/>
        </w:tabs>
        <w:ind w:right="566"/>
        <w:rPr>
          <w:bCs/>
          <w:i/>
          <w:iCs/>
          <w:sz w:val="22"/>
        </w:rPr>
      </w:pPr>
      <w:r w:rsidRPr="00007243">
        <w:rPr>
          <w:bCs/>
          <w:i/>
          <w:iCs/>
          <w:sz w:val="22"/>
        </w:rPr>
        <w:t>Poruchy srdca a srdcovej činnosti</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Časté:</w:t>
      </w:r>
      <w:r w:rsidRPr="00007243">
        <w:rPr>
          <w:rFonts w:ascii="Times New Roman" w:hAnsi="Times New Roman"/>
          <w:sz w:val="22"/>
        </w:rPr>
        <w:tab/>
      </w:r>
      <w:r w:rsidR="00DE4DFC" w:rsidRPr="00007243">
        <w:rPr>
          <w:rFonts w:ascii="Times New Roman" w:hAnsi="Times New Roman"/>
          <w:sz w:val="22"/>
        </w:rPr>
        <w:t>angina pectoris, tachykardia</w:t>
      </w:r>
      <w:r w:rsidR="00DE4DFC" w:rsidRPr="00007243">
        <w:rPr>
          <w:rFonts w:ascii="Times New Roman" w:hAnsi="Times New Roman"/>
          <w:sz w:val="22"/>
          <w:szCs w:val="22"/>
        </w:rPr>
        <w:t xml:space="preserve">, </w:t>
      </w:r>
      <w:r w:rsidR="00DE4DFC" w:rsidRPr="00007243">
        <w:rPr>
          <w:rFonts w:ascii="Times New Roman" w:hAnsi="Times New Roman"/>
          <w:sz w:val="22"/>
        </w:rPr>
        <w:t xml:space="preserve">palpitácie </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Menej časté:</w:t>
      </w:r>
      <w:r w:rsidRPr="00007243">
        <w:rPr>
          <w:rFonts w:ascii="Times New Roman" w:hAnsi="Times New Roman"/>
          <w:sz w:val="22"/>
        </w:rPr>
        <w:tab/>
      </w:r>
      <w:r w:rsidR="00DE4DFC" w:rsidRPr="00007243">
        <w:rPr>
          <w:rFonts w:ascii="Times New Roman" w:hAnsi="Times New Roman"/>
          <w:sz w:val="22"/>
        </w:rPr>
        <w:t>infarkt myokardu</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Neznáme:</w:t>
      </w:r>
      <w:r w:rsidRPr="00007243">
        <w:rPr>
          <w:rFonts w:ascii="Times New Roman" w:hAnsi="Times New Roman"/>
          <w:sz w:val="22"/>
        </w:rPr>
        <w:tab/>
        <w:t>arytmia</w:t>
      </w:r>
    </w:p>
    <w:p w:rsidR="0041205F" w:rsidRPr="00007243" w:rsidRDefault="0041205F" w:rsidP="0041205F">
      <w:pPr>
        <w:tabs>
          <w:tab w:val="left" w:pos="8505"/>
        </w:tabs>
        <w:ind w:right="566"/>
        <w:rPr>
          <w:bCs/>
          <w:sz w:val="22"/>
        </w:rPr>
      </w:pPr>
    </w:p>
    <w:p w:rsidR="0041205F" w:rsidRPr="00007243" w:rsidRDefault="0041205F" w:rsidP="0041205F">
      <w:pPr>
        <w:tabs>
          <w:tab w:val="left" w:pos="8505"/>
        </w:tabs>
        <w:ind w:right="566"/>
        <w:rPr>
          <w:bCs/>
          <w:i/>
          <w:iCs/>
          <w:sz w:val="22"/>
        </w:rPr>
      </w:pPr>
      <w:r w:rsidRPr="00007243">
        <w:rPr>
          <w:bCs/>
          <w:i/>
          <w:iCs/>
          <w:sz w:val="22"/>
        </w:rPr>
        <w:t>Poruchy ciev</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Časté:</w:t>
      </w:r>
      <w:r w:rsidRPr="00007243">
        <w:rPr>
          <w:rFonts w:ascii="Times New Roman" w:hAnsi="Times New Roman"/>
          <w:sz w:val="22"/>
        </w:rPr>
        <w:tab/>
        <w:t>vazodilatácia</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Menej časté:</w:t>
      </w:r>
      <w:r w:rsidRPr="00007243">
        <w:rPr>
          <w:rFonts w:ascii="Times New Roman" w:hAnsi="Times New Roman"/>
          <w:sz w:val="22"/>
        </w:rPr>
        <w:tab/>
        <w:t>hypotenzia</w:t>
      </w:r>
    </w:p>
    <w:p w:rsidR="0041205F" w:rsidRPr="00007243" w:rsidRDefault="0041205F" w:rsidP="0041205F">
      <w:pPr>
        <w:pStyle w:val="Zkladntext"/>
        <w:tabs>
          <w:tab w:val="clear" w:pos="8505"/>
          <w:tab w:val="left" w:pos="1418"/>
        </w:tabs>
        <w:ind w:right="-1"/>
        <w:rPr>
          <w:rFonts w:ascii="Times New Roman" w:hAnsi="Times New Roman"/>
          <w:sz w:val="22"/>
        </w:rPr>
      </w:pPr>
      <w:r w:rsidRPr="00007243">
        <w:rPr>
          <w:rFonts w:ascii="Times New Roman" w:hAnsi="Times New Roman"/>
          <w:sz w:val="22"/>
        </w:rPr>
        <w:t>Neznáme:</w:t>
      </w:r>
      <w:r w:rsidRPr="00007243">
        <w:rPr>
          <w:rFonts w:ascii="Times New Roman" w:hAnsi="Times New Roman"/>
          <w:sz w:val="22"/>
        </w:rPr>
        <w:tab/>
      </w:r>
      <w:r w:rsidR="00DE4DFC" w:rsidRPr="00007243">
        <w:rPr>
          <w:rFonts w:ascii="Times New Roman" w:hAnsi="Times New Roman"/>
          <w:bCs w:val="0"/>
          <w:sz w:val="22"/>
        </w:rPr>
        <w:t>ortostatická</w:t>
      </w:r>
      <w:r w:rsidRPr="00007243">
        <w:rPr>
          <w:rFonts w:ascii="Times New Roman" w:hAnsi="Times New Roman"/>
          <w:bCs w:val="0"/>
          <w:sz w:val="22"/>
        </w:rPr>
        <w:t xml:space="preserve"> hypotenzia</w:t>
      </w:r>
    </w:p>
    <w:p w:rsidR="0041205F" w:rsidRPr="00007243" w:rsidRDefault="0041205F" w:rsidP="0041205F">
      <w:pPr>
        <w:tabs>
          <w:tab w:val="left" w:pos="8505"/>
        </w:tabs>
        <w:ind w:right="566"/>
        <w:rPr>
          <w:bCs/>
          <w:sz w:val="22"/>
        </w:rPr>
      </w:pPr>
    </w:p>
    <w:p w:rsidR="0041205F" w:rsidRPr="00007243" w:rsidRDefault="0041205F" w:rsidP="0041205F">
      <w:pPr>
        <w:tabs>
          <w:tab w:val="left" w:pos="8505"/>
        </w:tabs>
        <w:ind w:right="566"/>
        <w:rPr>
          <w:bCs/>
          <w:i/>
          <w:iCs/>
          <w:sz w:val="22"/>
        </w:rPr>
      </w:pPr>
      <w:r w:rsidRPr="00007243">
        <w:rPr>
          <w:bCs/>
          <w:i/>
          <w:iCs/>
          <w:sz w:val="22"/>
        </w:rPr>
        <w:t>Poruchy dýchacej sústavy, hrudníka a mediastína</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Časté:</w:t>
      </w:r>
      <w:r w:rsidRPr="00007243">
        <w:rPr>
          <w:rFonts w:ascii="Times New Roman" w:hAnsi="Times New Roman"/>
          <w:sz w:val="22"/>
        </w:rPr>
        <w:tab/>
        <w:t>kašeľ</w:t>
      </w:r>
    </w:p>
    <w:p w:rsidR="0041205F" w:rsidRPr="00007243" w:rsidRDefault="0041205F" w:rsidP="0041205F">
      <w:pPr>
        <w:tabs>
          <w:tab w:val="left" w:pos="1418"/>
        </w:tabs>
        <w:ind w:right="566"/>
        <w:rPr>
          <w:bCs/>
          <w:sz w:val="22"/>
        </w:rPr>
      </w:pPr>
      <w:r w:rsidRPr="00007243">
        <w:rPr>
          <w:bCs/>
          <w:sz w:val="22"/>
        </w:rPr>
        <w:t>Menej časté:</w:t>
      </w:r>
      <w:r w:rsidRPr="00007243">
        <w:rPr>
          <w:bCs/>
          <w:sz w:val="22"/>
        </w:rPr>
        <w:tab/>
        <w:t>dyspnoe</w:t>
      </w:r>
      <w:r w:rsidRPr="00007243">
        <w:rPr>
          <w:sz w:val="22"/>
          <w:szCs w:val="22"/>
        </w:rPr>
        <w:t>, s</w:t>
      </w:r>
      <w:r w:rsidR="007E6987" w:rsidRPr="00007243">
        <w:rPr>
          <w:sz w:val="22"/>
          <w:szCs w:val="22"/>
        </w:rPr>
        <w:t>uché hrdlo</w:t>
      </w:r>
    </w:p>
    <w:p w:rsidR="007E6987" w:rsidRPr="00007243" w:rsidRDefault="0041205F" w:rsidP="0041205F">
      <w:pPr>
        <w:tabs>
          <w:tab w:val="left" w:pos="1418"/>
        </w:tabs>
        <w:ind w:right="566"/>
        <w:rPr>
          <w:sz w:val="22"/>
          <w:szCs w:val="22"/>
        </w:rPr>
      </w:pPr>
      <w:r w:rsidRPr="00007243">
        <w:rPr>
          <w:bCs/>
          <w:sz w:val="22"/>
        </w:rPr>
        <w:t>Zriedkavé:</w:t>
      </w:r>
      <w:r w:rsidRPr="00007243">
        <w:rPr>
          <w:bCs/>
          <w:sz w:val="22"/>
        </w:rPr>
        <w:tab/>
        <w:t>eozinofilná pneumonitída</w:t>
      </w:r>
      <w:r w:rsidRPr="00007243">
        <w:rPr>
          <w:sz w:val="22"/>
          <w:szCs w:val="22"/>
        </w:rPr>
        <w:t xml:space="preserve">, </w:t>
      </w:r>
      <w:r w:rsidR="007E6987" w:rsidRPr="00007243">
        <w:rPr>
          <w:sz w:val="22"/>
          <w:szCs w:val="22"/>
        </w:rPr>
        <w:t xml:space="preserve">obštrukcia horných dýchacích ciest spôsobená </w:t>
      </w:r>
    </w:p>
    <w:p w:rsidR="0041205F" w:rsidRPr="00007243" w:rsidRDefault="007E6987" w:rsidP="0041205F">
      <w:pPr>
        <w:tabs>
          <w:tab w:val="left" w:pos="1418"/>
        </w:tabs>
        <w:ind w:right="566"/>
        <w:rPr>
          <w:sz w:val="22"/>
          <w:szCs w:val="22"/>
        </w:rPr>
      </w:pPr>
      <w:r w:rsidRPr="00007243">
        <w:rPr>
          <w:sz w:val="22"/>
          <w:szCs w:val="22"/>
        </w:rPr>
        <w:tab/>
      </w:r>
      <w:r w:rsidR="0041205F" w:rsidRPr="00007243">
        <w:rPr>
          <w:sz w:val="22"/>
          <w:szCs w:val="22"/>
        </w:rPr>
        <w:t>angioneurotický</w:t>
      </w:r>
      <w:r w:rsidRPr="00007243">
        <w:rPr>
          <w:sz w:val="22"/>
          <w:szCs w:val="22"/>
        </w:rPr>
        <w:t>m</w:t>
      </w:r>
      <w:r w:rsidR="0041205F" w:rsidRPr="00007243">
        <w:rPr>
          <w:sz w:val="22"/>
          <w:szCs w:val="22"/>
        </w:rPr>
        <w:t xml:space="preserve"> edém</w:t>
      </w:r>
      <w:r w:rsidRPr="00007243">
        <w:rPr>
          <w:sz w:val="22"/>
          <w:szCs w:val="22"/>
        </w:rPr>
        <w:t>om (môže byť fatálna)</w:t>
      </w:r>
    </w:p>
    <w:p w:rsidR="0041205F" w:rsidRPr="00007243" w:rsidRDefault="0041205F" w:rsidP="0041205F">
      <w:pPr>
        <w:tabs>
          <w:tab w:val="left" w:pos="1418"/>
        </w:tabs>
        <w:ind w:right="566"/>
        <w:rPr>
          <w:bCs/>
          <w:sz w:val="22"/>
        </w:rPr>
      </w:pPr>
      <w:r w:rsidRPr="00007243">
        <w:rPr>
          <w:sz w:val="22"/>
          <w:szCs w:val="22"/>
        </w:rPr>
        <w:t>Neznáme:</w:t>
      </w:r>
      <w:r w:rsidRPr="00007243">
        <w:rPr>
          <w:sz w:val="22"/>
          <w:szCs w:val="22"/>
        </w:rPr>
        <w:tab/>
      </w:r>
      <w:r w:rsidRPr="00007243">
        <w:rPr>
          <w:bCs/>
          <w:sz w:val="22"/>
        </w:rPr>
        <w:t>bronchospazmus</w:t>
      </w:r>
    </w:p>
    <w:p w:rsidR="0041205F" w:rsidRPr="00007243" w:rsidRDefault="0041205F" w:rsidP="0041205F">
      <w:pPr>
        <w:tabs>
          <w:tab w:val="left" w:pos="8505"/>
        </w:tabs>
        <w:ind w:right="566"/>
        <w:rPr>
          <w:bCs/>
          <w:i/>
          <w:iCs/>
          <w:sz w:val="22"/>
        </w:rPr>
      </w:pPr>
    </w:p>
    <w:p w:rsidR="0041205F" w:rsidRPr="00007243" w:rsidRDefault="0041205F" w:rsidP="0041205F">
      <w:pPr>
        <w:tabs>
          <w:tab w:val="left" w:pos="8505"/>
        </w:tabs>
        <w:ind w:right="566"/>
        <w:rPr>
          <w:bCs/>
          <w:i/>
          <w:iCs/>
          <w:sz w:val="22"/>
        </w:rPr>
      </w:pPr>
      <w:r w:rsidRPr="00007243">
        <w:rPr>
          <w:bCs/>
          <w:i/>
          <w:iCs/>
          <w:sz w:val="22"/>
        </w:rPr>
        <w:t>Poruchy gastrointestinálneho traktu</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Časté:</w:t>
      </w:r>
      <w:r w:rsidRPr="00007243">
        <w:rPr>
          <w:rFonts w:ascii="Times New Roman" w:hAnsi="Times New Roman"/>
          <w:sz w:val="22"/>
        </w:rPr>
        <w:tab/>
      </w:r>
      <w:r w:rsidRPr="00007243">
        <w:rPr>
          <w:rFonts w:ascii="Times New Roman" w:hAnsi="Times New Roman"/>
          <w:sz w:val="22"/>
        </w:rPr>
        <w:tab/>
      </w:r>
      <w:r w:rsidR="007E6987" w:rsidRPr="00007243">
        <w:rPr>
          <w:rFonts w:ascii="Times New Roman" w:hAnsi="Times New Roman"/>
          <w:sz w:val="22"/>
          <w:szCs w:val="22"/>
        </w:rPr>
        <w:t>vracanie,</w:t>
      </w:r>
      <w:r w:rsidR="007E6987" w:rsidRPr="00007243">
        <w:rPr>
          <w:rFonts w:ascii="Times New Roman" w:hAnsi="Times New Roman"/>
          <w:sz w:val="22"/>
        </w:rPr>
        <w:t xml:space="preserve"> hnačka, </w:t>
      </w:r>
      <w:r w:rsidR="007E6987" w:rsidRPr="00007243">
        <w:rPr>
          <w:rFonts w:ascii="Times New Roman" w:hAnsi="Times New Roman"/>
          <w:sz w:val="22"/>
          <w:szCs w:val="22"/>
        </w:rPr>
        <w:t xml:space="preserve">dyspepsia, </w:t>
      </w:r>
      <w:r w:rsidRPr="00007243">
        <w:rPr>
          <w:rFonts w:ascii="Times New Roman" w:hAnsi="Times New Roman"/>
          <w:sz w:val="22"/>
        </w:rPr>
        <w:t>bolesť brucha</w:t>
      </w:r>
      <w:r w:rsidRPr="00007243">
        <w:rPr>
          <w:rFonts w:ascii="Times New Roman" w:hAnsi="Times New Roman"/>
          <w:sz w:val="22"/>
          <w:szCs w:val="22"/>
        </w:rPr>
        <w:t>, nauze</w:t>
      </w:r>
      <w:r w:rsidR="007E6987" w:rsidRPr="00007243">
        <w:rPr>
          <w:rFonts w:ascii="Times New Roman" w:hAnsi="Times New Roman"/>
          <w:sz w:val="22"/>
          <w:szCs w:val="22"/>
        </w:rPr>
        <w:t>a</w:t>
      </w:r>
    </w:p>
    <w:p w:rsidR="007E6987" w:rsidRPr="00007243" w:rsidRDefault="0041205F" w:rsidP="0041205F">
      <w:pPr>
        <w:tabs>
          <w:tab w:val="left" w:pos="1418"/>
        </w:tabs>
        <w:ind w:right="566"/>
        <w:rPr>
          <w:bCs/>
          <w:sz w:val="22"/>
        </w:rPr>
      </w:pPr>
      <w:r w:rsidRPr="00007243">
        <w:rPr>
          <w:bCs/>
          <w:sz w:val="22"/>
        </w:rPr>
        <w:t>Menej časté:</w:t>
      </w:r>
      <w:r w:rsidRPr="00007243">
        <w:rPr>
          <w:bCs/>
          <w:sz w:val="22"/>
        </w:rPr>
        <w:tab/>
      </w:r>
      <w:r w:rsidRPr="00007243">
        <w:rPr>
          <w:bCs/>
          <w:sz w:val="22"/>
        </w:rPr>
        <w:tab/>
        <w:t xml:space="preserve">flatulencia, sucho v ústach </w:t>
      </w:r>
    </w:p>
    <w:p w:rsidR="0041205F" w:rsidRPr="00007243" w:rsidRDefault="0041205F" w:rsidP="0041205F">
      <w:pPr>
        <w:tabs>
          <w:tab w:val="left" w:pos="1418"/>
        </w:tabs>
        <w:ind w:right="566"/>
        <w:rPr>
          <w:bCs/>
          <w:sz w:val="22"/>
        </w:rPr>
      </w:pPr>
      <w:r w:rsidRPr="00007243">
        <w:rPr>
          <w:bCs/>
          <w:sz w:val="22"/>
        </w:rPr>
        <w:t>Zriedkavé:</w:t>
      </w:r>
      <w:r w:rsidRPr="00007243">
        <w:rPr>
          <w:bCs/>
          <w:sz w:val="22"/>
        </w:rPr>
        <w:tab/>
      </w:r>
      <w:r w:rsidRPr="00007243">
        <w:rPr>
          <w:bCs/>
          <w:sz w:val="22"/>
        </w:rPr>
        <w:tab/>
        <w:t>zápcha, glositída</w:t>
      </w:r>
    </w:p>
    <w:p w:rsidR="0041205F" w:rsidRPr="00007243" w:rsidRDefault="0041205F" w:rsidP="0041205F">
      <w:pPr>
        <w:tabs>
          <w:tab w:val="left" w:pos="1418"/>
        </w:tabs>
        <w:ind w:right="566"/>
        <w:rPr>
          <w:bCs/>
          <w:sz w:val="22"/>
        </w:rPr>
      </w:pPr>
      <w:r w:rsidRPr="00007243">
        <w:rPr>
          <w:bCs/>
          <w:sz w:val="22"/>
        </w:rPr>
        <w:t>Veľmi zriedkavé:</w:t>
      </w:r>
      <w:r w:rsidRPr="00007243">
        <w:rPr>
          <w:bCs/>
          <w:sz w:val="22"/>
        </w:rPr>
        <w:tab/>
        <w:t xml:space="preserve">ileus, </w:t>
      </w:r>
      <w:r w:rsidR="007E6987" w:rsidRPr="00007243">
        <w:rPr>
          <w:bCs/>
          <w:sz w:val="22"/>
        </w:rPr>
        <w:t xml:space="preserve">malý </w:t>
      </w:r>
      <w:r w:rsidRPr="00007243">
        <w:rPr>
          <w:bCs/>
          <w:sz w:val="22"/>
        </w:rPr>
        <w:t>intestinálny angioedém</w:t>
      </w:r>
    </w:p>
    <w:p w:rsidR="0041205F" w:rsidRPr="00007243" w:rsidRDefault="0041205F" w:rsidP="0041205F">
      <w:pPr>
        <w:tabs>
          <w:tab w:val="left" w:pos="1418"/>
        </w:tabs>
        <w:ind w:right="566"/>
        <w:rPr>
          <w:bCs/>
          <w:sz w:val="22"/>
        </w:rPr>
      </w:pPr>
      <w:r w:rsidRPr="00007243">
        <w:rPr>
          <w:bCs/>
          <w:sz w:val="22"/>
        </w:rPr>
        <w:t>Neznáme:</w:t>
      </w:r>
      <w:r w:rsidRPr="00007243">
        <w:rPr>
          <w:bCs/>
          <w:sz w:val="22"/>
        </w:rPr>
        <w:tab/>
      </w:r>
      <w:r w:rsidRPr="00007243">
        <w:rPr>
          <w:bCs/>
          <w:sz w:val="22"/>
        </w:rPr>
        <w:tab/>
        <w:t>pankreatitída</w:t>
      </w:r>
    </w:p>
    <w:p w:rsidR="0041205F" w:rsidRPr="00007243" w:rsidRDefault="0041205F" w:rsidP="0041205F">
      <w:pPr>
        <w:tabs>
          <w:tab w:val="left" w:pos="8505"/>
        </w:tabs>
        <w:ind w:right="566"/>
        <w:rPr>
          <w:bCs/>
          <w:sz w:val="22"/>
        </w:rPr>
      </w:pPr>
    </w:p>
    <w:p w:rsidR="0041205F" w:rsidRPr="00007243" w:rsidRDefault="0041205F" w:rsidP="0041205F">
      <w:pPr>
        <w:tabs>
          <w:tab w:val="left" w:pos="8505"/>
        </w:tabs>
        <w:ind w:right="566"/>
        <w:rPr>
          <w:bCs/>
          <w:i/>
          <w:iCs/>
          <w:sz w:val="22"/>
        </w:rPr>
      </w:pPr>
      <w:r w:rsidRPr="00007243">
        <w:rPr>
          <w:bCs/>
          <w:i/>
          <w:iCs/>
          <w:sz w:val="22"/>
        </w:rPr>
        <w:t>Poruchy pečene a žlčových ciest</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Neznáme:</w:t>
      </w:r>
      <w:r w:rsidRPr="00007243">
        <w:rPr>
          <w:rFonts w:ascii="Times New Roman" w:hAnsi="Times New Roman"/>
          <w:sz w:val="22"/>
        </w:rPr>
        <w:tab/>
      </w:r>
      <w:r w:rsidR="00C84520">
        <w:rPr>
          <w:rFonts w:ascii="Times New Roman" w:hAnsi="Times New Roman"/>
          <w:sz w:val="22"/>
        </w:rPr>
        <w:tab/>
      </w:r>
      <w:r w:rsidRPr="00007243">
        <w:rPr>
          <w:rFonts w:ascii="Times New Roman" w:hAnsi="Times New Roman"/>
          <w:sz w:val="22"/>
        </w:rPr>
        <w:t>hepatitída</w:t>
      </w:r>
      <w:r w:rsidRPr="00007243">
        <w:rPr>
          <w:rFonts w:ascii="Times New Roman" w:hAnsi="Times New Roman"/>
          <w:sz w:val="22"/>
          <w:szCs w:val="22"/>
        </w:rPr>
        <w:t>, cholestatická žltačka</w:t>
      </w:r>
    </w:p>
    <w:p w:rsidR="0041205F" w:rsidRPr="00007243" w:rsidRDefault="0041205F" w:rsidP="0041205F">
      <w:pPr>
        <w:tabs>
          <w:tab w:val="left" w:pos="8505"/>
        </w:tabs>
        <w:ind w:right="566"/>
        <w:rPr>
          <w:bCs/>
          <w:i/>
          <w:sz w:val="22"/>
        </w:rPr>
      </w:pPr>
    </w:p>
    <w:p w:rsidR="0041205F" w:rsidRPr="00007243" w:rsidRDefault="0041205F" w:rsidP="0041205F">
      <w:pPr>
        <w:tabs>
          <w:tab w:val="left" w:pos="8505"/>
        </w:tabs>
        <w:ind w:right="566"/>
        <w:rPr>
          <w:bCs/>
          <w:i/>
          <w:iCs/>
          <w:sz w:val="22"/>
        </w:rPr>
      </w:pPr>
      <w:r w:rsidRPr="00007243">
        <w:rPr>
          <w:bCs/>
          <w:i/>
          <w:iCs/>
          <w:sz w:val="22"/>
        </w:rPr>
        <w:t>Poruchy kože a podkožného tkaniva</w:t>
      </w:r>
    </w:p>
    <w:p w:rsidR="0041205F" w:rsidRPr="00007243" w:rsidRDefault="0041205F" w:rsidP="0041205F">
      <w:pPr>
        <w:pStyle w:val="Zkladntext"/>
        <w:tabs>
          <w:tab w:val="clear" w:pos="8505"/>
          <w:tab w:val="left" w:pos="1418"/>
        </w:tabs>
        <w:ind w:left="2124" w:right="-1" w:hanging="2124"/>
        <w:rPr>
          <w:rFonts w:ascii="Times New Roman" w:hAnsi="Times New Roman"/>
          <w:sz w:val="22"/>
        </w:rPr>
      </w:pPr>
      <w:r w:rsidRPr="00007243">
        <w:rPr>
          <w:rFonts w:ascii="Times New Roman" w:hAnsi="Times New Roman"/>
          <w:sz w:val="22"/>
        </w:rPr>
        <w:t>Menej časté:</w:t>
      </w:r>
      <w:r w:rsidRPr="00007243">
        <w:rPr>
          <w:rFonts w:ascii="Times New Roman" w:hAnsi="Times New Roman"/>
          <w:sz w:val="22"/>
        </w:rPr>
        <w:tab/>
      </w:r>
      <w:r w:rsidRPr="00007243">
        <w:rPr>
          <w:rFonts w:ascii="Times New Roman" w:hAnsi="Times New Roman"/>
          <w:sz w:val="22"/>
        </w:rPr>
        <w:tab/>
        <w:t>alopécia, fotosenzitivita</w:t>
      </w:r>
      <w:r w:rsidRPr="00007243">
        <w:rPr>
          <w:rFonts w:ascii="Times New Roman" w:hAnsi="Times New Roman"/>
          <w:sz w:val="22"/>
          <w:szCs w:val="22"/>
        </w:rPr>
        <w:t>, pruritus, vyrážka, angioedém, zvýšené potenie</w:t>
      </w:r>
    </w:p>
    <w:p w:rsidR="0041205F" w:rsidRPr="00007243" w:rsidRDefault="0041205F" w:rsidP="0041205F">
      <w:pPr>
        <w:pStyle w:val="Zkladntext"/>
        <w:tabs>
          <w:tab w:val="clear" w:pos="8505"/>
          <w:tab w:val="left" w:pos="1418"/>
        </w:tabs>
        <w:ind w:left="2124" w:hanging="2124"/>
        <w:rPr>
          <w:rFonts w:ascii="Times New Roman" w:hAnsi="Times New Roman"/>
          <w:sz w:val="22"/>
        </w:rPr>
      </w:pPr>
      <w:r w:rsidRPr="00007243">
        <w:rPr>
          <w:rFonts w:ascii="Times New Roman" w:hAnsi="Times New Roman"/>
          <w:sz w:val="22"/>
        </w:rPr>
        <w:t>Zriedkavé:</w:t>
      </w:r>
      <w:r w:rsidRPr="00007243">
        <w:rPr>
          <w:rFonts w:ascii="Times New Roman" w:hAnsi="Times New Roman"/>
          <w:sz w:val="22"/>
        </w:rPr>
        <w:tab/>
      </w:r>
      <w:r w:rsidRPr="00007243">
        <w:rPr>
          <w:rFonts w:ascii="Times New Roman" w:hAnsi="Times New Roman"/>
          <w:sz w:val="22"/>
        </w:rPr>
        <w:tab/>
        <w:t xml:space="preserve">zmeny kože môžu byť spojené s horúčkou, bolesťou svalov a kĺbov (myalgia, artralgia, artritída), zápalom ciev (vaskulitída), </w:t>
      </w:r>
      <w:r w:rsidR="007E6987" w:rsidRPr="00007243">
        <w:rPr>
          <w:rFonts w:ascii="Times New Roman" w:hAnsi="Times New Roman"/>
          <w:sz w:val="22"/>
        </w:rPr>
        <w:t xml:space="preserve">psoriatická dermatitída, pozitívny ANA-titer, </w:t>
      </w:r>
      <w:r w:rsidR="00215A7D" w:rsidRPr="00007243">
        <w:rPr>
          <w:rFonts w:ascii="Times New Roman" w:hAnsi="Times New Roman"/>
          <w:sz w:val="22"/>
        </w:rPr>
        <w:t>zvýšenie SR, eozinofília a leukocytóza.</w:t>
      </w:r>
    </w:p>
    <w:p w:rsidR="0041205F" w:rsidRPr="00FC136C" w:rsidRDefault="0041205F" w:rsidP="00FC136C">
      <w:pPr>
        <w:pStyle w:val="Zkladntext3"/>
        <w:tabs>
          <w:tab w:val="left" w:pos="1418"/>
        </w:tabs>
        <w:spacing w:after="0"/>
        <w:rPr>
          <w:sz w:val="22"/>
          <w:szCs w:val="22"/>
        </w:rPr>
      </w:pPr>
      <w:r w:rsidRPr="00FC136C">
        <w:rPr>
          <w:sz w:val="22"/>
          <w:szCs w:val="22"/>
        </w:rPr>
        <w:t>Veľmi zriedkavé:</w:t>
      </w:r>
      <w:r w:rsidRPr="00FC136C">
        <w:rPr>
          <w:sz w:val="22"/>
          <w:szCs w:val="22"/>
        </w:rPr>
        <w:tab/>
        <w:t>urtikária</w:t>
      </w:r>
    </w:p>
    <w:p w:rsidR="0041205F" w:rsidRPr="00FC136C" w:rsidRDefault="0041205F" w:rsidP="00FC136C">
      <w:pPr>
        <w:pStyle w:val="Zkladntext3"/>
        <w:tabs>
          <w:tab w:val="left" w:pos="1418"/>
        </w:tabs>
        <w:spacing w:after="0"/>
        <w:ind w:left="2124" w:hanging="2124"/>
        <w:rPr>
          <w:bCs/>
          <w:sz w:val="22"/>
          <w:szCs w:val="22"/>
        </w:rPr>
      </w:pPr>
      <w:r w:rsidRPr="00FC136C">
        <w:rPr>
          <w:sz w:val="22"/>
          <w:szCs w:val="22"/>
        </w:rPr>
        <w:t>Neznáme:</w:t>
      </w:r>
      <w:r w:rsidRPr="00FC136C">
        <w:rPr>
          <w:sz w:val="22"/>
          <w:szCs w:val="22"/>
        </w:rPr>
        <w:tab/>
      </w:r>
      <w:r w:rsidRPr="00FC136C">
        <w:rPr>
          <w:sz w:val="22"/>
          <w:szCs w:val="22"/>
        </w:rPr>
        <w:tab/>
        <w:t xml:space="preserve">toxická epidermálna nekrolýza, multiformný erytém, exfoliatívna dermatitída, pemfigus, purpura, Stevensov-Johnsonov </w:t>
      </w:r>
      <w:r w:rsidR="00EC7000">
        <w:rPr>
          <w:sz w:val="22"/>
          <w:szCs w:val="22"/>
        </w:rPr>
        <w:t>syndróm</w:t>
      </w:r>
    </w:p>
    <w:p w:rsidR="0041205F" w:rsidRPr="0007201A" w:rsidRDefault="0041205F" w:rsidP="0041205F">
      <w:pPr>
        <w:tabs>
          <w:tab w:val="left" w:pos="8505"/>
        </w:tabs>
        <w:ind w:right="566"/>
        <w:rPr>
          <w:bCs/>
          <w:sz w:val="22"/>
        </w:rPr>
      </w:pPr>
    </w:p>
    <w:p w:rsidR="0041205F" w:rsidRPr="00596E3A" w:rsidRDefault="0041205F" w:rsidP="0041205F">
      <w:pPr>
        <w:tabs>
          <w:tab w:val="left" w:pos="8505"/>
        </w:tabs>
        <w:ind w:right="566"/>
        <w:rPr>
          <w:bCs/>
          <w:i/>
          <w:iCs/>
          <w:sz w:val="22"/>
        </w:rPr>
      </w:pPr>
      <w:r w:rsidRPr="008376DD">
        <w:rPr>
          <w:bCs/>
          <w:i/>
          <w:iCs/>
          <w:sz w:val="22"/>
        </w:rPr>
        <w:t xml:space="preserve">Poruchy </w:t>
      </w:r>
      <w:r w:rsidRPr="00596E3A">
        <w:rPr>
          <w:i/>
          <w:sz w:val="22"/>
          <w:szCs w:val="22"/>
        </w:rPr>
        <w:t>kostrovej a svalovej sústavy a spojivového tkaniva</w:t>
      </w:r>
    </w:p>
    <w:p w:rsidR="0041205F" w:rsidRPr="000304BD" w:rsidRDefault="0041205F" w:rsidP="0041205F">
      <w:pPr>
        <w:tabs>
          <w:tab w:val="left" w:pos="1418"/>
        </w:tabs>
        <w:ind w:right="566"/>
        <w:rPr>
          <w:bCs/>
          <w:sz w:val="22"/>
        </w:rPr>
      </w:pPr>
      <w:r w:rsidRPr="00AB681B">
        <w:rPr>
          <w:bCs/>
          <w:sz w:val="22"/>
        </w:rPr>
        <w:t>Časté:</w:t>
      </w:r>
      <w:r w:rsidRPr="00AB681B">
        <w:rPr>
          <w:bCs/>
          <w:sz w:val="22"/>
        </w:rPr>
        <w:tab/>
        <w:t>bolesť chrbta</w:t>
      </w:r>
      <w:r w:rsidRPr="00AB681B">
        <w:rPr>
          <w:sz w:val="22"/>
          <w:szCs w:val="22"/>
        </w:rPr>
        <w:t>, myalgia</w:t>
      </w:r>
    </w:p>
    <w:p w:rsidR="0041205F" w:rsidRPr="00FC136C" w:rsidRDefault="0041205F" w:rsidP="0041205F">
      <w:pPr>
        <w:tabs>
          <w:tab w:val="left" w:pos="1418"/>
        </w:tabs>
        <w:ind w:right="566"/>
        <w:rPr>
          <w:sz w:val="22"/>
          <w:szCs w:val="22"/>
        </w:rPr>
      </w:pPr>
      <w:r w:rsidRPr="00007243">
        <w:rPr>
          <w:bCs/>
          <w:sz w:val="22"/>
        </w:rPr>
        <w:t>Menej časté:</w:t>
      </w:r>
      <w:r w:rsidRPr="00007243">
        <w:rPr>
          <w:bCs/>
          <w:sz w:val="22"/>
        </w:rPr>
        <w:tab/>
        <w:t>artralgia</w:t>
      </w:r>
    </w:p>
    <w:p w:rsidR="00215A7D" w:rsidRPr="0007201A" w:rsidRDefault="00215A7D" w:rsidP="0041205F">
      <w:pPr>
        <w:tabs>
          <w:tab w:val="left" w:pos="1418"/>
        </w:tabs>
        <w:ind w:right="566"/>
        <w:rPr>
          <w:bCs/>
          <w:sz w:val="22"/>
        </w:rPr>
      </w:pPr>
      <w:r w:rsidRPr="00FC136C">
        <w:rPr>
          <w:sz w:val="22"/>
          <w:szCs w:val="22"/>
        </w:rPr>
        <w:t xml:space="preserve">Neznáme: </w:t>
      </w:r>
      <w:r w:rsidR="00C84520">
        <w:rPr>
          <w:sz w:val="22"/>
          <w:szCs w:val="22"/>
        </w:rPr>
        <w:tab/>
      </w:r>
      <w:r w:rsidRPr="00FC136C">
        <w:rPr>
          <w:sz w:val="22"/>
          <w:szCs w:val="22"/>
        </w:rPr>
        <w:t>systémový lupus erythematosus</w:t>
      </w:r>
    </w:p>
    <w:p w:rsidR="0041205F" w:rsidRPr="008376DD" w:rsidRDefault="0041205F" w:rsidP="0041205F">
      <w:pPr>
        <w:tabs>
          <w:tab w:val="left" w:pos="8505"/>
        </w:tabs>
        <w:ind w:right="566"/>
        <w:rPr>
          <w:bCs/>
          <w:sz w:val="22"/>
        </w:rPr>
      </w:pPr>
    </w:p>
    <w:p w:rsidR="0041205F" w:rsidRPr="00596E3A" w:rsidRDefault="0041205F" w:rsidP="0041205F">
      <w:pPr>
        <w:tabs>
          <w:tab w:val="left" w:pos="8505"/>
        </w:tabs>
        <w:ind w:right="566"/>
        <w:rPr>
          <w:bCs/>
          <w:i/>
          <w:iCs/>
          <w:sz w:val="22"/>
        </w:rPr>
      </w:pPr>
      <w:r w:rsidRPr="00596E3A">
        <w:rPr>
          <w:bCs/>
          <w:i/>
          <w:iCs/>
          <w:sz w:val="22"/>
        </w:rPr>
        <w:t>Poruchy obličiek a močových ciest</w:t>
      </w:r>
    </w:p>
    <w:p w:rsidR="0041205F" w:rsidRPr="000304BD" w:rsidRDefault="0041205F" w:rsidP="0041205F">
      <w:pPr>
        <w:pStyle w:val="Zkladntext"/>
        <w:tabs>
          <w:tab w:val="clear" w:pos="8505"/>
          <w:tab w:val="left" w:pos="1418"/>
        </w:tabs>
        <w:rPr>
          <w:rFonts w:ascii="Times New Roman" w:hAnsi="Times New Roman"/>
          <w:sz w:val="22"/>
          <w:szCs w:val="22"/>
        </w:rPr>
      </w:pPr>
      <w:r w:rsidRPr="00AB681B">
        <w:rPr>
          <w:rFonts w:ascii="Times New Roman" w:hAnsi="Times New Roman"/>
          <w:sz w:val="22"/>
        </w:rPr>
        <w:t>Menej časté:</w:t>
      </w:r>
      <w:r w:rsidRPr="00AB681B">
        <w:rPr>
          <w:rFonts w:ascii="Times New Roman" w:hAnsi="Times New Roman"/>
          <w:sz w:val="22"/>
        </w:rPr>
        <w:tab/>
        <w:t>renálna dysfunkcia</w:t>
      </w:r>
      <w:r w:rsidR="00215A7D" w:rsidRPr="00AB681B">
        <w:rPr>
          <w:rFonts w:ascii="Times New Roman" w:hAnsi="Times New Roman"/>
          <w:sz w:val="22"/>
          <w:szCs w:val="22"/>
        </w:rPr>
        <w:t>, proteinúria</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szCs w:val="22"/>
        </w:rPr>
        <w:t>Neznáme:</w:t>
      </w:r>
      <w:r w:rsidRPr="00007243">
        <w:rPr>
          <w:rFonts w:ascii="Times New Roman" w:hAnsi="Times New Roman"/>
          <w:sz w:val="22"/>
          <w:szCs w:val="22"/>
        </w:rPr>
        <w:tab/>
      </w:r>
      <w:r w:rsidR="00215A7D" w:rsidRPr="00007243">
        <w:rPr>
          <w:rFonts w:ascii="Times New Roman" w:hAnsi="Times New Roman"/>
          <w:sz w:val="22"/>
          <w:szCs w:val="22"/>
        </w:rPr>
        <w:t>tubulo</w:t>
      </w:r>
      <w:r w:rsidRPr="00007243">
        <w:rPr>
          <w:rFonts w:ascii="Times New Roman" w:hAnsi="Times New Roman"/>
          <w:sz w:val="22"/>
        </w:rPr>
        <w:t>intersticiálna nefritída</w:t>
      </w:r>
    </w:p>
    <w:p w:rsidR="0041205F" w:rsidRPr="00007243" w:rsidRDefault="0041205F" w:rsidP="0041205F">
      <w:pPr>
        <w:pStyle w:val="Zkladntext"/>
        <w:rPr>
          <w:rFonts w:ascii="Times New Roman" w:hAnsi="Times New Roman"/>
          <w:sz w:val="22"/>
        </w:rPr>
      </w:pPr>
    </w:p>
    <w:p w:rsidR="0041205F" w:rsidRPr="00007243" w:rsidRDefault="0041205F" w:rsidP="0041205F">
      <w:pPr>
        <w:pStyle w:val="Zkladntext"/>
        <w:rPr>
          <w:rFonts w:ascii="Times New Roman" w:hAnsi="Times New Roman"/>
          <w:i/>
          <w:iCs/>
          <w:sz w:val="22"/>
        </w:rPr>
      </w:pPr>
      <w:r w:rsidRPr="00007243">
        <w:rPr>
          <w:rFonts w:ascii="Times New Roman" w:hAnsi="Times New Roman"/>
          <w:i/>
          <w:iCs/>
          <w:sz w:val="22"/>
        </w:rPr>
        <w:t>Poruchy reprodukčného systému a prsníkov</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Menej časté:</w:t>
      </w:r>
      <w:r w:rsidRPr="00007243">
        <w:rPr>
          <w:rFonts w:ascii="Times New Roman" w:hAnsi="Times New Roman"/>
          <w:sz w:val="22"/>
        </w:rPr>
        <w:tab/>
      </w:r>
      <w:r w:rsidR="00701A95" w:rsidRPr="00007243">
        <w:rPr>
          <w:rFonts w:ascii="Times New Roman" w:hAnsi="Times New Roman"/>
          <w:sz w:val="22"/>
        </w:rPr>
        <w:t>erektilná dysfunkcia</w:t>
      </w:r>
    </w:p>
    <w:p w:rsidR="0041205F" w:rsidRPr="00007243" w:rsidRDefault="0041205F" w:rsidP="0041205F">
      <w:pPr>
        <w:pStyle w:val="Zkladntext"/>
        <w:tabs>
          <w:tab w:val="clear" w:pos="8505"/>
          <w:tab w:val="left" w:pos="9072"/>
        </w:tabs>
        <w:ind w:right="-1"/>
        <w:rPr>
          <w:rFonts w:ascii="Times New Roman" w:hAnsi="Times New Roman"/>
          <w:sz w:val="22"/>
        </w:rPr>
      </w:pPr>
    </w:p>
    <w:p w:rsidR="0041205F" w:rsidRPr="00007243" w:rsidRDefault="0041205F" w:rsidP="0041205F">
      <w:pPr>
        <w:keepNext/>
        <w:rPr>
          <w:i/>
          <w:sz w:val="22"/>
          <w:szCs w:val="22"/>
        </w:rPr>
      </w:pPr>
      <w:r w:rsidRPr="00007243">
        <w:rPr>
          <w:i/>
          <w:sz w:val="22"/>
          <w:szCs w:val="22"/>
        </w:rPr>
        <w:t>Celkové poruchy a reakcie v mieste podania</w:t>
      </w:r>
    </w:p>
    <w:p w:rsidR="0041205F" w:rsidRPr="00007243" w:rsidRDefault="0041205F" w:rsidP="0041205F">
      <w:pPr>
        <w:pStyle w:val="Zkladntext"/>
        <w:tabs>
          <w:tab w:val="clear" w:pos="8505"/>
          <w:tab w:val="left" w:pos="1418"/>
        </w:tabs>
        <w:rPr>
          <w:rFonts w:ascii="Times New Roman" w:hAnsi="Times New Roman"/>
          <w:sz w:val="22"/>
        </w:rPr>
      </w:pPr>
      <w:r w:rsidRPr="00007243">
        <w:rPr>
          <w:rFonts w:ascii="Times New Roman" w:hAnsi="Times New Roman"/>
          <w:sz w:val="22"/>
        </w:rPr>
        <w:t>Časté:</w:t>
      </w:r>
      <w:r w:rsidRPr="00007243">
        <w:rPr>
          <w:rFonts w:ascii="Times New Roman" w:hAnsi="Times New Roman"/>
          <w:sz w:val="22"/>
        </w:rPr>
        <w:tab/>
      </w:r>
      <w:r w:rsidR="00701A95" w:rsidRPr="00007243">
        <w:rPr>
          <w:rFonts w:ascii="Times New Roman" w:hAnsi="Times New Roman"/>
          <w:sz w:val="22"/>
          <w:szCs w:val="22"/>
        </w:rPr>
        <w:t>únava,</w:t>
      </w:r>
      <w:r w:rsidR="00701A95" w:rsidRPr="00007243">
        <w:rPr>
          <w:rFonts w:ascii="Times New Roman" w:hAnsi="Times New Roman"/>
          <w:sz w:val="22"/>
        </w:rPr>
        <w:t xml:space="preserve"> </w:t>
      </w:r>
      <w:r w:rsidRPr="00007243">
        <w:rPr>
          <w:rFonts w:ascii="Times New Roman" w:hAnsi="Times New Roman"/>
          <w:sz w:val="22"/>
        </w:rPr>
        <w:t>asténia, bolesť na hrudníku</w:t>
      </w:r>
    </w:p>
    <w:p w:rsidR="0041205F" w:rsidRPr="00007243" w:rsidRDefault="0041205F" w:rsidP="0041205F">
      <w:pPr>
        <w:tabs>
          <w:tab w:val="left" w:pos="1418"/>
        </w:tabs>
        <w:ind w:right="566"/>
        <w:rPr>
          <w:sz w:val="22"/>
          <w:szCs w:val="22"/>
        </w:rPr>
      </w:pPr>
      <w:r w:rsidRPr="00007243">
        <w:rPr>
          <w:bCs/>
          <w:sz w:val="22"/>
        </w:rPr>
        <w:t>Menej časté:</w:t>
      </w:r>
      <w:r w:rsidRPr="00007243">
        <w:rPr>
          <w:bCs/>
          <w:sz w:val="22"/>
        </w:rPr>
        <w:tab/>
      </w:r>
      <w:r w:rsidR="00701A95" w:rsidRPr="00007243">
        <w:rPr>
          <w:sz w:val="22"/>
          <w:szCs w:val="22"/>
        </w:rPr>
        <w:t xml:space="preserve">generalizovaný edém, </w:t>
      </w:r>
      <w:r w:rsidRPr="00007243">
        <w:rPr>
          <w:bCs/>
          <w:sz w:val="22"/>
        </w:rPr>
        <w:t>horúčka</w:t>
      </w:r>
      <w:r w:rsidR="00701A95" w:rsidRPr="00007243">
        <w:rPr>
          <w:sz w:val="22"/>
          <w:szCs w:val="22"/>
        </w:rPr>
        <w:t>, periferálny edém</w:t>
      </w:r>
    </w:p>
    <w:p w:rsidR="00701A95" w:rsidRPr="00007243" w:rsidRDefault="00701A95" w:rsidP="0041205F">
      <w:pPr>
        <w:tabs>
          <w:tab w:val="left" w:pos="1418"/>
        </w:tabs>
        <w:ind w:right="566"/>
        <w:rPr>
          <w:bCs/>
          <w:sz w:val="22"/>
        </w:rPr>
      </w:pPr>
      <w:r w:rsidRPr="00007243">
        <w:rPr>
          <w:sz w:val="22"/>
          <w:szCs w:val="22"/>
        </w:rPr>
        <w:t>Neznáme:</w:t>
      </w:r>
      <w:r w:rsidRPr="00007243">
        <w:rPr>
          <w:sz w:val="22"/>
          <w:szCs w:val="22"/>
        </w:rPr>
        <w:tab/>
        <w:t>serozitída</w:t>
      </w:r>
    </w:p>
    <w:p w:rsidR="0041205F" w:rsidRPr="00007243" w:rsidRDefault="0041205F" w:rsidP="0041205F">
      <w:pPr>
        <w:rPr>
          <w:sz w:val="22"/>
        </w:rPr>
      </w:pPr>
    </w:p>
    <w:p w:rsidR="0041205F" w:rsidRPr="00007243" w:rsidRDefault="0041205F" w:rsidP="0041205F">
      <w:pPr>
        <w:rPr>
          <w:sz w:val="22"/>
        </w:rPr>
      </w:pPr>
      <w:r w:rsidRPr="00007243">
        <w:rPr>
          <w:i/>
          <w:sz w:val="22"/>
        </w:rPr>
        <w:t>Laboratórne a funkčné vyšetrenia</w:t>
      </w:r>
    </w:p>
    <w:p w:rsidR="0041205F" w:rsidRPr="00007243" w:rsidRDefault="0041205F" w:rsidP="0041205F">
      <w:pPr>
        <w:rPr>
          <w:sz w:val="22"/>
          <w:szCs w:val="22"/>
        </w:rPr>
      </w:pPr>
      <w:r w:rsidRPr="00007243">
        <w:rPr>
          <w:sz w:val="22"/>
        </w:rPr>
        <w:t>Časté:</w:t>
      </w:r>
      <w:r w:rsidRPr="00007243">
        <w:rPr>
          <w:sz w:val="22"/>
        </w:rPr>
        <w:tab/>
      </w:r>
      <w:r w:rsidRPr="00007243">
        <w:rPr>
          <w:sz w:val="22"/>
        </w:rPr>
        <w:tab/>
        <w:t>zvýšený sérový kreatinín</w:t>
      </w:r>
      <w:r w:rsidRPr="00007243">
        <w:rPr>
          <w:sz w:val="22"/>
          <w:szCs w:val="22"/>
        </w:rPr>
        <w:t>, zvýšený dusík močoviny v krvi*</w:t>
      </w:r>
    </w:p>
    <w:p w:rsidR="0041205F" w:rsidRPr="00007243" w:rsidRDefault="0041205F" w:rsidP="0041205F">
      <w:pPr>
        <w:ind w:left="1410" w:hanging="1410"/>
        <w:rPr>
          <w:sz w:val="22"/>
          <w:szCs w:val="22"/>
        </w:rPr>
      </w:pPr>
      <w:r w:rsidRPr="00007243">
        <w:rPr>
          <w:sz w:val="22"/>
          <w:szCs w:val="22"/>
        </w:rPr>
        <w:t>Neznáme:</w:t>
      </w:r>
      <w:r w:rsidRPr="00007243">
        <w:rPr>
          <w:sz w:val="22"/>
          <w:szCs w:val="22"/>
        </w:rPr>
        <w:tab/>
        <w:t>zvýšená hladina cholesterolu</w:t>
      </w:r>
      <w:r w:rsidR="00701A95" w:rsidRPr="00007243">
        <w:rPr>
          <w:sz w:val="22"/>
          <w:szCs w:val="22"/>
        </w:rPr>
        <w:t xml:space="preserve"> v krvi, zvýšená hladina </w:t>
      </w:r>
      <w:r w:rsidRPr="00007243">
        <w:rPr>
          <w:sz w:val="22"/>
          <w:szCs w:val="22"/>
        </w:rPr>
        <w:t> triglyceridov</w:t>
      </w:r>
      <w:r w:rsidR="00701A95" w:rsidRPr="00007243">
        <w:rPr>
          <w:sz w:val="22"/>
          <w:szCs w:val="22"/>
        </w:rPr>
        <w:t xml:space="preserve"> v krvi, z</w:t>
      </w:r>
      <w:r w:rsidRPr="00007243">
        <w:rPr>
          <w:sz w:val="22"/>
          <w:szCs w:val="22"/>
        </w:rPr>
        <w:t>nížený hematokrit</w:t>
      </w:r>
      <w:r w:rsidR="00701A95" w:rsidRPr="00007243">
        <w:rPr>
          <w:sz w:val="22"/>
          <w:szCs w:val="22"/>
        </w:rPr>
        <w:t xml:space="preserve">, </w:t>
      </w:r>
      <w:r w:rsidRPr="00007243">
        <w:rPr>
          <w:sz w:val="22"/>
          <w:szCs w:val="22"/>
        </w:rPr>
        <w:t>zvýšenie pečeňových e</w:t>
      </w:r>
      <w:r w:rsidR="008F4CC0" w:rsidRPr="00007243">
        <w:rPr>
          <w:sz w:val="22"/>
          <w:szCs w:val="22"/>
        </w:rPr>
        <w:t>nzýmov a sérového bilirubínu, zvýšené antinukleárne protilátky, zvýšená miera sedimentácie červených krviniek.</w:t>
      </w:r>
    </w:p>
    <w:p w:rsidR="0041205F" w:rsidRPr="00007243" w:rsidRDefault="0041205F" w:rsidP="0041205F">
      <w:pPr>
        <w:rPr>
          <w:sz w:val="22"/>
        </w:rPr>
      </w:pPr>
    </w:p>
    <w:p w:rsidR="0041205F" w:rsidRPr="00007243" w:rsidRDefault="0041205F" w:rsidP="0041205F">
      <w:pPr>
        <w:rPr>
          <w:sz w:val="22"/>
        </w:rPr>
      </w:pPr>
      <w:r w:rsidRPr="00007243">
        <w:rPr>
          <w:sz w:val="22"/>
        </w:rPr>
        <w:t xml:space="preserve">* Tieto zvýšenia sa oveľa </w:t>
      </w:r>
      <w:r w:rsidR="008F4CC0" w:rsidRPr="00007243">
        <w:rPr>
          <w:sz w:val="22"/>
        </w:rPr>
        <w:t>pravdepodobnejšie</w:t>
      </w:r>
      <w:r w:rsidRPr="00007243">
        <w:rPr>
          <w:sz w:val="22"/>
        </w:rPr>
        <w:t xml:space="preserve"> vyskytujú u pacientov užívajúcich súbežne diuretiká </w:t>
      </w:r>
      <w:r w:rsidR="008F4CC0" w:rsidRPr="00007243">
        <w:rPr>
          <w:sz w:val="22"/>
        </w:rPr>
        <w:t>než</w:t>
      </w:r>
      <w:r w:rsidRPr="00007243">
        <w:rPr>
          <w:sz w:val="22"/>
        </w:rPr>
        <w:t xml:space="preserve"> u pacientov na monoterapii s chinaprilom. Pri pokračujúcej liečbe tieto pozorované zvýšenia často vymiznú.</w:t>
      </w:r>
    </w:p>
    <w:p w:rsidR="008F4CC0" w:rsidRPr="00007243" w:rsidRDefault="008F4CC0" w:rsidP="0041205F">
      <w:pPr>
        <w:rPr>
          <w:sz w:val="22"/>
        </w:rPr>
      </w:pPr>
    </w:p>
    <w:p w:rsidR="008F4CC0" w:rsidRPr="00FC136C" w:rsidRDefault="008F4CC0" w:rsidP="0041205F">
      <w:pPr>
        <w:rPr>
          <w:color w:val="000000"/>
          <w:sz w:val="22"/>
          <w:szCs w:val="22"/>
        </w:rPr>
      </w:pPr>
      <w:r w:rsidRPr="00FC136C">
        <w:rPr>
          <w:rFonts w:ascii="Arial" w:hAnsi="Arial" w:cs="Arial"/>
          <w:color w:val="000000"/>
          <w:sz w:val="22"/>
          <w:szCs w:val="22"/>
        </w:rPr>
        <w:t xml:space="preserve">∞ </w:t>
      </w:r>
      <w:r w:rsidRPr="00FC136C">
        <w:rPr>
          <w:color w:val="000000"/>
          <w:sz w:val="22"/>
          <w:szCs w:val="22"/>
        </w:rPr>
        <w:t>Individuálne prípady hemolytickej anémie sa hlásili u pacientov s vrodenou deficienciou G-6-PDH.</w:t>
      </w:r>
    </w:p>
    <w:p w:rsidR="008F4CC0" w:rsidRPr="00FC136C" w:rsidRDefault="008F4CC0" w:rsidP="0041205F">
      <w:pPr>
        <w:rPr>
          <w:color w:val="000000"/>
          <w:sz w:val="22"/>
          <w:szCs w:val="22"/>
        </w:rPr>
      </w:pPr>
    </w:p>
    <w:p w:rsidR="008F4CC0" w:rsidRDefault="0041205F" w:rsidP="00FC136C">
      <w:pPr>
        <w:tabs>
          <w:tab w:val="left" w:pos="0"/>
        </w:tabs>
        <w:rPr>
          <w:sz w:val="22"/>
        </w:rPr>
      </w:pPr>
      <w:r w:rsidRPr="00FC136C">
        <w:rPr>
          <w:sz w:val="22"/>
        </w:rPr>
        <w:t>Klinické výsledky laboratórnych testov</w:t>
      </w:r>
      <w:r w:rsidR="008F4CC0" w:rsidRPr="00FC136C">
        <w:rPr>
          <w:sz w:val="22"/>
        </w:rPr>
        <w:t>, pozri časť 4.4:</w:t>
      </w:r>
    </w:p>
    <w:p w:rsidR="0041205F" w:rsidRDefault="0041205F" w:rsidP="00FC136C">
      <w:pPr>
        <w:tabs>
          <w:tab w:val="left" w:pos="0"/>
        </w:tabs>
        <w:rPr>
          <w:sz w:val="22"/>
        </w:rPr>
      </w:pPr>
      <w:r w:rsidRPr="0007201A">
        <w:rPr>
          <w:sz w:val="22"/>
        </w:rPr>
        <w:t>Sérové elektrolyty</w:t>
      </w:r>
      <w:r w:rsidR="008F4CC0">
        <w:rPr>
          <w:sz w:val="22"/>
        </w:rPr>
        <w:t>, s</w:t>
      </w:r>
      <w:r w:rsidRPr="0007201A">
        <w:rPr>
          <w:sz w:val="22"/>
        </w:rPr>
        <w:t xml:space="preserve">érová kyselina močová, glukóza, horčík, </w:t>
      </w:r>
      <w:r w:rsidR="008F4CC0">
        <w:rPr>
          <w:sz w:val="22"/>
        </w:rPr>
        <w:t>vápnik</w:t>
      </w:r>
      <w:r w:rsidRPr="0007201A">
        <w:rPr>
          <w:sz w:val="22"/>
        </w:rPr>
        <w:t>, testy funkcie prištítnych teliesok a </w:t>
      </w:r>
      <w:r w:rsidR="008F4CC0">
        <w:rPr>
          <w:sz w:val="22"/>
        </w:rPr>
        <w:t>h</w:t>
      </w:r>
      <w:r w:rsidR="008F4CC0" w:rsidRPr="0007201A">
        <w:rPr>
          <w:sz w:val="22"/>
        </w:rPr>
        <w:t>ematologický test</w:t>
      </w:r>
      <w:r w:rsidR="008F4CC0">
        <w:rPr>
          <w:sz w:val="22"/>
        </w:rPr>
        <w:t>.</w:t>
      </w:r>
    </w:p>
    <w:p w:rsidR="004628D9" w:rsidRDefault="004628D9" w:rsidP="004628D9">
      <w:pPr>
        <w:pStyle w:val="Default"/>
        <w:rPr>
          <w:rFonts w:ascii="Times New Roman" w:hAnsi="Times New Roman" w:cs="Times New Roman"/>
          <w:iCs/>
          <w:sz w:val="22"/>
          <w:szCs w:val="22"/>
        </w:rPr>
      </w:pPr>
    </w:p>
    <w:p w:rsidR="004628D9" w:rsidRPr="003408C1" w:rsidRDefault="004628D9" w:rsidP="004628D9">
      <w:pPr>
        <w:pStyle w:val="Default"/>
        <w:rPr>
          <w:rFonts w:ascii="Times New Roman" w:hAnsi="Times New Roman" w:cs="Times New Roman"/>
          <w:sz w:val="22"/>
          <w:szCs w:val="22"/>
        </w:rPr>
      </w:pPr>
      <w:r w:rsidRPr="003408C1">
        <w:rPr>
          <w:rFonts w:ascii="Times New Roman" w:hAnsi="Times New Roman" w:cs="Times New Roman"/>
          <w:iCs/>
          <w:sz w:val="22"/>
          <w:szCs w:val="22"/>
        </w:rPr>
        <w:t xml:space="preserve">Opis vybraných nežiaducich reakcií </w:t>
      </w:r>
    </w:p>
    <w:p w:rsidR="004628D9" w:rsidRPr="00691657" w:rsidRDefault="004628D9" w:rsidP="004628D9">
      <w:pPr>
        <w:rPr>
          <w:i/>
          <w:sz w:val="22"/>
          <w:szCs w:val="22"/>
        </w:rPr>
      </w:pPr>
      <w:r w:rsidRPr="00691657">
        <w:rPr>
          <w:i/>
          <w:sz w:val="22"/>
          <w:szCs w:val="22"/>
        </w:rPr>
        <w:t>Nemelanómová rakovina kože</w:t>
      </w:r>
    </w:p>
    <w:p w:rsidR="004628D9" w:rsidRPr="003408C1" w:rsidRDefault="004628D9" w:rsidP="004628D9">
      <w:pPr>
        <w:rPr>
          <w:sz w:val="22"/>
          <w:szCs w:val="22"/>
        </w:rPr>
      </w:pPr>
      <w:r w:rsidRPr="003408C1">
        <w:rPr>
          <w:sz w:val="22"/>
          <w:szCs w:val="22"/>
        </w:rPr>
        <w:t>Na základe dostupných údajov z epidemiologických štúdií sa pozorovala súvislosť medzi HCTZ a NMSC v závislosti od kumulatívnej dávky (pozri tiež časti 4.4 a 5.1).</w:t>
      </w:r>
    </w:p>
    <w:p w:rsidR="003F35F1" w:rsidRPr="00AF3665" w:rsidRDefault="003F35F1" w:rsidP="00FC136C">
      <w:pPr>
        <w:tabs>
          <w:tab w:val="left" w:pos="0"/>
        </w:tabs>
        <w:rPr>
          <w:sz w:val="22"/>
          <w:szCs w:val="22"/>
        </w:rPr>
      </w:pPr>
    </w:p>
    <w:p w:rsidR="004A4C75" w:rsidRDefault="004A4C75" w:rsidP="004A4C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u w:val="single"/>
        </w:rPr>
      </w:pPr>
      <w:r>
        <w:rPr>
          <w:sz w:val="22"/>
          <w:u w:val="single"/>
        </w:rPr>
        <w:t>Hlásenie podozrení na nežiaduce reakcie</w:t>
      </w:r>
    </w:p>
    <w:p w:rsidR="00524633" w:rsidRDefault="00524633" w:rsidP="00524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8" w:history="1">
        <w:r>
          <w:rPr>
            <w:rStyle w:val="Hypertextovprepojenie"/>
            <w:sz w:val="22"/>
            <w:shd w:val="clear" w:color="auto" w:fill="C0C0C0"/>
          </w:rPr>
          <w:t>Prílohe V</w:t>
        </w:r>
      </w:hyperlink>
      <w:r>
        <w:rPr>
          <w:rStyle w:val="Hypertextovprepojenie"/>
          <w:sz w:val="22"/>
        </w:rPr>
        <w:t>.</w:t>
      </w:r>
    </w:p>
    <w:p w:rsidR="00E453AA" w:rsidRPr="00007243" w:rsidRDefault="00E453AA">
      <w:pPr>
        <w:rPr>
          <w:sz w:val="22"/>
          <w:szCs w:val="22"/>
        </w:rPr>
      </w:pPr>
    </w:p>
    <w:p w:rsidR="00E453AA" w:rsidRPr="00007243" w:rsidRDefault="00E453AA">
      <w:pPr>
        <w:tabs>
          <w:tab w:val="left" w:pos="8505"/>
        </w:tabs>
        <w:ind w:left="567" w:right="566" w:hanging="567"/>
        <w:rPr>
          <w:b/>
          <w:sz w:val="22"/>
          <w:szCs w:val="22"/>
        </w:rPr>
      </w:pPr>
      <w:r w:rsidRPr="00007243">
        <w:rPr>
          <w:b/>
          <w:sz w:val="22"/>
          <w:szCs w:val="22"/>
        </w:rPr>
        <w:t>4.9</w:t>
      </w:r>
      <w:r w:rsidRPr="00007243">
        <w:rPr>
          <w:b/>
          <w:sz w:val="22"/>
          <w:szCs w:val="22"/>
        </w:rPr>
        <w:tab/>
        <w:t>Predávkovanie</w:t>
      </w:r>
    </w:p>
    <w:p w:rsidR="00E453AA" w:rsidRPr="00007243" w:rsidRDefault="00E453AA">
      <w:pPr>
        <w:tabs>
          <w:tab w:val="left" w:pos="8505"/>
        </w:tabs>
        <w:ind w:right="566"/>
        <w:rPr>
          <w:bCs/>
          <w:i/>
          <w:sz w:val="22"/>
          <w:szCs w:val="22"/>
        </w:rPr>
      </w:pPr>
    </w:p>
    <w:p w:rsidR="008F4CC0" w:rsidRDefault="008F4CC0" w:rsidP="008F4CC0">
      <w:pPr>
        <w:pStyle w:val="Zkladntext"/>
        <w:tabs>
          <w:tab w:val="clear" w:pos="8505"/>
          <w:tab w:val="left" w:pos="9072"/>
        </w:tabs>
        <w:ind w:right="-1"/>
        <w:rPr>
          <w:rFonts w:ascii="Times New Roman" w:hAnsi="Times New Roman"/>
          <w:sz w:val="22"/>
        </w:rPr>
      </w:pPr>
      <w:r>
        <w:rPr>
          <w:rFonts w:ascii="Times New Roman" w:hAnsi="Times New Roman"/>
          <w:sz w:val="22"/>
        </w:rPr>
        <w:t>Nie sú dostupné žiadne údaje o predávkovaní chinaprilom/hydrochlorotiazidom u ľudí.</w:t>
      </w:r>
    </w:p>
    <w:p w:rsidR="008F4CC0" w:rsidRDefault="008F4CC0" w:rsidP="008F4CC0">
      <w:pPr>
        <w:pStyle w:val="Zkladntext"/>
        <w:tabs>
          <w:tab w:val="clear" w:pos="8505"/>
          <w:tab w:val="left" w:pos="9072"/>
        </w:tabs>
        <w:ind w:right="-1"/>
        <w:rPr>
          <w:rFonts w:ascii="Times New Roman" w:hAnsi="Times New Roman"/>
          <w:sz w:val="22"/>
        </w:rPr>
      </w:pPr>
    </w:p>
    <w:p w:rsidR="008F4CC0" w:rsidRDefault="008F4CC0" w:rsidP="008F4CC0">
      <w:pPr>
        <w:pStyle w:val="Zkladntext"/>
        <w:tabs>
          <w:tab w:val="clear" w:pos="8505"/>
          <w:tab w:val="left" w:pos="9072"/>
        </w:tabs>
        <w:ind w:right="-1"/>
        <w:rPr>
          <w:rFonts w:ascii="Times New Roman" w:hAnsi="Times New Roman"/>
          <w:sz w:val="22"/>
        </w:rPr>
      </w:pPr>
      <w:r>
        <w:rPr>
          <w:rFonts w:ascii="Times New Roman" w:hAnsi="Times New Roman"/>
          <w:sz w:val="22"/>
        </w:rPr>
        <w:t xml:space="preserve">Najčastejšími klinickými prejavmi môžu byť symptómy pripisované predávkovaniu chinaprilom v monoterapii, ako je závažná hypotenzia, ktorá </w:t>
      </w:r>
      <w:r w:rsidR="002F08AA">
        <w:rPr>
          <w:rFonts w:ascii="Times New Roman" w:hAnsi="Times New Roman"/>
          <w:sz w:val="22"/>
        </w:rPr>
        <w:t xml:space="preserve">sa </w:t>
      </w:r>
      <w:r w:rsidR="00E15521">
        <w:rPr>
          <w:rFonts w:ascii="Times New Roman" w:hAnsi="Times New Roman"/>
          <w:sz w:val="22"/>
        </w:rPr>
        <w:t xml:space="preserve">má </w:t>
      </w:r>
      <w:r w:rsidR="002F08AA">
        <w:rPr>
          <w:rFonts w:ascii="Times New Roman" w:hAnsi="Times New Roman"/>
          <w:sz w:val="22"/>
        </w:rPr>
        <w:t>zvyčajne</w:t>
      </w:r>
      <w:r>
        <w:rPr>
          <w:rFonts w:ascii="Times New Roman" w:hAnsi="Times New Roman"/>
          <w:sz w:val="22"/>
        </w:rPr>
        <w:t xml:space="preserve"> lieči</w:t>
      </w:r>
      <w:r w:rsidR="002F08AA">
        <w:rPr>
          <w:rFonts w:ascii="Times New Roman" w:hAnsi="Times New Roman"/>
          <w:sz w:val="22"/>
        </w:rPr>
        <w:t xml:space="preserve">ť polohovaním pacienta do </w:t>
      </w:r>
      <w:r w:rsidR="00E15521">
        <w:rPr>
          <w:rFonts w:ascii="Times New Roman" w:hAnsi="Times New Roman"/>
          <w:sz w:val="22"/>
        </w:rPr>
        <w:t>proti</w:t>
      </w:r>
      <w:r w:rsidR="002F08AA">
        <w:rPr>
          <w:rFonts w:ascii="Times New Roman" w:hAnsi="Times New Roman"/>
          <w:sz w:val="22"/>
        </w:rPr>
        <w:t>šokovej po</w:t>
      </w:r>
      <w:r w:rsidR="00E15521">
        <w:rPr>
          <w:rFonts w:ascii="Times New Roman" w:hAnsi="Times New Roman"/>
          <w:sz w:val="22"/>
        </w:rPr>
        <w:t>lohy</w:t>
      </w:r>
      <w:r>
        <w:rPr>
          <w:rFonts w:ascii="Times New Roman" w:hAnsi="Times New Roman"/>
          <w:sz w:val="22"/>
        </w:rPr>
        <w:t xml:space="preserve"> </w:t>
      </w:r>
      <w:r w:rsidR="002F08AA">
        <w:rPr>
          <w:rFonts w:ascii="Times New Roman" w:hAnsi="Times New Roman"/>
          <w:sz w:val="22"/>
        </w:rPr>
        <w:t xml:space="preserve">a rýchlou </w:t>
      </w:r>
      <w:r>
        <w:rPr>
          <w:rFonts w:ascii="Times New Roman" w:hAnsi="Times New Roman"/>
          <w:sz w:val="22"/>
        </w:rPr>
        <w:t>infúziou fyziologického roztoku.</w:t>
      </w:r>
      <w:r w:rsidR="002F08AA">
        <w:rPr>
          <w:rFonts w:ascii="Times New Roman" w:hAnsi="Times New Roman"/>
          <w:sz w:val="22"/>
        </w:rPr>
        <w:t xml:space="preserve"> Má sa zvážiť liečba angiotenzínom II. Bradykardia a extenzívne vagálne reakcie sa majú liečiť podávaním atropínu. Má sa zvážiť použitie kardiostimulátora. Dôležité je nepretržité sledovanie vody, elektrolytov, acidobázická rovnováha</w:t>
      </w:r>
      <w:r w:rsidR="00C033D3">
        <w:rPr>
          <w:rFonts w:ascii="Times New Roman" w:hAnsi="Times New Roman"/>
          <w:sz w:val="22"/>
        </w:rPr>
        <w:t xml:space="preserve"> a glukóza v krvi.</w:t>
      </w:r>
    </w:p>
    <w:p w:rsidR="008F4CC0" w:rsidRDefault="008F4CC0" w:rsidP="008F4CC0">
      <w:pPr>
        <w:pStyle w:val="Zkladntext"/>
        <w:tabs>
          <w:tab w:val="clear" w:pos="8505"/>
          <w:tab w:val="left" w:pos="9072"/>
        </w:tabs>
        <w:ind w:right="-1"/>
        <w:rPr>
          <w:rFonts w:ascii="Times New Roman" w:hAnsi="Times New Roman"/>
          <w:sz w:val="22"/>
        </w:rPr>
      </w:pPr>
    </w:p>
    <w:p w:rsidR="008F4CC0" w:rsidRDefault="008F4CC0" w:rsidP="008F4CC0">
      <w:pPr>
        <w:pStyle w:val="Zkladntext"/>
        <w:tabs>
          <w:tab w:val="clear" w:pos="8505"/>
          <w:tab w:val="left" w:pos="9072"/>
        </w:tabs>
        <w:ind w:right="-1"/>
        <w:rPr>
          <w:rFonts w:ascii="Times New Roman" w:hAnsi="Times New Roman"/>
          <w:sz w:val="22"/>
        </w:rPr>
      </w:pPr>
      <w:r>
        <w:rPr>
          <w:rFonts w:ascii="Times New Roman" w:hAnsi="Times New Roman"/>
          <w:sz w:val="22"/>
        </w:rPr>
        <w:t>Najčastejšie pozorovanými znakmi a symptómami predávkovania v monoterapii hydrochlorotiazidom sú symptómy spojené s depléciou elektrolytov (hypokaliémia, hypochlorémia, hyponatriémia) a dehydratáciou vyplývajúcou z nadmernej diurézy. Ak sa podal tiež digitalis, hypokaliémia môže zdôrazniť srdcovú arytmiu.</w:t>
      </w:r>
      <w:r w:rsidR="00C033D3">
        <w:rPr>
          <w:rFonts w:ascii="Times New Roman" w:hAnsi="Times New Roman"/>
          <w:sz w:val="22"/>
        </w:rPr>
        <w:t xml:space="preserve"> V prípade hypokaliémie je nevyhnutné podanie draslíka.</w:t>
      </w:r>
    </w:p>
    <w:p w:rsidR="008F4CC0" w:rsidRDefault="008F4CC0" w:rsidP="008F4CC0">
      <w:pPr>
        <w:pStyle w:val="Zkladntext"/>
        <w:tabs>
          <w:tab w:val="clear" w:pos="8505"/>
          <w:tab w:val="left" w:pos="9072"/>
        </w:tabs>
        <w:ind w:right="-1"/>
        <w:rPr>
          <w:rFonts w:ascii="Times New Roman" w:hAnsi="Times New Roman"/>
          <w:sz w:val="22"/>
        </w:rPr>
      </w:pPr>
    </w:p>
    <w:p w:rsidR="008F4CC0" w:rsidRDefault="00C033D3" w:rsidP="008F4CC0">
      <w:pPr>
        <w:pStyle w:val="Zkladntext"/>
        <w:tabs>
          <w:tab w:val="clear" w:pos="8505"/>
          <w:tab w:val="left" w:pos="9072"/>
        </w:tabs>
        <w:ind w:right="-1"/>
        <w:rPr>
          <w:rFonts w:ascii="Times New Roman" w:hAnsi="Times New Roman"/>
          <w:sz w:val="22"/>
        </w:rPr>
      </w:pPr>
      <w:r>
        <w:rPr>
          <w:rFonts w:ascii="Times New Roman" w:hAnsi="Times New Roman"/>
          <w:sz w:val="22"/>
        </w:rPr>
        <w:t xml:space="preserve">Ďalšími príznakmi predávkovania </w:t>
      </w:r>
      <w:r w:rsidR="00C9705F">
        <w:rPr>
          <w:rFonts w:ascii="Times New Roman" w:hAnsi="Times New Roman"/>
          <w:sz w:val="22"/>
        </w:rPr>
        <w:t>sú</w:t>
      </w:r>
      <w:r>
        <w:rPr>
          <w:rFonts w:ascii="Times New Roman" w:hAnsi="Times New Roman"/>
          <w:sz w:val="22"/>
        </w:rPr>
        <w:t xml:space="preserve"> </w:t>
      </w:r>
      <w:r w:rsidR="00C9705F">
        <w:rPr>
          <w:rFonts w:ascii="Times New Roman" w:hAnsi="Times New Roman"/>
          <w:sz w:val="22"/>
        </w:rPr>
        <w:t xml:space="preserve">strata vedomia (vrátane kómy), </w:t>
      </w:r>
      <w:r w:rsidR="007637C3">
        <w:rPr>
          <w:rFonts w:ascii="Times New Roman" w:hAnsi="Times New Roman"/>
          <w:sz w:val="22"/>
        </w:rPr>
        <w:t>kŕče</w:t>
      </w:r>
      <w:r w:rsidR="00C9705F">
        <w:rPr>
          <w:rFonts w:ascii="Times New Roman" w:hAnsi="Times New Roman"/>
          <w:sz w:val="22"/>
        </w:rPr>
        <w:t>, paréza, srdcové arytmie, renálne zlyhanie.</w:t>
      </w:r>
    </w:p>
    <w:p w:rsidR="00C9705F" w:rsidRDefault="00C9705F" w:rsidP="008F4CC0">
      <w:pPr>
        <w:pStyle w:val="Zkladntext"/>
        <w:tabs>
          <w:tab w:val="clear" w:pos="8505"/>
          <w:tab w:val="left" w:pos="9072"/>
        </w:tabs>
        <w:ind w:right="-1"/>
        <w:rPr>
          <w:rFonts w:ascii="Times New Roman" w:hAnsi="Times New Roman"/>
          <w:sz w:val="22"/>
        </w:rPr>
      </w:pPr>
    </w:p>
    <w:p w:rsidR="00C9705F" w:rsidRDefault="00C9705F" w:rsidP="008F4CC0">
      <w:pPr>
        <w:pStyle w:val="Zkladntext"/>
        <w:tabs>
          <w:tab w:val="clear" w:pos="8505"/>
          <w:tab w:val="left" w:pos="9072"/>
        </w:tabs>
        <w:ind w:right="-1"/>
        <w:rPr>
          <w:rFonts w:ascii="Times New Roman" w:hAnsi="Times New Roman"/>
          <w:sz w:val="22"/>
        </w:rPr>
      </w:pPr>
      <w:r>
        <w:rPr>
          <w:rFonts w:ascii="Times New Roman" w:hAnsi="Times New Roman"/>
          <w:sz w:val="22"/>
        </w:rPr>
        <w:t>Po požití sa majú podniknúť opatrenia na prevenciu absorpcie (t.j. výplach žalúdka, podanie adsorbentov a síranu sodného do 30 minút po požití)  a urýchlenie eliminácie.</w:t>
      </w:r>
    </w:p>
    <w:p w:rsidR="008F4CC0" w:rsidRDefault="008F4CC0" w:rsidP="008F4CC0">
      <w:pPr>
        <w:pStyle w:val="Zkladntext"/>
        <w:tabs>
          <w:tab w:val="clear" w:pos="8505"/>
          <w:tab w:val="left" w:pos="9072"/>
        </w:tabs>
        <w:ind w:right="-1"/>
        <w:rPr>
          <w:rFonts w:ascii="Times New Roman" w:hAnsi="Times New Roman"/>
          <w:sz w:val="22"/>
        </w:rPr>
      </w:pPr>
    </w:p>
    <w:p w:rsidR="008F4CC0" w:rsidRDefault="008F4CC0" w:rsidP="008F4CC0">
      <w:pPr>
        <w:pStyle w:val="Zkladntext"/>
        <w:tabs>
          <w:tab w:val="clear" w:pos="8505"/>
          <w:tab w:val="left" w:pos="9072"/>
        </w:tabs>
        <w:ind w:right="-1"/>
        <w:rPr>
          <w:rFonts w:ascii="Times New Roman" w:hAnsi="Times New Roman"/>
          <w:sz w:val="22"/>
        </w:rPr>
      </w:pPr>
      <w:r>
        <w:rPr>
          <w:rFonts w:ascii="Times New Roman" w:hAnsi="Times New Roman"/>
          <w:sz w:val="22"/>
        </w:rPr>
        <w:t>Hemodialýza a peritoneálna dialýza majú malý vplyv na elimináciu chinaprilu a chinaprilátu. Liečba je symptomatická a podporná v súlade so zavedenou lekárskou starostlivosťou.</w:t>
      </w:r>
    </w:p>
    <w:p w:rsidR="008F4CC0" w:rsidRDefault="008F4CC0">
      <w:pPr>
        <w:pStyle w:val="Nadpis8"/>
        <w:rPr>
          <w:i w:val="0"/>
          <w:iCs/>
        </w:rPr>
      </w:pPr>
    </w:p>
    <w:p w:rsidR="00E453AA" w:rsidRPr="00596E3A" w:rsidRDefault="00E453AA">
      <w:pPr>
        <w:tabs>
          <w:tab w:val="left" w:pos="8505"/>
        </w:tabs>
        <w:ind w:right="566"/>
        <w:rPr>
          <w:bCs/>
          <w:sz w:val="22"/>
          <w:szCs w:val="22"/>
        </w:rPr>
      </w:pPr>
    </w:p>
    <w:p w:rsidR="00E453AA" w:rsidRPr="00AB681B" w:rsidRDefault="00E453AA">
      <w:pPr>
        <w:tabs>
          <w:tab w:val="left" w:pos="8505"/>
        </w:tabs>
        <w:ind w:left="567" w:right="566" w:hanging="567"/>
        <w:rPr>
          <w:b/>
          <w:sz w:val="22"/>
          <w:szCs w:val="22"/>
        </w:rPr>
      </w:pPr>
      <w:r w:rsidRPr="00AB681B">
        <w:rPr>
          <w:b/>
          <w:sz w:val="22"/>
          <w:szCs w:val="22"/>
        </w:rPr>
        <w:t>5.</w:t>
      </w:r>
      <w:r w:rsidRPr="00AB681B">
        <w:rPr>
          <w:b/>
          <w:sz w:val="22"/>
          <w:szCs w:val="22"/>
        </w:rPr>
        <w:tab/>
        <w:t>FARMAKOLOGICKÉ VLASTNOSTI</w:t>
      </w:r>
    </w:p>
    <w:p w:rsidR="00E453AA" w:rsidRPr="00007243" w:rsidRDefault="00E453AA">
      <w:pPr>
        <w:tabs>
          <w:tab w:val="left" w:pos="8505"/>
        </w:tabs>
        <w:ind w:left="567" w:right="566" w:hanging="567"/>
        <w:rPr>
          <w:b/>
          <w:sz w:val="22"/>
          <w:szCs w:val="22"/>
        </w:rPr>
      </w:pPr>
    </w:p>
    <w:p w:rsidR="00E453AA" w:rsidRPr="00007243" w:rsidRDefault="00E453AA">
      <w:pPr>
        <w:tabs>
          <w:tab w:val="left" w:pos="8505"/>
        </w:tabs>
        <w:ind w:left="567" w:right="566" w:hanging="567"/>
        <w:rPr>
          <w:sz w:val="22"/>
          <w:szCs w:val="22"/>
        </w:rPr>
      </w:pPr>
      <w:r w:rsidRPr="00007243">
        <w:rPr>
          <w:b/>
          <w:sz w:val="22"/>
          <w:szCs w:val="22"/>
        </w:rPr>
        <w:t>5.1</w:t>
      </w:r>
      <w:r w:rsidRPr="00007243">
        <w:rPr>
          <w:b/>
          <w:sz w:val="22"/>
          <w:szCs w:val="22"/>
        </w:rPr>
        <w:tab/>
        <w:t>Farmakodynamické vlastnosti</w:t>
      </w:r>
      <w:r w:rsidRPr="00007243">
        <w:rPr>
          <w:sz w:val="22"/>
          <w:szCs w:val="22"/>
        </w:rPr>
        <w:t xml:space="preserve"> </w:t>
      </w:r>
    </w:p>
    <w:p w:rsidR="00E453AA" w:rsidRPr="00007243" w:rsidRDefault="00E453AA">
      <w:pPr>
        <w:tabs>
          <w:tab w:val="left" w:pos="8505"/>
        </w:tabs>
        <w:ind w:right="566"/>
        <w:rPr>
          <w:sz w:val="22"/>
          <w:szCs w:val="22"/>
        </w:rPr>
      </w:pPr>
    </w:p>
    <w:p w:rsidR="00E453AA" w:rsidRPr="00007243" w:rsidRDefault="00E453AA">
      <w:pPr>
        <w:tabs>
          <w:tab w:val="left" w:pos="8505"/>
        </w:tabs>
        <w:ind w:right="566"/>
        <w:rPr>
          <w:sz w:val="22"/>
          <w:szCs w:val="22"/>
        </w:rPr>
      </w:pPr>
      <w:r w:rsidRPr="00007243">
        <w:rPr>
          <w:sz w:val="22"/>
          <w:szCs w:val="22"/>
        </w:rPr>
        <w:t>Farmakoterapeutická skupina: ACE inhibítory a diuretiká, ATC kód: C09BA06.</w:t>
      </w:r>
    </w:p>
    <w:p w:rsidR="00E453AA" w:rsidRPr="00007243" w:rsidRDefault="00E453AA">
      <w:pPr>
        <w:tabs>
          <w:tab w:val="left" w:pos="8505"/>
        </w:tabs>
        <w:ind w:right="566"/>
        <w:rPr>
          <w:b/>
          <w:sz w:val="22"/>
          <w:szCs w:val="22"/>
        </w:rPr>
      </w:pPr>
    </w:p>
    <w:p w:rsidR="00E453AA" w:rsidRPr="00007243" w:rsidRDefault="00E453AA">
      <w:pPr>
        <w:pStyle w:val="Zkladntext"/>
        <w:tabs>
          <w:tab w:val="left" w:pos="567"/>
        </w:tabs>
        <w:rPr>
          <w:rFonts w:ascii="Times New Roman" w:hAnsi="Times New Roman"/>
          <w:sz w:val="22"/>
          <w:szCs w:val="22"/>
        </w:rPr>
      </w:pPr>
      <w:r w:rsidRPr="00007243">
        <w:rPr>
          <w:rFonts w:ascii="Times New Roman" w:hAnsi="Times New Roman"/>
          <w:sz w:val="22"/>
          <w:szCs w:val="22"/>
        </w:rPr>
        <w:t xml:space="preserve">STADAPRESS je fixná kombinácia ACE inhibítora chinaprilu a diuretika hydrochlorotiazidu. Kombinácia týchto látok znižuje krvný tlak vo väčšej miere, ako každé liečivo podávané samotne v monoterapii. Chinapril môže, tak ako iné ACE inhibítory, neutralizovať stratu draslíka, ktorú spôsobuje hydrochlorotiazid. </w:t>
      </w:r>
    </w:p>
    <w:p w:rsidR="00E453AA" w:rsidRPr="00007243" w:rsidRDefault="00E453AA">
      <w:pPr>
        <w:tabs>
          <w:tab w:val="left" w:pos="8505"/>
        </w:tabs>
        <w:ind w:right="566"/>
        <w:rPr>
          <w:b/>
          <w:sz w:val="22"/>
          <w:szCs w:val="22"/>
        </w:rPr>
      </w:pPr>
    </w:p>
    <w:p w:rsidR="00E453AA" w:rsidRPr="00007243" w:rsidRDefault="00E453AA">
      <w:pPr>
        <w:tabs>
          <w:tab w:val="left" w:pos="8505"/>
        </w:tabs>
        <w:ind w:right="566"/>
        <w:rPr>
          <w:bCs/>
          <w:sz w:val="22"/>
          <w:szCs w:val="22"/>
        </w:rPr>
      </w:pPr>
      <w:r w:rsidRPr="00007243">
        <w:rPr>
          <w:bCs/>
          <w:sz w:val="22"/>
          <w:szCs w:val="22"/>
          <w:u w:val="single"/>
        </w:rPr>
        <w:t xml:space="preserve">Chinapril </w:t>
      </w:r>
      <w:r w:rsidRPr="00007243">
        <w:rPr>
          <w:bCs/>
          <w:sz w:val="22"/>
          <w:szCs w:val="22"/>
        </w:rPr>
        <w:t>je prodrug, ktorý sa hydrolyzuje na aktívny metabolit chinaprilát, účinný dlhodobo pôsobiaci inhibítor angiotenzín konvertujúceho enzýmu (ACE) v plazme a tkanivách. ACE katalyzuje premenu angiotenzínu I na angiotenzín II, ktorý je účinný vazokonstriktor. Inhibícia ACE má za následok znížené koncentrácie  angiotenzínu II a zníženú  sekréciu aldosterónu; inhibovaný je aj metabolizmus bradykinínu. V klinických skúškach sa chinapril prejavil ako lipidovo neutrálny a bez negatívneho vplyvu na metabolizmus glukózy. Chinapril redukuje celkovú periférnu a renálnu arteriálnu rezistenciu.</w:t>
      </w:r>
    </w:p>
    <w:p w:rsidR="00E453AA" w:rsidRPr="00FE7CC1" w:rsidRDefault="00E453AA">
      <w:pPr>
        <w:tabs>
          <w:tab w:val="left" w:pos="8505"/>
        </w:tabs>
        <w:ind w:right="566"/>
        <w:rPr>
          <w:bCs/>
          <w:sz w:val="22"/>
          <w:szCs w:val="22"/>
        </w:rPr>
      </w:pPr>
      <w:r w:rsidRPr="00007243">
        <w:rPr>
          <w:bCs/>
          <w:sz w:val="22"/>
          <w:szCs w:val="22"/>
        </w:rPr>
        <w:t xml:space="preserve">Spravidla zmeny prietoku krvi obličkami alebo glomerulárnej filtrácie nie sú klinicky významné. Chinaprilát znižuje krvný tlak v ležiacej, sediacej aj stojacej polohe. Vrchol účinku sa dosiahne o 2-4 hodiny po odporúčaných dávkach. U niektorých pacientov môže dosiahnutie maximálneho zníženia krvného tlaku vyžadovať 2-4 týždne liečby. Zmenšenie hypertrofie ľavej komory sa pozorovalo u chinaprilu v experimentálnych modeloch hypertenzie na zvieratách. </w:t>
      </w:r>
      <w:r w:rsidRPr="00E77D91">
        <w:rPr>
          <w:bCs/>
          <w:sz w:val="22"/>
          <w:szCs w:val="22"/>
        </w:rPr>
        <w:t>Údaje o morbidite/mo</w:t>
      </w:r>
      <w:r w:rsidRPr="00FE7CC1">
        <w:rPr>
          <w:bCs/>
          <w:sz w:val="22"/>
          <w:szCs w:val="22"/>
        </w:rPr>
        <w:t>rtalite nie sú k dispozícii.</w:t>
      </w:r>
    </w:p>
    <w:p w:rsidR="00726515" w:rsidRPr="00D95987" w:rsidRDefault="00726515" w:rsidP="00726515">
      <w:pPr>
        <w:pStyle w:val="Default"/>
        <w:rPr>
          <w:rFonts w:ascii="Times New Roman" w:hAnsi="Times New Roman" w:cs="Times New Roman"/>
          <w:iCs/>
          <w:sz w:val="22"/>
          <w:szCs w:val="22"/>
        </w:rPr>
      </w:pPr>
    </w:p>
    <w:p w:rsidR="00726515" w:rsidRPr="00D95987" w:rsidRDefault="00726515" w:rsidP="00726515">
      <w:pPr>
        <w:pStyle w:val="Default"/>
        <w:rPr>
          <w:rFonts w:ascii="Times New Roman" w:hAnsi="Times New Roman" w:cs="Times New Roman"/>
          <w:sz w:val="22"/>
          <w:szCs w:val="22"/>
        </w:rPr>
      </w:pPr>
      <w:r w:rsidRPr="00D95987">
        <w:rPr>
          <w:rFonts w:ascii="Times New Roman" w:hAnsi="Times New Roman" w:cs="Times New Roman"/>
          <w:iCs/>
          <w:sz w:val="22"/>
          <w:szCs w:val="22"/>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w:t>
      </w:r>
    </w:p>
    <w:p w:rsidR="00726515" w:rsidRPr="00D95987" w:rsidRDefault="00726515" w:rsidP="00726515">
      <w:pPr>
        <w:pStyle w:val="Default"/>
        <w:rPr>
          <w:rFonts w:ascii="Times New Roman" w:hAnsi="Times New Roman" w:cs="Times New Roman"/>
          <w:sz w:val="22"/>
          <w:szCs w:val="22"/>
        </w:rPr>
      </w:pPr>
      <w:r w:rsidRPr="00D95987">
        <w:rPr>
          <w:rFonts w:ascii="Times New Roman" w:hAnsi="Times New Roman" w:cs="Times New Roman"/>
          <w:iCs/>
          <w:sz w:val="22"/>
          <w:szCs w:val="22"/>
        </w:rPr>
        <w:t>Skúšanie ONTARGET sa vykonalo u pacientov s kardiovaskulárnym alebo cerebrovaskulárnym ochorením v anamnéze, alebo u pacientov s diabetes mellitus 2. typu, u ktorých sa preukázalo poškodenie cieľových orgánov. Skúšanie VA NEPHRON-D sa vykonalo u pacientov s diabet</w:t>
      </w:r>
      <w:r w:rsidR="006D220C">
        <w:rPr>
          <w:rFonts w:ascii="Times New Roman" w:hAnsi="Times New Roman" w:cs="Times New Roman"/>
          <w:iCs/>
          <w:sz w:val="22"/>
          <w:szCs w:val="22"/>
        </w:rPr>
        <w:t>om</w:t>
      </w:r>
      <w:r w:rsidRPr="00D95987">
        <w:rPr>
          <w:rFonts w:ascii="Times New Roman" w:hAnsi="Times New Roman" w:cs="Times New Roman"/>
          <w:iCs/>
          <w:sz w:val="22"/>
          <w:szCs w:val="22"/>
        </w:rPr>
        <w:t xml:space="preserve"> mellitus 2. typu a diabetickou nefropatiou. </w:t>
      </w:r>
    </w:p>
    <w:p w:rsidR="00726515" w:rsidRPr="00D95987" w:rsidRDefault="00726515" w:rsidP="00726515">
      <w:pPr>
        <w:pStyle w:val="Default"/>
        <w:rPr>
          <w:rFonts w:ascii="Times New Roman" w:hAnsi="Times New Roman" w:cs="Times New Roman"/>
          <w:sz w:val="22"/>
          <w:szCs w:val="22"/>
        </w:rPr>
      </w:pPr>
      <w:r w:rsidRPr="00D95987">
        <w:rPr>
          <w:rFonts w:ascii="Times New Roman" w:hAnsi="Times New Roman" w:cs="Times New Roman"/>
          <w:iCs/>
          <w:sz w:val="22"/>
          <w:szCs w:val="22"/>
        </w:rPr>
        <w:t xml:space="preserve">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726515" w:rsidRPr="00D95987" w:rsidRDefault="00726515" w:rsidP="00726515">
      <w:pPr>
        <w:pStyle w:val="Default"/>
        <w:rPr>
          <w:rFonts w:ascii="Times New Roman" w:hAnsi="Times New Roman" w:cs="Times New Roman"/>
          <w:sz w:val="22"/>
          <w:szCs w:val="22"/>
        </w:rPr>
      </w:pPr>
      <w:r w:rsidRPr="00D95987">
        <w:rPr>
          <w:rFonts w:ascii="Times New Roman" w:hAnsi="Times New Roman" w:cs="Times New Roman"/>
          <w:iCs/>
          <w:sz w:val="22"/>
          <w:szCs w:val="22"/>
        </w:rPr>
        <w:t xml:space="preserve">Inhibítory ACE a blokátory receptorov angiotenzínu II sa preto nemajú používať súbežne u pacientov s diabetickou nefropatiou. </w:t>
      </w:r>
    </w:p>
    <w:p w:rsidR="00E453AA" w:rsidRPr="00D95987" w:rsidRDefault="00726515" w:rsidP="00726515">
      <w:pPr>
        <w:tabs>
          <w:tab w:val="left" w:pos="8505"/>
        </w:tabs>
        <w:ind w:right="566"/>
        <w:rPr>
          <w:iCs/>
          <w:sz w:val="22"/>
          <w:szCs w:val="22"/>
        </w:rPr>
      </w:pPr>
      <w:r w:rsidRPr="00D95987">
        <w:rPr>
          <w:iCs/>
          <w:sz w:val="22"/>
          <w:szCs w:val="22"/>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726515" w:rsidRPr="00007243" w:rsidRDefault="00726515" w:rsidP="00726515">
      <w:pPr>
        <w:tabs>
          <w:tab w:val="left" w:pos="8505"/>
        </w:tabs>
        <w:ind w:right="566"/>
        <w:rPr>
          <w:bCs/>
          <w:sz w:val="22"/>
          <w:szCs w:val="22"/>
        </w:rPr>
      </w:pP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u w:val="single"/>
        </w:rPr>
        <w:t>Hydrochlorotiazid</w:t>
      </w:r>
      <w:r w:rsidRPr="00007243">
        <w:rPr>
          <w:rFonts w:ascii="Times New Roman" w:hAnsi="Times New Roman"/>
          <w:sz w:val="22"/>
          <w:szCs w:val="22"/>
        </w:rPr>
        <w:t xml:space="preserve"> je tiazidové diuretikum a antihypertenzné liečivo, ktoré zvyšuje aktivitu renínu v plazme. Hydrochlorotiazid  znižuje reabsorpciu elektrolytov v distálnom tubule a zvyšuje vylučovania sodíka, chloridov, draslíka, horčíka, bikarbonátu a vody. Vylučovanie vápnika sa môže znížiť. Súbežné podávanie chinaprilu a hydrochlorotiazidu vyvoláva silnejší hypotenzný účinok ako každá z látok podaná samostatne v monoterapii.</w:t>
      </w:r>
    </w:p>
    <w:p w:rsidR="004628D9" w:rsidRDefault="004628D9" w:rsidP="004628D9">
      <w:pPr>
        <w:rPr>
          <w:sz w:val="22"/>
          <w:szCs w:val="22"/>
        </w:rPr>
      </w:pPr>
    </w:p>
    <w:p w:rsidR="004628D9" w:rsidRPr="00691657" w:rsidRDefault="004628D9" w:rsidP="004628D9">
      <w:pPr>
        <w:rPr>
          <w:i/>
          <w:sz w:val="22"/>
          <w:szCs w:val="22"/>
        </w:rPr>
      </w:pPr>
      <w:r w:rsidRPr="00691657">
        <w:rPr>
          <w:i/>
          <w:sz w:val="22"/>
          <w:szCs w:val="22"/>
        </w:rPr>
        <w:t>Nemelanómová rakovina kože</w:t>
      </w:r>
    </w:p>
    <w:p w:rsidR="004628D9" w:rsidRPr="003408C1" w:rsidRDefault="004628D9" w:rsidP="004628D9">
      <w:pPr>
        <w:rPr>
          <w:sz w:val="22"/>
          <w:szCs w:val="22"/>
        </w:rPr>
      </w:pPr>
      <w:r w:rsidRPr="003408C1">
        <w:rPr>
          <w:sz w:val="22"/>
          <w:szCs w:val="22"/>
        </w:rPr>
        <w:t>Na základe dostupných údajov z epidemiologických štúdií sa pozorovala súvislosť medzi HCTZ a NMSC v závislosti od kumulatívnej dávky. Jedna štúdia zahŕňala populáciu, v ktorej sa vyskytlo 71 533 prípadov BCC a 8 629 prípadov SCC, čo zodpovedalo 1 430 833 a 172 462 kontrolám populácie. Používanie vysokých dávok HCTZ (≥ 50 000 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HCTZ: 633 prípadov rakoviny pier zodpovedalo 63 067 kontrolám populácie s použitím stratégie vzorkovania riziko-súbor. Preukázal sa vzťah odpovede a kumulatívnej dávky s upravenou OR 2,1 (95 % IS: 1,7 –2,6), ktorá sa zvýšila na OR 3,9 (3,0 – 4,9) pre používanie vysokých dávok (~ 25 000 mg) a OR 7,7 (5,7 – 10,5) pre najvyššiu kumulatívnu dávku (~ 100 000 mg) (pozri aj časť 4.4).</w:t>
      </w: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5.2</w:t>
      </w:r>
      <w:r w:rsidRPr="00007243">
        <w:rPr>
          <w:b/>
          <w:sz w:val="22"/>
          <w:szCs w:val="22"/>
        </w:rPr>
        <w:tab/>
        <w:t>Farmakokinetické vlastnosti</w:t>
      </w:r>
    </w:p>
    <w:p w:rsidR="00E453AA" w:rsidRPr="00007243" w:rsidRDefault="00E453AA">
      <w:pPr>
        <w:pStyle w:val="Nadpis1"/>
        <w:rPr>
          <w:rFonts w:ascii="Times New Roman" w:hAnsi="Times New Roman"/>
          <w:sz w:val="22"/>
          <w:szCs w:val="22"/>
        </w:rPr>
      </w:pPr>
    </w:p>
    <w:p w:rsidR="00E453AA" w:rsidRPr="00007243" w:rsidRDefault="00E453AA">
      <w:pPr>
        <w:pStyle w:val="Nadpis1"/>
        <w:rPr>
          <w:rFonts w:ascii="Times New Roman" w:hAnsi="Times New Roman"/>
          <w:i/>
          <w:sz w:val="22"/>
          <w:szCs w:val="22"/>
          <w:u w:val="none"/>
        </w:rPr>
      </w:pPr>
      <w:r w:rsidRPr="00007243">
        <w:rPr>
          <w:rFonts w:ascii="Times New Roman" w:hAnsi="Times New Roman"/>
          <w:i/>
          <w:sz w:val="22"/>
          <w:szCs w:val="22"/>
          <w:u w:val="none"/>
        </w:rPr>
        <w:t>Chinapril</w:t>
      </w: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 xml:space="preserve">Biologická dostupnosť aktívneho metabolitu, chinaprilátu, je 30-40% perorálne podanej dávky chinaprilu. Najvyššia plazmatická koncentrácia sa dosiahne približne o 2 hodiny. Vstrebávanie chinaprilu neovplyvňuje súbežný príjem potravy, ale extrémne vysoký obsah tuku v jedle môže vstrebávanie znížiť. Asi 97% lieku sa viaže na bielkoviny plazmy. Pri opakovanom dávkovaní je polčas chinaprilátu </w:t>
      </w:r>
      <w:r w:rsidR="00A81640">
        <w:rPr>
          <w:rFonts w:ascii="Times New Roman" w:hAnsi="Times New Roman"/>
          <w:sz w:val="22"/>
          <w:szCs w:val="22"/>
        </w:rPr>
        <w:t xml:space="preserve"> </w:t>
      </w:r>
      <w:r w:rsidRPr="00007243">
        <w:rPr>
          <w:rFonts w:ascii="Times New Roman" w:hAnsi="Times New Roman"/>
          <w:sz w:val="22"/>
          <w:szCs w:val="22"/>
        </w:rPr>
        <w:t>3 hodiny. Rovnovážny stav sa dosiahne v priebehu 2-3 dní. Chinaprilát sa vylučuje nezmenený prevažne obličkami. Klírens je 220 ml/min.</w:t>
      </w:r>
    </w:p>
    <w:p w:rsidR="00E453AA" w:rsidRPr="00007243" w:rsidRDefault="00E453AA">
      <w:pPr>
        <w:pStyle w:val="Zkladntext"/>
        <w:rPr>
          <w:rFonts w:ascii="Times New Roman" w:hAnsi="Times New Roman"/>
          <w:sz w:val="22"/>
          <w:szCs w:val="22"/>
        </w:rPr>
      </w:pP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U pacientov s dysfunkciou obličiek sa polčas chinaprilátu predlžuje a plazmatické koncentrácie chinaprilátu sú zvýšené. U pacientov so závažným poškodením funkcie pečene je koncentrácia chinaprilátu znížená, pretože je inhibovaná hydrolýza chinaprilu.</w:t>
      </w:r>
    </w:p>
    <w:p w:rsidR="007274CB" w:rsidRPr="00007243" w:rsidRDefault="007274CB">
      <w:pPr>
        <w:pStyle w:val="Zkladntext"/>
        <w:rPr>
          <w:rFonts w:ascii="Times New Roman" w:hAnsi="Times New Roman"/>
          <w:sz w:val="22"/>
          <w:szCs w:val="22"/>
        </w:rPr>
      </w:pPr>
    </w:p>
    <w:p w:rsidR="007274CB" w:rsidRPr="00007243" w:rsidRDefault="007274CB" w:rsidP="007274CB">
      <w:pPr>
        <w:pStyle w:val="Zkladntext"/>
        <w:rPr>
          <w:rFonts w:ascii="Times New Roman" w:hAnsi="Times New Roman"/>
          <w:i/>
          <w:sz w:val="22"/>
        </w:rPr>
      </w:pPr>
      <w:r w:rsidRPr="00007243">
        <w:rPr>
          <w:rFonts w:ascii="Times New Roman" w:hAnsi="Times New Roman"/>
          <w:i/>
          <w:sz w:val="22"/>
        </w:rPr>
        <w:t>Laktácia</w:t>
      </w:r>
    </w:p>
    <w:p w:rsidR="007274CB" w:rsidRPr="0091717F" w:rsidRDefault="007274CB">
      <w:pPr>
        <w:pStyle w:val="Zkladntext"/>
        <w:rPr>
          <w:rFonts w:ascii="Times New Roman" w:hAnsi="Times New Roman"/>
          <w:sz w:val="22"/>
        </w:rPr>
      </w:pPr>
      <w:r w:rsidRPr="00007243">
        <w:rPr>
          <w:rFonts w:ascii="Times New Roman" w:hAnsi="Times New Roman"/>
          <w:sz w:val="22"/>
        </w:rPr>
        <w:t>Po podaní jednorazovej perorálnej dávky 20 mg chinaprilu šiestim dojčiacim ženám bol M/P (pomer mlieko k plazme) pre chinapril 0,12. Chinapril sa nedetekoval v mlieku 4 hodiny po podaní dávky. Hladiny chinaprilátu v mlieku neboli detekovateľné (&lt;5µ</w:t>
      </w:r>
      <w:r w:rsidR="0091717F">
        <w:rPr>
          <w:rFonts w:ascii="Times New Roman" w:hAnsi="Times New Roman"/>
          <w:sz w:val="22"/>
        </w:rPr>
        <w:t>g</w:t>
      </w:r>
      <w:r w:rsidRPr="0091717F">
        <w:rPr>
          <w:rFonts w:ascii="Times New Roman" w:hAnsi="Times New Roman"/>
          <w:sz w:val="22"/>
        </w:rPr>
        <w:t>/l) vo všetkých bodoch času. Odhaduje sa, že dojčené dieťa dostáva okolo 1,6% dávky chinaprilu odvodenej od hmotnosti matky.</w:t>
      </w:r>
    </w:p>
    <w:p w:rsidR="00E453AA" w:rsidRPr="00007243" w:rsidRDefault="00E453AA">
      <w:pPr>
        <w:pStyle w:val="Zkladntext"/>
        <w:rPr>
          <w:rFonts w:ascii="Times New Roman" w:hAnsi="Times New Roman"/>
          <w:sz w:val="22"/>
          <w:szCs w:val="22"/>
        </w:rPr>
      </w:pPr>
    </w:p>
    <w:p w:rsidR="00E453AA" w:rsidRPr="00007243" w:rsidRDefault="00E453AA">
      <w:pPr>
        <w:pStyle w:val="Nadpis1"/>
        <w:rPr>
          <w:rFonts w:ascii="Times New Roman" w:hAnsi="Times New Roman"/>
          <w:i/>
          <w:sz w:val="22"/>
          <w:szCs w:val="22"/>
          <w:u w:val="none"/>
        </w:rPr>
      </w:pPr>
      <w:r w:rsidRPr="00007243">
        <w:rPr>
          <w:rFonts w:ascii="Times New Roman" w:hAnsi="Times New Roman"/>
          <w:i/>
          <w:sz w:val="22"/>
          <w:szCs w:val="22"/>
          <w:u w:val="none"/>
        </w:rPr>
        <w:t>Hydrochlorotiazid</w:t>
      </w: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Biologická dostupnosť je 60-80%. Diuretický účinok je zrejmý 2 hodiny po podaní a maximálny účinok po cca 4 hodinách. Účinok pretrváva 6-12 hodín. Hydrochlorotiazid sa vylučuje nezmenený obličkami. Priemerný plazmatický polčas je v rozpätí 5-15 hodín.</w:t>
      </w:r>
    </w:p>
    <w:p w:rsidR="00E453AA" w:rsidRPr="00007243" w:rsidRDefault="00E453AA">
      <w:pPr>
        <w:pStyle w:val="Zkladntext"/>
        <w:rPr>
          <w:rFonts w:ascii="Times New Roman" w:hAnsi="Times New Roman"/>
          <w:sz w:val="22"/>
          <w:szCs w:val="22"/>
        </w:rPr>
      </w:pPr>
    </w:p>
    <w:p w:rsidR="00E453AA" w:rsidRPr="00007243" w:rsidRDefault="00E453AA">
      <w:pPr>
        <w:tabs>
          <w:tab w:val="left" w:pos="8505"/>
        </w:tabs>
        <w:ind w:right="566"/>
        <w:rPr>
          <w:bCs/>
          <w:sz w:val="22"/>
          <w:szCs w:val="22"/>
        </w:rPr>
      </w:pPr>
      <w:r w:rsidRPr="00007243">
        <w:rPr>
          <w:bCs/>
          <w:sz w:val="22"/>
          <w:szCs w:val="22"/>
        </w:rPr>
        <w:t>Polčas hydrochlorotiazidu je predĺžený u pacientov s poruchou funkcie obličiek.</w:t>
      </w: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5.3</w:t>
      </w:r>
      <w:r w:rsidRPr="00007243">
        <w:rPr>
          <w:b/>
          <w:sz w:val="22"/>
          <w:szCs w:val="22"/>
        </w:rPr>
        <w:tab/>
        <w:t>Predklinické údaje o bezpečnosti</w:t>
      </w:r>
    </w:p>
    <w:p w:rsidR="00E453AA" w:rsidRPr="00007243" w:rsidRDefault="00E453AA">
      <w:pPr>
        <w:tabs>
          <w:tab w:val="left" w:pos="8505"/>
        </w:tabs>
        <w:ind w:right="566"/>
        <w:rPr>
          <w:b/>
          <w:sz w:val="22"/>
          <w:szCs w:val="22"/>
        </w:rPr>
      </w:pPr>
    </w:p>
    <w:p w:rsidR="00E453AA" w:rsidRPr="00AB681B" w:rsidRDefault="00E453AA">
      <w:pPr>
        <w:pStyle w:val="Zkladntext"/>
        <w:rPr>
          <w:rFonts w:ascii="Times New Roman" w:hAnsi="Times New Roman"/>
          <w:sz w:val="22"/>
          <w:szCs w:val="22"/>
        </w:rPr>
      </w:pPr>
      <w:r w:rsidRPr="00007243">
        <w:rPr>
          <w:rFonts w:ascii="Times New Roman" w:hAnsi="Times New Roman"/>
          <w:sz w:val="22"/>
          <w:szCs w:val="22"/>
        </w:rPr>
        <w:t>Predklinické údaje získané na základe obvyklých  farmakologických štúdií bezpečnosti, toxicity po opakovanom pod</w:t>
      </w:r>
      <w:r w:rsidR="00931E58">
        <w:rPr>
          <w:rFonts w:ascii="Times New Roman" w:hAnsi="Times New Roman"/>
          <w:sz w:val="22"/>
          <w:szCs w:val="22"/>
        </w:rPr>
        <w:t>áv</w:t>
      </w:r>
      <w:r w:rsidRPr="0007201A">
        <w:rPr>
          <w:rFonts w:ascii="Times New Roman" w:hAnsi="Times New Roman"/>
          <w:sz w:val="22"/>
          <w:szCs w:val="22"/>
        </w:rPr>
        <w:t>aní, genotoxicity a karcinogénneho pot</w:t>
      </w:r>
      <w:r w:rsidRPr="008376DD">
        <w:rPr>
          <w:rFonts w:ascii="Times New Roman" w:hAnsi="Times New Roman"/>
          <w:sz w:val="22"/>
          <w:szCs w:val="22"/>
        </w:rPr>
        <w:t>enciálu neodhalili žiadne osobitné riziko pre ľudí. Neuskutočnili sa štúdie ohľadom genotoxicity alebo karcinogenity kombinácie (chinapril/hydrochlorotiazid). Štúdie reprodukčnej toxicity naznačujú, že chinapril a/alebo hydr</w:t>
      </w:r>
      <w:r w:rsidRPr="00596E3A">
        <w:rPr>
          <w:rFonts w:ascii="Times New Roman" w:hAnsi="Times New Roman"/>
          <w:sz w:val="22"/>
          <w:szCs w:val="22"/>
        </w:rPr>
        <w:t>ochlorotiazid nemajú negatívny účinok na plodnosť a reprodukčné funkcie u potkanov a že nie sú teratogénne. ACE inhibítory,  ako skupina látok, sa prejavili ako toxické pre plod (spôsobujú poškodenie a/alebo smrť plodu), ak sa podávajú v druhom alebo treťo</w:t>
      </w:r>
      <w:r w:rsidRPr="00AB681B">
        <w:rPr>
          <w:rFonts w:ascii="Times New Roman" w:hAnsi="Times New Roman"/>
          <w:sz w:val="22"/>
          <w:szCs w:val="22"/>
        </w:rPr>
        <w:t>m trimestri.</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6.</w:t>
      </w:r>
      <w:r w:rsidRPr="00007243">
        <w:rPr>
          <w:b/>
          <w:sz w:val="22"/>
          <w:szCs w:val="22"/>
        </w:rPr>
        <w:tab/>
        <w:t>FARMACEUTICKÉ INFORMÁCIE</w:t>
      </w:r>
    </w:p>
    <w:p w:rsidR="00E453AA" w:rsidRPr="00007243" w:rsidRDefault="00E453AA">
      <w:pPr>
        <w:tabs>
          <w:tab w:val="left" w:pos="8505"/>
        </w:tabs>
        <w:ind w:left="567" w:right="566" w:hanging="567"/>
        <w:rPr>
          <w:b/>
          <w:sz w:val="22"/>
          <w:szCs w:val="22"/>
        </w:rPr>
      </w:pPr>
    </w:p>
    <w:p w:rsidR="00E453AA" w:rsidRPr="00007243" w:rsidRDefault="00E453AA">
      <w:pPr>
        <w:tabs>
          <w:tab w:val="left" w:pos="8505"/>
        </w:tabs>
        <w:ind w:left="567" w:right="566" w:hanging="567"/>
        <w:rPr>
          <w:b/>
          <w:sz w:val="22"/>
          <w:szCs w:val="22"/>
        </w:rPr>
      </w:pPr>
      <w:r w:rsidRPr="00007243">
        <w:rPr>
          <w:b/>
          <w:sz w:val="22"/>
          <w:szCs w:val="22"/>
        </w:rPr>
        <w:t>6.1</w:t>
      </w:r>
      <w:r w:rsidRPr="00007243">
        <w:rPr>
          <w:b/>
          <w:sz w:val="22"/>
          <w:szCs w:val="22"/>
        </w:rPr>
        <w:tab/>
        <w:t xml:space="preserve">Zoznam pomocných látok </w:t>
      </w:r>
    </w:p>
    <w:p w:rsidR="00E453AA" w:rsidRPr="00007243" w:rsidRDefault="00E453AA">
      <w:pPr>
        <w:pStyle w:val="Nadpis3"/>
        <w:rPr>
          <w:rFonts w:ascii="Times New Roman" w:hAnsi="Times New Roman"/>
          <w:sz w:val="22"/>
          <w:szCs w:val="22"/>
          <w:u w:val="single"/>
        </w:rPr>
      </w:pPr>
    </w:p>
    <w:p w:rsidR="00E453AA" w:rsidRPr="00007243" w:rsidRDefault="00E453AA">
      <w:pPr>
        <w:pStyle w:val="Nadpis3"/>
        <w:rPr>
          <w:rFonts w:ascii="Times New Roman" w:hAnsi="Times New Roman"/>
          <w:i/>
          <w:sz w:val="22"/>
          <w:szCs w:val="22"/>
        </w:rPr>
      </w:pPr>
      <w:r w:rsidRPr="00007243">
        <w:rPr>
          <w:rFonts w:ascii="Times New Roman" w:hAnsi="Times New Roman"/>
          <w:i/>
          <w:sz w:val="22"/>
          <w:szCs w:val="22"/>
        </w:rPr>
        <w:t>Jadro tablety</w:t>
      </w:r>
    </w:p>
    <w:p w:rsidR="00E453AA" w:rsidRPr="00007243" w:rsidRDefault="00E453AA">
      <w:pPr>
        <w:pStyle w:val="Nadpis2"/>
        <w:rPr>
          <w:rFonts w:ascii="Times New Roman" w:hAnsi="Times New Roman" w:cs="Times New Roman"/>
          <w:sz w:val="22"/>
          <w:szCs w:val="22"/>
          <w:u w:val="none"/>
        </w:rPr>
      </w:pPr>
      <w:r w:rsidRPr="00007243">
        <w:rPr>
          <w:rFonts w:ascii="Times New Roman" w:hAnsi="Times New Roman" w:cs="Times New Roman"/>
          <w:sz w:val="22"/>
          <w:szCs w:val="22"/>
          <w:u w:val="none"/>
        </w:rPr>
        <w:t>zásaditý uhličitan horečnatý</w:t>
      </w:r>
      <w:r w:rsidR="00BF6971">
        <w:rPr>
          <w:rFonts w:ascii="Times New Roman" w:hAnsi="Times New Roman" w:cs="Times New Roman"/>
          <w:sz w:val="22"/>
          <w:szCs w:val="22"/>
          <w:u w:val="none"/>
        </w:rPr>
        <w:t>,</w:t>
      </w:r>
      <w:r w:rsidR="00BF6971" w:rsidRPr="00BF6971">
        <w:rPr>
          <w:rFonts w:ascii="Times New Roman" w:hAnsi="Times New Roman" w:cs="Times New Roman"/>
          <w:sz w:val="22"/>
          <w:szCs w:val="22"/>
          <w:u w:val="none"/>
        </w:rPr>
        <w:t xml:space="preserve"> </w:t>
      </w:r>
      <w:r w:rsidR="00BF6971" w:rsidRPr="00007243">
        <w:rPr>
          <w:rFonts w:ascii="Times New Roman" w:hAnsi="Times New Roman" w:cs="Times New Roman"/>
          <w:sz w:val="22"/>
          <w:szCs w:val="22"/>
          <w:u w:val="none"/>
        </w:rPr>
        <w:t>ťažký</w:t>
      </w:r>
    </w:p>
    <w:p w:rsidR="00E453AA" w:rsidRPr="00007243" w:rsidRDefault="00E453AA">
      <w:pPr>
        <w:pStyle w:val="Nadpis2"/>
        <w:rPr>
          <w:rFonts w:ascii="Times New Roman" w:hAnsi="Times New Roman" w:cs="Times New Roman"/>
          <w:sz w:val="22"/>
          <w:szCs w:val="22"/>
          <w:u w:val="none"/>
        </w:rPr>
      </w:pPr>
      <w:r w:rsidRPr="00007243">
        <w:rPr>
          <w:rFonts w:ascii="Times New Roman" w:hAnsi="Times New Roman" w:cs="Times New Roman"/>
          <w:sz w:val="22"/>
          <w:szCs w:val="22"/>
          <w:u w:val="none"/>
        </w:rPr>
        <w:t>hydrogenfosforečnan vápenatý</w:t>
      </w:r>
      <w:r w:rsidR="00BF6971">
        <w:rPr>
          <w:rFonts w:ascii="Times New Roman" w:hAnsi="Times New Roman" w:cs="Times New Roman"/>
          <w:sz w:val="22"/>
          <w:szCs w:val="22"/>
          <w:u w:val="none"/>
        </w:rPr>
        <w:t>,</w:t>
      </w:r>
      <w:r w:rsidR="00BF6971" w:rsidRPr="00BF6971">
        <w:rPr>
          <w:rFonts w:ascii="Times New Roman" w:hAnsi="Times New Roman" w:cs="Times New Roman"/>
          <w:sz w:val="22"/>
          <w:szCs w:val="22"/>
          <w:u w:val="none"/>
        </w:rPr>
        <w:t xml:space="preserve"> </w:t>
      </w:r>
      <w:r w:rsidR="00BF6971" w:rsidRPr="00007243">
        <w:rPr>
          <w:rFonts w:ascii="Times New Roman" w:hAnsi="Times New Roman" w:cs="Times New Roman"/>
          <w:sz w:val="22"/>
          <w:szCs w:val="22"/>
          <w:u w:val="none"/>
        </w:rPr>
        <w:t>bezvodý</w:t>
      </w:r>
    </w:p>
    <w:p w:rsidR="00E453AA" w:rsidRPr="00007243" w:rsidRDefault="00E453AA">
      <w:pPr>
        <w:pStyle w:val="Nadpis2"/>
        <w:rPr>
          <w:rFonts w:ascii="Times New Roman" w:hAnsi="Times New Roman" w:cs="Times New Roman"/>
          <w:sz w:val="22"/>
          <w:szCs w:val="22"/>
          <w:u w:val="none"/>
        </w:rPr>
      </w:pPr>
      <w:r w:rsidRPr="00007243">
        <w:rPr>
          <w:rFonts w:ascii="Times New Roman" w:hAnsi="Times New Roman" w:cs="Times New Roman"/>
          <w:sz w:val="22"/>
          <w:szCs w:val="22"/>
          <w:u w:val="none"/>
        </w:rPr>
        <w:t xml:space="preserve">hydrolyzát škrobu (kukuričný) </w:t>
      </w:r>
    </w:p>
    <w:p w:rsidR="00E453AA" w:rsidRPr="00007243" w:rsidRDefault="00E453AA">
      <w:pPr>
        <w:pStyle w:val="Nadpis2"/>
        <w:rPr>
          <w:rFonts w:ascii="Times New Roman" w:hAnsi="Times New Roman" w:cs="Times New Roman"/>
          <w:sz w:val="22"/>
          <w:szCs w:val="22"/>
          <w:u w:val="none"/>
        </w:rPr>
      </w:pPr>
      <w:r w:rsidRPr="00007243">
        <w:rPr>
          <w:rFonts w:ascii="Times New Roman" w:hAnsi="Times New Roman" w:cs="Times New Roman"/>
          <w:sz w:val="22"/>
          <w:szCs w:val="22"/>
          <w:u w:val="none"/>
        </w:rPr>
        <w:t>kroskarmelóz</w:t>
      </w:r>
      <w:r w:rsidR="00BF6971">
        <w:rPr>
          <w:rFonts w:ascii="Times New Roman" w:hAnsi="Times New Roman" w:cs="Times New Roman"/>
          <w:sz w:val="22"/>
          <w:szCs w:val="22"/>
          <w:u w:val="none"/>
        </w:rPr>
        <w:t xml:space="preserve">a, </w:t>
      </w:r>
      <w:r w:rsidR="00BF6971" w:rsidRPr="00007243">
        <w:rPr>
          <w:rFonts w:ascii="Times New Roman" w:hAnsi="Times New Roman" w:cs="Times New Roman"/>
          <w:sz w:val="22"/>
          <w:szCs w:val="22"/>
          <w:u w:val="none"/>
        </w:rPr>
        <w:t>sodná soľ</w:t>
      </w:r>
    </w:p>
    <w:p w:rsidR="00E453AA" w:rsidRPr="00007243" w:rsidRDefault="00BF6971">
      <w:pPr>
        <w:rPr>
          <w:sz w:val="22"/>
          <w:szCs w:val="22"/>
        </w:rPr>
      </w:pPr>
      <w:r>
        <w:rPr>
          <w:sz w:val="22"/>
          <w:szCs w:val="22"/>
        </w:rPr>
        <w:t xml:space="preserve">stearan horečnatý </w:t>
      </w:r>
    </w:p>
    <w:p w:rsidR="00E453AA" w:rsidRPr="00007243" w:rsidRDefault="00E453AA">
      <w:pPr>
        <w:pStyle w:val="Nadpis2"/>
        <w:rPr>
          <w:rFonts w:ascii="Times New Roman" w:hAnsi="Times New Roman" w:cs="Times New Roman"/>
          <w:i/>
          <w:sz w:val="22"/>
          <w:szCs w:val="22"/>
          <w:u w:val="none"/>
        </w:rPr>
      </w:pPr>
      <w:r w:rsidRPr="00007243">
        <w:rPr>
          <w:rFonts w:ascii="Times New Roman" w:hAnsi="Times New Roman" w:cs="Times New Roman"/>
          <w:i/>
          <w:sz w:val="22"/>
          <w:szCs w:val="22"/>
          <w:u w:val="none"/>
        </w:rPr>
        <w:t>Filmový obal</w:t>
      </w:r>
    </w:p>
    <w:p w:rsidR="00E453AA" w:rsidRPr="00007243" w:rsidRDefault="00E453AA">
      <w:pPr>
        <w:rPr>
          <w:sz w:val="22"/>
          <w:szCs w:val="22"/>
        </w:rPr>
      </w:pPr>
      <w:r w:rsidRPr="00007243">
        <w:rPr>
          <w:sz w:val="22"/>
          <w:szCs w:val="22"/>
        </w:rPr>
        <w:t>hyprolóza</w:t>
      </w:r>
    </w:p>
    <w:p w:rsidR="00E453AA" w:rsidRPr="00007243" w:rsidRDefault="00E453AA">
      <w:pPr>
        <w:rPr>
          <w:sz w:val="22"/>
          <w:szCs w:val="22"/>
        </w:rPr>
      </w:pPr>
      <w:r w:rsidRPr="00007243">
        <w:rPr>
          <w:sz w:val="22"/>
          <w:szCs w:val="22"/>
        </w:rPr>
        <w:t>hypromelóza</w:t>
      </w:r>
    </w:p>
    <w:p w:rsidR="00E453AA" w:rsidRPr="00007243" w:rsidRDefault="00E453AA">
      <w:pPr>
        <w:rPr>
          <w:sz w:val="22"/>
          <w:szCs w:val="22"/>
        </w:rPr>
      </w:pPr>
      <w:r w:rsidRPr="00007243">
        <w:rPr>
          <w:sz w:val="22"/>
          <w:szCs w:val="22"/>
        </w:rPr>
        <w:t>oxid titaničitý (E 171)</w:t>
      </w:r>
    </w:p>
    <w:p w:rsidR="00E453AA" w:rsidRPr="00007243" w:rsidRDefault="00E453AA">
      <w:pPr>
        <w:rPr>
          <w:sz w:val="22"/>
          <w:szCs w:val="22"/>
        </w:rPr>
      </w:pPr>
      <w:r w:rsidRPr="00007243">
        <w:rPr>
          <w:sz w:val="22"/>
          <w:szCs w:val="22"/>
        </w:rPr>
        <w:t>makrogol 400</w:t>
      </w:r>
    </w:p>
    <w:p w:rsidR="00E453AA" w:rsidRPr="00007243" w:rsidRDefault="00E453AA">
      <w:pPr>
        <w:rPr>
          <w:sz w:val="22"/>
          <w:szCs w:val="22"/>
        </w:rPr>
      </w:pPr>
      <w:r w:rsidRPr="00007243">
        <w:rPr>
          <w:sz w:val="22"/>
          <w:szCs w:val="22"/>
        </w:rPr>
        <w:t>žltý oxid železitý (E 172)</w:t>
      </w:r>
    </w:p>
    <w:p w:rsidR="00E453AA" w:rsidRPr="00007243" w:rsidRDefault="00E453AA">
      <w:pPr>
        <w:rPr>
          <w:sz w:val="22"/>
          <w:szCs w:val="22"/>
        </w:rPr>
      </w:pPr>
      <w:r w:rsidRPr="00007243">
        <w:rPr>
          <w:sz w:val="22"/>
          <w:szCs w:val="22"/>
        </w:rPr>
        <w:t>červený oxid železitý (E 172)</w:t>
      </w:r>
    </w:p>
    <w:p w:rsidR="00E453AA" w:rsidRPr="00007243" w:rsidRDefault="00E453AA">
      <w:pPr>
        <w:rPr>
          <w:sz w:val="22"/>
          <w:szCs w:val="22"/>
        </w:rPr>
      </w:pPr>
    </w:p>
    <w:p w:rsidR="00E453AA" w:rsidRPr="00007243" w:rsidRDefault="00E453AA">
      <w:pPr>
        <w:pStyle w:val="Nadpis2"/>
        <w:ind w:left="567" w:hanging="567"/>
        <w:rPr>
          <w:rFonts w:ascii="Times New Roman" w:hAnsi="Times New Roman" w:cs="Times New Roman"/>
          <w:b/>
          <w:sz w:val="22"/>
          <w:szCs w:val="22"/>
          <w:u w:val="none"/>
        </w:rPr>
      </w:pPr>
      <w:r w:rsidRPr="00007243">
        <w:rPr>
          <w:rFonts w:ascii="Times New Roman" w:hAnsi="Times New Roman" w:cs="Times New Roman"/>
          <w:b/>
          <w:sz w:val="22"/>
          <w:szCs w:val="22"/>
          <w:u w:val="none"/>
        </w:rPr>
        <w:t>6.2</w:t>
      </w:r>
      <w:r w:rsidRPr="00007243">
        <w:rPr>
          <w:rFonts w:ascii="Times New Roman" w:hAnsi="Times New Roman" w:cs="Times New Roman"/>
          <w:b/>
          <w:sz w:val="22"/>
          <w:szCs w:val="22"/>
          <w:u w:val="none"/>
        </w:rPr>
        <w:tab/>
        <w:t>Inkompatibility</w:t>
      </w:r>
    </w:p>
    <w:p w:rsidR="00E453AA" w:rsidRPr="00007243" w:rsidRDefault="00E453AA">
      <w:pPr>
        <w:pStyle w:val="Nadpis3"/>
        <w:rPr>
          <w:rFonts w:ascii="Times New Roman" w:hAnsi="Times New Roman"/>
          <w:sz w:val="22"/>
          <w:szCs w:val="22"/>
        </w:rPr>
      </w:pPr>
    </w:p>
    <w:p w:rsidR="00E453AA" w:rsidRPr="00007243" w:rsidRDefault="00E453AA">
      <w:pPr>
        <w:pStyle w:val="Nadpis3"/>
        <w:rPr>
          <w:rFonts w:ascii="Times New Roman" w:hAnsi="Times New Roman"/>
          <w:sz w:val="22"/>
          <w:szCs w:val="22"/>
        </w:rPr>
      </w:pPr>
      <w:r w:rsidRPr="00007243">
        <w:rPr>
          <w:rFonts w:ascii="Times New Roman" w:hAnsi="Times New Roman"/>
          <w:sz w:val="22"/>
          <w:szCs w:val="22"/>
        </w:rPr>
        <w:t>Neaplikovateľné.</w:t>
      </w: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6.3</w:t>
      </w:r>
      <w:r w:rsidRPr="00007243">
        <w:rPr>
          <w:b/>
          <w:sz w:val="22"/>
          <w:szCs w:val="22"/>
        </w:rPr>
        <w:tab/>
        <w:t>Čas použiteľnosti</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r w:rsidRPr="00007243">
        <w:rPr>
          <w:bCs/>
          <w:sz w:val="22"/>
          <w:szCs w:val="22"/>
        </w:rPr>
        <w:t>2 roky</w:t>
      </w: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6.4</w:t>
      </w:r>
      <w:r w:rsidRPr="00007243">
        <w:rPr>
          <w:b/>
          <w:sz w:val="22"/>
          <w:szCs w:val="22"/>
        </w:rPr>
        <w:tab/>
        <w:t>Špeciálne upozornenia na uchovávanie</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r w:rsidRPr="00007243">
        <w:rPr>
          <w:bCs/>
          <w:sz w:val="22"/>
          <w:szCs w:val="22"/>
        </w:rPr>
        <w:t>Uchovávajte pri teplote neprevyšujúcej 30</w:t>
      </w:r>
      <w:r w:rsidR="0007256D">
        <w:rPr>
          <w:bCs/>
          <w:sz w:val="22"/>
          <w:szCs w:val="22"/>
        </w:rPr>
        <w:t> </w:t>
      </w:r>
      <w:r w:rsidRPr="00007243">
        <w:rPr>
          <w:bCs/>
          <w:sz w:val="22"/>
          <w:szCs w:val="22"/>
        </w:rPr>
        <w:t>°C.</w:t>
      </w: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6.5</w:t>
      </w:r>
      <w:r w:rsidRPr="00007243">
        <w:rPr>
          <w:b/>
          <w:sz w:val="22"/>
          <w:szCs w:val="22"/>
        </w:rPr>
        <w:tab/>
        <w:t>Druh obalu a obsah balenia</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r w:rsidRPr="00007243">
        <w:rPr>
          <w:bCs/>
          <w:sz w:val="22"/>
          <w:szCs w:val="22"/>
        </w:rPr>
        <w:t xml:space="preserve">Blistrové balenia (Alumínium/polyamid/PVC): </w:t>
      </w:r>
      <w:r w:rsidRPr="00007243">
        <w:rPr>
          <w:sz w:val="22"/>
          <w:szCs w:val="22"/>
        </w:rPr>
        <w:t xml:space="preserve">10, 14, 20, 28, 30, 42, 50, 56, 98, </w:t>
      </w:r>
      <w:smartTag w:uri="urn:schemas-microsoft-com:office:smarttags" w:element="metricconverter">
        <w:smartTagPr>
          <w:attr w:name="ProductID" w:val="100 a"/>
        </w:smartTagPr>
        <w:r w:rsidRPr="00007243">
          <w:rPr>
            <w:sz w:val="22"/>
            <w:szCs w:val="22"/>
          </w:rPr>
          <w:t>100 a</w:t>
        </w:r>
      </w:smartTag>
      <w:r w:rsidRPr="00007243">
        <w:rPr>
          <w:sz w:val="22"/>
          <w:szCs w:val="22"/>
        </w:rPr>
        <w:t xml:space="preserve"> 500 (5x100) </w:t>
      </w:r>
      <w:r w:rsidRPr="00007243">
        <w:rPr>
          <w:bCs/>
          <w:sz w:val="22"/>
          <w:szCs w:val="22"/>
        </w:rPr>
        <w:t>tabliet.</w:t>
      </w:r>
    </w:p>
    <w:p w:rsidR="00E453AA" w:rsidRPr="00007243" w:rsidRDefault="00E453AA">
      <w:pPr>
        <w:tabs>
          <w:tab w:val="left" w:pos="8505"/>
        </w:tabs>
        <w:ind w:right="566"/>
        <w:rPr>
          <w:bCs/>
          <w:sz w:val="22"/>
          <w:szCs w:val="22"/>
        </w:rPr>
      </w:pPr>
      <w:r w:rsidRPr="00007243">
        <w:rPr>
          <w:bCs/>
          <w:sz w:val="22"/>
          <w:szCs w:val="22"/>
        </w:rPr>
        <w:t>Obal na tablety (polypropylén): 250 tabliet</w:t>
      </w:r>
    </w:p>
    <w:p w:rsidR="00E453AA" w:rsidRPr="00007243" w:rsidRDefault="00E453AA">
      <w:pPr>
        <w:tabs>
          <w:tab w:val="left" w:pos="8505"/>
        </w:tabs>
        <w:ind w:right="566"/>
        <w:rPr>
          <w:bCs/>
          <w:sz w:val="22"/>
          <w:szCs w:val="22"/>
        </w:rPr>
      </w:pPr>
    </w:p>
    <w:p w:rsidR="00596E3A" w:rsidRPr="0007201A" w:rsidRDefault="00931E58">
      <w:pPr>
        <w:tabs>
          <w:tab w:val="left" w:pos="8505"/>
        </w:tabs>
        <w:ind w:right="566"/>
        <w:rPr>
          <w:bCs/>
          <w:sz w:val="22"/>
          <w:szCs w:val="22"/>
        </w:rPr>
      </w:pPr>
      <w:r>
        <w:rPr>
          <w:bCs/>
          <w:sz w:val="22"/>
          <w:szCs w:val="22"/>
        </w:rPr>
        <w:t>Na trh nemusia byť uvedené všetky veľkosti balenia.</w:t>
      </w:r>
    </w:p>
    <w:p w:rsidR="00E453AA" w:rsidRPr="008376DD" w:rsidRDefault="00E453AA">
      <w:pPr>
        <w:tabs>
          <w:tab w:val="left" w:pos="8505"/>
        </w:tabs>
        <w:ind w:right="566"/>
        <w:rPr>
          <w:bCs/>
          <w:sz w:val="22"/>
          <w:szCs w:val="22"/>
        </w:rPr>
      </w:pPr>
    </w:p>
    <w:p w:rsidR="00E453AA" w:rsidRPr="00596E3A" w:rsidRDefault="00E453AA">
      <w:pPr>
        <w:tabs>
          <w:tab w:val="left" w:pos="8505"/>
        </w:tabs>
        <w:ind w:left="567" w:right="566" w:hanging="567"/>
        <w:rPr>
          <w:b/>
          <w:sz w:val="22"/>
          <w:szCs w:val="22"/>
        </w:rPr>
      </w:pPr>
      <w:r w:rsidRPr="00596E3A">
        <w:rPr>
          <w:b/>
          <w:sz w:val="22"/>
          <w:szCs w:val="22"/>
        </w:rPr>
        <w:t>6.6</w:t>
      </w:r>
      <w:r w:rsidRPr="00596E3A">
        <w:rPr>
          <w:b/>
          <w:sz w:val="22"/>
          <w:szCs w:val="22"/>
        </w:rPr>
        <w:tab/>
        <w:t> Špeciálne opatrenia na likvidáciu a iné zaobchádzanie s liekom</w:t>
      </w:r>
    </w:p>
    <w:p w:rsidR="00E453AA" w:rsidRPr="00AB681B" w:rsidRDefault="00E453AA">
      <w:pPr>
        <w:pStyle w:val="Zkladntext"/>
        <w:rPr>
          <w:rFonts w:ascii="Times New Roman" w:hAnsi="Times New Roman"/>
          <w:sz w:val="22"/>
          <w:szCs w:val="22"/>
        </w:rPr>
      </w:pPr>
    </w:p>
    <w:p w:rsidR="00E453AA" w:rsidRPr="00007243" w:rsidRDefault="00E453AA">
      <w:pPr>
        <w:pStyle w:val="Zkladntext"/>
        <w:rPr>
          <w:rFonts w:ascii="Times New Roman" w:hAnsi="Times New Roman"/>
          <w:sz w:val="22"/>
          <w:szCs w:val="22"/>
        </w:rPr>
      </w:pPr>
      <w:r w:rsidRPr="00007243">
        <w:rPr>
          <w:rFonts w:ascii="Times New Roman" w:hAnsi="Times New Roman"/>
          <w:sz w:val="22"/>
          <w:szCs w:val="22"/>
        </w:rPr>
        <w:t>Žiadne zvláštne požiadavky.</w:t>
      </w:r>
    </w:p>
    <w:p w:rsidR="00E453AA" w:rsidRPr="00007243" w:rsidRDefault="00E453AA">
      <w:pPr>
        <w:tabs>
          <w:tab w:val="left" w:pos="8505"/>
        </w:tabs>
        <w:ind w:right="566"/>
        <w:rPr>
          <w:bCs/>
          <w:sz w:val="22"/>
          <w:szCs w:val="22"/>
        </w:rPr>
      </w:pPr>
    </w:p>
    <w:p w:rsidR="00E453AA" w:rsidRPr="00007243" w:rsidRDefault="00E453AA">
      <w:pPr>
        <w:tabs>
          <w:tab w:val="left" w:pos="8505"/>
        </w:tabs>
        <w:ind w:right="566"/>
        <w:rPr>
          <w:bCs/>
          <w:sz w:val="22"/>
          <w:szCs w:val="22"/>
        </w:rPr>
      </w:pPr>
    </w:p>
    <w:p w:rsidR="00E453AA" w:rsidRPr="00007243" w:rsidRDefault="00E453AA">
      <w:pPr>
        <w:tabs>
          <w:tab w:val="left" w:pos="8505"/>
        </w:tabs>
        <w:ind w:left="567" w:right="566" w:hanging="567"/>
        <w:rPr>
          <w:b/>
          <w:sz w:val="22"/>
          <w:szCs w:val="22"/>
        </w:rPr>
      </w:pPr>
      <w:r w:rsidRPr="00007243">
        <w:rPr>
          <w:b/>
          <w:sz w:val="22"/>
          <w:szCs w:val="22"/>
        </w:rPr>
        <w:t>7.</w:t>
      </w:r>
      <w:r w:rsidRPr="00007243">
        <w:rPr>
          <w:b/>
          <w:sz w:val="22"/>
          <w:szCs w:val="22"/>
        </w:rPr>
        <w:tab/>
        <w:t>DRŽITEĽ ROZHODNUTIA O REGISTRÁCII</w:t>
      </w:r>
    </w:p>
    <w:p w:rsidR="00E453AA" w:rsidRPr="00007243" w:rsidRDefault="00E453AA">
      <w:pPr>
        <w:tabs>
          <w:tab w:val="left" w:pos="8505"/>
        </w:tabs>
        <w:ind w:left="567" w:right="566" w:hanging="567"/>
        <w:rPr>
          <w:sz w:val="22"/>
          <w:szCs w:val="22"/>
        </w:rPr>
      </w:pPr>
    </w:p>
    <w:p w:rsidR="00E453AA" w:rsidRPr="00007243" w:rsidRDefault="00E453AA">
      <w:pPr>
        <w:tabs>
          <w:tab w:val="left" w:pos="8505"/>
        </w:tabs>
        <w:ind w:right="566"/>
        <w:rPr>
          <w:sz w:val="22"/>
          <w:szCs w:val="22"/>
        </w:rPr>
      </w:pPr>
      <w:r w:rsidRPr="00007243">
        <w:rPr>
          <w:sz w:val="22"/>
          <w:szCs w:val="22"/>
        </w:rPr>
        <w:t>STADA Arzneimittel AG</w:t>
      </w:r>
    </w:p>
    <w:p w:rsidR="00E453AA" w:rsidRPr="00007243" w:rsidRDefault="00E453AA">
      <w:pPr>
        <w:tabs>
          <w:tab w:val="left" w:pos="8505"/>
        </w:tabs>
        <w:ind w:right="566"/>
        <w:rPr>
          <w:sz w:val="22"/>
          <w:szCs w:val="22"/>
        </w:rPr>
      </w:pPr>
      <w:r w:rsidRPr="00007243">
        <w:rPr>
          <w:sz w:val="22"/>
          <w:szCs w:val="22"/>
        </w:rPr>
        <w:t>Stadastrasse 2-18</w:t>
      </w:r>
    </w:p>
    <w:p w:rsidR="00E453AA" w:rsidRPr="00007243" w:rsidRDefault="00E453AA">
      <w:pPr>
        <w:tabs>
          <w:tab w:val="left" w:pos="8505"/>
        </w:tabs>
        <w:ind w:right="566"/>
        <w:rPr>
          <w:sz w:val="22"/>
          <w:szCs w:val="22"/>
        </w:rPr>
      </w:pPr>
      <w:r w:rsidRPr="00007243">
        <w:rPr>
          <w:sz w:val="22"/>
          <w:szCs w:val="22"/>
        </w:rPr>
        <w:t>61118 Bad Vilbel</w:t>
      </w:r>
    </w:p>
    <w:p w:rsidR="00E453AA" w:rsidRPr="00007243" w:rsidRDefault="00E453AA">
      <w:pPr>
        <w:tabs>
          <w:tab w:val="left" w:pos="8505"/>
        </w:tabs>
        <w:ind w:left="567" w:right="566" w:hanging="567"/>
        <w:rPr>
          <w:sz w:val="22"/>
          <w:szCs w:val="22"/>
        </w:rPr>
      </w:pPr>
      <w:r w:rsidRPr="00007243">
        <w:rPr>
          <w:sz w:val="22"/>
          <w:szCs w:val="22"/>
        </w:rPr>
        <w:t>Nemecko</w:t>
      </w:r>
    </w:p>
    <w:p w:rsidR="00E453AA" w:rsidRPr="00007243" w:rsidRDefault="00E453AA">
      <w:pPr>
        <w:tabs>
          <w:tab w:val="left" w:pos="8505"/>
        </w:tabs>
        <w:ind w:left="567" w:right="566" w:hanging="567"/>
        <w:rPr>
          <w:b/>
          <w:sz w:val="22"/>
          <w:szCs w:val="22"/>
        </w:rPr>
      </w:pPr>
    </w:p>
    <w:p w:rsidR="00E453AA" w:rsidRPr="00007243" w:rsidRDefault="00E453AA">
      <w:pPr>
        <w:tabs>
          <w:tab w:val="left" w:pos="8505"/>
        </w:tabs>
        <w:ind w:left="567" w:right="566" w:hanging="567"/>
        <w:rPr>
          <w:b/>
          <w:sz w:val="22"/>
          <w:szCs w:val="22"/>
        </w:rPr>
      </w:pPr>
    </w:p>
    <w:p w:rsidR="00E453AA" w:rsidRPr="0007201A" w:rsidRDefault="00E453AA">
      <w:pPr>
        <w:tabs>
          <w:tab w:val="left" w:pos="8505"/>
        </w:tabs>
        <w:ind w:left="567" w:right="566" w:hanging="567"/>
        <w:rPr>
          <w:b/>
          <w:sz w:val="22"/>
          <w:szCs w:val="22"/>
        </w:rPr>
      </w:pPr>
      <w:r w:rsidRPr="00007243">
        <w:rPr>
          <w:b/>
          <w:sz w:val="22"/>
          <w:szCs w:val="22"/>
        </w:rPr>
        <w:t>8.</w:t>
      </w:r>
      <w:r w:rsidRPr="00007243">
        <w:rPr>
          <w:b/>
          <w:sz w:val="22"/>
          <w:szCs w:val="22"/>
        </w:rPr>
        <w:tab/>
        <w:t>REGISTRAČNÉ ČÍSL</w:t>
      </w:r>
      <w:r w:rsidR="00931E58">
        <w:rPr>
          <w:b/>
          <w:sz w:val="22"/>
          <w:szCs w:val="22"/>
        </w:rPr>
        <w:t>A</w:t>
      </w:r>
    </w:p>
    <w:p w:rsidR="00E453AA" w:rsidRPr="008376DD" w:rsidRDefault="00E453AA">
      <w:pPr>
        <w:tabs>
          <w:tab w:val="left" w:pos="8505"/>
        </w:tabs>
        <w:ind w:left="567" w:right="566" w:hanging="567"/>
        <w:rPr>
          <w:sz w:val="22"/>
          <w:szCs w:val="22"/>
        </w:rPr>
      </w:pPr>
    </w:p>
    <w:p w:rsidR="00E453AA" w:rsidRPr="00596E3A" w:rsidRDefault="00E453AA">
      <w:pPr>
        <w:tabs>
          <w:tab w:val="left" w:pos="8505"/>
        </w:tabs>
        <w:ind w:left="567" w:right="566" w:hanging="567"/>
        <w:rPr>
          <w:sz w:val="22"/>
          <w:szCs w:val="22"/>
        </w:rPr>
      </w:pPr>
      <w:r w:rsidRPr="00596E3A">
        <w:rPr>
          <w:sz w:val="22"/>
          <w:szCs w:val="22"/>
        </w:rPr>
        <w:t>STADAPRESS 10/12,5 mg: 58/0282/04-S</w:t>
      </w:r>
    </w:p>
    <w:p w:rsidR="00E453AA" w:rsidRPr="00AB681B" w:rsidRDefault="00E453AA">
      <w:pPr>
        <w:tabs>
          <w:tab w:val="left" w:pos="8505"/>
        </w:tabs>
        <w:ind w:left="567" w:right="566" w:hanging="567"/>
        <w:rPr>
          <w:sz w:val="22"/>
          <w:szCs w:val="22"/>
        </w:rPr>
      </w:pPr>
      <w:r w:rsidRPr="00AB681B">
        <w:rPr>
          <w:sz w:val="22"/>
          <w:szCs w:val="22"/>
        </w:rPr>
        <w:t>STADAPRESS 20/12,5 mg: 58/0283/04-S</w:t>
      </w:r>
    </w:p>
    <w:p w:rsidR="00E453AA" w:rsidRPr="00007243" w:rsidRDefault="00E453AA">
      <w:pPr>
        <w:tabs>
          <w:tab w:val="left" w:pos="8505"/>
        </w:tabs>
        <w:ind w:left="567" w:right="566" w:hanging="567"/>
        <w:rPr>
          <w:b/>
          <w:sz w:val="22"/>
          <w:szCs w:val="22"/>
        </w:rPr>
      </w:pPr>
    </w:p>
    <w:p w:rsidR="00E453AA" w:rsidRPr="00007243" w:rsidRDefault="00E453AA">
      <w:pPr>
        <w:tabs>
          <w:tab w:val="left" w:pos="8505"/>
        </w:tabs>
        <w:ind w:left="567" w:right="566" w:hanging="567"/>
        <w:rPr>
          <w:b/>
          <w:sz w:val="22"/>
          <w:szCs w:val="22"/>
        </w:rPr>
      </w:pPr>
    </w:p>
    <w:p w:rsidR="00E453AA" w:rsidRPr="00596E3A" w:rsidRDefault="00E453AA">
      <w:pPr>
        <w:tabs>
          <w:tab w:val="left" w:pos="8505"/>
        </w:tabs>
        <w:ind w:left="567" w:right="566" w:hanging="567"/>
        <w:rPr>
          <w:b/>
          <w:sz w:val="22"/>
          <w:szCs w:val="22"/>
        </w:rPr>
      </w:pPr>
      <w:r w:rsidRPr="00007243">
        <w:rPr>
          <w:b/>
          <w:sz w:val="22"/>
          <w:szCs w:val="22"/>
        </w:rPr>
        <w:t>9.</w:t>
      </w:r>
      <w:r w:rsidRPr="00007243">
        <w:rPr>
          <w:b/>
          <w:sz w:val="22"/>
          <w:szCs w:val="22"/>
        </w:rPr>
        <w:tab/>
        <w:t xml:space="preserve">DÁTUM </w:t>
      </w:r>
      <w:r w:rsidR="00931E58">
        <w:rPr>
          <w:b/>
          <w:sz w:val="22"/>
          <w:szCs w:val="22"/>
        </w:rPr>
        <w:t xml:space="preserve">PRVEJ </w:t>
      </w:r>
      <w:r w:rsidRPr="0007201A">
        <w:rPr>
          <w:b/>
          <w:sz w:val="22"/>
          <w:szCs w:val="22"/>
        </w:rPr>
        <w:t>REGISTRÁCIE/</w:t>
      </w:r>
      <w:r w:rsidRPr="00596E3A">
        <w:rPr>
          <w:b/>
          <w:sz w:val="22"/>
          <w:szCs w:val="22"/>
        </w:rPr>
        <w:t xml:space="preserve"> PREDĹŽENIA REGISTRÁCIE </w:t>
      </w:r>
    </w:p>
    <w:p w:rsidR="00E453AA" w:rsidRPr="00AB681B" w:rsidRDefault="00E453AA">
      <w:pPr>
        <w:tabs>
          <w:tab w:val="left" w:pos="8505"/>
        </w:tabs>
        <w:ind w:left="567" w:right="566" w:hanging="567"/>
        <w:rPr>
          <w:b/>
          <w:sz w:val="22"/>
          <w:szCs w:val="22"/>
        </w:rPr>
      </w:pPr>
    </w:p>
    <w:p w:rsidR="00931E58" w:rsidRDefault="00931E58">
      <w:pPr>
        <w:tabs>
          <w:tab w:val="left" w:pos="8505"/>
        </w:tabs>
        <w:ind w:left="567" w:right="566" w:hanging="567"/>
        <w:rPr>
          <w:sz w:val="22"/>
          <w:szCs w:val="22"/>
        </w:rPr>
      </w:pPr>
      <w:r>
        <w:rPr>
          <w:sz w:val="22"/>
          <w:szCs w:val="22"/>
        </w:rPr>
        <w:t xml:space="preserve">Dátum prvej registrácie: </w:t>
      </w:r>
      <w:r w:rsidR="00E453AA" w:rsidRPr="0007201A">
        <w:rPr>
          <w:sz w:val="22"/>
          <w:szCs w:val="22"/>
        </w:rPr>
        <w:t>2.</w:t>
      </w:r>
      <w:r>
        <w:rPr>
          <w:sz w:val="22"/>
          <w:szCs w:val="22"/>
        </w:rPr>
        <w:t xml:space="preserve"> decembra </w:t>
      </w:r>
      <w:r w:rsidR="00E453AA" w:rsidRPr="0007201A">
        <w:rPr>
          <w:sz w:val="22"/>
          <w:szCs w:val="22"/>
        </w:rPr>
        <w:t>2004</w:t>
      </w:r>
    </w:p>
    <w:p w:rsidR="00E453AA" w:rsidRPr="0007201A" w:rsidRDefault="00931E58">
      <w:pPr>
        <w:tabs>
          <w:tab w:val="left" w:pos="8505"/>
        </w:tabs>
        <w:ind w:left="567" w:right="566" w:hanging="567"/>
        <w:rPr>
          <w:sz w:val="22"/>
          <w:szCs w:val="22"/>
        </w:rPr>
      </w:pPr>
      <w:r>
        <w:rPr>
          <w:sz w:val="22"/>
          <w:szCs w:val="22"/>
        </w:rPr>
        <w:t>Dátum posledného predĺženia</w:t>
      </w:r>
      <w:r w:rsidR="000E7BAE">
        <w:rPr>
          <w:sz w:val="22"/>
          <w:szCs w:val="22"/>
        </w:rPr>
        <w:t xml:space="preserve"> registrácie</w:t>
      </w:r>
      <w:r>
        <w:rPr>
          <w:sz w:val="22"/>
          <w:szCs w:val="22"/>
        </w:rPr>
        <w:t xml:space="preserve">: </w:t>
      </w:r>
      <w:r w:rsidR="007274CB" w:rsidRPr="0007201A">
        <w:rPr>
          <w:sz w:val="22"/>
          <w:szCs w:val="22"/>
        </w:rPr>
        <w:t>18.</w:t>
      </w:r>
      <w:r>
        <w:rPr>
          <w:sz w:val="22"/>
          <w:szCs w:val="22"/>
        </w:rPr>
        <w:t xml:space="preserve"> mája </w:t>
      </w:r>
      <w:r w:rsidR="007274CB" w:rsidRPr="0007201A">
        <w:rPr>
          <w:sz w:val="22"/>
          <w:szCs w:val="22"/>
        </w:rPr>
        <w:t>2009</w:t>
      </w:r>
    </w:p>
    <w:p w:rsidR="00E453AA" w:rsidRPr="008376DD" w:rsidRDefault="00E453AA">
      <w:pPr>
        <w:tabs>
          <w:tab w:val="left" w:pos="8505"/>
        </w:tabs>
        <w:ind w:left="567" w:right="566" w:hanging="567"/>
        <w:rPr>
          <w:b/>
          <w:sz w:val="22"/>
          <w:szCs w:val="22"/>
        </w:rPr>
      </w:pPr>
    </w:p>
    <w:p w:rsidR="00E453AA" w:rsidRPr="00596E3A" w:rsidRDefault="00E453AA">
      <w:pPr>
        <w:tabs>
          <w:tab w:val="left" w:pos="8505"/>
        </w:tabs>
        <w:ind w:left="567" w:right="566" w:hanging="567"/>
        <w:rPr>
          <w:b/>
          <w:sz w:val="22"/>
          <w:szCs w:val="22"/>
        </w:rPr>
      </w:pPr>
    </w:p>
    <w:p w:rsidR="00E453AA" w:rsidRPr="00AB681B" w:rsidRDefault="00E453AA">
      <w:pPr>
        <w:tabs>
          <w:tab w:val="left" w:pos="8505"/>
        </w:tabs>
        <w:ind w:left="567" w:right="566" w:hanging="567"/>
        <w:rPr>
          <w:b/>
          <w:sz w:val="22"/>
          <w:szCs w:val="22"/>
        </w:rPr>
      </w:pPr>
      <w:r w:rsidRPr="00AB681B">
        <w:rPr>
          <w:b/>
          <w:sz w:val="22"/>
          <w:szCs w:val="22"/>
        </w:rPr>
        <w:t>10.</w:t>
      </w:r>
      <w:r w:rsidRPr="00AB681B">
        <w:rPr>
          <w:b/>
          <w:sz w:val="22"/>
          <w:szCs w:val="22"/>
        </w:rPr>
        <w:tab/>
        <w:t>DÁTUM REVÍZIE TEXTU</w:t>
      </w:r>
    </w:p>
    <w:p w:rsidR="00E453AA" w:rsidRPr="00AB681B" w:rsidRDefault="00E453AA">
      <w:pPr>
        <w:tabs>
          <w:tab w:val="left" w:pos="8505"/>
        </w:tabs>
        <w:ind w:right="566"/>
        <w:rPr>
          <w:bCs/>
          <w:sz w:val="22"/>
          <w:szCs w:val="22"/>
        </w:rPr>
      </w:pPr>
    </w:p>
    <w:p w:rsidR="00E453AA" w:rsidRPr="00596E3A" w:rsidRDefault="008C1B7A" w:rsidP="0007201A">
      <w:pPr>
        <w:rPr>
          <w:sz w:val="22"/>
          <w:szCs w:val="22"/>
        </w:rPr>
      </w:pPr>
      <w:r>
        <w:rPr>
          <w:sz w:val="22"/>
          <w:szCs w:val="22"/>
        </w:rPr>
        <w:t>04/2020</w:t>
      </w:r>
    </w:p>
    <w:sectPr w:rsidR="00E453AA" w:rsidRPr="00596E3A" w:rsidSect="00D95987">
      <w:headerReference w:type="default" r:id="rId9"/>
      <w:footerReference w:type="even" r:id="rId10"/>
      <w:footerReference w:type="default" r:id="rId11"/>
      <w:headerReference w:type="first" r:id="rId12"/>
      <w:pgSz w:w="11907" w:h="16840"/>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322" w:rsidRDefault="00C10322">
      <w:r>
        <w:separator/>
      </w:r>
    </w:p>
  </w:endnote>
  <w:endnote w:type="continuationSeparator" w:id="0">
    <w:p w:rsidR="00C10322" w:rsidRDefault="00C1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10" w:rsidRDefault="0073601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736010" w:rsidRDefault="00736010">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10" w:rsidRPr="00FC136C" w:rsidRDefault="00736010" w:rsidP="00FC136C">
    <w:pPr>
      <w:pStyle w:val="Pta"/>
      <w:framePr w:wrap="around" w:vAnchor="text" w:hAnchor="page" w:x="5749" w:y="-11"/>
      <w:rPr>
        <w:rStyle w:val="slostrany"/>
        <w:sz w:val="18"/>
        <w:szCs w:val="18"/>
      </w:rPr>
    </w:pPr>
    <w:r w:rsidRPr="00FC136C">
      <w:rPr>
        <w:rStyle w:val="slostrany"/>
        <w:sz w:val="18"/>
        <w:szCs w:val="18"/>
      </w:rPr>
      <w:fldChar w:fldCharType="begin"/>
    </w:r>
    <w:r w:rsidRPr="00FC136C">
      <w:rPr>
        <w:rStyle w:val="slostrany"/>
        <w:sz w:val="18"/>
        <w:szCs w:val="18"/>
      </w:rPr>
      <w:instrText xml:space="preserve">PAGE  </w:instrText>
    </w:r>
    <w:r w:rsidRPr="00FC136C">
      <w:rPr>
        <w:rStyle w:val="slostrany"/>
        <w:sz w:val="18"/>
        <w:szCs w:val="18"/>
      </w:rPr>
      <w:fldChar w:fldCharType="separate"/>
    </w:r>
    <w:r w:rsidR="00C10322">
      <w:rPr>
        <w:rStyle w:val="slostrany"/>
        <w:noProof/>
        <w:sz w:val="18"/>
        <w:szCs w:val="18"/>
      </w:rPr>
      <w:t>1</w:t>
    </w:r>
    <w:r w:rsidRPr="00FC136C">
      <w:rPr>
        <w:rStyle w:val="slostrany"/>
        <w:sz w:val="18"/>
        <w:szCs w:val="18"/>
      </w:rPr>
      <w:fldChar w:fldCharType="end"/>
    </w:r>
  </w:p>
  <w:p w:rsidR="00736010" w:rsidRDefault="0073601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322" w:rsidRDefault="00C10322">
      <w:r>
        <w:separator/>
      </w:r>
    </w:p>
  </w:footnote>
  <w:footnote w:type="continuationSeparator" w:id="0">
    <w:p w:rsidR="00C10322" w:rsidRDefault="00C103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10" w:rsidRDefault="00736010" w:rsidP="00F10BEF">
    <w:pPr>
      <w:pStyle w:val="Hlavika"/>
      <w:rPr>
        <w:bCs/>
        <w:sz w:val="18"/>
        <w:szCs w:val="18"/>
      </w:rPr>
    </w:pPr>
    <w:r w:rsidRPr="009F4F68">
      <w:rPr>
        <w:bCs/>
        <w:sz w:val="18"/>
        <w:szCs w:val="18"/>
      </w:rPr>
      <w:t>Príloha č. 1 k notifikácii o zmene, ev. č.: 201</w:t>
    </w:r>
    <w:r>
      <w:rPr>
        <w:bCs/>
        <w:sz w:val="18"/>
        <w:szCs w:val="18"/>
      </w:rPr>
      <w:t>9/03853-Z1B</w:t>
    </w:r>
  </w:p>
  <w:p w:rsidR="00736010" w:rsidRPr="00D95987" w:rsidRDefault="00736010" w:rsidP="00F10BEF">
    <w:pPr>
      <w:pStyle w:val="Hlavika"/>
      <w:rPr>
        <w:sz w:val="18"/>
        <w:szCs w:val="18"/>
      </w:rPr>
    </w:pPr>
  </w:p>
  <w:p w:rsidR="00736010" w:rsidRPr="00D95987" w:rsidRDefault="00736010">
    <w:pPr>
      <w:pStyle w:val="Hlavika"/>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10" w:rsidRPr="009F4F68" w:rsidRDefault="00736010" w:rsidP="009F4F68">
    <w:pPr>
      <w:pStyle w:val="Hlavika"/>
    </w:pPr>
    <w:r w:rsidRPr="009F4F68">
      <w:rPr>
        <w:bCs/>
        <w:sz w:val="18"/>
        <w:szCs w:val="18"/>
      </w:rPr>
      <w:t>Príloha č. 1 k notifikácii o zmene, ev. č.: 2014/05536</w:t>
    </w:r>
    <w:r>
      <w:rPr>
        <w:bCs/>
        <w:sz w:val="18"/>
        <w:szCs w:val="18"/>
      </w:rPr>
      <w:t>-Z1B</w:t>
    </w:r>
  </w:p>
  <w:p w:rsidR="00736010" w:rsidRPr="009F4F68" w:rsidRDefault="00736010" w:rsidP="009F4F68">
    <w:pPr>
      <w:pStyle w:val="Hlavika"/>
    </w:pPr>
    <w:r w:rsidRPr="009F4F68">
      <w:rPr>
        <w:bCs/>
        <w:sz w:val="18"/>
        <w:szCs w:val="18"/>
      </w:rPr>
      <w:t xml:space="preserve">Príloha č. 1 k notifikácii o zmene, ev. č.: </w:t>
    </w:r>
    <w:r w:rsidRPr="00D11A0A">
      <w:rPr>
        <w:noProof/>
        <w:sz w:val="18"/>
        <w:szCs w:val="18"/>
      </w:rPr>
      <w:t>201</w:t>
    </w:r>
    <w:r>
      <w:rPr>
        <w:noProof/>
        <w:sz w:val="18"/>
        <w:szCs w:val="18"/>
      </w:rPr>
      <w:t>7/05273-Z1B</w:t>
    </w:r>
  </w:p>
  <w:p w:rsidR="00736010" w:rsidRDefault="0073601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ED1"/>
    <w:multiLevelType w:val="hybridMultilevel"/>
    <w:tmpl w:val="FCF26676"/>
    <w:lvl w:ilvl="0" w:tplc="5C48B564">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245474"/>
    <w:multiLevelType w:val="hybridMultilevel"/>
    <w:tmpl w:val="9C6ECD50"/>
    <w:lvl w:ilvl="0" w:tplc="49C68F9E">
      <w:start w:val="1"/>
      <w:numFmt w:val="bullet"/>
      <w:lvlText w:val=""/>
      <w:lvlJc w:val="left"/>
      <w:pPr>
        <w:tabs>
          <w:tab w:val="num" w:pos="567"/>
        </w:tabs>
        <w:ind w:left="567" w:hanging="567"/>
      </w:pPr>
      <w:rPr>
        <w:rFonts w:ascii="Symbol" w:hAnsi="Symbol" w:hint="default"/>
      </w:rPr>
    </w:lvl>
    <w:lvl w:ilvl="1" w:tplc="1C7AE280">
      <w:numFmt w:val="bullet"/>
      <w:lvlText w:val="-"/>
      <w:lvlJc w:val="left"/>
      <w:pPr>
        <w:tabs>
          <w:tab w:val="num" w:pos="1250"/>
        </w:tabs>
        <w:ind w:left="1250" w:hanging="170"/>
      </w:pPr>
      <w:rPr>
        <w:rFonts w:ascii="Times New Roman" w:eastAsia="Arial Unicode MS"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D03782"/>
    <w:multiLevelType w:val="hybridMultilevel"/>
    <w:tmpl w:val="4C0CC4E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4EF42B3"/>
    <w:multiLevelType w:val="hybridMultilevel"/>
    <w:tmpl w:val="59824B52"/>
    <w:lvl w:ilvl="0" w:tplc="5C48B564">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76AF9"/>
    <w:multiLevelType w:val="hybridMultilevel"/>
    <w:tmpl w:val="54DCD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3847A1"/>
    <w:multiLevelType w:val="hybridMultilevel"/>
    <w:tmpl w:val="498005A2"/>
    <w:lvl w:ilvl="0" w:tplc="5C48B564">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C425E96"/>
    <w:multiLevelType w:val="multilevel"/>
    <w:tmpl w:val="C81EB78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F95"/>
    <w:rsid w:val="00007243"/>
    <w:rsid w:val="00012C58"/>
    <w:rsid w:val="000304BD"/>
    <w:rsid w:val="0004737F"/>
    <w:rsid w:val="00062A04"/>
    <w:rsid w:val="0007201A"/>
    <w:rsid w:val="0007256D"/>
    <w:rsid w:val="000940E6"/>
    <w:rsid w:val="000A0C71"/>
    <w:rsid w:val="000D265A"/>
    <w:rsid w:val="000E7BAE"/>
    <w:rsid w:val="00163FE4"/>
    <w:rsid w:val="00165B08"/>
    <w:rsid w:val="00173802"/>
    <w:rsid w:val="00215A7D"/>
    <w:rsid w:val="0022778A"/>
    <w:rsid w:val="00227F95"/>
    <w:rsid w:val="0027462C"/>
    <w:rsid w:val="00282339"/>
    <w:rsid w:val="00292DD3"/>
    <w:rsid w:val="002E266E"/>
    <w:rsid w:val="002E7153"/>
    <w:rsid w:val="002F08AA"/>
    <w:rsid w:val="00337B91"/>
    <w:rsid w:val="00355CD3"/>
    <w:rsid w:val="00371FD5"/>
    <w:rsid w:val="003A1873"/>
    <w:rsid w:val="003B3B52"/>
    <w:rsid w:val="003F35F1"/>
    <w:rsid w:val="0041205F"/>
    <w:rsid w:val="004135DE"/>
    <w:rsid w:val="00456961"/>
    <w:rsid w:val="004628D9"/>
    <w:rsid w:val="004775BA"/>
    <w:rsid w:val="0048758D"/>
    <w:rsid w:val="00491538"/>
    <w:rsid w:val="00496334"/>
    <w:rsid w:val="004A4C75"/>
    <w:rsid w:val="004B4F98"/>
    <w:rsid w:val="004C3D25"/>
    <w:rsid w:val="004D2857"/>
    <w:rsid w:val="00524633"/>
    <w:rsid w:val="00565C40"/>
    <w:rsid w:val="00571969"/>
    <w:rsid w:val="00596E3A"/>
    <w:rsid w:val="005E684F"/>
    <w:rsid w:val="00633A8C"/>
    <w:rsid w:val="00661AE4"/>
    <w:rsid w:val="00674C3C"/>
    <w:rsid w:val="00674FA8"/>
    <w:rsid w:val="00691657"/>
    <w:rsid w:val="00693936"/>
    <w:rsid w:val="006D220C"/>
    <w:rsid w:val="00701284"/>
    <w:rsid w:val="00701A95"/>
    <w:rsid w:val="00722E83"/>
    <w:rsid w:val="00726515"/>
    <w:rsid w:val="007274CB"/>
    <w:rsid w:val="007330F1"/>
    <w:rsid w:val="00733C2F"/>
    <w:rsid w:val="00736010"/>
    <w:rsid w:val="00746443"/>
    <w:rsid w:val="00762AF5"/>
    <w:rsid w:val="007637C3"/>
    <w:rsid w:val="007D3270"/>
    <w:rsid w:val="007E6987"/>
    <w:rsid w:val="007E7CF3"/>
    <w:rsid w:val="00815E9D"/>
    <w:rsid w:val="008376DD"/>
    <w:rsid w:val="00885AAE"/>
    <w:rsid w:val="00890A2C"/>
    <w:rsid w:val="00897560"/>
    <w:rsid w:val="008C1B7A"/>
    <w:rsid w:val="008E497C"/>
    <w:rsid w:val="008F4CC0"/>
    <w:rsid w:val="00900828"/>
    <w:rsid w:val="009042E1"/>
    <w:rsid w:val="0091717F"/>
    <w:rsid w:val="00931E58"/>
    <w:rsid w:val="00942EAB"/>
    <w:rsid w:val="00954369"/>
    <w:rsid w:val="009F1557"/>
    <w:rsid w:val="009F2F18"/>
    <w:rsid w:val="009F4F68"/>
    <w:rsid w:val="00A24FD9"/>
    <w:rsid w:val="00A667E4"/>
    <w:rsid w:val="00A81640"/>
    <w:rsid w:val="00AB681B"/>
    <w:rsid w:val="00AD6D76"/>
    <w:rsid w:val="00AD77BD"/>
    <w:rsid w:val="00AF27C4"/>
    <w:rsid w:val="00AF3665"/>
    <w:rsid w:val="00B26B96"/>
    <w:rsid w:val="00B37CA0"/>
    <w:rsid w:val="00B417D3"/>
    <w:rsid w:val="00BA4EEE"/>
    <w:rsid w:val="00BF6971"/>
    <w:rsid w:val="00C033D3"/>
    <w:rsid w:val="00C06622"/>
    <w:rsid w:val="00C10322"/>
    <w:rsid w:val="00C22CE0"/>
    <w:rsid w:val="00C25457"/>
    <w:rsid w:val="00C81366"/>
    <w:rsid w:val="00C84520"/>
    <w:rsid w:val="00C9705F"/>
    <w:rsid w:val="00CF1AD7"/>
    <w:rsid w:val="00D12D0C"/>
    <w:rsid w:val="00D2125E"/>
    <w:rsid w:val="00D33CD8"/>
    <w:rsid w:val="00D70939"/>
    <w:rsid w:val="00D918C1"/>
    <w:rsid w:val="00D95987"/>
    <w:rsid w:val="00DA0E87"/>
    <w:rsid w:val="00DC22EE"/>
    <w:rsid w:val="00DE4DFC"/>
    <w:rsid w:val="00E13DFB"/>
    <w:rsid w:val="00E15521"/>
    <w:rsid w:val="00E20C23"/>
    <w:rsid w:val="00E245CC"/>
    <w:rsid w:val="00E453AA"/>
    <w:rsid w:val="00E45E63"/>
    <w:rsid w:val="00E47835"/>
    <w:rsid w:val="00E77D91"/>
    <w:rsid w:val="00EA052E"/>
    <w:rsid w:val="00EC7000"/>
    <w:rsid w:val="00EF2CED"/>
    <w:rsid w:val="00F10BEF"/>
    <w:rsid w:val="00F145F6"/>
    <w:rsid w:val="00F434E0"/>
    <w:rsid w:val="00F50CE0"/>
    <w:rsid w:val="00F54095"/>
    <w:rsid w:val="00F550F7"/>
    <w:rsid w:val="00F63274"/>
    <w:rsid w:val="00F901B2"/>
    <w:rsid w:val="00F92483"/>
    <w:rsid w:val="00F964D1"/>
    <w:rsid w:val="00FC136C"/>
    <w:rsid w:val="00FC1CB5"/>
    <w:rsid w:val="00FD0011"/>
    <w:rsid w:val="00FE1ECD"/>
    <w:rsid w:val="00FE7C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DE4F644-9568-4353-9CB7-329B529B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tabs>
        <w:tab w:val="left" w:pos="8505"/>
      </w:tabs>
      <w:ind w:right="566"/>
      <w:outlineLvl w:val="0"/>
    </w:pPr>
    <w:rPr>
      <w:rFonts w:ascii="Arial" w:hAnsi="Arial"/>
      <w:bCs/>
      <w:sz w:val="24"/>
      <w:u w:val="single"/>
    </w:rPr>
  </w:style>
  <w:style w:type="paragraph" w:styleId="Nadpis2">
    <w:name w:val="heading 2"/>
    <w:basedOn w:val="Normlny"/>
    <w:next w:val="Normlny"/>
    <w:qFormat/>
    <w:pPr>
      <w:keepNext/>
      <w:outlineLvl w:val="1"/>
    </w:pPr>
    <w:rPr>
      <w:rFonts w:ascii="Arial" w:hAnsi="Arial" w:cs="Arial"/>
      <w:sz w:val="24"/>
      <w:u w:val="single"/>
    </w:rPr>
  </w:style>
  <w:style w:type="paragraph" w:styleId="Nadpis3">
    <w:name w:val="heading 3"/>
    <w:basedOn w:val="Normlny"/>
    <w:next w:val="Normlny"/>
    <w:qFormat/>
    <w:pPr>
      <w:keepNext/>
      <w:tabs>
        <w:tab w:val="left" w:pos="8505"/>
      </w:tabs>
      <w:ind w:right="566"/>
      <w:outlineLvl w:val="2"/>
    </w:pPr>
    <w:rPr>
      <w:rFonts w:ascii="Arial" w:hAnsi="Arial"/>
      <w:bCs/>
      <w:sz w:val="24"/>
    </w:rPr>
  </w:style>
  <w:style w:type="paragraph" w:styleId="Nadpis4">
    <w:name w:val="heading 4"/>
    <w:basedOn w:val="Normlny"/>
    <w:next w:val="Normlny"/>
    <w:qFormat/>
    <w:pPr>
      <w:keepNext/>
      <w:tabs>
        <w:tab w:val="left" w:pos="8505"/>
      </w:tabs>
      <w:ind w:right="566"/>
      <w:outlineLvl w:val="3"/>
    </w:pPr>
    <w:rPr>
      <w:rFonts w:ascii="Arial" w:hAnsi="Arial" w:cs="Arial"/>
      <w:b/>
      <w:sz w:val="24"/>
      <w:u w:val="single"/>
    </w:rPr>
  </w:style>
  <w:style w:type="paragraph" w:styleId="Nadpis5">
    <w:name w:val="heading 5"/>
    <w:basedOn w:val="Normlny"/>
    <w:next w:val="Normlny"/>
    <w:qFormat/>
    <w:pPr>
      <w:keepNext/>
      <w:outlineLvl w:val="4"/>
    </w:pPr>
    <w:rPr>
      <w:rFonts w:ascii="Arial" w:hAnsi="Arial" w:cs="Arial"/>
      <w:b/>
      <w:bCs/>
      <w:sz w:val="24"/>
      <w:u w:val="single"/>
    </w:rPr>
  </w:style>
  <w:style w:type="paragraph" w:styleId="Nadpis6">
    <w:name w:val="heading 6"/>
    <w:basedOn w:val="Normlny"/>
    <w:next w:val="Normlny"/>
    <w:qFormat/>
    <w:pPr>
      <w:keepNext/>
      <w:outlineLvl w:val="5"/>
    </w:pPr>
    <w:rPr>
      <w:rFonts w:ascii="Arial" w:hAnsi="Arial" w:cs="Arial"/>
      <w:sz w:val="24"/>
    </w:rPr>
  </w:style>
  <w:style w:type="paragraph" w:styleId="Nadpis7">
    <w:name w:val="heading 7"/>
    <w:basedOn w:val="Normlny"/>
    <w:next w:val="Normlny"/>
    <w:qFormat/>
    <w:pPr>
      <w:keepNext/>
      <w:tabs>
        <w:tab w:val="left" w:pos="8505"/>
      </w:tabs>
      <w:ind w:right="566"/>
      <w:outlineLvl w:val="6"/>
    </w:pPr>
    <w:rPr>
      <w:rFonts w:ascii="Arial" w:hAnsi="Arial" w:cs="Arial"/>
      <w:bCs/>
      <w:i/>
      <w:iCs/>
    </w:rPr>
  </w:style>
  <w:style w:type="paragraph" w:styleId="Nadpis8">
    <w:name w:val="heading 8"/>
    <w:basedOn w:val="Normlny"/>
    <w:next w:val="Normlny"/>
    <w:qFormat/>
    <w:pPr>
      <w:keepNext/>
      <w:tabs>
        <w:tab w:val="left" w:pos="8505"/>
      </w:tabs>
      <w:ind w:right="566"/>
      <w:outlineLvl w:val="7"/>
    </w:pPr>
    <w:rPr>
      <w:bCs/>
      <w:i/>
      <w:sz w:val="22"/>
      <w:szCs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Zkladntext">
    <w:name w:val="Body Text"/>
    <w:basedOn w:val="Normlny"/>
    <w:pPr>
      <w:tabs>
        <w:tab w:val="left" w:pos="8505"/>
      </w:tabs>
      <w:ind w:right="566"/>
    </w:pPr>
    <w:rPr>
      <w:rFonts w:ascii="Arial" w:hAnsi="Arial"/>
      <w:bCs/>
      <w:sz w:val="24"/>
    </w:rPr>
  </w:style>
  <w:style w:type="paragraph" w:styleId="Zkladntext2">
    <w:name w:val="Body Text 2"/>
    <w:basedOn w:val="Normlny"/>
    <w:semiHidden/>
    <w:rPr>
      <w:rFonts w:ascii="Arial" w:hAnsi="Arial" w:cs="Arial"/>
      <w:sz w:val="24"/>
    </w:rPr>
  </w:style>
  <w:style w:type="paragraph" w:styleId="Nzov">
    <w:name w:val="Title"/>
    <w:basedOn w:val="Normlny"/>
    <w:qFormat/>
    <w:pPr>
      <w:tabs>
        <w:tab w:val="left" w:pos="8505"/>
      </w:tabs>
      <w:ind w:right="566"/>
      <w:jc w:val="center"/>
    </w:pPr>
    <w:rPr>
      <w:rFonts w:ascii="Arial" w:hAnsi="Arial" w:cs="Arial"/>
      <w:b/>
      <w:bCs/>
      <w:sz w:val="16"/>
    </w:rPr>
  </w:style>
  <w:style w:type="paragraph" w:styleId="Hlavika">
    <w:name w:val="header"/>
    <w:basedOn w:val="Normlny"/>
    <w:link w:val="HlavikaChar"/>
    <w:uiPriority w:val="99"/>
    <w:pPr>
      <w:tabs>
        <w:tab w:val="center" w:pos="4536"/>
        <w:tab w:val="right" w:pos="9072"/>
      </w:tabs>
    </w:pPr>
  </w:style>
  <w:style w:type="paragraph" w:styleId="Textbubliny">
    <w:name w:val="Balloon Text"/>
    <w:basedOn w:val="Normlny"/>
    <w:semiHidden/>
    <w:rPr>
      <w:rFonts w:ascii="Tahoma" w:hAnsi="Tahoma" w:cs="Tahoma"/>
      <w:sz w:val="16"/>
      <w:szCs w:val="16"/>
    </w:rPr>
  </w:style>
  <w:style w:type="paragraph" w:styleId="Zkladntext3">
    <w:name w:val="Body Text 3"/>
    <w:basedOn w:val="Normlny"/>
    <w:link w:val="Zkladntext3Char"/>
    <w:uiPriority w:val="99"/>
    <w:semiHidden/>
    <w:unhideWhenUsed/>
    <w:rsid w:val="0041205F"/>
    <w:pPr>
      <w:spacing w:after="120"/>
    </w:pPr>
    <w:rPr>
      <w:sz w:val="16"/>
      <w:szCs w:val="16"/>
      <w:lang w:val="x-none" w:eastAsia="x-none"/>
    </w:rPr>
  </w:style>
  <w:style w:type="character" w:customStyle="1" w:styleId="Zkladntext3Char">
    <w:name w:val="Základný text 3 Char"/>
    <w:link w:val="Zkladntext3"/>
    <w:uiPriority w:val="99"/>
    <w:semiHidden/>
    <w:rsid w:val="0041205F"/>
    <w:rPr>
      <w:sz w:val="16"/>
      <w:szCs w:val="16"/>
    </w:rPr>
  </w:style>
  <w:style w:type="character" w:styleId="Odkaznakomentr">
    <w:name w:val="annotation reference"/>
    <w:uiPriority w:val="99"/>
    <w:semiHidden/>
    <w:unhideWhenUsed/>
    <w:rsid w:val="00AB681B"/>
    <w:rPr>
      <w:sz w:val="16"/>
      <w:szCs w:val="16"/>
    </w:rPr>
  </w:style>
  <w:style w:type="paragraph" w:styleId="Textkomentra">
    <w:name w:val="annotation text"/>
    <w:basedOn w:val="Normlny"/>
    <w:link w:val="TextkomentraChar"/>
    <w:uiPriority w:val="99"/>
    <w:semiHidden/>
    <w:unhideWhenUsed/>
    <w:rsid w:val="00AB681B"/>
  </w:style>
  <w:style w:type="character" w:customStyle="1" w:styleId="TextkomentraChar">
    <w:name w:val="Text komentára Char"/>
    <w:basedOn w:val="Predvolenpsmoodseku"/>
    <w:link w:val="Textkomentra"/>
    <w:uiPriority w:val="99"/>
    <w:semiHidden/>
    <w:rsid w:val="00AB681B"/>
  </w:style>
  <w:style w:type="paragraph" w:styleId="Predmetkomentra">
    <w:name w:val="annotation subject"/>
    <w:basedOn w:val="Textkomentra"/>
    <w:next w:val="Textkomentra"/>
    <w:link w:val="PredmetkomentraChar"/>
    <w:uiPriority w:val="99"/>
    <w:semiHidden/>
    <w:unhideWhenUsed/>
    <w:rsid w:val="00AB681B"/>
    <w:rPr>
      <w:b/>
      <w:bCs/>
      <w:lang w:val="x-none" w:eastAsia="x-none"/>
    </w:rPr>
  </w:style>
  <w:style w:type="character" w:customStyle="1" w:styleId="PredmetkomentraChar">
    <w:name w:val="Predmet komentára Char"/>
    <w:link w:val="Predmetkomentra"/>
    <w:uiPriority w:val="99"/>
    <w:semiHidden/>
    <w:rsid w:val="00AB681B"/>
    <w:rPr>
      <w:b/>
      <w:bCs/>
    </w:rPr>
  </w:style>
  <w:style w:type="paragraph" w:styleId="Revzia">
    <w:name w:val="Revision"/>
    <w:hidden/>
    <w:uiPriority w:val="99"/>
    <w:semiHidden/>
    <w:rsid w:val="00007243"/>
  </w:style>
  <w:style w:type="paragraph" w:customStyle="1" w:styleId="Default">
    <w:name w:val="Default"/>
    <w:rsid w:val="00AF27C4"/>
    <w:pPr>
      <w:autoSpaceDE w:val="0"/>
      <w:autoSpaceDN w:val="0"/>
      <w:adjustRightInd w:val="0"/>
    </w:pPr>
    <w:rPr>
      <w:rFonts w:ascii="Verdana" w:hAnsi="Verdana" w:cs="Verdana"/>
      <w:color w:val="000000"/>
      <w:sz w:val="24"/>
      <w:szCs w:val="24"/>
    </w:rPr>
  </w:style>
  <w:style w:type="character" w:customStyle="1" w:styleId="HlavikaChar">
    <w:name w:val="Hlavička Char"/>
    <w:link w:val="Hlavika"/>
    <w:uiPriority w:val="99"/>
    <w:rsid w:val="009F4F68"/>
  </w:style>
  <w:style w:type="character" w:styleId="Hypertextovprepojenie">
    <w:name w:val="Hyperlink"/>
    <w:rsid w:val="00AF3665"/>
    <w:rPr>
      <w:color w:val="0000FF"/>
      <w:u w:val="single"/>
    </w:rPr>
  </w:style>
  <w:style w:type="character" w:customStyle="1" w:styleId="TextChar1">
    <w:name w:val="Text Char1"/>
    <w:link w:val="Text"/>
    <w:locked/>
    <w:rsid w:val="004A4C75"/>
    <w:rPr>
      <w:rFonts w:ascii="SimSun" w:hAnsi="SimSun"/>
      <w:color w:val="000000"/>
    </w:rPr>
  </w:style>
  <w:style w:type="paragraph" w:customStyle="1" w:styleId="Text">
    <w:name w:val="Text"/>
    <w:basedOn w:val="Normlny"/>
    <w:link w:val="TextChar1"/>
    <w:rsid w:val="004A4C75"/>
    <w:pPr>
      <w:spacing w:after="240" w:line="276" w:lineRule="auto"/>
      <w:ind w:left="1134"/>
      <w:jc w:val="both"/>
    </w:pPr>
    <w:rPr>
      <w:rFonts w:ascii="SimSun" w:hAnsi="SimSu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AB72F-9C0A-43B9-889F-0E1A9151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7454</Words>
  <Characters>42494</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PRÍLOHA Č</vt:lpstr>
    </vt:vector>
  </TitlesOfParts>
  <Company>Regpharm Slovakia s.r.o.</Company>
  <LinksUpToDate>false</LinksUpToDate>
  <CharactersWithSpaces>49849</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Regpharm</dc:creator>
  <cp:lastModifiedBy>ZGr</cp:lastModifiedBy>
  <cp:revision>5</cp:revision>
  <cp:lastPrinted>2019-02-04T07:59:00Z</cp:lastPrinted>
  <dcterms:created xsi:type="dcterms:W3CDTF">2019-06-06T12:48:00Z</dcterms:created>
  <dcterms:modified xsi:type="dcterms:W3CDTF">2020-04-02T12:13:00Z</dcterms:modified>
</cp:coreProperties>
</file>